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23A2" w:rsidP="00CD23A2">
      <w:pPr>
        <w:pStyle w:val="OrderHeading"/>
      </w:pPr>
      <w:r>
        <w:t>BEFORE THE FLORIDA PUBLIC SERVICE COMMISSION</w:t>
      </w:r>
    </w:p>
    <w:p w:rsidR="00CD23A2" w:rsidRDefault="00CD23A2" w:rsidP="00CD23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23A2" w:rsidRPr="00C63FCF" w:rsidTr="00787261">
        <w:trPr>
          <w:trHeight w:val="828"/>
        </w:trPr>
        <w:tc>
          <w:tcPr>
            <w:tcW w:w="4788" w:type="dxa"/>
            <w:tcBorders>
              <w:bottom w:val="single" w:sz="8" w:space="0" w:color="auto"/>
              <w:right w:val="double" w:sz="6" w:space="0" w:color="auto"/>
            </w:tcBorders>
            <w:shd w:val="clear" w:color="auto" w:fill="auto"/>
          </w:tcPr>
          <w:p w:rsidR="00CD23A2" w:rsidRDefault="00CD23A2" w:rsidP="00787261">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D23A2" w:rsidRDefault="00CD23A2" w:rsidP="00CD23A2">
            <w:pPr>
              <w:pStyle w:val="OrderBody"/>
            </w:pPr>
            <w:r>
              <w:t xml:space="preserve">DOCKET NO. </w:t>
            </w:r>
            <w:bookmarkStart w:id="1" w:name="SSDocketNo"/>
            <w:bookmarkEnd w:id="1"/>
            <w:r>
              <w:t>20180001-EI</w:t>
            </w:r>
          </w:p>
          <w:p w:rsidR="00CD23A2" w:rsidRDefault="00CD23A2" w:rsidP="00787261">
            <w:pPr>
              <w:pStyle w:val="OrderBody"/>
              <w:tabs>
                <w:tab w:val="center" w:pos="4320"/>
                <w:tab w:val="right" w:pos="8640"/>
              </w:tabs>
              <w:jc w:val="left"/>
            </w:pPr>
            <w:r>
              <w:t xml:space="preserve">ORDER NO. </w:t>
            </w:r>
            <w:bookmarkStart w:id="2" w:name="OrderNo0610"/>
            <w:r w:rsidR="001E55B1">
              <w:t>PSC-2018-0610-FOF-EI</w:t>
            </w:r>
            <w:bookmarkEnd w:id="2"/>
          </w:p>
          <w:p w:rsidR="00CD23A2" w:rsidRDefault="00CD23A2" w:rsidP="00787261">
            <w:pPr>
              <w:pStyle w:val="OrderBody"/>
              <w:tabs>
                <w:tab w:val="center" w:pos="4320"/>
                <w:tab w:val="right" w:pos="8640"/>
              </w:tabs>
              <w:jc w:val="left"/>
            </w:pPr>
            <w:r>
              <w:t xml:space="preserve">ISSUED: </w:t>
            </w:r>
            <w:r w:rsidR="001E55B1">
              <w:t>December 26, 2018</w:t>
            </w:r>
          </w:p>
        </w:tc>
      </w:tr>
    </w:tbl>
    <w:p w:rsidR="00CD23A2" w:rsidRDefault="00CD23A2" w:rsidP="00CD23A2"/>
    <w:p w:rsidR="00CD23A2" w:rsidRDefault="00CD23A2">
      <w:pPr>
        <w:ind w:firstLine="720"/>
        <w:jc w:val="both"/>
      </w:pPr>
      <w:bookmarkStart w:id="3" w:name="Commissioners"/>
      <w:bookmarkEnd w:id="3"/>
      <w:r>
        <w:t>The following Commissioners participated in the disposition of this matter:</w:t>
      </w:r>
    </w:p>
    <w:p w:rsidR="00CD23A2" w:rsidRDefault="00CD23A2"/>
    <w:p w:rsidR="00CD23A2" w:rsidRDefault="00CD23A2">
      <w:pPr>
        <w:jc w:val="center"/>
      </w:pPr>
      <w:r>
        <w:t>ART GRAHAM, Chairman</w:t>
      </w:r>
    </w:p>
    <w:p w:rsidR="00CD23A2" w:rsidRDefault="00CD23A2">
      <w:pPr>
        <w:jc w:val="center"/>
      </w:pPr>
      <w:r>
        <w:t xml:space="preserve">JULIE I. BROWN </w:t>
      </w:r>
    </w:p>
    <w:p w:rsidR="00CD23A2" w:rsidRDefault="00CD23A2">
      <w:pPr>
        <w:jc w:val="center"/>
      </w:pPr>
      <w:r>
        <w:t>DONALD J. POLMANN</w:t>
      </w:r>
    </w:p>
    <w:p w:rsidR="00CD23A2" w:rsidRDefault="00CD23A2">
      <w:pPr>
        <w:jc w:val="center"/>
      </w:pPr>
      <w:r>
        <w:t>GARY F. CLARK</w:t>
      </w:r>
    </w:p>
    <w:p w:rsidR="00CD23A2" w:rsidRDefault="00CD23A2">
      <w:pPr>
        <w:jc w:val="center"/>
      </w:pPr>
      <w:r>
        <w:t>ANDREW GILES FAY</w:t>
      </w:r>
    </w:p>
    <w:p w:rsidR="00CB5276" w:rsidRDefault="00CB5276">
      <w:pPr>
        <w:pStyle w:val="OrderBody"/>
      </w:pPr>
    </w:p>
    <w:p w:rsidR="00CD23A2" w:rsidRDefault="00CD23A2" w:rsidP="00CD23A2">
      <w:pPr>
        <w:pStyle w:val="CenterUnderline"/>
      </w:pPr>
      <w:bookmarkStart w:id="4" w:name="OrderTitle"/>
      <w:r>
        <w:t xml:space="preserve"> </w:t>
      </w:r>
      <w:r w:rsidR="00005D0F">
        <w:t>FINAL ORDER APPROVING EXPENDITURES AND TRUE-UP AMOUNTS FOR FUEL</w:t>
      </w:r>
      <w:r>
        <w:t xml:space="preserve"> </w:t>
      </w:r>
      <w:bookmarkEnd w:id="4"/>
    </w:p>
    <w:p w:rsidR="00CD23A2" w:rsidRDefault="00005D0F" w:rsidP="00CD23A2">
      <w:pPr>
        <w:pStyle w:val="CenterUnderline"/>
      </w:pPr>
      <w:r>
        <w:t>ADJUSTMENT FACTORS; GPIF TARGETS, RANGES, AND REWARDS; AND</w:t>
      </w:r>
    </w:p>
    <w:p w:rsidR="00005D0F" w:rsidRDefault="00005D0F" w:rsidP="00CD23A2">
      <w:pPr>
        <w:pStyle w:val="CenterUnderline"/>
      </w:pPr>
      <w:r>
        <w:t>PROJECTED EXPENDITURES AND TRUE-UP AMOUNTS FOR CAPACITY COST RECOVERY FACTOR</w:t>
      </w:r>
    </w:p>
    <w:p w:rsidR="00005D0F" w:rsidRDefault="00005D0F" w:rsidP="00CD23A2">
      <w:pPr>
        <w:pStyle w:val="CenterUnderline"/>
      </w:pPr>
    </w:p>
    <w:p w:rsidR="00005D0F" w:rsidRDefault="00005D0F" w:rsidP="00005D0F">
      <w:pPr>
        <w:pStyle w:val="CenterUnderline"/>
        <w:jc w:val="both"/>
        <w:rPr>
          <w:u w:val="none"/>
        </w:rPr>
      </w:pPr>
      <w:r w:rsidRPr="00005D0F">
        <w:rPr>
          <w:u w:val="none"/>
        </w:rPr>
        <w:t>APPEARANCES</w:t>
      </w:r>
      <w:r>
        <w:rPr>
          <w:u w:val="none"/>
        </w:rPr>
        <w:t>:</w:t>
      </w:r>
    </w:p>
    <w:p w:rsidR="00005D0F" w:rsidRDefault="00005D0F" w:rsidP="00005D0F">
      <w:pPr>
        <w:pStyle w:val="CenterUnderline"/>
        <w:jc w:val="both"/>
        <w:rPr>
          <w:u w:val="none"/>
        </w:rPr>
      </w:pPr>
    </w:p>
    <w:p w:rsidR="00005D0F" w:rsidRDefault="00005D0F" w:rsidP="00005D0F">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005D0F" w:rsidRPr="00503582" w:rsidRDefault="00005D0F" w:rsidP="00005D0F">
      <w:pPr>
        <w:ind w:left="720" w:firstLine="720"/>
        <w:jc w:val="both"/>
      </w:pPr>
      <w:r w:rsidRPr="00503582">
        <w:rPr>
          <w:u w:val="single"/>
        </w:rPr>
        <w:t>On beh</w:t>
      </w:r>
      <w:r>
        <w:rPr>
          <w:u w:val="single"/>
        </w:rPr>
        <w:t>alf of Duke Energy Florida, LLC</w:t>
      </w:r>
      <w:r w:rsidRPr="00503582">
        <w:rPr>
          <w:u w:val="single"/>
        </w:rPr>
        <w:t xml:space="preserve"> (DEF)</w:t>
      </w:r>
    </w:p>
    <w:p w:rsidR="00005D0F" w:rsidRDefault="00005D0F" w:rsidP="00005D0F">
      <w:pPr>
        <w:jc w:val="both"/>
        <w:rPr>
          <w:caps/>
        </w:rPr>
      </w:pPr>
    </w:p>
    <w:p w:rsidR="00005D0F" w:rsidRPr="00503582" w:rsidRDefault="00005D0F" w:rsidP="00005D0F">
      <w:pPr>
        <w:ind w:left="1440"/>
        <w:jc w:val="both"/>
      </w:pPr>
      <w:r w:rsidRPr="00503582">
        <w:t>MARIA J. MONCADA,</w:t>
      </w:r>
      <w:r>
        <w:t xml:space="preserve"> WILLIAM P. COX and JOEL BAKER, </w:t>
      </w:r>
      <w:r w:rsidRPr="00503582">
        <w:t>ESQUIRE</w:t>
      </w:r>
      <w:r>
        <w:t>S</w:t>
      </w:r>
      <w:r w:rsidRPr="00503582">
        <w:t>, Florida Power &amp; Light Company, 700 Universe Boulevard, Juno Beach, Florida 33408-0420</w:t>
      </w:r>
    </w:p>
    <w:p w:rsidR="00005D0F" w:rsidRPr="00503582" w:rsidRDefault="00005D0F" w:rsidP="00005D0F">
      <w:pPr>
        <w:ind w:left="1440"/>
        <w:jc w:val="both"/>
        <w:rPr>
          <w:u w:val="single"/>
        </w:rPr>
      </w:pPr>
      <w:r w:rsidRPr="00503582">
        <w:rPr>
          <w:u w:val="single"/>
        </w:rPr>
        <w:t>On behalf of Florida Power &amp; Light Company (FPL)</w:t>
      </w:r>
    </w:p>
    <w:p w:rsidR="00005D0F" w:rsidRPr="00503582" w:rsidRDefault="00005D0F" w:rsidP="00005D0F">
      <w:pPr>
        <w:jc w:val="both"/>
      </w:pPr>
    </w:p>
    <w:p w:rsidR="00005D0F" w:rsidRPr="00503582" w:rsidRDefault="00005D0F" w:rsidP="00005D0F">
      <w:pPr>
        <w:ind w:left="1440"/>
        <w:jc w:val="both"/>
      </w:pPr>
      <w:r w:rsidRPr="00503582">
        <w:t>BETH KEATING, ESQUIRE, Gunster, Yoakley &amp; Stewart, P.A., 215 South Monroe St., Suite 601, Tallahassee, Florida 32301</w:t>
      </w:r>
    </w:p>
    <w:p w:rsidR="00005D0F" w:rsidRPr="00503582" w:rsidRDefault="00005D0F" w:rsidP="00005D0F">
      <w:pPr>
        <w:jc w:val="both"/>
        <w:rPr>
          <w:u w:val="single"/>
        </w:rPr>
      </w:pPr>
      <w:r w:rsidRPr="00503582">
        <w:tab/>
      </w:r>
      <w:r w:rsidRPr="00503582">
        <w:tab/>
      </w:r>
      <w:r w:rsidRPr="00503582">
        <w:rPr>
          <w:u w:val="single"/>
        </w:rPr>
        <w:t>On behalf of Florida Public Utilities Company (FPUC)</w:t>
      </w:r>
    </w:p>
    <w:p w:rsidR="00005D0F" w:rsidRPr="00503582" w:rsidRDefault="00005D0F" w:rsidP="00005D0F">
      <w:pPr>
        <w:jc w:val="both"/>
      </w:pPr>
    </w:p>
    <w:p w:rsidR="00005D0F" w:rsidRPr="00503582" w:rsidRDefault="00005D0F" w:rsidP="00005D0F">
      <w:pPr>
        <w:ind w:left="1440" w:hanging="1440"/>
        <w:jc w:val="both"/>
      </w:pPr>
      <w:r w:rsidRPr="00503582">
        <w:tab/>
        <w:t>JEFFREY A. STONE,</w:t>
      </w:r>
      <w:r>
        <w:t xml:space="preserve"> ESQUIRE, </w:t>
      </w:r>
      <w:r w:rsidRPr="00AA4900">
        <w:t>One Energy Place</w:t>
      </w:r>
      <w:r>
        <w:t xml:space="preserve">, </w:t>
      </w:r>
      <w:r w:rsidRPr="00AA4900">
        <w:t>Pensacola, Florida 32520-0780</w:t>
      </w:r>
      <w:r>
        <w:t xml:space="preserve">; and </w:t>
      </w:r>
      <w:r w:rsidRPr="00503582">
        <w:t>RUSSELL A. BADDERS and STEVEN R. GRIFFIN, ESQUIRES, Beggs &amp; Lane, Post Office Box 12950, Pensacola, Florida 32591</w:t>
      </w:r>
      <w:r w:rsidRPr="00503582">
        <w:noBreakHyphen/>
        <w:t>2950</w:t>
      </w:r>
    </w:p>
    <w:p w:rsidR="00005D0F" w:rsidRPr="00503582" w:rsidRDefault="00005D0F" w:rsidP="00005D0F">
      <w:pPr>
        <w:ind w:left="1440" w:hanging="1440"/>
        <w:jc w:val="both"/>
        <w:rPr>
          <w:u w:val="single"/>
        </w:rPr>
      </w:pPr>
      <w:r w:rsidRPr="00503582">
        <w:tab/>
      </w:r>
      <w:r w:rsidRPr="00503582">
        <w:rPr>
          <w:u w:val="single"/>
        </w:rPr>
        <w:t>On behalf of Gulf Power Company (G</w:t>
      </w:r>
      <w:r>
        <w:rPr>
          <w:u w:val="single"/>
        </w:rPr>
        <w:t>ulf</w:t>
      </w:r>
      <w:r w:rsidRPr="00503582">
        <w:rPr>
          <w:u w:val="single"/>
        </w:rPr>
        <w:t>)</w:t>
      </w:r>
    </w:p>
    <w:p w:rsidR="00005D0F" w:rsidRPr="00503582" w:rsidRDefault="00005D0F" w:rsidP="00005D0F">
      <w:pPr>
        <w:jc w:val="both"/>
      </w:pPr>
    </w:p>
    <w:p w:rsidR="00005D0F" w:rsidRPr="00503582" w:rsidRDefault="00005D0F" w:rsidP="00005D0F">
      <w:pPr>
        <w:ind w:left="1440" w:hanging="1440"/>
        <w:jc w:val="both"/>
        <w:rPr>
          <w:rFonts w:cs="Arial"/>
          <w:spacing w:val="-3"/>
        </w:rPr>
      </w:pPr>
      <w:r w:rsidRPr="00503582">
        <w:tab/>
      </w:r>
      <w:r w:rsidRPr="00503582">
        <w:rPr>
          <w:rFonts w:cs="Arial"/>
          <w:spacing w:val="-3"/>
        </w:rPr>
        <w:t xml:space="preserve">JAMES D. BEASLEY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 </w:t>
      </w:r>
      <w:r w:rsidRPr="00503582">
        <w:rPr>
          <w:rFonts w:cs="Arial"/>
          <w:spacing w:val="-3"/>
        </w:rPr>
        <w:t>ESQUIRES, Ausley McMullen, Post Office Box 391, Tallahassee, Florida 32302</w:t>
      </w:r>
    </w:p>
    <w:p w:rsidR="00005D0F" w:rsidRPr="00503582" w:rsidRDefault="00005D0F" w:rsidP="00005D0F">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005D0F" w:rsidRPr="00503582" w:rsidRDefault="00005D0F" w:rsidP="00005D0F">
      <w:pPr>
        <w:ind w:left="1440" w:hanging="1440"/>
        <w:jc w:val="both"/>
        <w:rPr>
          <w:rFonts w:cs="Arial"/>
          <w:spacing w:val="-3"/>
        </w:rPr>
      </w:pPr>
    </w:p>
    <w:p w:rsidR="00005D0F" w:rsidRPr="00503582" w:rsidRDefault="00005D0F" w:rsidP="00005D0F">
      <w:pPr>
        <w:ind w:left="1440" w:hanging="1440"/>
        <w:jc w:val="both"/>
      </w:pPr>
      <w:r w:rsidRPr="00503582">
        <w:rPr>
          <w:rFonts w:cs="Arial"/>
          <w:spacing w:val="-3"/>
        </w:rPr>
        <w:lastRenderedPageBreak/>
        <w:tab/>
        <w:t>J.R. KELLY,</w:t>
      </w:r>
      <w:r>
        <w:rPr>
          <w:rFonts w:cs="Arial"/>
          <w:spacing w:val="-3"/>
        </w:rPr>
        <w:t xml:space="preserve"> </w:t>
      </w:r>
      <w:r w:rsidRPr="00503582">
        <w:t>CHARLES REHWINKEL</w:t>
      </w:r>
      <w:r>
        <w:t xml:space="preserve"> and </w:t>
      </w:r>
      <w:r w:rsidRPr="004A6555">
        <w:t>PATRICIA A. CHRISTENSEN</w:t>
      </w:r>
      <w:r>
        <w:t>,</w:t>
      </w:r>
      <w:r w:rsidRPr="00F67112">
        <w:t xml:space="preserve"> </w:t>
      </w:r>
      <w:r>
        <w:t xml:space="preserve"> </w:t>
      </w:r>
      <w:r w:rsidRPr="00503582">
        <w:t xml:space="preserve"> ESQUIRES, Office of Public Counsel, c/o The Florida Legislature, 111 West Madison Street, Room 812, Tallahassee, Florida 32399-1400</w:t>
      </w:r>
    </w:p>
    <w:p w:rsidR="00005D0F" w:rsidRPr="00503582" w:rsidRDefault="00005D0F" w:rsidP="00005D0F">
      <w:pPr>
        <w:ind w:left="1440" w:hanging="1440"/>
        <w:jc w:val="both"/>
      </w:pPr>
      <w:r w:rsidRPr="00503582">
        <w:tab/>
      </w:r>
      <w:r w:rsidRPr="00503582">
        <w:rPr>
          <w:u w:val="single"/>
        </w:rPr>
        <w:t>On behalf of the Citizens of the State of Florida (OPC)</w:t>
      </w:r>
    </w:p>
    <w:p w:rsidR="00005D0F" w:rsidRPr="00503582" w:rsidRDefault="00005D0F" w:rsidP="00005D0F">
      <w:pPr>
        <w:jc w:val="both"/>
      </w:pPr>
    </w:p>
    <w:p w:rsidR="00005D0F" w:rsidRPr="00503582" w:rsidRDefault="00005D0F" w:rsidP="00005D0F">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005D0F" w:rsidRPr="00503582" w:rsidRDefault="00005D0F" w:rsidP="00005D0F">
      <w:pPr>
        <w:ind w:left="1440" w:hanging="1440"/>
        <w:jc w:val="both"/>
        <w:rPr>
          <w:u w:val="single"/>
        </w:rPr>
      </w:pPr>
      <w:r w:rsidRPr="00503582">
        <w:rPr>
          <w:bCs/>
        </w:rPr>
        <w:tab/>
      </w:r>
      <w:r w:rsidRPr="00503582">
        <w:rPr>
          <w:bCs/>
          <w:u w:val="single"/>
        </w:rPr>
        <w:t>On behalf of the Florida Industrial Power Users Group (FIPUG)</w:t>
      </w:r>
    </w:p>
    <w:p w:rsidR="00005D0F" w:rsidRPr="00503582" w:rsidRDefault="00005D0F" w:rsidP="00005D0F">
      <w:pPr>
        <w:jc w:val="both"/>
      </w:pPr>
    </w:p>
    <w:p w:rsidR="00005D0F" w:rsidRPr="00B44013" w:rsidRDefault="00005D0F" w:rsidP="00005D0F">
      <w:pPr>
        <w:ind w:left="1440" w:hanging="1440"/>
        <w:jc w:val="both"/>
      </w:pPr>
      <w:r w:rsidRPr="00503582">
        <w:tab/>
      </w:r>
      <w:r w:rsidRPr="00B44013">
        <w:t>R</w:t>
      </w:r>
      <w:r w:rsidRPr="00B44013">
        <w:rPr>
          <w:caps/>
        </w:rPr>
        <w:t xml:space="preserve">obert Scheffel Wright </w:t>
      </w:r>
      <w:r w:rsidRPr="00B44013">
        <w:t>and</w:t>
      </w:r>
      <w:r w:rsidRPr="00B44013">
        <w:rPr>
          <w:caps/>
        </w:rPr>
        <w:t xml:space="preserve"> </w:t>
      </w:r>
      <w:r w:rsidRPr="00D16AA1">
        <w:rPr>
          <w:caps/>
        </w:rPr>
        <w:t xml:space="preserve">John </w:t>
      </w:r>
      <w:r w:rsidRPr="00B44013">
        <w:rPr>
          <w:caps/>
        </w:rPr>
        <w:t xml:space="preserve">T. LaVia, III, ESQUIRES, </w:t>
      </w:r>
      <w:r w:rsidRPr="00B44013">
        <w:t>Gardner, Bist, Bowden, Bush, Dee, LaVia &amp; Wright, P.A., 1300 Thomaswood Drive, Tallahassee, Florida 32308</w:t>
      </w:r>
    </w:p>
    <w:p w:rsidR="00005D0F" w:rsidRPr="00503582" w:rsidRDefault="00005D0F" w:rsidP="00005D0F">
      <w:pPr>
        <w:ind w:left="1440" w:hanging="1440"/>
        <w:jc w:val="both"/>
        <w:rPr>
          <w:u w:val="single"/>
        </w:rPr>
      </w:pPr>
      <w:r w:rsidRPr="00B44013">
        <w:tab/>
      </w:r>
      <w:r w:rsidRPr="00B44013">
        <w:rPr>
          <w:u w:val="single"/>
        </w:rPr>
        <w:t>On behalf of the Florida Retail Federation (FRF)</w:t>
      </w:r>
    </w:p>
    <w:p w:rsidR="00005D0F" w:rsidRPr="00503582" w:rsidRDefault="00005D0F" w:rsidP="00005D0F">
      <w:pPr>
        <w:ind w:left="1440" w:hanging="1440"/>
        <w:jc w:val="both"/>
        <w:rPr>
          <w:u w:val="single"/>
        </w:rPr>
      </w:pPr>
    </w:p>
    <w:p w:rsidR="00005D0F" w:rsidRPr="00503582" w:rsidRDefault="00005D0F" w:rsidP="00005D0F">
      <w:pPr>
        <w:ind w:left="1440"/>
        <w:jc w:val="both"/>
      </w:pPr>
      <w:r w:rsidRPr="00503582">
        <w:t>JAMES W. BREW</w:t>
      </w:r>
      <w:r w:rsidRPr="00503582">
        <w:rPr>
          <w:caps/>
        </w:rPr>
        <w:t xml:space="preserve"> </w:t>
      </w:r>
      <w:r w:rsidRPr="00503582">
        <w:t>and LAURA A. WYNN, ESQUIRES, Stone Mattheis Xenopoulos &amp; Brew, PC, 1025 Thomas Jefferson St., NW, Eighth Floor, West Tower, Washington, DC 20007</w:t>
      </w:r>
    </w:p>
    <w:p w:rsidR="00005D0F" w:rsidRPr="00503582" w:rsidRDefault="00005D0F" w:rsidP="00005D0F">
      <w:pPr>
        <w:ind w:left="1440" w:hanging="1440"/>
        <w:jc w:val="both"/>
      </w:pPr>
      <w:r w:rsidRPr="00503582">
        <w:tab/>
      </w:r>
      <w:r w:rsidRPr="00503582">
        <w:rPr>
          <w:u w:val="single"/>
        </w:rPr>
        <w:t>On behalf of White Springs Agricultural Chemicals, Inc. d/b/a PCS Phosphate – White Springs (PCS Phosphate)</w:t>
      </w:r>
    </w:p>
    <w:p w:rsidR="00005D0F" w:rsidRPr="00503582" w:rsidRDefault="00005D0F" w:rsidP="00005D0F">
      <w:pPr>
        <w:jc w:val="both"/>
      </w:pPr>
      <w:r w:rsidRPr="00503582">
        <w:tab/>
      </w:r>
      <w:r w:rsidRPr="00503582">
        <w:tab/>
      </w:r>
    </w:p>
    <w:p w:rsidR="00005D0F" w:rsidRPr="00503582" w:rsidRDefault="00005D0F" w:rsidP="00005D0F">
      <w:pPr>
        <w:ind w:left="1440"/>
        <w:jc w:val="both"/>
      </w:pPr>
      <w:r w:rsidRPr="00503582">
        <w:t>SUZANNE BROWNLESS</w:t>
      </w:r>
      <w:r>
        <w:t xml:space="preserve"> and JOHANA NIEVES</w:t>
      </w:r>
      <w:r w:rsidRPr="00503582">
        <w:t>, ESQUIRES, Florida Public Service Commission, 2540 Shumard Oak Boulevard, Tallahassee, Florida 32399-0850</w:t>
      </w:r>
    </w:p>
    <w:p w:rsidR="00005D0F" w:rsidRPr="00503582" w:rsidRDefault="00005D0F" w:rsidP="00005D0F">
      <w:pPr>
        <w:ind w:left="720" w:firstLine="720"/>
        <w:jc w:val="both"/>
      </w:pPr>
      <w:r w:rsidRPr="00503582">
        <w:rPr>
          <w:u w:val="single"/>
        </w:rPr>
        <w:t>On behalf of the Florida Public Service Commission (Staff)</w:t>
      </w:r>
    </w:p>
    <w:p w:rsidR="00005D0F" w:rsidRPr="00701945" w:rsidRDefault="00005D0F" w:rsidP="00005D0F">
      <w:pPr>
        <w:jc w:val="center"/>
        <w:rPr>
          <w:b/>
          <w:bCs/>
          <w:u w:val="single"/>
        </w:rPr>
      </w:pPr>
    </w:p>
    <w:p w:rsidR="00005D0F" w:rsidRPr="00701945" w:rsidRDefault="00005D0F" w:rsidP="00005D0F">
      <w:pPr>
        <w:ind w:left="1440"/>
        <w:jc w:val="both"/>
      </w:pPr>
      <w:r>
        <w:t>MARY ANNE HELTON, ESQUIRE, Deputy General Counsel,</w:t>
      </w:r>
      <w:r w:rsidRPr="00701945">
        <w:t xml:space="preserve"> Florida Public Service Commission, 2540 Shumard Oak Boulevard, Tallahassee, Florida 32399-0850</w:t>
      </w:r>
    </w:p>
    <w:p w:rsidR="00005D0F" w:rsidRPr="00701945" w:rsidRDefault="00005D0F" w:rsidP="00005D0F">
      <w:pPr>
        <w:ind w:left="720" w:firstLine="720"/>
        <w:jc w:val="both"/>
      </w:pPr>
      <w:r>
        <w:rPr>
          <w:u w:val="single"/>
        </w:rPr>
        <w:t>Advisor to the</w:t>
      </w:r>
      <w:r w:rsidRPr="00701945">
        <w:rPr>
          <w:u w:val="single"/>
        </w:rPr>
        <w:t xml:space="preserve"> Florida Public Service Commission</w:t>
      </w:r>
    </w:p>
    <w:p w:rsidR="00005D0F" w:rsidRDefault="00005D0F" w:rsidP="00005D0F">
      <w:pPr>
        <w:ind w:left="1440"/>
        <w:jc w:val="both"/>
        <w:rPr>
          <w:caps/>
        </w:rPr>
      </w:pPr>
    </w:p>
    <w:p w:rsidR="00005D0F" w:rsidRPr="00503582" w:rsidRDefault="00005D0F" w:rsidP="00005D0F">
      <w:pPr>
        <w:ind w:left="1440"/>
        <w:jc w:val="both"/>
      </w:pPr>
      <w:r w:rsidRPr="00503582">
        <w:rPr>
          <w:caps/>
        </w:rPr>
        <w:t>Keith hetrick</w:t>
      </w:r>
      <w:r w:rsidRPr="00503582">
        <w:t>, ESQUIRE, General Counsel, Florida Public Service Commission, 2540 Shumard Oak Boulevard, Tallahassee, Florida 32399-0850</w:t>
      </w:r>
    </w:p>
    <w:p w:rsidR="00005D0F" w:rsidRPr="00503582" w:rsidRDefault="00005D0F" w:rsidP="00005D0F">
      <w:pPr>
        <w:ind w:left="720" w:firstLine="720"/>
        <w:jc w:val="both"/>
      </w:pPr>
      <w:r w:rsidRPr="00503582">
        <w:rPr>
          <w:u w:val="single"/>
        </w:rPr>
        <w:t>Florida Public Service Commission General Counsel</w:t>
      </w:r>
    </w:p>
    <w:p w:rsidR="00005D0F" w:rsidRDefault="00005D0F" w:rsidP="00005D0F">
      <w:pPr>
        <w:pStyle w:val="CenterUnderline"/>
        <w:jc w:val="both"/>
        <w:rPr>
          <w:u w:val="none"/>
        </w:rPr>
      </w:pPr>
    </w:p>
    <w:p w:rsidR="00005D0F" w:rsidRDefault="00005D0F" w:rsidP="00005D0F">
      <w:pPr>
        <w:pStyle w:val="CenterUnderline"/>
        <w:jc w:val="both"/>
        <w:rPr>
          <w:u w:val="none"/>
        </w:rPr>
      </w:pPr>
      <w:r>
        <w:rPr>
          <w:u w:val="none"/>
        </w:rPr>
        <w:t>BY THE COMMISSION:</w:t>
      </w:r>
    </w:p>
    <w:p w:rsidR="00005D0F" w:rsidRDefault="00005D0F" w:rsidP="00005D0F">
      <w:pPr>
        <w:pStyle w:val="CenterUnderline"/>
        <w:jc w:val="both"/>
        <w:rPr>
          <w:u w:val="none"/>
        </w:rPr>
      </w:pPr>
    </w:p>
    <w:p w:rsidR="00005D0F" w:rsidRDefault="00005D0F" w:rsidP="00005D0F">
      <w:pPr>
        <w:pStyle w:val="BodyText"/>
        <w:jc w:val="both"/>
        <w:rPr>
          <w:sz w:val="23"/>
          <w:szCs w:val="23"/>
        </w:rPr>
      </w:pPr>
      <w:r>
        <w:tab/>
      </w:r>
      <w:r w:rsidRPr="00B168D3">
        <w:t>As p</w:t>
      </w:r>
      <w:r>
        <w:rPr>
          <w:sz w:val="23"/>
          <w:szCs w:val="23"/>
        </w:rPr>
        <w:t>art of the continuing fuel and purchased power adjustment and generating performance incentive clause proceedings, an administrative hearing was held on November 5-</w:t>
      </w:r>
      <w:r w:rsidR="00571B18">
        <w:rPr>
          <w:sz w:val="23"/>
          <w:szCs w:val="23"/>
        </w:rPr>
        <w:t>6</w:t>
      </w:r>
      <w:r>
        <w:rPr>
          <w:sz w:val="23"/>
          <w:szCs w:val="23"/>
        </w:rPr>
        <w:t xml:space="preserve">, </w:t>
      </w:r>
      <w:r w:rsidR="00571B18">
        <w:rPr>
          <w:sz w:val="23"/>
          <w:szCs w:val="23"/>
        </w:rPr>
        <w:t xml:space="preserve">2018, </w:t>
      </w:r>
      <w:r>
        <w:rPr>
          <w:sz w:val="23"/>
          <w:szCs w:val="23"/>
        </w:rPr>
        <w:t xml:space="preserve">in this docket. </w:t>
      </w:r>
    </w:p>
    <w:p w:rsidR="00005D0F" w:rsidRPr="00B168D3" w:rsidRDefault="00005D0F" w:rsidP="00005D0F">
      <w:pPr>
        <w:pStyle w:val="BodyText"/>
        <w:jc w:val="both"/>
        <w:rPr>
          <w:sz w:val="23"/>
          <w:szCs w:val="23"/>
        </w:rPr>
      </w:pPr>
      <w:r>
        <w:tab/>
        <w:t xml:space="preserve">At the hearing, we voted to approve stipulated issues </w:t>
      </w:r>
      <w:r w:rsidR="00E75ADE">
        <w:t xml:space="preserve">1B, </w:t>
      </w:r>
      <w:r>
        <w:t xml:space="preserve">2B-2L, 2O, 2T, 3A, 6, 7, </w:t>
      </w:r>
      <w:r w:rsidR="00E75ADE">
        <w:t xml:space="preserve">8, </w:t>
      </w:r>
      <w:r>
        <w:t xml:space="preserve">9, </w:t>
      </w:r>
      <w:r w:rsidR="00E75ADE">
        <w:t xml:space="preserve">10, </w:t>
      </w:r>
      <w:r>
        <w:t xml:space="preserve">11, 15A, 15B, 16, 17, </w:t>
      </w:r>
      <w:r w:rsidR="00E75ADE">
        <w:t xml:space="preserve">18, </w:t>
      </w:r>
      <w:r>
        <w:t xml:space="preserve">19, </w:t>
      </w:r>
      <w:r w:rsidR="00E75ADE">
        <w:t xml:space="preserve">20, </w:t>
      </w:r>
      <w:r>
        <w:t xml:space="preserve">21, </w:t>
      </w:r>
      <w:r w:rsidR="00E75ADE">
        <w:t xml:space="preserve">22, </w:t>
      </w:r>
      <w:r>
        <w:t xml:space="preserve">23A, 24A-24E, </w:t>
      </w:r>
      <w:r w:rsidR="00E75ADE">
        <w:t xml:space="preserve">and </w:t>
      </w:r>
      <w:r>
        <w:t>27-36</w:t>
      </w:r>
      <w:r w:rsidR="00E87CED">
        <w:t xml:space="preserve"> </w:t>
      </w:r>
      <w:r>
        <w:t xml:space="preserve">as set forth in Attachment </w:t>
      </w:r>
      <w:r>
        <w:lastRenderedPageBreak/>
        <w:t>A.</w:t>
      </w:r>
      <w:r w:rsidR="00E75ADE">
        <w:rPr>
          <w:rStyle w:val="FootnoteReference"/>
        </w:rPr>
        <w:footnoteReference w:id="1"/>
      </w:r>
      <w:r>
        <w:t xml:space="preserve">  We also approved Issues 1A, 2A, 4A and 5A, hedging issues contested by FRF, by bench decision as set forth in Attachment B.  As a result of our bench decisions on these issues, we  approved all issues associated with </w:t>
      </w:r>
      <w:r w:rsidR="00E75ADE">
        <w:t xml:space="preserve">DEF, </w:t>
      </w:r>
      <w:r>
        <w:t>TECO, FPUC</w:t>
      </w:r>
      <w:r w:rsidR="00E75ADE">
        <w:t>,</w:t>
      </w:r>
      <w:r>
        <w:t xml:space="preserve"> </w:t>
      </w:r>
      <w:r w:rsidR="00E75ADE">
        <w:t xml:space="preserve">and </w:t>
      </w:r>
      <w:r>
        <w:t xml:space="preserve">Gulf.  </w:t>
      </w:r>
      <w:r w:rsidR="00E75ADE">
        <w:t>T</w:t>
      </w:r>
      <w:r>
        <w:t>he remaining FPL issues, Issues 2</w:t>
      </w:r>
      <w:r w:rsidR="00337073">
        <w:t>M, 2N, 2P, 2Q, 2R, and 2S</w:t>
      </w:r>
      <w:r w:rsidR="006339AD">
        <w:t>,</w:t>
      </w:r>
      <w:r w:rsidR="00337073">
        <w:t xml:space="preserve"> </w:t>
      </w:r>
      <w:r w:rsidR="00787261">
        <w:t xml:space="preserve">concern </w:t>
      </w:r>
      <w:r w:rsidR="00337073">
        <w:t>FPL’s 2018 and 2019 Solar Base Rate Adjustments (SoBRA).</w:t>
      </w:r>
      <w:r>
        <w:t xml:space="preserve">  </w:t>
      </w:r>
      <w:r w:rsidR="00337073">
        <w:t>FIPUG waived cross examination of FPL’s SoBRA witnesses</w:t>
      </w:r>
      <w:r w:rsidR="00571B18">
        <w:t xml:space="preserve"> but asked to brief these issues.  </w:t>
      </w:r>
      <w:r>
        <w:t xml:space="preserve">FIPUG and FPL filed briefs on the SoBRA issues on </w:t>
      </w:r>
      <w:r w:rsidR="00337073">
        <w:t>November 16, 2018</w:t>
      </w:r>
      <w:r>
        <w:t>.</w:t>
      </w:r>
      <w:r w:rsidR="0001240D">
        <w:t xml:space="preserve">  FIPUG filed a notice of correction of its post-hearing brief for Issues 2O</w:t>
      </w:r>
      <w:r w:rsidR="0001240D">
        <w:rPr>
          <w:rStyle w:val="FootnoteReference"/>
        </w:rPr>
        <w:footnoteReference w:id="2"/>
      </w:r>
      <w:r w:rsidR="0001240D">
        <w:t xml:space="preserve"> and 2P on November 19, 2018. </w:t>
      </w:r>
      <w:r>
        <w:t xml:space="preserve"> </w:t>
      </w:r>
    </w:p>
    <w:p w:rsidR="00005D0F" w:rsidRDefault="00005D0F" w:rsidP="00005D0F">
      <w:pPr>
        <w:pStyle w:val="CenterUnderline"/>
        <w:jc w:val="both"/>
        <w:rPr>
          <w:u w:val="none"/>
        </w:rPr>
      </w:pPr>
      <w:r w:rsidRPr="00337073">
        <w:rPr>
          <w:sz w:val="23"/>
          <w:szCs w:val="23"/>
          <w:u w:val="none"/>
        </w:rPr>
        <w:tab/>
        <w:t>We have</w:t>
      </w:r>
      <w:r w:rsidRPr="00337073">
        <w:rPr>
          <w:u w:val="none"/>
        </w:rPr>
        <w:t xml:space="preserve"> jurisdiction over this subject matter pursuant to the provisions of Chapter 366, Florida Statutes (F.S.), including Sections 366.04, 366.05, and 366.06, F.S.</w:t>
      </w:r>
    </w:p>
    <w:p w:rsidR="00571B18" w:rsidRDefault="00571B18" w:rsidP="00005D0F">
      <w:pPr>
        <w:pStyle w:val="CenterUnderline"/>
        <w:jc w:val="both"/>
        <w:rPr>
          <w:u w:val="none"/>
        </w:rPr>
      </w:pPr>
    </w:p>
    <w:p w:rsidR="00571B18" w:rsidRDefault="00571B18" w:rsidP="00005D0F">
      <w:pPr>
        <w:pStyle w:val="CenterUnderline"/>
        <w:jc w:val="both"/>
        <w:rPr>
          <w:b/>
          <w:u w:val="none"/>
        </w:rPr>
      </w:pPr>
      <w:r>
        <w:rPr>
          <w:b/>
          <w:u w:val="none"/>
        </w:rPr>
        <w:t>SoBRA PROJECT</w:t>
      </w:r>
      <w:r w:rsidR="005C341C">
        <w:rPr>
          <w:b/>
          <w:u w:val="none"/>
        </w:rPr>
        <w:t>S</w:t>
      </w:r>
    </w:p>
    <w:p w:rsidR="00571B18" w:rsidRDefault="00571B18" w:rsidP="00005D0F">
      <w:pPr>
        <w:pStyle w:val="CenterUnderline"/>
        <w:jc w:val="both"/>
        <w:rPr>
          <w:b/>
          <w:u w:val="none"/>
        </w:rPr>
      </w:pPr>
    </w:p>
    <w:p w:rsidR="00097C97" w:rsidRDefault="0001240D" w:rsidP="00097C97">
      <w:pPr>
        <w:pStyle w:val="BodyText"/>
        <w:spacing w:after="0"/>
        <w:jc w:val="both"/>
        <w:rPr>
          <w:color w:val="000000"/>
        </w:rPr>
      </w:pPr>
      <w:r>
        <w:rPr>
          <w:b/>
        </w:rPr>
        <w:tab/>
      </w:r>
      <w:r w:rsidR="00097C97">
        <w:t xml:space="preserve">Issues 2M, 2N, 2P, 2Q, 2R, and 2S, are company-specific issues pertaining to solar generation </w:t>
      </w:r>
      <w:r w:rsidR="00097C97">
        <w:rPr>
          <w:bCs/>
        </w:rPr>
        <w:t xml:space="preserve">base rate adjustment (SoBRA) </w:t>
      </w:r>
      <w:r w:rsidR="00097C97">
        <w:t>considerations</w:t>
      </w:r>
      <w:r w:rsidR="00097C97">
        <w:rPr>
          <w:bCs/>
        </w:rPr>
        <w:t xml:space="preserve">.   Issues 2M and 2N address the recovery of construction costs for solar generation facilities that were recently constructed, and are currently operating.  Issues </w:t>
      </w:r>
      <w:r w:rsidR="00097C97">
        <w:t>2P, 2Q, 2R, and 2S</w:t>
      </w:r>
      <w:r w:rsidR="00097C97">
        <w:rPr>
          <w:bCs/>
        </w:rPr>
        <w:t xml:space="preserve"> pertain to FPL’s </w:t>
      </w:r>
      <w:r w:rsidR="00097C97">
        <w:t>Miami-Dade, Interstate, Pioneer Trail, and Sunshine Gateway</w:t>
      </w:r>
      <w:r w:rsidR="00097C97">
        <w:rPr>
          <w:bCs/>
        </w:rPr>
        <w:t xml:space="preserve"> solar generation facilities which are currently being constructed and scheduled to be operati</w:t>
      </w:r>
      <w:r w:rsidR="00A66B99">
        <w:rPr>
          <w:bCs/>
        </w:rPr>
        <w:t>onal</w:t>
      </w:r>
      <w:r w:rsidR="00097C97">
        <w:rPr>
          <w:bCs/>
        </w:rPr>
        <w:t xml:space="preserve"> on March 1, 2019 (2019 SoBRA projects). Collectively, all of the SoBRA-related issues relate to </w:t>
      </w:r>
      <w:r w:rsidR="00097C97">
        <w:rPr>
          <w:color w:val="000000"/>
        </w:rPr>
        <w:t>FPL’s 2016 rate case Stipulation and Settlement Agreement approved by Order No. PSC-2016-0560-AS-EI (the 2016 Agreement).</w:t>
      </w:r>
      <w:r w:rsidR="00097C97">
        <w:rPr>
          <w:rStyle w:val="FootnoteReference"/>
          <w:rFonts w:eastAsiaTheme="minorHAnsi"/>
          <w:color w:val="000000"/>
        </w:rPr>
        <w:footnoteReference w:id="3"/>
      </w:r>
      <w:r w:rsidR="00097C97">
        <w:rPr>
          <w:color w:val="000000"/>
        </w:rPr>
        <w:t xml:space="preserve"> </w:t>
      </w:r>
    </w:p>
    <w:p w:rsidR="00097C97" w:rsidRDefault="00097C97" w:rsidP="00097C97">
      <w:pPr>
        <w:pStyle w:val="BodyText"/>
        <w:spacing w:after="0"/>
        <w:jc w:val="both"/>
        <w:rPr>
          <w:color w:val="000000"/>
        </w:rPr>
      </w:pPr>
    </w:p>
    <w:p w:rsidR="00097C97" w:rsidRDefault="00097C97" w:rsidP="00097C97">
      <w:pPr>
        <w:jc w:val="both"/>
      </w:pPr>
      <w:r>
        <w:tab/>
        <w:t xml:space="preserve">With regard to </w:t>
      </w:r>
      <w:r w:rsidR="005C341C">
        <w:t xml:space="preserve">all of the SoBR issues, </w:t>
      </w:r>
      <w:r>
        <w:t>Issues 2M, 2N, 2Q, 2R and 2S, FIPUG has made several arguments in its brief.  First, that the Commission is specifically required by statute to make findings that the 2018 and 2019 solar projects for which cost recovery is sought are both prudent and needed.</w:t>
      </w:r>
      <w:r w:rsidR="00CC335C">
        <w:t xml:space="preserve">  </w:t>
      </w:r>
      <w:r>
        <w:t>Second, that Commission approval of a negotiated settlement agreement executed by a limited number of parties cannot substitute for the required findings of prudence and need.</w:t>
      </w:r>
      <w:r w:rsidR="00CC335C">
        <w:t xml:space="preserve">  </w:t>
      </w:r>
      <w:r>
        <w:t>Third, that the use of projected carbon dioxide (CO</w:t>
      </w:r>
      <w:r>
        <w:rPr>
          <w:vertAlign w:val="subscript"/>
        </w:rPr>
        <w:t>2</w:t>
      </w:r>
      <w:r>
        <w:t>) tax costs in FPL’s cost effectiveness analysis is improper for two reasons: no carbon dioxide tax is currently imposed, nor likely to be imposed in the future, and the carbon dioxide tax amount is based on uncorroborated hearsay.</w:t>
      </w:r>
      <w:r w:rsidR="00CC335C">
        <w:t xml:space="preserve">  </w:t>
      </w:r>
      <w:r>
        <w:t xml:space="preserve">Fourth, that recovery of capital costs through the fuel cost recovery docket is improper. </w:t>
      </w:r>
    </w:p>
    <w:p w:rsidR="00097C97" w:rsidRDefault="00097C97" w:rsidP="00097C97">
      <w:pPr>
        <w:jc w:val="both"/>
      </w:pPr>
    </w:p>
    <w:p w:rsidR="00097C97" w:rsidRDefault="00097C97" w:rsidP="00097C97">
      <w:pPr>
        <w:jc w:val="both"/>
      </w:pPr>
      <w:r>
        <w:tab/>
        <w:t>FIPUG’s first and second arguments are essentially attempts to revive two issues previously raised by FIPUG and excluded by the Prehearing Officer at the Prehearing Conference.</w:t>
      </w:r>
      <w:r>
        <w:rPr>
          <w:rStyle w:val="FootnoteReference"/>
          <w:rFonts w:eastAsiaTheme="minorHAnsi"/>
        </w:rPr>
        <w:footnoteReference w:id="4"/>
      </w:r>
      <w:r>
        <w:t xml:space="preserve">    </w:t>
      </w:r>
      <w:r w:rsidR="005C341C">
        <w:t>We find that n</w:t>
      </w:r>
      <w:r>
        <w:t>othing has changed since the Prehearing Conference and the determination that the terms of FPL’s 2016 Agreement, approved by Order No. PSC-2016-0560-</w:t>
      </w:r>
      <w:r>
        <w:lastRenderedPageBreak/>
        <w:t>AS-EI,</w:t>
      </w:r>
      <w:r>
        <w:rPr>
          <w:rStyle w:val="FootnoteReference"/>
          <w:rFonts w:eastAsiaTheme="minorHAnsi"/>
        </w:rPr>
        <w:footnoteReference w:id="5"/>
      </w:r>
      <w:r>
        <w:t xml:space="preserve"> control and limit the issues regarding FPL’s solar generation projects to the cost-effectiveness issues stated in Issues 2P, 2Q, 2R and 2S</w:t>
      </w:r>
      <w:r w:rsidR="006700B5">
        <w:t>,</w:t>
      </w:r>
      <w:r>
        <w:t xml:space="preserve"> continues to be valid.</w:t>
      </w:r>
      <w:r>
        <w:rPr>
          <w:rStyle w:val="FootnoteReference"/>
          <w:rFonts w:eastAsiaTheme="minorHAnsi"/>
        </w:rPr>
        <w:footnoteReference w:id="6"/>
      </w:r>
      <w:r>
        <w:t xml:space="preserve">  One could also conclude that FIPUG’s arguments are an attempt to collaterally attack Order No. PSC-2016-0560-AS-EI’s approval of the SoBRA process outlined therein.</w:t>
      </w:r>
      <w:r w:rsidR="006700B5">
        <w:t xml:space="preserve">  </w:t>
      </w:r>
      <w:r w:rsidR="005C341C">
        <w:t xml:space="preserve">However, </w:t>
      </w:r>
      <w:r>
        <w:t xml:space="preserve">FIPUG, as a party to the 2016 rate case, had an opportunity to appeal Order No. PSC-2016-0560-AS-EI and failed to do so.  </w:t>
      </w:r>
      <w:r w:rsidR="005C341C">
        <w:t xml:space="preserve">Thus, we find that </w:t>
      </w:r>
      <w:r>
        <w:t xml:space="preserve">FIPUG’s right to contest the 2016 Agreement, and any of its terms and conditions, has passed.  FIPUG’s third argument will be addressed </w:t>
      </w:r>
      <w:r w:rsidR="005C341C">
        <w:t>below</w:t>
      </w:r>
      <w:r>
        <w:t>.</w:t>
      </w:r>
    </w:p>
    <w:p w:rsidR="00097C97" w:rsidRDefault="00097C97" w:rsidP="00097C97">
      <w:pPr>
        <w:jc w:val="both"/>
      </w:pPr>
    </w:p>
    <w:p w:rsidR="00097C97" w:rsidRDefault="00097C97" w:rsidP="00097C97">
      <w:pPr>
        <w:autoSpaceDE w:val="0"/>
        <w:autoSpaceDN w:val="0"/>
        <w:adjustRightInd w:val="0"/>
        <w:jc w:val="both"/>
      </w:pPr>
      <w:r>
        <w:tab/>
        <w:t xml:space="preserve">FIPUG’s fourth argument appears to be that use of the fuel cost recovery clause factors to recover FPL’s proposed solar generation capital costs is improper.  However, FPL is not seeking to recover its proposed solar generation capital costs through fuel charge factors.  As the 2016 Agreement clearly states, the capital costs associated with the proposed solar generation projects are </w:t>
      </w:r>
      <w:r w:rsidRPr="00911B15">
        <w:t>rate base adjustments</w:t>
      </w:r>
      <w:r>
        <w:rPr>
          <w:b/>
        </w:rPr>
        <w:t xml:space="preserve"> </w:t>
      </w:r>
      <w:r>
        <w:t>which are made to FPL’s books at the time the solar projects are placed into service.</w:t>
      </w:r>
      <w:r>
        <w:rPr>
          <w:rStyle w:val="FootnoteReference"/>
          <w:rFonts w:eastAsiaTheme="minorHAnsi"/>
        </w:rPr>
        <w:footnoteReference w:id="7"/>
      </w:r>
      <w:r>
        <w:t xml:space="preserve">  We agree with FPL that the fuel cost recovery docket was simply used for administrative and procedural efficiency since it is an annual proceeding with a relatively fixed filing schedule.</w:t>
      </w:r>
      <w:r w:rsidR="00CC335C">
        <w:t xml:space="preserve">  </w:t>
      </w:r>
      <w:r>
        <w:t xml:space="preserve">Further, </w:t>
      </w:r>
      <w:r w:rsidR="005C341C">
        <w:t xml:space="preserve">we note that </w:t>
      </w:r>
      <w:r>
        <w:t>if the filing schedule for the fuel cost recovery docket is used, increases in base rates as a result of the approval of SoBRA projects can be coordinated with projected fuel costs which include those units.</w:t>
      </w:r>
    </w:p>
    <w:p w:rsidR="00097C97" w:rsidRDefault="00097C97" w:rsidP="00097C97">
      <w:pPr>
        <w:pStyle w:val="BodyText"/>
        <w:spacing w:after="0"/>
      </w:pPr>
    </w:p>
    <w:p w:rsidR="00F14D82" w:rsidRDefault="00F14D82" w:rsidP="00097C97">
      <w:pPr>
        <w:pStyle w:val="BodyText"/>
        <w:spacing w:after="0"/>
        <w:rPr>
          <w:u w:val="single"/>
        </w:rPr>
      </w:pPr>
      <w:r>
        <w:tab/>
      </w:r>
      <w:r>
        <w:rPr>
          <w:u w:val="single"/>
        </w:rPr>
        <w:t>2017 SoBRA Projects</w:t>
      </w:r>
    </w:p>
    <w:p w:rsidR="00F14D82" w:rsidRPr="00F14D82" w:rsidRDefault="00F14D82" w:rsidP="00097C97">
      <w:pPr>
        <w:pStyle w:val="BodyText"/>
        <w:spacing w:after="0"/>
        <w:rPr>
          <w:u w:val="single"/>
        </w:rPr>
      </w:pPr>
    </w:p>
    <w:p w:rsidR="00097C97" w:rsidRDefault="005C341C" w:rsidP="00AA0B3C">
      <w:pPr>
        <w:pStyle w:val="BodyText"/>
        <w:spacing w:after="0"/>
        <w:jc w:val="both"/>
      </w:pPr>
      <w:r>
        <w:tab/>
      </w:r>
      <w:r w:rsidR="00AA0B3C">
        <w:t>With regard to Issue 2M, calculation of a revised SoBRA factor for the 2017 projects that reflect the</w:t>
      </w:r>
      <w:r w:rsidR="00AA59B4">
        <w:t>ir</w:t>
      </w:r>
      <w:r w:rsidR="00AA0B3C">
        <w:t xml:space="preserve"> actual construction costs, FPL</w:t>
      </w:r>
      <w:r w:rsidR="00193D97">
        <w:t xml:space="preserve"> </w:t>
      </w:r>
      <w:r w:rsidR="00AA0B3C">
        <w:t>testified that final construction costs for the 2017 SoBRA Project are not yet known, and, therefore, cannot be resolved in this hearing cycle.  FPL further testified that the calculation and resulting factor could be addressed in 2019.  FPL stated that although not final, preliminary information indicates that final costs will be lower than the cost estimates that were used to develop the projected revenue requirements and cost recovery factors for these projects</w:t>
      </w:r>
      <w:r w:rsidR="00AA0B3C" w:rsidRPr="006A2BEF">
        <w:t>.</w:t>
      </w:r>
      <w:r w:rsidR="00AA0B3C">
        <w:t xml:space="preserve">  Pursuant to Paragraph 10(g) of the 2016 Agreement, if</w:t>
      </w:r>
      <w:r w:rsidR="00AA0B3C" w:rsidRPr="00AC02CE">
        <w:t xml:space="preserve"> </w:t>
      </w:r>
      <w:r w:rsidR="00AA0B3C" w:rsidRPr="00AA0B3C">
        <w:t xml:space="preserve">actual </w:t>
      </w:r>
      <w:r w:rsidR="00AA0B3C" w:rsidRPr="00AC02CE">
        <w:t>capital expenditures are less than the projected costs used to develop the initial SoBR</w:t>
      </w:r>
      <w:r w:rsidR="00AA0B3C">
        <w:t>A factor, the lower figure will</w:t>
      </w:r>
      <w:r w:rsidR="00AA0B3C" w:rsidRPr="00AC02CE">
        <w:t xml:space="preserve"> be the basis for the full revenue requirements</w:t>
      </w:r>
      <w:r w:rsidR="00AA0B3C">
        <w:t>,</w:t>
      </w:r>
      <w:r w:rsidR="00AA0B3C" w:rsidRPr="00AC02CE">
        <w:t xml:space="preserve"> and a one-time cre</w:t>
      </w:r>
      <w:r w:rsidR="00AA0B3C">
        <w:t xml:space="preserve">dit will be made through the Capacity Cost </w:t>
      </w:r>
      <w:r w:rsidR="00AA0B3C" w:rsidRPr="00AC02CE">
        <w:t>Clause.</w:t>
      </w:r>
      <w:r w:rsidR="00AA0B3C">
        <w:t xml:space="preserve"> </w:t>
      </w:r>
      <w:r w:rsidR="00AA59B4">
        <w:t xml:space="preserve"> FIPUG </w:t>
      </w:r>
      <w:r w:rsidR="00CC335C">
        <w:t xml:space="preserve">neither </w:t>
      </w:r>
      <w:r w:rsidR="00F14D82">
        <w:t>sponsor</w:t>
      </w:r>
      <w:r w:rsidR="00CC335C">
        <w:t>ed</w:t>
      </w:r>
      <w:r w:rsidR="00F14D82">
        <w:t xml:space="preserve"> a witness on this issue </w:t>
      </w:r>
      <w:r w:rsidR="00CC335C">
        <w:t>n</w:t>
      </w:r>
      <w:r w:rsidR="00F14D82">
        <w:t xml:space="preserve">or </w:t>
      </w:r>
      <w:r w:rsidR="00AA59B4">
        <w:t>specifically address</w:t>
      </w:r>
      <w:r w:rsidR="006700B5">
        <w:t>ed</w:t>
      </w:r>
      <w:r w:rsidR="00AA59B4">
        <w:t xml:space="preserve"> </w:t>
      </w:r>
      <w:r w:rsidR="00F14D82">
        <w:t xml:space="preserve">this issue in </w:t>
      </w:r>
      <w:r w:rsidR="00AA59B4">
        <w:t xml:space="preserve">its post-hearing brief.  Due to the fact that it is uncontroverted that the information </w:t>
      </w:r>
      <w:r w:rsidR="00F14D82">
        <w:t xml:space="preserve">needed </w:t>
      </w:r>
      <w:r w:rsidR="00AA59B4">
        <w:t>is not yet available to calculate a final SoBRA factor for the 2017 projects, we find that this issue is not ripe for consideration at this time</w:t>
      </w:r>
      <w:r w:rsidR="00F14D82">
        <w:t xml:space="preserve"> and shall be addressed in the 20190001-EI docket.</w:t>
      </w:r>
    </w:p>
    <w:p w:rsidR="00097C97" w:rsidRDefault="00097C97" w:rsidP="00097C97">
      <w:pPr>
        <w:pStyle w:val="BodyText"/>
        <w:spacing w:after="0"/>
        <w:jc w:val="both"/>
      </w:pPr>
    </w:p>
    <w:p w:rsidR="00193D97" w:rsidRDefault="00193D97">
      <w:r>
        <w:br w:type="page"/>
      </w:r>
    </w:p>
    <w:p w:rsidR="00F14D82" w:rsidRDefault="00F14D82" w:rsidP="00097C97">
      <w:pPr>
        <w:pStyle w:val="BodyText"/>
        <w:spacing w:after="0"/>
        <w:jc w:val="both"/>
        <w:rPr>
          <w:u w:val="single"/>
        </w:rPr>
      </w:pPr>
      <w:r>
        <w:lastRenderedPageBreak/>
        <w:tab/>
      </w:r>
      <w:r>
        <w:rPr>
          <w:u w:val="single"/>
        </w:rPr>
        <w:t>2018 SoBRA Projects</w:t>
      </w:r>
    </w:p>
    <w:p w:rsidR="00F14D82" w:rsidRPr="00F14D82" w:rsidRDefault="00F14D82" w:rsidP="00097C97">
      <w:pPr>
        <w:pStyle w:val="BodyText"/>
        <w:spacing w:after="0"/>
        <w:jc w:val="both"/>
        <w:rPr>
          <w:u w:val="single"/>
        </w:rPr>
      </w:pPr>
    </w:p>
    <w:p w:rsidR="00F14D82" w:rsidRDefault="00AA59B4" w:rsidP="00F14D82">
      <w:pPr>
        <w:pStyle w:val="BodyText"/>
        <w:spacing w:after="0"/>
        <w:jc w:val="both"/>
      </w:pPr>
      <w:r>
        <w:tab/>
        <w:t xml:space="preserve">Issue 2N concerns the calculation of a revised SoBRA factor for the 2018 projects that reflect their actual construction costs.  </w:t>
      </w:r>
      <w:r w:rsidR="00CC335C">
        <w:t xml:space="preserve">Like </w:t>
      </w:r>
      <w:r>
        <w:t>the 2017 SoBRA projects, FPL testified that the construction costs for the 2018 SoBRA projects are also not yet final.</w:t>
      </w:r>
      <w:r w:rsidR="00F14D82">
        <w:t xml:space="preserve">  FIPUG also did not</w:t>
      </w:r>
      <w:r>
        <w:t xml:space="preserve"> </w:t>
      </w:r>
      <w:r w:rsidR="00F14D82">
        <w:t>sponsor a witness on this issue or specifically address this issue in its post-hearing brief.   That being the case, we find that the calculation of a final SoBRA factor for the 2018 projects</w:t>
      </w:r>
      <w:r w:rsidR="006700B5">
        <w:t xml:space="preserve"> </w:t>
      </w:r>
      <w:r w:rsidR="00F14D82">
        <w:t>is not ripe for consideration at this time and shall also be addressed in the 20190001-EI docket.</w:t>
      </w:r>
    </w:p>
    <w:p w:rsidR="00F14D82" w:rsidRDefault="00F14D82" w:rsidP="00F14D82">
      <w:pPr>
        <w:pStyle w:val="BodyText"/>
        <w:spacing w:after="0"/>
        <w:jc w:val="both"/>
      </w:pPr>
    </w:p>
    <w:p w:rsidR="00097C97" w:rsidRDefault="00F14D82" w:rsidP="00F14D82">
      <w:pPr>
        <w:pStyle w:val="BodyText"/>
        <w:spacing w:after="0"/>
        <w:jc w:val="both"/>
        <w:rPr>
          <w:u w:val="single"/>
        </w:rPr>
      </w:pPr>
      <w:r>
        <w:tab/>
      </w:r>
      <w:r w:rsidR="00CC335C">
        <w:rPr>
          <w:u w:val="single"/>
        </w:rPr>
        <w:t>2019 SoBRA projects</w:t>
      </w:r>
    </w:p>
    <w:p w:rsidR="00CC335C" w:rsidRDefault="00CC335C" w:rsidP="00F14D82">
      <w:pPr>
        <w:pStyle w:val="BodyText"/>
        <w:spacing w:after="0"/>
        <w:jc w:val="both"/>
        <w:rPr>
          <w:u w:val="single"/>
        </w:rPr>
      </w:pPr>
    </w:p>
    <w:p w:rsidR="00CC335C" w:rsidRDefault="00CC335C" w:rsidP="00C579AE">
      <w:r w:rsidRPr="00C579AE">
        <w:t>2016 Settlement Agreement</w:t>
      </w:r>
    </w:p>
    <w:p w:rsidR="00C579AE" w:rsidRPr="00C579AE" w:rsidRDefault="00C579AE" w:rsidP="00CC335C">
      <w:pPr>
        <w:pStyle w:val="BodyText"/>
        <w:spacing w:after="0"/>
        <w:ind w:firstLine="720"/>
      </w:pPr>
    </w:p>
    <w:p w:rsidR="00CC335C" w:rsidRPr="00BF5801" w:rsidRDefault="00C579AE" w:rsidP="00C579AE">
      <w:pPr>
        <w:pStyle w:val="BodyText"/>
        <w:spacing w:after="0"/>
        <w:jc w:val="both"/>
        <w:rPr>
          <w:rFonts w:ascii="Arial" w:hAnsi="Arial" w:cs="Arial"/>
          <w:b/>
          <w:i/>
        </w:rPr>
      </w:pPr>
      <w:r>
        <w:tab/>
      </w:r>
      <w:r w:rsidR="00CC335C">
        <w:t xml:space="preserve">The 2019 solar generation projects </w:t>
      </w:r>
      <w:r w:rsidR="00CC335C" w:rsidRPr="00B85ACE">
        <w:t xml:space="preserve">for which FPL is seeking approval </w:t>
      </w:r>
      <w:r w:rsidR="00CC335C">
        <w:t>for</w:t>
      </w:r>
      <w:r w:rsidR="00CC335C" w:rsidRPr="00B85ACE">
        <w:t xml:space="preserve"> cost recovery are </w:t>
      </w:r>
      <w:r w:rsidR="00CC335C">
        <w:t>specifically provided for in the</w:t>
      </w:r>
      <w:r w:rsidR="00CC335C" w:rsidRPr="00B85ACE">
        <w:t xml:space="preserve"> 2016 Agreement approved by Order No. PSC-16-0560-AS-EI.</w:t>
      </w:r>
      <w:r w:rsidR="00CC335C" w:rsidRPr="00B85ACE">
        <w:rPr>
          <w:rStyle w:val="FootnoteReference"/>
          <w:rFonts w:eastAsiaTheme="minorHAnsi"/>
        </w:rPr>
        <w:footnoteReference w:id="8"/>
      </w:r>
      <w:r w:rsidR="00CC335C">
        <w:t xml:space="preserve"> </w:t>
      </w:r>
      <w:r>
        <w:t xml:space="preserve"> </w:t>
      </w:r>
      <w:r w:rsidR="00CC335C" w:rsidRPr="00B85ACE">
        <w:t>The 2016 Agreement allows FPL to construct up to 300 MW per calendar year of solar capacity during the period 2017-2021 and to recover through base rates the incremental annualized base revenue requirement for those facilities for the first 12 months of operation commencing when the facilities are placed into service.</w:t>
      </w:r>
      <w:r w:rsidR="00CC335C" w:rsidRPr="00B85ACE">
        <w:rPr>
          <w:rStyle w:val="FootnoteReference"/>
          <w:rFonts w:eastAsiaTheme="minorHAnsi"/>
        </w:rPr>
        <w:footnoteReference w:id="9"/>
      </w:r>
      <w:r w:rsidR="00CC335C" w:rsidRPr="00B85ACE">
        <w:t xml:space="preserve"> </w:t>
      </w:r>
      <w:r>
        <w:t xml:space="preserve"> </w:t>
      </w:r>
      <w:r w:rsidR="00CC335C" w:rsidRPr="00B85ACE">
        <w:t xml:space="preserve">There are several conditions that must be met for recovery in this case. </w:t>
      </w:r>
      <w:r>
        <w:t xml:space="preserve"> </w:t>
      </w:r>
      <w:r w:rsidR="00CC335C" w:rsidRPr="00B85ACE">
        <w:t xml:space="preserve">First, FPL must request recovery for these projects during the term of the 2016 Agreement, or prior to December 31, 2020. </w:t>
      </w:r>
      <w:r>
        <w:t xml:space="preserve"> </w:t>
      </w:r>
      <w:r w:rsidR="00CC335C" w:rsidRPr="00B85ACE">
        <w:t>Second, the cost of the components, engineering, and construction for any solar project is capped at $1,750 kW</w:t>
      </w:r>
      <w:r w:rsidR="00CC335C" w:rsidRPr="00B85ACE">
        <w:rPr>
          <w:vertAlign w:val="subscript"/>
        </w:rPr>
        <w:t>ac</w:t>
      </w:r>
      <w:r w:rsidR="00CC335C">
        <w:t xml:space="preserve">. </w:t>
      </w:r>
      <w:r>
        <w:t xml:space="preserve"> </w:t>
      </w:r>
      <w:r w:rsidR="00CC335C" w:rsidRPr="00B85ACE">
        <w:t>Third, for projects less than 75 MW (as are all of the projects proposed in this case): 1) the request for base rate recovery must be filed in the Fuel Clause docket as part of its final true-up filing; and 2) the issues are “limited to the cost effectiveness of each such project (i.e., will the project lower the projected system CPVRR as compared to each CPVRR without the solar project) and the amount of revenue requirements and appropriate percentage in base rates needed to collect the estimated revenue requirements.”</w:t>
      </w:r>
      <w:r w:rsidR="00CC335C" w:rsidRPr="00B85ACE">
        <w:rPr>
          <w:rStyle w:val="FootnoteReference"/>
          <w:rFonts w:eastAsiaTheme="minorHAnsi"/>
        </w:rPr>
        <w:footnoteReference w:id="10"/>
      </w:r>
      <w:r w:rsidR="00CC335C" w:rsidRPr="00B85ACE">
        <w:t xml:space="preserve"> </w:t>
      </w:r>
      <w:r>
        <w:t xml:space="preserve"> </w:t>
      </w:r>
      <w:r w:rsidR="00CC335C" w:rsidRPr="00B85ACE">
        <w:t>If the project meets these requirements, the terms of the 2016 Agreement have been met.</w:t>
      </w:r>
    </w:p>
    <w:p w:rsidR="00CC335C" w:rsidRPr="00B85ACE" w:rsidRDefault="00CC335C" w:rsidP="00C579AE">
      <w:pPr>
        <w:pStyle w:val="BodyText"/>
        <w:spacing w:after="0"/>
        <w:jc w:val="both"/>
      </w:pPr>
    </w:p>
    <w:p w:rsidR="00CC335C" w:rsidRDefault="00CC335C" w:rsidP="005E1449">
      <w:r w:rsidRPr="005E1449">
        <w:t xml:space="preserve">Project Descriptions </w:t>
      </w:r>
    </w:p>
    <w:p w:rsidR="005E1449" w:rsidRPr="005E1449" w:rsidRDefault="005E1449" w:rsidP="005E1449"/>
    <w:p w:rsidR="00CC335C" w:rsidRDefault="004A4511" w:rsidP="00C579AE">
      <w:pPr>
        <w:pStyle w:val="BodyText"/>
        <w:spacing w:after="0"/>
        <w:jc w:val="both"/>
      </w:pPr>
      <w:r>
        <w:tab/>
      </w:r>
      <w:r w:rsidR="00CC335C">
        <w:t>FPL witnesses Brannen and Enjamio provided testimony and exhibits concerning FPL’s proposed 2019 SoBRA projects, including cost effectiveness and the ability to meet the $1,750 per kW</w:t>
      </w:r>
      <w:r w:rsidR="00CC335C" w:rsidRPr="002A170F">
        <w:rPr>
          <w:vertAlign w:val="subscript"/>
        </w:rPr>
        <w:t>ac</w:t>
      </w:r>
      <w:r w:rsidR="00CC335C">
        <w:rPr>
          <w:vertAlign w:val="subscript"/>
        </w:rPr>
        <w:t xml:space="preserve"> </w:t>
      </w:r>
      <w:r w:rsidR="00CC335C">
        <w:t>cost cap.</w:t>
      </w:r>
      <w:r w:rsidR="005E1449">
        <w:t xml:space="preserve">  </w:t>
      </w:r>
      <w:r w:rsidR="00CC335C">
        <w:t>As described in the testimony of witness Enjamio,</w:t>
      </w:r>
      <w:r w:rsidR="00CC335C" w:rsidRPr="00F458AD">
        <w:t xml:space="preserve"> </w:t>
      </w:r>
      <w:r w:rsidR="00CC335C">
        <w:t>FPL is proposing to construct and operate four solar generation centers with a total nameplate capacity of 298 MW</w:t>
      </w:r>
      <w:r w:rsidR="00CC335C" w:rsidRPr="00375173">
        <w:rPr>
          <w:vertAlign w:val="subscript"/>
        </w:rPr>
        <w:t>ac</w:t>
      </w:r>
      <w:r w:rsidR="00CC335C">
        <w:t xml:space="preserve"> (each project is 74.5 MW</w:t>
      </w:r>
      <w:r w:rsidR="00CC335C" w:rsidRPr="003B5572">
        <w:rPr>
          <w:vertAlign w:val="subscript"/>
        </w:rPr>
        <w:t>ac</w:t>
      </w:r>
      <w:r w:rsidR="00CC335C">
        <w:t>) with an in-service date of March 1, 2019.</w:t>
      </w:r>
      <w:r w:rsidR="005E1449">
        <w:t xml:space="preserve">  </w:t>
      </w:r>
      <w:r w:rsidR="00CC335C">
        <w:t xml:space="preserve">Construction of the 2019 SoBRA projects began on </w:t>
      </w:r>
      <w:r w:rsidR="00CC335C" w:rsidRPr="005B7630">
        <w:t>September 29, 201</w:t>
      </w:r>
      <w:r w:rsidR="00CC335C">
        <w:t>7.</w:t>
      </w:r>
      <w:r w:rsidR="005E1449">
        <w:t xml:space="preserve">   </w:t>
      </w:r>
      <w:r w:rsidR="00CC335C">
        <w:t xml:space="preserve">The proposed 2019 SoBRA projects are fixed-tilt systems with an average projected first year net capacity factor of </w:t>
      </w:r>
      <w:r w:rsidR="00CC335C" w:rsidRPr="009D0279">
        <w:t>26.5</w:t>
      </w:r>
      <w:r w:rsidR="00CC335C">
        <w:t xml:space="preserve"> percent. </w:t>
      </w:r>
      <w:r w:rsidR="005E1449">
        <w:t xml:space="preserve"> </w:t>
      </w:r>
      <w:r w:rsidR="00CC335C">
        <w:t xml:space="preserve">There are no </w:t>
      </w:r>
      <w:r w:rsidR="00CC335C">
        <w:lastRenderedPageBreak/>
        <w:t>upgrades to existing transmission infrastructure required as part of the construction of the 2019 SoBRA projects.</w:t>
      </w:r>
    </w:p>
    <w:p w:rsidR="00CC335C" w:rsidRDefault="00CC335C" w:rsidP="00CC335C">
      <w:pPr>
        <w:pStyle w:val="BodyText"/>
        <w:spacing w:after="0"/>
      </w:pPr>
    </w:p>
    <w:p w:rsidR="00CC335C" w:rsidRDefault="005E1449" w:rsidP="005E1449">
      <w:pPr>
        <w:pStyle w:val="BodyText"/>
        <w:spacing w:after="0"/>
        <w:jc w:val="both"/>
      </w:pPr>
      <w:r>
        <w:tab/>
      </w:r>
      <w:r w:rsidR="00CC335C">
        <w:t xml:space="preserve">The four proposed construction sites for the 2019 SoBRA projects are Miami-Dade in Miami-Dade County, Interstate in St. Lucie County, Pioneer Trail in Volusia County and Sunshine Gateway in Columbia County. </w:t>
      </w:r>
      <w:r>
        <w:t xml:space="preserve">  </w:t>
      </w:r>
      <w:r w:rsidR="00CC335C">
        <w:t>All parcels are new purchases, and the land costs are included in the cost of the 2019 SoBRA projects.</w:t>
      </w:r>
      <w:r>
        <w:t xml:space="preserve">  N</w:t>
      </w:r>
      <w:r w:rsidR="00CC335C">
        <w:t xml:space="preserve">ot all land for the four newly purchased sites was being used for the 2019 solar generation projects. </w:t>
      </w:r>
      <w:r>
        <w:t xml:space="preserve"> </w:t>
      </w:r>
      <w:r w:rsidR="00CC335C">
        <w:t xml:space="preserve">In response to </w:t>
      </w:r>
      <w:r>
        <w:t>Commission staff discovery requests</w:t>
      </w:r>
      <w:r w:rsidR="00CC335C">
        <w:t xml:space="preserve">, it was disclosed that unused areas could include both usable and unusable areas for future solar development. </w:t>
      </w:r>
      <w:r>
        <w:t xml:space="preserve"> </w:t>
      </w:r>
      <w:r w:rsidR="00CC335C">
        <w:t xml:space="preserve">To develop a better understanding of the ratio of land that could be used for future development, </w:t>
      </w:r>
      <w:r>
        <w:t xml:space="preserve">Commission </w:t>
      </w:r>
      <w:r w:rsidR="00CC335C">
        <w:t xml:space="preserve">staff requested a more detailed breakdown of each site. </w:t>
      </w:r>
      <w:r>
        <w:t xml:space="preserve"> </w:t>
      </w:r>
      <w:r w:rsidR="00CC335C">
        <w:t xml:space="preserve">This breakdown included four categories: total acreage, acreage used by the projects (Site Acreage), non-usable land, and usable land. </w:t>
      </w:r>
      <w:r>
        <w:t xml:space="preserve"> </w:t>
      </w:r>
      <w:r w:rsidR="00CC335C">
        <w:t xml:space="preserve">Usable land consists of property that could possibly be used for future solar developments on the site, and for sites with adequate amounts of usable land, FPL will consider leasing land to third parties. </w:t>
      </w:r>
      <w:r>
        <w:t xml:space="preserve"> </w:t>
      </w:r>
      <w:r w:rsidR="00CC335C">
        <w:t xml:space="preserve">Any revenue from the usable land leased to third parties will be credited to FPL ratepayers via an offset to the revenue requirement associated with the 2019 solar generation projects. </w:t>
      </w:r>
      <w:r>
        <w:t xml:space="preserve"> </w:t>
      </w:r>
      <w:r w:rsidR="00CC335C">
        <w:t>The land usage of each site is illustrated in Table 1:</w:t>
      </w:r>
    </w:p>
    <w:p w:rsidR="00CC335C" w:rsidRPr="007F1B23" w:rsidRDefault="00CC335C" w:rsidP="00CC335C">
      <w:pPr>
        <w:pStyle w:val="TableNumber"/>
        <w:keepNext/>
        <w:spacing w:before="0"/>
        <w:rPr>
          <w:rFonts w:ascii="Times New Roman" w:hAnsi="Times New Roman"/>
          <w:b w:val="0"/>
        </w:rPr>
      </w:pPr>
      <w:r w:rsidRPr="007F1B23">
        <w:rPr>
          <w:rFonts w:ascii="Times New Roman" w:hAnsi="Times New Roman"/>
          <w:b w:val="0"/>
        </w:rPr>
        <w:t>Table 1</w:t>
      </w:r>
    </w:p>
    <w:p w:rsidR="00CC335C" w:rsidRPr="007F1B23" w:rsidRDefault="00CC335C" w:rsidP="00CC335C">
      <w:pPr>
        <w:pStyle w:val="TableTitle"/>
        <w:keepNext/>
        <w:rPr>
          <w:rFonts w:ascii="Times New Roman" w:hAnsi="Times New Roman"/>
          <w:b w:val="0"/>
        </w:rPr>
      </w:pPr>
      <w:r w:rsidRPr="007F1B23">
        <w:rPr>
          <w:rFonts w:ascii="Times New Roman" w:hAnsi="Times New Roman"/>
          <w:b w:val="0"/>
        </w:rPr>
        <w:t>Land Usage</w:t>
      </w:r>
    </w:p>
    <w:tbl>
      <w:tblPr>
        <w:tblStyle w:val="TableGrid"/>
        <w:tblW w:w="0" w:type="auto"/>
        <w:tblLook w:val="04A0" w:firstRow="1" w:lastRow="0" w:firstColumn="1" w:lastColumn="0" w:noHBand="0" w:noVBand="1"/>
      </w:tblPr>
      <w:tblGrid>
        <w:gridCol w:w="1915"/>
        <w:gridCol w:w="1915"/>
        <w:gridCol w:w="1915"/>
        <w:gridCol w:w="1915"/>
        <w:gridCol w:w="1916"/>
      </w:tblGrid>
      <w:tr w:rsidR="00CC335C" w:rsidTr="00CC335C">
        <w:tc>
          <w:tcPr>
            <w:tcW w:w="1915" w:type="dxa"/>
            <w:vAlign w:val="bottom"/>
          </w:tcPr>
          <w:p w:rsidR="00CC335C" w:rsidRPr="00A071FF" w:rsidRDefault="00CC335C" w:rsidP="00CC335C">
            <w:pPr>
              <w:jc w:val="center"/>
              <w:rPr>
                <w:b/>
              </w:rPr>
            </w:pPr>
            <w:r w:rsidRPr="00A071FF">
              <w:rPr>
                <w:b/>
              </w:rPr>
              <w:t>Site Name</w:t>
            </w:r>
          </w:p>
        </w:tc>
        <w:tc>
          <w:tcPr>
            <w:tcW w:w="1915" w:type="dxa"/>
          </w:tcPr>
          <w:p w:rsidR="00CC335C" w:rsidRPr="00A071FF" w:rsidRDefault="00CC335C" w:rsidP="00CC335C">
            <w:pPr>
              <w:jc w:val="center"/>
              <w:rPr>
                <w:b/>
              </w:rPr>
            </w:pPr>
            <w:r w:rsidRPr="00A071FF">
              <w:rPr>
                <w:b/>
              </w:rPr>
              <w:t>Total Acreage (acres)</w:t>
            </w:r>
          </w:p>
        </w:tc>
        <w:tc>
          <w:tcPr>
            <w:tcW w:w="1915" w:type="dxa"/>
          </w:tcPr>
          <w:p w:rsidR="00CC335C" w:rsidRPr="00A071FF" w:rsidRDefault="00CC335C" w:rsidP="00CC335C">
            <w:pPr>
              <w:jc w:val="center"/>
              <w:rPr>
                <w:b/>
              </w:rPr>
            </w:pPr>
            <w:r w:rsidRPr="00A071FF">
              <w:rPr>
                <w:b/>
              </w:rPr>
              <w:t>Site Acreage  (acres)</w:t>
            </w:r>
          </w:p>
        </w:tc>
        <w:tc>
          <w:tcPr>
            <w:tcW w:w="1915" w:type="dxa"/>
          </w:tcPr>
          <w:p w:rsidR="00CC335C" w:rsidRPr="00A071FF" w:rsidRDefault="00CC335C" w:rsidP="00CC335C">
            <w:pPr>
              <w:jc w:val="center"/>
              <w:rPr>
                <w:b/>
              </w:rPr>
            </w:pPr>
            <w:r w:rsidRPr="00A071FF">
              <w:rPr>
                <w:b/>
              </w:rPr>
              <w:t>Non-Usable Land (acres)</w:t>
            </w:r>
          </w:p>
        </w:tc>
        <w:tc>
          <w:tcPr>
            <w:tcW w:w="1916" w:type="dxa"/>
          </w:tcPr>
          <w:p w:rsidR="00CC335C" w:rsidRPr="00A071FF" w:rsidRDefault="00CC335C" w:rsidP="00CC335C">
            <w:pPr>
              <w:jc w:val="center"/>
              <w:rPr>
                <w:b/>
              </w:rPr>
            </w:pPr>
            <w:r w:rsidRPr="00A071FF">
              <w:rPr>
                <w:b/>
              </w:rPr>
              <w:t>Usable Land (acres)</w:t>
            </w:r>
          </w:p>
        </w:tc>
      </w:tr>
      <w:tr w:rsidR="00CC335C" w:rsidTr="00CC335C">
        <w:tc>
          <w:tcPr>
            <w:tcW w:w="1915" w:type="dxa"/>
          </w:tcPr>
          <w:p w:rsidR="00CC335C" w:rsidRDefault="00CC335C" w:rsidP="00CC335C">
            <w:pPr>
              <w:jc w:val="center"/>
            </w:pPr>
            <w:r>
              <w:t>Miami-Dade</w:t>
            </w:r>
          </w:p>
        </w:tc>
        <w:tc>
          <w:tcPr>
            <w:tcW w:w="1915" w:type="dxa"/>
          </w:tcPr>
          <w:p w:rsidR="00CC335C" w:rsidRDefault="00CC335C" w:rsidP="00CC335C">
            <w:pPr>
              <w:jc w:val="center"/>
            </w:pPr>
            <w:r w:rsidRPr="0099076F">
              <w:t>465.1</w:t>
            </w:r>
          </w:p>
        </w:tc>
        <w:tc>
          <w:tcPr>
            <w:tcW w:w="1915" w:type="dxa"/>
          </w:tcPr>
          <w:p w:rsidR="00CC335C" w:rsidRDefault="00CC335C" w:rsidP="00CC335C">
            <w:pPr>
              <w:jc w:val="center"/>
            </w:pPr>
            <w:r w:rsidRPr="0099076F">
              <w:t>425.1</w:t>
            </w:r>
          </w:p>
        </w:tc>
        <w:tc>
          <w:tcPr>
            <w:tcW w:w="1915" w:type="dxa"/>
          </w:tcPr>
          <w:p w:rsidR="00CC335C" w:rsidRDefault="00CC335C" w:rsidP="00CC335C">
            <w:pPr>
              <w:jc w:val="center"/>
            </w:pPr>
            <w:r>
              <w:t>0</w:t>
            </w:r>
          </w:p>
        </w:tc>
        <w:tc>
          <w:tcPr>
            <w:tcW w:w="1916" w:type="dxa"/>
          </w:tcPr>
          <w:p w:rsidR="00CC335C" w:rsidRDefault="00CC335C" w:rsidP="00CC335C">
            <w:pPr>
              <w:jc w:val="center"/>
            </w:pPr>
            <w:r w:rsidRPr="0099076F">
              <w:t>40.0</w:t>
            </w:r>
          </w:p>
        </w:tc>
      </w:tr>
      <w:tr w:rsidR="00CC335C" w:rsidTr="00CC335C">
        <w:tc>
          <w:tcPr>
            <w:tcW w:w="1915" w:type="dxa"/>
          </w:tcPr>
          <w:p w:rsidR="00CC335C" w:rsidRDefault="00CC335C" w:rsidP="00CC335C">
            <w:pPr>
              <w:jc w:val="center"/>
            </w:pPr>
            <w:r>
              <w:t>Interstate</w:t>
            </w:r>
          </w:p>
        </w:tc>
        <w:tc>
          <w:tcPr>
            <w:tcW w:w="1915" w:type="dxa"/>
          </w:tcPr>
          <w:p w:rsidR="00CC335C" w:rsidRDefault="00CC335C" w:rsidP="00CC335C">
            <w:pPr>
              <w:jc w:val="center"/>
            </w:pPr>
            <w:r>
              <w:t>539.0</w:t>
            </w:r>
          </w:p>
        </w:tc>
        <w:tc>
          <w:tcPr>
            <w:tcW w:w="1915" w:type="dxa"/>
          </w:tcPr>
          <w:p w:rsidR="00CC335C" w:rsidRDefault="00CC335C" w:rsidP="00CC335C">
            <w:pPr>
              <w:jc w:val="center"/>
            </w:pPr>
            <w:r w:rsidRPr="0099076F">
              <w:t>522.8</w:t>
            </w:r>
          </w:p>
        </w:tc>
        <w:tc>
          <w:tcPr>
            <w:tcW w:w="1915" w:type="dxa"/>
          </w:tcPr>
          <w:p w:rsidR="00CC335C" w:rsidRDefault="00CC335C" w:rsidP="00CC335C">
            <w:pPr>
              <w:jc w:val="center"/>
            </w:pPr>
            <w:r w:rsidRPr="0099076F">
              <w:t>16.2</w:t>
            </w:r>
          </w:p>
        </w:tc>
        <w:tc>
          <w:tcPr>
            <w:tcW w:w="1916" w:type="dxa"/>
          </w:tcPr>
          <w:p w:rsidR="00CC335C" w:rsidRDefault="00CC335C" w:rsidP="00CC335C">
            <w:pPr>
              <w:jc w:val="center"/>
            </w:pPr>
            <w:r>
              <w:t>0</w:t>
            </w:r>
          </w:p>
        </w:tc>
      </w:tr>
      <w:tr w:rsidR="00CC335C" w:rsidTr="00CC335C">
        <w:tc>
          <w:tcPr>
            <w:tcW w:w="1915" w:type="dxa"/>
          </w:tcPr>
          <w:p w:rsidR="00CC335C" w:rsidRDefault="00CC335C" w:rsidP="00CC335C">
            <w:pPr>
              <w:jc w:val="center"/>
            </w:pPr>
            <w:r>
              <w:t>Pioneer Trail</w:t>
            </w:r>
          </w:p>
        </w:tc>
        <w:tc>
          <w:tcPr>
            <w:tcW w:w="1915" w:type="dxa"/>
          </w:tcPr>
          <w:p w:rsidR="00CC335C" w:rsidRDefault="00CC335C" w:rsidP="00CC335C">
            <w:pPr>
              <w:jc w:val="center"/>
            </w:pPr>
            <w:r w:rsidRPr="0099076F">
              <w:t>1,189.6</w:t>
            </w:r>
          </w:p>
        </w:tc>
        <w:tc>
          <w:tcPr>
            <w:tcW w:w="1915" w:type="dxa"/>
          </w:tcPr>
          <w:p w:rsidR="00CC335C" w:rsidRDefault="00CC335C" w:rsidP="00CC335C">
            <w:pPr>
              <w:jc w:val="center"/>
            </w:pPr>
            <w:r w:rsidRPr="0099076F">
              <w:t>438.6</w:t>
            </w:r>
          </w:p>
        </w:tc>
        <w:tc>
          <w:tcPr>
            <w:tcW w:w="1915" w:type="dxa"/>
          </w:tcPr>
          <w:p w:rsidR="00CC335C" w:rsidRDefault="00CC335C" w:rsidP="00CC335C">
            <w:pPr>
              <w:tabs>
                <w:tab w:val="left" w:pos="617"/>
                <w:tab w:val="center" w:pos="849"/>
              </w:tabs>
              <w:jc w:val="center"/>
            </w:pPr>
            <w:r w:rsidRPr="0099076F">
              <w:t>398</w:t>
            </w:r>
            <w:r>
              <w:t>.0</w:t>
            </w:r>
          </w:p>
        </w:tc>
        <w:tc>
          <w:tcPr>
            <w:tcW w:w="1916" w:type="dxa"/>
          </w:tcPr>
          <w:p w:rsidR="00CC335C" w:rsidRDefault="00CC335C" w:rsidP="00CC335C">
            <w:pPr>
              <w:jc w:val="center"/>
            </w:pPr>
            <w:r>
              <w:rPr>
                <w:sz w:val="23"/>
                <w:szCs w:val="23"/>
              </w:rPr>
              <w:t>353.0</w:t>
            </w:r>
          </w:p>
        </w:tc>
      </w:tr>
      <w:tr w:rsidR="00CC335C" w:rsidTr="00CC335C">
        <w:tc>
          <w:tcPr>
            <w:tcW w:w="1915" w:type="dxa"/>
          </w:tcPr>
          <w:p w:rsidR="00CC335C" w:rsidRDefault="00CC335C" w:rsidP="00CC335C">
            <w:pPr>
              <w:jc w:val="center"/>
            </w:pPr>
            <w:r>
              <w:t xml:space="preserve">Sunshine </w:t>
            </w:r>
          </w:p>
        </w:tc>
        <w:tc>
          <w:tcPr>
            <w:tcW w:w="1915" w:type="dxa"/>
          </w:tcPr>
          <w:p w:rsidR="00CC335C" w:rsidRDefault="00CC335C" w:rsidP="00CC335C">
            <w:pPr>
              <w:jc w:val="center"/>
            </w:pPr>
            <w:r w:rsidRPr="00F2742B">
              <w:t>954.4</w:t>
            </w:r>
          </w:p>
        </w:tc>
        <w:tc>
          <w:tcPr>
            <w:tcW w:w="1915" w:type="dxa"/>
          </w:tcPr>
          <w:p w:rsidR="00CC335C" w:rsidRDefault="00CC335C" w:rsidP="00CC335C">
            <w:pPr>
              <w:jc w:val="center"/>
            </w:pPr>
            <w:r w:rsidRPr="00F2742B">
              <w:t>547.2</w:t>
            </w:r>
          </w:p>
        </w:tc>
        <w:tc>
          <w:tcPr>
            <w:tcW w:w="1915" w:type="dxa"/>
          </w:tcPr>
          <w:p w:rsidR="00CC335C" w:rsidRDefault="00CC335C" w:rsidP="00CC335C">
            <w:pPr>
              <w:jc w:val="center"/>
            </w:pPr>
            <w:r w:rsidRPr="00F2742B">
              <w:t>407.2</w:t>
            </w:r>
          </w:p>
        </w:tc>
        <w:tc>
          <w:tcPr>
            <w:tcW w:w="1916" w:type="dxa"/>
          </w:tcPr>
          <w:p w:rsidR="00CC335C" w:rsidRDefault="00CC335C" w:rsidP="00CC335C">
            <w:pPr>
              <w:jc w:val="center"/>
            </w:pPr>
            <w:r>
              <w:t>0</w:t>
            </w:r>
          </w:p>
        </w:tc>
      </w:tr>
    </w:tbl>
    <w:p w:rsidR="00CC335C" w:rsidRDefault="00CC335C" w:rsidP="00CC335C">
      <w:pPr>
        <w:pStyle w:val="TableSource"/>
        <w:spacing w:after="0"/>
        <w:rPr>
          <w:sz w:val="20"/>
          <w:szCs w:val="20"/>
        </w:rPr>
      </w:pPr>
      <w:r>
        <w:t xml:space="preserve">  </w:t>
      </w:r>
      <w:r w:rsidRPr="00D31B76">
        <w:rPr>
          <w:sz w:val="20"/>
          <w:szCs w:val="20"/>
        </w:rPr>
        <w:t xml:space="preserve">Source: </w:t>
      </w:r>
      <w:r w:rsidRPr="0099076F">
        <w:rPr>
          <w:sz w:val="20"/>
          <w:szCs w:val="20"/>
        </w:rPr>
        <w:t>EXH 76, 77</w:t>
      </w:r>
    </w:p>
    <w:p w:rsidR="00CC335C" w:rsidRPr="007154B2" w:rsidRDefault="00CC335C" w:rsidP="00CC335C">
      <w:pPr>
        <w:pStyle w:val="BodyText"/>
        <w:spacing w:after="0"/>
      </w:pPr>
    </w:p>
    <w:p w:rsidR="00CC335C" w:rsidRPr="005E1449" w:rsidRDefault="00CC335C" w:rsidP="00CC335C">
      <w:pPr>
        <w:pStyle w:val="First-LevelSubheading"/>
        <w:rPr>
          <w:rFonts w:ascii="Times New Roman" w:hAnsi="Times New Roman" w:cs="Times New Roman"/>
          <w:b w:val="0"/>
          <w:u w:val="single"/>
        </w:rPr>
      </w:pPr>
      <w:r w:rsidRPr="005E1449">
        <w:rPr>
          <w:rFonts w:ascii="Times New Roman" w:hAnsi="Times New Roman" w:cs="Times New Roman"/>
          <w:b w:val="0"/>
          <w:u w:val="single"/>
        </w:rPr>
        <w:t>2019 Solar Generation Projects Evaluation</w:t>
      </w:r>
    </w:p>
    <w:p w:rsidR="005E1449" w:rsidRDefault="005E1449" w:rsidP="005E1449"/>
    <w:p w:rsidR="00CC335C" w:rsidRDefault="00CC335C" w:rsidP="005E1449">
      <w:r>
        <w:t>Economic Assumptions</w:t>
      </w:r>
    </w:p>
    <w:p w:rsidR="005E1449" w:rsidRPr="005E1449" w:rsidRDefault="005E1449" w:rsidP="005E1449">
      <w:pPr>
        <w:pStyle w:val="BodyText"/>
      </w:pPr>
    </w:p>
    <w:p w:rsidR="00CC335C" w:rsidRDefault="005E1449" w:rsidP="00CC335C">
      <w:pPr>
        <w:jc w:val="both"/>
      </w:pPr>
      <w:r>
        <w:tab/>
      </w:r>
      <w:r w:rsidR="00CC335C">
        <w:t>The resource planning document filed with FPL’s petition included FPL’s three reliability criteria: 20 percent total reserve margin, 10 percent generation-only reserve margin (GRM)</w:t>
      </w:r>
      <w:r w:rsidR="00A66B99">
        <w:t>,</w:t>
      </w:r>
      <w:r w:rsidR="00CC335C">
        <w:t xml:space="preserve"> and loss of load probability. </w:t>
      </w:r>
      <w:r>
        <w:t xml:space="preserve"> </w:t>
      </w:r>
      <w:r w:rsidR="00CC335C">
        <w:t xml:space="preserve">Because FPL’s GRM criterion has not been relied upon by </w:t>
      </w:r>
      <w:r>
        <w:t xml:space="preserve">us </w:t>
      </w:r>
      <w:r w:rsidR="00CC335C">
        <w:t>in previous proceedings, a revised resource planning document that did not incorporate the GRM criterion in the 2019 SoBRA project resource planning</w:t>
      </w:r>
      <w:r>
        <w:t xml:space="preserve"> was requested by Commission staff</w:t>
      </w:r>
      <w:r w:rsidR="00CC335C">
        <w:t xml:space="preserve">. </w:t>
      </w:r>
      <w:r>
        <w:t xml:space="preserve"> </w:t>
      </w:r>
      <w:r w:rsidR="00CC335C" w:rsidRPr="00571A64">
        <w:t>FPL</w:t>
      </w:r>
      <w:r w:rsidR="00CC335C">
        <w:t>’s</w:t>
      </w:r>
      <w:r w:rsidR="00CC335C" w:rsidRPr="00571A64">
        <w:t xml:space="preserve"> </w:t>
      </w:r>
      <w:r w:rsidR="00CC335C">
        <w:t>revised resource planning document includes two</w:t>
      </w:r>
      <w:r w:rsidR="00CC335C" w:rsidRPr="00571A64">
        <w:t xml:space="preserve"> resource plans </w:t>
      </w:r>
      <w:r w:rsidR="00CC335C">
        <w:t>that</w:t>
      </w:r>
      <w:r w:rsidR="00CC335C" w:rsidRPr="00571A64">
        <w:t xml:space="preserve"> form the basis of the co</w:t>
      </w:r>
      <w:r w:rsidR="00CC335C">
        <w:t>st effectiveness analysis that the Company</w:t>
      </w:r>
      <w:r w:rsidR="00CC335C" w:rsidRPr="00571A64">
        <w:t xml:space="preserve"> performed. </w:t>
      </w:r>
      <w:r>
        <w:t xml:space="preserve"> </w:t>
      </w:r>
      <w:r w:rsidR="00CC335C" w:rsidRPr="00571A64">
        <w:t xml:space="preserve">These two resource plans are called the No Solar Plan and </w:t>
      </w:r>
      <w:r w:rsidR="00CC335C">
        <w:t>2019</w:t>
      </w:r>
      <w:r w:rsidR="00CC335C" w:rsidRPr="00571A64">
        <w:t xml:space="preserve"> Solar Plan. </w:t>
      </w:r>
      <w:r>
        <w:t xml:space="preserve"> </w:t>
      </w:r>
      <w:r w:rsidR="00CC335C" w:rsidRPr="00571A64">
        <w:t>The No Solar Plan</w:t>
      </w:r>
      <w:r w:rsidR="00CC335C">
        <w:t xml:space="preserve"> includes the 2017 and 2018 SoBRA projects</w:t>
      </w:r>
      <w:r w:rsidR="00CC335C" w:rsidRPr="00571A64">
        <w:t xml:space="preserve"> </w:t>
      </w:r>
      <w:r w:rsidR="00CC335C">
        <w:t xml:space="preserve">and </w:t>
      </w:r>
      <w:r w:rsidR="00CC335C" w:rsidRPr="00571A64">
        <w:t>assumes that</w:t>
      </w:r>
      <w:r w:rsidR="00CC335C">
        <w:t xml:space="preserve"> further</w:t>
      </w:r>
      <w:r w:rsidR="00CC335C" w:rsidRPr="00571A64">
        <w:t xml:space="preserve"> resource needs will be met by combined cycle</w:t>
      </w:r>
      <w:r w:rsidR="00CC335C">
        <w:t xml:space="preserve"> (CC)</w:t>
      </w:r>
      <w:r w:rsidR="00CC335C" w:rsidRPr="00571A64">
        <w:t xml:space="preserve"> units and short term purchase power agreements (PPAs) through </w:t>
      </w:r>
      <w:r w:rsidR="00CC335C">
        <w:t>the year 2031</w:t>
      </w:r>
      <w:r w:rsidR="00CC335C" w:rsidRPr="00571A64">
        <w:t xml:space="preserve">. </w:t>
      </w:r>
      <w:r>
        <w:t xml:space="preserve"> </w:t>
      </w:r>
      <w:r w:rsidR="00CC335C" w:rsidRPr="00571A64">
        <w:t xml:space="preserve">The </w:t>
      </w:r>
      <w:r w:rsidR="00CC335C">
        <w:t>2019</w:t>
      </w:r>
      <w:r w:rsidR="00CC335C" w:rsidRPr="00571A64">
        <w:t xml:space="preserve"> Solar Plan</w:t>
      </w:r>
      <w:r w:rsidR="00CC335C">
        <w:t xml:space="preserve"> includes the 2017 and 2018 SoBRA projects and</w:t>
      </w:r>
      <w:r w:rsidR="00CC335C" w:rsidRPr="00571A64">
        <w:t xml:space="preserve"> takes into accou</w:t>
      </w:r>
      <w:r w:rsidR="00CC335C">
        <w:t>nt the four 2019 SoBRA projects, which initially defer</w:t>
      </w:r>
      <w:r w:rsidR="00CC335C" w:rsidRPr="00571A64">
        <w:t xml:space="preserve"> the </w:t>
      </w:r>
      <w:r w:rsidR="00CC335C">
        <w:t>2028</w:t>
      </w:r>
      <w:r w:rsidR="00CC335C" w:rsidRPr="00571A64">
        <w:t xml:space="preserve"> </w:t>
      </w:r>
      <w:r w:rsidR="00CC335C">
        <w:t>CC</w:t>
      </w:r>
      <w:r w:rsidR="00CC335C" w:rsidRPr="00571A64">
        <w:t xml:space="preserve"> unit</w:t>
      </w:r>
      <w:r w:rsidR="00CC335C">
        <w:t xml:space="preserve"> and reduces the size of the CC unit projected for 2031.</w:t>
      </w:r>
      <w:r w:rsidR="00CC335C" w:rsidRPr="00571A64">
        <w:t xml:space="preserve"> </w:t>
      </w:r>
      <w:r>
        <w:t xml:space="preserve"> </w:t>
      </w:r>
      <w:r w:rsidR="00CC335C">
        <w:t>This resource plan is shown in Table 2:</w:t>
      </w:r>
    </w:p>
    <w:p w:rsidR="00CC335C" w:rsidRPr="007F1B23" w:rsidRDefault="00CC335C" w:rsidP="00CC335C">
      <w:pPr>
        <w:jc w:val="center"/>
      </w:pPr>
      <w:r w:rsidRPr="007F1B23">
        <w:lastRenderedPageBreak/>
        <w:t>Table 2</w:t>
      </w:r>
    </w:p>
    <w:p w:rsidR="00CC335C" w:rsidRDefault="00CC335C" w:rsidP="00CC335C">
      <w:pPr>
        <w:pStyle w:val="TableTitle"/>
        <w:keepNext/>
      </w:pPr>
      <w:r w:rsidRPr="007F1B23">
        <w:rPr>
          <w:rFonts w:ascii="Times New Roman" w:hAnsi="Times New Roman"/>
          <w:b w:val="0"/>
        </w:rPr>
        <w:t>Resource Plan (w/o GRM)</w:t>
      </w:r>
    </w:p>
    <w:tbl>
      <w:tblPr>
        <w:tblStyle w:val="TableGrid"/>
        <w:tblW w:w="0" w:type="auto"/>
        <w:jc w:val="center"/>
        <w:tblInd w:w="-1245" w:type="dxa"/>
        <w:tblLook w:val="04A0" w:firstRow="1" w:lastRow="0" w:firstColumn="1" w:lastColumn="0" w:noHBand="0" w:noVBand="1"/>
      </w:tblPr>
      <w:tblGrid>
        <w:gridCol w:w="2595"/>
        <w:gridCol w:w="3172"/>
        <w:gridCol w:w="3426"/>
      </w:tblGrid>
      <w:tr w:rsidR="00CC335C" w:rsidTr="00CC335C">
        <w:trPr>
          <w:jc w:val="center"/>
        </w:trPr>
        <w:tc>
          <w:tcPr>
            <w:tcW w:w="2595" w:type="dxa"/>
          </w:tcPr>
          <w:p w:rsidR="00CC335C" w:rsidRPr="00D31B76" w:rsidRDefault="00CC335C" w:rsidP="00CC335C">
            <w:pPr>
              <w:jc w:val="center"/>
              <w:rPr>
                <w:b/>
              </w:rPr>
            </w:pPr>
            <w:r w:rsidRPr="00D31B76">
              <w:rPr>
                <w:b/>
              </w:rPr>
              <w:t>Year</w:t>
            </w:r>
          </w:p>
        </w:tc>
        <w:tc>
          <w:tcPr>
            <w:tcW w:w="3172" w:type="dxa"/>
          </w:tcPr>
          <w:p w:rsidR="00CC335C" w:rsidRPr="00D31B76" w:rsidRDefault="00CC335C" w:rsidP="00CC335C">
            <w:pPr>
              <w:jc w:val="center"/>
              <w:rPr>
                <w:b/>
              </w:rPr>
            </w:pPr>
            <w:r w:rsidRPr="00D31B76">
              <w:rPr>
                <w:b/>
              </w:rPr>
              <w:t>No Solar Resource Plan</w:t>
            </w:r>
          </w:p>
        </w:tc>
        <w:tc>
          <w:tcPr>
            <w:tcW w:w="3426" w:type="dxa"/>
          </w:tcPr>
          <w:p w:rsidR="00CC335C" w:rsidRPr="00D31B76" w:rsidRDefault="00CC335C" w:rsidP="00CC335C">
            <w:pPr>
              <w:jc w:val="center"/>
              <w:rPr>
                <w:b/>
              </w:rPr>
            </w:pPr>
            <w:r>
              <w:rPr>
                <w:b/>
              </w:rPr>
              <w:t>2019</w:t>
            </w:r>
            <w:r w:rsidRPr="00D31B76">
              <w:rPr>
                <w:b/>
              </w:rPr>
              <w:t xml:space="preserve"> Solar Resource Plan</w:t>
            </w:r>
          </w:p>
        </w:tc>
      </w:tr>
      <w:tr w:rsidR="00CC335C" w:rsidTr="00CC335C">
        <w:trPr>
          <w:jc w:val="center"/>
        </w:trPr>
        <w:tc>
          <w:tcPr>
            <w:tcW w:w="2595" w:type="dxa"/>
          </w:tcPr>
          <w:p w:rsidR="00CC335C" w:rsidRDefault="00CC335C" w:rsidP="00CC335C">
            <w:pPr>
              <w:jc w:val="center"/>
            </w:pPr>
            <w:r>
              <w:t>2018</w:t>
            </w:r>
          </w:p>
        </w:tc>
        <w:tc>
          <w:tcPr>
            <w:tcW w:w="3172" w:type="dxa"/>
          </w:tcPr>
          <w:p w:rsidR="00CC335C" w:rsidRDefault="00CC335C" w:rsidP="00CC335C">
            <w:pPr>
              <w:jc w:val="center"/>
            </w:pPr>
            <w:r>
              <w:t>2017/2018 596 MW SoBRA</w:t>
            </w:r>
          </w:p>
        </w:tc>
        <w:tc>
          <w:tcPr>
            <w:tcW w:w="3426" w:type="dxa"/>
          </w:tcPr>
          <w:p w:rsidR="00CC335C" w:rsidRDefault="00CC335C" w:rsidP="00CC335C">
            <w:pPr>
              <w:jc w:val="center"/>
            </w:pPr>
            <w:r>
              <w:t>2017/2018 596 MW SoBRA</w:t>
            </w:r>
          </w:p>
        </w:tc>
      </w:tr>
      <w:tr w:rsidR="00CC335C" w:rsidTr="00CC335C">
        <w:trPr>
          <w:jc w:val="center"/>
        </w:trPr>
        <w:tc>
          <w:tcPr>
            <w:tcW w:w="2595" w:type="dxa"/>
            <w:vAlign w:val="center"/>
          </w:tcPr>
          <w:p w:rsidR="00CC335C" w:rsidRDefault="00CC335C" w:rsidP="00CC335C">
            <w:pPr>
              <w:jc w:val="center"/>
            </w:pPr>
            <w:r>
              <w:t>2019</w:t>
            </w:r>
          </w:p>
        </w:tc>
        <w:tc>
          <w:tcPr>
            <w:tcW w:w="3172" w:type="dxa"/>
            <w:vAlign w:val="center"/>
          </w:tcPr>
          <w:p w:rsidR="00CC335C" w:rsidRDefault="00CC335C" w:rsidP="00CC335C">
            <w:pPr>
              <w:jc w:val="center"/>
            </w:pPr>
            <w:r w:rsidRPr="00702AFB">
              <w:t>Okeechobee Energy Center; 1-year 476 MW PPA</w:t>
            </w:r>
          </w:p>
        </w:tc>
        <w:tc>
          <w:tcPr>
            <w:tcW w:w="3426" w:type="dxa"/>
          </w:tcPr>
          <w:p w:rsidR="00CC335C" w:rsidRDefault="00CC335C" w:rsidP="00CC335C">
            <w:pPr>
              <w:jc w:val="center"/>
            </w:pPr>
            <w:r>
              <w:t xml:space="preserve">2019 298 MW SoBRA; </w:t>
            </w:r>
            <w:r w:rsidRPr="00702AFB">
              <w:t>Okee</w:t>
            </w:r>
            <w:r>
              <w:t>chobee Energy Center; 1-year 311</w:t>
            </w:r>
            <w:r w:rsidRPr="00702AFB">
              <w:t xml:space="preserve"> MW PPA</w:t>
            </w:r>
          </w:p>
        </w:tc>
      </w:tr>
      <w:tr w:rsidR="00CC335C" w:rsidTr="00CC335C">
        <w:trPr>
          <w:jc w:val="center"/>
        </w:trPr>
        <w:tc>
          <w:tcPr>
            <w:tcW w:w="2595" w:type="dxa"/>
          </w:tcPr>
          <w:p w:rsidR="00CC335C" w:rsidRDefault="00CC335C" w:rsidP="00CC335C">
            <w:pPr>
              <w:jc w:val="center"/>
            </w:pPr>
            <w:r>
              <w:t>2020</w:t>
            </w:r>
          </w:p>
        </w:tc>
        <w:tc>
          <w:tcPr>
            <w:tcW w:w="3172" w:type="dxa"/>
          </w:tcPr>
          <w:p w:rsidR="00CC335C" w:rsidRDefault="00CC335C" w:rsidP="00CC335C">
            <w:pPr>
              <w:jc w:val="center"/>
            </w:pPr>
            <w:r>
              <w:t>1- year 470 MW PPA</w:t>
            </w:r>
          </w:p>
        </w:tc>
        <w:tc>
          <w:tcPr>
            <w:tcW w:w="3426" w:type="dxa"/>
          </w:tcPr>
          <w:p w:rsidR="00CC335C" w:rsidRDefault="00CC335C" w:rsidP="00CC335C">
            <w:pPr>
              <w:jc w:val="center"/>
            </w:pPr>
            <w:r>
              <w:t>1- year 305 MW PPA</w:t>
            </w:r>
          </w:p>
        </w:tc>
      </w:tr>
      <w:tr w:rsidR="00CC335C" w:rsidTr="00CC335C">
        <w:trPr>
          <w:jc w:val="center"/>
        </w:trPr>
        <w:tc>
          <w:tcPr>
            <w:tcW w:w="2595" w:type="dxa"/>
          </w:tcPr>
          <w:p w:rsidR="00CC335C" w:rsidRDefault="00CC335C" w:rsidP="00CC335C">
            <w:pPr>
              <w:jc w:val="center"/>
            </w:pPr>
            <w:r>
              <w:t>2021</w:t>
            </w:r>
          </w:p>
        </w:tc>
        <w:tc>
          <w:tcPr>
            <w:tcW w:w="3172" w:type="dxa"/>
          </w:tcPr>
          <w:p w:rsidR="00CC335C" w:rsidRDefault="00CC335C" w:rsidP="00CC335C">
            <w:pPr>
              <w:jc w:val="center"/>
            </w:pPr>
            <w:r>
              <w:t>1- year 717 MW PPA</w:t>
            </w:r>
          </w:p>
        </w:tc>
        <w:tc>
          <w:tcPr>
            <w:tcW w:w="3426" w:type="dxa"/>
          </w:tcPr>
          <w:p w:rsidR="00CC335C" w:rsidRDefault="00CC335C" w:rsidP="00CC335C">
            <w:pPr>
              <w:jc w:val="center"/>
            </w:pPr>
            <w:r>
              <w:t>1- year 553 MW PPA</w:t>
            </w:r>
          </w:p>
        </w:tc>
      </w:tr>
      <w:tr w:rsidR="00CC335C" w:rsidTr="00CC335C">
        <w:trPr>
          <w:jc w:val="center"/>
        </w:trPr>
        <w:tc>
          <w:tcPr>
            <w:tcW w:w="2595" w:type="dxa"/>
          </w:tcPr>
          <w:p w:rsidR="00CC335C" w:rsidRDefault="00CC335C" w:rsidP="00CC335C">
            <w:pPr>
              <w:jc w:val="center"/>
            </w:pPr>
            <w:r>
              <w:t>2022</w:t>
            </w:r>
          </w:p>
        </w:tc>
        <w:tc>
          <w:tcPr>
            <w:tcW w:w="3172" w:type="dxa"/>
          </w:tcPr>
          <w:p w:rsidR="00CC335C" w:rsidRDefault="00CC335C" w:rsidP="00CC335C">
            <w:pPr>
              <w:jc w:val="center"/>
            </w:pPr>
            <w:r>
              <w:t>Dania Beach Energy Center</w:t>
            </w:r>
          </w:p>
        </w:tc>
        <w:tc>
          <w:tcPr>
            <w:tcW w:w="3426" w:type="dxa"/>
          </w:tcPr>
          <w:p w:rsidR="00CC335C" w:rsidRDefault="00CC335C" w:rsidP="00CC335C">
            <w:pPr>
              <w:jc w:val="center"/>
            </w:pPr>
            <w:r>
              <w:t>Dania Beach Energy Center</w:t>
            </w:r>
          </w:p>
        </w:tc>
      </w:tr>
      <w:tr w:rsidR="00CC335C" w:rsidTr="00CC335C">
        <w:trPr>
          <w:jc w:val="center"/>
        </w:trPr>
        <w:tc>
          <w:tcPr>
            <w:tcW w:w="2595" w:type="dxa"/>
          </w:tcPr>
          <w:p w:rsidR="00CC335C" w:rsidRDefault="00CC335C" w:rsidP="00CC335C">
            <w:pPr>
              <w:jc w:val="center"/>
            </w:pPr>
            <w:r>
              <w:t>2023</w:t>
            </w:r>
          </w:p>
        </w:tc>
        <w:tc>
          <w:tcPr>
            <w:tcW w:w="3172" w:type="dxa"/>
          </w:tcPr>
          <w:p w:rsidR="00CC335C" w:rsidRDefault="00CC335C" w:rsidP="00CC335C">
            <w:pPr>
              <w:jc w:val="center"/>
            </w:pPr>
            <w:r>
              <w:t>1- year 215 MW PPA</w:t>
            </w:r>
          </w:p>
        </w:tc>
        <w:tc>
          <w:tcPr>
            <w:tcW w:w="3426" w:type="dxa"/>
          </w:tcPr>
          <w:p w:rsidR="00CC335C" w:rsidRDefault="00CC335C" w:rsidP="00CC335C">
            <w:pPr>
              <w:jc w:val="center"/>
            </w:pPr>
            <w:r>
              <w:t>1- year 52 MW PPA</w:t>
            </w:r>
          </w:p>
        </w:tc>
      </w:tr>
      <w:tr w:rsidR="00CC335C" w:rsidTr="00CC335C">
        <w:trPr>
          <w:jc w:val="center"/>
        </w:trPr>
        <w:tc>
          <w:tcPr>
            <w:tcW w:w="2595" w:type="dxa"/>
          </w:tcPr>
          <w:p w:rsidR="00CC335C" w:rsidRDefault="00CC335C" w:rsidP="00CC335C">
            <w:pPr>
              <w:jc w:val="center"/>
            </w:pPr>
            <w:r>
              <w:t>2024</w:t>
            </w:r>
          </w:p>
        </w:tc>
        <w:tc>
          <w:tcPr>
            <w:tcW w:w="3172" w:type="dxa"/>
          </w:tcPr>
          <w:p w:rsidR="00CC335C" w:rsidRDefault="00CC335C" w:rsidP="00CC335C">
            <w:pPr>
              <w:jc w:val="center"/>
            </w:pPr>
            <w:r>
              <w:t>1 Greenfield 3x1 CC Unit</w:t>
            </w:r>
          </w:p>
        </w:tc>
        <w:tc>
          <w:tcPr>
            <w:tcW w:w="3426" w:type="dxa"/>
          </w:tcPr>
          <w:p w:rsidR="00CC335C" w:rsidRDefault="00CC335C" w:rsidP="00CC335C">
            <w:pPr>
              <w:jc w:val="center"/>
            </w:pPr>
            <w:r>
              <w:t>1 Greenfield 3x1 CC Unit</w:t>
            </w:r>
          </w:p>
        </w:tc>
      </w:tr>
      <w:tr w:rsidR="00CC335C" w:rsidTr="00CC335C">
        <w:trPr>
          <w:jc w:val="center"/>
        </w:trPr>
        <w:tc>
          <w:tcPr>
            <w:tcW w:w="2595" w:type="dxa"/>
          </w:tcPr>
          <w:p w:rsidR="00CC335C" w:rsidRDefault="00CC335C" w:rsidP="00CC335C">
            <w:pPr>
              <w:jc w:val="center"/>
            </w:pPr>
            <w:r>
              <w:t>2025</w:t>
            </w:r>
          </w:p>
        </w:tc>
        <w:tc>
          <w:tcPr>
            <w:tcW w:w="3172" w:type="dxa"/>
          </w:tcPr>
          <w:p w:rsidR="00CC335C" w:rsidRDefault="00CC335C" w:rsidP="00CC335C">
            <w:pPr>
              <w:jc w:val="center"/>
            </w:pPr>
          </w:p>
        </w:tc>
        <w:tc>
          <w:tcPr>
            <w:tcW w:w="3426" w:type="dxa"/>
          </w:tcPr>
          <w:p w:rsidR="00CC335C" w:rsidRDefault="00CC335C" w:rsidP="00CC335C">
            <w:pPr>
              <w:jc w:val="center"/>
            </w:pPr>
          </w:p>
        </w:tc>
      </w:tr>
      <w:tr w:rsidR="00CC335C" w:rsidTr="00CC335C">
        <w:trPr>
          <w:jc w:val="center"/>
        </w:trPr>
        <w:tc>
          <w:tcPr>
            <w:tcW w:w="2595" w:type="dxa"/>
          </w:tcPr>
          <w:p w:rsidR="00CC335C" w:rsidRDefault="00CC335C" w:rsidP="00CC335C">
            <w:pPr>
              <w:jc w:val="center"/>
            </w:pPr>
            <w:r>
              <w:t>2026</w:t>
            </w:r>
          </w:p>
        </w:tc>
        <w:tc>
          <w:tcPr>
            <w:tcW w:w="3172" w:type="dxa"/>
          </w:tcPr>
          <w:p w:rsidR="00CC335C" w:rsidRDefault="00CC335C" w:rsidP="00CC335C">
            <w:pPr>
              <w:jc w:val="center"/>
            </w:pPr>
          </w:p>
        </w:tc>
        <w:tc>
          <w:tcPr>
            <w:tcW w:w="3426" w:type="dxa"/>
          </w:tcPr>
          <w:p w:rsidR="00CC335C" w:rsidRDefault="00CC335C" w:rsidP="00CC335C">
            <w:pPr>
              <w:jc w:val="center"/>
            </w:pPr>
          </w:p>
        </w:tc>
      </w:tr>
      <w:tr w:rsidR="00CC335C" w:rsidTr="00CC335C">
        <w:trPr>
          <w:jc w:val="center"/>
        </w:trPr>
        <w:tc>
          <w:tcPr>
            <w:tcW w:w="2595" w:type="dxa"/>
          </w:tcPr>
          <w:p w:rsidR="00CC335C" w:rsidRDefault="00CC335C" w:rsidP="00CC335C">
            <w:pPr>
              <w:jc w:val="center"/>
            </w:pPr>
            <w:r>
              <w:t>2027</w:t>
            </w:r>
          </w:p>
        </w:tc>
        <w:tc>
          <w:tcPr>
            <w:tcW w:w="3172" w:type="dxa"/>
          </w:tcPr>
          <w:p w:rsidR="00CC335C" w:rsidRDefault="00CC335C" w:rsidP="00CC335C">
            <w:pPr>
              <w:jc w:val="center"/>
            </w:pPr>
            <w:r>
              <w:t>1- year 75 MW PPA</w:t>
            </w:r>
          </w:p>
        </w:tc>
        <w:tc>
          <w:tcPr>
            <w:tcW w:w="3426" w:type="dxa"/>
          </w:tcPr>
          <w:p w:rsidR="00CC335C" w:rsidRDefault="00CC335C" w:rsidP="00CC335C">
            <w:pPr>
              <w:jc w:val="center"/>
            </w:pPr>
          </w:p>
        </w:tc>
      </w:tr>
      <w:tr w:rsidR="00CC335C" w:rsidTr="00CC335C">
        <w:trPr>
          <w:jc w:val="center"/>
        </w:trPr>
        <w:tc>
          <w:tcPr>
            <w:tcW w:w="2595" w:type="dxa"/>
          </w:tcPr>
          <w:p w:rsidR="00CC335C" w:rsidRDefault="00CC335C" w:rsidP="00CC335C">
            <w:pPr>
              <w:jc w:val="center"/>
            </w:pPr>
            <w:r>
              <w:t>2028</w:t>
            </w:r>
          </w:p>
        </w:tc>
        <w:tc>
          <w:tcPr>
            <w:tcW w:w="3172" w:type="dxa"/>
          </w:tcPr>
          <w:p w:rsidR="00CC335C" w:rsidRDefault="00CC335C" w:rsidP="00CC335C">
            <w:pPr>
              <w:jc w:val="center"/>
            </w:pPr>
            <w:r>
              <w:t>1 Greenfield 3x1 CC Unit</w:t>
            </w:r>
          </w:p>
        </w:tc>
        <w:tc>
          <w:tcPr>
            <w:tcW w:w="3426" w:type="dxa"/>
          </w:tcPr>
          <w:p w:rsidR="00CC335C" w:rsidRDefault="00CC335C" w:rsidP="00CC335C">
            <w:pPr>
              <w:jc w:val="center"/>
            </w:pPr>
            <w:r>
              <w:t>1- year 337 MW PPA</w:t>
            </w:r>
          </w:p>
        </w:tc>
      </w:tr>
      <w:tr w:rsidR="00CC335C" w:rsidTr="00CC335C">
        <w:trPr>
          <w:jc w:val="center"/>
        </w:trPr>
        <w:tc>
          <w:tcPr>
            <w:tcW w:w="2595" w:type="dxa"/>
          </w:tcPr>
          <w:p w:rsidR="00CC335C" w:rsidRDefault="00CC335C" w:rsidP="00CC335C">
            <w:pPr>
              <w:jc w:val="center"/>
            </w:pPr>
            <w:r>
              <w:t>2029</w:t>
            </w:r>
          </w:p>
        </w:tc>
        <w:tc>
          <w:tcPr>
            <w:tcW w:w="3172" w:type="dxa"/>
          </w:tcPr>
          <w:p w:rsidR="00CC335C" w:rsidRDefault="00CC335C" w:rsidP="00CC335C">
            <w:pPr>
              <w:jc w:val="center"/>
            </w:pPr>
          </w:p>
        </w:tc>
        <w:tc>
          <w:tcPr>
            <w:tcW w:w="3426" w:type="dxa"/>
          </w:tcPr>
          <w:p w:rsidR="00CC335C" w:rsidRDefault="00CC335C" w:rsidP="00CC335C">
            <w:pPr>
              <w:jc w:val="center"/>
            </w:pPr>
            <w:r>
              <w:t>1 Greenfield 3x1 CC Unit</w:t>
            </w:r>
          </w:p>
        </w:tc>
      </w:tr>
      <w:tr w:rsidR="00CC335C" w:rsidTr="00CC335C">
        <w:trPr>
          <w:jc w:val="center"/>
        </w:trPr>
        <w:tc>
          <w:tcPr>
            <w:tcW w:w="2595" w:type="dxa"/>
          </w:tcPr>
          <w:p w:rsidR="00CC335C" w:rsidRDefault="00CC335C" w:rsidP="00CC335C">
            <w:pPr>
              <w:jc w:val="center"/>
            </w:pPr>
            <w:r>
              <w:t>2030</w:t>
            </w:r>
          </w:p>
        </w:tc>
        <w:tc>
          <w:tcPr>
            <w:tcW w:w="3172" w:type="dxa"/>
          </w:tcPr>
          <w:p w:rsidR="00CC335C" w:rsidRDefault="00CC335C" w:rsidP="00CC335C">
            <w:pPr>
              <w:jc w:val="center"/>
            </w:pPr>
          </w:p>
        </w:tc>
        <w:tc>
          <w:tcPr>
            <w:tcW w:w="3426" w:type="dxa"/>
          </w:tcPr>
          <w:p w:rsidR="00CC335C" w:rsidRDefault="00CC335C" w:rsidP="00CC335C">
            <w:pPr>
              <w:jc w:val="center"/>
            </w:pPr>
          </w:p>
        </w:tc>
      </w:tr>
      <w:tr w:rsidR="00CC335C" w:rsidTr="00CC335C">
        <w:trPr>
          <w:jc w:val="center"/>
        </w:trPr>
        <w:tc>
          <w:tcPr>
            <w:tcW w:w="2595" w:type="dxa"/>
          </w:tcPr>
          <w:p w:rsidR="00CC335C" w:rsidRDefault="00CC335C" w:rsidP="00CC335C">
            <w:pPr>
              <w:jc w:val="center"/>
            </w:pPr>
            <w:r>
              <w:t>2031</w:t>
            </w:r>
          </w:p>
        </w:tc>
        <w:tc>
          <w:tcPr>
            <w:tcW w:w="3172" w:type="dxa"/>
          </w:tcPr>
          <w:p w:rsidR="00CC335C" w:rsidRDefault="00CC335C" w:rsidP="00CC335C">
            <w:pPr>
              <w:jc w:val="center"/>
            </w:pPr>
            <w:r w:rsidRPr="00702AFB">
              <w:t>Equalizing 578 MW CC Uni</w:t>
            </w:r>
            <w:r>
              <w:t>t</w:t>
            </w:r>
          </w:p>
        </w:tc>
        <w:tc>
          <w:tcPr>
            <w:tcW w:w="3426" w:type="dxa"/>
          </w:tcPr>
          <w:p w:rsidR="00CC335C" w:rsidRDefault="00CC335C" w:rsidP="00CC335C">
            <w:pPr>
              <w:jc w:val="center"/>
            </w:pPr>
            <w:r w:rsidRPr="00702AFB">
              <w:t xml:space="preserve">Equalizing </w:t>
            </w:r>
            <w:r>
              <w:t>419</w:t>
            </w:r>
            <w:r w:rsidRPr="00702AFB">
              <w:t xml:space="preserve"> MW CC Unit</w:t>
            </w:r>
          </w:p>
        </w:tc>
      </w:tr>
    </w:tbl>
    <w:p w:rsidR="00CC335C" w:rsidRPr="00D31B76" w:rsidRDefault="00CC335C" w:rsidP="00CC335C">
      <w:pPr>
        <w:pStyle w:val="TableSource"/>
        <w:spacing w:after="0"/>
        <w:rPr>
          <w:sz w:val="20"/>
          <w:szCs w:val="20"/>
        </w:rPr>
      </w:pPr>
      <w:r w:rsidRPr="00D31B76">
        <w:rPr>
          <w:sz w:val="20"/>
          <w:szCs w:val="20"/>
        </w:rPr>
        <w:t xml:space="preserve">     Source: </w:t>
      </w:r>
      <w:r w:rsidRPr="00384BA9">
        <w:rPr>
          <w:sz w:val="20"/>
          <w:szCs w:val="20"/>
        </w:rPr>
        <w:t>EXH 77</w:t>
      </w:r>
      <w:r>
        <w:rPr>
          <w:sz w:val="20"/>
          <w:szCs w:val="20"/>
        </w:rPr>
        <w:t xml:space="preserve"> </w:t>
      </w:r>
    </w:p>
    <w:p w:rsidR="00CC335C" w:rsidRDefault="00CC335C" w:rsidP="00CC335C">
      <w:pPr>
        <w:pStyle w:val="BodyText"/>
        <w:spacing w:after="0"/>
      </w:pPr>
    </w:p>
    <w:p w:rsidR="00CC335C" w:rsidRDefault="005E1449" w:rsidP="00CC335C">
      <w:pPr>
        <w:jc w:val="both"/>
      </w:pPr>
      <w:r>
        <w:tab/>
      </w:r>
      <w:r w:rsidR="00CC335C">
        <w:t>In completing the analysis, FPL considered multiple components to determine cost effectiveness: solar revenue requirements, avoided generation costs, and avoided system costs. For the proposed solar facilities, the revenue requirements included fixed operation and maintenance (O&amp;M), equipment, installation, land cost, and transmission interconnection cost. The avoided generation cost component considered avoided generation capital, avoided fixed O&amp;M, avoided transmission interconnection, avoided capital replaceme</w:t>
      </w:r>
      <w:r w:rsidR="00CC335C" w:rsidRPr="00FB2F78">
        <w:t>nt, incremental gas transport</w:t>
      </w:r>
      <w:r w:rsidR="00CC335C">
        <w:t>,</w:t>
      </w:r>
      <w:r w:rsidR="00CC335C" w:rsidRPr="00FB2F78">
        <w:t xml:space="preserve"> and short-term purchases</w:t>
      </w:r>
      <w:r w:rsidR="00CC335C">
        <w:t xml:space="preserve">. </w:t>
      </w:r>
      <w:r>
        <w:t xml:space="preserve"> </w:t>
      </w:r>
      <w:r w:rsidR="00CC335C" w:rsidRPr="00FB2F78">
        <w:t>The avoided system cost component considers the factors of fuel savings, avoided variable O&amp;M</w:t>
      </w:r>
      <w:r w:rsidR="00CC335C">
        <w:t>,</w:t>
      </w:r>
      <w:r w:rsidR="00CC335C" w:rsidRPr="00FB2F78">
        <w:t xml:space="preserve"> and emission </w:t>
      </w:r>
      <w:r w:rsidR="00CC335C">
        <w:t xml:space="preserve">cost </w:t>
      </w:r>
      <w:r w:rsidR="00CC335C" w:rsidRPr="00FB2F78">
        <w:t xml:space="preserve">savings. </w:t>
      </w:r>
    </w:p>
    <w:p w:rsidR="00CC335C" w:rsidRDefault="00CC335C" w:rsidP="00CC335C">
      <w:pPr>
        <w:pStyle w:val="BodyText"/>
        <w:spacing w:after="0"/>
      </w:pPr>
    </w:p>
    <w:p w:rsidR="00CC335C" w:rsidRDefault="005E1449" w:rsidP="005E1449">
      <w:pPr>
        <w:pStyle w:val="BodyText"/>
        <w:spacing w:after="0"/>
        <w:jc w:val="both"/>
      </w:pPr>
      <w:r>
        <w:tab/>
      </w:r>
      <w:r w:rsidR="00CC335C" w:rsidRPr="00FB2F78">
        <w:t xml:space="preserve">FPL </w:t>
      </w:r>
      <w:r w:rsidR="00CC335C">
        <w:t xml:space="preserve">witness Enjamio </w:t>
      </w:r>
      <w:r w:rsidR="00CC335C" w:rsidRPr="00FB2F78">
        <w:t>stated</w:t>
      </w:r>
      <w:r w:rsidR="00CC335C">
        <w:t xml:space="preserve"> that </w:t>
      </w:r>
      <w:r w:rsidR="00CC335C" w:rsidRPr="00FB2F78">
        <w:t xml:space="preserve">the emission </w:t>
      </w:r>
      <w:r w:rsidR="00CC335C">
        <w:t>cost savings</w:t>
      </w:r>
      <w:r w:rsidR="00CC335C" w:rsidRPr="00FB2F78">
        <w:t xml:space="preserve"> consideration did not incorporate CO</w:t>
      </w:r>
      <w:r w:rsidR="00CC335C" w:rsidRPr="00FB2F78">
        <w:rPr>
          <w:vertAlign w:val="subscript"/>
        </w:rPr>
        <w:t xml:space="preserve">2 </w:t>
      </w:r>
      <w:r w:rsidR="00CC335C" w:rsidRPr="00FB2F78">
        <w:t xml:space="preserve">pricing until 2028. </w:t>
      </w:r>
      <w:r>
        <w:t xml:space="preserve"> </w:t>
      </w:r>
      <w:r w:rsidR="00CC335C" w:rsidRPr="00FB2F78">
        <w:t>FPL witness Enjamio identified ICF</w:t>
      </w:r>
      <w:r w:rsidR="00CC335C">
        <w:t xml:space="preserve"> International’</w:t>
      </w:r>
      <w:r w:rsidR="00CC335C" w:rsidRPr="00FB2F78">
        <w:t>s</w:t>
      </w:r>
      <w:r w:rsidR="00CC335C">
        <w:t xml:space="preserve"> (ICF)</w:t>
      </w:r>
      <w:r w:rsidR="00CC335C" w:rsidRPr="00FB2F78">
        <w:t xml:space="preserve"> CO</w:t>
      </w:r>
      <w:r w:rsidR="00CC335C" w:rsidRPr="00FB2F78">
        <w:rPr>
          <w:vertAlign w:val="subscript"/>
        </w:rPr>
        <w:t>2</w:t>
      </w:r>
      <w:r w:rsidR="00CC335C">
        <w:t xml:space="preserve"> emission</w:t>
      </w:r>
      <w:r w:rsidR="00CC335C" w:rsidRPr="00FB2F78">
        <w:t xml:space="preserve">s cost forecast as a major assumption in FPL’s economic analysis of its proposed </w:t>
      </w:r>
      <w:r w:rsidR="00CC335C">
        <w:t xml:space="preserve">2019 </w:t>
      </w:r>
      <w:r w:rsidR="00CC335C" w:rsidRPr="00FB2F78">
        <w:t>sol</w:t>
      </w:r>
      <w:r w:rsidR="00CC335C">
        <w:t>ar generation projects.</w:t>
      </w:r>
      <w:r>
        <w:t xml:space="preserve">  </w:t>
      </w:r>
      <w:r w:rsidR="00CC335C" w:rsidRPr="00FB2F78">
        <w:t>The CO</w:t>
      </w:r>
      <w:r w:rsidR="00CC335C" w:rsidRPr="00FB2F78">
        <w:rPr>
          <w:vertAlign w:val="subscript"/>
        </w:rPr>
        <w:t>2</w:t>
      </w:r>
      <w:r w:rsidR="00CC335C" w:rsidRPr="00FB2F78">
        <w:t xml:space="preserve"> cost projections used in FPL’s cost-effectiveness analyses are based on ICF’s CO</w:t>
      </w:r>
      <w:r w:rsidR="00CC335C" w:rsidRPr="00FB2F78">
        <w:rPr>
          <w:vertAlign w:val="subscript"/>
        </w:rPr>
        <w:t>2</w:t>
      </w:r>
      <w:r w:rsidR="00CC335C" w:rsidRPr="00FB2F78">
        <w:t xml:space="preserve"> emission cost forecast dated </w:t>
      </w:r>
      <w:r w:rsidR="00CC335C">
        <w:t>January 31, 2018</w:t>
      </w:r>
      <w:r w:rsidR="00CC335C" w:rsidRPr="00FB2F78">
        <w:t xml:space="preserve">. </w:t>
      </w:r>
      <w:r>
        <w:t xml:space="preserve"> </w:t>
      </w:r>
      <w:r w:rsidR="00CC335C" w:rsidRPr="00FB2F78">
        <w:t>ICF is a consulting firm with extensive experience in forecasting the cost of air emissions and is recognized as one of the industry leaders in this field.</w:t>
      </w:r>
      <w:r w:rsidR="006700B5">
        <w:t xml:space="preserve">  </w:t>
      </w:r>
      <w:r w:rsidR="00CC335C" w:rsidRPr="00DC09B6">
        <w:t>No intervenor offered testimony rebutting FPL’s CO</w:t>
      </w:r>
      <w:r w:rsidR="00CC335C" w:rsidRPr="00DC09B6">
        <w:rPr>
          <w:vertAlign w:val="subscript"/>
        </w:rPr>
        <w:t>2</w:t>
      </w:r>
      <w:r w:rsidR="00CC335C" w:rsidRPr="00DC09B6">
        <w:t xml:space="preserve"> emission cost forecast or provided any alternative emission cost forecast.</w:t>
      </w:r>
      <w:r w:rsidR="006700B5">
        <w:t xml:space="preserve">  </w:t>
      </w:r>
      <w:r w:rsidR="000425D0">
        <w:t xml:space="preserve">Based on the evidence of record, we find </w:t>
      </w:r>
      <w:r w:rsidR="00CC335C" w:rsidRPr="00FB2F78">
        <w:t>that the CO</w:t>
      </w:r>
      <w:r w:rsidR="00CC335C" w:rsidRPr="00FB2F78">
        <w:rPr>
          <w:vertAlign w:val="subscript"/>
        </w:rPr>
        <w:t>2</w:t>
      </w:r>
      <w:r w:rsidR="00CC335C" w:rsidRPr="00FB2F78">
        <w:t xml:space="preserve"> cost projections FPL used in this docket are </w:t>
      </w:r>
      <w:r w:rsidR="000425D0">
        <w:t>reasonable</w:t>
      </w:r>
      <w:r w:rsidR="00CC335C" w:rsidRPr="00FB2F78">
        <w:t xml:space="preserve">. </w:t>
      </w:r>
    </w:p>
    <w:p w:rsidR="005E1449" w:rsidRDefault="005E1449" w:rsidP="005E1449">
      <w:pPr>
        <w:pStyle w:val="BodyText"/>
        <w:spacing w:after="0"/>
        <w:jc w:val="both"/>
      </w:pPr>
    </w:p>
    <w:p w:rsidR="005E1449" w:rsidRPr="000425D0" w:rsidRDefault="00CC335C" w:rsidP="000425D0">
      <w:r w:rsidRPr="000425D0">
        <w:t xml:space="preserve">Hearsay </w:t>
      </w:r>
    </w:p>
    <w:p w:rsidR="005E1449" w:rsidRDefault="005E1449" w:rsidP="005E1449">
      <w:pPr>
        <w:ind w:firstLine="720"/>
        <w:jc w:val="both"/>
        <w:rPr>
          <w:rFonts w:ascii="Arial" w:hAnsi="Arial" w:cs="Arial"/>
          <w:b/>
          <w:i/>
        </w:rPr>
      </w:pPr>
    </w:p>
    <w:p w:rsidR="00CC335C" w:rsidRDefault="000425D0" w:rsidP="005E1449">
      <w:pPr>
        <w:ind w:firstLine="720"/>
        <w:jc w:val="both"/>
      </w:pPr>
      <w:r>
        <w:t xml:space="preserve">We do </w:t>
      </w:r>
      <w:r w:rsidR="00CC335C">
        <w:t xml:space="preserve">not find FIPUG’s argument, that carbon dioxide tax projections prepared by ICF and used by FPL in its CPVRR analysis is based on uncorroborated hearsay, to be persuasive. </w:t>
      </w:r>
      <w:r w:rsidR="00CC335C">
        <w:lastRenderedPageBreak/>
        <w:t>Section 120.57(1)(c), F.S., states that “[h]earsay evidence may be used for the purpose of supplementing or explaining other evidence, but it shall not be sufficient in itself to support a finding unless it would be admissible over objection in civil actions.”</w:t>
      </w:r>
      <w:r>
        <w:t xml:space="preserve">  </w:t>
      </w:r>
      <w:r w:rsidR="00CC335C">
        <w:t>Section 90.704, F.S., allows the use by an expert of “facts or data [that] are of a type reasonably relied upon by experts in the subject to support the opinion expressed” even if the facts or data are not admissible in evidence.</w:t>
      </w:r>
      <w:r>
        <w:t xml:space="preserve">  </w:t>
      </w:r>
      <w:r w:rsidR="00CC335C">
        <w:rPr>
          <w:u w:val="single"/>
        </w:rPr>
        <w:t>Smith v. State</w:t>
      </w:r>
      <w:r w:rsidR="00CC335C">
        <w:t xml:space="preserve">, 7 So. 3d 473, 501 (Fla. 2009); </w:t>
      </w:r>
      <w:r w:rsidR="00CC335C" w:rsidRPr="00E63DCF">
        <w:rPr>
          <w:u w:val="single"/>
        </w:rPr>
        <w:t>Geralds v. State</w:t>
      </w:r>
      <w:r w:rsidR="00CC335C">
        <w:t>, 674 So. 2d 96, 100 (Fla. 1996)(expert allowed to base opinion on cause of death on materials prepared by another doctor).</w:t>
      </w:r>
    </w:p>
    <w:p w:rsidR="00CC335C" w:rsidRDefault="00CC335C" w:rsidP="00CC335C">
      <w:pPr>
        <w:jc w:val="both"/>
      </w:pPr>
    </w:p>
    <w:p w:rsidR="00CC335C" w:rsidRDefault="000425D0" w:rsidP="00CC335C">
      <w:pPr>
        <w:jc w:val="both"/>
      </w:pPr>
      <w:r>
        <w:tab/>
      </w:r>
      <w:r w:rsidR="00CC335C">
        <w:t>FPL identified witness Enjamio as an expert in the field of resource planning and the cost-effectiveness of FPL’s 2019 Solar Project.</w:t>
      </w:r>
      <w:r w:rsidR="00CC335C">
        <w:rPr>
          <w:rStyle w:val="FootnoteReference"/>
          <w:rFonts w:eastAsiaTheme="minorHAnsi"/>
        </w:rPr>
        <w:footnoteReference w:id="11"/>
      </w:r>
      <w:r w:rsidR="00CC335C">
        <w:t xml:space="preserve"> </w:t>
      </w:r>
      <w:r>
        <w:t xml:space="preserve"> </w:t>
      </w:r>
      <w:r w:rsidR="00CC335C">
        <w:t xml:space="preserve">FIPUG objected to any witness being considered an expert witness unless the witness states the subject matter areas in which he or she claims expertise, and voir dire, if requested, is permitted. </w:t>
      </w:r>
      <w:r>
        <w:t xml:space="preserve"> </w:t>
      </w:r>
      <w:r w:rsidR="00CC335C">
        <w:t xml:space="preserve">However, FIPUG failed to comply with the requirements of Section VI.A(8) of Order No. PSC-2018-0079-PCO-EI, that a party identify each witness the party wishes to voir dire and specify the portions of the witness’ testimony to which it objects. </w:t>
      </w:r>
      <w:r>
        <w:t xml:space="preserve"> </w:t>
      </w:r>
      <w:r w:rsidR="00CC335C">
        <w:t>For that reason, FIPUG was prevented from challenging the expertise of any witness at the final hearing.</w:t>
      </w:r>
      <w:r w:rsidR="00CC335C">
        <w:rPr>
          <w:rStyle w:val="FootnoteReference"/>
          <w:rFonts w:eastAsiaTheme="minorHAnsi"/>
        </w:rPr>
        <w:footnoteReference w:id="12"/>
      </w:r>
      <w:r w:rsidR="00CC335C">
        <w:t xml:space="preserve">  </w:t>
      </w:r>
    </w:p>
    <w:p w:rsidR="00CC335C" w:rsidRDefault="00CC335C" w:rsidP="00CC335C">
      <w:pPr>
        <w:jc w:val="both"/>
      </w:pPr>
    </w:p>
    <w:p w:rsidR="00CC335C" w:rsidRDefault="000425D0" w:rsidP="00CC335C">
      <w:pPr>
        <w:jc w:val="both"/>
      </w:pPr>
      <w:r>
        <w:tab/>
      </w:r>
      <w:r w:rsidR="00CC335C">
        <w:t xml:space="preserve">Witness Enjamio’s testimony is that ICF is recognized as an industry leader in the field of forecasting the cost of air emissions and that its cost projections have been used for many years in FPL’s resource plans and economic analyses, i.e., FPL’s 2018 Ten Year Site Plan. </w:t>
      </w:r>
      <w:r>
        <w:t xml:space="preserve"> </w:t>
      </w:r>
      <w:r w:rsidR="00CC335C">
        <w:t xml:space="preserve">It is important to note that it is witness Enjamio’s expert opinion that ICF’s projection of carbon dioxide costs should be included in FPL’s cost effectiveness analysis for the 2019 SoBRA projects. </w:t>
      </w:r>
      <w:r>
        <w:t xml:space="preserve"> </w:t>
      </w:r>
      <w:r w:rsidR="00CC335C">
        <w:t xml:space="preserve">FIPUG did not present any evidence to support the exclusion of these costs or to refute ICF’s expertise in projecting air emission costs. </w:t>
      </w:r>
      <w:r>
        <w:t xml:space="preserve"> </w:t>
      </w:r>
      <w:r w:rsidR="00CC335C" w:rsidRPr="00EA30B2">
        <w:t xml:space="preserve">Based on this record, </w:t>
      </w:r>
      <w:r>
        <w:t xml:space="preserve">we find that </w:t>
      </w:r>
      <w:r w:rsidR="00CC335C" w:rsidRPr="00EA30B2">
        <w:t>ICF’s carbon dioxide tax costs do not constitute uncorroborated hearsay and can be used in FPL’s cost effectiveness calculation.</w:t>
      </w:r>
    </w:p>
    <w:p w:rsidR="00CC335C" w:rsidRPr="00D674DD" w:rsidRDefault="00CC335C" w:rsidP="00CC335C">
      <w:pPr>
        <w:pStyle w:val="BodyText"/>
        <w:spacing w:after="0"/>
      </w:pPr>
    </w:p>
    <w:p w:rsidR="00CC335C" w:rsidRDefault="00CC335C" w:rsidP="000425D0">
      <w:r w:rsidRPr="000425D0">
        <w:t>CPVRR Analysis</w:t>
      </w:r>
    </w:p>
    <w:p w:rsidR="000425D0" w:rsidRPr="000425D0" w:rsidRDefault="000425D0" w:rsidP="000425D0"/>
    <w:p w:rsidR="00CC335C" w:rsidRDefault="000425D0" w:rsidP="00CC335C">
      <w:pPr>
        <w:jc w:val="both"/>
      </w:pPr>
      <w:r>
        <w:tab/>
      </w:r>
      <w:r w:rsidR="00CC335C">
        <w:t>FP</w:t>
      </w:r>
      <w:r w:rsidR="00CC335C" w:rsidRPr="00FB2F78">
        <w:t>L’s CPVRR analysis assumed that each project had an actual life of 33 years, with the analysis ending in 2050.</w:t>
      </w:r>
      <w:r>
        <w:t xml:space="preserve">  </w:t>
      </w:r>
      <w:r w:rsidR="00CC335C" w:rsidRPr="00FB2F78">
        <w:t xml:space="preserve">FPL’s CPVRR for the </w:t>
      </w:r>
      <w:r w:rsidR="00CC335C" w:rsidRPr="003F0FA8">
        <w:t>2019 SoBRA projects</w:t>
      </w:r>
      <w:r w:rsidR="00CC335C">
        <w:t xml:space="preserve"> produced savings of $40</w:t>
      </w:r>
      <w:r w:rsidR="00CC335C" w:rsidRPr="00FB2F78">
        <w:t xml:space="preserve"> </w:t>
      </w:r>
      <w:r w:rsidR="00CC335C">
        <w:t>m</w:t>
      </w:r>
      <w:r w:rsidR="00CC335C" w:rsidRPr="00FB2F78">
        <w:t xml:space="preserve">illion for the base fuel and environmental forecasts. </w:t>
      </w:r>
      <w:r>
        <w:t xml:space="preserve"> </w:t>
      </w:r>
      <w:r w:rsidR="00CC335C" w:rsidRPr="00FB2F78">
        <w:t xml:space="preserve">This </w:t>
      </w:r>
      <w:r w:rsidR="00CC335C" w:rsidRPr="00561140">
        <w:t>calculation</w:t>
      </w:r>
      <w:r w:rsidR="00CC335C" w:rsidRPr="00FB2F78">
        <w:t xml:space="preserve"> included the previously mentioned CO</w:t>
      </w:r>
      <w:r w:rsidR="00CC335C" w:rsidRPr="00FB2F78">
        <w:rPr>
          <w:vertAlign w:val="subscript"/>
        </w:rPr>
        <w:t xml:space="preserve">2 </w:t>
      </w:r>
      <w:r w:rsidR="00CC335C" w:rsidRPr="00FB2F78">
        <w:t xml:space="preserve">pricing in 2028. </w:t>
      </w:r>
      <w:r>
        <w:t xml:space="preserve"> </w:t>
      </w:r>
      <w:r w:rsidR="00CC335C" w:rsidRPr="00FB2F78">
        <w:t xml:space="preserve">FPL’s CPVRR analysis in support of its </w:t>
      </w:r>
      <w:r w:rsidR="00CC335C">
        <w:t xml:space="preserve">2019 </w:t>
      </w:r>
      <w:r w:rsidR="00CC335C" w:rsidRPr="00FB2F78">
        <w:t xml:space="preserve">Solar Plan included assumptions related to future fuel prices. </w:t>
      </w:r>
      <w:r>
        <w:t xml:space="preserve"> </w:t>
      </w:r>
      <w:r w:rsidR="00CC335C" w:rsidRPr="00FB2F78">
        <w:t>The Company employed its standard fuel forecasting methodology to produce its long-term fuel price forecast.</w:t>
      </w:r>
      <w:r>
        <w:t xml:space="preserve">  Based on the evidence of record, we find that </w:t>
      </w:r>
      <w:r w:rsidR="00CC335C" w:rsidRPr="00FB2F78">
        <w:t>the forecasted fuel prices used in the Company’s CPVRR analysis associated with its current</w:t>
      </w:r>
      <w:r w:rsidR="00CC335C">
        <w:t xml:space="preserve"> proposal are reasonable.</w:t>
      </w:r>
    </w:p>
    <w:p w:rsidR="00CC335C" w:rsidRDefault="00CC335C" w:rsidP="00CC335C">
      <w:pPr>
        <w:jc w:val="both"/>
      </w:pPr>
    </w:p>
    <w:p w:rsidR="00C579AE" w:rsidRDefault="000425D0" w:rsidP="00C579AE">
      <w:pPr>
        <w:jc w:val="both"/>
      </w:pPr>
      <w:r>
        <w:tab/>
      </w:r>
      <w:r w:rsidR="00CC335C">
        <w:t>FPL</w:t>
      </w:r>
      <w:r>
        <w:t>’s</w:t>
      </w:r>
      <w:r w:rsidR="00CC335C">
        <w:t xml:space="preserve"> CPVRR </w:t>
      </w:r>
      <w:r>
        <w:t xml:space="preserve">calculation </w:t>
      </w:r>
      <w:r w:rsidR="00CC335C">
        <w:t xml:space="preserve">for the </w:t>
      </w:r>
      <w:r w:rsidR="00CC335C" w:rsidRPr="003F0FA8">
        <w:t>2019 SoBRA projects</w:t>
      </w:r>
      <w:r w:rsidR="00CC335C">
        <w:t xml:space="preserve"> includes the FPL GRM criteria, which has not been relied upon </w:t>
      </w:r>
      <w:r>
        <w:t xml:space="preserve">by us </w:t>
      </w:r>
      <w:r w:rsidR="00CC335C">
        <w:t>in previous proceedings.</w:t>
      </w:r>
      <w:r>
        <w:t xml:space="preserve">  </w:t>
      </w:r>
      <w:r w:rsidR="00CC335C">
        <w:t xml:space="preserve">FPL </w:t>
      </w:r>
      <w:r>
        <w:t xml:space="preserve">has </w:t>
      </w:r>
      <w:r w:rsidR="00CC335C">
        <w:t xml:space="preserve">provided a CPVRR analysis that excludes this GRM criterion and economically evaluates the solar projects based </w:t>
      </w:r>
      <w:r w:rsidR="00CC335C">
        <w:lastRenderedPageBreak/>
        <w:t xml:space="preserve">upon FPL’s remaining reliability criteria. </w:t>
      </w:r>
      <w:r>
        <w:t xml:space="preserve"> </w:t>
      </w:r>
      <w:r w:rsidR="00CC335C">
        <w:t>The resulting CPVRR produced a savings of $39.9 million for the base fuel and environmental forecasts, a slight decrease from the $40 million savings that included the GRM criterion.</w:t>
      </w:r>
      <w:r w:rsidR="00200E33">
        <w:t xml:space="preserve"> </w:t>
      </w:r>
      <w:r w:rsidR="00CC335C">
        <w:t xml:space="preserve"> </w:t>
      </w:r>
      <w:r w:rsidR="00200E33">
        <w:t xml:space="preserve">Since we did not rely upon </w:t>
      </w:r>
      <w:r w:rsidR="00CC335C">
        <w:t xml:space="preserve">FPL’s GRM criterion </w:t>
      </w:r>
      <w:r w:rsidR="00C579AE">
        <w:t>in previous proceedings</w:t>
      </w:r>
      <w:r w:rsidR="006700B5">
        <w:t xml:space="preserve">, </w:t>
      </w:r>
      <w:r w:rsidR="00200E33">
        <w:t xml:space="preserve">we find </w:t>
      </w:r>
      <w:r w:rsidR="00C579AE">
        <w:t>that this criterion is not a critical component o</w:t>
      </w:r>
      <w:r w:rsidR="006700B5">
        <w:t>f</w:t>
      </w:r>
      <w:r w:rsidR="00C579AE">
        <w:t xml:space="preserve"> the overall cost-effectiveness of the </w:t>
      </w:r>
      <w:r w:rsidR="00C579AE" w:rsidRPr="003F0FA8">
        <w:t>2019 SoBRA projects</w:t>
      </w:r>
      <w:r w:rsidR="00C579AE">
        <w:t xml:space="preserve">. </w:t>
      </w:r>
    </w:p>
    <w:p w:rsidR="00C579AE" w:rsidRDefault="00C579AE" w:rsidP="00C579AE">
      <w:pPr>
        <w:jc w:val="both"/>
      </w:pPr>
    </w:p>
    <w:p w:rsidR="00C579AE" w:rsidRDefault="00200E33" w:rsidP="00C579AE">
      <w:pPr>
        <w:jc w:val="both"/>
      </w:pPr>
      <w:r>
        <w:tab/>
      </w:r>
      <w:r w:rsidR="00C579AE" w:rsidRPr="00FB2F78">
        <w:t xml:space="preserve">FPL </w:t>
      </w:r>
      <w:r>
        <w:t xml:space="preserve">has </w:t>
      </w:r>
      <w:r w:rsidR="00C579AE" w:rsidRPr="00FB2F78">
        <w:t>provided a CPVRR analysis with both fuel and environmental compliance sensitivities.</w:t>
      </w:r>
      <w:r w:rsidR="00C579AE">
        <w:t xml:space="preserve"> </w:t>
      </w:r>
      <w:r>
        <w:t xml:space="preserve"> </w:t>
      </w:r>
      <w:r w:rsidR="00C579AE" w:rsidRPr="00FB2F78">
        <w:t>In FPL’s analysis</w:t>
      </w:r>
      <w:r w:rsidR="00C579AE">
        <w:t>,</w:t>
      </w:r>
      <w:r w:rsidR="00C579AE" w:rsidRPr="00FB2F78">
        <w:t xml:space="preserve"> a Low, Medium</w:t>
      </w:r>
      <w:r w:rsidR="00C579AE">
        <w:t>,</w:t>
      </w:r>
      <w:r w:rsidR="00C579AE" w:rsidRPr="00FB2F78">
        <w:t xml:space="preserve"> and High Fuel Forecast and ENV I, ENV II</w:t>
      </w:r>
      <w:r w:rsidR="00C579AE">
        <w:t>,</w:t>
      </w:r>
      <w:r w:rsidR="00C579AE" w:rsidRPr="00FB2F78">
        <w:t xml:space="preserve"> and ENV III compliance costs were considered. </w:t>
      </w:r>
      <w:r>
        <w:t xml:space="preserve"> </w:t>
      </w:r>
      <w:r w:rsidR="00C579AE" w:rsidRPr="00FB2F78">
        <w:t>ENV I assumes an a</w:t>
      </w:r>
      <w:r w:rsidR="00C579AE">
        <w:t>nnual $0/ton cost</w:t>
      </w:r>
      <w:r w:rsidR="00C579AE" w:rsidRPr="00FB2F78">
        <w:t xml:space="preserve"> for CO</w:t>
      </w:r>
      <w:r w:rsidR="00C579AE" w:rsidRPr="00FB2F78">
        <w:rPr>
          <w:vertAlign w:val="subscript"/>
        </w:rPr>
        <w:t xml:space="preserve">2 </w:t>
      </w:r>
      <w:r w:rsidR="00C579AE" w:rsidRPr="00FB2F78">
        <w:t>pricing and low environmental compliance costs, ENV II assumes a most likely cost</w:t>
      </w:r>
      <w:r w:rsidR="00C579AE">
        <w:t>,</w:t>
      </w:r>
      <w:r w:rsidR="00C579AE" w:rsidRPr="00FB2F78">
        <w:t xml:space="preserve"> and ENV III assumes high e</w:t>
      </w:r>
      <w:r w:rsidR="00C579AE">
        <w:t xml:space="preserve">nvironmental compliance costs. </w:t>
      </w:r>
      <w:r>
        <w:t xml:space="preserve"> </w:t>
      </w:r>
      <w:r w:rsidR="00C579AE">
        <w:t xml:space="preserve">While this analysis includes FPL’s GRM criterion, it is assumed there would be a similar negligible effect on the other sensitivities as it did on FPL’s base case forecast. </w:t>
      </w:r>
      <w:r>
        <w:t xml:space="preserve"> </w:t>
      </w:r>
      <w:r w:rsidR="00C579AE" w:rsidRPr="00FB2F78">
        <w:t>The range of savin</w:t>
      </w:r>
      <w:r w:rsidR="00C579AE">
        <w:t>gs is illustrated in Table 3:</w:t>
      </w:r>
    </w:p>
    <w:p w:rsidR="00200E33" w:rsidRDefault="00200E33" w:rsidP="00C579AE">
      <w:pPr>
        <w:jc w:val="both"/>
      </w:pPr>
    </w:p>
    <w:p w:rsidR="00C579AE" w:rsidRPr="007F1B23" w:rsidRDefault="00C579AE" w:rsidP="00C579AE">
      <w:pPr>
        <w:pStyle w:val="TableNumber"/>
        <w:keepNext/>
        <w:spacing w:before="0"/>
        <w:rPr>
          <w:rFonts w:ascii="Times New Roman" w:hAnsi="Times New Roman"/>
          <w:b w:val="0"/>
        </w:rPr>
      </w:pPr>
      <w:r w:rsidRPr="007F1B23">
        <w:rPr>
          <w:rFonts w:ascii="Times New Roman" w:hAnsi="Times New Roman"/>
          <w:b w:val="0"/>
        </w:rPr>
        <w:t>Table 3</w:t>
      </w:r>
    </w:p>
    <w:p w:rsidR="00C579AE" w:rsidRDefault="00C579AE" w:rsidP="00C579AE">
      <w:pPr>
        <w:pStyle w:val="TableTitle"/>
        <w:keepNext/>
      </w:pPr>
      <w:r w:rsidRPr="007F1B23">
        <w:rPr>
          <w:rFonts w:ascii="Times New Roman" w:hAnsi="Times New Roman"/>
          <w:b w:val="0"/>
        </w:rPr>
        <w:t>CPVRR Analysis including GRM</w:t>
      </w:r>
    </w:p>
    <w:tbl>
      <w:tblPr>
        <w:tblStyle w:val="TableGrid"/>
        <w:tblW w:w="0" w:type="auto"/>
        <w:jc w:val="center"/>
        <w:tblInd w:w="-832" w:type="dxa"/>
        <w:tblLook w:val="04A0" w:firstRow="1" w:lastRow="0" w:firstColumn="1" w:lastColumn="0" w:noHBand="0" w:noVBand="1"/>
      </w:tblPr>
      <w:tblGrid>
        <w:gridCol w:w="3090"/>
        <w:gridCol w:w="1215"/>
        <w:gridCol w:w="1305"/>
        <w:gridCol w:w="1571"/>
        <w:gridCol w:w="2057"/>
      </w:tblGrid>
      <w:tr w:rsidR="00C579AE" w:rsidTr="006700B5">
        <w:trPr>
          <w:trHeight w:val="305"/>
          <w:jc w:val="center"/>
        </w:trPr>
        <w:tc>
          <w:tcPr>
            <w:tcW w:w="3090" w:type="dxa"/>
          </w:tcPr>
          <w:p w:rsidR="00C579AE" w:rsidRDefault="00C579AE" w:rsidP="006700B5"/>
        </w:tc>
        <w:tc>
          <w:tcPr>
            <w:tcW w:w="6148" w:type="dxa"/>
            <w:gridSpan w:val="4"/>
          </w:tcPr>
          <w:p w:rsidR="00C579AE" w:rsidRPr="00F313AB" w:rsidRDefault="00C579AE" w:rsidP="006700B5">
            <w:pPr>
              <w:jc w:val="center"/>
              <w:rPr>
                <w:b/>
              </w:rPr>
            </w:pPr>
            <w:r w:rsidRPr="00F313AB">
              <w:rPr>
                <w:b/>
              </w:rPr>
              <w:t>Environmental Compliance Cost Forecast</w:t>
            </w:r>
          </w:p>
        </w:tc>
      </w:tr>
      <w:tr w:rsidR="00C579AE" w:rsidTr="006700B5">
        <w:trPr>
          <w:trHeight w:val="144"/>
          <w:jc w:val="center"/>
        </w:trPr>
        <w:tc>
          <w:tcPr>
            <w:tcW w:w="3090" w:type="dxa"/>
            <w:vMerge w:val="restart"/>
            <w:vAlign w:val="center"/>
          </w:tcPr>
          <w:p w:rsidR="00C579AE" w:rsidRDefault="00C579AE" w:rsidP="006700B5">
            <w:pPr>
              <w:jc w:val="center"/>
            </w:pPr>
            <w:r>
              <w:t>Fuel Cost Forecast</w:t>
            </w:r>
          </w:p>
        </w:tc>
        <w:tc>
          <w:tcPr>
            <w:tcW w:w="1215" w:type="dxa"/>
          </w:tcPr>
          <w:p w:rsidR="00C579AE" w:rsidRDefault="00C579AE" w:rsidP="006700B5"/>
        </w:tc>
        <w:tc>
          <w:tcPr>
            <w:tcW w:w="1305" w:type="dxa"/>
          </w:tcPr>
          <w:p w:rsidR="00C579AE" w:rsidRPr="00835708" w:rsidRDefault="00C579AE" w:rsidP="006700B5">
            <w:pPr>
              <w:jc w:val="center"/>
              <w:rPr>
                <w:b/>
              </w:rPr>
            </w:pPr>
            <w:r w:rsidRPr="00835708">
              <w:rPr>
                <w:b/>
              </w:rPr>
              <w:t>ENV I</w:t>
            </w:r>
          </w:p>
        </w:tc>
        <w:tc>
          <w:tcPr>
            <w:tcW w:w="1571" w:type="dxa"/>
          </w:tcPr>
          <w:p w:rsidR="00C579AE" w:rsidRPr="00835708" w:rsidRDefault="00C579AE" w:rsidP="006700B5">
            <w:pPr>
              <w:jc w:val="center"/>
              <w:rPr>
                <w:b/>
              </w:rPr>
            </w:pPr>
            <w:r w:rsidRPr="00835708">
              <w:rPr>
                <w:b/>
              </w:rPr>
              <w:t>ENV II</w:t>
            </w:r>
          </w:p>
        </w:tc>
        <w:tc>
          <w:tcPr>
            <w:tcW w:w="2057" w:type="dxa"/>
          </w:tcPr>
          <w:p w:rsidR="00C579AE" w:rsidRPr="00835708" w:rsidRDefault="00C579AE" w:rsidP="006700B5">
            <w:pPr>
              <w:jc w:val="center"/>
              <w:rPr>
                <w:b/>
              </w:rPr>
            </w:pPr>
            <w:r w:rsidRPr="00835708">
              <w:rPr>
                <w:b/>
              </w:rPr>
              <w:t>ENV III</w:t>
            </w:r>
          </w:p>
        </w:tc>
      </w:tr>
      <w:tr w:rsidR="00C579AE" w:rsidTr="006700B5">
        <w:trPr>
          <w:trHeight w:val="144"/>
          <w:jc w:val="center"/>
        </w:trPr>
        <w:tc>
          <w:tcPr>
            <w:tcW w:w="3090" w:type="dxa"/>
            <w:vMerge/>
          </w:tcPr>
          <w:p w:rsidR="00C579AE" w:rsidRDefault="00C579AE" w:rsidP="006700B5"/>
        </w:tc>
        <w:tc>
          <w:tcPr>
            <w:tcW w:w="1215" w:type="dxa"/>
          </w:tcPr>
          <w:p w:rsidR="00C579AE" w:rsidRPr="00835708" w:rsidRDefault="00C579AE" w:rsidP="006700B5">
            <w:pPr>
              <w:jc w:val="center"/>
              <w:rPr>
                <w:b/>
              </w:rPr>
            </w:pPr>
            <w:r w:rsidRPr="00835708">
              <w:rPr>
                <w:b/>
              </w:rPr>
              <w:t>High</w:t>
            </w:r>
          </w:p>
        </w:tc>
        <w:tc>
          <w:tcPr>
            <w:tcW w:w="1305" w:type="dxa"/>
            <w:vAlign w:val="center"/>
          </w:tcPr>
          <w:p w:rsidR="00C579AE" w:rsidRDefault="00C579AE" w:rsidP="006700B5">
            <w:pPr>
              <w:jc w:val="center"/>
            </w:pPr>
            <w:r>
              <w:t>($62)</w:t>
            </w:r>
          </w:p>
        </w:tc>
        <w:tc>
          <w:tcPr>
            <w:tcW w:w="1571" w:type="dxa"/>
            <w:vAlign w:val="center"/>
          </w:tcPr>
          <w:p w:rsidR="00C579AE" w:rsidRDefault="00C579AE" w:rsidP="006700B5">
            <w:pPr>
              <w:jc w:val="center"/>
            </w:pPr>
            <w:r>
              <w:t>($81)</w:t>
            </w:r>
          </w:p>
        </w:tc>
        <w:tc>
          <w:tcPr>
            <w:tcW w:w="2057" w:type="dxa"/>
            <w:vAlign w:val="center"/>
          </w:tcPr>
          <w:p w:rsidR="00C579AE" w:rsidRDefault="00C579AE" w:rsidP="006700B5">
            <w:pPr>
              <w:jc w:val="center"/>
            </w:pPr>
            <w:r>
              <w:t>($130)</w:t>
            </w:r>
          </w:p>
        </w:tc>
      </w:tr>
      <w:tr w:rsidR="00C579AE" w:rsidTr="006700B5">
        <w:trPr>
          <w:trHeight w:val="20"/>
          <w:jc w:val="center"/>
        </w:trPr>
        <w:tc>
          <w:tcPr>
            <w:tcW w:w="3090" w:type="dxa"/>
            <w:vMerge/>
          </w:tcPr>
          <w:p w:rsidR="00C579AE" w:rsidRDefault="00C579AE" w:rsidP="006700B5"/>
        </w:tc>
        <w:tc>
          <w:tcPr>
            <w:tcW w:w="1215" w:type="dxa"/>
          </w:tcPr>
          <w:p w:rsidR="00C579AE" w:rsidRPr="00835708" w:rsidRDefault="00C579AE" w:rsidP="006700B5">
            <w:pPr>
              <w:jc w:val="center"/>
              <w:rPr>
                <w:b/>
              </w:rPr>
            </w:pPr>
            <w:r w:rsidRPr="00835708">
              <w:rPr>
                <w:b/>
              </w:rPr>
              <w:t>Medium</w:t>
            </w:r>
          </w:p>
        </w:tc>
        <w:tc>
          <w:tcPr>
            <w:tcW w:w="1305" w:type="dxa"/>
          </w:tcPr>
          <w:p w:rsidR="00C579AE" w:rsidRDefault="00C579AE" w:rsidP="006700B5">
            <w:pPr>
              <w:jc w:val="center"/>
            </w:pPr>
            <w:r>
              <w:t>($19)</w:t>
            </w:r>
          </w:p>
        </w:tc>
        <w:tc>
          <w:tcPr>
            <w:tcW w:w="1571" w:type="dxa"/>
          </w:tcPr>
          <w:p w:rsidR="00C579AE" w:rsidRDefault="00C579AE" w:rsidP="006700B5">
            <w:pPr>
              <w:jc w:val="center"/>
            </w:pPr>
            <w:r>
              <w:t>($40)</w:t>
            </w:r>
          </w:p>
        </w:tc>
        <w:tc>
          <w:tcPr>
            <w:tcW w:w="2057" w:type="dxa"/>
          </w:tcPr>
          <w:p w:rsidR="00C579AE" w:rsidRDefault="00C579AE" w:rsidP="006700B5">
            <w:pPr>
              <w:jc w:val="center"/>
            </w:pPr>
            <w:r>
              <w:t>($89)</w:t>
            </w:r>
          </w:p>
        </w:tc>
      </w:tr>
      <w:tr w:rsidR="00C579AE" w:rsidTr="006700B5">
        <w:trPr>
          <w:trHeight w:val="144"/>
          <w:jc w:val="center"/>
        </w:trPr>
        <w:tc>
          <w:tcPr>
            <w:tcW w:w="3090" w:type="dxa"/>
            <w:vMerge/>
          </w:tcPr>
          <w:p w:rsidR="00C579AE" w:rsidRDefault="00C579AE" w:rsidP="006700B5"/>
        </w:tc>
        <w:tc>
          <w:tcPr>
            <w:tcW w:w="1215" w:type="dxa"/>
          </w:tcPr>
          <w:p w:rsidR="00C579AE" w:rsidRPr="00835708" w:rsidRDefault="00C579AE" w:rsidP="006700B5">
            <w:pPr>
              <w:jc w:val="center"/>
              <w:rPr>
                <w:b/>
              </w:rPr>
            </w:pPr>
            <w:r w:rsidRPr="00835708">
              <w:rPr>
                <w:b/>
              </w:rPr>
              <w:t>Low</w:t>
            </w:r>
          </w:p>
        </w:tc>
        <w:tc>
          <w:tcPr>
            <w:tcW w:w="1305" w:type="dxa"/>
          </w:tcPr>
          <w:p w:rsidR="00C579AE" w:rsidRDefault="00C579AE" w:rsidP="006700B5">
            <w:pPr>
              <w:jc w:val="center"/>
            </w:pPr>
            <w:r>
              <w:t>$24</w:t>
            </w:r>
          </w:p>
        </w:tc>
        <w:tc>
          <w:tcPr>
            <w:tcW w:w="1571" w:type="dxa"/>
          </w:tcPr>
          <w:p w:rsidR="00C579AE" w:rsidRDefault="00C579AE" w:rsidP="006700B5">
            <w:pPr>
              <w:jc w:val="center"/>
            </w:pPr>
            <w:r>
              <w:t>$4</w:t>
            </w:r>
          </w:p>
        </w:tc>
        <w:tc>
          <w:tcPr>
            <w:tcW w:w="2057" w:type="dxa"/>
          </w:tcPr>
          <w:p w:rsidR="00C579AE" w:rsidRDefault="00C579AE" w:rsidP="006700B5">
            <w:pPr>
              <w:jc w:val="center"/>
            </w:pPr>
            <w:r>
              <w:t>($46)</w:t>
            </w:r>
          </w:p>
        </w:tc>
      </w:tr>
    </w:tbl>
    <w:p w:rsidR="00C579AE" w:rsidRDefault="00C579AE" w:rsidP="00C579AE">
      <w:pPr>
        <w:pStyle w:val="TableSource"/>
        <w:spacing w:after="0"/>
        <w:rPr>
          <w:sz w:val="20"/>
          <w:szCs w:val="20"/>
        </w:rPr>
      </w:pPr>
      <w:r w:rsidRPr="00F313AB">
        <w:rPr>
          <w:sz w:val="20"/>
          <w:szCs w:val="20"/>
        </w:rPr>
        <w:t xml:space="preserve">       Source: EXH </w:t>
      </w:r>
      <w:r w:rsidRPr="005C5DEA">
        <w:rPr>
          <w:sz w:val="20"/>
          <w:szCs w:val="20"/>
        </w:rPr>
        <w:t>77</w:t>
      </w:r>
    </w:p>
    <w:p w:rsidR="00C579AE" w:rsidRDefault="00C579AE" w:rsidP="00C579AE">
      <w:pPr>
        <w:pStyle w:val="BodyText"/>
        <w:spacing w:after="0"/>
      </w:pPr>
    </w:p>
    <w:p w:rsidR="00C579AE" w:rsidRDefault="00200E33" w:rsidP="00200E33">
      <w:pPr>
        <w:pStyle w:val="BodyText"/>
        <w:spacing w:after="0"/>
        <w:jc w:val="both"/>
      </w:pPr>
      <w:r>
        <w:tab/>
      </w:r>
      <w:r w:rsidR="00C579AE" w:rsidRPr="002F0D19">
        <w:t xml:space="preserve">Table </w:t>
      </w:r>
      <w:r w:rsidR="00C579AE">
        <w:t>3</w:t>
      </w:r>
      <w:r w:rsidR="00C579AE" w:rsidRPr="002F0D19">
        <w:t xml:space="preserve"> shows that in seven of the nine scenarios, the </w:t>
      </w:r>
      <w:r w:rsidR="00C579AE" w:rsidRPr="003F0FA8">
        <w:t>2019 SoBRA projects</w:t>
      </w:r>
      <w:r w:rsidR="00C579AE" w:rsidRPr="002F0D19">
        <w:t xml:space="preserve"> are cost effective. </w:t>
      </w:r>
      <w:r>
        <w:t xml:space="preserve"> </w:t>
      </w:r>
      <w:r w:rsidR="00C579AE" w:rsidRPr="002F0D19">
        <w:t xml:space="preserve">Notably the base fuel case (medium), ENV I scenario contains no cost for </w:t>
      </w:r>
      <w:r w:rsidR="00C579AE" w:rsidRPr="00FB2F78">
        <w:t>CO</w:t>
      </w:r>
      <w:r w:rsidR="00C579AE" w:rsidRPr="00FB2F78">
        <w:rPr>
          <w:vertAlign w:val="subscript"/>
        </w:rPr>
        <w:t>2</w:t>
      </w:r>
      <w:r w:rsidR="00C579AE">
        <w:t xml:space="preserve">, but is also cost effective. </w:t>
      </w:r>
      <w:r>
        <w:t xml:space="preserve"> E</w:t>
      </w:r>
      <w:r w:rsidR="00C579AE" w:rsidRPr="002F0D19">
        <w:t xml:space="preserve">xamining the forecasted scenarios, in all scenarios avoided fuel costs </w:t>
      </w:r>
      <w:r w:rsidR="006700B5">
        <w:t>are</w:t>
      </w:r>
      <w:r>
        <w:t xml:space="preserve"> </w:t>
      </w:r>
      <w:r w:rsidR="00C579AE" w:rsidRPr="002F0D19">
        <w:t xml:space="preserve">the major driving force in producing overall savings for the projects. </w:t>
      </w:r>
      <w:r>
        <w:t xml:space="preserve"> </w:t>
      </w:r>
      <w:r w:rsidR="00C579AE" w:rsidRPr="002F0D19">
        <w:t xml:space="preserve">This fact </w:t>
      </w:r>
      <w:r w:rsidR="006700B5">
        <w:t xml:space="preserve">is present </w:t>
      </w:r>
      <w:r w:rsidR="00C579AE" w:rsidRPr="002F0D19">
        <w:t>in even the “worst” case scenario of Low Fuel Cost, ENV I, where there are projected fuel savings in every forecasted year.</w:t>
      </w:r>
      <w:r w:rsidR="00C579AE">
        <w:t xml:space="preserve"> </w:t>
      </w:r>
      <w:r>
        <w:t xml:space="preserve"> </w:t>
      </w:r>
      <w:r w:rsidR="00C579AE">
        <w:t xml:space="preserve">These cost forecast scenarios are identical to the ones present in the 2017 and 2018 solar generation projects in previous proceedings. </w:t>
      </w:r>
      <w:r>
        <w:t xml:space="preserve"> </w:t>
      </w:r>
      <w:r w:rsidR="00C579AE" w:rsidRPr="002F0D19">
        <w:t xml:space="preserve">When </w:t>
      </w:r>
      <w:r>
        <w:t>reviewing</w:t>
      </w:r>
      <w:r w:rsidR="00C579AE" w:rsidRPr="002F0D19">
        <w:t xml:space="preserve"> the overall cost effectiveness of the projects, the first cumulative benefit occurred in 202</w:t>
      </w:r>
      <w:r w:rsidR="00C579AE">
        <w:t>8 in all scenarios</w:t>
      </w:r>
      <w:r w:rsidR="00C579AE" w:rsidRPr="002F0D19">
        <w:t xml:space="preserve">. </w:t>
      </w:r>
      <w:r>
        <w:t xml:space="preserve"> </w:t>
      </w:r>
      <w:r w:rsidR="00C579AE" w:rsidRPr="002F0D19">
        <w:t xml:space="preserve">This benefit seems to be driven by the avoided capital that would be required for the Greenfield 3x1 CC Unit. </w:t>
      </w:r>
      <w:r>
        <w:t xml:space="preserve"> Therefore, we find </w:t>
      </w:r>
      <w:r w:rsidR="00C579AE" w:rsidRPr="002F0D19">
        <w:t xml:space="preserve">the CPVRR assumptions discussed </w:t>
      </w:r>
      <w:r>
        <w:t xml:space="preserve">above </w:t>
      </w:r>
      <w:r w:rsidR="00C579AE" w:rsidRPr="002F0D19">
        <w:t>to be reasonable.</w:t>
      </w:r>
    </w:p>
    <w:p w:rsidR="00C579AE" w:rsidRDefault="00C579AE" w:rsidP="00C579AE">
      <w:pPr>
        <w:pStyle w:val="BodyText"/>
        <w:spacing w:after="0"/>
      </w:pPr>
    </w:p>
    <w:p w:rsidR="00C579AE" w:rsidRDefault="00C579AE" w:rsidP="00200E33">
      <w:r w:rsidRPr="00200E33">
        <w:t xml:space="preserve">2016 Agreement Threshold </w:t>
      </w:r>
    </w:p>
    <w:p w:rsidR="00200E33" w:rsidRPr="00200E33" w:rsidRDefault="00200E33" w:rsidP="00200E33"/>
    <w:p w:rsidR="00C579AE" w:rsidRDefault="00200E33" w:rsidP="00200E33">
      <w:pPr>
        <w:pStyle w:val="BodyText"/>
        <w:spacing w:after="0"/>
        <w:jc w:val="both"/>
      </w:pPr>
      <w:r>
        <w:tab/>
      </w:r>
      <w:r w:rsidR="00C579AE">
        <w:t xml:space="preserve">As stated previously, the 2016 Agreement requires the FPL </w:t>
      </w:r>
      <w:r w:rsidR="00C579AE" w:rsidRPr="003F0FA8">
        <w:t>2019 SoBRA projects</w:t>
      </w:r>
      <w:r w:rsidR="00C579AE">
        <w:t xml:space="preserve"> to meet a $1,750 per kW</w:t>
      </w:r>
      <w:r w:rsidR="00C579AE" w:rsidRPr="002A170F">
        <w:rPr>
          <w:vertAlign w:val="subscript"/>
        </w:rPr>
        <w:t>ac</w:t>
      </w:r>
      <w:r w:rsidR="00C579AE">
        <w:rPr>
          <w:vertAlign w:val="subscript"/>
        </w:rPr>
        <w:t xml:space="preserve"> </w:t>
      </w:r>
      <w:r w:rsidR="00C579AE">
        <w:t xml:space="preserve">cost cap. </w:t>
      </w:r>
      <w:r>
        <w:t xml:space="preserve"> </w:t>
      </w:r>
      <w:r w:rsidR="00C579AE">
        <w:t>The estimated total cost to build all of the 2019 solar generation projects is $1,386 per kW</w:t>
      </w:r>
      <w:r w:rsidR="00C579AE" w:rsidRPr="002A170F">
        <w:rPr>
          <w:vertAlign w:val="subscript"/>
        </w:rPr>
        <w:t>ac</w:t>
      </w:r>
      <w:r w:rsidR="00C579AE">
        <w:rPr>
          <w:vertAlign w:val="subscript"/>
        </w:rPr>
        <w:t xml:space="preserve">, </w:t>
      </w:r>
      <w:r w:rsidR="00C579AE">
        <w:t xml:space="preserve">falling below the cost cap. </w:t>
      </w:r>
      <w:r>
        <w:t xml:space="preserve"> </w:t>
      </w:r>
      <w:r w:rsidR="00C579AE">
        <w:t xml:space="preserve">Each of the 2019 solar generation projects also fall under this threshold when considered individually. </w:t>
      </w:r>
      <w:r>
        <w:t xml:space="preserve"> </w:t>
      </w:r>
      <w:r w:rsidR="00C579AE">
        <w:t>The cost per kW</w:t>
      </w:r>
      <w:r w:rsidR="00C579AE" w:rsidRPr="002A170F">
        <w:rPr>
          <w:vertAlign w:val="subscript"/>
        </w:rPr>
        <w:t>ac</w:t>
      </w:r>
      <w:r w:rsidR="00C579AE">
        <w:t xml:space="preserve"> for the 2019 solar generation projects is illustrated in Table 4:</w:t>
      </w:r>
    </w:p>
    <w:p w:rsidR="00200E33" w:rsidRDefault="00200E33" w:rsidP="00C579AE">
      <w:pPr>
        <w:pStyle w:val="TableNumber"/>
        <w:keepNext/>
        <w:spacing w:before="0"/>
      </w:pPr>
    </w:p>
    <w:p w:rsidR="006700B5" w:rsidRPr="006700B5" w:rsidRDefault="006700B5" w:rsidP="006700B5">
      <w:pPr>
        <w:pStyle w:val="BodyText"/>
      </w:pPr>
    </w:p>
    <w:p w:rsidR="00C579AE" w:rsidRPr="007F1B23" w:rsidRDefault="00C579AE" w:rsidP="00C579AE">
      <w:pPr>
        <w:pStyle w:val="TableNumber"/>
        <w:keepNext/>
        <w:spacing w:before="0"/>
        <w:rPr>
          <w:rFonts w:ascii="Times New Roman" w:hAnsi="Times New Roman"/>
          <w:b w:val="0"/>
        </w:rPr>
      </w:pPr>
      <w:r w:rsidRPr="007F1B23">
        <w:rPr>
          <w:rFonts w:ascii="Times New Roman" w:hAnsi="Times New Roman"/>
          <w:b w:val="0"/>
        </w:rPr>
        <w:lastRenderedPageBreak/>
        <w:t>Table 4</w:t>
      </w:r>
    </w:p>
    <w:p w:rsidR="00C579AE" w:rsidRPr="007F1B23" w:rsidRDefault="00C579AE" w:rsidP="00C579AE">
      <w:pPr>
        <w:pStyle w:val="TableTitle"/>
        <w:keepNext/>
        <w:rPr>
          <w:rFonts w:ascii="Times New Roman" w:hAnsi="Times New Roman"/>
          <w:b w:val="0"/>
        </w:rPr>
      </w:pPr>
      <w:r w:rsidRPr="007F1B23">
        <w:rPr>
          <w:rFonts w:ascii="Times New Roman" w:hAnsi="Times New Roman"/>
          <w:b w:val="0"/>
        </w:rPr>
        <w:t>$/kW</w:t>
      </w:r>
      <w:r w:rsidRPr="007F1B23">
        <w:rPr>
          <w:rFonts w:ascii="Times New Roman" w:hAnsi="Times New Roman"/>
          <w:b w:val="0"/>
          <w:vertAlign w:val="subscript"/>
        </w:rPr>
        <w:t xml:space="preserve">ac </w:t>
      </w:r>
      <w:r w:rsidRPr="007F1B23">
        <w:rPr>
          <w:rFonts w:ascii="Times New Roman" w:hAnsi="Times New Roman"/>
          <w:b w:val="0"/>
        </w:rPr>
        <w:t>Cost Cap</w:t>
      </w:r>
    </w:p>
    <w:tbl>
      <w:tblPr>
        <w:tblStyle w:val="TableGrid"/>
        <w:tblW w:w="0" w:type="auto"/>
        <w:tblLook w:val="04A0" w:firstRow="1" w:lastRow="0" w:firstColumn="1" w:lastColumn="0" w:noHBand="0" w:noVBand="1"/>
      </w:tblPr>
      <w:tblGrid>
        <w:gridCol w:w="1915"/>
        <w:gridCol w:w="1793"/>
        <w:gridCol w:w="1800"/>
        <w:gridCol w:w="1800"/>
        <w:gridCol w:w="2268"/>
      </w:tblGrid>
      <w:tr w:rsidR="00C579AE" w:rsidTr="006700B5">
        <w:tc>
          <w:tcPr>
            <w:tcW w:w="9576" w:type="dxa"/>
            <w:gridSpan w:val="5"/>
          </w:tcPr>
          <w:p w:rsidR="00C579AE" w:rsidRPr="00533814" w:rsidRDefault="00C579AE" w:rsidP="006700B5">
            <w:pPr>
              <w:jc w:val="center"/>
              <w:rPr>
                <w:b/>
              </w:rPr>
            </w:pPr>
            <w:r w:rsidRPr="00533814">
              <w:rPr>
                <w:b/>
              </w:rPr>
              <w:t>2019 Solar Generation Project</w:t>
            </w:r>
            <w:r>
              <w:rPr>
                <w:b/>
              </w:rPr>
              <w:t>s</w:t>
            </w:r>
            <w:r w:rsidRPr="00533814">
              <w:rPr>
                <w:b/>
              </w:rPr>
              <w:t xml:space="preserve"> </w:t>
            </w:r>
            <w:r>
              <w:rPr>
                <w:b/>
              </w:rPr>
              <w:t xml:space="preserve">Cost per </w:t>
            </w:r>
            <w:r w:rsidRPr="00533814">
              <w:rPr>
                <w:b/>
              </w:rPr>
              <w:t>$/kW</w:t>
            </w:r>
            <w:r w:rsidRPr="00533814">
              <w:rPr>
                <w:b/>
                <w:vertAlign w:val="subscript"/>
              </w:rPr>
              <w:t>ac</w:t>
            </w:r>
          </w:p>
        </w:tc>
      </w:tr>
      <w:tr w:rsidR="00C579AE" w:rsidTr="006700B5">
        <w:tc>
          <w:tcPr>
            <w:tcW w:w="1915" w:type="dxa"/>
          </w:tcPr>
          <w:p w:rsidR="00C579AE" w:rsidRPr="000E76A5" w:rsidRDefault="00C579AE" w:rsidP="006700B5">
            <w:pPr>
              <w:jc w:val="center"/>
              <w:rPr>
                <w:b/>
              </w:rPr>
            </w:pPr>
            <w:r w:rsidRPr="000E76A5">
              <w:rPr>
                <w:b/>
              </w:rPr>
              <w:t>Site Name</w:t>
            </w:r>
          </w:p>
        </w:tc>
        <w:tc>
          <w:tcPr>
            <w:tcW w:w="1793" w:type="dxa"/>
          </w:tcPr>
          <w:p w:rsidR="00C579AE" w:rsidRDefault="00C579AE" w:rsidP="006700B5">
            <w:pPr>
              <w:jc w:val="center"/>
            </w:pPr>
            <w:r>
              <w:t>Miami Dade</w:t>
            </w:r>
          </w:p>
        </w:tc>
        <w:tc>
          <w:tcPr>
            <w:tcW w:w="1800" w:type="dxa"/>
          </w:tcPr>
          <w:p w:rsidR="00C579AE" w:rsidRDefault="00C579AE" w:rsidP="006700B5">
            <w:pPr>
              <w:jc w:val="center"/>
            </w:pPr>
            <w:r>
              <w:t>Interstate</w:t>
            </w:r>
          </w:p>
        </w:tc>
        <w:tc>
          <w:tcPr>
            <w:tcW w:w="1800" w:type="dxa"/>
          </w:tcPr>
          <w:p w:rsidR="00C579AE" w:rsidRDefault="00C579AE" w:rsidP="006700B5">
            <w:pPr>
              <w:jc w:val="center"/>
            </w:pPr>
            <w:r>
              <w:t>Pioneer Trail</w:t>
            </w:r>
          </w:p>
        </w:tc>
        <w:tc>
          <w:tcPr>
            <w:tcW w:w="2268" w:type="dxa"/>
          </w:tcPr>
          <w:p w:rsidR="00C579AE" w:rsidRDefault="00C579AE" w:rsidP="006700B5">
            <w:pPr>
              <w:jc w:val="center"/>
            </w:pPr>
            <w:r>
              <w:t>Sunshine Gateway</w:t>
            </w:r>
          </w:p>
        </w:tc>
      </w:tr>
      <w:tr w:rsidR="00C579AE" w:rsidTr="006700B5">
        <w:tc>
          <w:tcPr>
            <w:tcW w:w="1915" w:type="dxa"/>
          </w:tcPr>
          <w:p w:rsidR="00C579AE" w:rsidRPr="000E76A5" w:rsidRDefault="00C579AE" w:rsidP="006700B5">
            <w:pPr>
              <w:jc w:val="center"/>
            </w:pPr>
            <w:r>
              <w:rPr>
                <w:b/>
              </w:rPr>
              <w:t>Cost (</w:t>
            </w:r>
            <w:r w:rsidRPr="00533814">
              <w:rPr>
                <w:b/>
              </w:rPr>
              <w:t>$/kW</w:t>
            </w:r>
            <w:r w:rsidRPr="00533814">
              <w:rPr>
                <w:b/>
                <w:vertAlign w:val="subscript"/>
              </w:rPr>
              <w:t>ac</w:t>
            </w:r>
            <w:r>
              <w:rPr>
                <w:b/>
              </w:rPr>
              <w:t>)</w:t>
            </w:r>
          </w:p>
        </w:tc>
        <w:tc>
          <w:tcPr>
            <w:tcW w:w="1793" w:type="dxa"/>
          </w:tcPr>
          <w:p w:rsidR="00C579AE" w:rsidRDefault="00C579AE" w:rsidP="006700B5">
            <w:pPr>
              <w:jc w:val="center"/>
            </w:pPr>
            <w:r w:rsidRPr="000E76A5">
              <w:t>$1,460</w:t>
            </w:r>
          </w:p>
        </w:tc>
        <w:tc>
          <w:tcPr>
            <w:tcW w:w="1800" w:type="dxa"/>
          </w:tcPr>
          <w:p w:rsidR="00C579AE" w:rsidRDefault="00C579AE" w:rsidP="006700B5">
            <w:pPr>
              <w:jc w:val="center"/>
            </w:pPr>
            <w:r w:rsidRPr="000E76A5">
              <w:t>$1,289</w:t>
            </w:r>
          </w:p>
        </w:tc>
        <w:tc>
          <w:tcPr>
            <w:tcW w:w="1800" w:type="dxa"/>
          </w:tcPr>
          <w:p w:rsidR="00C579AE" w:rsidRDefault="00C579AE" w:rsidP="006700B5">
            <w:pPr>
              <w:jc w:val="center"/>
            </w:pPr>
            <w:r w:rsidRPr="000E76A5">
              <w:t>$1,422</w:t>
            </w:r>
          </w:p>
        </w:tc>
        <w:tc>
          <w:tcPr>
            <w:tcW w:w="2268" w:type="dxa"/>
          </w:tcPr>
          <w:p w:rsidR="00C579AE" w:rsidRDefault="00C579AE" w:rsidP="006700B5">
            <w:pPr>
              <w:jc w:val="center"/>
            </w:pPr>
            <w:r w:rsidRPr="000E76A5">
              <w:t>$1,374</w:t>
            </w:r>
          </w:p>
        </w:tc>
      </w:tr>
    </w:tbl>
    <w:p w:rsidR="00C579AE" w:rsidRDefault="00C579AE" w:rsidP="00C579AE">
      <w:pPr>
        <w:pStyle w:val="TableSource"/>
        <w:spacing w:after="0"/>
        <w:rPr>
          <w:sz w:val="20"/>
          <w:szCs w:val="20"/>
        </w:rPr>
      </w:pPr>
      <w:r w:rsidRPr="000E76A5">
        <w:rPr>
          <w:sz w:val="20"/>
          <w:szCs w:val="20"/>
        </w:rPr>
        <w:t>Source: EXH 76</w:t>
      </w:r>
    </w:p>
    <w:p w:rsidR="00C579AE" w:rsidRDefault="00C579AE" w:rsidP="00C579AE">
      <w:pPr>
        <w:pStyle w:val="BodyText"/>
        <w:spacing w:after="0"/>
      </w:pPr>
    </w:p>
    <w:p w:rsidR="00C579AE" w:rsidRDefault="00200E33" w:rsidP="00C579AE">
      <w:pPr>
        <w:autoSpaceDE w:val="0"/>
        <w:autoSpaceDN w:val="0"/>
        <w:adjustRightInd w:val="0"/>
        <w:jc w:val="both"/>
      </w:pPr>
      <w:r>
        <w:tab/>
      </w:r>
      <w:r w:rsidR="00C579AE">
        <w:t xml:space="preserve">Based on the evidence contained in the record, </w:t>
      </w:r>
      <w:r>
        <w:t xml:space="preserve">we find that </w:t>
      </w:r>
      <w:r w:rsidR="00C579AE">
        <w:t>FPL’s proposed 2019 SoBRA projects</w:t>
      </w:r>
      <w:r>
        <w:t xml:space="preserve"> </w:t>
      </w:r>
      <w:r w:rsidR="00C579AE">
        <w:t>are projected to produce savings under multiple scenarios</w:t>
      </w:r>
      <w:r w:rsidR="007F1B23">
        <w:t xml:space="preserve">.  </w:t>
      </w:r>
      <w:r w:rsidR="00C579AE">
        <w:t xml:space="preserve">The 2019 SoBRA projects have also met the terms of </w:t>
      </w:r>
      <w:r w:rsidR="00A66B99">
        <w:t xml:space="preserve">the </w:t>
      </w:r>
      <w:r w:rsidR="00C579AE">
        <w:t>2016 Agreement in regards to keeping construction cost under the $1,750 per kW</w:t>
      </w:r>
      <w:r w:rsidR="00C579AE" w:rsidRPr="002A170F">
        <w:rPr>
          <w:vertAlign w:val="subscript"/>
        </w:rPr>
        <w:t>ac</w:t>
      </w:r>
      <w:r w:rsidR="00C579AE">
        <w:t xml:space="preserve"> cost cap.</w:t>
      </w:r>
      <w:r w:rsidR="007F1B23">
        <w:t xml:space="preserve">  These two criteria having been met, we find that the projects are cost effective. </w:t>
      </w:r>
    </w:p>
    <w:p w:rsidR="00CC335C" w:rsidRDefault="00CC335C" w:rsidP="00CC335C">
      <w:pPr>
        <w:ind w:firstLine="720"/>
        <w:jc w:val="both"/>
        <w:rPr>
          <w:rFonts w:ascii="Arial" w:hAnsi="Arial" w:cs="Arial"/>
          <w:b/>
          <w:i/>
        </w:rPr>
      </w:pPr>
    </w:p>
    <w:p w:rsidR="00CC335C" w:rsidRPr="00E17056" w:rsidRDefault="00E17056" w:rsidP="00CC335C">
      <w:pPr>
        <w:pStyle w:val="BodyText"/>
        <w:spacing w:after="0"/>
        <w:jc w:val="both"/>
        <w:rPr>
          <w:u w:val="single"/>
        </w:rPr>
      </w:pPr>
      <w:r>
        <w:tab/>
      </w:r>
      <w:r w:rsidR="007F1B23" w:rsidRPr="00E17056">
        <w:rPr>
          <w:u w:val="single"/>
        </w:rPr>
        <w:t>Revenue requirements</w:t>
      </w:r>
    </w:p>
    <w:p w:rsidR="007F1B23" w:rsidRDefault="007F1B23" w:rsidP="00CC335C">
      <w:pPr>
        <w:pStyle w:val="BodyText"/>
        <w:spacing w:after="0"/>
        <w:jc w:val="both"/>
      </w:pPr>
    </w:p>
    <w:p w:rsidR="0037228E" w:rsidRPr="00FD2B35" w:rsidRDefault="007F1B23" w:rsidP="0037228E">
      <w:pPr>
        <w:autoSpaceDE w:val="0"/>
        <w:autoSpaceDN w:val="0"/>
        <w:adjustRightInd w:val="0"/>
        <w:jc w:val="both"/>
        <w:rPr>
          <w:rFonts w:asciiTheme="minorHAnsi" w:hAnsiTheme="minorHAnsi"/>
          <w:bCs/>
        </w:rPr>
      </w:pPr>
      <w:r>
        <w:tab/>
        <w:t>FPL’s witness Castaneda testified that the annualized jurisdictional revenue requirements for the first 12 months of operations related to the 2019 SoBRA projects are $51,685,45</w:t>
      </w:r>
      <w:r w:rsidRPr="0019419E">
        <w:t xml:space="preserve">4. </w:t>
      </w:r>
      <w:r>
        <w:rPr>
          <w:bCs/>
        </w:rPr>
        <w:t>Witness Castaneda further stated that the</w:t>
      </w:r>
      <w:r>
        <w:t xml:space="preserve"> revenue requirement value was calculated by following the methodologies approved </w:t>
      </w:r>
      <w:r w:rsidR="0037228E">
        <w:t xml:space="preserve">by this Commission </w:t>
      </w:r>
      <w:r>
        <w:t>for FPL’s 2017 and 2018 solar base rate projects, which is the same methodology used for the generation base rate adjustments (GBRA) for Turkey Point Unit 5 and West County Energy Center Units 1 and 2 in Order No. PSC-2005-0902-S-EI,</w:t>
      </w:r>
      <w:r>
        <w:rPr>
          <w:rStyle w:val="FootnoteReference"/>
          <w:rFonts w:eastAsiaTheme="minorHAnsi"/>
        </w:rPr>
        <w:footnoteReference w:id="13"/>
      </w:r>
      <w:r w:rsidR="0037228E">
        <w:t xml:space="preserve"> </w:t>
      </w:r>
      <w:r>
        <w:t>West County Energy Center Unit 3 in Order No. PSC-2011-0089-S-EI,</w:t>
      </w:r>
      <w:r>
        <w:rPr>
          <w:rStyle w:val="FootnoteReference"/>
          <w:rFonts w:eastAsiaTheme="minorHAnsi"/>
        </w:rPr>
        <w:footnoteReference w:id="14"/>
      </w:r>
      <w:r>
        <w:t xml:space="preserve"> and the modernization projects at Canaveral, Riviera Beach, and Port Everglades in Order No. PSC-2013-0023-S-EI.</w:t>
      </w:r>
      <w:r w:rsidRPr="0019419E">
        <w:rPr>
          <w:rStyle w:val="FootnoteReference"/>
          <w:rFonts w:eastAsiaTheme="minorHAnsi"/>
        </w:rPr>
        <w:footnoteReference w:id="15"/>
      </w:r>
      <w:r w:rsidR="0037228E">
        <w:t xml:space="preserve">  The jurisdictional annualized revenue requirement calculation for the 2019 SoBRA projects used several inputs, including the most current estimated capital expenditures presented by FPL witness Brannen.  FIPUG did not sponsor a witness to address this issue or specifically address this issue in its post-hearing brief.</w:t>
      </w:r>
    </w:p>
    <w:p w:rsidR="007F1B23" w:rsidRPr="00CC335C" w:rsidRDefault="007F1B23" w:rsidP="00CC335C">
      <w:pPr>
        <w:pStyle w:val="BodyText"/>
        <w:spacing w:after="0"/>
        <w:jc w:val="both"/>
      </w:pPr>
    </w:p>
    <w:p w:rsidR="0037228E" w:rsidRDefault="0037228E" w:rsidP="0037228E">
      <w:pPr>
        <w:autoSpaceDE w:val="0"/>
        <w:autoSpaceDN w:val="0"/>
        <w:adjustRightInd w:val="0"/>
        <w:jc w:val="both"/>
      </w:pPr>
      <w:r>
        <w:rPr>
          <w:bCs/>
        </w:rPr>
        <w:tab/>
        <w:t xml:space="preserve">Having reviewed the testimony, exhibits, and calculations used by FPL witness Castaneda </w:t>
      </w:r>
      <w:r>
        <w:t>for determining the amount of revenue requirements associated with the 2019 SoBRA projects</w:t>
      </w:r>
      <w:r w:rsidR="006700B5">
        <w:t xml:space="preserve">, </w:t>
      </w:r>
      <w:r>
        <w:t xml:space="preserve">we find them to be reasonable.  Therefore, we find that the jurisdictional annualized revenue requirements associated with the 2019 SoBRA projects are $51,685,454. </w:t>
      </w:r>
    </w:p>
    <w:p w:rsidR="0037228E" w:rsidRDefault="0037228E">
      <w:pPr>
        <w:rPr>
          <w:bCs/>
        </w:rPr>
      </w:pPr>
      <w:r>
        <w:rPr>
          <w:bCs/>
        </w:rPr>
        <w:br w:type="page"/>
      </w:r>
    </w:p>
    <w:p w:rsidR="00571B18" w:rsidRPr="0037228E" w:rsidRDefault="00E17056" w:rsidP="00005D0F">
      <w:pPr>
        <w:pStyle w:val="CenterUnderline"/>
        <w:jc w:val="both"/>
      </w:pPr>
      <w:r>
        <w:rPr>
          <w:u w:val="none"/>
        </w:rPr>
        <w:lastRenderedPageBreak/>
        <w:tab/>
      </w:r>
      <w:r w:rsidR="0037228E" w:rsidRPr="0037228E">
        <w:t>Base Rate Percentage Increase</w:t>
      </w:r>
    </w:p>
    <w:p w:rsidR="00571B18" w:rsidRDefault="00571B18" w:rsidP="00005D0F">
      <w:pPr>
        <w:pStyle w:val="CenterUnderline"/>
        <w:jc w:val="both"/>
        <w:rPr>
          <w:b/>
          <w:u w:val="none"/>
        </w:rPr>
      </w:pPr>
    </w:p>
    <w:p w:rsidR="0037228E" w:rsidRDefault="0037228E" w:rsidP="00E17056">
      <w:pPr>
        <w:autoSpaceDE w:val="0"/>
        <w:autoSpaceDN w:val="0"/>
        <w:adjustRightInd w:val="0"/>
        <w:jc w:val="both"/>
      </w:pPr>
      <w:r>
        <w:rPr>
          <w:b/>
        </w:rPr>
        <w:tab/>
      </w:r>
      <w:r w:rsidRPr="0037228E">
        <w:t>T</w:t>
      </w:r>
      <w:r w:rsidRPr="0037228E">
        <w:rPr>
          <w:bCs/>
        </w:rPr>
        <w:t>h</w:t>
      </w:r>
      <w:r>
        <w:rPr>
          <w:bCs/>
        </w:rPr>
        <w:t xml:space="preserve">e SoBRA factors are incremental cost recovery factors that will be applied to base rate charges in order for the Company to collect the revenue necessary to recover the costs associated with building and operating the 2019 SoBRA projects.  The SoBRA factor is equal to </w:t>
      </w:r>
      <w:r>
        <w:t>the ratio of (1) the Company’s jurisdictional revenue requirements for the Project and (2) the forecasted retail base revenue from electricity sales for the first twelve months of operations, expected to begin March 1, 2019.  FPL’s witness Cohen sponsored an exhibit to demonstrate the inputs and calculations performed to determine the resulting incremental cost recovery factor of 0.795 percent for the 2019 SoBRA projects.</w:t>
      </w:r>
      <w:r w:rsidR="00E17056">
        <w:t xml:space="preserve">  </w:t>
      </w:r>
      <w:r>
        <w:t>FIPUG did not sponsor a witness to address this issue or specifically address this issue in its post-hearing brief.</w:t>
      </w:r>
    </w:p>
    <w:p w:rsidR="00E17056" w:rsidRDefault="00E17056" w:rsidP="00E17056">
      <w:pPr>
        <w:autoSpaceDE w:val="0"/>
        <w:autoSpaceDN w:val="0"/>
        <w:adjustRightInd w:val="0"/>
        <w:jc w:val="both"/>
      </w:pPr>
    </w:p>
    <w:p w:rsidR="00E17056" w:rsidRDefault="00E17056" w:rsidP="00E17056">
      <w:pPr>
        <w:autoSpaceDE w:val="0"/>
        <w:autoSpaceDN w:val="0"/>
        <w:adjustRightInd w:val="0"/>
        <w:jc w:val="both"/>
      </w:pPr>
      <w:r>
        <w:tab/>
        <w:t xml:space="preserve">Having </w:t>
      </w:r>
      <w:r>
        <w:rPr>
          <w:bCs/>
        </w:rPr>
        <w:t xml:space="preserve">reviewed the testimony, exhibits, and calculations used by FPL witness Cohen </w:t>
      </w:r>
      <w:r>
        <w:t>for determining the appropriate incremental cost recovery factor associated with the 2019 SoBRA projects, we find that the appropriate base rate percentage increase (SoBRA Factor) for the 2019 SoBRA projects is 0.795 percent.</w:t>
      </w:r>
    </w:p>
    <w:p w:rsidR="00E17056" w:rsidRDefault="00E17056" w:rsidP="00E17056">
      <w:pPr>
        <w:autoSpaceDE w:val="0"/>
        <w:autoSpaceDN w:val="0"/>
        <w:adjustRightInd w:val="0"/>
        <w:jc w:val="both"/>
        <w:rPr>
          <w:b/>
        </w:rPr>
      </w:pPr>
    </w:p>
    <w:p w:rsidR="00E17056" w:rsidRPr="004A7644" w:rsidRDefault="00E17056" w:rsidP="00E17056">
      <w:pPr>
        <w:autoSpaceDE w:val="0"/>
        <w:autoSpaceDN w:val="0"/>
        <w:adjustRightInd w:val="0"/>
        <w:jc w:val="both"/>
        <w:rPr>
          <w:u w:val="single"/>
        </w:rPr>
      </w:pPr>
      <w:r>
        <w:rPr>
          <w:b/>
        </w:rPr>
        <w:tab/>
      </w:r>
      <w:r w:rsidR="004A7644" w:rsidRPr="004A7644">
        <w:rPr>
          <w:u w:val="single"/>
        </w:rPr>
        <w:t>SoBRA tariffs for 2019 Projects</w:t>
      </w:r>
    </w:p>
    <w:p w:rsidR="00E17056" w:rsidRDefault="00E17056" w:rsidP="00E17056">
      <w:pPr>
        <w:autoSpaceDE w:val="0"/>
        <w:autoSpaceDN w:val="0"/>
        <w:adjustRightInd w:val="0"/>
        <w:jc w:val="both"/>
        <w:rPr>
          <w:b/>
        </w:rPr>
      </w:pPr>
    </w:p>
    <w:p w:rsidR="00E17056" w:rsidRDefault="00E17056" w:rsidP="00E17056">
      <w:pPr>
        <w:autoSpaceDE w:val="0"/>
        <w:autoSpaceDN w:val="0"/>
        <w:adjustRightInd w:val="0"/>
        <w:jc w:val="both"/>
        <w:rPr>
          <w:bCs/>
        </w:rPr>
      </w:pPr>
      <w:r>
        <w:rPr>
          <w:b/>
        </w:rPr>
        <w:tab/>
      </w:r>
      <w:r>
        <w:rPr>
          <w:bCs/>
        </w:rPr>
        <w:t>FPL witness Cohen sponsored exhibits that summarize the tariff changes for the 2019 SoBRA projects, which are scheduled to enter into commercial service on March 1, 2019. Witness Cohen testified that</w:t>
      </w:r>
      <w:r>
        <w:t xml:space="preserve"> the Company will formally notify the Commission by letter of the specific in-service dates for each set of projects, and the base rate changes will become effective on or after that date. </w:t>
      </w:r>
    </w:p>
    <w:p w:rsidR="004A7644" w:rsidRDefault="004A7644" w:rsidP="00E17056">
      <w:pPr>
        <w:jc w:val="both"/>
      </w:pPr>
    </w:p>
    <w:p w:rsidR="00E17056" w:rsidRDefault="00E17056" w:rsidP="00E17056">
      <w:pPr>
        <w:jc w:val="both"/>
      </w:pPr>
      <w:r>
        <w:tab/>
      </w:r>
      <w:r w:rsidR="006435AB">
        <w:t xml:space="preserve">Upon approval </w:t>
      </w:r>
      <w:r>
        <w:t xml:space="preserve">of </w:t>
      </w:r>
      <w:r w:rsidR="006435AB">
        <w:t xml:space="preserve">the proposed </w:t>
      </w:r>
      <w:r>
        <w:t>stipulations</w:t>
      </w:r>
      <w:r w:rsidR="006435AB">
        <w:t xml:space="preserve"> </w:t>
      </w:r>
      <w:r>
        <w:t xml:space="preserve">in this proceeding, </w:t>
      </w:r>
      <w:r w:rsidR="00B34F72">
        <w:t xml:space="preserve">FPL proposes that </w:t>
      </w:r>
      <w:r>
        <w:t xml:space="preserve">new cost recovery factors be implemented in the first billing cycle of January 2019. </w:t>
      </w:r>
      <w:r w:rsidR="007C5862">
        <w:t xml:space="preserve">  </w:t>
      </w:r>
      <w:r>
        <w:t xml:space="preserve">Witness Deaton provided testimony and schedules that reflect the three billing changes that customers can anticipate in 2019. </w:t>
      </w:r>
      <w:r w:rsidR="007C5862">
        <w:t xml:space="preserve"> </w:t>
      </w:r>
      <w:r>
        <w:t>Billing changes summarized below are for a residential customer using 1,000 kWh of electricity per month:</w:t>
      </w:r>
    </w:p>
    <w:p w:rsidR="00E17056" w:rsidRDefault="00E17056" w:rsidP="00E17056">
      <w:pPr>
        <w:tabs>
          <w:tab w:val="left" w:pos="9270"/>
        </w:tabs>
        <w:autoSpaceDE w:val="0"/>
        <w:autoSpaceDN w:val="0"/>
        <w:adjustRightInd w:val="0"/>
        <w:jc w:val="both"/>
        <w:rPr>
          <w:bCs/>
        </w:rPr>
      </w:pPr>
    </w:p>
    <w:p w:rsidR="00E17056" w:rsidRPr="0045157E" w:rsidRDefault="00E17056" w:rsidP="00E17056">
      <w:pPr>
        <w:pStyle w:val="ListParagraph"/>
        <w:numPr>
          <w:ilvl w:val="0"/>
          <w:numId w:val="25"/>
        </w:numPr>
        <w:tabs>
          <w:tab w:val="left" w:pos="9270"/>
        </w:tabs>
        <w:autoSpaceDE w:val="0"/>
        <w:autoSpaceDN w:val="0"/>
        <w:adjustRightInd w:val="0"/>
        <w:jc w:val="both"/>
        <w:rPr>
          <w:bCs/>
        </w:rPr>
      </w:pPr>
      <w:r>
        <w:rPr>
          <w:bCs/>
        </w:rPr>
        <w:t xml:space="preserve">For the January and February 2019 billing cycles, changes to various cost recovery factors will increase customer bills by a total of $1.81 per month. </w:t>
      </w:r>
    </w:p>
    <w:p w:rsidR="00E17056" w:rsidRDefault="00E17056" w:rsidP="00E17056">
      <w:pPr>
        <w:pStyle w:val="ListParagraph"/>
        <w:tabs>
          <w:tab w:val="left" w:pos="9270"/>
        </w:tabs>
        <w:autoSpaceDE w:val="0"/>
        <w:autoSpaceDN w:val="0"/>
        <w:adjustRightInd w:val="0"/>
        <w:jc w:val="both"/>
        <w:rPr>
          <w:bCs/>
        </w:rPr>
      </w:pPr>
    </w:p>
    <w:p w:rsidR="00E17056" w:rsidRDefault="00E17056" w:rsidP="00E17056">
      <w:pPr>
        <w:pStyle w:val="ListParagraph"/>
        <w:numPr>
          <w:ilvl w:val="0"/>
          <w:numId w:val="25"/>
        </w:numPr>
        <w:tabs>
          <w:tab w:val="left" w:pos="9270"/>
        </w:tabs>
        <w:autoSpaceDE w:val="0"/>
        <w:autoSpaceDN w:val="0"/>
        <w:adjustRightInd w:val="0"/>
        <w:jc w:val="both"/>
        <w:rPr>
          <w:bCs/>
        </w:rPr>
      </w:pPr>
      <w:r>
        <w:rPr>
          <w:bCs/>
        </w:rPr>
        <w:t xml:space="preserve">The </w:t>
      </w:r>
      <w:r w:rsidRPr="00B403E9">
        <w:rPr>
          <w:bCs/>
        </w:rPr>
        <w:t>changes attributable to the 2019 SoBRA projects begin in the March</w:t>
      </w:r>
      <w:r>
        <w:rPr>
          <w:bCs/>
        </w:rPr>
        <w:t xml:space="preserve"> 2019 billing cycle will increase customer bills by a total of $0.31 per month. </w:t>
      </w:r>
    </w:p>
    <w:p w:rsidR="00E17056" w:rsidRPr="0056268D" w:rsidRDefault="00E17056" w:rsidP="00E17056">
      <w:pPr>
        <w:tabs>
          <w:tab w:val="left" w:pos="9270"/>
        </w:tabs>
        <w:autoSpaceDE w:val="0"/>
        <w:autoSpaceDN w:val="0"/>
        <w:adjustRightInd w:val="0"/>
        <w:jc w:val="both"/>
        <w:rPr>
          <w:bCs/>
        </w:rPr>
      </w:pPr>
    </w:p>
    <w:p w:rsidR="00E17056" w:rsidRDefault="00E17056" w:rsidP="00E17056">
      <w:pPr>
        <w:pStyle w:val="ListParagraph"/>
        <w:numPr>
          <w:ilvl w:val="0"/>
          <w:numId w:val="25"/>
        </w:numPr>
        <w:tabs>
          <w:tab w:val="left" w:pos="9270"/>
        </w:tabs>
        <w:autoSpaceDE w:val="0"/>
        <w:autoSpaceDN w:val="0"/>
        <w:adjustRightInd w:val="0"/>
        <w:jc w:val="both"/>
        <w:rPr>
          <w:bCs/>
        </w:rPr>
      </w:pPr>
      <w:r>
        <w:rPr>
          <w:bCs/>
        </w:rPr>
        <w:t>A third</w:t>
      </w:r>
      <w:r w:rsidRPr="00B403E9">
        <w:rPr>
          <w:bCs/>
        </w:rPr>
        <w:t xml:space="preserve"> change is anticipated for bills in the June 2019 billing cycle, </w:t>
      </w:r>
      <w:r>
        <w:rPr>
          <w:bCs/>
        </w:rPr>
        <w:t>when the proposed Okeechobee Clean Energy Center enters into commercial service.</w:t>
      </w:r>
      <w:r>
        <w:rPr>
          <w:rStyle w:val="FootnoteReference"/>
          <w:rFonts w:eastAsiaTheme="minorHAnsi"/>
          <w:bCs/>
        </w:rPr>
        <w:footnoteReference w:id="16"/>
      </w:r>
      <w:r>
        <w:rPr>
          <w:bCs/>
        </w:rPr>
        <w:t xml:space="preserve"> </w:t>
      </w:r>
      <w:r w:rsidR="007C5862">
        <w:rPr>
          <w:bCs/>
        </w:rPr>
        <w:t xml:space="preserve"> </w:t>
      </w:r>
      <w:r>
        <w:rPr>
          <w:bCs/>
        </w:rPr>
        <w:t>This change will increase customer bills by a total of $0.44 per month.</w:t>
      </w:r>
      <w:r w:rsidRPr="00C717E6">
        <w:rPr>
          <w:bCs/>
        </w:rPr>
        <w:t xml:space="preserve"> </w:t>
      </w:r>
    </w:p>
    <w:p w:rsidR="006435AB" w:rsidRDefault="006435AB" w:rsidP="00E17056">
      <w:pPr>
        <w:tabs>
          <w:tab w:val="left" w:pos="9270"/>
        </w:tabs>
        <w:autoSpaceDE w:val="0"/>
        <w:autoSpaceDN w:val="0"/>
        <w:adjustRightInd w:val="0"/>
        <w:jc w:val="both"/>
        <w:rPr>
          <w:bCs/>
        </w:rPr>
      </w:pPr>
    </w:p>
    <w:p w:rsidR="00E17056" w:rsidRDefault="006435AB" w:rsidP="006435AB">
      <w:r>
        <w:tab/>
      </w:r>
      <w:r w:rsidR="00E17056">
        <w:t>All of these</w:t>
      </w:r>
      <w:r w:rsidR="00E17056" w:rsidRPr="00B403E9">
        <w:t xml:space="preserve"> billing change</w:t>
      </w:r>
      <w:r w:rsidR="00E17056">
        <w:t xml:space="preserve"> impacts</w:t>
      </w:r>
      <w:r w:rsidR="00E17056" w:rsidRPr="00B403E9">
        <w:t xml:space="preserve"> are shown in Table </w:t>
      </w:r>
      <w:r w:rsidR="006E6771">
        <w:t>5</w:t>
      </w:r>
      <w:r w:rsidR="00E17056">
        <w:t xml:space="preserve"> below: </w:t>
      </w:r>
    </w:p>
    <w:p w:rsidR="00E17056" w:rsidRDefault="00E17056" w:rsidP="00E17056">
      <w:pPr>
        <w:tabs>
          <w:tab w:val="left" w:pos="9270"/>
        </w:tabs>
        <w:autoSpaceDE w:val="0"/>
        <w:autoSpaceDN w:val="0"/>
        <w:adjustRightInd w:val="0"/>
        <w:jc w:val="both"/>
        <w:rPr>
          <w:bCs/>
        </w:rPr>
      </w:pPr>
    </w:p>
    <w:p w:rsidR="00E17056" w:rsidRPr="007C5862" w:rsidRDefault="00E17056" w:rsidP="00E17056">
      <w:pPr>
        <w:tabs>
          <w:tab w:val="left" w:pos="9270"/>
        </w:tabs>
        <w:autoSpaceDE w:val="0"/>
        <w:autoSpaceDN w:val="0"/>
        <w:adjustRightInd w:val="0"/>
        <w:jc w:val="center"/>
        <w:rPr>
          <w:bCs/>
        </w:rPr>
      </w:pPr>
      <w:r w:rsidRPr="007C5862">
        <w:rPr>
          <w:bCs/>
        </w:rPr>
        <w:t xml:space="preserve">Table </w:t>
      </w:r>
      <w:r w:rsidR="006435AB">
        <w:rPr>
          <w:bCs/>
        </w:rPr>
        <w:t>5</w:t>
      </w:r>
    </w:p>
    <w:p w:rsidR="00E17056" w:rsidRPr="007C5862" w:rsidRDefault="00E17056" w:rsidP="00E17056">
      <w:pPr>
        <w:tabs>
          <w:tab w:val="left" w:pos="9270"/>
        </w:tabs>
        <w:autoSpaceDE w:val="0"/>
        <w:autoSpaceDN w:val="0"/>
        <w:adjustRightInd w:val="0"/>
        <w:jc w:val="center"/>
        <w:rPr>
          <w:bCs/>
        </w:rPr>
      </w:pPr>
      <w:r w:rsidRPr="007C5862">
        <w:rPr>
          <w:bCs/>
        </w:rPr>
        <w:t>FPL’s Residential Bill Impact for the period January-December, 2019</w:t>
      </w:r>
    </w:p>
    <w:tbl>
      <w:tblPr>
        <w:tblW w:w="937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7"/>
        <w:gridCol w:w="262"/>
        <w:gridCol w:w="1355"/>
        <w:gridCol w:w="262"/>
        <w:gridCol w:w="1177"/>
        <w:gridCol w:w="262"/>
        <w:gridCol w:w="1239"/>
        <w:gridCol w:w="262"/>
        <w:gridCol w:w="1177"/>
        <w:gridCol w:w="262"/>
        <w:gridCol w:w="1400"/>
      </w:tblGrid>
      <w:tr w:rsidR="00E17056" w:rsidTr="006700B5">
        <w:trPr>
          <w:trHeight w:val="1602"/>
        </w:trPr>
        <w:tc>
          <w:tcPr>
            <w:tcW w:w="1979" w:type="dxa"/>
            <w:gridSpan w:val="2"/>
            <w:tcBorders>
              <w:top w:val="single" w:sz="4" w:space="0" w:color="auto"/>
              <w:bottom w:val="single" w:sz="4" w:space="0" w:color="auto"/>
            </w:tcBorders>
            <w:shd w:val="clear" w:color="auto" w:fill="FFFFFF" w:themeFill="background1"/>
            <w:noWrap/>
            <w:vAlign w:val="center"/>
            <w:hideMark/>
          </w:tcPr>
          <w:p w:rsidR="00E17056" w:rsidRDefault="00E17056" w:rsidP="006700B5">
            <w:pPr>
              <w:jc w:val="center"/>
              <w:rPr>
                <w:rFonts w:ascii="Calibri" w:hAnsi="Calibri"/>
                <w:color w:val="000000"/>
                <w:sz w:val="20"/>
                <w:szCs w:val="20"/>
              </w:rPr>
            </w:pPr>
            <w:r>
              <w:rPr>
                <w:rFonts w:ascii="Calibri" w:hAnsi="Calibri"/>
                <w:color w:val="000000"/>
                <w:sz w:val="20"/>
                <w:szCs w:val="20"/>
              </w:rPr>
              <w:t>Bill Components</w:t>
            </w:r>
          </w:p>
        </w:tc>
        <w:tc>
          <w:tcPr>
            <w:tcW w:w="1355" w:type="dxa"/>
            <w:tcBorders>
              <w:top w:val="single" w:sz="4" w:space="0" w:color="auto"/>
              <w:bottom w:val="single" w:sz="4" w:space="0" w:color="auto"/>
            </w:tcBorders>
            <w:shd w:val="clear" w:color="auto" w:fill="FFFFFF" w:themeFill="background1"/>
            <w:vAlign w:val="center"/>
            <w:hideMark/>
          </w:tcPr>
          <w:p w:rsidR="00E17056" w:rsidRDefault="00E17056" w:rsidP="006700B5">
            <w:pPr>
              <w:jc w:val="center"/>
              <w:rPr>
                <w:rFonts w:ascii="Calibri" w:hAnsi="Calibri"/>
                <w:color w:val="000000"/>
                <w:sz w:val="20"/>
                <w:szCs w:val="20"/>
              </w:rPr>
            </w:pPr>
            <w:r>
              <w:rPr>
                <w:rFonts w:ascii="Calibri" w:hAnsi="Calibri"/>
                <w:color w:val="000000"/>
                <w:sz w:val="20"/>
                <w:szCs w:val="20"/>
              </w:rPr>
              <w:t xml:space="preserve">Present (2018) </w:t>
            </w:r>
          </w:p>
        </w:tc>
        <w:tc>
          <w:tcPr>
            <w:tcW w:w="1439" w:type="dxa"/>
            <w:gridSpan w:val="2"/>
            <w:tcBorders>
              <w:top w:val="single" w:sz="4" w:space="0" w:color="auto"/>
              <w:bottom w:val="single" w:sz="4" w:space="0" w:color="auto"/>
            </w:tcBorders>
            <w:shd w:val="clear" w:color="auto" w:fill="FFFFFF" w:themeFill="background1"/>
            <w:vAlign w:val="center"/>
            <w:hideMark/>
          </w:tcPr>
          <w:p w:rsidR="00E17056" w:rsidRDefault="00E17056" w:rsidP="007C5862">
            <w:pPr>
              <w:jc w:val="center"/>
              <w:rPr>
                <w:rFonts w:ascii="Calibri" w:hAnsi="Calibri"/>
                <w:color w:val="000000"/>
                <w:sz w:val="20"/>
                <w:szCs w:val="20"/>
              </w:rPr>
            </w:pPr>
            <w:r>
              <w:rPr>
                <w:rFonts w:ascii="Calibri" w:hAnsi="Calibri"/>
                <w:color w:val="000000"/>
                <w:sz w:val="20"/>
                <w:szCs w:val="20"/>
              </w:rPr>
              <w:t>Proposed in Projection filing (Jan and Feb, 201</w:t>
            </w:r>
            <w:r w:rsidR="007C5862">
              <w:rPr>
                <w:rFonts w:ascii="Calibri" w:hAnsi="Calibri"/>
                <w:color w:val="000000"/>
                <w:sz w:val="20"/>
                <w:szCs w:val="20"/>
              </w:rPr>
              <w:t>9</w:t>
            </w:r>
            <w:r>
              <w:rPr>
                <w:rFonts w:ascii="Calibri" w:hAnsi="Calibri"/>
                <w:color w:val="000000"/>
                <w:sz w:val="20"/>
                <w:szCs w:val="20"/>
              </w:rPr>
              <w:t xml:space="preserve">) </w:t>
            </w:r>
          </w:p>
        </w:tc>
        <w:tc>
          <w:tcPr>
            <w:tcW w:w="262" w:type="dxa"/>
            <w:tcBorders>
              <w:top w:val="single" w:sz="4" w:space="0" w:color="auto"/>
              <w:bottom w:val="single" w:sz="4" w:space="0" w:color="auto"/>
            </w:tcBorders>
            <w:shd w:val="clear" w:color="auto" w:fill="FFFFFF" w:themeFill="background1"/>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w:t>
            </w:r>
          </w:p>
        </w:tc>
        <w:tc>
          <w:tcPr>
            <w:tcW w:w="1239" w:type="dxa"/>
            <w:tcBorders>
              <w:top w:val="single" w:sz="4" w:space="0" w:color="auto"/>
              <w:bottom w:val="single" w:sz="4" w:space="0" w:color="auto"/>
            </w:tcBorders>
            <w:shd w:val="clear" w:color="auto" w:fill="FFFFFF" w:themeFill="background1"/>
            <w:vAlign w:val="center"/>
            <w:hideMark/>
          </w:tcPr>
          <w:p w:rsidR="00E17056" w:rsidRDefault="00E17056" w:rsidP="006700B5">
            <w:pPr>
              <w:jc w:val="center"/>
              <w:rPr>
                <w:rFonts w:ascii="Calibri" w:hAnsi="Calibri"/>
                <w:color w:val="000000"/>
                <w:sz w:val="20"/>
                <w:szCs w:val="20"/>
              </w:rPr>
            </w:pPr>
            <w:r>
              <w:rPr>
                <w:rFonts w:ascii="Calibri" w:hAnsi="Calibri"/>
                <w:color w:val="000000"/>
                <w:sz w:val="20"/>
                <w:szCs w:val="20"/>
              </w:rPr>
              <w:t>Change from 2018</w:t>
            </w:r>
          </w:p>
        </w:tc>
        <w:tc>
          <w:tcPr>
            <w:tcW w:w="1439" w:type="dxa"/>
            <w:gridSpan w:val="2"/>
            <w:tcBorders>
              <w:top w:val="single" w:sz="4" w:space="0" w:color="auto"/>
              <w:bottom w:val="single" w:sz="4" w:space="0" w:color="auto"/>
            </w:tcBorders>
            <w:shd w:val="clear" w:color="auto" w:fill="FFFFFF" w:themeFill="background1"/>
            <w:vAlign w:val="center"/>
            <w:hideMark/>
          </w:tcPr>
          <w:p w:rsidR="00E17056" w:rsidRDefault="00E17056" w:rsidP="006700B5">
            <w:pPr>
              <w:jc w:val="center"/>
              <w:rPr>
                <w:rFonts w:ascii="Calibri" w:hAnsi="Calibri"/>
                <w:color w:val="000000"/>
                <w:sz w:val="20"/>
                <w:szCs w:val="20"/>
              </w:rPr>
            </w:pPr>
            <w:r>
              <w:rPr>
                <w:rFonts w:ascii="Calibri" w:hAnsi="Calibri"/>
                <w:color w:val="000000"/>
                <w:sz w:val="20"/>
                <w:szCs w:val="20"/>
              </w:rPr>
              <w:t xml:space="preserve">Proposed in Projection filing (March-May, 2019), incl. 2019 SoBRAs </w:t>
            </w:r>
          </w:p>
        </w:tc>
        <w:tc>
          <w:tcPr>
            <w:tcW w:w="1662" w:type="dxa"/>
            <w:gridSpan w:val="2"/>
            <w:tcBorders>
              <w:top w:val="single" w:sz="4" w:space="0" w:color="auto"/>
              <w:bottom w:val="single" w:sz="4" w:space="0" w:color="auto"/>
            </w:tcBorders>
            <w:shd w:val="clear" w:color="auto" w:fill="FFFFFF" w:themeFill="background1"/>
            <w:vAlign w:val="center"/>
            <w:hideMark/>
          </w:tcPr>
          <w:p w:rsidR="00E17056" w:rsidRDefault="00E17056" w:rsidP="006700B5">
            <w:pPr>
              <w:jc w:val="center"/>
              <w:rPr>
                <w:rFonts w:ascii="Calibri" w:hAnsi="Calibri"/>
                <w:color w:val="000000"/>
                <w:sz w:val="20"/>
                <w:szCs w:val="20"/>
              </w:rPr>
            </w:pPr>
            <w:r>
              <w:rPr>
                <w:rFonts w:ascii="Calibri" w:hAnsi="Calibri"/>
                <w:color w:val="000000"/>
                <w:sz w:val="20"/>
                <w:szCs w:val="20"/>
              </w:rPr>
              <w:t>Proposed in Projection filing (June-Dec, 2019), incl. SoBRAs and new power plant</w:t>
            </w:r>
          </w:p>
        </w:tc>
      </w:tr>
      <w:tr w:rsidR="00E17056" w:rsidTr="006700B5">
        <w:trPr>
          <w:trHeight w:val="300"/>
        </w:trPr>
        <w:tc>
          <w:tcPr>
            <w:tcW w:w="1979" w:type="dxa"/>
            <w:gridSpan w:val="2"/>
            <w:tcBorders>
              <w:top w:val="single" w:sz="4" w:space="0" w:color="auto"/>
            </w:tcBorders>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Base Rate Charges</w:t>
            </w:r>
          </w:p>
        </w:tc>
        <w:tc>
          <w:tcPr>
            <w:tcW w:w="1355"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$66.88</w:t>
            </w:r>
          </w:p>
        </w:tc>
        <w:tc>
          <w:tcPr>
            <w:tcW w:w="262"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$66.88</w:t>
            </w:r>
          </w:p>
        </w:tc>
        <w:tc>
          <w:tcPr>
            <w:tcW w:w="262"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$0.00</w:t>
            </w:r>
          </w:p>
        </w:tc>
        <w:tc>
          <w:tcPr>
            <w:tcW w:w="262" w:type="dxa"/>
            <w:tcBorders>
              <w:top w:val="single" w:sz="4" w:space="0" w:color="auto"/>
            </w:tcBorders>
            <w:shd w:val="clear" w:color="auto" w:fill="auto"/>
            <w:noWrap/>
            <w:vAlign w:val="bottom"/>
            <w:hideMark/>
          </w:tcPr>
          <w:p w:rsidR="00E17056" w:rsidRDefault="00E17056" w:rsidP="006700B5">
            <w:pPr>
              <w:rPr>
                <w:rFonts w:ascii="Calibri" w:hAnsi="Calibri"/>
                <w:color w:val="000000"/>
                <w:sz w:val="20"/>
                <w:szCs w:val="20"/>
              </w:rPr>
            </w:pPr>
          </w:p>
        </w:tc>
        <w:tc>
          <w:tcPr>
            <w:tcW w:w="1177"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$67.41</w:t>
            </w:r>
          </w:p>
        </w:tc>
        <w:tc>
          <w:tcPr>
            <w:tcW w:w="262" w:type="dxa"/>
            <w:tcBorders>
              <w:top w:val="single" w:sz="4" w:space="0" w:color="auto"/>
            </w:tcBorders>
            <w:shd w:val="clear" w:color="auto" w:fill="auto"/>
            <w:noWrap/>
            <w:vAlign w:val="bottom"/>
            <w:hideMark/>
          </w:tcPr>
          <w:p w:rsidR="00E17056" w:rsidRDefault="00E17056" w:rsidP="006700B5">
            <w:pPr>
              <w:rPr>
                <w:rFonts w:ascii="Calibri" w:hAnsi="Calibri"/>
                <w:color w:val="000000"/>
                <w:sz w:val="20"/>
                <w:szCs w:val="20"/>
              </w:rPr>
            </w:pPr>
          </w:p>
        </w:tc>
        <w:tc>
          <w:tcPr>
            <w:tcW w:w="1400" w:type="dxa"/>
            <w:tcBorders>
              <w:top w:val="single" w:sz="4" w:space="0" w:color="auto"/>
            </w:tcBorders>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$69.46</w:t>
            </w:r>
          </w:p>
        </w:tc>
      </w:tr>
      <w:tr w:rsidR="00E17056" w:rsidTr="006700B5">
        <w:trPr>
          <w:trHeight w:val="300"/>
        </w:trPr>
        <w:tc>
          <w:tcPr>
            <w:tcW w:w="1979" w:type="dxa"/>
            <w:gridSpan w:val="2"/>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Fuel Cost Recovery</w:t>
            </w:r>
          </w:p>
        </w:tc>
        <w:tc>
          <w:tcPr>
            <w:tcW w:w="1355"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$22.93</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$24.12</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$1.19</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$23.89</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$22.27</w:t>
            </w:r>
          </w:p>
        </w:tc>
      </w:tr>
      <w:tr w:rsidR="00E17056" w:rsidTr="006700B5">
        <w:trPr>
          <w:trHeight w:val="300"/>
        </w:trPr>
        <w:tc>
          <w:tcPr>
            <w:tcW w:w="1979" w:type="dxa"/>
            <w:gridSpan w:val="2"/>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Capacity Cost recovery</w:t>
            </w:r>
          </w:p>
        </w:tc>
        <w:tc>
          <w:tcPr>
            <w:tcW w:w="1355"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$2.34</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$2.58</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$0.24</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$2.58</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$2.58</w:t>
            </w:r>
          </w:p>
        </w:tc>
      </w:tr>
      <w:tr w:rsidR="00E17056" w:rsidTr="006700B5">
        <w:trPr>
          <w:trHeight w:val="300"/>
        </w:trPr>
        <w:tc>
          <w:tcPr>
            <w:tcW w:w="1979" w:type="dxa"/>
            <w:gridSpan w:val="2"/>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Energy Conservation</w:t>
            </w:r>
          </w:p>
        </w:tc>
        <w:tc>
          <w:tcPr>
            <w:tcW w:w="1355"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$1.53</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$1.50</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-$0.03</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$1.50</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$1.50</w:t>
            </w:r>
          </w:p>
        </w:tc>
      </w:tr>
      <w:tr w:rsidR="00E17056" w:rsidTr="006700B5">
        <w:trPr>
          <w:trHeight w:val="300"/>
        </w:trPr>
        <w:tc>
          <w:tcPr>
            <w:tcW w:w="1979" w:type="dxa"/>
            <w:gridSpan w:val="2"/>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xml:space="preserve">Environmental </w:t>
            </w:r>
          </w:p>
        </w:tc>
        <w:tc>
          <w:tcPr>
            <w:tcW w:w="1355"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$1.22</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$1.59</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$0.37</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$1.59</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$1.59</w:t>
            </w:r>
          </w:p>
        </w:tc>
      </w:tr>
      <w:tr w:rsidR="00E17056" w:rsidTr="006700B5">
        <w:trPr>
          <w:trHeight w:val="300"/>
        </w:trPr>
        <w:tc>
          <w:tcPr>
            <w:tcW w:w="1979" w:type="dxa"/>
            <w:gridSpan w:val="2"/>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Storm Restoration</w:t>
            </w:r>
          </w:p>
        </w:tc>
        <w:tc>
          <w:tcPr>
            <w:tcW w:w="1355" w:type="dxa"/>
            <w:shd w:val="clear" w:color="auto" w:fill="auto"/>
            <w:noWrap/>
            <w:vAlign w:val="bottom"/>
            <w:hideMark/>
          </w:tcPr>
          <w:p w:rsidR="00E17056" w:rsidRDefault="00E17056" w:rsidP="006700B5">
            <w:pPr>
              <w:jc w:val="center"/>
              <w:rPr>
                <w:rFonts w:ascii="Calibri" w:hAnsi="Calibri"/>
                <w:color w:val="000000"/>
                <w:sz w:val="20"/>
                <w:szCs w:val="20"/>
                <w:u w:val="single"/>
              </w:rPr>
            </w:pPr>
            <w:r>
              <w:rPr>
                <w:rFonts w:ascii="Calibri" w:hAnsi="Calibri"/>
                <w:color w:val="000000"/>
                <w:sz w:val="20"/>
                <w:szCs w:val="20"/>
                <w:u w:val="single"/>
              </w:rPr>
              <w:t>$1.24</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u w:val="single"/>
              </w:rPr>
            </w:pPr>
            <w:r>
              <w:rPr>
                <w:rFonts w:ascii="Calibri" w:hAnsi="Calibri"/>
                <w:color w:val="000000"/>
                <w:sz w:val="20"/>
                <w:szCs w:val="20"/>
                <w:u w:val="single"/>
              </w:rPr>
              <w:t>$1.24</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u w:val="single"/>
              </w:rPr>
            </w:pPr>
            <w:r>
              <w:rPr>
                <w:rFonts w:ascii="Calibri" w:hAnsi="Calibri"/>
                <w:color w:val="000000"/>
                <w:sz w:val="20"/>
                <w:szCs w:val="20"/>
                <w:u w:val="single"/>
              </w:rPr>
              <w:t>$0.00</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u w:val="single"/>
              </w:rPr>
            </w:pPr>
            <w:r>
              <w:rPr>
                <w:rFonts w:ascii="Calibri" w:hAnsi="Calibri"/>
                <w:color w:val="000000"/>
                <w:sz w:val="20"/>
                <w:szCs w:val="20"/>
                <w:u w:val="single"/>
              </w:rPr>
              <w:t>$1.24</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u w:val="single"/>
              </w:rPr>
            </w:pPr>
            <w:r>
              <w:rPr>
                <w:rFonts w:ascii="Calibri" w:hAnsi="Calibri"/>
                <w:color w:val="000000"/>
                <w:sz w:val="20"/>
                <w:szCs w:val="20"/>
                <w:u w:val="single"/>
              </w:rPr>
              <w:t>$1.24</w:t>
            </w:r>
          </w:p>
        </w:tc>
      </w:tr>
      <w:tr w:rsidR="00E17056" w:rsidTr="006700B5">
        <w:trPr>
          <w:trHeight w:val="300"/>
        </w:trPr>
        <w:tc>
          <w:tcPr>
            <w:tcW w:w="1717"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355" w:type="dxa"/>
            <w:shd w:val="clear" w:color="auto" w:fill="auto"/>
            <w:noWrap/>
            <w:vAlign w:val="bottom"/>
            <w:hideMark/>
          </w:tcPr>
          <w:p w:rsidR="00E17056" w:rsidRDefault="00E17056" w:rsidP="006700B5">
            <w:pPr>
              <w:rPr>
                <w:rFonts w:ascii="Calibri" w:hAnsi="Calibri"/>
                <w:color w:val="000000"/>
                <w:sz w:val="22"/>
                <w:szCs w:val="22"/>
              </w:rPr>
            </w:pPr>
          </w:p>
        </w:tc>
        <w:tc>
          <w:tcPr>
            <w:tcW w:w="262" w:type="dxa"/>
            <w:shd w:val="clear" w:color="auto" w:fill="auto"/>
            <w:noWrap/>
            <w:vAlign w:val="bottom"/>
            <w:hideMark/>
          </w:tcPr>
          <w:p w:rsidR="00E17056" w:rsidRDefault="00E17056" w:rsidP="006700B5">
            <w:pPr>
              <w:jc w:val="center"/>
              <w:rPr>
                <w:rFonts w:ascii="Calibri" w:hAnsi="Calibri"/>
                <w:color w:val="000000"/>
                <w:sz w:val="20"/>
                <w:szCs w:val="20"/>
                <w:u w:val="single"/>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u w:val="single"/>
              </w:rPr>
            </w:pPr>
          </w:p>
        </w:tc>
        <w:tc>
          <w:tcPr>
            <w:tcW w:w="262" w:type="dxa"/>
            <w:shd w:val="clear" w:color="auto" w:fill="auto"/>
            <w:noWrap/>
            <w:vAlign w:val="bottom"/>
            <w:hideMark/>
          </w:tcPr>
          <w:p w:rsidR="00E17056" w:rsidRDefault="00E17056" w:rsidP="006700B5">
            <w:pPr>
              <w:jc w:val="center"/>
              <w:rPr>
                <w:rFonts w:ascii="Calibri" w:hAnsi="Calibri"/>
                <w:color w:val="000000"/>
                <w:sz w:val="20"/>
                <w:szCs w:val="20"/>
                <w:u w:val="single"/>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u w:val="single"/>
              </w:rPr>
            </w:pP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u w:val="single"/>
              </w:rPr>
            </w:pP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 </w:t>
            </w:r>
          </w:p>
        </w:tc>
      </w:tr>
      <w:tr w:rsidR="00E17056" w:rsidTr="006700B5">
        <w:trPr>
          <w:trHeight w:val="300"/>
        </w:trPr>
        <w:tc>
          <w:tcPr>
            <w:tcW w:w="1717"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Sub-Total</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355"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$96.14</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$97.91</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$1.77</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$98.21</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$98.64</w:t>
            </w:r>
          </w:p>
        </w:tc>
      </w:tr>
      <w:tr w:rsidR="00E17056" w:rsidTr="006700B5">
        <w:trPr>
          <w:trHeight w:val="300"/>
        </w:trPr>
        <w:tc>
          <w:tcPr>
            <w:tcW w:w="1979" w:type="dxa"/>
            <w:gridSpan w:val="2"/>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Gross Receipts Tax</w:t>
            </w:r>
          </w:p>
        </w:tc>
        <w:tc>
          <w:tcPr>
            <w:tcW w:w="1355"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$2.47</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$2.51</w:t>
            </w: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$0.04</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$2.52</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$2.53</w:t>
            </w:r>
          </w:p>
        </w:tc>
      </w:tr>
      <w:tr w:rsidR="00E17056" w:rsidTr="006700B5">
        <w:trPr>
          <w:trHeight w:val="300"/>
        </w:trPr>
        <w:tc>
          <w:tcPr>
            <w:tcW w:w="1717"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w:t>
            </w: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355" w:type="dxa"/>
            <w:shd w:val="clear" w:color="auto" w:fill="auto"/>
            <w:noWrap/>
            <w:vAlign w:val="bottom"/>
            <w:hideMark/>
          </w:tcPr>
          <w:p w:rsidR="00E17056" w:rsidRDefault="00E17056" w:rsidP="006700B5">
            <w:pPr>
              <w:rPr>
                <w:rFonts w:ascii="Calibri" w:hAnsi="Calibri"/>
                <w:color w:val="000000"/>
                <w:sz w:val="22"/>
                <w:szCs w:val="22"/>
              </w:rPr>
            </w:pP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262"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177" w:type="dxa"/>
            <w:shd w:val="clear" w:color="auto" w:fill="auto"/>
            <w:noWrap/>
            <w:vAlign w:val="bottom"/>
            <w:hideMark/>
          </w:tcPr>
          <w:p w:rsidR="00E17056" w:rsidRDefault="00E17056" w:rsidP="006700B5">
            <w:pPr>
              <w:jc w:val="center"/>
              <w:rPr>
                <w:rFonts w:ascii="Calibri" w:hAnsi="Calibri"/>
                <w:color w:val="000000"/>
                <w:sz w:val="20"/>
                <w:szCs w:val="20"/>
              </w:rPr>
            </w:pPr>
          </w:p>
        </w:tc>
        <w:tc>
          <w:tcPr>
            <w:tcW w:w="262" w:type="dxa"/>
            <w:shd w:val="clear" w:color="auto" w:fill="auto"/>
            <w:noWrap/>
            <w:vAlign w:val="bottom"/>
            <w:hideMark/>
          </w:tcPr>
          <w:p w:rsidR="00E17056" w:rsidRDefault="00E17056" w:rsidP="006700B5">
            <w:pPr>
              <w:rPr>
                <w:rFonts w:ascii="Calibri" w:hAnsi="Calibri"/>
                <w:color w:val="000000"/>
                <w:sz w:val="20"/>
                <w:szCs w:val="20"/>
              </w:rPr>
            </w:pPr>
          </w:p>
        </w:tc>
        <w:tc>
          <w:tcPr>
            <w:tcW w:w="1400"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 </w:t>
            </w:r>
          </w:p>
        </w:tc>
      </w:tr>
      <w:tr w:rsidR="00E17056" w:rsidTr="006700B5">
        <w:trPr>
          <w:trHeight w:val="315"/>
        </w:trPr>
        <w:tc>
          <w:tcPr>
            <w:tcW w:w="1717"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TOTAL</w:t>
            </w:r>
          </w:p>
        </w:tc>
        <w:tc>
          <w:tcPr>
            <w:tcW w:w="262"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w:t>
            </w:r>
          </w:p>
        </w:tc>
        <w:tc>
          <w:tcPr>
            <w:tcW w:w="1355" w:type="dxa"/>
            <w:shd w:val="clear" w:color="auto" w:fill="auto"/>
            <w:noWrap/>
            <w:vAlign w:val="bottom"/>
            <w:hideMark/>
          </w:tcPr>
          <w:p w:rsidR="00E17056" w:rsidRDefault="00E17056" w:rsidP="006700B5">
            <w:pPr>
              <w:jc w:val="center"/>
              <w:rPr>
                <w:rFonts w:ascii="Calibri" w:hAnsi="Calibri"/>
                <w:b/>
                <w:bCs/>
                <w:color w:val="000000"/>
                <w:sz w:val="20"/>
                <w:szCs w:val="20"/>
                <w:u w:val="double"/>
              </w:rPr>
            </w:pPr>
            <w:r>
              <w:rPr>
                <w:rFonts w:ascii="Calibri" w:hAnsi="Calibri"/>
                <w:b/>
                <w:bCs/>
                <w:color w:val="000000"/>
                <w:sz w:val="20"/>
                <w:szCs w:val="20"/>
                <w:u w:val="double"/>
              </w:rPr>
              <w:t>$98.61</w:t>
            </w:r>
          </w:p>
        </w:tc>
        <w:tc>
          <w:tcPr>
            <w:tcW w:w="262" w:type="dxa"/>
            <w:shd w:val="clear" w:color="auto" w:fill="auto"/>
            <w:noWrap/>
            <w:vAlign w:val="bottom"/>
            <w:hideMark/>
          </w:tcPr>
          <w:p w:rsidR="00E17056" w:rsidRDefault="00E17056" w:rsidP="006700B5">
            <w:pPr>
              <w:jc w:val="center"/>
              <w:rPr>
                <w:rFonts w:ascii="Calibri" w:hAnsi="Calibri"/>
                <w:b/>
                <w:bCs/>
                <w:color w:val="000000"/>
                <w:sz w:val="20"/>
                <w:szCs w:val="20"/>
                <w:u w:val="double"/>
              </w:rPr>
            </w:pPr>
          </w:p>
        </w:tc>
        <w:tc>
          <w:tcPr>
            <w:tcW w:w="1177" w:type="dxa"/>
            <w:shd w:val="clear" w:color="auto" w:fill="auto"/>
            <w:noWrap/>
            <w:vAlign w:val="bottom"/>
            <w:hideMark/>
          </w:tcPr>
          <w:p w:rsidR="00E17056" w:rsidRDefault="00E17056" w:rsidP="006700B5">
            <w:pPr>
              <w:jc w:val="center"/>
              <w:rPr>
                <w:rFonts w:ascii="Calibri" w:hAnsi="Calibri"/>
                <w:b/>
                <w:bCs/>
                <w:color w:val="000000"/>
                <w:sz w:val="20"/>
                <w:szCs w:val="20"/>
                <w:u w:val="double"/>
              </w:rPr>
            </w:pPr>
            <w:r>
              <w:rPr>
                <w:rFonts w:ascii="Calibri" w:hAnsi="Calibri"/>
                <w:b/>
                <w:bCs/>
                <w:color w:val="000000"/>
                <w:sz w:val="20"/>
                <w:szCs w:val="20"/>
                <w:u w:val="double"/>
              </w:rPr>
              <w:t>$100.42</w:t>
            </w:r>
          </w:p>
        </w:tc>
        <w:tc>
          <w:tcPr>
            <w:tcW w:w="262" w:type="dxa"/>
            <w:shd w:val="clear" w:color="auto" w:fill="auto"/>
            <w:noWrap/>
            <w:vAlign w:val="bottom"/>
            <w:hideMark/>
          </w:tcPr>
          <w:p w:rsidR="00E17056" w:rsidRDefault="00E17056" w:rsidP="006700B5">
            <w:pPr>
              <w:jc w:val="center"/>
              <w:rPr>
                <w:rFonts w:ascii="Calibri" w:hAnsi="Calibri"/>
                <w:b/>
                <w:bCs/>
                <w:color w:val="000000"/>
                <w:sz w:val="20"/>
                <w:szCs w:val="20"/>
                <w:u w:val="double"/>
              </w:rPr>
            </w:pPr>
          </w:p>
        </w:tc>
        <w:tc>
          <w:tcPr>
            <w:tcW w:w="1239" w:type="dxa"/>
            <w:shd w:val="clear" w:color="auto" w:fill="auto"/>
            <w:noWrap/>
            <w:vAlign w:val="bottom"/>
            <w:hideMark/>
          </w:tcPr>
          <w:p w:rsidR="00E17056" w:rsidRDefault="00E17056" w:rsidP="006700B5">
            <w:pPr>
              <w:jc w:val="center"/>
              <w:rPr>
                <w:rFonts w:ascii="Calibri" w:hAnsi="Calibri"/>
                <w:color w:val="000000"/>
                <w:sz w:val="20"/>
                <w:szCs w:val="20"/>
              </w:rPr>
            </w:pPr>
            <w:r>
              <w:rPr>
                <w:rFonts w:ascii="Calibri" w:hAnsi="Calibri"/>
                <w:color w:val="000000"/>
                <w:sz w:val="20"/>
                <w:szCs w:val="20"/>
              </w:rPr>
              <w:t>$1.81</w:t>
            </w:r>
          </w:p>
        </w:tc>
        <w:tc>
          <w:tcPr>
            <w:tcW w:w="262"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w:t>
            </w:r>
          </w:p>
        </w:tc>
        <w:tc>
          <w:tcPr>
            <w:tcW w:w="1177" w:type="dxa"/>
            <w:shd w:val="clear" w:color="auto" w:fill="auto"/>
            <w:noWrap/>
            <w:vAlign w:val="bottom"/>
            <w:hideMark/>
          </w:tcPr>
          <w:p w:rsidR="00E17056" w:rsidRDefault="00E17056" w:rsidP="006700B5">
            <w:pPr>
              <w:jc w:val="center"/>
              <w:rPr>
                <w:rFonts w:ascii="Calibri" w:hAnsi="Calibri"/>
                <w:b/>
                <w:bCs/>
                <w:color w:val="000000"/>
                <w:sz w:val="20"/>
                <w:szCs w:val="20"/>
                <w:u w:val="double"/>
              </w:rPr>
            </w:pPr>
            <w:r>
              <w:rPr>
                <w:rFonts w:ascii="Calibri" w:hAnsi="Calibri"/>
                <w:b/>
                <w:bCs/>
                <w:color w:val="000000"/>
                <w:sz w:val="20"/>
                <w:szCs w:val="20"/>
                <w:u w:val="double"/>
              </w:rPr>
              <w:t>$100.73</w:t>
            </w:r>
          </w:p>
        </w:tc>
        <w:tc>
          <w:tcPr>
            <w:tcW w:w="262" w:type="dxa"/>
            <w:shd w:val="clear" w:color="auto" w:fill="auto"/>
            <w:noWrap/>
            <w:vAlign w:val="bottom"/>
            <w:hideMark/>
          </w:tcPr>
          <w:p w:rsidR="00E17056" w:rsidRDefault="00E17056" w:rsidP="006700B5">
            <w:pPr>
              <w:rPr>
                <w:rFonts w:ascii="Calibri" w:hAnsi="Calibri"/>
                <w:color w:val="000000"/>
                <w:sz w:val="20"/>
                <w:szCs w:val="20"/>
              </w:rPr>
            </w:pPr>
            <w:r>
              <w:rPr>
                <w:rFonts w:ascii="Calibri" w:hAnsi="Calibri"/>
                <w:color w:val="000000"/>
                <w:sz w:val="20"/>
                <w:szCs w:val="20"/>
              </w:rPr>
              <w:t> </w:t>
            </w:r>
          </w:p>
        </w:tc>
        <w:tc>
          <w:tcPr>
            <w:tcW w:w="1400" w:type="dxa"/>
            <w:shd w:val="clear" w:color="auto" w:fill="auto"/>
            <w:noWrap/>
            <w:vAlign w:val="bottom"/>
            <w:hideMark/>
          </w:tcPr>
          <w:p w:rsidR="00E17056" w:rsidRDefault="00E17056" w:rsidP="006700B5">
            <w:pPr>
              <w:jc w:val="center"/>
              <w:rPr>
                <w:rFonts w:ascii="Calibri" w:hAnsi="Calibri"/>
                <w:b/>
                <w:bCs/>
                <w:color w:val="000000"/>
                <w:sz w:val="20"/>
                <w:szCs w:val="20"/>
                <w:u w:val="double"/>
              </w:rPr>
            </w:pPr>
            <w:r>
              <w:rPr>
                <w:rFonts w:ascii="Calibri" w:hAnsi="Calibri"/>
                <w:b/>
                <w:bCs/>
                <w:color w:val="000000"/>
                <w:sz w:val="20"/>
                <w:szCs w:val="20"/>
                <w:u w:val="double"/>
              </w:rPr>
              <w:t>$101.17</w:t>
            </w:r>
          </w:p>
        </w:tc>
      </w:tr>
    </w:tbl>
    <w:p w:rsidR="00E17056" w:rsidRDefault="00E17056" w:rsidP="00E17056">
      <w:pPr>
        <w:jc w:val="both"/>
        <w:rPr>
          <w:rFonts w:ascii="Calibri" w:hAnsi="Calibri"/>
          <w:color w:val="000000"/>
          <w:sz w:val="16"/>
          <w:szCs w:val="16"/>
        </w:rPr>
      </w:pPr>
      <w:r>
        <w:rPr>
          <w:bCs/>
        </w:rPr>
        <w:t xml:space="preserve">  </w:t>
      </w:r>
      <w:r w:rsidRPr="00AF679B">
        <w:rPr>
          <w:bCs/>
          <w:sz w:val="20"/>
          <w:szCs w:val="20"/>
        </w:rPr>
        <w:t>Source:</w:t>
      </w:r>
      <w:r>
        <w:rPr>
          <w:bCs/>
        </w:rPr>
        <w:t xml:space="preserve"> </w:t>
      </w:r>
      <w:r>
        <w:rPr>
          <w:color w:val="000000"/>
          <w:sz w:val="20"/>
          <w:szCs w:val="20"/>
        </w:rPr>
        <w:t>EXH</w:t>
      </w:r>
      <w:r w:rsidRPr="00AF679B">
        <w:rPr>
          <w:color w:val="000000"/>
          <w:sz w:val="20"/>
          <w:szCs w:val="20"/>
        </w:rPr>
        <w:t xml:space="preserve"> </w:t>
      </w:r>
      <w:r>
        <w:rPr>
          <w:color w:val="000000"/>
          <w:sz w:val="20"/>
          <w:szCs w:val="20"/>
        </w:rPr>
        <w:t>19 (f/k/a, Exhibit RBD-7</w:t>
      </w:r>
      <w:r w:rsidRPr="00AF679B">
        <w:rPr>
          <w:color w:val="000000"/>
          <w:sz w:val="20"/>
          <w:szCs w:val="20"/>
        </w:rPr>
        <w:t xml:space="preserve"> (Appendix </w:t>
      </w:r>
      <w:r>
        <w:rPr>
          <w:color w:val="000000"/>
          <w:sz w:val="20"/>
          <w:szCs w:val="20"/>
        </w:rPr>
        <w:t>IV – 2019 FCR Projections), Page 7 of 7)</w:t>
      </w:r>
    </w:p>
    <w:p w:rsidR="00E17056" w:rsidRPr="00720292" w:rsidRDefault="00E17056" w:rsidP="00E17056">
      <w:pPr>
        <w:tabs>
          <w:tab w:val="left" w:pos="9270"/>
        </w:tabs>
        <w:autoSpaceDE w:val="0"/>
        <w:autoSpaceDN w:val="0"/>
        <w:adjustRightInd w:val="0"/>
        <w:jc w:val="both"/>
        <w:rPr>
          <w:bCs/>
        </w:rPr>
      </w:pPr>
    </w:p>
    <w:p w:rsidR="007C5862" w:rsidRDefault="00E17056" w:rsidP="007C5862">
      <w:pPr>
        <w:autoSpaceDE w:val="0"/>
        <w:autoSpaceDN w:val="0"/>
        <w:adjustRightInd w:val="0"/>
        <w:jc w:val="both"/>
        <w:rPr>
          <w:b/>
        </w:rPr>
      </w:pPr>
      <w:r>
        <w:t>FIPUG did not sponsor a witness to address this issue or specifically address this issue in its post-hearing brief.</w:t>
      </w:r>
    </w:p>
    <w:p w:rsidR="007C5862" w:rsidRDefault="007C5862" w:rsidP="007C5862">
      <w:pPr>
        <w:autoSpaceDE w:val="0"/>
        <w:autoSpaceDN w:val="0"/>
        <w:adjustRightInd w:val="0"/>
        <w:jc w:val="both"/>
        <w:rPr>
          <w:b/>
        </w:rPr>
      </w:pPr>
    </w:p>
    <w:p w:rsidR="00B34F72" w:rsidRPr="00E37727" w:rsidRDefault="007C5862" w:rsidP="00B34F72">
      <w:pPr>
        <w:autoSpaceDE w:val="0"/>
        <w:autoSpaceDN w:val="0"/>
        <w:adjustRightInd w:val="0"/>
        <w:jc w:val="both"/>
      </w:pPr>
      <w:r>
        <w:rPr>
          <w:b/>
        </w:rPr>
        <w:tab/>
      </w:r>
      <w:r w:rsidR="00B34F72">
        <w:rPr>
          <w:bCs/>
        </w:rPr>
        <w:t>FPL’s 2016 Agreement outlines three principle considerations for the approval of the 2019 SoBRA projects:  1) the cost effectiveness of the 2019 Projects; 2) the amount of revenue requirements for the 2019 Projects; and 3) the appropriate percentage increase in base rates needed to recover the revenue requirement amounts for the 2019 Projects.  These percentage increases are reflected as recovery factors, as discussed above.</w:t>
      </w:r>
    </w:p>
    <w:p w:rsidR="00B34F72" w:rsidRDefault="00B34F72" w:rsidP="00B34F72">
      <w:pPr>
        <w:autoSpaceDE w:val="0"/>
        <w:autoSpaceDN w:val="0"/>
        <w:adjustRightInd w:val="0"/>
        <w:jc w:val="both"/>
        <w:rPr>
          <w:bCs/>
        </w:rPr>
      </w:pPr>
    </w:p>
    <w:p w:rsidR="00B34F72" w:rsidRDefault="00B34F72" w:rsidP="007C5862">
      <w:pPr>
        <w:autoSpaceDE w:val="0"/>
        <w:autoSpaceDN w:val="0"/>
        <w:adjustRightInd w:val="0"/>
        <w:jc w:val="both"/>
      </w:pPr>
      <w:r>
        <w:rPr>
          <w:bCs/>
        </w:rPr>
        <w:tab/>
        <w:t xml:space="preserve">Based on our </w:t>
      </w:r>
      <w:r w:rsidR="004A7644">
        <w:rPr>
          <w:bCs/>
        </w:rPr>
        <w:t>approval of the 2019 SoBRA Projects</w:t>
      </w:r>
      <w:r>
        <w:rPr>
          <w:bCs/>
        </w:rPr>
        <w:t xml:space="preserve">, we </w:t>
      </w:r>
      <w:r w:rsidR="004A7644">
        <w:rPr>
          <w:bCs/>
        </w:rPr>
        <w:t>hereby approve tariff</w:t>
      </w:r>
      <w:r w:rsidR="006435AB">
        <w:rPr>
          <w:bCs/>
        </w:rPr>
        <w:t xml:space="preserve"> sheets which reflect our decisions with an effective date on or after the date that the 2019 SoBRA projects are placed into service upon written notice being filed with the Clerk.  Further, we hereby give our staff </w:t>
      </w:r>
      <w:r>
        <w:t>administrative authority to approve revised tariff sheets for FPL reflecting the base rate percentage increases for the 2019 SoBRA projects as stated herein.</w:t>
      </w:r>
    </w:p>
    <w:p w:rsidR="00B34F72" w:rsidRDefault="00B34F72" w:rsidP="007C5862">
      <w:pPr>
        <w:autoSpaceDE w:val="0"/>
        <w:autoSpaceDN w:val="0"/>
        <w:adjustRightInd w:val="0"/>
        <w:jc w:val="both"/>
      </w:pPr>
    </w:p>
    <w:p w:rsidR="00571B18" w:rsidRDefault="00B34F72" w:rsidP="007C5862">
      <w:pPr>
        <w:autoSpaceDE w:val="0"/>
        <w:autoSpaceDN w:val="0"/>
        <w:adjustRightInd w:val="0"/>
        <w:jc w:val="both"/>
        <w:rPr>
          <w:b/>
        </w:rPr>
      </w:pPr>
      <w:r w:rsidRPr="00B34F72">
        <w:rPr>
          <w:b/>
        </w:rPr>
        <w:t>O</w:t>
      </w:r>
      <w:r w:rsidR="00571B18">
        <w:rPr>
          <w:b/>
        </w:rPr>
        <w:t>THER MATTERS</w:t>
      </w:r>
    </w:p>
    <w:p w:rsidR="00571B18" w:rsidRDefault="00571B18" w:rsidP="00005D0F">
      <w:pPr>
        <w:pStyle w:val="CenterUnderline"/>
        <w:jc w:val="both"/>
        <w:rPr>
          <w:b/>
          <w:u w:val="none"/>
        </w:rPr>
      </w:pPr>
    </w:p>
    <w:p w:rsidR="00571B18" w:rsidRDefault="00571B18" w:rsidP="00571B18">
      <w:pPr>
        <w:pStyle w:val="BodyText"/>
        <w:jc w:val="both"/>
        <w:rPr>
          <w:bCs/>
        </w:rPr>
      </w:pPr>
      <w:r>
        <w:rPr>
          <w:b/>
        </w:rPr>
        <w:tab/>
      </w:r>
      <w:r>
        <w:rPr>
          <w:bCs/>
        </w:rPr>
        <w:t xml:space="preserve">Per stipulation of the parties, the new fuel adjustment and capacity factors shall become effective beginning with the first billing cycle for January 2019 through the last billing cycle for December 2019.  The first billing cycle may start before January 1, 2019, and the last cycle may be read after December 31, 2019, so that each customer is billed for twelve months regardless of </w:t>
      </w:r>
      <w:r>
        <w:rPr>
          <w:bCs/>
        </w:rPr>
        <w:lastRenderedPageBreak/>
        <w:t>when the recovery factors became effective.  The new factors shall continue in effect until modified by us.</w:t>
      </w:r>
    </w:p>
    <w:p w:rsidR="00571B18" w:rsidRPr="00675E9A" w:rsidRDefault="00571B18" w:rsidP="00571B18">
      <w:pPr>
        <w:pStyle w:val="BodyText"/>
        <w:jc w:val="both"/>
        <w:rPr>
          <w:bCs/>
        </w:rPr>
      </w:pPr>
      <w:r>
        <w:rPr>
          <w:bCs/>
        </w:rPr>
        <w:tab/>
        <w:t xml:space="preserve">We hereby approve revised tariffs reflecting the fuel adjustment factors and capacity cost recovery factors determined to be appropriate in this proceeding.  We direct staff to verify that the revised tariffs are consistent with our decision.  </w:t>
      </w:r>
    </w:p>
    <w:p w:rsidR="00571B18" w:rsidRDefault="00571B18" w:rsidP="00571B18">
      <w:pPr>
        <w:pStyle w:val="BodyText"/>
        <w:jc w:val="both"/>
        <w:rPr>
          <w:bCs/>
        </w:rPr>
      </w:pPr>
      <w:r>
        <w:rPr>
          <w:bCs/>
        </w:rPr>
        <w:tab/>
        <w:t>Based on the foregoing, it is</w:t>
      </w:r>
    </w:p>
    <w:p w:rsidR="00571B18" w:rsidRDefault="00571B18" w:rsidP="00571B18">
      <w:pPr>
        <w:pStyle w:val="BodyText"/>
        <w:jc w:val="both"/>
        <w:rPr>
          <w:bCs/>
        </w:rPr>
      </w:pPr>
      <w:r>
        <w:rPr>
          <w:bCs/>
        </w:rPr>
        <w:tab/>
        <w:t>ORDERED by the Florida Public Service Commission that the findings set forth in the body of, and Attachments A and B to, this Order are hereby approved.  It is further</w:t>
      </w:r>
    </w:p>
    <w:p w:rsidR="00571B18" w:rsidRPr="00773A9E" w:rsidRDefault="00571B18" w:rsidP="00571B18">
      <w:pPr>
        <w:pStyle w:val="BodyText"/>
        <w:jc w:val="both"/>
        <w:rPr>
          <w:bCs/>
        </w:rPr>
      </w:pPr>
      <w:r>
        <w:rPr>
          <w:bCs/>
        </w:rPr>
        <w:tab/>
        <w:t xml:space="preserve">ORDERED that Florida Power &amp; Light Company, </w:t>
      </w:r>
      <w:r>
        <w:t>Florida Public Utilities Company, Gulf Power Company, Duke Energy Florida, LLC, and Tampa Electric Company are hereby authorized to apply the fuel cost recovery factors set forth herein during the period January 201</w:t>
      </w:r>
      <w:r w:rsidR="00787261">
        <w:t>9</w:t>
      </w:r>
      <w:r>
        <w:t xml:space="preserve"> through December 201</w:t>
      </w:r>
      <w:r w:rsidR="00787261">
        <w:t>9</w:t>
      </w:r>
      <w:r>
        <w:t>.  It is further</w:t>
      </w:r>
    </w:p>
    <w:p w:rsidR="00571B18" w:rsidRDefault="00571B18" w:rsidP="00571B18">
      <w:pPr>
        <w:pStyle w:val="BodyText"/>
        <w:jc w:val="both"/>
      </w:pPr>
      <w:r w:rsidRPr="00773A9E">
        <w:rPr>
          <w:bCs/>
        </w:rPr>
        <w:tab/>
      </w:r>
      <w:r>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571B18" w:rsidRDefault="00571B18" w:rsidP="00571B18">
      <w:pPr>
        <w:pStyle w:val="BodyText"/>
        <w:jc w:val="both"/>
      </w:pPr>
      <w:r>
        <w:tab/>
        <w:t>ORDERED that Florida Power &amp; Light Company, Florida Public Utilities Company, Gulf Power Company, Duke Energy Florida, LLC, and Tampa Electric Company are hereby authorized to apply the capacity cost recovery factors set forth herein during the period January 201</w:t>
      </w:r>
      <w:r w:rsidR="00787261">
        <w:t>9</w:t>
      </w:r>
      <w:r>
        <w:t xml:space="preserve"> through December 201</w:t>
      </w:r>
      <w:r w:rsidR="00787261">
        <w:t>9</w:t>
      </w:r>
      <w:r>
        <w:t>.  It is further</w:t>
      </w:r>
    </w:p>
    <w:p w:rsidR="00571B18" w:rsidRDefault="00571B18" w:rsidP="00571B18">
      <w:pPr>
        <w:pStyle w:val="BodyText"/>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571B18" w:rsidRDefault="00571B18" w:rsidP="00571B18">
      <w:pPr>
        <w:pStyle w:val="BodyText"/>
        <w:jc w:val="both"/>
      </w:pPr>
      <w:r>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4A7644" w:rsidRDefault="00571B18" w:rsidP="00571B18">
      <w:pPr>
        <w:jc w:val="both"/>
      </w:pPr>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r w:rsidR="004A7644">
        <w:t xml:space="preserve">  </w:t>
      </w:r>
    </w:p>
    <w:p w:rsidR="006435AB" w:rsidRDefault="004A7644" w:rsidP="006435AB">
      <w:pPr>
        <w:jc w:val="both"/>
      </w:pPr>
      <w:r>
        <w:tab/>
      </w:r>
    </w:p>
    <w:p w:rsidR="006435AB" w:rsidRDefault="006435AB">
      <w:r>
        <w:br w:type="page"/>
      </w:r>
    </w:p>
    <w:p w:rsidR="006435AB" w:rsidRDefault="006435AB" w:rsidP="006435AB">
      <w:pPr>
        <w:keepNext/>
        <w:keepLines/>
        <w:jc w:val="both"/>
      </w:pPr>
      <w:r>
        <w:lastRenderedPageBreak/>
        <w:tab/>
        <w:t xml:space="preserve">By ORDER of the Florida Public Service Commission this </w:t>
      </w:r>
      <w:bookmarkStart w:id="5" w:name="replaceDate"/>
      <w:bookmarkEnd w:id="5"/>
      <w:r w:rsidR="001E55B1">
        <w:rPr>
          <w:u w:val="single"/>
        </w:rPr>
        <w:t>26th</w:t>
      </w:r>
      <w:r w:rsidR="001E55B1">
        <w:t xml:space="preserve"> day of </w:t>
      </w:r>
      <w:r w:rsidR="001E55B1">
        <w:rPr>
          <w:u w:val="single"/>
        </w:rPr>
        <w:t>December</w:t>
      </w:r>
      <w:r w:rsidR="001E55B1">
        <w:t xml:space="preserve">, </w:t>
      </w:r>
      <w:r w:rsidR="001E55B1">
        <w:rPr>
          <w:u w:val="single"/>
        </w:rPr>
        <w:t>2018</w:t>
      </w:r>
      <w:r w:rsidR="001E55B1">
        <w:t>.</w:t>
      </w:r>
    </w:p>
    <w:p w:rsidR="001E55B1" w:rsidRDefault="001E55B1" w:rsidP="006435AB">
      <w:pPr>
        <w:keepNext/>
        <w:keepLines/>
        <w:jc w:val="both"/>
      </w:pPr>
    </w:p>
    <w:p w:rsidR="001E55B1" w:rsidRDefault="001E55B1" w:rsidP="006435AB">
      <w:pPr>
        <w:keepNext/>
        <w:keepLines/>
        <w:jc w:val="both"/>
      </w:pPr>
    </w:p>
    <w:p w:rsidR="001E55B1" w:rsidRPr="001E55B1" w:rsidRDefault="001E55B1" w:rsidP="006435A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435AB" w:rsidTr="006435AB">
        <w:tc>
          <w:tcPr>
            <w:tcW w:w="720" w:type="dxa"/>
            <w:shd w:val="clear" w:color="auto" w:fill="auto"/>
          </w:tcPr>
          <w:p w:rsidR="006435AB" w:rsidRDefault="006435AB" w:rsidP="006435AB">
            <w:pPr>
              <w:keepNext/>
              <w:keepLines/>
              <w:jc w:val="both"/>
            </w:pPr>
            <w:bookmarkStart w:id="6" w:name="bkmrkSignature" w:colFirst="0" w:colLast="0"/>
          </w:p>
        </w:tc>
        <w:tc>
          <w:tcPr>
            <w:tcW w:w="4320" w:type="dxa"/>
            <w:tcBorders>
              <w:bottom w:val="single" w:sz="4" w:space="0" w:color="auto"/>
            </w:tcBorders>
            <w:shd w:val="clear" w:color="auto" w:fill="auto"/>
          </w:tcPr>
          <w:p w:rsidR="006435AB" w:rsidRDefault="001E55B1" w:rsidP="006435AB">
            <w:pPr>
              <w:keepNext/>
              <w:keepLines/>
              <w:jc w:val="both"/>
            </w:pPr>
            <w:r>
              <w:t>/s/ Carlotta S. Stauffer</w:t>
            </w:r>
            <w:bookmarkStart w:id="7" w:name="_GoBack"/>
            <w:bookmarkEnd w:id="7"/>
          </w:p>
        </w:tc>
      </w:tr>
      <w:bookmarkEnd w:id="6"/>
      <w:tr w:rsidR="006435AB" w:rsidTr="006435AB">
        <w:tc>
          <w:tcPr>
            <w:tcW w:w="720" w:type="dxa"/>
            <w:shd w:val="clear" w:color="auto" w:fill="auto"/>
          </w:tcPr>
          <w:p w:rsidR="006435AB" w:rsidRDefault="006435AB" w:rsidP="006435AB">
            <w:pPr>
              <w:keepNext/>
              <w:keepLines/>
              <w:jc w:val="both"/>
            </w:pPr>
          </w:p>
        </w:tc>
        <w:tc>
          <w:tcPr>
            <w:tcW w:w="4320" w:type="dxa"/>
            <w:tcBorders>
              <w:top w:val="single" w:sz="4" w:space="0" w:color="auto"/>
            </w:tcBorders>
            <w:shd w:val="clear" w:color="auto" w:fill="auto"/>
          </w:tcPr>
          <w:p w:rsidR="006435AB" w:rsidRDefault="006435AB" w:rsidP="006435AB">
            <w:pPr>
              <w:keepNext/>
              <w:keepLines/>
              <w:jc w:val="both"/>
            </w:pPr>
            <w:r>
              <w:t>CARLOTTA S. STAUFFER</w:t>
            </w:r>
          </w:p>
          <w:p w:rsidR="006435AB" w:rsidRDefault="006435AB" w:rsidP="006435AB">
            <w:pPr>
              <w:keepNext/>
              <w:keepLines/>
              <w:jc w:val="both"/>
            </w:pPr>
            <w:r>
              <w:t>Commission Clerk</w:t>
            </w:r>
          </w:p>
        </w:tc>
      </w:tr>
    </w:tbl>
    <w:p w:rsidR="006435AB" w:rsidRDefault="006435AB" w:rsidP="006435AB">
      <w:pPr>
        <w:pStyle w:val="OrderSigInfo"/>
        <w:keepNext/>
        <w:keepLines/>
      </w:pPr>
      <w:r>
        <w:t>Florida Public Service Commission</w:t>
      </w:r>
    </w:p>
    <w:p w:rsidR="006435AB" w:rsidRDefault="006435AB" w:rsidP="006435AB">
      <w:pPr>
        <w:pStyle w:val="OrderSigInfo"/>
        <w:keepNext/>
        <w:keepLines/>
      </w:pPr>
      <w:r>
        <w:t>2540 Shumard Oak Boulevard</w:t>
      </w:r>
    </w:p>
    <w:p w:rsidR="006435AB" w:rsidRDefault="006435AB" w:rsidP="006435AB">
      <w:pPr>
        <w:pStyle w:val="OrderSigInfo"/>
        <w:keepNext/>
        <w:keepLines/>
      </w:pPr>
      <w:r>
        <w:t>Tallahassee, Florida 32399</w:t>
      </w:r>
    </w:p>
    <w:p w:rsidR="006435AB" w:rsidRDefault="006435AB" w:rsidP="006435AB">
      <w:pPr>
        <w:pStyle w:val="OrderSigInfo"/>
        <w:keepNext/>
        <w:keepLines/>
      </w:pPr>
      <w:r>
        <w:t>(850) 413</w:t>
      </w:r>
      <w:r>
        <w:noBreakHyphen/>
        <w:t>6770</w:t>
      </w:r>
    </w:p>
    <w:p w:rsidR="006435AB" w:rsidRDefault="006435AB" w:rsidP="006435AB">
      <w:pPr>
        <w:pStyle w:val="OrderSigInfo"/>
        <w:keepNext/>
        <w:keepLines/>
      </w:pPr>
      <w:r>
        <w:t>www.floridapsc.com</w:t>
      </w:r>
    </w:p>
    <w:p w:rsidR="006435AB" w:rsidRDefault="006435AB" w:rsidP="006435AB">
      <w:pPr>
        <w:pStyle w:val="OrderSigInfo"/>
        <w:keepNext/>
        <w:keepLines/>
      </w:pPr>
    </w:p>
    <w:p w:rsidR="006435AB" w:rsidRDefault="006435AB" w:rsidP="006435AB">
      <w:pPr>
        <w:pStyle w:val="OrderSigInfo"/>
        <w:keepNext/>
        <w:keepLines/>
      </w:pPr>
      <w:r>
        <w:t>Copies furnished:  A copy of this document is provided to the parties of record at the time of issuance and, if applicable, interested persons.</w:t>
      </w:r>
    </w:p>
    <w:p w:rsidR="006435AB" w:rsidRDefault="006435AB" w:rsidP="006435AB">
      <w:pPr>
        <w:pStyle w:val="OrderBody"/>
        <w:keepNext/>
        <w:keepLines/>
      </w:pPr>
    </w:p>
    <w:p w:rsidR="006435AB" w:rsidRDefault="006435AB" w:rsidP="006435AB">
      <w:pPr>
        <w:keepNext/>
        <w:keepLines/>
        <w:jc w:val="both"/>
      </w:pPr>
    </w:p>
    <w:p w:rsidR="006435AB" w:rsidRDefault="006435AB" w:rsidP="006435AB">
      <w:pPr>
        <w:keepNext/>
        <w:keepLines/>
        <w:jc w:val="both"/>
      </w:pPr>
      <w:r>
        <w:t>SBr</w:t>
      </w:r>
    </w:p>
    <w:p w:rsidR="006435AB" w:rsidRDefault="006435AB" w:rsidP="006435AB">
      <w:pPr>
        <w:jc w:val="both"/>
      </w:pPr>
    </w:p>
    <w:p w:rsidR="00787261" w:rsidRDefault="00787261" w:rsidP="00787261">
      <w:pPr>
        <w:pStyle w:val="CenterUnderline"/>
      </w:pPr>
      <w:r>
        <w:t>NOTICE OF FURTHER PROCEEDINGS OR JUDICIAL REVIEW</w:t>
      </w:r>
    </w:p>
    <w:p w:rsidR="00787261" w:rsidRDefault="00787261" w:rsidP="00787261">
      <w:pPr>
        <w:pStyle w:val="CenterUnderline"/>
      </w:pPr>
    </w:p>
    <w:p w:rsidR="00787261" w:rsidRDefault="00787261" w:rsidP="00787261">
      <w:pPr>
        <w:pStyle w:val="OrderBody"/>
      </w:pPr>
    </w:p>
    <w:p w:rsidR="00787261" w:rsidRDefault="00787261" w:rsidP="007872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7261" w:rsidRDefault="00787261" w:rsidP="00787261">
      <w:pPr>
        <w:pStyle w:val="OrderBody"/>
      </w:pPr>
    </w:p>
    <w:p w:rsidR="00787261" w:rsidRDefault="00787261" w:rsidP="0078726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7261" w:rsidRDefault="00787261" w:rsidP="00787261">
      <w:pPr>
        <w:pStyle w:val="OrderBody"/>
      </w:pPr>
    </w:p>
    <w:p w:rsidR="00787261" w:rsidRDefault="00787261">
      <w:r>
        <w:br w:type="page"/>
      </w:r>
    </w:p>
    <w:p w:rsidR="00787261" w:rsidRDefault="00787261" w:rsidP="00787261">
      <w:pPr>
        <w:pStyle w:val="OrderBody"/>
        <w:jc w:val="right"/>
      </w:pPr>
      <w:r>
        <w:lastRenderedPageBreak/>
        <w:t>ATTACHMENT A</w:t>
      </w:r>
    </w:p>
    <w:p w:rsidR="00787261" w:rsidRDefault="00787261" w:rsidP="00787261">
      <w:pPr>
        <w:pStyle w:val="OrderBody"/>
      </w:pPr>
    </w:p>
    <w:p w:rsidR="00064659" w:rsidRPr="00064659" w:rsidRDefault="00064659" w:rsidP="00064659">
      <w:pPr>
        <w:pStyle w:val="OrderBody"/>
        <w:jc w:val="center"/>
        <w:rPr>
          <w:b/>
          <w:u w:val="single"/>
        </w:rPr>
      </w:pPr>
      <w:r w:rsidRPr="00064659">
        <w:rPr>
          <w:b/>
          <w:u w:val="single"/>
        </w:rPr>
        <w:t>APPROVED TYPE 2 STIPULATIONS</w:t>
      </w:r>
      <w:r w:rsidR="00F329C0">
        <w:rPr>
          <w:rStyle w:val="FootnoteReference"/>
          <w:b/>
          <w:u w:val="single"/>
        </w:rPr>
        <w:footnoteReference w:id="17"/>
      </w:r>
    </w:p>
    <w:p w:rsidR="00064659" w:rsidRDefault="00064659" w:rsidP="00064659">
      <w:pPr>
        <w:pStyle w:val="OrderBody"/>
        <w:jc w:val="center"/>
      </w:pPr>
    </w:p>
    <w:p w:rsidR="009570AF" w:rsidRDefault="009570AF" w:rsidP="009570AF">
      <w:pPr>
        <w:pStyle w:val="OrderBody"/>
        <w:ind w:left="1440" w:hanging="1440"/>
        <w:rPr>
          <w:b/>
        </w:rPr>
      </w:pPr>
      <w:r>
        <w:rPr>
          <w:b/>
          <w:u w:val="single"/>
        </w:rPr>
        <w:t>ISSUE 1B:</w:t>
      </w:r>
      <w:r>
        <w:tab/>
      </w:r>
      <w:r>
        <w:rPr>
          <w:b/>
        </w:rPr>
        <w:t>Has DEF made appropriate adjustments, if any are needed, to account for replacement costs associated with the February 2017 forced outage at the Bartow plant?  If appropriate adjustments are needed and have not been made, what adjustment(s) should be made?</w:t>
      </w:r>
    </w:p>
    <w:p w:rsidR="009570AF" w:rsidRDefault="009570AF" w:rsidP="009570AF">
      <w:pPr>
        <w:pStyle w:val="OrderBody"/>
        <w:ind w:left="1440" w:hanging="1440"/>
        <w:rPr>
          <w:b/>
        </w:rPr>
      </w:pPr>
    </w:p>
    <w:p w:rsidR="009570AF" w:rsidRDefault="009570AF" w:rsidP="009570AF">
      <w:pPr>
        <w:pStyle w:val="OrderBody"/>
        <w:ind w:left="1440" w:hanging="1440"/>
        <w:rPr>
          <w:b/>
          <w:u w:val="single"/>
        </w:rPr>
      </w:pPr>
      <w:r>
        <w:rPr>
          <w:b/>
          <w:u w:val="single"/>
        </w:rPr>
        <w:t>STIPULATION:</w:t>
      </w:r>
    </w:p>
    <w:p w:rsidR="009570AF" w:rsidRDefault="009570AF" w:rsidP="009570AF">
      <w:pPr>
        <w:pStyle w:val="OrderBody"/>
        <w:ind w:left="1440" w:hanging="1440"/>
        <w:rPr>
          <w:b/>
          <w:u w:val="single"/>
        </w:rPr>
      </w:pPr>
    </w:p>
    <w:p w:rsidR="009570AF" w:rsidRDefault="009570AF" w:rsidP="009570AF">
      <w:pPr>
        <w:pStyle w:val="OrderBody"/>
        <w:ind w:left="1440" w:hanging="1440"/>
      </w:pPr>
      <w:r>
        <w:rPr>
          <w:b/>
        </w:rPr>
        <w:tab/>
      </w:r>
      <w:r>
        <w:t>The parties agree:</w:t>
      </w:r>
    </w:p>
    <w:p w:rsidR="009570AF" w:rsidRDefault="009570AF" w:rsidP="009570AF">
      <w:pPr>
        <w:pStyle w:val="OrderBody"/>
        <w:ind w:left="1440" w:hanging="1440"/>
      </w:pPr>
      <w:r>
        <w:tab/>
        <w:t>A.</w:t>
      </w:r>
      <w:r>
        <w:tab/>
        <w:t>To allow recovery of replacement power costs of $11.1 million subject to final true-up in a subsequent fuel docket, based on availability of essential information.</w:t>
      </w:r>
    </w:p>
    <w:p w:rsidR="009570AF" w:rsidRDefault="009570AF" w:rsidP="009570AF">
      <w:pPr>
        <w:pStyle w:val="OrderBody"/>
        <w:ind w:left="1440" w:hanging="1440"/>
      </w:pPr>
      <w:r>
        <w:tab/>
        <w:t>B.</w:t>
      </w:r>
      <w:r>
        <w:tab/>
        <w:t>DEF will file a revised request for confidentiality for the Root Cause Analysis attached to Jeffery Swartz’s Exhibit JS-1.</w:t>
      </w:r>
    </w:p>
    <w:p w:rsidR="00064659" w:rsidRDefault="009570AF" w:rsidP="009570AF">
      <w:pPr>
        <w:pStyle w:val="OrderBody"/>
        <w:ind w:left="1440" w:hanging="1440"/>
      </w:pPr>
      <w:r>
        <w:tab/>
        <w:t>C.</w:t>
      </w:r>
      <w:r>
        <w:tab/>
        <w:t>This stipulation will resolve Issue 1B and fall-out Issues 8, 10, 18, 20 and 22</w:t>
      </w:r>
      <w:r w:rsidR="00064659">
        <w:t>.</w:t>
      </w:r>
    </w:p>
    <w:p w:rsidR="009570AF" w:rsidRPr="009570AF" w:rsidRDefault="00064659" w:rsidP="009570AF">
      <w:pPr>
        <w:pStyle w:val="OrderBody"/>
        <w:ind w:left="1440" w:hanging="1440"/>
      </w:pPr>
      <w:r>
        <w:tab/>
        <w:t>D.</w:t>
      </w:r>
      <w:r>
        <w:tab/>
        <w:t>N</w:t>
      </w:r>
      <w:r w:rsidR="009570AF">
        <w:t xml:space="preserve">o briefs will be filed on </w:t>
      </w:r>
      <w:r>
        <w:t>I</w:t>
      </w:r>
      <w:r w:rsidR="009570AF">
        <w:t>ssues</w:t>
      </w:r>
      <w:r>
        <w:t xml:space="preserve"> 1B, 8, 10, 18, 20 and 22.</w:t>
      </w:r>
      <w:r w:rsidR="009570AF">
        <w:t xml:space="preserve"> </w:t>
      </w:r>
    </w:p>
    <w:p w:rsidR="009570AF" w:rsidRDefault="009570AF" w:rsidP="00787261">
      <w:pPr>
        <w:pStyle w:val="OrderBody"/>
      </w:pPr>
    </w:p>
    <w:p w:rsidR="00787261" w:rsidRDefault="00787261" w:rsidP="00787261">
      <w:pPr>
        <w:autoSpaceDE w:val="0"/>
        <w:autoSpaceDN w:val="0"/>
        <w:adjustRightInd w:val="0"/>
        <w:ind w:left="1440" w:hanging="1440"/>
        <w:jc w:val="both"/>
      </w:pPr>
      <w:r w:rsidRPr="008A00AF">
        <w:rPr>
          <w:b/>
          <w:u w:val="single"/>
        </w:rPr>
        <w:t xml:space="preserve">ISSUE </w:t>
      </w:r>
      <w:r>
        <w:rPr>
          <w:b/>
          <w:u w:val="single"/>
        </w:rPr>
        <w:t>2B</w:t>
      </w:r>
      <w:r w:rsidRPr="008A00AF">
        <w:rPr>
          <w:b/>
          <w:u w:val="single"/>
        </w:rPr>
        <w:t>:</w:t>
      </w:r>
      <w:r w:rsidRPr="008A00AF">
        <w:t xml:space="preserve"> </w:t>
      </w:r>
      <w:r w:rsidRPr="008A00AF">
        <w:tab/>
      </w:r>
      <w:r w:rsidRPr="005D4105">
        <w:rPr>
          <w:b/>
        </w:rPr>
        <w:t>What was the total gain under FPL’s Incentive Mechanism approved by Order No. PSC-2016-0560-AS-EI that FPL may recover for the period January 2017 through December 2017, and how should that gain to be shared between FPL and customers?</w:t>
      </w:r>
      <w:r>
        <w:t xml:space="preserve"> </w:t>
      </w:r>
    </w:p>
    <w:p w:rsidR="00787261" w:rsidRDefault="00787261" w:rsidP="00787261">
      <w:pPr>
        <w:autoSpaceDE w:val="0"/>
        <w:autoSpaceDN w:val="0"/>
        <w:adjustRightInd w:val="0"/>
        <w:ind w:left="1440"/>
        <w:jc w:val="both"/>
      </w:pPr>
      <w:r>
        <w:t xml:space="preserve">                                                                                         </w:t>
      </w:r>
      <w:r w:rsidRPr="00BB73FB">
        <w:t> </w:t>
      </w: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t>total gain under FPL’s Incentive Mechanism</w:t>
      </w:r>
      <w:r w:rsidRPr="00771DB3">
        <w:t xml:space="preserve"> approved by Order No. PSC-</w:t>
      </w:r>
      <w:r>
        <w:t>20</w:t>
      </w:r>
      <w:r w:rsidRPr="00771DB3">
        <w:t>16-0560-AS-EI that FPL may recover for the p</w:t>
      </w:r>
      <w:r>
        <w:t xml:space="preserve">eriod January 2017 through December 2017 was $43,861,831, as reflected in Column 5 of Table 1, Total Gains Schedule, (Exhibit GJY-1, Page 1 of 4). </w:t>
      </w:r>
      <w:r w:rsidRPr="00DB2CEA">
        <w:t xml:space="preserve">This amount </w:t>
      </w:r>
      <w:r>
        <w:t xml:space="preserve">exceeded the sharing threshold of $40 million, and therefore the incremental gain above that amount </w:t>
      </w:r>
      <w:r w:rsidRPr="00DB2CEA">
        <w:t>sh</w:t>
      </w:r>
      <w:r>
        <w:t>ould</w:t>
      </w:r>
      <w:r w:rsidRPr="00DB2CEA">
        <w:t xml:space="preserve"> be shared between FPL and customers</w:t>
      </w:r>
      <w:r>
        <w:t xml:space="preserve"> (60% and 40%, respectively), with FPL retaining $2,317,099,</w:t>
      </w:r>
      <w:r w:rsidRPr="00F10676">
        <w:t xml:space="preserve"> </w:t>
      </w:r>
      <w:r>
        <w:t>as reflected in Column 9 of Table 2, Total Gains Schedule (Exhibit GJY-1, Page 1 of 4).</w:t>
      </w:r>
    </w:p>
    <w:p w:rsidR="00787261" w:rsidRDefault="00787261" w:rsidP="00787261">
      <w:pPr>
        <w:ind w:left="1440" w:hanging="1440"/>
        <w:jc w:val="both"/>
        <w:rPr>
          <w:bCs/>
        </w:rPr>
      </w:pPr>
    </w:p>
    <w:p w:rsidR="00787261" w:rsidRDefault="00787261" w:rsidP="00787261">
      <w:pPr>
        <w:ind w:left="1440" w:hanging="1440"/>
        <w:jc w:val="both"/>
        <w:rPr>
          <w:bCs/>
        </w:rPr>
      </w:pPr>
    </w:p>
    <w:p w:rsidR="00787261" w:rsidRDefault="00787261" w:rsidP="00787261">
      <w:pPr>
        <w:autoSpaceDE w:val="0"/>
        <w:autoSpaceDN w:val="0"/>
        <w:adjustRightInd w:val="0"/>
        <w:ind w:left="1440" w:hanging="1440"/>
        <w:jc w:val="both"/>
      </w:pPr>
      <w:r w:rsidRPr="00554A3B">
        <w:rPr>
          <w:b/>
          <w:u w:val="single"/>
        </w:rPr>
        <w:t xml:space="preserve">ISSUE </w:t>
      </w:r>
      <w:r>
        <w:rPr>
          <w:b/>
          <w:u w:val="single"/>
        </w:rPr>
        <w:t>2C</w:t>
      </w:r>
      <w:r w:rsidRPr="00554A3B">
        <w:rPr>
          <w:b/>
          <w:u w:val="single"/>
        </w:rPr>
        <w:t>:</w:t>
      </w:r>
      <w:r w:rsidRPr="00554A3B">
        <w:tab/>
      </w:r>
      <w:r w:rsidRPr="007C6834">
        <w:rPr>
          <w:b/>
        </w:rPr>
        <w:t xml:space="preserve">What is the appropriate amount of Incremental Optimization Costs under FPL’s Incentive Mechanism approved by Order No. PSC-2016-0560-AS-EI that FPL should be allowed to recover through the fuel clause for Personnel, </w:t>
      </w:r>
      <w:r w:rsidRPr="007C6834">
        <w:rPr>
          <w:b/>
        </w:rPr>
        <w:lastRenderedPageBreak/>
        <w:t xml:space="preserve">Software, and Hardware costs for the period January 2017 through December 2017? </w:t>
      </w:r>
    </w:p>
    <w:p w:rsidR="00787261" w:rsidRPr="00554A3B" w:rsidRDefault="00787261" w:rsidP="00787261">
      <w:pPr>
        <w:autoSpaceDE w:val="0"/>
        <w:autoSpaceDN w:val="0"/>
        <w:adjustRightInd w:val="0"/>
        <w:ind w:left="1440"/>
        <w:jc w:val="both"/>
      </w:pPr>
      <w:r>
        <w:t xml:space="preserve">                                                                        </w:t>
      </w: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Incremental </w:t>
      </w:r>
      <w:r w:rsidRPr="00771DB3">
        <w:t>Optimization Costs under FPL’s Incentive Mechanism approved by Order No. PSC-</w:t>
      </w:r>
      <w:r>
        <w:t>20</w:t>
      </w:r>
      <w:r w:rsidRPr="00771DB3">
        <w:t>16-0560-AS-EI that FPL should be allowed to recover through the fuel clause for Perso</w:t>
      </w:r>
      <w:r w:rsidRPr="00554A3B">
        <w:t>nnel, Software, and Hardware c</w:t>
      </w:r>
      <w:r>
        <w:t>osts for the period January 2017 through December 2017 is $703,923, as reflected in Columns 2 and 3 of the Incremental Optimization Costs Schedule (Exhibit GJY-1, Page 4 of 4), and also on Line 14 of Schedule E1-B (2017 FCR Final True Up, Exhibit RBD-1, Page 2 of 3)</w:t>
      </w:r>
      <w:r w:rsidRPr="00DB2CEA">
        <w:t>.</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jc w:val="both"/>
        <w:rPr>
          <w:b/>
          <w:bCs/>
          <w:u w:val="single"/>
        </w:rPr>
      </w:pPr>
    </w:p>
    <w:p w:rsidR="00787261" w:rsidRDefault="00787261" w:rsidP="00787261">
      <w:pPr>
        <w:autoSpaceDE w:val="0"/>
        <w:autoSpaceDN w:val="0"/>
        <w:adjustRightInd w:val="0"/>
        <w:ind w:left="1440" w:hanging="1440"/>
        <w:jc w:val="both"/>
      </w:pPr>
      <w:r w:rsidRPr="00554A3B">
        <w:rPr>
          <w:b/>
          <w:u w:val="single"/>
        </w:rPr>
        <w:t xml:space="preserve">ISSUE </w:t>
      </w:r>
      <w:r>
        <w:rPr>
          <w:b/>
          <w:u w:val="single"/>
        </w:rPr>
        <w:t>2D</w:t>
      </w:r>
      <w:r w:rsidRPr="00554A3B">
        <w:rPr>
          <w:b/>
          <w:u w:val="single"/>
        </w:rPr>
        <w:t>:</w:t>
      </w:r>
      <w:r w:rsidRPr="00554A3B">
        <w:tab/>
      </w:r>
      <w:r w:rsidRPr="007C6834">
        <w:rPr>
          <w:b/>
        </w:rPr>
        <w:t xml:space="preserve">What is the appropriate amount of Variable Power Plant O&amp;M Attributable to Off-System Sales under FPL’s Incentive Mechanism approved by Order No. PSC-2016-0560-AS-EI that FPL should be allowed to recover through the fuel clause for the period January 2017 through December 2017? </w:t>
      </w:r>
      <w:r>
        <w:t xml:space="preserve">                                                                         </w:t>
      </w:r>
    </w:p>
    <w:p w:rsidR="00AC1C74" w:rsidRDefault="00AC1C74" w:rsidP="00AC1C74">
      <w:pPr>
        <w:rPr>
          <w:b/>
          <w:u w:val="single"/>
        </w:rPr>
      </w:pPr>
    </w:p>
    <w:p w:rsidR="00787261" w:rsidRDefault="00787261" w:rsidP="00AC1C74">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Variable Power Plant O&amp;M Attributable to Off-System Sales</w:t>
      </w:r>
      <w:r w:rsidRPr="00554A3B">
        <w:t xml:space="preserve"> und</w:t>
      </w:r>
      <w:r w:rsidRPr="00771DB3">
        <w:t>er FPL’s Incentive Mechanism approved by Order No. PSC-</w:t>
      </w:r>
      <w:r>
        <w:t>20</w:t>
      </w:r>
      <w:r w:rsidRPr="00771DB3">
        <w:t>16-0560-AS-EI that F</w:t>
      </w:r>
      <w:r w:rsidRPr="00554A3B">
        <w:t>PL should be allowed to recover through the fuel clause</w:t>
      </w:r>
      <w:r>
        <w:t xml:space="preserve"> for the period January 2017 through December 2017 is $1,275,624, as reflected in Column 6 of the Incremental Optimization Costs Schedule (Exhibit GJY-1, page 4 of 4)</w:t>
      </w:r>
      <w:r w:rsidRPr="00DB2CEA">
        <w:t>.</w:t>
      </w:r>
    </w:p>
    <w:p w:rsidR="00787261" w:rsidRDefault="00787261" w:rsidP="00787261">
      <w:pPr>
        <w:tabs>
          <w:tab w:val="left" w:pos="8571"/>
        </w:tabs>
        <w:autoSpaceDE w:val="0"/>
        <w:autoSpaceDN w:val="0"/>
        <w:adjustRightInd w:val="0"/>
        <w:ind w:left="1440" w:hanging="1440"/>
        <w:jc w:val="both"/>
        <w:rPr>
          <w:b/>
          <w:bCs/>
          <w:u w:val="single"/>
        </w:rPr>
      </w:pPr>
    </w:p>
    <w:p w:rsidR="00787261" w:rsidRPr="005E0098" w:rsidRDefault="00787261" w:rsidP="00787261">
      <w:pPr>
        <w:autoSpaceDE w:val="0"/>
        <w:autoSpaceDN w:val="0"/>
        <w:adjustRightInd w:val="0"/>
        <w:jc w:val="both"/>
        <w:rPr>
          <w:bCs/>
        </w:rPr>
      </w:pPr>
    </w:p>
    <w:p w:rsidR="00787261" w:rsidRDefault="00787261" w:rsidP="00787261">
      <w:pPr>
        <w:autoSpaceDE w:val="0"/>
        <w:autoSpaceDN w:val="0"/>
        <w:adjustRightInd w:val="0"/>
        <w:ind w:left="1440" w:hanging="1440"/>
        <w:jc w:val="both"/>
      </w:pPr>
      <w:r w:rsidRPr="003F5213">
        <w:rPr>
          <w:b/>
          <w:u w:val="single"/>
        </w:rPr>
        <w:t>ISSUE 2E:</w:t>
      </w:r>
      <w:r w:rsidRPr="003F5213">
        <w:tab/>
      </w:r>
      <w:r w:rsidRPr="007C6834">
        <w:rPr>
          <w:b/>
        </w:rPr>
        <w:t xml:space="preserve">What is the appropriate amount of Variable Power Plant O&amp;M Avoided due to Economy Purchases under FPL’s Incentive Mechanism approved by Order No. PSC-2016-0560-AS-EI that FPL should be allowed to recover through the fuel clause for the period January 2017 through December 2017? </w:t>
      </w:r>
    </w:p>
    <w:p w:rsidR="00787261" w:rsidRDefault="00787261" w:rsidP="00787261">
      <w:pPr>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Variable Power Plant O&amp;M Avoided due to Economy Purchases under FPL’s </w:t>
      </w:r>
      <w:r w:rsidRPr="00554A3B">
        <w:t>Incentive Mecha</w:t>
      </w:r>
      <w:r w:rsidRPr="00771DB3">
        <w:t>nism approved by Order No. PSC-</w:t>
      </w:r>
      <w:r>
        <w:t>20</w:t>
      </w:r>
      <w:r w:rsidRPr="00771DB3">
        <w:t>16-0560-AS-EI tha</w:t>
      </w:r>
      <w:r w:rsidRPr="00554A3B">
        <w:t>t FPL should be allowed to recover through the fuel clause</w:t>
      </w:r>
      <w:r>
        <w:t xml:space="preserve"> for the period January 2017 through December 2017 is ($403,935), as reflected in Column 7 of the Incremental Optimization Costs Schedule (Exhibit GJY-1, page 4 of 4).</w:t>
      </w:r>
    </w:p>
    <w:p w:rsidR="00787261" w:rsidRDefault="00787261" w:rsidP="00787261">
      <w:pPr>
        <w:autoSpaceDE w:val="0"/>
        <w:autoSpaceDN w:val="0"/>
        <w:adjustRightInd w:val="0"/>
        <w:ind w:left="1440" w:hanging="1440"/>
        <w:jc w:val="both"/>
        <w:rPr>
          <w:b/>
          <w:u w:val="single"/>
        </w:rPr>
      </w:pPr>
    </w:p>
    <w:p w:rsidR="00787261" w:rsidRDefault="00787261" w:rsidP="00787261">
      <w:pPr>
        <w:autoSpaceDE w:val="0"/>
        <w:autoSpaceDN w:val="0"/>
        <w:adjustRightInd w:val="0"/>
        <w:ind w:left="1440" w:hanging="1440"/>
        <w:jc w:val="both"/>
        <w:rPr>
          <w:b/>
          <w:u w:val="single"/>
        </w:rPr>
      </w:pPr>
    </w:p>
    <w:p w:rsidR="00787261" w:rsidRDefault="00787261" w:rsidP="00787261">
      <w:pPr>
        <w:autoSpaceDE w:val="0"/>
        <w:autoSpaceDN w:val="0"/>
        <w:adjustRightInd w:val="0"/>
        <w:ind w:left="1440" w:hanging="1440"/>
        <w:jc w:val="both"/>
      </w:pPr>
      <w:r w:rsidRPr="00554A3B">
        <w:rPr>
          <w:b/>
          <w:u w:val="single"/>
        </w:rPr>
        <w:lastRenderedPageBreak/>
        <w:t xml:space="preserve">ISSUE </w:t>
      </w:r>
      <w:r>
        <w:rPr>
          <w:b/>
          <w:u w:val="single"/>
        </w:rPr>
        <w:t>2F</w:t>
      </w:r>
      <w:r w:rsidRPr="00554A3B">
        <w:rPr>
          <w:b/>
          <w:u w:val="single"/>
        </w:rPr>
        <w:t>:</w:t>
      </w:r>
      <w:r w:rsidRPr="00554A3B">
        <w:tab/>
      </w:r>
      <w:r w:rsidRPr="007C6834">
        <w:rPr>
          <w:b/>
        </w:rPr>
        <w:t>What is the appropriate amount of actual/estimated Incremental Optimization Costs under FPL’s Incentive Mechanism approved by Order No. PSC-2016-0560-AS-EI that FPL should be allowed to recover through the fuel clause for Personnel, Software, and Hardware costs for the period January 2018 through December 2018?</w:t>
      </w:r>
      <w:r>
        <w:t xml:space="preserve"> </w:t>
      </w:r>
    </w:p>
    <w:p w:rsidR="00787261" w:rsidRPr="00554A3B" w:rsidRDefault="00787261" w:rsidP="00787261">
      <w:pPr>
        <w:autoSpaceDE w:val="0"/>
        <w:autoSpaceDN w:val="0"/>
        <w:adjustRightInd w:val="0"/>
        <w:ind w:left="1440" w:hanging="1440"/>
        <w:jc w:val="both"/>
      </w:pPr>
      <w:r>
        <w:t xml:space="preserve">                                                                       </w:t>
      </w: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actual/estimated </w:t>
      </w:r>
      <w:r w:rsidRPr="00554A3B">
        <w:t xml:space="preserve">Incremental Optimization Costs under </w:t>
      </w:r>
      <w:r>
        <w:t xml:space="preserve">FPL’s </w:t>
      </w:r>
      <w:r w:rsidRPr="00554A3B">
        <w:t>Incentiv</w:t>
      </w:r>
      <w:r w:rsidRPr="00771DB3">
        <w:t>e Mechanism approved by Order No. PSC-</w:t>
      </w:r>
      <w:r>
        <w:t>20</w:t>
      </w:r>
      <w:r w:rsidRPr="00771DB3">
        <w:t>16-0560-AS-EI that FPL should</w:t>
      </w:r>
      <w:r w:rsidRPr="00554A3B">
        <w:t xml:space="preserve"> be allowed to recover through the fuel clause for Personnel, Software, and Hardware c</w:t>
      </w:r>
      <w:r>
        <w:t>osts for the period January 2018 through December 2018 is $519,261, as reflected on Line 15 of Schedule E1-B (2018 FCR Actual Estimated, Exhibit RBD-3, Page 1 of 40)</w:t>
      </w:r>
      <w:r w:rsidRPr="00DB2CEA">
        <w:t>.</w:t>
      </w:r>
    </w:p>
    <w:p w:rsidR="00787261" w:rsidRDefault="00787261" w:rsidP="00787261">
      <w:pPr>
        <w:tabs>
          <w:tab w:val="left" w:pos="8571"/>
        </w:tabs>
        <w:autoSpaceDE w:val="0"/>
        <w:autoSpaceDN w:val="0"/>
        <w:adjustRightInd w:val="0"/>
        <w:ind w:left="1440" w:hanging="1440"/>
        <w:jc w:val="both"/>
      </w:pPr>
    </w:p>
    <w:p w:rsidR="00787261" w:rsidRPr="00211986" w:rsidRDefault="00787261" w:rsidP="00787261">
      <w:pPr>
        <w:autoSpaceDE w:val="0"/>
        <w:autoSpaceDN w:val="0"/>
        <w:adjustRightInd w:val="0"/>
        <w:jc w:val="both"/>
        <w:rPr>
          <w:bCs/>
        </w:rPr>
      </w:pPr>
    </w:p>
    <w:p w:rsidR="00787261" w:rsidRDefault="00787261" w:rsidP="00787261">
      <w:pPr>
        <w:autoSpaceDE w:val="0"/>
        <w:autoSpaceDN w:val="0"/>
        <w:adjustRightInd w:val="0"/>
        <w:ind w:left="1440" w:hanging="1440"/>
        <w:jc w:val="both"/>
      </w:pPr>
      <w:r w:rsidRPr="00554A3B">
        <w:rPr>
          <w:b/>
          <w:u w:val="single"/>
        </w:rPr>
        <w:t xml:space="preserve">ISSUE </w:t>
      </w:r>
      <w:r>
        <w:rPr>
          <w:b/>
          <w:u w:val="single"/>
        </w:rPr>
        <w:t>2G</w:t>
      </w:r>
      <w:r w:rsidRPr="00554A3B">
        <w:rPr>
          <w:b/>
          <w:u w:val="single"/>
        </w:rPr>
        <w:t>:</w:t>
      </w:r>
      <w:r w:rsidRPr="00554A3B">
        <w:tab/>
      </w:r>
      <w:r w:rsidRPr="007C6834">
        <w:rPr>
          <w:b/>
        </w:rPr>
        <w:t>What is the appropriate amount of actual/estimated Variable Power Plant O&amp;M Attributable to Off-System Sales under FPL’s Incentive Mechanism approved by Order No. PSC-2016-0560-AS-EI that FPL should be allowed to recover through the fuel clause for the period January 2018 through December 2018?</w:t>
      </w:r>
      <w:r>
        <w:t xml:space="preserve"> </w:t>
      </w:r>
    </w:p>
    <w:p w:rsidR="00787261" w:rsidRDefault="00787261" w:rsidP="00787261">
      <w:pPr>
        <w:autoSpaceDE w:val="0"/>
        <w:autoSpaceDN w:val="0"/>
        <w:adjustRightInd w:val="0"/>
        <w:ind w:left="1440"/>
        <w:jc w:val="both"/>
      </w:pPr>
      <w:r>
        <w:t xml:space="preserve">                                                                        </w:t>
      </w: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w:t>
      </w:r>
      <w:r>
        <w:t>amount of</w:t>
      </w:r>
      <w:r w:rsidRPr="00554A3B">
        <w:t xml:space="preserve"> </w:t>
      </w:r>
      <w:r>
        <w:t xml:space="preserve">actual/estimated Variable Power Plant O&amp;M Attributable to Off-System </w:t>
      </w:r>
      <w:r w:rsidRPr="00771DB3">
        <w:t>Sales under FPL’s Incentive Mechanism approved by Order No. PSC-</w:t>
      </w:r>
      <w:r>
        <w:t>20</w:t>
      </w:r>
      <w:r w:rsidRPr="00771DB3">
        <w:t>16-0560-AS-EI that FPL should be allowed to recover through the fuel clause for the period Ja</w:t>
      </w:r>
      <w:r>
        <w:t>nuary 2018 through December 2018 is $1,375,890, as reflected on Line 16 of Schedule E1-B (2018 FCR Actual Estimated, Exhibit RBD-3, Page 1 of 40)</w:t>
      </w:r>
      <w:r w:rsidRPr="00DB2CEA">
        <w:t>.</w:t>
      </w:r>
    </w:p>
    <w:p w:rsidR="00787261"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jc w:val="both"/>
        <w:rPr>
          <w:b/>
          <w:u w:val="single"/>
        </w:rPr>
      </w:pPr>
    </w:p>
    <w:p w:rsidR="00787261" w:rsidRDefault="00787261" w:rsidP="00787261">
      <w:pPr>
        <w:autoSpaceDE w:val="0"/>
        <w:autoSpaceDN w:val="0"/>
        <w:adjustRightInd w:val="0"/>
        <w:ind w:left="1440" w:hanging="1440"/>
        <w:jc w:val="both"/>
      </w:pPr>
      <w:r>
        <w:rPr>
          <w:b/>
          <w:u w:val="single"/>
        </w:rPr>
        <w:t>ISSUE 2H</w:t>
      </w:r>
      <w:r w:rsidRPr="003F5213">
        <w:rPr>
          <w:b/>
          <w:u w:val="single"/>
        </w:rPr>
        <w:t>:</w:t>
      </w:r>
      <w:r w:rsidRPr="003F5213">
        <w:tab/>
      </w:r>
      <w:r w:rsidRPr="007C6834">
        <w:rPr>
          <w:b/>
        </w:rPr>
        <w:t xml:space="preserve">What is the appropriate amount of actual/estimated Variable Power Plant O&amp;M Avoided due to Economy Purchases under FPL’s Incentive Mechanism approved by Order No. PSC-2016-0560-AS-EI that FPL should be allowed to recover through the fuel clause for the period January 2018 through December 2018? </w:t>
      </w:r>
    </w:p>
    <w:p w:rsidR="00787261" w:rsidRDefault="00787261" w:rsidP="00787261">
      <w:pPr>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actual/estimated Variable Power Plant O&amp;M Avoided due to Economy Purch</w:t>
      </w:r>
      <w:r w:rsidRPr="00771DB3">
        <w:t>ases under FPL’s Incentive Mechanism approved by Order No. PSC-</w:t>
      </w:r>
      <w:r>
        <w:t>20</w:t>
      </w:r>
      <w:r w:rsidRPr="00771DB3">
        <w:t>16-0560-AS-EI that F</w:t>
      </w:r>
      <w:r w:rsidRPr="00554A3B">
        <w:t>PL should be allowed to recover through the fuel clause</w:t>
      </w:r>
      <w:r>
        <w:t xml:space="preserve"> for the period January 2018 through December 2018 is ($417,954), as </w:t>
      </w:r>
      <w:r>
        <w:lastRenderedPageBreak/>
        <w:t>reflected on Line 17 of Schedule E1-B (2018 FCR Actual Estimated, Exhibit RBD-3, Page 1 of 40)</w:t>
      </w:r>
      <w:r w:rsidRPr="00DB2CEA">
        <w:t>.</w:t>
      </w:r>
    </w:p>
    <w:p w:rsidR="00787261"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ind w:left="1440" w:hanging="1440"/>
        <w:jc w:val="both"/>
      </w:pPr>
    </w:p>
    <w:p w:rsidR="00787261" w:rsidRDefault="00787261" w:rsidP="00787261">
      <w:pPr>
        <w:autoSpaceDE w:val="0"/>
        <w:autoSpaceDN w:val="0"/>
        <w:adjustRightInd w:val="0"/>
        <w:ind w:left="1440" w:hanging="1440"/>
        <w:jc w:val="both"/>
      </w:pPr>
      <w:r w:rsidRPr="00554A3B">
        <w:rPr>
          <w:b/>
          <w:u w:val="single"/>
        </w:rPr>
        <w:t xml:space="preserve">ISSUE </w:t>
      </w:r>
      <w:r>
        <w:rPr>
          <w:b/>
          <w:u w:val="single"/>
        </w:rPr>
        <w:t>2I</w:t>
      </w:r>
      <w:r w:rsidRPr="00554A3B">
        <w:rPr>
          <w:b/>
          <w:u w:val="single"/>
        </w:rPr>
        <w:t>:</w:t>
      </w:r>
      <w:r w:rsidRPr="00554A3B">
        <w:tab/>
      </w:r>
      <w:r w:rsidRPr="007C6834">
        <w:rPr>
          <w:b/>
        </w:rPr>
        <w:t>What is the appropriate amount of projected Incremental Optimization Costs under FPL’s Incentive Mechanism approved by Order No. PSC-2016-0560-AS-EI that FPL should be allowed to recover through the fuel clause for Personnel, Software, and Hardware costs for the period January 2019 through December 2019?</w:t>
      </w:r>
      <w:r>
        <w:t xml:space="preserve">   </w:t>
      </w:r>
    </w:p>
    <w:p w:rsidR="00787261" w:rsidRPr="00554A3B" w:rsidRDefault="00787261" w:rsidP="00787261">
      <w:pPr>
        <w:autoSpaceDE w:val="0"/>
        <w:autoSpaceDN w:val="0"/>
        <w:adjustRightInd w:val="0"/>
        <w:ind w:left="1440" w:hanging="1440"/>
        <w:jc w:val="both"/>
      </w:pPr>
      <w:r>
        <w:t xml:space="preserve">                                                               </w:t>
      </w: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projected </w:t>
      </w:r>
      <w:r w:rsidRPr="00554A3B">
        <w:t xml:space="preserve">Incremental Optimization Costs under </w:t>
      </w:r>
      <w:r>
        <w:t xml:space="preserve">FPL’s </w:t>
      </w:r>
      <w:r w:rsidRPr="00554A3B">
        <w:t>Incentive Mechani</w:t>
      </w:r>
      <w:r w:rsidRPr="00987AA1">
        <w:t>sm approved by Order No. PSC-</w:t>
      </w:r>
      <w:r>
        <w:t>20</w:t>
      </w:r>
      <w:r w:rsidRPr="00987AA1">
        <w:t>16-0560-AS-EI that FPL should be allowed to</w:t>
      </w:r>
      <w:r w:rsidRPr="00554A3B">
        <w:t xml:space="preserve"> recover through the fuel clause for Personnel, Software, and Hardware c</w:t>
      </w:r>
      <w:r>
        <w:t>osts for the period January 2019 through December 2019 is $509,164, as reflected on Line 17 of Schedule E1 (Appendix II - 2019 FCR Projections, Exhibit RBD-5, Page 1 of 91)</w:t>
      </w:r>
      <w:r w:rsidRPr="00DB2CEA">
        <w:t>.</w:t>
      </w:r>
    </w:p>
    <w:p w:rsidR="00787261" w:rsidRDefault="00787261" w:rsidP="00787261">
      <w:pPr>
        <w:tabs>
          <w:tab w:val="left" w:pos="8571"/>
        </w:tabs>
        <w:autoSpaceDE w:val="0"/>
        <w:autoSpaceDN w:val="0"/>
        <w:adjustRightInd w:val="0"/>
        <w:ind w:left="1440" w:hanging="1440"/>
        <w:jc w:val="both"/>
      </w:pPr>
    </w:p>
    <w:p w:rsidR="00787261" w:rsidRPr="00211986"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ind w:left="1440" w:hanging="1440"/>
        <w:jc w:val="both"/>
      </w:pPr>
      <w:r w:rsidRPr="00554A3B">
        <w:rPr>
          <w:b/>
          <w:u w:val="single"/>
        </w:rPr>
        <w:t xml:space="preserve">ISSUE </w:t>
      </w:r>
      <w:r>
        <w:rPr>
          <w:b/>
          <w:u w:val="single"/>
        </w:rPr>
        <w:t>2J</w:t>
      </w:r>
      <w:r w:rsidRPr="00554A3B">
        <w:rPr>
          <w:b/>
          <w:u w:val="single"/>
        </w:rPr>
        <w:t>:</w:t>
      </w:r>
      <w:r w:rsidRPr="00554A3B">
        <w:tab/>
      </w:r>
      <w:r w:rsidRPr="007C6834">
        <w:rPr>
          <w:b/>
        </w:rPr>
        <w:t>What is the appropriate amount of projected Variable Power Plant O&amp;M Attributable to Off-System Sales under FPL’s Incentive Mechanism approved by Order No. PSC-2016-0560-AS-EI that FPL should be allowed to recover through the fuel clause for the period January 2019 through December 2019?</w:t>
      </w:r>
      <w:r>
        <w:t xml:space="preserve"> </w:t>
      </w:r>
    </w:p>
    <w:p w:rsidR="00787261" w:rsidRDefault="00787261" w:rsidP="00787261">
      <w:pPr>
        <w:autoSpaceDE w:val="0"/>
        <w:autoSpaceDN w:val="0"/>
        <w:adjustRightInd w:val="0"/>
        <w:ind w:left="1440"/>
        <w:jc w:val="both"/>
      </w:pPr>
      <w:r>
        <w:t xml:space="preserve">                                                                        </w:t>
      </w: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projected Variable Power Plant O&amp;M Attributable to Off-System Sales</w:t>
      </w:r>
      <w:r w:rsidRPr="00987AA1">
        <w:t xml:space="preserve"> under FPL’s Incentive Mechanism approved by Order No. PSC-</w:t>
      </w:r>
      <w:r>
        <w:t>20</w:t>
      </w:r>
      <w:r w:rsidRPr="00987AA1">
        <w:t>16-0560-AS-EI that FPL should be allowed to recover through the fuel clause for the period January 2</w:t>
      </w:r>
      <w:r>
        <w:t>019 through December 2019 is $1,424,563, as reflected on Line 18 (Appendix II - 2019 FCR Projections, Exhibit RBD-5, Page 1 of 91)</w:t>
      </w:r>
      <w:r w:rsidRPr="00DB2CEA">
        <w:t>.</w:t>
      </w:r>
    </w:p>
    <w:p w:rsidR="00787261" w:rsidRDefault="00787261" w:rsidP="00787261">
      <w:pPr>
        <w:tabs>
          <w:tab w:val="left" w:pos="8571"/>
        </w:tabs>
        <w:autoSpaceDE w:val="0"/>
        <w:autoSpaceDN w:val="0"/>
        <w:adjustRightInd w:val="0"/>
        <w:jc w:val="both"/>
      </w:pPr>
    </w:p>
    <w:p w:rsidR="00787261" w:rsidRDefault="00787261" w:rsidP="00787261">
      <w:pPr>
        <w:autoSpaceDE w:val="0"/>
        <w:autoSpaceDN w:val="0"/>
        <w:adjustRightInd w:val="0"/>
        <w:jc w:val="both"/>
        <w:rPr>
          <w:b/>
          <w:u w:val="single"/>
        </w:rPr>
      </w:pPr>
    </w:p>
    <w:p w:rsidR="00787261" w:rsidRDefault="00787261" w:rsidP="00787261">
      <w:pPr>
        <w:autoSpaceDE w:val="0"/>
        <w:autoSpaceDN w:val="0"/>
        <w:adjustRightInd w:val="0"/>
        <w:ind w:left="1440" w:hanging="1440"/>
        <w:jc w:val="both"/>
      </w:pPr>
      <w:r>
        <w:rPr>
          <w:b/>
          <w:u w:val="single"/>
        </w:rPr>
        <w:t>ISSUE 2K</w:t>
      </w:r>
      <w:r w:rsidRPr="003F5213">
        <w:rPr>
          <w:b/>
          <w:u w:val="single"/>
        </w:rPr>
        <w:t>:</w:t>
      </w:r>
      <w:r w:rsidRPr="003F5213">
        <w:tab/>
      </w:r>
      <w:r w:rsidRPr="007C6834">
        <w:rPr>
          <w:b/>
        </w:rPr>
        <w:t>What is the appropriate amount of projected Variable Power Plant O&amp;M Avoided due to Economy Purchases under FPL’s Incentive Mechanism approved by Order No. PSC-2016-0560-AS-EI that FPL should be allowed to recover through the fuel clause for the period January 2019 through December 2019?</w:t>
      </w:r>
    </w:p>
    <w:p w:rsidR="00787261" w:rsidRDefault="00787261" w:rsidP="00787261">
      <w:pPr>
        <w:autoSpaceDE w:val="0"/>
        <w:autoSpaceDN w:val="0"/>
        <w:adjustRightInd w:val="0"/>
        <w:ind w:left="1440"/>
        <w:jc w:val="both"/>
      </w:pPr>
    </w:p>
    <w:p w:rsidR="007C6834" w:rsidRDefault="007C6834">
      <w:pPr>
        <w:rPr>
          <w:b/>
          <w:u w:val="single"/>
        </w:rPr>
      </w:pPr>
      <w:r>
        <w:rPr>
          <w:b/>
          <w:u w:val="single"/>
        </w:rPr>
        <w:br w:type="page"/>
      </w:r>
    </w:p>
    <w:p w:rsidR="00787261" w:rsidRDefault="00787261" w:rsidP="00787261">
      <w:pPr>
        <w:tabs>
          <w:tab w:val="left" w:pos="8571"/>
        </w:tabs>
        <w:autoSpaceDE w:val="0"/>
        <w:autoSpaceDN w:val="0"/>
        <w:adjustRightInd w:val="0"/>
        <w:ind w:left="1440" w:hanging="1440"/>
        <w:jc w:val="both"/>
      </w:pPr>
      <w:r>
        <w:rPr>
          <w:b/>
          <w:u w:val="single"/>
        </w:rPr>
        <w:lastRenderedPageBreak/>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T</w:t>
      </w:r>
      <w:r w:rsidRPr="00DB2CEA">
        <w:t xml:space="preserve">he </w:t>
      </w:r>
      <w:r w:rsidRPr="00554A3B">
        <w:t xml:space="preserve">appropriate amount of </w:t>
      </w:r>
      <w:r>
        <w:t xml:space="preserve">projected Variable Power Plant O&amp;M Avoided due to Economy Purchases under </w:t>
      </w:r>
      <w:r w:rsidRPr="00987AA1">
        <w:t>FPL’s Incentive Mechanism approved by Order No. PSC-</w:t>
      </w:r>
      <w:r>
        <w:t>20</w:t>
      </w:r>
      <w:r w:rsidRPr="00987AA1">
        <w:t>16-0560-AS-EI that F</w:t>
      </w:r>
      <w:r w:rsidRPr="00554A3B">
        <w:t>PL should be allowed to recover through the fuel clause</w:t>
      </w:r>
      <w:r>
        <w:t xml:space="preserve"> for the period January 2019 through December 2019 is ($357,809), as reflected on Line 19 of Schedule E1 (Appendix II - 2019 FCR Projections, Exhibit RBD-5, Page 1 of 91)</w:t>
      </w:r>
      <w:r w:rsidRPr="00DB2CEA">
        <w:t>.</w:t>
      </w:r>
    </w:p>
    <w:p w:rsidR="00787261" w:rsidRDefault="00787261" w:rsidP="00787261">
      <w:pPr>
        <w:tabs>
          <w:tab w:val="left" w:pos="8571"/>
        </w:tabs>
        <w:autoSpaceDE w:val="0"/>
        <w:autoSpaceDN w:val="0"/>
        <w:adjustRightInd w:val="0"/>
        <w:ind w:left="1440" w:hanging="1440"/>
        <w:jc w:val="both"/>
      </w:pPr>
    </w:p>
    <w:p w:rsidR="00787261" w:rsidRDefault="00787261" w:rsidP="00787261">
      <w:pPr>
        <w:jc w:val="both"/>
      </w:pPr>
    </w:p>
    <w:p w:rsidR="00787261" w:rsidRPr="00987AA1" w:rsidRDefault="00787261" w:rsidP="00787261">
      <w:pPr>
        <w:ind w:left="1440" w:hanging="1440"/>
        <w:jc w:val="both"/>
      </w:pPr>
      <w:r w:rsidRPr="001230BD">
        <w:rPr>
          <w:b/>
          <w:u w:val="single"/>
        </w:rPr>
        <w:t>ISSUE 2</w:t>
      </w:r>
      <w:r>
        <w:rPr>
          <w:b/>
          <w:u w:val="single"/>
        </w:rPr>
        <w:t>L</w:t>
      </w:r>
      <w:r w:rsidRPr="001230BD">
        <w:rPr>
          <w:b/>
        </w:rPr>
        <w:t>:</w:t>
      </w:r>
      <w:r w:rsidRPr="001230BD">
        <w:tab/>
      </w:r>
      <w:r w:rsidRPr="007C6834">
        <w:rPr>
          <w:b/>
        </w:rPr>
        <w:t xml:space="preserve">Has FPL properly reflected in the fuel and purchased power cost recovery clause the effects of the St. John’s River Power Park transaction approved by Order No. PSC-2017-0415-AS-EI? </w:t>
      </w:r>
    </w:p>
    <w:p w:rsidR="00787261" w:rsidRDefault="00787261" w:rsidP="00787261">
      <w:pPr>
        <w:tabs>
          <w:tab w:val="left" w:pos="8571"/>
        </w:tabs>
        <w:autoSpaceDE w:val="0"/>
        <w:autoSpaceDN w:val="0"/>
        <w:adjustRightInd w:val="0"/>
        <w:ind w:left="1440" w:hanging="1440"/>
        <w:jc w:val="both"/>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Yes, as reflected on Line 4 of Schedule E1-B (2018 FCR Actual/Estimated, Exhibit RBD-3, Page 1 of 40)</w:t>
      </w:r>
      <w:r w:rsidRPr="00DB2CEA">
        <w:t>.</w:t>
      </w:r>
    </w:p>
    <w:p w:rsidR="00787261" w:rsidRDefault="00787261" w:rsidP="00787261">
      <w:pPr>
        <w:tabs>
          <w:tab w:val="left" w:pos="8571"/>
        </w:tabs>
        <w:autoSpaceDE w:val="0"/>
        <w:autoSpaceDN w:val="0"/>
        <w:adjustRightInd w:val="0"/>
        <w:ind w:left="1440" w:hanging="1440"/>
        <w:jc w:val="both"/>
      </w:pPr>
    </w:p>
    <w:p w:rsidR="00787261" w:rsidRPr="00315BFD"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ind w:left="1440" w:hanging="1440"/>
        <w:jc w:val="both"/>
      </w:pPr>
      <w:r w:rsidRPr="00F0114A">
        <w:rPr>
          <w:b/>
          <w:u w:val="single"/>
        </w:rPr>
        <w:t>ISSUE 2O</w:t>
      </w:r>
      <w:r w:rsidRPr="00F0114A">
        <w:rPr>
          <w:b/>
        </w:rPr>
        <w:t>:</w:t>
      </w:r>
      <w:r w:rsidRPr="00F0114A">
        <w:tab/>
      </w:r>
      <w:r w:rsidRPr="005D4105">
        <w:rPr>
          <w:b/>
        </w:rPr>
        <w:t>Should the Commission approve revised tariffs for FPL reflecting the revised SoBRA factors for the 2017 and 2018 projects determined to be appropriate in this proceeding, effective January 1, 2019?</w:t>
      </w:r>
      <w:r>
        <w:t xml:space="preserve"> </w:t>
      </w:r>
    </w:p>
    <w:p w:rsidR="00AC1C74" w:rsidRDefault="00AC1C74" w:rsidP="00AC1C74">
      <w:pPr>
        <w:rPr>
          <w:b/>
          <w:bCs/>
          <w:u w:val="single"/>
        </w:rPr>
      </w:pPr>
    </w:p>
    <w:p w:rsidR="00787261" w:rsidRDefault="00787261" w:rsidP="00AC1C74">
      <w:pPr>
        <w:rPr>
          <w:b/>
          <w:bCs/>
          <w:u w:val="single"/>
        </w:rPr>
      </w:pPr>
      <w:r>
        <w:rPr>
          <w:b/>
          <w:bCs/>
          <w:u w:val="single"/>
        </w:rPr>
        <w:t>STIPULATION</w:t>
      </w:r>
      <w:r w:rsidRPr="0058397E">
        <w:rPr>
          <w:b/>
          <w:bCs/>
          <w:u w:val="single"/>
        </w:rPr>
        <w:t>:</w:t>
      </w:r>
    </w:p>
    <w:p w:rsidR="00787261" w:rsidRDefault="00787261" w:rsidP="00787261">
      <w:pPr>
        <w:autoSpaceDE w:val="0"/>
        <w:autoSpaceDN w:val="0"/>
        <w:adjustRightInd w:val="0"/>
        <w:ind w:left="1440" w:hanging="1440"/>
        <w:jc w:val="both"/>
        <w:rPr>
          <w:b/>
          <w:bCs/>
          <w:u w:val="single"/>
        </w:rPr>
      </w:pPr>
    </w:p>
    <w:p w:rsidR="00787261" w:rsidRDefault="00787261" w:rsidP="00787261">
      <w:pPr>
        <w:autoSpaceDE w:val="0"/>
        <w:autoSpaceDN w:val="0"/>
        <w:adjustRightInd w:val="0"/>
        <w:ind w:left="1440" w:hanging="1440"/>
        <w:jc w:val="both"/>
      </w:pPr>
      <w:r>
        <w:rPr>
          <w:b/>
        </w:rPr>
        <w:tab/>
      </w:r>
      <w:r>
        <w:t>This issue is not ripe for consideration during the hearing cycle for 2018, and will be addressed in Docket No. 20190001-EI.</w:t>
      </w:r>
    </w:p>
    <w:p w:rsidR="00787261" w:rsidRDefault="00787261" w:rsidP="00787261">
      <w:pPr>
        <w:autoSpaceDE w:val="0"/>
        <w:autoSpaceDN w:val="0"/>
        <w:adjustRightInd w:val="0"/>
        <w:ind w:left="1440" w:hanging="1440"/>
        <w:jc w:val="both"/>
        <w:rPr>
          <w:b/>
        </w:rPr>
      </w:pPr>
    </w:p>
    <w:p w:rsidR="00787261" w:rsidRDefault="00787261" w:rsidP="00787261">
      <w:pPr>
        <w:autoSpaceDE w:val="0"/>
        <w:autoSpaceDN w:val="0"/>
        <w:adjustRightInd w:val="0"/>
        <w:ind w:left="1440" w:hanging="1440"/>
        <w:jc w:val="both"/>
        <w:rPr>
          <w:b/>
        </w:rPr>
      </w:pPr>
    </w:p>
    <w:p w:rsidR="00787261" w:rsidRPr="007C6834" w:rsidRDefault="00787261" w:rsidP="00787261">
      <w:pPr>
        <w:ind w:left="1440" w:hanging="1440"/>
        <w:jc w:val="both"/>
        <w:rPr>
          <w:b/>
          <w:color w:val="1F497D"/>
        </w:rPr>
      </w:pPr>
      <w:r w:rsidRPr="000F3E6A">
        <w:rPr>
          <w:b/>
          <w:bCs/>
          <w:u w:val="single"/>
        </w:rPr>
        <w:t>ISSUE 2T</w:t>
      </w:r>
      <w:r w:rsidRPr="000F3E6A">
        <w:rPr>
          <w:b/>
          <w:bCs/>
        </w:rPr>
        <w:t xml:space="preserve">: </w:t>
      </w:r>
      <w:r>
        <w:rPr>
          <w:b/>
          <w:bCs/>
        </w:rPr>
        <w:tab/>
      </w:r>
      <w:r w:rsidRPr="007C6834">
        <w:rPr>
          <w:b/>
        </w:rPr>
        <w:t>Should the Commission approve FPL’s proposed generation base rate adjustment (GBRA) factor of 3.040% percent for the Okeechobee Clean Energy Center expected to go in-service on June 1, 2019?</w:t>
      </w:r>
    </w:p>
    <w:p w:rsidR="00787261" w:rsidRDefault="00787261" w:rsidP="00787261">
      <w:pPr>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pPr>
      <w:r>
        <w:tab/>
        <w:t xml:space="preserve">Yes. </w:t>
      </w:r>
      <w:r w:rsidRPr="000F3E6A">
        <w:t>FPL’s proposed GBRA factor of 3.040% percent for the Okeechobee Clean Energy Center</w:t>
      </w:r>
      <w:r>
        <w:t xml:space="preserve"> is reflected in the 2019 GBRA Factor Calculation Schedule (Attachment TCC-1, Page 1 of 1).</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p>
    <w:p w:rsidR="00787261" w:rsidRPr="00B542BC" w:rsidRDefault="00787261" w:rsidP="00787261">
      <w:pPr>
        <w:tabs>
          <w:tab w:val="left" w:pos="8571"/>
        </w:tabs>
        <w:autoSpaceDE w:val="0"/>
        <w:autoSpaceDN w:val="0"/>
        <w:adjustRightInd w:val="0"/>
        <w:ind w:left="1440" w:hanging="1440"/>
        <w:jc w:val="both"/>
      </w:pPr>
      <w:r w:rsidRPr="00914E04">
        <w:rPr>
          <w:b/>
        </w:rPr>
        <w:t>I</w:t>
      </w:r>
      <w:r w:rsidRPr="00914E04">
        <w:rPr>
          <w:b/>
          <w:u w:val="single"/>
        </w:rPr>
        <w:t>S</w:t>
      </w:r>
      <w:r w:rsidRPr="00B542BC">
        <w:rPr>
          <w:b/>
          <w:u w:val="single"/>
        </w:rPr>
        <w:t>SUE 3A</w:t>
      </w:r>
      <w:r w:rsidRPr="00B542BC">
        <w:rPr>
          <w:b/>
        </w:rPr>
        <w:t>:</w:t>
      </w:r>
      <w:r w:rsidRPr="00B542BC">
        <w:t xml:space="preserve"> </w:t>
      </w:r>
      <w:r w:rsidRPr="00B542BC">
        <w:tab/>
      </w:r>
      <w:r w:rsidRPr="007C6834">
        <w:rPr>
          <w:b/>
        </w:rPr>
        <w:t>Ha</w:t>
      </w:r>
      <w:r w:rsidRPr="007C6834">
        <w:rPr>
          <w:rFonts w:cstheme="minorHAnsi"/>
          <w:b/>
        </w:rPr>
        <w:t>s FPUC properly refunded $221,415 to customers through the Fuel Clause in accordance with Order No. PSC-2018-0028-FOF-EI?</w:t>
      </w:r>
      <w:r w:rsidRPr="007C6834">
        <w:rPr>
          <w:b/>
        </w:rPr>
        <w:t xml:space="preserve"> </w:t>
      </w:r>
    </w:p>
    <w:p w:rsidR="00787261" w:rsidRPr="00B542BC" w:rsidRDefault="00787261" w:rsidP="00787261">
      <w:pPr>
        <w:autoSpaceDE w:val="0"/>
        <w:autoSpaceDN w:val="0"/>
        <w:adjustRightInd w:val="0"/>
        <w:ind w:left="1440" w:hanging="1440"/>
        <w:jc w:val="both"/>
      </w:pPr>
    </w:p>
    <w:p w:rsidR="007C6834" w:rsidRDefault="007C6834">
      <w:pPr>
        <w:rPr>
          <w:b/>
          <w:u w:val="single"/>
        </w:rPr>
      </w:pPr>
      <w:r>
        <w:rPr>
          <w:b/>
          <w:u w:val="single"/>
        </w:rPr>
        <w:br w:type="page"/>
      </w:r>
    </w:p>
    <w:p w:rsidR="00787261" w:rsidRDefault="00787261" w:rsidP="00787261">
      <w:pPr>
        <w:autoSpaceDE w:val="0"/>
        <w:autoSpaceDN w:val="0"/>
        <w:adjustRightInd w:val="0"/>
        <w:ind w:left="1440" w:hanging="1440"/>
        <w:jc w:val="both"/>
      </w:pPr>
      <w:r w:rsidRPr="00B542BC">
        <w:rPr>
          <w:b/>
          <w:u w:val="single"/>
        </w:rPr>
        <w:lastRenderedPageBreak/>
        <w:t>STIPULATION</w:t>
      </w:r>
      <w:r w:rsidRPr="00B542BC">
        <w:t>:</w:t>
      </w:r>
    </w:p>
    <w:p w:rsidR="00787261" w:rsidRPr="00B542BC" w:rsidRDefault="00787261" w:rsidP="00787261">
      <w:pPr>
        <w:autoSpaceDE w:val="0"/>
        <w:autoSpaceDN w:val="0"/>
        <w:adjustRightInd w:val="0"/>
        <w:ind w:left="1440" w:hanging="1440"/>
        <w:jc w:val="both"/>
      </w:pPr>
      <w:r w:rsidRPr="00B542BC">
        <w:tab/>
      </w:r>
    </w:p>
    <w:p w:rsidR="00787261" w:rsidRDefault="00787261" w:rsidP="00787261">
      <w:pPr>
        <w:autoSpaceDE w:val="0"/>
        <w:autoSpaceDN w:val="0"/>
        <w:adjustRightInd w:val="0"/>
        <w:ind w:left="1440"/>
        <w:jc w:val="both"/>
      </w:pPr>
      <w:r w:rsidRPr="00B542BC">
        <w:t xml:space="preserve">Yes. $221,415 was refunded through the Fuel Clause to customers as a result of the Florida Supreme Court’s March 16, 2017 decision on the FPL Interconnection Line project, and </w:t>
      </w:r>
      <w:r w:rsidRPr="00B542BC">
        <w:rPr>
          <w:rFonts w:cstheme="minorHAnsi"/>
        </w:rPr>
        <w:t>in accordance with Order No. PSC-2018-0028-FOF-EI</w:t>
      </w:r>
      <w:r w:rsidRPr="00B542BC">
        <w:t>. This amount included all actual/estimated costs associated with the FPL Interconnection Line project.</w:t>
      </w:r>
      <w:r>
        <w:t xml:space="preserve"> </w:t>
      </w:r>
    </w:p>
    <w:p w:rsidR="007C6834" w:rsidRDefault="007C6834" w:rsidP="007C6834">
      <w:pPr>
        <w:rPr>
          <w:b/>
          <w:bCs/>
          <w:u w:val="single"/>
        </w:rPr>
      </w:pPr>
    </w:p>
    <w:p w:rsidR="00787261" w:rsidRDefault="00787261" w:rsidP="007C6834">
      <w:pPr>
        <w:ind w:left="1440" w:hanging="1440"/>
      </w:pPr>
      <w:r>
        <w:rPr>
          <w:b/>
          <w:bCs/>
          <w:u w:val="single"/>
        </w:rPr>
        <w:t>ISSUE 6</w:t>
      </w:r>
      <w:r>
        <w:t>:</w:t>
      </w:r>
      <w:r>
        <w:tab/>
      </w:r>
      <w:r w:rsidRPr="007C6834">
        <w:rPr>
          <w:b/>
        </w:rPr>
        <w:t>What are the appropriate actual benchmark levels for calendar year 2018 for gains on non-separated wholesale energy sales eligible for a shareholder incentive?</w:t>
      </w:r>
      <w:r>
        <w:t xml:space="preserve"> </w:t>
      </w:r>
    </w:p>
    <w:p w:rsidR="00787261" w:rsidRDefault="00787261" w:rsidP="00787261">
      <w:pPr>
        <w:tabs>
          <w:tab w:val="left" w:pos="8571"/>
        </w:tabs>
        <w:autoSpaceDE w:val="0"/>
        <w:autoSpaceDN w:val="0"/>
        <w:adjustRightInd w:val="0"/>
        <w:jc w:val="both"/>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Pr="009F5C6B" w:rsidRDefault="00787261" w:rsidP="00787261">
      <w:pPr>
        <w:tabs>
          <w:tab w:val="left" w:pos="8571"/>
        </w:tabs>
        <w:autoSpaceDE w:val="0"/>
        <w:autoSpaceDN w:val="0"/>
        <w:adjustRightInd w:val="0"/>
        <w:ind w:left="1440" w:hanging="1440"/>
        <w:jc w:val="both"/>
      </w:pPr>
      <w:r>
        <w:tab/>
        <w:t>The appropriate actual benchmark levels for calendar year 2018 for gains on non-separated wholesale energy sales eligible for a shareholder incentive are as follows:</w:t>
      </w:r>
    </w:p>
    <w:p w:rsidR="00787261" w:rsidRDefault="00787261" w:rsidP="00787261">
      <w:pPr>
        <w:tabs>
          <w:tab w:val="left" w:pos="8571"/>
        </w:tabs>
        <w:autoSpaceDE w:val="0"/>
        <w:autoSpaceDN w:val="0"/>
        <w:adjustRightInd w:val="0"/>
        <w:jc w:val="both"/>
      </w:pPr>
    </w:p>
    <w:p w:rsidR="00787261" w:rsidRPr="004E070A" w:rsidRDefault="00787261" w:rsidP="00787261">
      <w:pPr>
        <w:tabs>
          <w:tab w:val="left" w:pos="8571"/>
        </w:tabs>
        <w:autoSpaceDE w:val="0"/>
        <w:autoSpaceDN w:val="0"/>
        <w:adjustRightInd w:val="0"/>
        <w:jc w:val="both"/>
      </w:pPr>
      <w:r w:rsidRPr="004E070A">
        <w:t xml:space="preserve">DEF:  </w:t>
      </w:r>
      <w:r>
        <w:t xml:space="preserve">             $1,817,289</w:t>
      </w:r>
      <w:r w:rsidRPr="003A7F64">
        <w:t>.</w:t>
      </w:r>
    </w:p>
    <w:p w:rsidR="00787261" w:rsidRDefault="00787261" w:rsidP="00787261">
      <w:pPr>
        <w:tabs>
          <w:tab w:val="left" w:pos="8571"/>
        </w:tabs>
        <w:autoSpaceDE w:val="0"/>
        <w:autoSpaceDN w:val="0"/>
        <w:adjustRightInd w:val="0"/>
        <w:jc w:val="both"/>
      </w:pPr>
    </w:p>
    <w:p w:rsidR="00787261" w:rsidRPr="004E070A" w:rsidRDefault="00787261" w:rsidP="00787261">
      <w:pPr>
        <w:tabs>
          <w:tab w:val="left" w:pos="8571"/>
        </w:tabs>
        <w:autoSpaceDE w:val="0"/>
        <w:autoSpaceDN w:val="0"/>
        <w:adjustRightInd w:val="0"/>
        <w:ind w:left="1440" w:hanging="1440"/>
        <w:jc w:val="both"/>
      </w:pPr>
      <w:r>
        <w:t>FPL:</w:t>
      </w:r>
      <w:r w:rsidRPr="001D63D9">
        <w:t xml:space="preserve"> </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 Setting the appropriate actual benchma</w:t>
      </w:r>
      <w:r>
        <w:t>rk levels for calendar year 2018</w:t>
      </w:r>
      <w:r w:rsidRPr="0017572C">
        <w:t xml:space="preserve"> for gains on non-separated wholesale energy sales eligible for a shareholder incentive is not applicab</w:t>
      </w:r>
      <w:r>
        <w:t>le to FPL as part of its revised Incentive Mechanism.</w:t>
      </w:r>
    </w:p>
    <w:p w:rsidR="00787261" w:rsidRPr="004E070A" w:rsidRDefault="00787261" w:rsidP="00787261">
      <w:pPr>
        <w:tabs>
          <w:tab w:val="left" w:pos="8571"/>
        </w:tabs>
        <w:autoSpaceDE w:val="0"/>
        <w:autoSpaceDN w:val="0"/>
        <w:adjustRightInd w:val="0"/>
        <w:ind w:left="1440" w:hanging="1440"/>
        <w:jc w:val="both"/>
      </w:pPr>
      <w:r>
        <w:tab/>
      </w:r>
    </w:p>
    <w:p w:rsidR="00787261" w:rsidRPr="005F60F1" w:rsidRDefault="00787261" w:rsidP="00787261">
      <w:pPr>
        <w:tabs>
          <w:tab w:val="left" w:pos="8571"/>
        </w:tabs>
        <w:autoSpaceDE w:val="0"/>
        <w:autoSpaceDN w:val="0"/>
        <w:adjustRightInd w:val="0"/>
        <w:ind w:left="1440" w:hanging="1440"/>
        <w:jc w:val="both"/>
        <w:rPr>
          <w:color w:val="000000" w:themeColor="text1"/>
        </w:rPr>
      </w:pPr>
      <w:r w:rsidRPr="004E070A">
        <w:t xml:space="preserve">GULF:  </w:t>
      </w:r>
      <w:r>
        <w:t xml:space="preserve">          </w:t>
      </w:r>
      <w:r>
        <w:rPr>
          <w:color w:val="000000" w:themeColor="text1"/>
        </w:rPr>
        <w:t xml:space="preserve">$1,095,264. </w:t>
      </w:r>
    </w:p>
    <w:p w:rsidR="00787261" w:rsidRPr="004E070A" w:rsidRDefault="00787261" w:rsidP="00787261">
      <w:pPr>
        <w:tabs>
          <w:tab w:val="left" w:pos="8571"/>
        </w:tabs>
        <w:autoSpaceDE w:val="0"/>
        <w:autoSpaceDN w:val="0"/>
        <w:adjustRightInd w:val="0"/>
        <w:ind w:left="1440" w:hanging="1440"/>
        <w:jc w:val="both"/>
      </w:pPr>
      <w:r w:rsidRPr="004E070A">
        <w:tab/>
      </w:r>
    </w:p>
    <w:p w:rsidR="00787261" w:rsidRDefault="00787261" w:rsidP="00787261">
      <w:pPr>
        <w:tabs>
          <w:tab w:val="left" w:pos="8571"/>
        </w:tabs>
        <w:autoSpaceDE w:val="0"/>
        <w:autoSpaceDN w:val="0"/>
        <w:adjustRightInd w:val="0"/>
        <w:ind w:left="1440" w:hanging="1440"/>
        <w:jc w:val="both"/>
        <w:rPr>
          <w:color w:val="000000" w:themeColor="text1"/>
        </w:rPr>
      </w:pPr>
      <w:r w:rsidRPr="004E070A">
        <w:t xml:space="preserve">TECO:  </w:t>
      </w:r>
      <w:r>
        <w:t xml:space="preserve">      </w:t>
      </w:r>
      <w:r>
        <w:tab/>
        <w:t xml:space="preserve">The Company did not set a benchmark level for calendar year 2018. </w:t>
      </w:r>
      <w:r w:rsidRPr="0070395F">
        <w:rPr>
          <w:color w:val="000000" w:themeColor="text1"/>
        </w:rPr>
        <w:t>Pursuant to the Stipulation and Settlement that was approved in Order No. PSC-2017-0456-S-EI</w:t>
      </w:r>
      <w:r>
        <w:rPr>
          <w:color w:val="000000" w:themeColor="text1"/>
        </w:rPr>
        <w:t>, the Company</w:t>
      </w:r>
      <w:r w:rsidRPr="0070395F">
        <w:rPr>
          <w:color w:val="000000" w:themeColor="text1"/>
        </w:rPr>
        <w:t>’s Optimization Mechanism replace</w:t>
      </w:r>
      <w:r>
        <w:rPr>
          <w:color w:val="000000" w:themeColor="text1"/>
        </w:rPr>
        <w:t>s</w:t>
      </w:r>
      <w:r w:rsidRPr="0070395F">
        <w:rPr>
          <w:color w:val="000000" w:themeColor="text1"/>
        </w:rPr>
        <w:t xml:space="preserve"> the incentive program that used benchmark levels for gains on non-separated wholesale energy sales eligible for a shareholder incentive. </w:t>
      </w:r>
    </w:p>
    <w:p w:rsidR="00787261" w:rsidRPr="009F5C6B" w:rsidRDefault="00787261" w:rsidP="00787261">
      <w:pPr>
        <w:tabs>
          <w:tab w:val="left" w:pos="8571"/>
        </w:tabs>
        <w:autoSpaceDE w:val="0"/>
        <w:autoSpaceDN w:val="0"/>
        <w:adjustRightInd w:val="0"/>
        <w:ind w:left="1440" w:hanging="1440"/>
        <w:jc w:val="both"/>
      </w:pPr>
    </w:p>
    <w:p w:rsidR="00787261" w:rsidRDefault="00787261" w:rsidP="00787261">
      <w:pPr>
        <w:ind w:left="1440" w:hanging="1440"/>
        <w:jc w:val="both"/>
        <w:rPr>
          <w:b/>
          <w:bCs/>
          <w:u w:val="single"/>
        </w:rPr>
      </w:pPr>
    </w:p>
    <w:p w:rsidR="00787261" w:rsidRPr="009060D6" w:rsidRDefault="00787261" w:rsidP="00787261">
      <w:pPr>
        <w:ind w:left="1440" w:hanging="1440"/>
        <w:jc w:val="both"/>
        <w:rPr>
          <w:b/>
          <w:bCs/>
          <w:u w:val="single"/>
        </w:rPr>
      </w:pPr>
      <w:r>
        <w:rPr>
          <w:b/>
          <w:bCs/>
          <w:u w:val="single"/>
        </w:rPr>
        <w:t>ISSUE 7</w:t>
      </w:r>
      <w:r>
        <w:t>:</w:t>
      </w:r>
      <w:r>
        <w:tab/>
      </w:r>
      <w:r w:rsidRPr="007C6834">
        <w:rPr>
          <w:b/>
        </w:rPr>
        <w:t>What are the appropriate estimated benchmark levels for calendar year 2019 for gains on non-separated wholesale energy sales eligible for a shareholder incentive?</w:t>
      </w:r>
      <w:r>
        <w:t xml:space="preserve"> </w:t>
      </w:r>
    </w:p>
    <w:p w:rsidR="00787261" w:rsidRDefault="00787261" w:rsidP="00787261">
      <w:pPr>
        <w:autoSpaceDE w:val="0"/>
        <w:autoSpaceDN w:val="0"/>
        <w:adjustRightInd w:val="0"/>
        <w:jc w:val="both"/>
        <w:rPr>
          <w:b/>
          <w:u w:val="single"/>
        </w:rPr>
      </w:pPr>
    </w:p>
    <w:p w:rsidR="007C6834" w:rsidRDefault="007C6834">
      <w:pPr>
        <w:rPr>
          <w:b/>
          <w:u w:val="single"/>
        </w:rPr>
      </w:pPr>
      <w:r>
        <w:rPr>
          <w:b/>
          <w:u w:val="single"/>
        </w:rPr>
        <w:br w:type="page"/>
      </w:r>
    </w:p>
    <w:p w:rsidR="00787261" w:rsidRDefault="00787261" w:rsidP="00787261">
      <w:pPr>
        <w:tabs>
          <w:tab w:val="left" w:pos="8571"/>
        </w:tabs>
        <w:autoSpaceDE w:val="0"/>
        <w:autoSpaceDN w:val="0"/>
        <w:adjustRightInd w:val="0"/>
        <w:ind w:left="1440" w:hanging="1440"/>
        <w:jc w:val="both"/>
      </w:pPr>
      <w:r>
        <w:rPr>
          <w:b/>
          <w:u w:val="single"/>
        </w:rPr>
        <w:lastRenderedPageBreak/>
        <w:t>STIPULATION</w:t>
      </w:r>
      <w:r>
        <w:t>:</w:t>
      </w:r>
    </w:p>
    <w:p w:rsidR="00787261" w:rsidRDefault="00787261" w:rsidP="00787261">
      <w:pPr>
        <w:tabs>
          <w:tab w:val="left" w:pos="8571"/>
        </w:tabs>
        <w:autoSpaceDE w:val="0"/>
        <w:autoSpaceDN w:val="0"/>
        <w:adjustRightInd w:val="0"/>
        <w:ind w:left="1440" w:hanging="1440"/>
        <w:jc w:val="both"/>
      </w:pPr>
      <w:r>
        <w:tab/>
      </w:r>
    </w:p>
    <w:p w:rsidR="00787261" w:rsidRPr="009F5C6B" w:rsidRDefault="00787261" w:rsidP="00787261">
      <w:pPr>
        <w:tabs>
          <w:tab w:val="left" w:pos="8571"/>
        </w:tabs>
        <w:autoSpaceDE w:val="0"/>
        <w:autoSpaceDN w:val="0"/>
        <w:adjustRightInd w:val="0"/>
        <w:ind w:left="1440" w:hanging="1440"/>
        <w:jc w:val="both"/>
      </w:pPr>
      <w:r>
        <w:tab/>
        <w:t>The appropriate estimated benchmark levels for calendar year 2019 for gains on non-separated wholesale energy sales eligible for a shareholder incentive are as follows:</w:t>
      </w:r>
    </w:p>
    <w:p w:rsidR="00787261" w:rsidRDefault="00787261" w:rsidP="00787261">
      <w:pPr>
        <w:autoSpaceDE w:val="0"/>
        <w:autoSpaceDN w:val="0"/>
        <w:adjustRightInd w:val="0"/>
        <w:jc w:val="both"/>
        <w:rPr>
          <w:b/>
          <w:u w:val="single"/>
        </w:rPr>
      </w:pPr>
    </w:p>
    <w:p w:rsidR="00787261" w:rsidRPr="0067404E" w:rsidRDefault="00787261" w:rsidP="00787261">
      <w:pPr>
        <w:tabs>
          <w:tab w:val="left" w:pos="8571"/>
        </w:tabs>
        <w:autoSpaceDE w:val="0"/>
        <w:autoSpaceDN w:val="0"/>
        <w:adjustRightInd w:val="0"/>
        <w:ind w:left="1440" w:hanging="1440"/>
        <w:jc w:val="both"/>
        <w:rPr>
          <w:highlight w:val="yellow"/>
        </w:rPr>
      </w:pPr>
      <w:r w:rsidRPr="003E2B49">
        <w:t xml:space="preserve">DEF:  </w:t>
      </w:r>
      <w:r>
        <w:t xml:space="preserve">              </w:t>
      </w:r>
      <w:r w:rsidRPr="00D741BF">
        <w:t>$1,303,502.</w:t>
      </w:r>
    </w:p>
    <w:p w:rsidR="00787261" w:rsidRDefault="00787261" w:rsidP="00787261">
      <w:pPr>
        <w:tabs>
          <w:tab w:val="left" w:pos="8571"/>
        </w:tabs>
        <w:autoSpaceDE w:val="0"/>
        <w:autoSpaceDN w:val="0"/>
        <w:adjustRightInd w:val="0"/>
        <w:ind w:left="1440" w:hanging="1440"/>
        <w:jc w:val="both"/>
      </w:pPr>
      <w:r w:rsidRPr="004E070A">
        <w:tab/>
      </w:r>
    </w:p>
    <w:p w:rsidR="00787261" w:rsidRDefault="00787261" w:rsidP="00787261">
      <w:pPr>
        <w:tabs>
          <w:tab w:val="left" w:pos="8571"/>
        </w:tabs>
        <w:autoSpaceDE w:val="0"/>
        <w:autoSpaceDN w:val="0"/>
        <w:adjustRightInd w:val="0"/>
        <w:ind w:left="1440" w:hanging="1440"/>
        <w:jc w:val="both"/>
      </w:pPr>
      <w:r>
        <w:t>FPL:</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w:t>
      </w:r>
      <w:r>
        <w:t xml:space="preserve"> Setting the appropriate estimated benchmark levels for calendar year 2019 for gains on non-separated wholesale energy sales eligible for a shareholder incentive</w:t>
      </w:r>
      <w:r w:rsidRPr="00023554">
        <w:t xml:space="preserve"> is not applicab</w:t>
      </w:r>
      <w:r>
        <w:t>le to FPL as part of its revised Incentive Mechanism.</w:t>
      </w:r>
    </w:p>
    <w:p w:rsidR="00787261" w:rsidRPr="004E070A"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rPr>
          <w:color w:val="000000" w:themeColor="text1"/>
        </w:rPr>
      </w:pPr>
      <w:r w:rsidRPr="004E070A">
        <w:t xml:space="preserve">GULF:  </w:t>
      </w:r>
      <w:r>
        <w:t xml:space="preserve">          </w:t>
      </w:r>
      <w:r>
        <w:rPr>
          <w:color w:val="000000" w:themeColor="text1"/>
        </w:rPr>
        <w:t>$976,386.</w:t>
      </w:r>
    </w:p>
    <w:p w:rsidR="00787261" w:rsidRDefault="00787261" w:rsidP="00787261">
      <w:pPr>
        <w:tabs>
          <w:tab w:val="left" w:pos="8571"/>
        </w:tabs>
        <w:autoSpaceDE w:val="0"/>
        <w:autoSpaceDN w:val="0"/>
        <w:adjustRightInd w:val="0"/>
        <w:ind w:left="1440" w:hanging="1440"/>
        <w:jc w:val="both"/>
      </w:pPr>
      <w:r w:rsidRPr="004E070A">
        <w:tab/>
      </w:r>
    </w:p>
    <w:p w:rsidR="00787261" w:rsidRPr="006B5652" w:rsidRDefault="00787261" w:rsidP="00787261">
      <w:pPr>
        <w:tabs>
          <w:tab w:val="left" w:pos="8571"/>
        </w:tabs>
        <w:autoSpaceDE w:val="0"/>
        <w:autoSpaceDN w:val="0"/>
        <w:adjustRightInd w:val="0"/>
        <w:ind w:left="1440" w:hanging="1440"/>
        <w:jc w:val="both"/>
        <w:rPr>
          <w:color w:val="000000" w:themeColor="text1"/>
        </w:rPr>
      </w:pPr>
      <w:r w:rsidRPr="004E070A">
        <w:t xml:space="preserve">TECO:  </w:t>
      </w:r>
      <w:r>
        <w:t xml:space="preserve">        </w:t>
      </w:r>
      <w:r>
        <w:tab/>
        <w:t xml:space="preserve">The Company did not set an estimated benchmark level for calendar year 2019. </w:t>
      </w:r>
      <w:r w:rsidRPr="0070395F">
        <w:rPr>
          <w:color w:val="000000" w:themeColor="text1"/>
        </w:rPr>
        <w:t>Pursuant to the Stipulation and Settlement that was approved in Order No. PSC-2017-0456-S-EI</w:t>
      </w:r>
      <w:r>
        <w:rPr>
          <w:color w:val="000000" w:themeColor="text1"/>
        </w:rPr>
        <w:t>, the Company</w:t>
      </w:r>
      <w:r w:rsidRPr="0070395F">
        <w:rPr>
          <w:color w:val="000000" w:themeColor="text1"/>
        </w:rPr>
        <w:t>’s Optimization Mechanism replace</w:t>
      </w:r>
      <w:r>
        <w:rPr>
          <w:color w:val="000000" w:themeColor="text1"/>
        </w:rPr>
        <w:t>s</w:t>
      </w:r>
      <w:r w:rsidRPr="0070395F">
        <w:rPr>
          <w:color w:val="000000" w:themeColor="text1"/>
        </w:rPr>
        <w:t xml:space="preserve"> the incentive program that used benchmark levels for gains on non-separated wholesale energy sales eligible for a shareholder incentive.</w:t>
      </w:r>
    </w:p>
    <w:p w:rsidR="00787261" w:rsidRPr="009F5C6B"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ind w:left="1440" w:hanging="1440"/>
        <w:jc w:val="both"/>
        <w:rPr>
          <w:b/>
          <w:bCs/>
          <w:u w:val="single"/>
        </w:rPr>
      </w:pPr>
    </w:p>
    <w:p w:rsidR="00787261" w:rsidRDefault="00787261" w:rsidP="00787261">
      <w:pPr>
        <w:autoSpaceDE w:val="0"/>
        <w:autoSpaceDN w:val="0"/>
        <w:adjustRightInd w:val="0"/>
        <w:ind w:left="1440" w:hanging="1440"/>
        <w:jc w:val="both"/>
      </w:pPr>
      <w:r>
        <w:rPr>
          <w:b/>
          <w:bCs/>
          <w:u w:val="single"/>
        </w:rPr>
        <w:t>ISSUE 8</w:t>
      </w:r>
      <w:r>
        <w:rPr>
          <w:b/>
          <w:bCs/>
        </w:rPr>
        <w:t>:</w:t>
      </w:r>
      <w:r>
        <w:tab/>
      </w:r>
      <w:r w:rsidRPr="007C6834">
        <w:rPr>
          <w:b/>
        </w:rPr>
        <w:t xml:space="preserve">What are the appropriate final fuel adjustment true-up amounts for the period January 2017 through December 2017? </w:t>
      </w:r>
    </w:p>
    <w:p w:rsidR="00787261" w:rsidRDefault="00787261" w:rsidP="00787261">
      <w:pPr>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rPr>
          <w:bCs/>
        </w:rPr>
      </w:pPr>
      <w:r>
        <w:tab/>
        <w:t>The appropriate final fuel adjustment true-up amounts for the period January 2017 through December 2017 are as follows:</w:t>
      </w:r>
    </w:p>
    <w:p w:rsidR="00787261" w:rsidRDefault="00787261" w:rsidP="00787261">
      <w:pPr>
        <w:tabs>
          <w:tab w:val="left" w:pos="8571"/>
        </w:tabs>
        <w:autoSpaceDE w:val="0"/>
        <w:autoSpaceDN w:val="0"/>
        <w:adjustRightInd w:val="0"/>
        <w:ind w:left="1440" w:hanging="1440"/>
        <w:jc w:val="both"/>
      </w:pPr>
      <w:r>
        <w:tab/>
      </w:r>
    </w:p>
    <w:p w:rsidR="00AC1C74" w:rsidRDefault="00AC1C74" w:rsidP="00787261">
      <w:pPr>
        <w:tabs>
          <w:tab w:val="left" w:pos="8571"/>
        </w:tabs>
        <w:autoSpaceDE w:val="0"/>
        <w:autoSpaceDN w:val="0"/>
        <w:adjustRightInd w:val="0"/>
        <w:ind w:left="1440" w:hanging="1440"/>
        <w:jc w:val="both"/>
      </w:pPr>
      <w:r>
        <w:t>DEF:</w:t>
      </w:r>
      <w:r>
        <w:tab/>
        <w:t>$16,096,208</w:t>
      </w:r>
      <w:r w:rsidRPr="00937E60">
        <w:t>, under-recovery</w:t>
      </w:r>
      <w:r>
        <w:t>, as reflected on Line 12 of the Summary of Actual True-Up Amount Schedule (Exhibit CAM-1T, Sheet 1 of 6)</w:t>
      </w:r>
      <w:r w:rsidRPr="00937E60">
        <w:t>.</w:t>
      </w:r>
    </w:p>
    <w:p w:rsidR="00AC1C74" w:rsidRDefault="00AC1C74"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ind w:left="1440" w:hanging="1440"/>
        <w:jc w:val="both"/>
      </w:pPr>
      <w:r>
        <w:t>FPL:</w:t>
      </w:r>
      <w:r>
        <w:tab/>
        <w:t>$23,632,267, under-recovery, as reflected on Line 3 of the Summary Of Net True Up Schedule (2017 FCR Final True Up, Exhibit RBD-1, Page 1 of 3).</w:t>
      </w:r>
    </w:p>
    <w:p w:rsidR="00787261" w:rsidRPr="0077310C" w:rsidRDefault="00787261" w:rsidP="00787261">
      <w:pPr>
        <w:autoSpaceDE w:val="0"/>
        <w:autoSpaceDN w:val="0"/>
        <w:adjustRightInd w:val="0"/>
        <w:ind w:left="1440" w:hanging="1440"/>
        <w:jc w:val="both"/>
      </w:pPr>
    </w:p>
    <w:p w:rsidR="00787261" w:rsidRPr="00FC3915" w:rsidRDefault="00787261" w:rsidP="00787261">
      <w:pPr>
        <w:tabs>
          <w:tab w:val="left" w:pos="8571"/>
        </w:tabs>
        <w:autoSpaceDE w:val="0"/>
        <w:autoSpaceDN w:val="0"/>
        <w:adjustRightInd w:val="0"/>
        <w:ind w:left="1440" w:hanging="1440"/>
        <w:jc w:val="both"/>
      </w:pPr>
      <w:r w:rsidRPr="00937E60">
        <w:t xml:space="preserve">FPUC: </w:t>
      </w:r>
      <w:r>
        <w:t xml:space="preserve">         </w:t>
      </w:r>
      <w:r>
        <w:tab/>
        <w:t>$2,245,979, under-recovery as reflected on Line 10 of Schedule A (Exhibit CDY-1, Page 1 of 3).</w:t>
      </w:r>
      <w:r w:rsidRPr="00FC3915">
        <w:tab/>
      </w:r>
    </w:p>
    <w:p w:rsidR="00787261" w:rsidRPr="00937E60" w:rsidRDefault="00787261" w:rsidP="00787261">
      <w:pPr>
        <w:tabs>
          <w:tab w:val="left" w:pos="8571"/>
        </w:tabs>
        <w:autoSpaceDE w:val="0"/>
        <w:autoSpaceDN w:val="0"/>
        <w:adjustRightInd w:val="0"/>
        <w:ind w:left="1440" w:hanging="1440"/>
        <w:jc w:val="both"/>
      </w:pPr>
      <w:r w:rsidRPr="00937E60">
        <w:tab/>
      </w:r>
      <w:r w:rsidRPr="00937E60">
        <w:tab/>
      </w:r>
    </w:p>
    <w:p w:rsidR="00787261" w:rsidRDefault="00787261" w:rsidP="00787261">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$10,213,781</w:t>
      </w:r>
      <w:r>
        <w:t xml:space="preserve"> over</w:t>
      </w:r>
      <w:r w:rsidRPr="00937E60">
        <w:t>-recovery</w:t>
      </w:r>
      <w:r>
        <w:t>, as reflected on Line C9, Schedule 2, 2017 Final True-Up Schedules (Exhibit CSB-1, Page 2 of 7)</w:t>
      </w:r>
      <w:r w:rsidRPr="00937E60">
        <w:t>.</w:t>
      </w:r>
    </w:p>
    <w:p w:rsidR="00787261" w:rsidRDefault="00787261" w:rsidP="00787261">
      <w:pPr>
        <w:tabs>
          <w:tab w:val="left" w:pos="8571"/>
        </w:tabs>
        <w:autoSpaceDE w:val="0"/>
        <w:autoSpaceDN w:val="0"/>
        <w:adjustRightInd w:val="0"/>
        <w:ind w:left="1440" w:hanging="1440"/>
        <w:jc w:val="both"/>
      </w:pPr>
    </w:p>
    <w:p w:rsidR="00787261" w:rsidRPr="009F5C6B" w:rsidRDefault="00787261" w:rsidP="00787261">
      <w:pPr>
        <w:tabs>
          <w:tab w:val="left" w:pos="8571"/>
        </w:tabs>
        <w:autoSpaceDE w:val="0"/>
        <w:autoSpaceDN w:val="0"/>
        <w:adjustRightInd w:val="0"/>
        <w:ind w:left="1440" w:hanging="1440"/>
        <w:jc w:val="both"/>
      </w:pPr>
      <w:r>
        <w:lastRenderedPageBreak/>
        <w:t xml:space="preserve">TECO:         </w:t>
      </w:r>
      <w:r>
        <w:tab/>
      </w:r>
      <w:r w:rsidRPr="006B5652">
        <w:rPr>
          <w:color w:val="000000" w:themeColor="text1"/>
        </w:rPr>
        <w:t>$</w:t>
      </w:r>
      <w:r>
        <w:rPr>
          <w:color w:val="000000" w:themeColor="text1"/>
        </w:rPr>
        <w:t>7,199,907</w:t>
      </w:r>
      <w:r w:rsidRPr="006B5652">
        <w:rPr>
          <w:color w:val="000000" w:themeColor="text1"/>
        </w:rPr>
        <w:t>,</w:t>
      </w:r>
      <w:r>
        <w:t xml:space="preserve"> ove</w:t>
      </w:r>
      <w:r w:rsidRPr="007E66E4">
        <w:t>r-recovery</w:t>
      </w:r>
      <w:r>
        <w:t>, as reflected on Line 11, Final Fuel and Purchased Power Over/(Under) Recovery Schedule (Exhibit PAR-1, Document No.2, Page 1 of 1)</w:t>
      </w:r>
      <w:r w:rsidRPr="007E66E4">
        <w:t>.</w:t>
      </w:r>
    </w:p>
    <w:p w:rsidR="00787261" w:rsidRDefault="00787261" w:rsidP="00787261">
      <w:pPr>
        <w:autoSpaceDE w:val="0"/>
        <w:autoSpaceDN w:val="0"/>
        <w:adjustRightInd w:val="0"/>
        <w:jc w:val="both"/>
        <w:rPr>
          <w:b/>
          <w:u w:val="single"/>
        </w:rPr>
      </w:pPr>
    </w:p>
    <w:p w:rsidR="00787261" w:rsidRDefault="00787261" w:rsidP="00787261">
      <w:pPr>
        <w:autoSpaceDE w:val="0"/>
        <w:autoSpaceDN w:val="0"/>
        <w:adjustRightInd w:val="0"/>
        <w:ind w:left="1440" w:hanging="1440"/>
        <w:jc w:val="both"/>
        <w:rPr>
          <w:b/>
          <w:bCs/>
          <w:u w:val="single"/>
        </w:rPr>
      </w:pPr>
    </w:p>
    <w:p w:rsidR="00787261" w:rsidRDefault="00787261" w:rsidP="00787261">
      <w:pPr>
        <w:autoSpaceDE w:val="0"/>
        <w:autoSpaceDN w:val="0"/>
        <w:adjustRightInd w:val="0"/>
        <w:ind w:left="1440" w:hanging="1440"/>
        <w:jc w:val="both"/>
      </w:pPr>
      <w:r>
        <w:rPr>
          <w:b/>
          <w:bCs/>
          <w:u w:val="single"/>
        </w:rPr>
        <w:t>ISSUE 9</w:t>
      </w:r>
      <w:r>
        <w:rPr>
          <w:b/>
          <w:bCs/>
        </w:rPr>
        <w:t>:</w:t>
      </w:r>
      <w:r>
        <w:tab/>
      </w:r>
      <w:r w:rsidRPr="007C6834">
        <w:rPr>
          <w:b/>
        </w:rPr>
        <w:t xml:space="preserve">What are the appropriate fuel adjustment actual/estimated true-up amounts for the period January 2018 through December 2018? </w:t>
      </w:r>
    </w:p>
    <w:p w:rsidR="00787261" w:rsidRDefault="00787261" w:rsidP="00787261">
      <w:pPr>
        <w:tabs>
          <w:tab w:val="left" w:pos="8571"/>
        </w:tabs>
        <w:autoSpaceDE w:val="0"/>
        <w:autoSpaceDN w:val="0"/>
        <w:adjustRightInd w:val="0"/>
        <w:jc w:val="both"/>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rPr>
          <w:bCs/>
        </w:rPr>
      </w:pPr>
      <w:r>
        <w:tab/>
        <w:t>The appropriate fuel adjustment actual/estimated true-up amounts for the period January 2018 through December 2018 are as follows:</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t>DEF:</w:t>
      </w:r>
      <w:r>
        <w:tab/>
        <w:t>$34,602,826</w:t>
      </w:r>
      <w:r w:rsidRPr="00937E60">
        <w:t>, under-recovery</w:t>
      </w:r>
      <w:r>
        <w:t>, as reflected on Line 8 of Schedule E1-B (Exhibit CAM-3, Part 2, Page 2 of 2)</w:t>
      </w:r>
      <w:r w:rsidRPr="00937E60">
        <w:t>.</w:t>
      </w:r>
    </w:p>
    <w:p w:rsidR="00787261" w:rsidRDefault="00787261" w:rsidP="00787261">
      <w:pPr>
        <w:tabs>
          <w:tab w:val="left" w:pos="8571"/>
        </w:tabs>
        <w:autoSpaceDE w:val="0"/>
        <w:autoSpaceDN w:val="0"/>
        <w:adjustRightInd w:val="0"/>
        <w:ind w:left="2160" w:hanging="720"/>
        <w:jc w:val="both"/>
      </w:pPr>
    </w:p>
    <w:p w:rsidR="00787261" w:rsidRDefault="00787261" w:rsidP="00787261">
      <w:pPr>
        <w:autoSpaceDE w:val="0"/>
        <w:autoSpaceDN w:val="0"/>
        <w:adjustRightInd w:val="0"/>
        <w:ind w:left="1440" w:hanging="1440"/>
        <w:jc w:val="both"/>
        <w:rPr>
          <w:b/>
          <w:u w:val="single"/>
        </w:rPr>
      </w:pPr>
      <w:r>
        <w:t xml:space="preserve">FPL:             </w:t>
      </w:r>
      <w:r>
        <w:tab/>
      </w:r>
      <w:r>
        <w:rPr>
          <w:color w:val="000000" w:themeColor="text1"/>
        </w:rPr>
        <w:t>$88,108,249</w:t>
      </w:r>
      <w:r w:rsidRPr="00937E60">
        <w:t>, under-recovery</w:t>
      </w:r>
      <w:r>
        <w:t>, as reflected on Lines 41 plus Line 42 of Schedule E1-B (2018 FCR Actual Estimated, Exhibit RBD-3, Page 1 of 40)</w:t>
      </w:r>
      <w:r w:rsidRPr="00DB2CEA">
        <w:t>.</w:t>
      </w:r>
    </w:p>
    <w:p w:rsidR="00787261" w:rsidRDefault="00787261" w:rsidP="00787261">
      <w:pPr>
        <w:tabs>
          <w:tab w:val="left" w:pos="8571"/>
        </w:tabs>
        <w:autoSpaceDE w:val="0"/>
        <w:autoSpaceDN w:val="0"/>
        <w:adjustRightInd w:val="0"/>
        <w:jc w:val="both"/>
      </w:pPr>
      <w:r>
        <w:tab/>
      </w:r>
    </w:p>
    <w:p w:rsidR="00787261" w:rsidRPr="00A41AE7" w:rsidRDefault="00787261" w:rsidP="00787261">
      <w:pPr>
        <w:tabs>
          <w:tab w:val="left" w:pos="8571"/>
        </w:tabs>
        <w:autoSpaceDE w:val="0"/>
        <w:autoSpaceDN w:val="0"/>
        <w:adjustRightInd w:val="0"/>
        <w:ind w:left="1440" w:hanging="1440"/>
        <w:jc w:val="both"/>
      </w:pPr>
      <w:r>
        <w:t>F</w:t>
      </w:r>
      <w:r w:rsidRPr="00A41AE7">
        <w:t xml:space="preserve">PUC:  </w:t>
      </w:r>
      <w:r>
        <w:t xml:space="preserve">      </w:t>
      </w:r>
      <w:r>
        <w:rPr>
          <w:color w:val="000000" w:themeColor="text1"/>
        </w:rPr>
        <w:t>$3,176,245</w:t>
      </w:r>
      <w:r w:rsidRPr="00A41AE7">
        <w:t>, under-recovery</w:t>
      </w:r>
      <w:r>
        <w:t>, as reflected on Lines 83 and 84 of Schedule E-1b (Exhibit MC-1, Page 2 of 3)</w:t>
      </w:r>
      <w:r w:rsidRPr="00A41AE7">
        <w:t>.</w:t>
      </w:r>
    </w:p>
    <w:p w:rsidR="00787261" w:rsidRPr="00A41AE7" w:rsidRDefault="00787261" w:rsidP="00787261">
      <w:pPr>
        <w:tabs>
          <w:tab w:val="left" w:pos="8571"/>
        </w:tabs>
        <w:autoSpaceDE w:val="0"/>
        <w:autoSpaceDN w:val="0"/>
        <w:adjustRightInd w:val="0"/>
        <w:ind w:left="1440" w:hanging="1440"/>
        <w:jc w:val="both"/>
      </w:pPr>
      <w:r w:rsidRPr="00A41AE7">
        <w:tab/>
      </w:r>
      <w:r w:rsidRPr="00A41AE7">
        <w:tab/>
      </w:r>
    </w:p>
    <w:p w:rsidR="00787261" w:rsidRDefault="00787261" w:rsidP="00787261">
      <w:pPr>
        <w:tabs>
          <w:tab w:val="left" w:pos="8571"/>
        </w:tabs>
        <w:autoSpaceDE w:val="0"/>
        <w:autoSpaceDN w:val="0"/>
        <w:adjustRightInd w:val="0"/>
        <w:ind w:left="1440" w:hanging="1440"/>
        <w:jc w:val="both"/>
      </w:pPr>
      <w:r w:rsidRPr="00A41AE7">
        <w:t xml:space="preserve">GULF:  </w:t>
      </w:r>
      <w:r>
        <w:t xml:space="preserve">        </w:t>
      </w:r>
      <w:r>
        <w:tab/>
      </w:r>
      <w:r>
        <w:rPr>
          <w:color w:val="000000" w:themeColor="text1"/>
        </w:rPr>
        <w:t>$13,195,558,</w:t>
      </w:r>
      <w:r>
        <w:t xml:space="preserve"> over</w:t>
      </w:r>
      <w:r w:rsidRPr="00937E60">
        <w:t>-recovery</w:t>
      </w:r>
      <w:r>
        <w:t>, as reflected on Line C9, Schedule E-1B, Page 2 of 2 (Exhibit CSB-5, 2019 Projection Filing, Page 4 of 41)</w:t>
      </w:r>
      <w:r w:rsidRPr="00937E60">
        <w:t>.</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t xml:space="preserve">TECO:            </w:t>
      </w:r>
      <w:r>
        <w:rPr>
          <w:color w:val="000000" w:themeColor="text1"/>
        </w:rPr>
        <w:t>$184,422</w:t>
      </w:r>
      <w:r>
        <w:t>, under</w:t>
      </w:r>
      <w:r w:rsidRPr="009625C9">
        <w:t>-recovery</w:t>
      </w:r>
      <w:r>
        <w:t>, as reflected on Schedule E1-B, Line C9 (Exhibit PAR-2, Calculation of Estimated True-Up, Document No. 1, Page 2 of 30).</w:t>
      </w:r>
    </w:p>
    <w:p w:rsidR="00787261" w:rsidRPr="009F5C6B"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ind w:left="1440" w:hanging="1440"/>
        <w:jc w:val="both"/>
        <w:rPr>
          <w:b/>
          <w:bCs/>
          <w:u w:val="single"/>
        </w:rPr>
      </w:pPr>
    </w:p>
    <w:p w:rsidR="00787261" w:rsidRPr="00981FFB" w:rsidRDefault="00787261" w:rsidP="00787261">
      <w:pPr>
        <w:autoSpaceDE w:val="0"/>
        <w:autoSpaceDN w:val="0"/>
        <w:adjustRightInd w:val="0"/>
        <w:ind w:left="1440" w:hanging="1440"/>
        <w:jc w:val="both"/>
      </w:pPr>
      <w:r>
        <w:rPr>
          <w:b/>
          <w:bCs/>
          <w:u w:val="single"/>
        </w:rPr>
        <w:t>ISSUE 10</w:t>
      </w:r>
      <w:r>
        <w:rPr>
          <w:b/>
          <w:bCs/>
        </w:rPr>
        <w:t>:</w:t>
      </w:r>
      <w:r>
        <w:tab/>
      </w:r>
      <w:r w:rsidRPr="007C6834">
        <w:rPr>
          <w:b/>
        </w:rPr>
        <w:t xml:space="preserve">What are the appropriate total fuel adjustment true-up amounts to be collected/refunded from January 2019 through December 2019? </w:t>
      </w:r>
    </w:p>
    <w:p w:rsidR="00787261" w:rsidRDefault="00787261" w:rsidP="00787261">
      <w:pPr>
        <w:tabs>
          <w:tab w:val="left" w:pos="8571"/>
        </w:tabs>
        <w:autoSpaceDE w:val="0"/>
        <w:autoSpaceDN w:val="0"/>
        <w:adjustRightInd w:val="0"/>
        <w:jc w:val="both"/>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rPr>
          <w:bCs/>
        </w:rPr>
      </w:pPr>
      <w:r>
        <w:tab/>
        <w:t>The appropriate total fuel adjustment true-up amounts to be collected/refunded from January 2019 through December 2019 are as follows:</w:t>
      </w:r>
    </w:p>
    <w:p w:rsidR="00AC1C74" w:rsidRDefault="00AC1C74" w:rsidP="00787261">
      <w:pPr>
        <w:keepNext/>
        <w:tabs>
          <w:tab w:val="left" w:pos="8571"/>
        </w:tabs>
        <w:autoSpaceDE w:val="0"/>
        <w:autoSpaceDN w:val="0"/>
        <w:adjustRightInd w:val="0"/>
        <w:ind w:left="1440" w:hanging="1440"/>
        <w:jc w:val="both"/>
      </w:pPr>
    </w:p>
    <w:p w:rsidR="00787261" w:rsidRDefault="00AC1C74" w:rsidP="00787261">
      <w:pPr>
        <w:keepNext/>
        <w:tabs>
          <w:tab w:val="left" w:pos="8571"/>
        </w:tabs>
        <w:autoSpaceDE w:val="0"/>
        <w:autoSpaceDN w:val="0"/>
        <w:adjustRightInd w:val="0"/>
        <w:ind w:left="1440" w:hanging="1440"/>
        <w:jc w:val="both"/>
      </w:pPr>
      <w:r>
        <w:t>DEF:</w:t>
      </w:r>
      <w:r>
        <w:tab/>
        <w:t>$148,450,915</w:t>
      </w:r>
      <w:r w:rsidRPr="00937E60">
        <w:t xml:space="preserve">, </w:t>
      </w:r>
      <w:r>
        <w:t>to be collected (</w:t>
      </w:r>
      <w:r w:rsidRPr="00937E60">
        <w:t>under-recovery</w:t>
      </w:r>
      <w:r>
        <w:t>), as reflected on Line 13 of Schedule E1-B (Exhibit CAM-3, Part 2, Page 2 of 2)</w:t>
      </w:r>
      <w:r w:rsidRPr="00937E60">
        <w:t>.</w:t>
      </w:r>
    </w:p>
    <w:p w:rsidR="00AC1C74" w:rsidRDefault="00AC1C74" w:rsidP="00787261">
      <w:pPr>
        <w:keepNext/>
        <w:tabs>
          <w:tab w:val="left" w:pos="8571"/>
        </w:tabs>
        <w:autoSpaceDE w:val="0"/>
        <w:autoSpaceDN w:val="0"/>
        <w:adjustRightInd w:val="0"/>
        <w:ind w:left="1440" w:hanging="1440"/>
        <w:jc w:val="both"/>
      </w:pPr>
    </w:p>
    <w:p w:rsidR="00787261" w:rsidRPr="00FC3915" w:rsidRDefault="00787261" w:rsidP="00787261">
      <w:pPr>
        <w:pStyle w:val="NoSpacing"/>
        <w:ind w:left="1440" w:hanging="1440"/>
        <w:jc w:val="both"/>
      </w:pPr>
      <w:r w:rsidRPr="00FC3915">
        <w:t>FPL:</w:t>
      </w:r>
      <w:r>
        <w:t xml:space="preserve"> </w:t>
      </w:r>
      <w:r>
        <w:tab/>
      </w:r>
      <w:r>
        <w:rPr>
          <w:color w:val="000000" w:themeColor="text1"/>
        </w:rPr>
        <w:t>$111,740,516</w:t>
      </w:r>
      <w:r w:rsidRPr="00FC3915">
        <w:t xml:space="preserve"> </w:t>
      </w:r>
      <w:r>
        <w:t>to be collect</w:t>
      </w:r>
      <w:r w:rsidRPr="00FC3915">
        <w:t>ed (</w:t>
      </w:r>
      <w:r>
        <w:t>under</w:t>
      </w:r>
      <w:r w:rsidRPr="00FC3915">
        <w:t>-recovery)</w:t>
      </w:r>
      <w:r>
        <w:t>, as reflected on Line 46 of Schedule E1-B (2018 FCR Actual/Estimated, Exhibit RBD-3, Page 1 of 40)</w:t>
      </w:r>
      <w:r w:rsidRPr="00DB2CEA">
        <w:t>.</w:t>
      </w:r>
    </w:p>
    <w:p w:rsidR="00787261" w:rsidRPr="00FC3915" w:rsidRDefault="00787261" w:rsidP="00787261">
      <w:pPr>
        <w:tabs>
          <w:tab w:val="left" w:pos="8571"/>
        </w:tabs>
        <w:autoSpaceDE w:val="0"/>
        <w:autoSpaceDN w:val="0"/>
        <w:adjustRightInd w:val="0"/>
        <w:jc w:val="both"/>
      </w:pPr>
    </w:p>
    <w:p w:rsidR="00787261" w:rsidRDefault="00787261" w:rsidP="00787261">
      <w:pPr>
        <w:tabs>
          <w:tab w:val="left" w:pos="8571"/>
        </w:tabs>
        <w:autoSpaceDE w:val="0"/>
        <w:autoSpaceDN w:val="0"/>
        <w:adjustRightInd w:val="0"/>
        <w:ind w:left="1440" w:hanging="1440"/>
        <w:jc w:val="both"/>
      </w:pPr>
      <w:r w:rsidRPr="00FC3915">
        <w:lastRenderedPageBreak/>
        <w:t>F</w:t>
      </w:r>
      <w:r>
        <w:t xml:space="preserve">PUC:           </w:t>
      </w:r>
      <w:r>
        <w:tab/>
        <w:t xml:space="preserve">On October 18, 2018, FPUC and OPC jointly proposed a stipulation to resolve all issues in Docket No. 20180048-EI. If approved, that proposal that impacts this issue. </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tab/>
        <w:t xml:space="preserve">If that stipulation is approved, the appropriate total fuel adjustment true-up amounts to be collected/refunded from January 2019 through December 2019 is </w:t>
      </w:r>
      <w:r>
        <w:rPr>
          <w:color w:val="000000" w:themeColor="text1"/>
        </w:rPr>
        <w:t>$3,957,772 to be collected</w:t>
      </w:r>
      <w:r w:rsidRPr="00A41AE7">
        <w:t xml:space="preserve"> </w:t>
      </w:r>
      <w:r>
        <w:t>(</w:t>
      </w:r>
      <w:r w:rsidRPr="00A41AE7">
        <w:t>under-recovery</w:t>
      </w:r>
      <w:r>
        <w:t xml:space="preserve">), as reflected on Line 88 of </w:t>
      </w:r>
      <w:r w:rsidRPr="005169BD">
        <w:t>Alternate</w:t>
      </w:r>
      <w:r>
        <w:t xml:space="preserve"> Schedule E-1b (</w:t>
      </w:r>
      <w:r w:rsidRPr="005169BD">
        <w:t>Alternate</w:t>
      </w:r>
      <w:r>
        <w:t xml:space="preserve"> Exhibit MC-1, Page 2 of 3)</w:t>
      </w:r>
      <w:r w:rsidRPr="00A41AE7">
        <w:t>.</w:t>
      </w:r>
    </w:p>
    <w:p w:rsidR="00787261" w:rsidRDefault="00787261" w:rsidP="00787261">
      <w:pPr>
        <w:tabs>
          <w:tab w:val="left" w:pos="8571"/>
        </w:tabs>
        <w:autoSpaceDE w:val="0"/>
        <w:autoSpaceDN w:val="0"/>
        <w:adjustRightInd w:val="0"/>
        <w:ind w:left="1440" w:hanging="1440"/>
        <w:jc w:val="both"/>
      </w:pPr>
    </w:p>
    <w:p w:rsidR="00787261" w:rsidRPr="00FC3915" w:rsidRDefault="00787261" w:rsidP="00787261">
      <w:pPr>
        <w:tabs>
          <w:tab w:val="left" w:pos="8571"/>
        </w:tabs>
        <w:autoSpaceDE w:val="0"/>
        <w:autoSpaceDN w:val="0"/>
        <w:adjustRightInd w:val="0"/>
        <w:ind w:left="1440" w:hanging="1440"/>
        <w:jc w:val="both"/>
      </w:pPr>
      <w:r>
        <w:tab/>
        <w:t xml:space="preserve">If that stipulation is not approved, the appropriate total fuel adjustment true-up amounts to be collected/refunded from January 2019 through December 2019 is </w:t>
      </w:r>
      <w:r>
        <w:rPr>
          <w:color w:val="000000" w:themeColor="text1"/>
        </w:rPr>
        <w:t>$5,422,224,</w:t>
      </w:r>
      <w:r w:rsidRPr="00FC3915">
        <w:t xml:space="preserve"> to be collected (under-recovery)</w:t>
      </w:r>
      <w:r>
        <w:t>, as reflected Line 87 of Schedule E-1b (Exhibit MC-1, Page 2 of 3)</w:t>
      </w:r>
      <w:r w:rsidRPr="00A41AE7">
        <w:t>.</w:t>
      </w:r>
      <w:r w:rsidRPr="00FC3915">
        <w:tab/>
      </w:r>
    </w:p>
    <w:p w:rsidR="00787261" w:rsidRPr="00FC3915" w:rsidRDefault="00787261" w:rsidP="00787261">
      <w:pPr>
        <w:tabs>
          <w:tab w:val="left" w:pos="8571"/>
        </w:tabs>
        <w:autoSpaceDE w:val="0"/>
        <w:autoSpaceDN w:val="0"/>
        <w:adjustRightInd w:val="0"/>
        <w:ind w:left="1440" w:hanging="1440"/>
        <w:jc w:val="both"/>
      </w:pPr>
    </w:p>
    <w:p w:rsidR="00787261" w:rsidRPr="00FC3915" w:rsidRDefault="00787261" w:rsidP="00787261">
      <w:pPr>
        <w:tabs>
          <w:tab w:val="left" w:pos="8571"/>
        </w:tabs>
        <w:autoSpaceDE w:val="0"/>
        <w:autoSpaceDN w:val="0"/>
        <w:adjustRightInd w:val="0"/>
        <w:ind w:left="1440" w:hanging="1440"/>
        <w:jc w:val="both"/>
      </w:pPr>
      <w:r w:rsidRPr="00FC3915">
        <w:t xml:space="preserve">Gulf:  </w:t>
      </w:r>
      <w:r>
        <w:t xml:space="preserve">    </w:t>
      </w:r>
      <w:r>
        <w:tab/>
      </w:r>
      <w:r>
        <w:rPr>
          <w:color w:val="000000" w:themeColor="text1"/>
        </w:rPr>
        <w:t>$23,409,339,</w:t>
      </w:r>
      <w:r>
        <w:t xml:space="preserve"> to be refunded (over</w:t>
      </w:r>
      <w:r w:rsidRPr="00937E60">
        <w:t>-recovery</w:t>
      </w:r>
      <w:r>
        <w:t>), as reflected on Line 23, Schedule E-1 (Exhibit CSB-5, 2019 Projection Filing, Page 1 of 41)</w:t>
      </w:r>
      <w:r w:rsidRPr="00937E60">
        <w:t>.</w:t>
      </w:r>
    </w:p>
    <w:p w:rsidR="00787261" w:rsidRPr="00FC3915" w:rsidRDefault="00787261" w:rsidP="00787261">
      <w:pPr>
        <w:pStyle w:val="NoSpacing"/>
      </w:pPr>
      <w:r w:rsidRPr="00FC3915">
        <w:tab/>
      </w:r>
    </w:p>
    <w:p w:rsidR="00787261" w:rsidRPr="009F5C6B" w:rsidRDefault="00787261" w:rsidP="00787261">
      <w:pPr>
        <w:tabs>
          <w:tab w:val="left" w:pos="8571"/>
        </w:tabs>
        <w:autoSpaceDE w:val="0"/>
        <w:autoSpaceDN w:val="0"/>
        <w:adjustRightInd w:val="0"/>
        <w:ind w:left="1440" w:hanging="1440"/>
        <w:jc w:val="both"/>
      </w:pPr>
      <w:r w:rsidRPr="00045DE6">
        <w:t xml:space="preserve">TECO:  </w:t>
      </w:r>
      <w:r>
        <w:t xml:space="preserve">        </w:t>
      </w:r>
      <w:r>
        <w:rPr>
          <w:color w:val="000000" w:themeColor="text1"/>
        </w:rPr>
        <w:t>$7,015,485</w:t>
      </w:r>
      <w:r>
        <w:t xml:space="preserve"> to be refunded (over-recovery), as reflected on Line 28, Schedule E1 (Exhibit PAR-3, Document No. 2, Page 2 of 30).</w:t>
      </w:r>
    </w:p>
    <w:p w:rsidR="00787261" w:rsidRPr="00E206B0" w:rsidRDefault="00787261" w:rsidP="00787261">
      <w:pPr>
        <w:autoSpaceDE w:val="0"/>
        <w:autoSpaceDN w:val="0"/>
        <w:adjustRightInd w:val="0"/>
        <w:jc w:val="both"/>
        <w:rPr>
          <w:bCs/>
        </w:rPr>
      </w:pPr>
    </w:p>
    <w:p w:rsidR="00787261" w:rsidRPr="00E206B0" w:rsidRDefault="00787261" w:rsidP="00787261">
      <w:pPr>
        <w:ind w:left="1440" w:hanging="1440"/>
        <w:jc w:val="both"/>
        <w:rPr>
          <w:rStyle w:val="Strong"/>
          <w:rFonts w:eastAsiaTheme="minorHAnsi"/>
          <w:b w:val="0"/>
        </w:rPr>
      </w:pPr>
      <w:r w:rsidRPr="0071761C">
        <w:rPr>
          <w:rStyle w:val="Strong"/>
          <w:rFonts w:eastAsiaTheme="minorHAnsi"/>
          <w:u w:val="single"/>
        </w:rPr>
        <w:t>ISSUE 11</w:t>
      </w:r>
      <w:r w:rsidRPr="00E206B0">
        <w:rPr>
          <w:rStyle w:val="Strong"/>
          <w:rFonts w:eastAsiaTheme="minorHAnsi"/>
        </w:rPr>
        <w:t>:</w:t>
      </w:r>
      <w:r w:rsidRPr="00E206B0">
        <w:rPr>
          <w:rStyle w:val="Strong"/>
          <w:rFonts w:eastAsiaTheme="minorHAnsi"/>
        </w:rPr>
        <w:tab/>
        <w:t>What are the appropriate projected total fuel and purchased power cost recovery amounts for the period Ja</w:t>
      </w:r>
      <w:r>
        <w:rPr>
          <w:rStyle w:val="Strong"/>
          <w:rFonts w:eastAsiaTheme="minorHAnsi"/>
        </w:rPr>
        <w:t>nuary 2019 through December 2019</w:t>
      </w:r>
      <w:r w:rsidRPr="00E206B0">
        <w:rPr>
          <w:rStyle w:val="Strong"/>
          <w:rFonts w:eastAsiaTheme="minorHAnsi"/>
        </w:rPr>
        <w:t xml:space="preserve">? </w:t>
      </w:r>
    </w:p>
    <w:p w:rsidR="00787261" w:rsidRPr="00E206B0" w:rsidRDefault="00787261" w:rsidP="00787261">
      <w:pPr>
        <w:tabs>
          <w:tab w:val="left" w:pos="8571"/>
        </w:tabs>
        <w:autoSpaceDE w:val="0"/>
        <w:autoSpaceDN w:val="0"/>
        <w:adjustRightInd w:val="0"/>
        <w:jc w:val="both"/>
        <w:rPr>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rsidRPr="00E206B0">
        <w:t>:</w:t>
      </w:r>
    </w:p>
    <w:p w:rsidR="00787261" w:rsidRDefault="00787261" w:rsidP="00787261">
      <w:pPr>
        <w:tabs>
          <w:tab w:val="left" w:pos="8571"/>
        </w:tabs>
        <w:autoSpaceDE w:val="0"/>
        <w:autoSpaceDN w:val="0"/>
        <w:adjustRightInd w:val="0"/>
        <w:ind w:left="1440" w:hanging="1440"/>
        <w:jc w:val="both"/>
      </w:pPr>
      <w:r w:rsidRPr="00E206B0">
        <w:tab/>
      </w:r>
    </w:p>
    <w:p w:rsidR="00787261" w:rsidRPr="00E206B0" w:rsidRDefault="00787261" w:rsidP="00787261">
      <w:pPr>
        <w:tabs>
          <w:tab w:val="left" w:pos="8571"/>
        </w:tabs>
        <w:autoSpaceDE w:val="0"/>
        <w:autoSpaceDN w:val="0"/>
        <w:adjustRightInd w:val="0"/>
        <w:ind w:left="1440" w:hanging="1440"/>
        <w:jc w:val="both"/>
        <w:rPr>
          <w:bCs/>
        </w:rPr>
      </w:pPr>
      <w:r>
        <w:tab/>
      </w:r>
      <w:r w:rsidRPr="00E206B0">
        <w:t xml:space="preserve">The appropriate </w:t>
      </w:r>
      <w:r w:rsidRPr="00AF7BC1">
        <w:rPr>
          <w:rStyle w:val="Strong"/>
          <w:rFonts w:eastAsiaTheme="minorHAnsi"/>
          <w:b w:val="0"/>
        </w:rPr>
        <w:t>projected total fuel and purchased power cost recovery amounts for the period January 2019 through December 2019</w:t>
      </w:r>
      <w:r w:rsidRPr="00E206B0">
        <w:t xml:space="preserve"> are as follows:</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t xml:space="preserve">DEF:  </w:t>
      </w:r>
      <w:r>
        <w:tab/>
        <w:t>$1,412,413,746</w:t>
      </w:r>
      <w:r w:rsidRPr="00CA16F2">
        <w:t xml:space="preserve">, </w:t>
      </w:r>
      <w:r>
        <w:t xml:space="preserve">which is </w:t>
      </w:r>
      <w:r w:rsidRPr="00CA16F2">
        <w:t>a</w:t>
      </w:r>
      <w:r>
        <w:t>djuste</w:t>
      </w:r>
      <w:r w:rsidRPr="00D30CF7">
        <w:t>d for line losses</w:t>
      </w:r>
      <w:r>
        <w:t xml:space="preserve"> and excludes</w:t>
      </w:r>
      <w:r w:rsidRPr="00D30CF7">
        <w:t xml:space="preserve"> prior period true-up amounts, revenue taxes and GPIF amounts, as reflected </w:t>
      </w:r>
      <w:r>
        <w:t>on Line 21</w:t>
      </w:r>
      <w:r w:rsidRPr="00D30CF7">
        <w:t xml:space="preserve"> of Schedule E1 (Exhibit CAM-3, Part 2, Page 1 of 1).</w:t>
      </w:r>
      <w:r>
        <w:rPr>
          <w:color w:val="FF0000"/>
        </w:rPr>
        <w:t xml:space="preserve">  </w:t>
      </w:r>
    </w:p>
    <w:p w:rsidR="00787261" w:rsidRDefault="00787261" w:rsidP="00787261">
      <w:pPr>
        <w:tabs>
          <w:tab w:val="left" w:pos="8571"/>
        </w:tabs>
        <w:autoSpaceDE w:val="0"/>
        <w:autoSpaceDN w:val="0"/>
        <w:adjustRightInd w:val="0"/>
        <w:jc w:val="both"/>
      </w:pPr>
    </w:p>
    <w:p w:rsidR="00787261" w:rsidRDefault="00787261" w:rsidP="00787261">
      <w:pPr>
        <w:tabs>
          <w:tab w:val="left" w:pos="8571"/>
        </w:tabs>
        <w:autoSpaceDE w:val="0"/>
        <w:autoSpaceDN w:val="0"/>
        <w:adjustRightInd w:val="0"/>
        <w:ind w:left="1440" w:hanging="1440"/>
        <w:jc w:val="both"/>
      </w:pPr>
      <w:r>
        <w:t xml:space="preserve">FPL:  </w:t>
      </w:r>
      <w:r>
        <w:tab/>
        <w:t>$2,706,845,783</w:t>
      </w:r>
      <w:r w:rsidRPr="005239D0">
        <w:t>,</w:t>
      </w:r>
      <w:r>
        <w:t xml:space="preserve"> which is </w:t>
      </w:r>
      <w:r w:rsidRPr="00CA16F2">
        <w:t>a</w:t>
      </w:r>
      <w:r>
        <w:t xml:space="preserve">djusted for jurisdictional losses, but excludes </w:t>
      </w:r>
      <w:r w:rsidRPr="00D45ADB">
        <w:t>prior period true-up</w:t>
      </w:r>
      <w:r>
        <w:t xml:space="preserve"> amounts</w:t>
      </w:r>
      <w:r w:rsidRPr="00D45ADB">
        <w:t xml:space="preserve">, revenue taxes, </w:t>
      </w:r>
      <w:r>
        <w:t xml:space="preserve">GPIF amounts, and </w:t>
      </w:r>
      <w:r w:rsidRPr="00D45ADB">
        <w:t>FPL’s portio</w:t>
      </w:r>
      <w:r>
        <w:t xml:space="preserve">n of Incentive </w:t>
      </w:r>
      <w:r w:rsidRPr="004F3EF2">
        <w:t>Mechanism gains,</w:t>
      </w:r>
      <w:r>
        <w:t xml:space="preserve"> as reflected on Line 27 of Schedule E1 (Appendix V – 2019 FCR Projections Schedule, Exhibit RBD-8, Page 1 of 6). The jurisdictional savings amounts from the 2019 SoBRAs and the Okeechobee Clean Energy Center are incorporated in this amount, and the spread across the entire year.</w:t>
      </w:r>
    </w:p>
    <w:p w:rsidR="00787261" w:rsidRDefault="00787261" w:rsidP="00787261">
      <w:pPr>
        <w:ind w:left="1440"/>
      </w:pPr>
    </w:p>
    <w:p w:rsidR="00787261" w:rsidRDefault="00787261" w:rsidP="00787261">
      <w:pPr>
        <w:tabs>
          <w:tab w:val="left" w:pos="8571"/>
        </w:tabs>
        <w:autoSpaceDE w:val="0"/>
        <w:autoSpaceDN w:val="0"/>
        <w:adjustRightInd w:val="0"/>
        <w:ind w:left="1440" w:hanging="1440"/>
        <w:jc w:val="both"/>
      </w:pPr>
      <w:r>
        <w:t xml:space="preserve">FPUC: </w:t>
      </w:r>
      <w:r>
        <w:tab/>
        <w:t>$61,162,693, as reflected on Line 27, Schedule E1 (Exhibit MC-2, Page 1 of 8).</w:t>
      </w:r>
    </w:p>
    <w:p w:rsidR="00787261" w:rsidRDefault="00787261" w:rsidP="00787261">
      <w:pPr>
        <w:tabs>
          <w:tab w:val="left" w:pos="8571"/>
        </w:tabs>
        <w:autoSpaceDE w:val="0"/>
        <w:autoSpaceDN w:val="0"/>
        <w:adjustRightInd w:val="0"/>
        <w:jc w:val="both"/>
      </w:pPr>
    </w:p>
    <w:p w:rsidR="00787261" w:rsidRDefault="00787261" w:rsidP="00787261">
      <w:pPr>
        <w:tabs>
          <w:tab w:val="left" w:pos="8571"/>
        </w:tabs>
        <w:autoSpaceDE w:val="0"/>
        <w:autoSpaceDN w:val="0"/>
        <w:adjustRightInd w:val="0"/>
        <w:ind w:left="1440" w:hanging="1440"/>
        <w:jc w:val="both"/>
      </w:pPr>
      <w:r>
        <w:t xml:space="preserve">GULF:   </w:t>
      </w:r>
      <w:r>
        <w:tab/>
        <w:t xml:space="preserve">$359,681,325, which is </w:t>
      </w:r>
      <w:r w:rsidRPr="00CA16F2">
        <w:t>a</w:t>
      </w:r>
      <w:r>
        <w:t xml:space="preserve">djusted for line losses, but excluding </w:t>
      </w:r>
      <w:r w:rsidRPr="00D45ADB">
        <w:t>prior period true-up</w:t>
      </w:r>
      <w:r>
        <w:t xml:space="preserve"> amounts</w:t>
      </w:r>
      <w:r w:rsidRPr="00D45ADB">
        <w:t xml:space="preserve">, revenue taxes, </w:t>
      </w:r>
      <w:r>
        <w:t>GPIF amounts, and the estimated tax credit savings, a</w:t>
      </w:r>
      <w:r w:rsidRPr="00CA16F2">
        <w:t xml:space="preserve">s </w:t>
      </w:r>
      <w:r w:rsidRPr="00CA16F2">
        <w:lastRenderedPageBreak/>
        <w:t xml:space="preserve">reflected </w:t>
      </w:r>
      <w:r>
        <w:t>on Line 22, Schedule E1 (</w:t>
      </w:r>
      <w:r w:rsidRPr="00CA16F2">
        <w:t>Exhibit C</w:t>
      </w:r>
      <w:r>
        <w:t>SB-5, 2019 Projection Filing, Page 1 of 41)</w:t>
      </w:r>
      <w:r w:rsidRPr="00937E60">
        <w:t>.</w:t>
      </w:r>
      <w:r>
        <w:t xml:space="preserve"> </w:t>
      </w:r>
    </w:p>
    <w:p w:rsidR="00787261" w:rsidRDefault="00787261" w:rsidP="00787261">
      <w:pPr>
        <w:tabs>
          <w:tab w:val="left" w:pos="8571"/>
        </w:tabs>
        <w:autoSpaceDE w:val="0"/>
        <w:autoSpaceDN w:val="0"/>
        <w:adjustRightInd w:val="0"/>
        <w:ind w:left="1440" w:hanging="1440"/>
        <w:jc w:val="both"/>
        <w:rPr>
          <w:highlight w:val="yellow"/>
        </w:rPr>
      </w:pPr>
    </w:p>
    <w:p w:rsidR="00787261" w:rsidRPr="009F5C6B" w:rsidRDefault="00787261" w:rsidP="00787261">
      <w:pPr>
        <w:tabs>
          <w:tab w:val="left" w:pos="8571"/>
        </w:tabs>
        <w:autoSpaceDE w:val="0"/>
        <w:autoSpaceDN w:val="0"/>
        <w:adjustRightInd w:val="0"/>
        <w:ind w:left="1440" w:hanging="1440"/>
        <w:jc w:val="both"/>
      </w:pPr>
      <w:r>
        <w:t xml:space="preserve">TECO:  </w:t>
      </w:r>
      <w:r>
        <w:tab/>
        <w:t>$537,871,753,</w:t>
      </w:r>
      <w:r w:rsidRPr="00D47BD5">
        <w:t xml:space="preserve"> </w:t>
      </w:r>
      <w:r>
        <w:t xml:space="preserve">which is adjusted for jurisdictional losses, but excluding </w:t>
      </w:r>
      <w:r w:rsidRPr="00D45ADB">
        <w:t>prior period true-up</w:t>
      </w:r>
      <w:r>
        <w:t xml:space="preserve"> amounts</w:t>
      </w:r>
      <w:r w:rsidRPr="00D45ADB">
        <w:t xml:space="preserve">, revenue taxes, </w:t>
      </w:r>
      <w:r>
        <w:t>and GPIF amounts</w:t>
      </w:r>
      <w:r w:rsidRPr="004F3EF2">
        <w:t>,</w:t>
      </w:r>
      <w:r>
        <w:t xml:space="preserve"> as reflected on Line 27, Schedule E1 (Exhibit PAR-3, Document No. 2, Page 2 of 30).</w:t>
      </w:r>
    </w:p>
    <w:p w:rsidR="007C6834" w:rsidRDefault="007C6834" w:rsidP="007C6834">
      <w:pPr>
        <w:rPr>
          <w:b/>
          <w:bCs/>
        </w:rPr>
      </w:pPr>
    </w:p>
    <w:p w:rsidR="008E7827" w:rsidRDefault="008E7827" w:rsidP="007C6834">
      <w:pPr>
        <w:rPr>
          <w:b/>
          <w:bCs/>
        </w:rPr>
      </w:pPr>
      <w:r>
        <w:rPr>
          <w:b/>
          <w:bCs/>
        </w:rPr>
        <w:t>Tampa Electric Company</w:t>
      </w:r>
    </w:p>
    <w:p w:rsidR="008E7827" w:rsidRDefault="008E7827" w:rsidP="008E7827">
      <w:pPr>
        <w:autoSpaceDE w:val="0"/>
        <w:autoSpaceDN w:val="0"/>
        <w:adjustRightInd w:val="0"/>
        <w:jc w:val="both"/>
      </w:pPr>
    </w:p>
    <w:p w:rsidR="008E7827" w:rsidRPr="00727030" w:rsidRDefault="008E7827" w:rsidP="008E7827">
      <w:pPr>
        <w:autoSpaceDE w:val="0"/>
        <w:autoSpaceDN w:val="0"/>
        <w:adjustRightInd w:val="0"/>
        <w:ind w:left="1440" w:hanging="1440"/>
        <w:jc w:val="both"/>
      </w:pPr>
      <w:r w:rsidRPr="00727030">
        <w:rPr>
          <w:b/>
          <w:bCs/>
          <w:u w:val="single"/>
        </w:rPr>
        <w:t>ISSUE 15A</w:t>
      </w:r>
      <w:r w:rsidRPr="00727030">
        <w:t>:</w:t>
      </w:r>
      <w:r w:rsidRPr="00727030">
        <w:tab/>
      </w:r>
      <w:r w:rsidRPr="007C6834">
        <w:rPr>
          <w:b/>
        </w:rPr>
        <w:t>What adjustments, if any, should be made to correct Tampa Electric’s calculations of its GPIF rewards or penalties for the years 2014, 2015, and 2016?</w:t>
      </w:r>
      <w:r>
        <w:t xml:space="preserve"> </w:t>
      </w:r>
    </w:p>
    <w:p w:rsidR="008E7827" w:rsidRDefault="008E7827" w:rsidP="008E7827">
      <w:pPr>
        <w:autoSpaceDE w:val="0"/>
        <w:autoSpaceDN w:val="0"/>
        <w:adjustRightInd w:val="0"/>
        <w:ind w:left="1440" w:hanging="1440"/>
        <w:jc w:val="both"/>
      </w:pPr>
    </w:p>
    <w:p w:rsidR="008E7827" w:rsidRDefault="008E7827" w:rsidP="008E7827">
      <w:pPr>
        <w:autoSpaceDE w:val="0"/>
        <w:autoSpaceDN w:val="0"/>
        <w:adjustRightInd w:val="0"/>
        <w:ind w:left="1440" w:hanging="1440"/>
        <w:jc w:val="both"/>
      </w:pPr>
      <w:r>
        <w:rPr>
          <w:b/>
          <w:u w:val="single"/>
        </w:rPr>
        <w:t>STIPULATION</w:t>
      </w:r>
      <w:r>
        <w:t>:</w:t>
      </w:r>
      <w:r>
        <w:tab/>
      </w:r>
    </w:p>
    <w:p w:rsidR="008E7827" w:rsidRDefault="008E7827" w:rsidP="008E7827">
      <w:pPr>
        <w:autoSpaceDE w:val="0"/>
        <w:autoSpaceDN w:val="0"/>
        <w:adjustRightInd w:val="0"/>
        <w:ind w:left="1440" w:hanging="1440"/>
        <w:jc w:val="both"/>
      </w:pPr>
    </w:p>
    <w:p w:rsidR="008E7827" w:rsidRDefault="008E7827" w:rsidP="008E7827">
      <w:pPr>
        <w:autoSpaceDE w:val="0"/>
        <w:autoSpaceDN w:val="0"/>
        <w:adjustRightInd w:val="0"/>
        <w:ind w:left="1440"/>
        <w:jc w:val="both"/>
      </w:pPr>
      <w:r>
        <w:t xml:space="preserve">The Bayside Station is one of the generating stations in </w:t>
      </w:r>
      <w:r w:rsidRPr="00727030">
        <w:t>Tamp</w:t>
      </w:r>
      <w:r>
        <w:t>a Electric’s</w:t>
      </w:r>
      <w:r w:rsidRPr="00E206B0">
        <w:t xml:space="preserve"> </w:t>
      </w:r>
      <w:r>
        <w:t xml:space="preserve">GPIF program. Tampa Electric recently discovered inaccuracies in the performance data it recorded for Bayside Station that impacted the GPIF calculations </w:t>
      </w:r>
      <w:r w:rsidRPr="00727030">
        <w:t>for the years 2014, 2015, and 2016</w:t>
      </w:r>
      <w:r>
        <w:t xml:space="preserve">. </w:t>
      </w:r>
    </w:p>
    <w:p w:rsidR="008E7827" w:rsidRDefault="008E7827" w:rsidP="008E7827">
      <w:pPr>
        <w:autoSpaceDE w:val="0"/>
        <w:autoSpaceDN w:val="0"/>
        <w:adjustRightInd w:val="0"/>
        <w:ind w:left="1440" w:hanging="1440"/>
        <w:jc w:val="both"/>
      </w:pPr>
    </w:p>
    <w:p w:rsidR="008E7827" w:rsidRDefault="008E7827" w:rsidP="008E7827">
      <w:pPr>
        <w:autoSpaceDE w:val="0"/>
        <w:autoSpaceDN w:val="0"/>
        <w:adjustRightInd w:val="0"/>
        <w:ind w:left="1440"/>
        <w:jc w:val="both"/>
      </w:pPr>
      <w:r>
        <w:t xml:space="preserve">Exhibit BSB-2 reflects corrections to the previously-reported performance data and re-calculated GPIF results </w:t>
      </w:r>
      <w:r w:rsidRPr="00727030">
        <w:t>for the years 2014, 2015, and 2016</w:t>
      </w:r>
      <w:r>
        <w:t xml:space="preserve">. The adjustments that </w:t>
      </w:r>
      <w:r w:rsidRPr="00727030">
        <w:t>should be made to correct Tampa Electric’s calculations of its GPIF rewards or penalties for the years 2014, 2015, and 2016</w:t>
      </w:r>
      <w:r>
        <w:t xml:space="preserve"> are shown in Table 15A-1 below: </w:t>
      </w:r>
    </w:p>
    <w:p w:rsidR="008E7827" w:rsidRDefault="008E7827" w:rsidP="008E7827">
      <w:pPr>
        <w:autoSpaceDE w:val="0"/>
        <w:autoSpaceDN w:val="0"/>
        <w:adjustRightInd w:val="0"/>
        <w:ind w:left="1440" w:hanging="1440"/>
        <w:jc w:val="center"/>
        <w:rPr>
          <w:rFonts w:asciiTheme="majorHAnsi" w:hAnsiTheme="majorHAnsi" w:cstheme="majorHAnsi"/>
          <w:b/>
        </w:rPr>
      </w:pPr>
      <w:r>
        <w:rPr>
          <w:rFonts w:asciiTheme="majorHAnsi" w:hAnsiTheme="majorHAnsi" w:cstheme="majorHAnsi"/>
          <w:b/>
        </w:rPr>
        <w:t xml:space="preserve">                   Table 15A-1</w:t>
      </w:r>
    </w:p>
    <w:p w:rsidR="008E7827" w:rsidRPr="00A6618B" w:rsidRDefault="008E7827" w:rsidP="008E7827">
      <w:pPr>
        <w:autoSpaceDE w:val="0"/>
        <w:autoSpaceDN w:val="0"/>
        <w:adjustRightInd w:val="0"/>
        <w:ind w:left="1440" w:hanging="1440"/>
        <w:jc w:val="center"/>
        <w:rPr>
          <w:rFonts w:asciiTheme="majorHAnsi" w:hAnsiTheme="majorHAnsi" w:cstheme="majorHAnsi"/>
          <w:b/>
        </w:rPr>
      </w:pPr>
      <w:r>
        <w:rPr>
          <w:rFonts w:asciiTheme="majorHAnsi" w:hAnsiTheme="majorHAnsi" w:cstheme="majorHAnsi"/>
          <w:b/>
        </w:rPr>
        <w:t xml:space="preserve">                 Adjustments in GPIF Calculations for TECO for 2014-2016</w:t>
      </w:r>
    </w:p>
    <w:tbl>
      <w:tblPr>
        <w:tblStyle w:val="TableGrid"/>
        <w:tblW w:w="0" w:type="auto"/>
        <w:tblInd w:w="1440" w:type="dxa"/>
        <w:tblLook w:val="04A0" w:firstRow="1" w:lastRow="0" w:firstColumn="1" w:lastColumn="0" w:noHBand="0" w:noVBand="1"/>
      </w:tblPr>
      <w:tblGrid>
        <w:gridCol w:w="2034"/>
        <w:gridCol w:w="2034"/>
        <w:gridCol w:w="2034"/>
        <w:gridCol w:w="1926"/>
      </w:tblGrid>
      <w:tr w:rsidR="008E7827" w:rsidTr="0001240D">
        <w:tc>
          <w:tcPr>
            <w:tcW w:w="2034" w:type="dxa"/>
            <w:vAlign w:val="center"/>
          </w:tcPr>
          <w:p w:rsidR="008E7827" w:rsidRDefault="008E7827" w:rsidP="0001240D">
            <w:pPr>
              <w:autoSpaceDE w:val="0"/>
              <w:autoSpaceDN w:val="0"/>
              <w:adjustRightInd w:val="0"/>
              <w:jc w:val="center"/>
            </w:pPr>
            <w:r>
              <w:t>Year</w:t>
            </w:r>
          </w:p>
        </w:tc>
        <w:tc>
          <w:tcPr>
            <w:tcW w:w="2034" w:type="dxa"/>
            <w:vAlign w:val="center"/>
          </w:tcPr>
          <w:p w:rsidR="008E7827" w:rsidRDefault="008E7827" w:rsidP="0001240D">
            <w:pPr>
              <w:autoSpaceDE w:val="0"/>
              <w:autoSpaceDN w:val="0"/>
              <w:adjustRightInd w:val="0"/>
              <w:jc w:val="center"/>
            </w:pPr>
            <w:r>
              <w:t>Original Calculation of GPIF Reward / (Penalty)</w:t>
            </w:r>
          </w:p>
        </w:tc>
        <w:tc>
          <w:tcPr>
            <w:tcW w:w="2034" w:type="dxa"/>
            <w:vAlign w:val="center"/>
          </w:tcPr>
          <w:p w:rsidR="008E7827" w:rsidRDefault="008E7827" w:rsidP="0001240D">
            <w:pPr>
              <w:autoSpaceDE w:val="0"/>
              <w:autoSpaceDN w:val="0"/>
              <w:adjustRightInd w:val="0"/>
              <w:jc w:val="center"/>
            </w:pPr>
            <w:r>
              <w:t>Corrected Calculation of GPIF Reward / (Penalty)</w:t>
            </w:r>
          </w:p>
        </w:tc>
        <w:tc>
          <w:tcPr>
            <w:tcW w:w="1926" w:type="dxa"/>
          </w:tcPr>
          <w:p w:rsidR="008E7827" w:rsidRDefault="008E7827" w:rsidP="0001240D">
            <w:pPr>
              <w:autoSpaceDE w:val="0"/>
              <w:autoSpaceDN w:val="0"/>
              <w:adjustRightInd w:val="0"/>
              <w:jc w:val="center"/>
            </w:pPr>
            <w:r>
              <w:t>Difference between the Corrected and Original Calculations</w:t>
            </w:r>
          </w:p>
        </w:tc>
      </w:tr>
      <w:tr w:rsidR="008E7827" w:rsidTr="0001240D">
        <w:tc>
          <w:tcPr>
            <w:tcW w:w="2034" w:type="dxa"/>
          </w:tcPr>
          <w:p w:rsidR="008E7827" w:rsidRDefault="008E7827" w:rsidP="0001240D">
            <w:pPr>
              <w:autoSpaceDE w:val="0"/>
              <w:autoSpaceDN w:val="0"/>
              <w:adjustRightInd w:val="0"/>
              <w:jc w:val="center"/>
            </w:pPr>
            <w:r>
              <w:t>2014</w:t>
            </w:r>
          </w:p>
        </w:tc>
        <w:tc>
          <w:tcPr>
            <w:tcW w:w="2034" w:type="dxa"/>
          </w:tcPr>
          <w:p w:rsidR="008E7827" w:rsidRDefault="008E7827" w:rsidP="0001240D">
            <w:pPr>
              <w:autoSpaceDE w:val="0"/>
              <w:autoSpaceDN w:val="0"/>
              <w:adjustRightInd w:val="0"/>
              <w:jc w:val="center"/>
            </w:pPr>
            <w:r>
              <w:t>$1,258,599</w:t>
            </w:r>
          </w:p>
        </w:tc>
        <w:tc>
          <w:tcPr>
            <w:tcW w:w="2034" w:type="dxa"/>
          </w:tcPr>
          <w:p w:rsidR="008E7827" w:rsidRDefault="008E7827" w:rsidP="0001240D">
            <w:pPr>
              <w:autoSpaceDE w:val="0"/>
              <w:autoSpaceDN w:val="0"/>
              <w:adjustRightInd w:val="0"/>
              <w:jc w:val="center"/>
            </w:pPr>
            <w:r>
              <w:t>$1,990,038</w:t>
            </w:r>
          </w:p>
        </w:tc>
        <w:tc>
          <w:tcPr>
            <w:tcW w:w="1926" w:type="dxa"/>
          </w:tcPr>
          <w:p w:rsidR="008E7827" w:rsidRDefault="008E7827" w:rsidP="0001240D">
            <w:pPr>
              <w:autoSpaceDE w:val="0"/>
              <w:autoSpaceDN w:val="0"/>
              <w:adjustRightInd w:val="0"/>
              <w:jc w:val="center"/>
            </w:pPr>
            <w:r>
              <w:t>$731,439</w:t>
            </w:r>
          </w:p>
        </w:tc>
      </w:tr>
      <w:tr w:rsidR="008E7827" w:rsidTr="0001240D">
        <w:tc>
          <w:tcPr>
            <w:tcW w:w="2034" w:type="dxa"/>
          </w:tcPr>
          <w:p w:rsidR="008E7827" w:rsidRDefault="008E7827" w:rsidP="0001240D">
            <w:pPr>
              <w:autoSpaceDE w:val="0"/>
              <w:autoSpaceDN w:val="0"/>
              <w:adjustRightInd w:val="0"/>
              <w:jc w:val="center"/>
            </w:pPr>
            <w:r>
              <w:t>2015</w:t>
            </w:r>
          </w:p>
        </w:tc>
        <w:tc>
          <w:tcPr>
            <w:tcW w:w="2034" w:type="dxa"/>
          </w:tcPr>
          <w:p w:rsidR="008E7827" w:rsidRDefault="008E7827" w:rsidP="0001240D">
            <w:pPr>
              <w:autoSpaceDE w:val="0"/>
              <w:autoSpaceDN w:val="0"/>
              <w:adjustRightInd w:val="0"/>
              <w:jc w:val="center"/>
            </w:pPr>
            <w:r>
              <w:t xml:space="preserve">     969,593</w:t>
            </w:r>
          </w:p>
        </w:tc>
        <w:tc>
          <w:tcPr>
            <w:tcW w:w="2034" w:type="dxa"/>
          </w:tcPr>
          <w:p w:rsidR="008E7827" w:rsidRDefault="008E7827" w:rsidP="0001240D">
            <w:pPr>
              <w:autoSpaceDE w:val="0"/>
              <w:autoSpaceDN w:val="0"/>
              <w:adjustRightInd w:val="0"/>
              <w:jc w:val="center"/>
            </w:pPr>
            <w:r>
              <w:t xml:space="preserve">  1,711,713</w:t>
            </w:r>
          </w:p>
        </w:tc>
        <w:tc>
          <w:tcPr>
            <w:tcW w:w="1926" w:type="dxa"/>
          </w:tcPr>
          <w:p w:rsidR="008E7827" w:rsidRDefault="008E7827" w:rsidP="0001240D">
            <w:pPr>
              <w:autoSpaceDE w:val="0"/>
              <w:autoSpaceDN w:val="0"/>
              <w:adjustRightInd w:val="0"/>
              <w:jc w:val="center"/>
            </w:pPr>
            <w:r>
              <w:t>742,120</w:t>
            </w:r>
          </w:p>
        </w:tc>
      </w:tr>
      <w:tr w:rsidR="008E7827" w:rsidTr="0001240D">
        <w:tc>
          <w:tcPr>
            <w:tcW w:w="2034" w:type="dxa"/>
          </w:tcPr>
          <w:p w:rsidR="008E7827" w:rsidRDefault="008E7827" w:rsidP="0001240D">
            <w:pPr>
              <w:autoSpaceDE w:val="0"/>
              <w:autoSpaceDN w:val="0"/>
              <w:adjustRightInd w:val="0"/>
              <w:jc w:val="center"/>
            </w:pPr>
            <w:r>
              <w:t>2016</w:t>
            </w:r>
          </w:p>
        </w:tc>
        <w:tc>
          <w:tcPr>
            <w:tcW w:w="2034" w:type="dxa"/>
          </w:tcPr>
          <w:p w:rsidR="008E7827" w:rsidRDefault="008E7827" w:rsidP="0001240D">
            <w:pPr>
              <w:autoSpaceDE w:val="0"/>
              <w:autoSpaceDN w:val="0"/>
              <w:adjustRightInd w:val="0"/>
              <w:jc w:val="center"/>
            </w:pPr>
            <w:r>
              <w:t xml:space="preserve">       47,392</w:t>
            </w:r>
          </w:p>
        </w:tc>
        <w:tc>
          <w:tcPr>
            <w:tcW w:w="2034" w:type="dxa"/>
          </w:tcPr>
          <w:p w:rsidR="008E7827" w:rsidRDefault="008E7827" w:rsidP="0001240D">
            <w:pPr>
              <w:autoSpaceDE w:val="0"/>
              <w:autoSpaceDN w:val="0"/>
              <w:adjustRightInd w:val="0"/>
              <w:jc w:val="center"/>
            </w:pPr>
            <w:r>
              <w:t xml:space="preserve">  1,024,743</w:t>
            </w:r>
          </w:p>
        </w:tc>
        <w:tc>
          <w:tcPr>
            <w:tcW w:w="1926" w:type="dxa"/>
          </w:tcPr>
          <w:p w:rsidR="008E7827" w:rsidRPr="00091DD5" w:rsidRDefault="008E7827" w:rsidP="0001240D">
            <w:pPr>
              <w:autoSpaceDE w:val="0"/>
              <w:autoSpaceDN w:val="0"/>
              <w:adjustRightInd w:val="0"/>
              <w:jc w:val="center"/>
              <w:rPr>
                <w:u w:val="single"/>
              </w:rPr>
            </w:pPr>
            <w:r w:rsidRPr="00091DD5">
              <w:rPr>
                <w:u w:val="single"/>
              </w:rPr>
              <w:t>977,351</w:t>
            </w:r>
          </w:p>
        </w:tc>
      </w:tr>
      <w:tr w:rsidR="008E7827" w:rsidTr="0001240D">
        <w:tc>
          <w:tcPr>
            <w:tcW w:w="6102" w:type="dxa"/>
            <w:gridSpan w:val="3"/>
          </w:tcPr>
          <w:p w:rsidR="008E7827" w:rsidRDefault="008E7827" w:rsidP="0001240D">
            <w:pPr>
              <w:autoSpaceDE w:val="0"/>
              <w:autoSpaceDN w:val="0"/>
              <w:adjustRightInd w:val="0"/>
              <w:jc w:val="right"/>
            </w:pPr>
            <w:r>
              <w:t>Total</w:t>
            </w:r>
          </w:p>
        </w:tc>
        <w:tc>
          <w:tcPr>
            <w:tcW w:w="1926" w:type="dxa"/>
          </w:tcPr>
          <w:p w:rsidR="008E7827" w:rsidRPr="00091DD5" w:rsidRDefault="008E7827" w:rsidP="0001240D">
            <w:pPr>
              <w:autoSpaceDE w:val="0"/>
              <w:autoSpaceDN w:val="0"/>
              <w:adjustRightInd w:val="0"/>
              <w:jc w:val="center"/>
              <w:rPr>
                <w:u w:val="double"/>
              </w:rPr>
            </w:pPr>
            <w:r w:rsidRPr="00091DD5">
              <w:rPr>
                <w:u w:val="double"/>
              </w:rPr>
              <w:t>$2,450,910</w:t>
            </w:r>
          </w:p>
        </w:tc>
      </w:tr>
    </w:tbl>
    <w:p w:rsidR="008E7827" w:rsidRDefault="008E7827" w:rsidP="008E7827">
      <w:pPr>
        <w:autoSpaceDE w:val="0"/>
        <w:autoSpaceDN w:val="0"/>
        <w:adjustRightInd w:val="0"/>
        <w:ind w:left="1440"/>
        <w:jc w:val="both"/>
      </w:pPr>
      <w:r>
        <w:t>Source: Corrected Actual GPIF Incentive Points Calculations (Exhibit BSB-2, Page 32 of 39 of Document 2 (for 2014), Page 32 of 39 of Document 4 (for 2015), and Page 32 of 39 of Document 6 (for 2016)).</w:t>
      </w:r>
    </w:p>
    <w:p w:rsidR="008E7827" w:rsidRDefault="008E7827">
      <w:pPr>
        <w:rPr>
          <w:b/>
          <w:bCs/>
        </w:rPr>
      </w:pPr>
    </w:p>
    <w:p w:rsidR="00787261" w:rsidRDefault="00787261" w:rsidP="00787261">
      <w:pPr>
        <w:jc w:val="both"/>
        <w:rPr>
          <w:b/>
          <w:bCs/>
        </w:rPr>
      </w:pPr>
    </w:p>
    <w:p w:rsidR="008E7827" w:rsidRDefault="008E7827" w:rsidP="008E7827">
      <w:pPr>
        <w:autoSpaceDE w:val="0"/>
        <w:autoSpaceDN w:val="0"/>
        <w:adjustRightInd w:val="0"/>
        <w:ind w:left="1440" w:hanging="1440"/>
        <w:jc w:val="both"/>
      </w:pPr>
      <w:r w:rsidRPr="00727030">
        <w:rPr>
          <w:b/>
          <w:bCs/>
          <w:u w:val="single"/>
        </w:rPr>
        <w:t>ISSUE 15B</w:t>
      </w:r>
      <w:r w:rsidRPr="00727030">
        <w:t>:</w:t>
      </w:r>
      <w:r w:rsidRPr="00727030">
        <w:tab/>
      </w:r>
      <w:r w:rsidRPr="007C6834">
        <w:rPr>
          <w:b/>
        </w:rPr>
        <w:t>Should the Commission approve Tampa Electric’s proposed corrections to its GPIF 2017 and 2018 targets?</w:t>
      </w:r>
      <w:r>
        <w:t xml:space="preserve"> </w:t>
      </w:r>
    </w:p>
    <w:p w:rsidR="008E7827" w:rsidRDefault="008E7827" w:rsidP="008E7827">
      <w:pPr>
        <w:tabs>
          <w:tab w:val="left" w:pos="8571"/>
        </w:tabs>
        <w:autoSpaceDE w:val="0"/>
        <w:autoSpaceDN w:val="0"/>
        <w:adjustRightInd w:val="0"/>
        <w:ind w:left="1440" w:hanging="1440"/>
        <w:jc w:val="both"/>
      </w:pPr>
    </w:p>
    <w:p w:rsidR="007C6834" w:rsidRDefault="007C6834">
      <w:pPr>
        <w:rPr>
          <w:b/>
          <w:u w:val="single"/>
        </w:rPr>
      </w:pPr>
      <w:r>
        <w:rPr>
          <w:b/>
          <w:u w:val="single"/>
        </w:rPr>
        <w:br w:type="page"/>
      </w:r>
    </w:p>
    <w:p w:rsidR="008E7827" w:rsidRDefault="008E7827" w:rsidP="008E7827">
      <w:pPr>
        <w:tabs>
          <w:tab w:val="left" w:pos="8571"/>
        </w:tabs>
        <w:autoSpaceDE w:val="0"/>
        <w:autoSpaceDN w:val="0"/>
        <w:adjustRightInd w:val="0"/>
        <w:ind w:left="1440" w:hanging="1440"/>
        <w:jc w:val="both"/>
        <w:rPr>
          <w:b/>
        </w:rPr>
      </w:pPr>
      <w:r>
        <w:rPr>
          <w:b/>
          <w:u w:val="single"/>
        </w:rPr>
        <w:lastRenderedPageBreak/>
        <w:t>STIPULATION</w:t>
      </w:r>
      <w:r>
        <w:rPr>
          <w:b/>
        </w:rPr>
        <w:t>:</w:t>
      </w:r>
    </w:p>
    <w:p w:rsidR="008E7827" w:rsidRDefault="008E7827" w:rsidP="008E7827">
      <w:pPr>
        <w:tabs>
          <w:tab w:val="left" w:pos="8571"/>
        </w:tabs>
        <w:autoSpaceDE w:val="0"/>
        <w:autoSpaceDN w:val="0"/>
        <w:adjustRightInd w:val="0"/>
        <w:ind w:left="1440" w:hanging="1440"/>
        <w:jc w:val="both"/>
        <w:rPr>
          <w:b/>
        </w:rPr>
      </w:pPr>
      <w:r>
        <w:rPr>
          <w:b/>
        </w:rPr>
        <w:tab/>
      </w:r>
    </w:p>
    <w:p w:rsidR="007C6834" w:rsidRDefault="008E7827" w:rsidP="007C6834">
      <w:pPr>
        <w:tabs>
          <w:tab w:val="left" w:pos="8571"/>
        </w:tabs>
        <w:autoSpaceDE w:val="0"/>
        <w:autoSpaceDN w:val="0"/>
        <w:adjustRightInd w:val="0"/>
        <w:ind w:left="1440" w:hanging="1440"/>
        <w:jc w:val="both"/>
      </w:pPr>
      <w:r>
        <w:tab/>
        <w:t xml:space="preserve">Yes. The appropriate </w:t>
      </w:r>
      <w:r w:rsidRPr="00727030">
        <w:t>proposed corrections to</w:t>
      </w:r>
      <w:r>
        <w:t xml:space="preserve"> </w:t>
      </w:r>
      <w:r w:rsidRPr="00727030">
        <w:t xml:space="preserve">Tampa Electric’s </w:t>
      </w:r>
      <w:r>
        <w:t>GPIF 2017 and 2018 targets/ranges are shown in Table 15B-1 for 2017, and Table 15B-2 for 2018, as shown below:</w:t>
      </w:r>
    </w:p>
    <w:p w:rsidR="007C6834" w:rsidRDefault="007C6834" w:rsidP="007C6834">
      <w:pPr>
        <w:tabs>
          <w:tab w:val="left" w:pos="8571"/>
        </w:tabs>
        <w:autoSpaceDE w:val="0"/>
        <w:autoSpaceDN w:val="0"/>
        <w:adjustRightInd w:val="0"/>
        <w:ind w:left="1440" w:hanging="1440"/>
        <w:jc w:val="both"/>
      </w:pPr>
    </w:p>
    <w:p w:rsidR="008E7827" w:rsidRDefault="008E7827" w:rsidP="007C6834">
      <w:pPr>
        <w:tabs>
          <w:tab w:val="left" w:pos="8571"/>
        </w:tabs>
        <w:autoSpaceDE w:val="0"/>
        <w:autoSpaceDN w:val="0"/>
        <w:adjustRightInd w:val="0"/>
        <w:ind w:left="1440" w:hanging="1440"/>
        <w:jc w:val="center"/>
        <w:rPr>
          <w:rFonts w:ascii="Arial" w:hAnsi="Arial" w:cs="Arial"/>
          <w:b/>
        </w:rPr>
      </w:pPr>
      <w:r>
        <w:rPr>
          <w:rFonts w:ascii="Arial" w:hAnsi="Arial" w:cs="Arial"/>
          <w:b/>
        </w:rPr>
        <w:t>Table 15B-1</w:t>
      </w:r>
    </w:p>
    <w:p w:rsidR="008E7827" w:rsidRDefault="008E7827" w:rsidP="008E7827">
      <w:pPr>
        <w:jc w:val="center"/>
      </w:pPr>
      <w:r>
        <w:rPr>
          <w:rFonts w:ascii="Arial" w:hAnsi="Arial" w:cs="Arial"/>
          <w:b/>
        </w:rPr>
        <w:t>Corrected GPIF Targets/Ranges for the period January-December, 2017</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8E7827" w:rsidTr="0001240D">
        <w:trPr>
          <w:trHeight w:val="300"/>
        </w:trPr>
        <w:tc>
          <w:tcPr>
            <w:tcW w:w="1170" w:type="dxa"/>
            <w:vMerge w:val="restart"/>
            <w:tcBorders>
              <w:top w:val="single" w:sz="4" w:space="0" w:color="auto"/>
              <w:left w:val="single" w:sz="4" w:space="0" w:color="auto"/>
              <w:right w:val="single" w:sz="4" w:space="0" w:color="auto"/>
            </w:tcBorders>
            <w:noWrap/>
            <w:vAlign w:val="center"/>
          </w:tcPr>
          <w:p w:rsidR="008E7827" w:rsidRDefault="008E7827" w:rsidP="0001240D">
            <w:pPr>
              <w:jc w:val="center"/>
            </w:pPr>
            <w:r>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8E7827" w:rsidRDefault="008E7827" w:rsidP="0001240D">
            <w:pPr>
              <w:jc w:val="center"/>
            </w:pPr>
            <w:r>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Maximum</w:t>
            </w:r>
          </w:p>
        </w:tc>
      </w:tr>
      <w:tr w:rsidR="008E7827" w:rsidTr="0001240D">
        <w:trPr>
          <w:trHeight w:val="610"/>
        </w:trPr>
        <w:tc>
          <w:tcPr>
            <w:tcW w:w="1170" w:type="dxa"/>
            <w:vMerge/>
            <w:tcBorders>
              <w:left w:val="single" w:sz="4" w:space="0" w:color="auto"/>
              <w:right w:val="single" w:sz="4" w:space="0" w:color="auto"/>
            </w:tcBorders>
            <w:vAlign w:val="center"/>
            <w:hideMark/>
          </w:tcPr>
          <w:p w:rsidR="008E7827" w:rsidRDefault="008E7827" w:rsidP="0001240D">
            <w:pPr>
              <w:jc w:val="cente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E7827" w:rsidRDefault="008E7827" w:rsidP="0001240D"/>
        </w:tc>
        <w:tc>
          <w:tcPr>
            <w:tcW w:w="90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EAF</w:t>
            </w:r>
          </w:p>
          <w:p w:rsidR="008E7827" w:rsidRDefault="008E7827" w:rsidP="0001240D">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EAF</w:t>
            </w:r>
          </w:p>
          <w:p w:rsidR="008E7827" w:rsidRDefault="008E7827" w:rsidP="0001240D">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Savings</w:t>
            </w:r>
          </w:p>
          <w:p w:rsidR="008E7827" w:rsidRDefault="008E7827" w:rsidP="0001240D">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rPr>
                <w:sz w:val="22"/>
                <w:szCs w:val="22"/>
              </w:rPr>
            </w:pPr>
            <w:r>
              <w:rPr>
                <w:sz w:val="22"/>
                <w:szCs w:val="22"/>
              </w:rPr>
              <w:t>ANOHR</w:t>
            </w:r>
          </w:p>
          <w:p w:rsidR="008E7827" w:rsidRDefault="008E7827" w:rsidP="0001240D">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rPr>
                <w:sz w:val="22"/>
                <w:szCs w:val="22"/>
              </w:rPr>
            </w:pPr>
            <w:r>
              <w:rPr>
                <w:sz w:val="22"/>
                <w:szCs w:val="22"/>
              </w:rPr>
              <w:t>ANOHR</w:t>
            </w:r>
          </w:p>
          <w:p w:rsidR="008E7827" w:rsidRDefault="008E7827" w:rsidP="0001240D">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Savings</w:t>
            </w:r>
          </w:p>
          <w:p w:rsidR="008E7827" w:rsidRDefault="008E7827" w:rsidP="0001240D">
            <w:pPr>
              <w:jc w:val="center"/>
            </w:pPr>
            <w:r>
              <w:t>($000's)</w:t>
            </w:r>
          </w:p>
        </w:tc>
      </w:tr>
      <w:tr w:rsidR="008E7827" w:rsidTr="0001240D">
        <w:trPr>
          <w:trHeight w:val="300"/>
        </w:trPr>
        <w:tc>
          <w:tcPr>
            <w:tcW w:w="1170" w:type="dxa"/>
            <w:vMerge/>
            <w:tcBorders>
              <w:left w:val="single" w:sz="4" w:space="0" w:color="auto"/>
              <w:right w:val="single" w:sz="4" w:space="0" w:color="auto"/>
            </w:tcBorders>
            <w:noWrap/>
            <w:vAlign w:val="center"/>
            <w:hideMark/>
          </w:tcPr>
          <w:p w:rsidR="008E7827" w:rsidRDefault="008E7827" w:rsidP="0001240D">
            <w:pPr>
              <w:jc w:val="center"/>
            </w:pPr>
          </w:p>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Big Bend 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80.5</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83.4</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1,202.8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10,698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10,987</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1,677.5</w:t>
            </w:r>
          </w:p>
        </w:tc>
      </w:tr>
      <w:tr w:rsidR="008E7827" w:rsidTr="0001240D">
        <w:trPr>
          <w:trHeight w:val="300"/>
        </w:trPr>
        <w:tc>
          <w:tcPr>
            <w:tcW w:w="1170" w:type="dxa"/>
            <w:vMerge/>
            <w:tcBorders>
              <w:left w:val="single" w:sz="4" w:space="0" w:color="auto"/>
              <w:right w:val="single" w:sz="4" w:space="0" w:color="auto"/>
            </w:tcBorders>
            <w:noWrap/>
            <w:vAlign w:val="center"/>
          </w:tcPr>
          <w:p w:rsidR="008E7827" w:rsidRDefault="008E7827" w:rsidP="0001240D">
            <w:pPr>
              <w:jc w:val="center"/>
            </w:pPr>
          </w:p>
        </w:tc>
        <w:tc>
          <w:tcPr>
            <w:tcW w:w="144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rPr>
                <w:rFonts w:ascii="Calibri" w:hAnsi="Calibri"/>
                <w:color w:val="000000"/>
                <w:sz w:val="22"/>
                <w:szCs w:val="22"/>
              </w:rPr>
            </w:pPr>
            <w:r>
              <w:t>Big Bend 2</w:t>
            </w:r>
          </w:p>
        </w:tc>
        <w:tc>
          <w:tcPr>
            <w:tcW w:w="90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pPr>
            <w:r>
              <w:t>69.6</w:t>
            </w:r>
          </w:p>
        </w:tc>
        <w:tc>
          <w:tcPr>
            <w:tcW w:w="90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pPr>
            <w:r>
              <w:t>74.7</w:t>
            </w:r>
          </w:p>
        </w:tc>
        <w:tc>
          <w:tcPr>
            <w:tcW w:w="108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pPr>
            <w:r>
              <w:t>1,583</w:t>
            </w:r>
          </w:p>
        </w:tc>
        <w:tc>
          <w:tcPr>
            <w:tcW w:w="126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pPr>
            <w:r>
              <w:t>10,545</w:t>
            </w:r>
          </w:p>
        </w:tc>
        <w:tc>
          <w:tcPr>
            <w:tcW w:w="126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pPr>
            <w:r>
              <w:t>10,992</w:t>
            </w:r>
          </w:p>
        </w:tc>
        <w:tc>
          <w:tcPr>
            <w:tcW w:w="1350" w:type="dxa"/>
            <w:tcBorders>
              <w:top w:val="single" w:sz="4" w:space="0" w:color="auto"/>
              <w:left w:val="single" w:sz="4" w:space="0" w:color="auto"/>
              <w:bottom w:val="single" w:sz="4" w:space="0" w:color="auto"/>
              <w:right w:val="single" w:sz="4" w:space="0" w:color="auto"/>
            </w:tcBorders>
            <w:noWrap/>
          </w:tcPr>
          <w:p w:rsidR="008E7827" w:rsidRDefault="008E7827" w:rsidP="0001240D">
            <w:pPr>
              <w:jc w:val="center"/>
            </w:pPr>
            <w:r>
              <w:t>2,294.1</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Big Bend 3</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61.4</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65.8</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1,008.9</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10,588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10,852</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1,136.4</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Big Bend 4</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79.1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82.3</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1,422.8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10,447</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10,652</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1,309.3</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Polk 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82.1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84.6</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779.9</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10,048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10,568</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1,275.5</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Bayside 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75.3</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77.5</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498.6</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7,357</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7,435</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985.1</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Bayside 2</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76.1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78.0</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113.7</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7,526</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7,665</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1698.7</w:t>
            </w:r>
          </w:p>
        </w:tc>
      </w:tr>
      <w:tr w:rsidR="008E7827" w:rsidTr="0001240D">
        <w:trPr>
          <w:trHeight w:val="300"/>
        </w:trPr>
        <w:tc>
          <w:tcPr>
            <w:tcW w:w="1170" w:type="dxa"/>
            <w:vMerge/>
            <w:tcBorders>
              <w:left w:val="single" w:sz="4" w:space="0" w:color="auto"/>
              <w:bottom w:val="single" w:sz="4" w:space="0" w:color="auto"/>
              <w:right w:val="single" w:sz="4" w:space="0" w:color="auto"/>
            </w:tcBorders>
            <w:vAlign w:val="center"/>
            <w:hideMark/>
          </w:tcPr>
          <w:p w:rsidR="008E7827" w:rsidRDefault="008E7827" w:rsidP="0001240D"/>
        </w:tc>
        <w:tc>
          <w:tcPr>
            <w:tcW w:w="3240" w:type="dxa"/>
            <w:gridSpan w:val="3"/>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6,609.7</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8E7827" w:rsidRDefault="008E7827" w:rsidP="0001240D">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10,376.6</w:t>
            </w:r>
          </w:p>
        </w:tc>
      </w:tr>
    </w:tbl>
    <w:p w:rsidR="008E7827" w:rsidRDefault="008E7827" w:rsidP="008E7827">
      <w:r>
        <w:t>Source: Corrected GPIF Target and Range Summary (Exh. BSB-2, Document 7, Page 4 of 40).</w:t>
      </w:r>
    </w:p>
    <w:p w:rsidR="008E7827" w:rsidRDefault="008E7827" w:rsidP="008E7827">
      <w:pPr>
        <w:autoSpaceDE w:val="0"/>
        <w:autoSpaceDN w:val="0"/>
        <w:adjustRightInd w:val="0"/>
        <w:jc w:val="both"/>
        <w:rPr>
          <w:b/>
          <w:u w:val="single"/>
        </w:rPr>
      </w:pPr>
    </w:p>
    <w:p w:rsidR="008E7827" w:rsidRDefault="008E7827" w:rsidP="008E7827">
      <w:pPr>
        <w:jc w:val="center"/>
        <w:rPr>
          <w:rFonts w:ascii="Arial" w:hAnsi="Arial" w:cs="Arial"/>
          <w:b/>
        </w:rPr>
      </w:pPr>
      <w:r>
        <w:rPr>
          <w:rFonts w:ascii="Arial" w:hAnsi="Arial" w:cs="Arial"/>
          <w:b/>
        </w:rPr>
        <w:t>Table 15B-2</w:t>
      </w:r>
    </w:p>
    <w:p w:rsidR="008E7827" w:rsidRDefault="008E7827" w:rsidP="008E7827">
      <w:pPr>
        <w:jc w:val="center"/>
      </w:pPr>
      <w:r>
        <w:rPr>
          <w:rFonts w:ascii="Arial" w:hAnsi="Arial" w:cs="Arial"/>
          <w:b/>
        </w:rPr>
        <w:t>Corrected GPIF Targets/Ranges for the period January-December, 2018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8E7827" w:rsidTr="0001240D">
        <w:trPr>
          <w:trHeight w:val="300"/>
        </w:trPr>
        <w:tc>
          <w:tcPr>
            <w:tcW w:w="1170" w:type="dxa"/>
            <w:vMerge w:val="restart"/>
            <w:tcBorders>
              <w:top w:val="single" w:sz="4" w:space="0" w:color="auto"/>
              <w:left w:val="single" w:sz="4" w:space="0" w:color="auto"/>
              <w:right w:val="single" w:sz="4" w:space="0" w:color="auto"/>
            </w:tcBorders>
            <w:noWrap/>
            <w:vAlign w:val="center"/>
          </w:tcPr>
          <w:p w:rsidR="008E7827" w:rsidRDefault="008E7827" w:rsidP="0001240D">
            <w:pPr>
              <w:jc w:val="center"/>
            </w:pPr>
            <w:r>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8E7827" w:rsidRDefault="008E7827" w:rsidP="0001240D">
            <w:pPr>
              <w:jc w:val="center"/>
            </w:pPr>
            <w:r>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Maximum</w:t>
            </w:r>
          </w:p>
        </w:tc>
      </w:tr>
      <w:tr w:rsidR="008E7827" w:rsidTr="0001240D">
        <w:trPr>
          <w:trHeight w:val="610"/>
        </w:trPr>
        <w:tc>
          <w:tcPr>
            <w:tcW w:w="1170" w:type="dxa"/>
            <w:vMerge/>
            <w:tcBorders>
              <w:left w:val="single" w:sz="4" w:space="0" w:color="auto"/>
              <w:right w:val="single" w:sz="4" w:space="0" w:color="auto"/>
            </w:tcBorders>
            <w:vAlign w:val="center"/>
            <w:hideMark/>
          </w:tcPr>
          <w:p w:rsidR="008E7827" w:rsidRDefault="008E7827" w:rsidP="0001240D">
            <w:pPr>
              <w:jc w:val="cente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E7827" w:rsidRDefault="008E7827" w:rsidP="0001240D"/>
        </w:tc>
        <w:tc>
          <w:tcPr>
            <w:tcW w:w="90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EAF</w:t>
            </w:r>
          </w:p>
          <w:p w:rsidR="008E7827" w:rsidRDefault="008E7827" w:rsidP="0001240D">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EAF</w:t>
            </w:r>
          </w:p>
          <w:p w:rsidR="008E7827" w:rsidRDefault="008E7827" w:rsidP="0001240D">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Savings</w:t>
            </w:r>
          </w:p>
          <w:p w:rsidR="008E7827" w:rsidRDefault="008E7827" w:rsidP="0001240D">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rPr>
                <w:sz w:val="22"/>
                <w:szCs w:val="22"/>
              </w:rPr>
            </w:pPr>
            <w:r>
              <w:rPr>
                <w:sz w:val="22"/>
                <w:szCs w:val="22"/>
              </w:rPr>
              <w:t>ANOHR</w:t>
            </w:r>
          </w:p>
          <w:p w:rsidR="008E7827" w:rsidRDefault="008E7827" w:rsidP="0001240D">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rPr>
                <w:sz w:val="22"/>
                <w:szCs w:val="22"/>
              </w:rPr>
            </w:pPr>
            <w:r>
              <w:rPr>
                <w:sz w:val="22"/>
                <w:szCs w:val="22"/>
              </w:rPr>
              <w:t>ANOHR</w:t>
            </w:r>
          </w:p>
          <w:p w:rsidR="008E7827" w:rsidRDefault="008E7827" w:rsidP="0001240D">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8E7827" w:rsidRDefault="008E7827" w:rsidP="0001240D">
            <w:pPr>
              <w:jc w:val="center"/>
            </w:pPr>
            <w:r>
              <w:t>Savings</w:t>
            </w:r>
          </w:p>
          <w:p w:rsidR="008E7827" w:rsidRDefault="008E7827" w:rsidP="0001240D">
            <w:pPr>
              <w:jc w:val="center"/>
            </w:pPr>
            <w:r>
              <w:t>($000's)</w:t>
            </w:r>
          </w:p>
        </w:tc>
      </w:tr>
      <w:tr w:rsidR="008E7827" w:rsidTr="0001240D">
        <w:trPr>
          <w:trHeight w:val="300"/>
        </w:trPr>
        <w:tc>
          <w:tcPr>
            <w:tcW w:w="1170" w:type="dxa"/>
            <w:vMerge/>
            <w:tcBorders>
              <w:left w:val="single" w:sz="4" w:space="0" w:color="auto"/>
              <w:right w:val="single" w:sz="4" w:space="0" w:color="auto"/>
            </w:tcBorders>
            <w:noWrap/>
            <w:vAlign w:val="center"/>
            <w:hideMark/>
          </w:tcPr>
          <w:p w:rsidR="008E7827" w:rsidRDefault="008E7827" w:rsidP="0001240D">
            <w:pPr>
              <w:jc w:val="center"/>
            </w:pPr>
          </w:p>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Big Bend 2</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61.5</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68.2</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615.6</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11,320</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11,798</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778.3</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Big Bend 3</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66.7</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72.4</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1,079.4</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10,619</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10,987</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1,448.4</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Big Bend 4</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78.7</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82.0</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1,473.1</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10,448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10,830</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2,146.5</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Polk 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74.4</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77.0</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211.9</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9,978</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10,312</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1,028.0</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Polk 2</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83.2</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85.7</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1,408.9</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7,382</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7,936</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13,242.8</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Bayside 1</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82.5</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83.8</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770.2</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7,489</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7,619</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1,359.6</w:t>
            </w:r>
          </w:p>
        </w:tc>
      </w:tr>
      <w:tr w:rsidR="008E7827" w:rsidTr="0001240D">
        <w:trPr>
          <w:trHeight w:val="300"/>
        </w:trPr>
        <w:tc>
          <w:tcPr>
            <w:tcW w:w="1170" w:type="dxa"/>
            <w:vMerge/>
            <w:tcBorders>
              <w:left w:val="single" w:sz="4" w:space="0" w:color="auto"/>
              <w:right w:val="single" w:sz="4" w:space="0" w:color="auto"/>
            </w:tcBorders>
            <w:vAlign w:val="center"/>
            <w:hideMark/>
          </w:tcPr>
          <w:p w:rsidR="008E7827" w:rsidRDefault="008E7827" w:rsidP="0001240D"/>
        </w:tc>
        <w:tc>
          <w:tcPr>
            <w:tcW w:w="144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Bayside 2</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77.3</w:t>
            </w:r>
          </w:p>
        </w:tc>
        <w:tc>
          <w:tcPr>
            <w:tcW w:w="90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79.1</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1,505.7</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7,676</w:t>
            </w:r>
          </w:p>
        </w:tc>
        <w:tc>
          <w:tcPr>
            <w:tcW w:w="126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7,905</w:t>
            </w: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2,106.5</w:t>
            </w:r>
          </w:p>
        </w:tc>
      </w:tr>
      <w:tr w:rsidR="008E7827" w:rsidTr="0001240D">
        <w:trPr>
          <w:trHeight w:val="300"/>
        </w:trPr>
        <w:tc>
          <w:tcPr>
            <w:tcW w:w="1170" w:type="dxa"/>
            <w:vMerge/>
            <w:tcBorders>
              <w:left w:val="single" w:sz="4" w:space="0" w:color="auto"/>
              <w:bottom w:val="single" w:sz="4" w:space="0" w:color="auto"/>
              <w:right w:val="single" w:sz="4" w:space="0" w:color="auto"/>
            </w:tcBorders>
            <w:vAlign w:val="center"/>
            <w:hideMark/>
          </w:tcPr>
          <w:p w:rsidR="008E7827" w:rsidRDefault="008E7827" w:rsidP="0001240D"/>
        </w:tc>
        <w:tc>
          <w:tcPr>
            <w:tcW w:w="3240" w:type="dxa"/>
            <w:gridSpan w:val="3"/>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rPr>
                <w:rFonts w:ascii="Calibri" w:hAnsi="Calibri"/>
                <w:color w:val="000000"/>
                <w:sz w:val="22"/>
                <w:szCs w:val="22"/>
              </w:rP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7,064.8</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8E7827" w:rsidRDefault="008E7827" w:rsidP="0001240D">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8E7827" w:rsidRDefault="008E7827" w:rsidP="0001240D">
            <w:pPr>
              <w:jc w:val="center"/>
            </w:pPr>
            <w:r>
              <w:t>22,110.1</w:t>
            </w:r>
          </w:p>
        </w:tc>
      </w:tr>
    </w:tbl>
    <w:p w:rsidR="008E7827" w:rsidRDefault="008E7827" w:rsidP="008E7827">
      <w:r>
        <w:t>Source: Corrected GPIF Target and Range Summary (Exh. BSB-2, Document 8, Page 4 of 40).</w:t>
      </w:r>
    </w:p>
    <w:p w:rsidR="008E7827" w:rsidRDefault="008E7827" w:rsidP="008E7827">
      <w:pPr>
        <w:autoSpaceDE w:val="0"/>
        <w:autoSpaceDN w:val="0"/>
        <w:adjustRightInd w:val="0"/>
        <w:jc w:val="both"/>
        <w:rPr>
          <w:b/>
          <w:u w:val="single"/>
        </w:rPr>
      </w:pPr>
    </w:p>
    <w:p w:rsidR="008E7827" w:rsidRDefault="008E7827" w:rsidP="00787261">
      <w:pPr>
        <w:jc w:val="both"/>
        <w:rPr>
          <w:b/>
          <w:bCs/>
        </w:rPr>
      </w:pPr>
    </w:p>
    <w:p w:rsidR="00787261" w:rsidRDefault="00787261" w:rsidP="00787261">
      <w:pPr>
        <w:autoSpaceDE w:val="0"/>
        <w:autoSpaceDN w:val="0"/>
        <w:adjustRightInd w:val="0"/>
        <w:ind w:left="1440" w:hanging="1440"/>
        <w:jc w:val="both"/>
      </w:pPr>
      <w:r>
        <w:rPr>
          <w:b/>
          <w:bCs/>
          <w:u w:val="single"/>
        </w:rPr>
        <w:t>ISSUE 16</w:t>
      </w:r>
      <w:r>
        <w:t>:</w:t>
      </w:r>
      <w:r>
        <w:tab/>
      </w:r>
      <w:r w:rsidRPr="00AF7BC1">
        <w:rPr>
          <w:b/>
        </w:rPr>
        <w:t xml:space="preserve">What is the appropriate generation performance incentive factor (GPIF) reward or penalty for performance achieved during the period January 2017 through December 2017 for each investor-owned electric utility subject to the GPIF? </w:t>
      </w:r>
    </w:p>
    <w:p w:rsidR="00AC1C74" w:rsidRDefault="00AC1C74" w:rsidP="00787261">
      <w:pPr>
        <w:tabs>
          <w:tab w:val="left" w:pos="8571"/>
        </w:tabs>
        <w:autoSpaceDE w:val="0"/>
        <w:autoSpaceDN w:val="0"/>
        <w:adjustRightInd w:val="0"/>
        <w:ind w:left="1440" w:hanging="1440"/>
        <w:jc w:val="both"/>
        <w:rPr>
          <w:b/>
          <w:u w:val="single"/>
        </w:rPr>
      </w:pPr>
    </w:p>
    <w:p w:rsidR="00787261" w:rsidRDefault="00787261" w:rsidP="00787261">
      <w:pPr>
        <w:tabs>
          <w:tab w:val="left" w:pos="8571"/>
        </w:tabs>
        <w:autoSpaceDE w:val="0"/>
        <w:autoSpaceDN w:val="0"/>
        <w:adjustRightInd w:val="0"/>
        <w:ind w:left="1440" w:hanging="1440"/>
        <w:jc w:val="both"/>
        <w:rPr>
          <w:b/>
        </w:rPr>
      </w:pPr>
      <w:r>
        <w:rPr>
          <w:b/>
          <w:u w:val="single"/>
        </w:rPr>
        <w:lastRenderedPageBreak/>
        <w:t>STIPULATION</w:t>
      </w:r>
      <w:r>
        <w:rPr>
          <w:b/>
        </w:rPr>
        <w:t>:</w:t>
      </w:r>
    </w:p>
    <w:p w:rsidR="00787261" w:rsidRDefault="00787261" w:rsidP="00787261">
      <w:pPr>
        <w:tabs>
          <w:tab w:val="left" w:pos="8571"/>
        </w:tabs>
        <w:autoSpaceDE w:val="0"/>
        <w:autoSpaceDN w:val="0"/>
        <w:adjustRightInd w:val="0"/>
        <w:ind w:left="1440" w:hanging="1440"/>
        <w:jc w:val="both"/>
        <w:rPr>
          <w:b/>
        </w:rPr>
      </w:pPr>
      <w:r>
        <w:rPr>
          <w:b/>
        </w:rPr>
        <w:tab/>
      </w:r>
    </w:p>
    <w:p w:rsidR="00787261" w:rsidRDefault="00787261" w:rsidP="00787261">
      <w:pPr>
        <w:tabs>
          <w:tab w:val="left" w:pos="8571"/>
        </w:tabs>
        <w:autoSpaceDE w:val="0"/>
        <w:autoSpaceDN w:val="0"/>
        <w:adjustRightInd w:val="0"/>
        <w:ind w:left="1440" w:hanging="1440"/>
        <w:jc w:val="both"/>
        <w:rPr>
          <w:b/>
          <w:u w:val="single"/>
        </w:rPr>
      </w:pPr>
      <w:r>
        <w:tab/>
        <w:t>T</w:t>
      </w:r>
      <w:r w:rsidRPr="00CC0E1B">
        <w:t>he appropriate generation performance incentive factor (GPIF) reward or penalty for performance achieved during the period Ja</w:t>
      </w:r>
      <w:r>
        <w:t>nuary 2017 through December 2017</w:t>
      </w:r>
      <w:r w:rsidRPr="00CC0E1B">
        <w:t xml:space="preserve"> for each investor-owned electric utility subject to the GPIF</w:t>
      </w:r>
      <w:r>
        <w:t xml:space="preserve"> is as follows:</w:t>
      </w:r>
    </w:p>
    <w:p w:rsidR="00787261" w:rsidRPr="00CC0E1B" w:rsidRDefault="00787261" w:rsidP="00787261">
      <w:pPr>
        <w:autoSpaceDE w:val="0"/>
        <w:autoSpaceDN w:val="0"/>
        <w:adjustRightInd w:val="0"/>
        <w:jc w:val="both"/>
        <w:rPr>
          <w:bCs/>
        </w:rPr>
      </w:pPr>
    </w:p>
    <w:p w:rsidR="00787261" w:rsidRDefault="00787261" w:rsidP="00787261">
      <w:pPr>
        <w:keepNext/>
        <w:tabs>
          <w:tab w:val="left" w:pos="8571"/>
        </w:tabs>
        <w:autoSpaceDE w:val="0"/>
        <w:autoSpaceDN w:val="0"/>
        <w:adjustRightInd w:val="0"/>
        <w:ind w:left="1440" w:hanging="1440"/>
        <w:jc w:val="both"/>
        <w:rPr>
          <w:rStyle w:val="Strong"/>
          <w:rFonts w:eastAsiaTheme="minorHAnsi"/>
          <w:b w:val="0"/>
        </w:rPr>
      </w:pPr>
      <w:r w:rsidRPr="008C6EBE">
        <w:rPr>
          <w:bCs/>
        </w:rPr>
        <w:t>DEF</w:t>
      </w:r>
      <w:r w:rsidRPr="008C6EBE">
        <w:rPr>
          <w:bCs/>
        </w:rPr>
        <w:tab/>
      </w:r>
      <w:r>
        <w:rPr>
          <w:bCs/>
        </w:rPr>
        <w:t xml:space="preserve">$2,301,526 penalty, as reflected on Original Sheet No. 6.101.1, GPIF Reward/Penalty Table (Exhibit MJJ-1T, Page 2 of 24), and also </w:t>
      </w:r>
      <w:r w:rsidRPr="00AF7BC1">
        <w:rPr>
          <w:rStyle w:val="Strong"/>
          <w:rFonts w:eastAsiaTheme="minorHAnsi"/>
          <w:b w:val="0"/>
        </w:rPr>
        <w:t>on Line 26 of Schedule E1 (Exhibit CAM-3, Part 2, Page 1 of 1).</w:t>
      </w:r>
    </w:p>
    <w:p w:rsidR="00787261" w:rsidRPr="008C6EBE" w:rsidRDefault="00787261" w:rsidP="00787261">
      <w:pPr>
        <w:autoSpaceDE w:val="0"/>
        <w:autoSpaceDN w:val="0"/>
        <w:adjustRightInd w:val="0"/>
        <w:jc w:val="both"/>
        <w:rPr>
          <w:bCs/>
        </w:rPr>
      </w:pPr>
    </w:p>
    <w:p w:rsidR="00787261" w:rsidRPr="004252EF" w:rsidRDefault="00787261" w:rsidP="00787261">
      <w:pPr>
        <w:autoSpaceDE w:val="0"/>
        <w:autoSpaceDN w:val="0"/>
        <w:adjustRightInd w:val="0"/>
        <w:ind w:left="1440"/>
        <w:jc w:val="both"/>
        <w:rPr>
          <w:bCs/>
          <w:highlight w:val="yellow"/>
        </w:rPr>
      </w:pPr>
    </w:p>
    <w:p w:rsidR="00787261" w:rsidRPr="004252EF" w:rsidRDefault="00787261" w:rsidP="00787261">
      <w:pPr>
        <w:autoSpaceDE w:val="0"/>
        <w:autoSpaceDN w:val="0"/>
        <w:adjustRightInd w:val="0"/>
        <w:ind w:left="1440" w:hanging="1440"/>
        <w:jc w:val="both"/>
        <w:rPr>
          <w:bCs/>
          <w:highlight w:val="yellow"/>
        </w:rPr>
      </w:pPr>
      <w:r w:rsidRPr="008C6EBE">
        <w:rPr>
          <w:bCs/>
        </w:rPr>
        <w:t>FPL</w:t>
      </w:r>
      <w:r w:rsidRPr="008C6EBE">
        <w:rPr>
          <w:bCs/>
        </w:rPr>
        <w:tab/>
      </w:r>
      <w:r>
        <w:rPr>
          <w:bCs/>
        </w:rPr>
        <w:t>$5,857,941</w:t>
      </w:r>
      <w:r w:rsidRPr="008C6EBE">
        <w:rPr>
          <w:bCs/>
        </w:rPr>
        <w:t xml:space="preserve"> reward</w:t>
      </w:r>
      <w:r>
        <w:rPr>
          <w:bCs/>
        </w:rPr>
        <w:t xml:space="preserve">, as reflected in Reward/Penalty Table (Actual) For the Period January through December, 2017 (Exhibit CRR-1, Page 2 of 20), and also </w:t>
      </w:r>
      <w:r>
        <w:t>on Line 32 of Schedule E1, Appendix II – 2019 FCR Projections Schedule (Exhibit RBD-5, Page 1 of 91).</w:t>
      </w:r>
    </w:p>
    <w:p w:rsidR="00787261" w:rsidRPr="004252EF" w:rsidRDefault="00787261" w:rsidP="00787261">
      <w:pPr>
        <w:autoSpaceDE w:val="0"/>
        <w:autoSpaceDN w:val="0"/>
        <w:adjustRightInd w:val="0"/>
        <w:ind w:left="1440"/>
        <w:jc w:val="both"/>
        <w:rPr>
          <w:bCs/>
          <w:highlight w:val="yellow"/>
        </w:rPr>
      </w:pPr>
    </w:p>
    <w:p w:rsidR="00787261" w:rsidRPr="008C6EBE" w:rsidRDefault="00787261" w:rsidP="00787261">
      <w:pPr>
        <w:autoSpaceDE w:val="0"/>
        <w:autoSpaceDN w:val="0"/>
        <w:adjustRightInd w:val="0"/>
        <w:ind w:left="1440" w:hanging="1440"/>
        <w:jc w:val="both"/>
        <w:rPr>
          <w:bCs/>
        </w:rPr>
      </w:pPr>
      <w:r w:rsidRPr="008C6EBE">
        <w:rPr>
          <w:bCs/>
        </w:rPr>
        <w:t>GULF</w:t>
      </w:r>
      <w:r w:rsidRPr="008C6EBE">
        <w:rPr>
          <w:bCs/>
        </w:rPr>
        <w:tab/>
      </w:r>
      <w:r>
        <w:rPr>
          <w:bCs/>
        </w:rPr>
        <w:t>$256,872</w:t>
      </w:r>
      <w:r w:rsidRPr="008C6EBE">
        <w:rPr>
          <w:bCs/>
        </w:rPr>
        <w:t xml:space="preserve"> penalty</w:t>
      </w:r>
      <w:r>
        <w:rPr>
          <w:bCs/>
        </w:rPr>
        <w:t xml:space="preserve">, as reflected in GPIF 2017 Results Filing (Exhibit CLN-1, Page 28 of 51, Schedule 4, Page 2 of 2), and also </w:t>
      </w:r>
      <w:r>
        <w:t>on Line 27, Schedule E1 (</w:t>
      </w:r>
      <w:r w:rsidRPr="00CA16F2">
        <w:t>Exhibit C</w:t>
      </w:r>
      <w:r>
        <w:t>SB-5, 2019 Projection Filing, Page 1 of 41)</w:t>
      </w:r>
      <w:r w:rsidRPr="00937E60">
        <w:t>.</w:t>
      </w:r>
    </w:p>
    <w:p w:rsidR="00787261" w:rsidRPr="004252EF" w:rsidRDefault="00787261" w:rsidP="00787261">
      <w:pPr>
        <w:autoSpaceDE w:val="0"/>
        <w:autoSpaceDN w:val="0"/>
        <w:adjustRightInd w:val="0"/>
        <w:ind w:left="1440"/>
        <w:jc w:val="both"/>
        <w:rPr>
          <w:bCs/>
          <w:highlight w:val="yellow"/>
        </w:rPr>
      </w:pPr>
    </w:p>
    <w:p w:rsidR="00787261" w:rsidRDefault="00787261" w:rsidP="00787261">
      <w:pPr>
        <w:autoSpaceDE w:val="0"/>
        <w:autoSpaceDN w:val="0"/>
        <w:adjustRightInd w:val="0"/>
        <w:ind w:left="1440" w:hanging="1440"/>
        <w:jc w:val="both"/>
        <w:rPr>
          <w:bCs/>
        </w:rPr>
      </w:pPr>
      <w:r w:rsidRPr="008C6EBE">
        <w:rPr>
          <w:bCs/>
        </w:rPr>
        <w:t>TECO</w:t>
      </w:r>
      <w:r w:rsidRPr="008C6EBE">
        <w:rPr>
          <w:bCs/>
        </w:rPr>
        <w:tab/>
      </w:r>
      <w:r>
        <w:rPr>
          <w:bCs/>
        </w:rPr>
        <w:t>$4,711,929 penalty, as reflected GPIF Reward/Penalty Table (Exhibit BSB-1, Document No. 1, Page 2 of 32)</w:t>
      </w:r>
      <w:r w:rsidRPr="008C6EBE">
        <w:rPr>
          <w:bCs/>
        </w:rPr>
        <w:t>.</w:t>
      </w:r>
    </w:p>
    <w:p w:rsidR="00787261" w:rsidRDefault="00787261" w:rsidP="00787261">
      <w:pPr>
        <w:autoSpaceDE w:val="0"/>
        <w:autoSpaceDN w:val="0"/>
        <w:adjustRightInd w:val="0"/>
        <w:jc w:val="both"/>
        <w:rPr>
          <w:b/>
          <w:bCs/>
          <w:u w:val="single"/>
        </w:rPr>
      </w:pPr>
    </w:p>
    <w:p w:rsidR="00787261" w:rsidRDefault="00787261" w:rsidP="00787261">
      <w:pPr>
        <w:autoSpaceDE w:val="0"/>
        <w:autoSpaceDN w:val="0"/>
        <w:adjustRightInd w:val="0"/>
        <w:ind w:left="1440" w:hanging="1440"/>
        <w:jc w:val="both"/>
        <w:rPr>
          <w:b/>
          <w:bCs/>
          <w:u w:val="single"/>
        </w:rPr>
      </w:pPr>
    </w:p>
    <w:p w:rsidR="00787261" w:rsidRPr="007C6834" w:rsidRDefault="00787261" w:rsidP="00787261">
      <w:pPr>
        <w:autoSpaceDE w:val="0"/>
        <w:autoSpaceDN w:val="0"/>
        <w:adjustRightInd w:val="0"/>
        <w:ind w:left="1440" w:hanging="1440"/>
        <w:jc w:val="both"/>
        <w:rPr>
          <w:b/>
        </w:rPr>
      </w:pPr>
      <w:r>
        <w:rPr>
          <w:b/>
          <w:bCs/>
          <w:u w:val="single"/>
        </w:rPr>
        <w:t>ISSUE 17</w:t>
      </w:r>
      <w:r>
        <w:t>:</w:t>
      </w:r>
      <w:r>
        <w:tab/>
      </w:r>
      <w:r w:rsidRPr="007C6834">
        <w:rPr>
          <w:b/>
        </w:rPr>
        <w:t xml:space="preserve">What should the GPIF targets/ranges be for the period January 2019 through December 2019 for each investor-owned electric utility subject to the GPIF? </w:t>
      </w:r>
    </w:p>
    <w:p w:rsidR="00787261" w:rsidRPr="007C6834" w:rsidRDefault="00787261" w:rsidP="00787261">
      <w:pPr>
        <w:tabs>
          <w:tab w:val="left" w:pos="8571"/>
        </w:tabs>
        <w:autoSpaceDE w:val="0"/>
        <w:autoSpaceDN w:val="0"/>
        <w:adjustRightInd w:val="0"/>
        <w:ind w:left="1440" w:hanging="1440"/>
        <w:jc w:val="both"/>
        <w:rPr>
          <w:b/>
        </w:rPr>
      </w:pPr>
    </w:p>
    <w:p w:rsidR="00787261" w:rsidRDefault="00787261" w:rsidP="00787261">
      <w:pPr>
        <w:tabs>
          <w:tab w:val="left" w:pos="8571"/>
        </w:tabs>
        <w:autoSpaceDE w:val="0"/>
        <w:autoSpaceDN w:val="0"/>
        <w:adjustRightInd w:val="0"/>
        <w:ind w:left="1440" w:hanging="1440"/>
        <w:jc w:val="both"/>
        <w:rPr>
          <w:b/>
        </w:rPr>
      </w:pPr>
      <w:r>
        <w:rPr>
          <w:b/>
          <w:u w:val="single"/>
        </w:rPr>
        <w:t>STIPULATION</w:t>
      </w:r>
      <w:r>
        <w:rPr>
          <w:b/>
        </w:rPr>
        <w:t>:</w:t>
      </w:r>
    </w:p>
    <w:p w:rsidR="00787261" w:rsidRDefault="00787261" w:rsidP="00787261">
      <w:pPr>
        <w:tabs>
          <w:tab w:val="left" w:pos="8571"/>
        </w:tabs>
        <w:autoSpaceDE w:val="0"/>
        <w:autoSpaceDN w:val="0"/>
        <w:adjustRightInd w:val="0"/>
        <w:ind w:left="1440" w:hanging="1440"/>
        <w:jc w:val="both"/>
        <w:rPr>
          <w:b/>
        </w:rPr>
      </w:pPr>
      <w:r>
        <w:rPr>
          <w:b/>
        </w:rPr>
        <w:tab/>
      </w:r>
    </w:p>
    <w:p w:rsidR="00787261" w:rsidRDefault="00787261" w:rsidP="00787261">
      <w:pPr>
        <w:tabs>
          <w:tab w:val="left" w:pos="8571"/>
        </w:tabs>
        <w:autoSpaceDE w:val="0"/>
        <w:autoSpaceDN w:val="0"/>
        <w:adjustRightInd w:val="0"/>
        <w:ind w:left="1440" w:hanging="1440"/>
        <w:jc w:val="both"/>
        <w:rPr>
          <w:b/>
          <w:u w:val="single"/>
        </w:rPr>
      </w:pPr>
      <w:r>
        <w:tab/>
        <w:t>The appropriate GPIF targets/ranges be for the period January 2019 through December 2019 for each investor-owned electric utility subject to the GPIF are shown in Tables 17-1 through 17-4 below:</w:t>
      </w:r>
    </w:p>
    <w:p w:rsidR="00787261" w:rsidRDefault="00787261" w:rsidP="00787261">
      <w:pPr>
        <w:tabs>
          <w:tab w:val="left" w:pos="8571"/>
        </w:tabs>
        <w:autoSpaceDE w:val="0"/>
        <w:autoSpaceDN w:val="0"/>
        <w:adjustRightInd w:val="0"/>
        <w:jc w:val="both"/>
        <w:rPr>
          <w:bCs/>
        </w:rPr>
      </w:pPr>
    </w:p>
    <w:p w:rsidR="00787261" w:rsidRDefault="00787261" w:rsidP="00787261">
      <w:pPr>
        <w:tabs>
          <w:tab w:val="left" w:pos="8571"/>
        </w:tabs>
        <w:autoSpaceDE w:val="0"/>
        <w:autoSpaceDN w:val="0"/>
        <w:adjustRightInd w:val="0"/>
        <w:jc w:val="both"/>
        <w:rPr>
          <w:bCs/>
        </w:rPr>
      </w:pPr>
      <w:r>
        <w:rPr>
          <w:bCs/>
        </w:rPr>
        <w:t>DEF:                See Table 17-1 below:</w:t>
      </w:r>
    </w:p>
    <w:p w:rsidR="00787261" w:rsidRDefault="00787261" w:rsidP="00787261">
      <w:pPr>
        <w:tabs>
          <w:tab w:val="left" w:pos="8571"/>
        </w:tabs>
        <w:autoSpaceDE w:val="0"/>
        <w:autoSpaceDN w:val="0"/>
        <w:adjustRightInd w:val="0"/>
        <w:jc w:val="both"/>
        <w:rPr>
          <w:bCs/>
        </w:rPr>
      </w:pPr>
    </w:p>
    <w:p w:rsidR="00787261" w:rsidRDefault="00787261" w:rsidP="00787261">
      <w:pPr>
        <w:tabs>
          <w:tab w:val="left" w:pos="8571"/>
        </w:tabs>
        <w:autoSpaceDE w:val="0"/>
        <w:autoSpaceDN w:val="0"/>
        <w:adjustRightInd w:val="0"/>
        <w:jc w:val="both"/>
        <w:rPr>
          <w:bCs/>
        </w:rPr>
      </w:pPr>
      <w:r>
        <w:rPr>
          <w:bCs/>
        </w:rPr>
        <w:t>FPL:                 See Table 17-2 below:</w:t>
      </w:r>
    </w:p>
    <w:p w:rsidR="00787261" w:rsidRDefault="00787261" w:rsidP="00787261">
      <w:pPr>
        <w:tabs>
          <w:tab w:val="left" w:pos="8571"/>
        </w:tabs>
        <w:autoSpaceDE w:val="0"/>
        <w:autoSpaceDN w:val="0"/>
        <w:adjustRightInd w:val="0"/>
        <w:jc w:val="both"/>
        <w:rPr>
          <w:bCs/>
        </w:rPr>
      </w:pPr>
    </w:p>
    <w:p w:rsidR="00787261" w:rsidRDefault="00787261" w:rsidP="00787261">
      <w:pPr>
        <w:tabs>
          <w:tab w:val="left" w:pos="8571"/>
        </w:tabs>
        <w:autoSpaceDE w:val="0"/>
        <w:autoSpaceDN w:val="0"/>
        <w:adjustRightInd w:val="0"/>
        <w:jc w:val="both"/>
        <w:rPr>
          <w:bCs/>
        </w:rPr>
      </w:pPr>
      <w:r>
        <w:rPr>
          <w:bCs/>
        </w:rPr>
        <w:t>Gulf:                See Table 17-3 below:</w:t>
      </w:r>
    </w:p>
    <w:p w:rsidR="00787261" w:rsidRDefault="00787261" w:rsidP="00787261">
      <w:pPr>
        <w:tabs>
          <w:tab w:val="left" w:pos="8571"/>
        </w:tabs>
        <w:autoSpaceDE w:val="0"/>
        <w:autoSpaceDN w:val="0"/>
        <w:adjustRightInd w:val="0"/>
        <w:jc w:val="both"/>
        <w:rPr>
          <w:bCs/>
        </w:rPr>
      </w:pPr>
    </w:p>
    <w:p w:rsidR="00787261" w:rsidRDefault="00787261" w:rsidP="00787261">
      <w:pPr>
        <w:tabs>
          <w:tab w:val="left" w:pos="8571"/>
        </w:tabs>
        <w:autoSpaceDE w:val="0"/>
        <w:autoSpaceDN w:val="0"/>
        <w:adjustRightInd w:val="0"/>
        <w:jc w:val="both"/>
        <w:rPr>
          <w:bCs/>
        </w:rPr>
      </w:pPr>
      <w:r>
        <w:rPr>
          <w:bCs/>
        </w:rPr>
        <w:t>TECO:             See Table 17-4 below:</w:t>
      </w:r>
    </w:p>
    <w:p w:rsidR="007C6834" w:rsidRDefault="007C6834" w:rsidP="00787261">
      <w:pPr>
        <w:tabs>
          <w:tab w:val="left" w:pos="8571"/>
        </w:tabs>
        <w:autoSpaceDE w:val="0"/>
        <w:autoSpaceDN w:val="0"/>
        <w:adjustRightInd w:val="0"/>
        <w:jc w:val="both"/>
        <w:rPr>
          <w:bCs/>
        </w:rPr>
      </w:pPr>
    </w:p>
    <w:p w:rsidR="007C6834" w:rsidRDefault="007C6834" w:rsidP="00787261">
      <w:pPr>
        <w:tabs>
          <w:tab w:val="left" w:pos="8571"/>
        </w:tabs>
        <w:autoSpaceDE w:val="0"/>
        <w:autoSpaceDN w:val="0"/>
        <w:adjustRightInd w:val="0"/>
        <w:jc w:val="both"/>
        <w:rPr>
          <w:bCs/>
        </w:rPr>
      </w:pPr>
    </w:p>
    <w:p w:rsidR="007C6834" w:rsidRDefault="007C6834" w:rsidP="00787261">
      <w:pPr>
        <w:tabs>
          <w:tab w:val="left" w:pos="8571"/>
        </w:tabs>
        <w:autoSpaceDE w:val="0"/>
        <w:autoSpaceDN w:val="0"/>
        <w:adjustRightInd w:val="0"/>
        <w:jc w:val="both"/>
        <w:rPr>
          <w:bCs/>
        </w:rPr>
      </w:pPr>
    </w:p>
    <w:p w:rsidR="00787261" w:rsidRDefault="00787261" w:rsidP="00787261">
      <w:pPr>
        <w:jc w:val="center"/>
        <w:rPr>
          <w:rFonts w:ascii="Arial" w:hAnsi="Arial" w:cs="Arial"/>
          <w:b/>
        </w:rPr>
      </w:pPr>
      <w:r>
        <w:rPr>
          <w:rFonts w:ascii="Arial" w:hAnsi="Arial" w:cs="Arial"/>
          <w:b/>
        </w:rPr>
        <w:lastRenderedPageBreak/>
        <w:t>Table 17-1</w:t>
      </w:r>
    </w:p>
    <w:p w:rsidR="00787261" w:rsidRDefault="00787261" w:rsidP="00787261">
      <w:pPr>
        <w:jc w:val="center"/>
        <w:rPr>
          <w:rFonts w:ascii="Arial" w:hAnsi="Arial" w:cs="Arial"/>
        </w:rPr>
      </w:pPr>
      <w:r>
        <w:rPr>
          <w:rFonts w:ascii="Arial" w:hAnsi="Arial" w:cs="Arial"/>
          <w:b/>
        </w:rPr>
        <w:t>GPIF Targets/Ranges for the period January-December, 2019</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787261" w:rsidTr="00787261">
        <w:trPr>
          <w:trHeight w:val="300"/>
        </w:trPr>
        <w:tc>
          <w:tcPr>
            <w:tcW w:w="900" w:type="dxa"/>
            <w:vMerge w:val="restart"/>
            <w:tcBorders>
              <w:top w:val="single" w:sz="4" w:space="0" w:color="auto"/>
              <w:left w:val="single" w:sz="4" w:space="0" w:color="auto"/>
              <w:right w:val="single" w:sz="4" w:space="0" w:color="auto"/>
            </w:tcBorders>
            <w:noWrap/>
            <w:vAlign w:val="center"/>
            <w:hideMark/>
          </w:tcPr>
          <w:p w:rsidR="00787261" w:rsidRDefault="00787261" w:rsidP="00787261">
            <w:pPr>
              <w:jc w:val="center"/>
              <w:rPr>
                <w:rFonts w:cstheme="minorHAnsi"/>
                <w:color w:val="000000"/>
              </w:rPr>
            </w:pPr>
            <w:r>
              <w:t>DEF</w:t>
            </w:r>
          </w:p>
        </w:tc>
        <w:tc>
          <w:tcPr>
            <w:tcW w:w="1710" w:type="dxa"/>
            <w:vMerge w:val="restart"/>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rPr>
                <w:rFonts w:cstheme="minorHAnsi"/>
              </w:rPr>
            </w:pPr>
            <w:r w:rsidRPr="00DC0EA6">
              <w:rPr>
                <w:rFonts w:cstheme="minorHAnsi"/>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ANOHR</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87261" w:rsidRPr="00DC0EA6" w:rsidRDefault="00787261" w:rsidP="0078726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Maximum</w:t>
            </w:r>
          </w:p>
        </w:tc>
      </w:tr>
      <w:tr w:rsidR="00787261" w:rsidTr="00787261">
        <w:trPr>
          <w:trHeight w:val="610"/>
        </w:trPr>
        <w:tc>
          <w:tcPr>
            <w:tcW w:w="900" w:type="dxa"/>
            <w:vMerge/>
            <w:tcBorders>
              <w:left w:val="single" w:sz="4" w:space="0" w:color="auto"/>
              <w:right w:val="single" w:sz="4" w:space="0" w:color="auto"/>
            </w:tcBorders>
            <w:vAlign w:val="center"/>
            <w:hideMark/>
          </w:tcPr>
          <w:p w:rsidR="00787261" w:rsidRDefault="00787261" w:rsidP="00787261">
            <w:pPr>
              <w:jc w:val="center"/>
              <w:rPr>
                <w:rFonts w:cstheme="minorHAnsi"/>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87261" w:rsidRPr="00DC0EA6" w:rsidRDefault="00787261" w:rsidP="0078726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EAF</w:t>
            </w:r>
          </w:p>
          <w:p w:rsidR="00787261" w:rsidRPr="00DC0EA6" w:rsidRDefault="00787261" w:rsidP="00787261">
            <w:pPr>
              <w:jc w:val="center"/>
            </w:pPr>
            <w:r w:rsidRPr="00DC0EA6">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EAF</w:t>
            </w:r>
          </w:p>
          <w:p w:rsidR="00787261" w:rsidRPr="00DC0EA6" w:rsidRDefault="00787261" w:rsidP="00787261">
            <w:pPr>
              <w:jc w:val="center"/>
            </w:pPr>
            <w:r w:rsidRPr="00DC0EA6">
              <w:t>( % )</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Savings</w:t>
            </w:r>
          </w:p>
          <w:p w:rsidR="00787261" w:rsidRPr="00DC0EA6" w:rsidRDefault="00787261" w:rsidP="00787261">
            <w:r w:rsidRPr="00DC0EA6">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rPr>
                <w:sz w:val="22"/>
                <w:szCs w:val="22"/>
              </w:rPr>
            </w:pPr>
            <w:r w:rsidRPr="00DC0EA6">
              <w:rPr>
                <w:sz w:val="22"/>
                <w:szCs w:val="22"/>
              </w:rPr>
              <w:t>ANOHR</w:t>
            </w:r>
          </w:p>
          <w:p w:rsidR="00787261" w:rsidRPr="00DC0EA6" w:rsidRDefault="00787261" w:rsidP="00787261">
            <w:pPr>
              <w:jc w:val="center"/>
              <w:rPr>
                <w:sz w:val="22"/>
                <w:szCs w:val="22"/>
              </w:rPr>
            </w:pPr>
            <w:r w:rsidRPr="00DC0EA6">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rPr>
                <w:sz w:val="22"/>
                <w:szCs w:val="22"/>
              </w:rPr>
            </w:pPr>
            <w:r w:rsidRPr="00DC0EA6">
              <w:rPr>
                <w:sz w:val="22"/>
                <w:szCs w:val="22"/>
              </w:rPr>
              <w:t>ANOHR</w:t>
            </w:r>
          </w:p>
          <w:p w:rsidR="00787261" w:rsidRPr="00DC0EA6" w:rsidRDefault="00787261" w:rsidP="00787261">
            <w:pPr>
              <w:jc w:val="center"/>
              <w:rPr>
                <w:sz w:val="22"/>
                <w:szCs w:val="22"/>
              </w:rPr>
            </w:pPr>
            <w:r w:rsidRPr="00DC0EA6">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Savings</w:t>
            </w:r>
          </w:p>
          <w:p w:rsidR="00787261" w:rsidRPr="00DC0EA6" w:rsidRDefault="00787261" w:rsidP="00787261">
            <w:pPr>
              <w:jc w:val="center"/>
            </w:pPr>
            <w:r w:rsidRPr="00DC0EA6">
              <w:t>($000's)</w:t>
            </w:r>
          </w:p>
        </w:tc>
      </w:tr>
      <w:tr w:rsidR="00787261" w:rsidTr="00787261">
        <w:trPr>
          <w:trHeight w:val="300"/>
        </w:trPr>
        <w:tc>
          <w:tcPr>
            <w:tcW w:w="900" w:type="dxa"/>
            <w:vMerge/>
            <w:tcBorders>
              <w:left w:val="single" w:sz="4" w:space="0" w:color="auto"/>
              <w:right w:val="single" w:sz="4" w:space="0" w:color="auto"/>
            </w:tcBorders>
            <w:noWrap/>
            <w:vAlign w:val="center"/>
            <w:hideMark/>
          </w:tcPr>
          <w:p w:rsidR="00787261" w:rsidRDefault="00787261" w:rsidP="00787261">
            <w:pPr>
              <w:jc w:val="center"/>
            </w:pPr>
          </w:p>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Bartow 4</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77.28</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81.18</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684</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8,075</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8,724</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10,278</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Crystal River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88.12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92.48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1,399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10,237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10,773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6,743</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Crystal River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78.10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80.15</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741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10,206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10,764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Pr="00DC0EA6" w:rsidRDefault="00787261" w:rsidP="00787261">
            <w:pPr>
              <w:jc w:val="center"/>
            </w:pPr>
            <w:r w:rsidRPr="00DC0EA6">
              <w:t>5,939</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Hines 1</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91.96</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92.78</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279</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7,337</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7,754</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2,750</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Hines 2</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92.15</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92.88</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82</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7,501</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7,777</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1,811</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Hines 3</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88.09</w:t>
            </w:r>
          </w:p>
        </w:tc>
        <w:tc>
          <w:tcPr>
            <w:tcW w:w="900" w:type="dxa"/>
            <w:tcBorders>
              <w:top w:val="single" w:sz="4" w:space="0" w:color="auto"/>
              <w:left w:val="single" w:sz="4" w:space="0" w:color="auto"/>
              <w:bottom w:val="single" w:sz="4" w:space="0" w:color="auto"/>
              <w:right w:val="single" w:sz="4" w:space="0" w:color="auto"/>
            </w:tcBorders>
            <w:noWrap/>
          </w:tcPr>
          <w:p w:rsidR="00787261" w:rsidRPr="00DC0EA6" w:rsidRDefault="00787261" w:rsidP="00787261">
            <w:pPr>
              <w:jc w:val="center"/>
            </w:pPr>
            <w:r w:rsidRPr="00DC0EA6">
              <w:t>89.19</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370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7,354</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7,599</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1,789</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Hines 4</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88.17</w:t>
            </w:r>
          </w:p>
        </w:tc>
        <w:tc>
          <w:tcPr>
            <w:tcW w:w="900" w:type="dxa"/>
            <w:tcBorders>
              <w:top w:val="single" w:sz="4" w:space="0" w:color="auto"/>
              <w:left w:val="single" w:sz="4" w:space="0" w:color="auto"/>
              <w:bottom w:val="single" w:sz="4" w:space="0" w:color="auto"/>
              <w:right w:val="single" w:sz="4" w:space="0" w:color="auto"/>
            </w:tcBorders>
            <w:noWrap/>
          </w:tcPr>
          <w:p w:rsidR="00787261" w:rsidRPr="00DC0EA6" w:rsidRDefault="00787261" w:rsidP="00787261">
            <w:pPr>
              <w:jc w:val="center"/>
            </w:pPr>
            <w:r w:rsidRPr="00DC0EA6">
              <w:t>85.53</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1,026</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7,050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7,262</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1,756</w:t>
            </w:r>
          </w:p>
        </w:tc>
      </w:tr>
      <w:tr w:rsidR="00787261" w:rsidTr="00787261">
        <w:trPr>
          <w:trHeight w:val="300"/>
        </w:trPr>
        <w:tc>
          <w:tcPr>
            <w:tcW w:w="900" w:type="dxa"/>
            <w:vMerge/>
            <w:tcBorders>
              <w:left w:val="single" w:sz="4" w:space="0" w:color="auto"/>
              <w:bottom w:val="single" w:sz="4" w:space="0" w:color="auto"/>
              <w:right w:val="single" w:sz="4" w:space="0" w:color="auto"/>
            </w:tcBorders>
            <w:vAlign w:val="center"/>
            <w:hideMark/>
          </w:tcPr>
          <w:p w:rsidR="00787261" w:rsidRDefault="00787261" w:rsidP="00787261"/>
        </w:tc>
        <w:tc>
          <w:tcPr>
            <w:tcW w:w="171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rPr>
                <w:rFonts w:ascii="Calibri" w:hAnsi="Calibri"/>
                <w:sz w:val="22"/>
                <w:szCs w:val="22"/>
              </w:rPr>
            </w:pPr>
            <w:r w:rsidRPr="00DC0EA6">
              <w:t>Total</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rPr>
                <w:sz w:val="22"/>
                <w:szCs w:val="22"/>
              </w:rPr>
            </w:pPr>
          </w:p>
        </w:tc>
        <w:tc>
          <w:tcPr>
            <w:tcW w:w="90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tc>
        <w:tc>
          <w:tcPr>
            <w:tcW w:w="108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4,580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787261" w:rsidRPr="00DC0EA6" w:rsidRDefault="00787261" w:rsidP="00787261">
            <w:pPr>
              <w:jc w:val="center"/>
            </w:pPr>
            <w:r w:rsidRPr="00DC0EA6">
              <w:t>31,066</w:t>
            </w:r>
          </w:p>
        </w:tc>
      </w:tr>
    </w:tbl>
    <w:p w:rsidR="00787261" w:rsidRDefault="00787261" w:rsidP="00787261">
      <w:r>
        <w:t xml:space="preserve">    Source: GPIF Target and Range Summary (Exhibit MJJ-1P, Page 4 of 76).</w:t>
      </w:r>
    </w:p>
    <w:p w:rsidR="00787261" w:rsidRDefault="00787261" w:rsidP="00787261"/>
    <w:p w:rsidR="00787261" w:rsidRDefault="00787261" w:rsidP="00787261"/>
    <w:p w:rsidR="00787261" w:rsidRDefault="00787261" w:rsidP="00787261">
      <w:pPr>
        <w:jc w:val="center"/>
        <w:rPr>
          <w:rFonts w:ascii="Arial" w:hAnsi="Arial" w:cs="Arial"/>
          <w:b/>
        </w:rPr>
      </w:pPr>
      <w:r>
        <w:rPr>
          <w:rFonts w:ascii="Arial" w:hAnsi="Arial" w:cs="Arial"/>
          <w:b/>
        </w:rPr>
        <w:t>Table 17-2</w:t>
      </w:r>
    </w:p>
    <w:p w:rsidR="00787261" w:rsidRDefault="00787261" w:rsidP="00787261">
      <w:pPr>
        <w:jc w:val="center"/>
        <w:rPr>
          <w:rFonts w:ascii="Arial" w:hAnsi="Arial" w:cs="Arial"/>
        </w:rPr>
      </w:pPr>
      <w:r>
        <w:rPr>
          <w:rFonts w:ascii="Arial" w:hAnsi="Arial" w:cs="Arial"/>
          <w:b/>
        </w:rPr>
        <w:t>GPIF Targets/Ranges for the period January-December, 2019</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787261" w:rsidTr="00787261">
        <w:trPr>
          <w:cantSplit/>
          <w:tblHeader/>
        </w:trPr>
        <w:tc>
          <w:tcPr>
            <w:tcW w:w="900" w:type="dxa"/>
            <w:vMerge w:val="restart"/>
            <w:tcBorders>
              <w:top w:val="single" w:sz="4" w:space="0" w:color="auto"/>
              <w:left w:val="single" w:sz="4" w:space="0" w:color="auto"/>
              <w:right w:val="single" w:sz="4" w:space="0" w:color="auto"/>
            </w:tcBorders>
            <w:vAlign w:val="center"/>
            <w:hideMark/>
          </w:tcPr>
          <w:p w:rsidR="00787261" w:rsidRPr="00D51403" w:rsidRDefault="00787261" w:rsidP="00787261">
            <w:pPr>
              <w:rPr>
                <w:rFonts w:cstheme="minorHAnsi"/>
              </w:rPr>
            </w:pPr>
          </w:p>
          <w:p w:rsidR="00787261" w:rsidRDefault="00787261" w:rsidP="00787261">
            <w:pPr>
              <w:jc w:val="center"/>
              <w:rPr>
                <w:rFonts w:cstheme="minorHAnsi"/>
                <w:color w:val="FF0000"/>
              </w:rPr>
            </w:pPr>
            <w:r w:rsidRPr="00D51403">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787261" w:rsidRDefault="00787261" w:rsidP="00787261">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ANOHR</w:t>
            </w:r>
          </w:p>
        </w:tc>
      </w:tr>
      <w:tr w:rsidR="00787261" w:rsidTr="00787261">
        <w:trPr>
          <w:cantSplit/>
          <w:tblHeader/>
        </w:trPr>
        <w:tc>
          <w:tcPr>
            <w:tcW w:w="900" w:type="dxa"/>
            <w:vMerge/>
            <w:tcBorders>
              <w:left w:val="single" w:sz="4" w:space="0" w:color="auto"/>
              <w:right w:val="single" w:sz="4" w:space="0" w:color="auto"/>
            </w:tcBorders>
            <w:vAlign w:val="center"/>
            <w:hideMark/>
          </w:tcPr>
          <w:p w:rsidR="00787261" w:rsidRDefault="00787261" w:rsidP="00787261">
            <w:pPr>
              <w:jc w:val="center"/>
              <w:rPr>
                <w:rFonts w:cstheme="minorHAnsi"/>
                <w:color w:val="FF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Maximum</w:t>
            </w:r>
          </w:p>
        </w:tc>
      </w:tr>
      <w:tr w:rsidR="00787261" w:rsidTr="00787261">
        <w:trPr>
          <w:cantSplit/>
          <w:trHeight w:val="665"/>
          <w:tblHeader/>
        </w:trPr>
        <w:tc>
          <w:tcPr>
            <w:tcW w:w="900" w:type="dxa"/>
            <w:vMerge/>
            <w:tcBorders>
              <w:left w:val="single" w:sz="4" w:space="0" w:color="auto"/>
              <w:right w:val="single" w:sz="4" w:space="0" w:color="auto"/>
            </w:tcBorders>
            <w:vAlign w:val="center"/>
            <w:hideMark/>
          </w:tcPr>
          <w:p w:rsidR="00787261" w:rsidRDefault="00787261" w:rsidP="00787261">
            <w:pPr>
              <w:jc w:val="center"/>
              <w:rPr>
                <w:rFonts w:cstheme="minorHAnsi"/>
                <w:color w:val="FF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EAF</w:t>
            </w:r>
          </w:p>
          <w:p w:rsidR="00787261" w:rsidRDefault="00787261" w:rsidP="00787261">
            <w:pPr>
              <w:jc w:val="center"/>
            </w:pPr>
            <w: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EAF</w:t>
            </w:r>
          </w:p>
          <w:p w:rsidR="00787261" w:rsidRDefault="00787261" w:rsidP="00787261">
            <w:pPr>
              <w:jc w:val="center"/>
            </w:pPr>
            <w: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Savings</w:t>
            </w:r>
          </w:p>
          <w:p w:rsidR="00787261" w:rsidRDefault="00787261" w:rsidP="00787261">
            <w:pPr>
              <w:jc w:val="center"/>
            </w:pPr>
            <w: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rPr>
                <w:sz w:val="22"/>
                <w:szCs w:val="22"/>
              </w:rPr>
            </w:pPr>
            <w:r>
              <w:rPr>
                <w:sz w:val="22"/>
                <w:szCs w:val="22"/>
              </w:rPr>
              <w:t>ANOHR</w:t>
            </w:r>
          </w:p>
          <w:p w:rsidR="00787261" w:rsidRDefault="00787261" w:rsidP="0078726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rPr>
                <w:sz w:val="22"/>
                <w:szCs w:val="22"/>
              </w:rPr>
            </w:pPr>
            <w:r>
              <w:rPr>
                <w:sz w:val="22"/>
                <w:szCs w:val="22"/>
              </w:rPr>
              <w:t>ANOHR</w:t>
            </w:r>
          </w:p>
          <w:p w:rsidR="00787261" w:rsidRDefault="00787261" w:rsidP="0078726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jc w:val="center"/>
            </w:pPr>
            <w:r>
              <w:t>Savings</w:t>
            </w:r>
          </w:p>
          <w:p w:rsidR="00787261" w:rsidRDefault="00787261" w:rsidP="00787261">
            <w:pPr>
              <w:jc w:val="center"/>
            </w:pPr>
            <w:r>
              <w:t>($000's)</w:t>
            </w:r>
          </w:p>
        </w:tc>
      </w:tr>
      <w:tr w:rsidR="00787261" w:rsidTr="00787261">
        <w:trPr>
          <w:trHeight w:val="300"/>
        </w:trPr>
        <w:tc>
          <w:tcPr>
            <w:tcW w:w="900" w:type="dxa"/>
            <w:vMerge/>
            <w:tcBorders>
              <w:left w:val="single" w:sz="4" w:space="0" w:color="auto"/>
              <w:right w:val="single" w:sz="4" w:space="0" w:color="auto"/>
            </w:tcBorders>
            <w:noWrap/>
            <w:vAlign w:val="center"/>
            <w:hideMark/>
          </w:tcPr>
          <w:p w:rsidR="00787261" w:rsidRDefault="00787261" w:rsidP="00787261">
            <w:pPr>
              <w:jc w:val="cente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Cape Canaveral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77.7</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80.7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1,375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6,644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6,771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2,283</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Manatee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91.2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93.7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1,044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6,924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7,058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2,010</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Ft. Myers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81.5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84</w:t>
            </w:r>
            <w:r>
              <w:t>.0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1,195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7,298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7,429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3,052</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Martin 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90.8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93.3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1,047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6,977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7,129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2,286</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Riv</w:t>
            </w:r>
            <w:r>
              <w:t>i</w:t>
            </w:r>
            <w:r w:rsidRPr="00D51403">
              <w:t>era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86.7</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89.2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1,270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6,661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6,754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1,856</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St. Lucie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84.6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87.6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4,157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10,404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10,503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393</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St. Lucie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93.6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96.6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3,848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10,268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10,358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344</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Turkey Point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93.6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96.6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3,597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11,021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11,176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674</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Turkey Point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81.3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84.3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3,263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10,954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11,126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612</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West County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87.4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90.4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Pr="00D51403" w:rsidRDefault="00787261" w:rsidP="00787261">
            <w:pPr>
              <w:jc w:val="center"/>
            </w:pPr>
            <w:r w:rsidRPr="00D51403">
              <w:t>1,913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7,012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Pr="003F418F" w:rsidRDefault="00787261" w:rsidP="00787261">
            <w:pPr>
              <w:jc w:val="center"/>
            </w:pPr>
            <w:r w:rsidRPr="003F418F">
              <w:t>7,144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2,691</w:t>
            </w:r>
          </w:p>
        </w:tc>
      </w:tr>
      <w:tr w:rsidR="00787261" w:rsidTr="00787261">
        <w:trPr>
          <w:trHeight w:val="30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West County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84.5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87.0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1,186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6,946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7,085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2,626</w:t>
            </w:r>
          </w:p>
        </w:tc>
      </w:tr>
      <w:tr w:rsidR="00787261" w:rsidTr="00787261">
        <w:trPr>
          <w:trHeight w:val="260"/>
        </w:trPr>
        <w:tc>
          <w:tcPr>
            <w:tcW w:w="900" w:type="dxa"/>
            <w:vMerge/>
            <w:tcBorders>
              <w:left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West County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86.8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89.8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1,972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6,982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7,121</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2,943</w:t>
            </w:r>
          </w:p>
        </w:tc>
      </w:tr>
      <w:tr w:rsidR="00787261" w:rsidTr="00787261">
        <w:trPr>
          <w:trHeight w:val="260"/>
        </w:trPr>
        <w:tc>
          <w:tcPr>
            <w:tcW w:w="900" w:type="dxa"/>
            <w:vMerge/>
            <w:tcBorders>
              <w:left w:val="single" w:sz="4" w:space="0" w:color="auto"/>
              <w:bottom w:val="single" w:sz="4" w:space="0" w:color="auto"/>
              <w:right w:val="single" w:sz="4" w:space="0" w:color="auto"/>
            </w:tcBorders>
            <w:vAlign w:val="center"/>
            <w:hideMark/>
          </w:tcPr>
          <w:p w:rsidR="00787261" w:rsidRDefault="00787261" w:rsidP="00787261">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Total</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25,867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21,770</w:t>
            </w:r>
          </w:p>
        </w:tc>
      </w:tr>
    </w:tbl>
    <w:p w:rsidR="00787261" w:rsidRDefault="00787261" w:rsidP="00787261">
      <w:r>
        <w:t xml:space="preserve">    Source: GPIF Target and Range Summary (Exhibit CRR-2, Pages 6-7 of 34).</w:t>
      </w:r>
    </w:p>
    <w:p w:rsidR="00787261" w:rsidRDefault="00787261" w:rsidP="00787261"/>
    <w:p w:rsidR="007C6834" w:rsidRDefault="007C6834" w:rsidP="00787261">
      <w:pPr>
        <w:jc w:val="center"/>
        <w:rPr>
          <w:rFonts w:ascii="Arial" w:hAnsi="Arial" w:cs="Arial"/>
          <w:b/>
        </w:rPr>
      </w:pPr>
    </w:p>
    <w:p w:rsidR="007C6834" w:rsidRDefault="007C6834" w:rsidP="00787261">
      <w:pPr>
        <w:jc w:val="center"/>
        <w:rPr>
          <w:rFonts w:ascii="Arial" w:hAnsi="Arial" w:cs="Arial"/>
          <w:b/>
        </w:rPr>
      </w:pPr>
    </w:p>
    <w:p w:rsidR="007C6834" w:rsidRDefault="007C6834" w:rsidP="00787261">
      <w:pPr>
        <w:jc w:val="center"/>
        <w:rPr>
          <w:rFonts w:ascii="Arial" w:hAnsi="Arial" w:cs="Arial"/>
          <w:b/>
        </w:rPr>
      </w:pPr>
    </w:p>
    <w:p w:rsidR="00787261" w:rsidRDefault="00787261" w:rsidP="00787261">
      <w:pPr>
        <w:jc w:val="center"/>
        <w:rPr>
          <w:rFonts w:ascii="Arial" w:hAnsi="Arial" w:cs="Arial"/>
          <w:b/>
        </w:rPr>
      </w:pPr>
      <w:r>
        <w:rPr>
          <w:rFonts w:ascii="Arial" w:hAnsi="Arial" w:cs="Arial"/>
          <w:b/>
        </w:rPr>
        <w:lastRenderedPageBreak/>
        <w:t>Table 17-3</w:t>
      </w:r>
    </w:p>
    <w:p w:rsidR="00787261" w:rsidRDefault="00787261" w:rsidP="00787261">
      <w:pPr>
        <w:jc w:val="center"/>
      </w:pPr>
      <w:r>
        <w:rPr>
          <w:rFonts w:ascii="Arial" w:hAnsi="Arial" w:cs="Arial"/>
          <w:b/>
        </w:rPr>
        <w:t>GPIF Targets/Ranges for the period January-December, 2019</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787261" w:rsidTr="00787261">
        <w:trPr>
          <w:trHeight w:val="300"/>
        </w:trPr>
        <w:tc>
          <w:tcPr>
            <w:tcW w:w="1170" w:type="dxa"/>
            <w:vMerge w:val="restart"/>
            <w:tcBorders>
              <w:top w:val="single" w:sz="4" w:space="0" w:color="auto"/>
              <w:left w:val="single" w:sz="4" w:space="0" w:color="auto"/>
              <w:right w:val="single" w:sz="4" w:space="0" w:color="auto"/>
            </w:tcBorders>
            <w:noWrap/>
            <w:vAlign w:val="center"/>
          </w:tcPr>
          <w:p w:rsidR="00787261" w:rsidRDefault="00787261" w:rsidP="00787261">
            <w:pPr>
              <w:jc w:val="center"/>
              <w:rPr>
                <w:rFonts w:cstheme="minorHAnsi"/>
                <w:color w:val="000000"/>
              </w:rPr>
            </w:pPr>
            <w:r>
              <w:rPr>
                <w:rFonts w:cstheme="minorHAnsi"/>
                <w:color w:val="000000"/>
              </w:rPr>
              <w:t>GULF</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ANOHR</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pPr>
              <w:jc w:val="center"/>
              <w:rPr>
                <w:rFonts w:cstheme="minorHAnsi"/>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Maximum</w:t>
            </w:r>
          </w:p>
        </w:tc>
      </w:tr>
      <w:tr w:rsidR="00787261" w:rsidTr="00787261">
        <w:trPr>
          <w:trHeight w:val="610"/>
        </w:trPr>
        <w:tc>
          <w:tcPr>
            <w:tcW w:w="1170" w:type="dxa"/>
            <w:vMerge/>
            <w:tcBorders>
              <w:left w:val="single" w:sz="4" w:space="0" w:color="auto"/>
              <w:right w:val="single" w:sz="4" w:space="0" w:color="auto"/>
            </w:tcBorders>
            <w:vAlign w:val="center"/>
            <w:hideMark/>
          </w:tcPr>
          <w:p w:rsidR="00787261" w:rsidRDefault="00787261" w:rsidP="00787261">
            <w:pPr>
              <w:jc w:val="center"/>
              <w:rPr>
                <w:rFonts w:cstheme="minorHAnsi"/>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EAF</w:t>
            </w:r>
          </w:p>
          <w:p w:rsidR="00787261" w:rsidRDefault="00787261" w:rsidP="00787261">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EAF</w:t>
            </w:r>
          </w:p>
          <w:p w:rsidR="00787261" w:rsidRDefault="00787261" w:rsidP="00787261">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Savings</w:t>
            </w:r>
          </w:p>
          <w:p w:rsidR="00787261" w:rsidRDefault="00787261" w:rsidP="00787261">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rPr>
                <w:sz w:val="22"/>
                <w:szCs w:val="22"/>
              </w:rPr>
            </w:pPr>
            <w:r>
              <w:rPr>
                <w:sz w:val="22"/>
                <w:szCs w:val="22"/>
              </w:rPr>
              <w:t>ANOHR</w:t>
            </w:r>
          </w:p>
          <w:p w:rsidR="00787261" w:rsidRDefault="00787261" w:rsidP="0078726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rPr>
                <w:sz w:val="22"/>
                <w:szCs w:val="22"/>
              </w:rPr>
            </w:pPr>
            <w:r>
              <w:rPr>
                <w:sz w:val="22"/>
                <w:szCs w:val="22"/>
              </w:rPr>
              <w:t>ANOHR</w:t>
            </w:r>
          </w:p>
          <w:p w:rsidR="00787261" w:rsidRDefault="00787261" w:rsidP="0078726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Savings</w:t>
            </w:r>
          </w:p>
          <w:p w:rsidR="00787261" w:rsidRDefault="00787261" w:rsidP="00787261">
            <w:pPr>
              <w:jc w:val="center"/>
            </w:pPr>
            <w:r>
              <w:t>($000's)</w:t>
            </w:r>
          </w:p>
        </w:tc>
      </w:tr>
      <w:tr w:rsidR="00787261" w:rsidTr="00787261">
        <w:trPr>
          <w:trHeight w:val="300"/>
        </w:trPr>
        <w:tc>
          <w:tcPr>
            <w:tcW w:w="1170" w:type="dxa"/>
            <w:vMerge/>
            <w:tcBorders>
              <w:left w:val="single" w:sz="4" w:space="0" w:color="auto"/>
              <w:right w:val="single" w:sz="4" w:space="0" w:color="auto"/>
            </w:tcBorders>
            <w:noWrap/>
            <w:vAlign w:val="center"/>
            <w:hideMark/>
          </w:tcPr>
          <w:p w:rsidR="00787261" w:rsidRDefault="00787261" w:rsidP="00787261">
            <w:pPr>
              <w:jc w:val="cente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Scherer 3</w:t>
            </w:r>
          </w:p>
        </w:tc>
        <w:tc>
          <w:tcPr>
            <w:tcW w:w="90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79.5</w:t>
            </w:r>
          </w:p>
        </w:tc>
        <w:tc>
          <w:tcPr>
            <w:tcW w:w="90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80.4</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11</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10,617</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10,936</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1,205</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Crist 7</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90.2</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93.2</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10,585</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10,903</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559</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Daniel 1</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93.5</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95.6</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11,976</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12,335</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25</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Daniel 2</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86.5</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88.2</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11,673</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7A65C2" w:rsidRDefault="00787261" w:rsidP="00787261">
            <w:pPr>
              <w:jc w:val="center"/>
            </w:pPr>
            <w:r w:rsidRPr="007A65C2">
              <w:t>12,023</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37</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Smith 3</w:t>
            </w:r>
          </w:p>
        </w:tc>
        <w:tc>
          <w:tcPr>
            <w:tcW w:w="90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93.6</w:t>
            </w:r>
          </w:p>
        </w:tc>
        <w:tc>
          <w:tcPr>
            <w:tcW w:w="90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94</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57</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6,882</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7,088</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2,923</w:t>
            </w:r>
          </w:p>
        </w:tc>
      </w:tr>
      <w:tr w:rsidR="00787261" w:rsidTr="00787261">
        <w:trPr>
          <w:trHeight w:val="300"/>
        </w:trPr>
        <w:tc>
          <w:tcPr>
            <w:tcW w:w="1170" w:type="dxa"/>
            <w:vMerge/>
            <w:tcBorders>
              <w:left w:val="single" w:sz="4" w:space="0" w:color="auto"/>
              <w:bottom w:val="single" w:sz="4" w:space="0" w:color="auto"/>
              <w:right w:val="single" w:sz="4" w:space="0" w:color="auto"/>
            </w:tcBorders>
            <w:vAlign w:val="center"/>
            <w:hideMark/>
          </w:tcPr>
          <w:p w:rsidR="00787261" w:rsidRDefault="00787261" w:rsidP="00787261">
            <w:pPr>
              <w:rPr>
                <w:rFonts w:cstheme="minorHAnsi"/>
                <w:color w:val="000000"/>
              </w:rPr>
            </w:pPr>
          </w:p>
        </w:tc>
        <w:tc>
          <w:tcPr>
            <w:tcW w:w="3240" w:type="dxa"/>
            <w:gridSpan w:val="3"/>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78</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787261" w:rsidRDefault="00787261" w:rsidP="0078726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4,749</w:t>
            </w:r>
          </w:p>
        </w:tc>
      </w:tr>
    </w:tbl>
    <w:p w:rsidR="00787261" w:rsidRDefault="00787261" w:rsidP="00787261">
      <w:r>
        <w:t xml:space="preserve">    Source: GPIF Unit Performance Summary (Exhibit CLN-2, Schedule 3, Page 41 of 64).</w:t>
      </w:r>
    </w:p>
    <w:p w:rsidR="00787261" w:rsidRDefault="00787261" w:rsidP="00787261"/>
    <w:p w:rsidR="00787261" w:rsidRDefault="00787261" w:rsidP="00787261">
      <w:pPr>
        <w:jc w:val="center"/>
        <w:rPr>
          <w:rFonts w:ascii="Arial" w:hAnsi="Arial" w:cs="Arial"/>
          <w:b/>
        </w:rPr>
      </w:pPr>
      <w:r>
        <w:rPr>
          <w:rFonts w:ascii="Arial" w:hAnsi="Arial" w:cs="Arial"/>
          <w:b/>
        </w:rPr>
        <w:t>Table 17-4</w:t>
      </w:r>
    </w:p>
    <w:p w:rsidR="00787261" w:rsidRDefault="00787261" w:rsidP="00787261">
      <w:pPr>
        <w:jc w:val="center"/>
      </w:pPr>
      <w:r>
        <w:rPr>
          <w:rFonts w:ascii="Arial" w:hAnsi="Arial" w:cs="Arial"/>
          <w:b/>
        </w:rPr>
        <w:t>GPIF Targets/Ranges for the period January-December, 2019</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787261" w:rsidTr="00787261">
        <w:trPr>
          <w:trHeight w:val="300"/>
        </w:trPr>
        <w:tc>
          <w:tcPr>
            <w:tcW w:w="1170" w:type="dxa"/>
            <w:vMerge w:val="restart"/>
            <w:tcBorders>
              <w:top w:val="single" w:sz="4" w:space="0" w:color="auto"/>
              <w:left w:val="single" w:sz="4" w:space="0" w:color="auto"/>
              <w:right w:val="single" w:sz="4" w:space="0" w:color="auto"/>
            </w:tcBorders>
            <w:noWrap/>
            <w:vAlign w:val="center"/>
          </w:tcPr>
          <w:p w:rsidR="00787261" w:rsidRDefault="00787261" w:rsidP="00787261">
            <w:pPr>
              <w:jc w:val="center"/>
            </w:pPr>
            <w:r>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787261" w:rsidRDefault="00787261" w:rsidP="00787261">
            <w:pPr>
              <w:jc w:val="center"/>
            </w:pPr>
            <w:r>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Maximum</w:t>
            </w:r>
          </w:p>
        </w:tc>
      </w:tr>
      <w:tr w:rsidR="00787261" w:rsidTr="00787261">
        <w:trPr>
          <w:trHeight w:val="610"/>
        </w:trPr>
        <w:tc>
          <w:tcPr>
            <w:tcW w:w="1170" w:type="dxa"/>
            <w:vMerge/>
            <w:tcBorders>
              <w:left w:val="single" w:sz="4" w:space="0" w:color="auto"/>
              <w:right w:val="single" w:sz="4" w:space="0" w:color="auto"/>
            </w:tcBorders>
            <w:vAlign w:val="center"/>
            <w:hideMark/>
          </w:tcPr>
          <w:p w:rsidR="00787261" w:rsidRDefault="00787261" w:rsidP="00787261">
            <w:pPr>
              <w:jc w:val="cente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87261" w:rsidRDefault="00787261" w:rsidP="00787261"/>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EAF</w:t>
            </w:r>
          </w:p>
          <w:p w:rsidR="00787261" w:rsidRDefault="00787261" w:rsidP="00787261">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EAF</w:t>
            </w:r>
          </w:p>
          <w:p w:rsidR="00787261" w:rsidRDefault="00787261" w:rsidP="00787261">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Savings</w:t>
            </w:r>
          </w:p>
          <w:p w:rsidR="00787261" w:rsidRDefault="00787261" w:rsidP="00787261">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rPr>
                <w:sz w:val="22"/>
                <w:szCs w:val="22"/>
              </w:rPr>
            </w:pPr>
            <w:r>
              <w:rPr>
                <w:sz w:val="22"/>
                <w:szCs w:val="22"/>
              </w:rPr>
              <w:t>ANOHR</w:t>
            </w:r>
          </w:p>
          <w:p w:rsidR="00787261" w:rsidRDefault="00787261" w:rsidP="0078726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rPr>
                <w:sz w:val="22"/>
                <w:szCs w:val="22"/>
              </w:rPr>
            </w:pPr>
            <w:r>
              <w:rPr>
                <w:sz w:val="22"/>
                <w:szCs w:val="22"/>
              </w:rPr>
              <w:t>ANOHR</w:t>
            </w:r>
          </w:p>
          <w:p w:rsidR="00787261" w:rsidRDefault="00787261" w:rsidP="0078726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87261" w:rsidRDefault="00787261" w:rsidP="00787261">
            <w:pPr>
              <w:jc w:val="center"/>
            </w:pPr>
            <w:r>
              <w:t>Savings</w:t>
            </w:r>
          </w:p>
          <w:p w:rsidR="00787261" w:rsidRDefault="00787261" w:rsidP="00787261">
            <w:pPr>
              <w:jc w:val="center"/>
            </w:pPr>
            <w:r>
              <w:t>($000's)</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tc>
        <w:tc>
          <w:tcPr>
            <w:tcW w:w="144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rPr>
                <w:rFonts w:ascii="Calibri" w:hAnsi="Calibri"/>
                <w:sz w:val="22"/>
                <w:szCs w:val="22"/>
              </w:rPr>
            </w:pPr>
            <w:r w:rsidRPr="004F68DA">
              <w:t>Polk 1</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83.3</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85.4</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549.8</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10,170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11,107</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1,145.8</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tc>
        <w:tc>
          <w:tcPr>
            <w:tcW w:w="144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rPr>
                <w:rFonts w:ascii="Calibri" w:hAnsi="Calibri"/>
                <w:sz w:val="22"/>
                <w:szCs w:val="22"/>
              </w:rPr>
            </w:pPr>
            <w:r w:rsidRPr="004F68DA">
              <w:t>Polk 2</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90.9</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91.7</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205.7</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6,930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7,103</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3,998.7</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tc>
        <w:tc>
          <w:tcPr>
            <w:tcW w:w="144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rPr>
                <w:rFonts w:ascii="Calibri" w:hAnsi="Calibri"/>
                <w:sz w:val="22"/>
                <w:szCs w:val="22"/>
              </w:rPr>
            </w:pPr>
            <w:r w:rsidRPr="004F68DA">
              <w:t>Bayside 1</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91.0</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91.7</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120.0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7,400</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7,516</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1,517.1</w:t>
            </w:r>
          </w:p>
        </w:tc>
      </w:tr>
      <w:tr w:rsidR="00787261" w:rsidTr="00787261">
        <w:trPr>
          <w:trHeight w:val="300"/>
        </w:trPr>
        <w:tc>
          <w:tcPr>
            <w:tcW w:w="1170" w:type="dxa"/>
            <w:vMerge/>
            <w:tcBorders>
              <w:left w:val="single" w:sz="4" w:space="0" w:color="auto"/>
              <w:right w:val="single" w:sz="4" w:space="0" w:color="auto"/>
            </w:tcBorders>
            <w:vAlign w:val="center"/>
            <w:hideMark/>
          </w:tcPr>
          <w:p w:rsidR="00787261" w:rsidRDefault="00787261" w:rsidP="00787261"/>
        </w:tc>
        <w:tc>
          <w:tcPr>
            <w:tcW w:w="144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rPr>
                <w:rFonts w:ascii="Calibri" w:hAnsi="Calibri"/>
                <w:color w:val="000000"/>
                <w:sz w:val="22"/>
                <w:szCs w:val="22"/>
              </w:rPr>
            </w:pPr>
            <w:r>
              <w:t>Bayside 2</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87.4</w:t>
            </w:r>
          </w:p>
        </w:tc>
        <w:tc>
          <w:tcPr>
            <w:tcW w:w="90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88.8</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337.7</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7,561</w:t>
            </w:r>
          </w:p>
        </w:tc>
        <w:tc>
          <w:tcPr>
            <w:tcW w:w="1260" w:type="dxa"/>
            <w:tcBorders>
              <w:top w:val="single" w:sz="4" w:space="0" w:color="auto"/>
              <w:left w:val="single" w:sz="4" w:space="0" w:color="auto"/>
              <w:bottom w:val="single" w:sz="4" w:space="0" w:color="auto"/>
              <w:right w:val="single" w:sz="4" w:space="0" w:color="auto"/>
            </w:tcBorders>
            <w:noWrap/>
            <w:hideMark/>
          </w:tcPr>
          <w:p w:rsidR="00787261" w:rsidRPr="00F94572" w:rsidRDefault="00787261" w:rsidP="00787261">
            <w:pPr>
              <w:jc w:val="center"/>
            </w:pPr>
            <w:r w:rsidRPr="00F94572">
              <w:t>7,789</w:t>
            </w: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2,964.0</w:t>
            </w:r>
          </w:p>
        </w:tc>
      </w:tr>
      <w:tr w:rsidR="00787261" w:rsidTr="00787261">
        <w:trPr>
          <w:trHeight w:val="300"/>
        </w:trPr>
        <w:tc>
          <w:tcPr>
            <w:tcW w:w="1170" w:type="dxa"/>
            <w:vMerge/>
            <w:tcBorders>
              <w:left w:val="single" w:sz="4" w:space="0" w:color="auto"/>
              <w:bottom w:val="single" w:sz="4" w:space="0" w:color="auto"/>
              <w:right w:val="single" w:sz="4" w:space="0" w:color="auto"/>
            </w:tcBorders>
            <w:vAlign w:val="center"/>
            <w:hideMark/>
          </w:tcPr>
          <w:p w:rsidR="00787261" w:rsidRDefault="00787261" w:rsidP="00787261"/>
        </w:tc>
        <w:tc>
          <w:tcPr>
            <w:tcW w:w="3240" w:type="dxa"/>
            <w:gridSpan w:val="3"/>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rPr>
                <w:rFonts w:ascii="Calibri" w:hAnsi="Calibri"/>
                <w:sz w:val="22"/>
                <w:szCs w:val="22"/>
              </w:rPr>
            </w:pPr>
            <w:r w:rsidRPr="004F68DA">
              <w:t>Total</w:t>
            </w:r>
          </w:p>
        </w:tc>
        <w:tc>
          <w:tcPr>
            <w:tcW w:w="1080" w:type="dxa"/>
            <w:tcBorders>
              <w:top w:val="single" w:sz="4" w:space="0" w:color="auto"/>
              <w:left w:val="single" w:sz="4" w:space="0" w:color="auto"/>
              <w:bottom w:val="single" w:sz="4" w:space="0" w:color="auto"/>
              <w:right w:val="single" w:sz="4" w:space="0" w:color="auto"/>
            </w:tcBorders>
            <w:noWrap/>
            <w:hideMark/>
          </w:tcPr>
          <w:p w:rsidR="00787261" w:rsidRPr="004F68DA" w:rsidRDefault="00787261" w:rsidP="00787261">
            <w:pPr>
              <w:jc w:val="center"/>
            </w:pPr>
            <w:r w:rsidRPr="004F68DA">
              <w:t>1,213.2</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787261" w:rsidRDefault="00787261" w:rsidP="0078726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787261" w:rsidRDefault="00787261" w:rsidP="00787261">
            <w:pPr>
              <w:jc w:val="center"/>
            </w:pPr>
            <w:r>
              <w:t>9,625.6</w:t>
            </w:r>
          </w:p>
        </w:tc>
      </w:tr>
    </w:tbl>
    <w:p w:rsidR="00787261" w:rsidRDefault="00787261" w:rsidP="00787261">
      <w:r>
        <w:t xml:space="preserve">    Source: GPIF Target and Range Summary (Exhibit BSB-3, Document 1, Page 4 of 27).</w:t>
      </w:r>
    </w:p>
    <w:p w:rsidR="00787261" w:rsidRDefault="00787261" w:rsidP="00787261">
      <w:pPr>
        <w:autoSpaceDE w:val="0"/>
        <w:autoSpaceDN w:val="0"/>
        <w:adjustRightInd w:val="0"/>
        <w:rPr>
          <w:b/>
          <w:bCs/>
          <w:caps/>
        </w:rPr>
      </w:pPr>
    </w:p>
    <w:p w:rsidR="00787261" w:rsidRDefault="00787261" w:rsidP="00787261">
      <w:pPr>
        <w:autoSpaceDE w:val="0"/>
        <w:autoSpaceDN w:val="0"/>
        <w:adjustRightInd w:val="0"/>
        <w:rPr>
          <w:b/>
          <w:bCs/>
        </w:rPr>
      </w:pPr>
      <w:r>
        <w:rPr>
          <w:b/>
          <w:bCs/>
          <w:caps/>
        </w:rPr>
        <w:t xml:space="preserve">Fuel Factor Calculation ISSUES </w:t>
      </w:r>
    </w:p>
    <w:p w:rsidR="00787261" w:rsidRDefault="00787261" w:rsidP="00787261">
      <w:pPr>
        <w:autoSpaceDE w:val="0"/>
        <w:autoSpaceDN w:val="0"/>
        <w:adjustRightInd w:val="0"/>
        <w:jc w:val="both"/>
        <w:rPr>
          <w:b/>
          <w:bCs/>
          <w:u w:val="single"/>
        </w:rPr>
      </w:pPr>
    </w:p>
    <w:p w:rsidR="00787261" w:rsidRPr="007C6834" w:rsidRDefault="00787261" w:rsidP="00787261">
      <w:pPr>
        <w:autoSpaceDE w:val="0"/>
        <w:autoSpaceDN w:val="0"/>
        <w:adjustRightInd w:val="0"/>
        <w:ind w:left="1440" w:hanging="1440"/>
        <w:jc w:val="both"/>
        <w:rPr>
          <w:b/>
        </w:rPr>
      </w:pPr>
      <w:r>
        <w:rPr>
          <w:b/>
          <w:bCs/>
          <w:u w:val="single"/>
        </w:rPr>
        <w:t>ISSUE 18</w:t>
      </w:r>
      <w:r>
        <w:t>:</w:t>
      </w:r>
      <w:r>
        <w:tab/>
      </w:r>
      <w:r w:rsidRPr="007C6834">
        <w:rPr>
          <w:b/>
        </w:rPr>
        <w:t xml:space="preserve">What are the appropriate projected net fuel and purchased power cost recovery and Generating Performance Incentive amounts to be included in the recovery factor for the period January 2019 through December 2019?                           </w:t>
      </w:r>
    </w:p>
    <w:p w:rsidR="00787261" w:rsidRPr="007C6834" w:rsidRDefault="00787261" w:rsidP="00787261">
      <w:pPr>
        <w:tabs>
          <w:tab w:val="left" w:pos="8571"/>
        </w:tabs>
        <w:autoSpaceDE w:val="0"/>
        <w:autoSpaceDN w:val="0"/>
        <w:adjustRightInd w:val="0"/>
        <w:jc w:val="both"/>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rPr>
          <w:bCs/>
        </w:rPr>
      </w:pPr>
      <w:r>
        <w:tab/>
        <w:t xml:space="preserve">The appropriate </w:t>
      </w:r>
      <w:r w:rsidRPr="00AF7BC1">
        <w:rPr>
          <w:rStyle w:val="Strong"/>
          <w:rFonts w:eastAsiaTheme="minorHAnsi"/>
          <w:b w:val="0"/>
        </w:rPr>
        <w:t>projected total fuel and purchased power cost recovery amounts for the period January 2019 through December 2019</w:t>
      </w:r>
      <w:r>
        <w:t xml:space="preserve"> are as follows:</w:t>
      </w:r>
    </w:p>
    <w:p w:rsidR="00787261" w:rsidRDefault="00787261" w:rsidP="00787261">
      <w:pPr>
        <w:autoSpaceDE w:val="0"/>
        <w:autoSpaceDN w:val="0"/>
        <w:adjustRightInd w:val="0"/>
        <w:jc w:val="both"/>
      </w:pPr>
    </w:p>
    <w:p w:rsidR="008E7827" w:rsidRDefault="008E7827" w:rsidP="008E7827">
      <w:pPr>
        <w:keepNext/>
        <w:tabs>
          <w:tab w:val="left" w:pos="8571"/>
        </w:tabs>
        <w:autoSpaceDE w:val="0"/>
        <w:autoSpaceDN w:val="0"/>
        <w:adjustRightInd w:val="0"/>
        <w:ind w:left="1440" w:hanging="1440"/>
        <w:jc w:val="both"/>
        <w:rPr>
          <w:rStyle w:val="Strong"/>
          <w:rFonts w:eastAsiaTheme="minorHAnsi"/>
          <w:b w:val="0"/>
        </w:rPr>
      </w:pPr>
      <w:r>
        <w:t>DEF:</w:t>
      </w:r>
      <w:r>
        <w:tab/>
      </w:r>
      <w:r w:rsidRPr="008E7827">
        <w:rPr>
          <w:rStyle w:val="Strong"/>
          <w:rFonts w:eastAsiaTheme="minorHAnsi"/>
          <w:b w:val="0"/>
        </w:rPr>
        <w:t>$1,559,686,958, as reflected on Line 27 of Schedule E1 (Exhibit CAM-3, Part 2, Page 1 of 1).</w:t>
      </w:r>
    </w:p>
    <w:p w:rsidR="008E7827" w:rsidRDefault="008E7827" w:rsidP="00787261">
      <w:pPr>
        <w:autoSpaceDE w:val="0"/>
        <w:autoSpaceDN w:val="0"/>
        <w:adjustRightInd w:val="0"/>
        <w:jc w:val="both"/>
      </w:pPr>
    </w:p>
    <w:p w:rsidR="00787261" w:rsidRDefault="00787261" w:rsidP="00787261">
      <w:pPr>
        <w:tabs>
          <w:tab w:val="left" w:pos="8571"/>
        </w:tabs>
        <w:autoSpaceDE w:val="0"/>
        <w:autoSpaceDN w:val="0"/>
        <w:adjustRightInd w:val="0"/>
        <w:ind w:left="1440" w:hanging="1440"/>
        <w:jc w:val="both"/>
      </w:pPr>
      <w:r w:rsidRPr="004F3EF2">
        <w:t xml:space="preserve">FPL:  </w:t>
      </w:r>
      <w:r>
        <w:tab/>
        <w:t>$2,828,678,170</w:t>
      </w:r>
      <w:r w:rsidRPr="005239D0">
        <w:t xml:space="preserve">, </w:t>
      </w:r>
      <w:r>
        <w:t>which includes</w:t>
      </w:r>
      <w:r w:rsidRPr="00D45ADB">
        <w:t xml:space="preserve"> prior period true-up</w:t>
      </w:r>
      <w:r>
        <w:t xml:space="preserve"> amounts</w:t>
      </w:r>
      <w:r w:rsidRPr="00D45ADB">
        <w:t xml:space="preserve">, revenue taxes, </w:t>
      </w:r>
      <w:r w:rsidRPr="004F3EF2">
        <w:t>the GPIF reward</w:t>
      </w:r>
      <w:r>
        <w:t xml:space="preserve">, </w:t>
      </w:r>
      <w:r w:rsidRPr="00D45ADB">
        <w:t>FPL’s portio</w:t>
      </w:r>
      <w:r>
        <w:t xml:space="preserve">n of Incentive </w:t>
      </w:r>
      <w:r w:rsidRPr="004F3EF2">
        <w:t>Mechanism gains</w:t>
      </w:r>
      <w:r>
        <w:t xml:space="preserve">, and the jurisdictional savings amounts from the 2019 SoBRAs and the Okeechobee Clean Energy </w:t>
      </w:r>
      <w:r>
        <w:lastRenderedPageBreak/>
        <w:t>Center</w:t>
      </w:r>
      <w:r w:rsidRPr="004F3EF2">
        <w:t>,</w:t>
      </w:r>
      <w:r>
        <w:t xml:space="preserve"> as reflected on Line 34 of Schedule E1 (Appendix V – 2019 FCR Projections Schedule, Exhibit RBD-8, Page 1 of 6).</w:t>
      </w:r>
    </w:p>
    <w:p w:rsidR="00787261" w:rsidRPr="004F3EF2" w:rsidRDefault="00787261" w:rsidP="00787261">
      <w:pPr>
        <w:tabs>
          <w:tab w:val="left" w:pos="8571"/>
        </w:tabs>
        <w:autoSpaceDE w:val="0"/>
        <w:autoSpaceDN w:val="0"/>
        <w:adjustRightInd w:val="0"/>
        <w:ind w:left="1440" w:hanging="1440"/>
        <w:jc w:val="both"/>
      </w:pPr>
      <w:r w:rsidRPr="004F3EF2">
        <w:tab/>
      </w:r>
      <w:r w:rsidRPr="004F3EF2">
        <w:tab/>
      </w:r>
    </w:p>
    <w:p w:rsidR="00787261" w:rsidRDefault="00787261" w:rsidP="00787261">
      <w:pPr>
        <w:tabs>
          <w:tab w:val="left" w:pos="8571"/>
        </w:tabs>
        <w:autoSpaceDE w:val="0"/>
        <w:autoSpaceDN w:val="0"/>
        <w:adjustRightInd w:val="0"/>
        <w:ind w:left="1440" w:hanging="1440"/>
        <w:jc w:val="both"/>
      </w:pPr>
      <w:r w:rsidRPr="004F3EF2">
        <w:t xml:space="preserve">FPUC: </w:t>
      </w:r>
      <w:r>
        <w:tab/>
        <w:t>On October 18, 2018, FPUC and OPC jointly proposed a stipulation to resolve all issues in Docket No. 20180048-EI. If approved, that proposal that impacts this issue.</w:t>
      </w:r>
    </w:p>
    <w:p w:rsidR="00787261" w:rsidRDefault="00787261" w:rsidP="00787261">
      <w:pPr>
        <w:tabs>
          <w:tab w:val="left" w:pos="8571"/>
        </w:tabs>
        <w:autoSpaceDE w:val="0"/>
        <w:autoSpaceDN w:val="0"/>
        <w:adjustRightInd w:val="0"/>
        <w:ind w:left="1440" w:hanging="1440"/>
        <w:jc w:val="both"/>
      </w:pPr>
    </w:p>
    <w:p w:rsidR="00787261" w:rsidRPr="00D45ADB" w:rsidRDefault="00787261" w:rsidP="00787261">
      <w:pPr>
        <w:tabs>
          <w:tab w:val="left" w:pos="8571"/>
        </w:tabs>
        <w:autoSpaceDE w:val="0"/>
        <w:autoSpaceDN w:val="0"/>
        <w:adjustRightInd w:val="0"/>
        <w:ind w:left="1440" w:hanging="1440"/>
        <w:jc w:val="both"/>
      </w:pPr>
      <w:r>
        <w:tab/>
        <w:t xml:space="preserve">If that stipulation is approved, the appropriate </w:t>
      </w:r>
      <w:r w:rsidRPr="00AF7BC1">
        <w:rPr>
          <w:rStyle w:val="Strong"/>
          <w:rFonts w:eastAsiaTheme="minorHAnsi"/>
          <w:b w:val="0"/>
        </w:rPr>
        <w:t>projected total fuel and purchased power cost recovery amounts for the period January 2019 through December 2019 is</w:t>
      </w:r>
      <w:r>
        <w:rPr>
          <w:rStyle w:val="Strong"/>
          <w:rFonts w:eastAsiaTheme="minorHAnsi"/>
        </w:rPr>
        <w:t xml:space="preserve"> </w:t>
      </w:r>
      <w:r>
        <w:t xml:space="preserve">$64,370,465, </w:t>
      </w:r>
      <w:r w:rsidRPr="00D45ADB">
        <w:t>which includ</w:t>
      </w:r>
      <w:r>
        <w:t>es prior period true-up amoun</w:t>
      </w:r>
      <w:r w:rsidRPr="009B29FF">
        <w:t xml:space="preserve">ts, as reflected </w:t>
      </w:r>
      <w:r>
        <w:t xml:space="preserve">on Line 31, </w:t>
      </w:r>
      <w:r w:rsidRPr="009C7F45">
        <w:t>Alternate</w:t>
      </w:r>
      <w:r>
        <w:t xml:space="preserve"> Schedule E1 (</w:t>
      </w:r>
      <w:r w:rsidRPr="009C7F45">
        <w:t>Alternate</w:t>
      </w:r>
      <w:r>
        <w:t xml:space="preserve"> Exhibit MC-2, Page 1 of 8).</w:t>
      </w:r>
    </w:p>
    <w:p w:rsidR="00787261" w:rsidRDefault="00787261" w:rsidP="00787261">
      <w:pPr>
        <w:tabs>
          <w:tab w:val="left" w:pos="8571"/>
        </w:tabs>
        <w:autoSpaceDE w:val="0"/>
        <w:autoSpaceDN w:val="0"/>
        <w:adjustRightInd w:val="0"/>
        <w:ind w:left="1440" w:hanging="1440"/>
        <w:jc w:val="both"/>
      </w:pPr>
    </w:p>
    <w:p w:rsidR="00787261" w:rsidRDefault="00787261" w:rsidP="00787261">
      <w:pPr>
        <w:tabs>
          <w:tab w:val="left" w:pos="8571"/>
        </w:tabs>
        <w:autoSpaceDE w:val="0"/>
        <w:autoSpaceDN w:val="0"/>
        <w:adjustRightInd w:val="0"/>
        <w:ind w:left="1440" w:hanging="1440"/>
        <w:jc w:val="both"/>
      </w:pPr>
      <w:r>
        <w:tab/>
        <w:t xml:space="preserve">If that stipulation is not approved, the appropriate </w:t>
      </w:r>
      <w:r w:rsidRPr="00AF7BC1">
        <w:rPr>
          <w:rStyle w:val="Strong"/>
          <w:rFonts w:eastAsiaTheme="minorHAnsi"/>
          <w:b w:val="0"/>
        </w:rPr>
        <w:t>projected total fuel and purchased power cost recovery amounts for the period January 2019 through December 2019 is</w:t>
      </w:r>
      <w:r>
        <w:rPr>
          <w:rStyle w:val="Strong"/>
          <w:rFonts w:eastAsiaTheme="minorHAnsi"/>
        </w:rPr>
        <w:t xml:space="preserve"> </w:t>
      </w:r>
      <w:r>
        <w:t>$65,834,917</w:t>
      </w:r>
      <w:r w:rsidRPr="009B29FF">
        <w:t>,</w:t>
      </w:r>
      <w:r w:rsidRPr="00D45ADB">
        <w:t xml:space="preserve"> which includ</w:t>
      </w:r>
      <w:r>
        <w:t>es prior period true-up amoun</w:t>
      </w:r>
      <w:r w:rsidRPr="009B29FF">
        <w:t xml:space="preserve">ts, as reflected </w:t>
      </w:r>
      <w:r>
        <w:t>on Line 31, Schedule E1 (Exhibit MC-2, Page 1 of 8).</w:t>
      </w:r>
    </w:p>
    <w:p w:rsidR="00787261" w:rsidRPr="00902694" w:rsidRDefault="00787261" w:rsidP="00787261">
      <w:pPr>
        <w:tabs>
          <w:tab w:val="left" w:pos="8571"/>
        </w:tabs>
        <w:autoSpaceDE w:val="0"/>
        <w:autoSpaceDN w:val="0"/>
        <w:adjustRightInd w:val="0"/>
        <w:ind w:left="1440" w:hanging="1440"/>
        <w:jc w:val="both"/>
        <w:rPr>
          <w:highlight w:val="yellow"/>
        </w:rPr>
      </w:pPr>
    </w:p>
    <w:p w:rsidR="00787261" w:rsidRPr="00D45ADB" w:rsidRDefault="00787261" w:rsidP="00787261">
      <w:pPr>
        <w:tabs>
          <w:tab w:val="left" w:pos="8571"/>
        </w:tabs>
        <w:autoSpaceDE w:val="0"/>
        <w:autoSpaceDN w:val="0"/>
        <w:adjustRightInd w:val="0"/>
        <w:ind w:left="1440" w:hanging="1440"/>
        <w:jc w:val="both"/>
      </w:pPr>
      <w:r w:rsidRPr="004F3EF2">
        <w:t xml:space="preserve">GULF:   </w:t>
      </w:r>
      <w:r>
        <w:tab/>
        <w:t xml:space="preserve">$326,311,230, which is </w:t>
      </w:r>
      <w:r w:rsidRPr="00CA16F2">
        <w:t>a</w:t>
      </w:r>
      <w:r>
        <w:t xml:space="preserve">djusted for line losses, and includes </w:t>
      </w:r>
      <w:r w:rsidRPr="00D45ADB">
        <w:t>prior period true-up</w:t>
      </w:r>
      <w:r>
        <w:t xml:space="preserve"> amounts</w:t>
      </w:r>
      <w:r w:rsidRPr="00D45ADB">
        <w:t xml:space="preserve">, revenue taxes, </w:t>
      </w:r>
      <w:r>
        <w:t>GPIF amounts, and the estimated tax credit savings, a</w:t>
      </w:r>
      <w:r w:rsidRPr="00CA16F2">
        <w:t xml:space="preserve">s reflected </w:t>
      </w:r>
      <w:r>
        <w:t>on Line 30, Schedule E1 (</w:t>
      </w:r>
      <w:r w:rsidRPr="00CA16F2">
        <w:t>Exhibit C</w:t>
      </w:r>
      <w:r>
        <w:t>SB-5, 2019 Projection Filing, Page 1 of 41)</w:t>
      </w:r>
      <w:r w:rsidRPr="00937E60">
        <w:t>.</w:t>
      </w:r>
    </w:p>
    <w:p w:rsidR="00787261" w:rsidRPr="00902694" w:rsidRDefault="00787261" w:rsidP="00787261">
      <w:pPr>
        <w:tabs>
          <w:tab w:val="left" w:pos="8571"/>
        </w:tabs>
        <w:autoSpaceDE w:val="0"/>
        <w:autoSpaceDN w:val="0"/>
        <w:adjustRightInd w:val="0"/>
        <w:ind w:left="1440" w:hanging="1440"/>
        <w:jc w:val="both"/>
        <w:rPr>
          <w:highlight w:val="yellow"/>
        </w:rPr>
      </w:pPr>
    </w:p>
    <w:p w:rsidR="00787261" w:rsidRDefault="00787261" w:rsidP="00787261">
      <w:pPr>
        <w:tabs>
          <w:tab w:val="left" w:pos="8571"/>
        </w:tabs>
        <w:autoSpaceDE w:val="0"/>
        <w:autoSpaceDN w:val="0"/>
        <w:adjustRightInd w:val="0"/>
        <w:ind w:left="1440" w:hanging="1440"/>
        <w:jc w:val="both"/>
      </w:pPr>
      <w:r>
        <w:t xml:space="preserve">TECO:  </w:t>
      </w:r>
      <w:r>
        <w:tab/>
        <w:t>$528,977,466,</w:t>
      </w:r>
      <w:r w:rsidRPr="00D47BD5">
        <w:t xml:space="preserve"> </w:t>
      </w:r>
      <w:r>
        <w:t xml:space="preserve">which is adjusted for jurisdictional losses, and includes </w:t>
      </w:r>
      <w:r w:rsidRPr="00D45ADB">
        <w:t>prior period true-up</w:t>
      </w:r>
      <w:r>
        <w:t xml:space="preserve"> amounts</w:t>
      </w:r>
      <w:r w:rsidRPr="00D45ADB">
        <w:t xml:space="preserve">, revenue taxes, </w:t>
      </w:r>
      <w:r>
        <w:t>and GPIF amounts</w:t>
      </w:r>
      <w:r w:rsidRPr="004F3EF2">
        <w:t>,</w:t>
      </w:r>
      <w:r>
        <w:t xml:space="preserve"> as reflected on Line 33, Schedule E1 (Exhibit PAR-3, Document No. 2, Page 2 of 30).</w:t>
      </w:r>
    </w:p>
    <w:p w:rsidR="00787261" w:rsidRPr="009F5C6B" w:rsidRDefault="00787261" w:rsidP="00787261">
      <w:pPr>
        <w:tabs>
          <w:tab w:val="left" w:pos="8571"/>
        </w:tabs>
        <w:autoSpaceDE w:val="0"/>
        <w:autoSpaceDN w:val="0"/>
        <w:adjustRightInd w:val="0"/>
        <w:ind w:left="1440" w:hanging="1440"/>
        <w:jc w:val="both"/>
      </w:pPr>
    </w:p>
    <w:p w:rsidR="00787261" w:rsidRDefault="00787261" w:rsidP="00787261">
      <w:pPr>
        <w:autoSpaceDE w:val="0"/>
        <w:autoSpaceDN w:val="0"/>
        <w:adjustRightInd w:val="0"/>
        <w:jc w:val="both"/>
        <w:rPr>
          <w:b/>
          <w:u w:val="single"/>
        </w:rPr>
      </w:pPr>
    </w:p>
    <w:p w:rsidR="00787261" w:rsidRPr="002B5754" w:rsidRDefault="00787261" w:rsidP="00787261">
      <w:pPr>
        <w:ind w:left="1440" w:hanging="1440"/>
        <w:jc w:val="both"/>
        <w:rPr>
          <w:bCs/>
        </w:rPr>
      </w:pPr>
      <w:r w:rsidRPr="0071761C">
        <w:rPr>
          <w:rStyle w:val="Strong"/>
          <w:rFonts w:eastAsiaTheme="minorHAnsi"/>
          <w:u w:val="single"/>
        </w:rPr>
        <w:t>ISSUE 19</w:t>
      </w:r>
      <w:r w:rsidRPr="002B5754">
        <w:rPr>
          <w:rStyle w:val="Strong"/>
          <w:rFonts w:eastAsiaTheme="minorHAnsi"/>
        </w:rPr>
        <w:t>:</w:t>
      </w:r>
      <w:r w:rsidRPr="002B5754">
        <w:rPr>
          <w:rStyle w:val="Strong"/>
          <w:rFonts w:eastAsiaTheme="minorHAnsi"/>
        </w:rPr>
        <w:tab/>
        <w:t>What is the appropriate revenue tax factor to be applied in calculating each investor-owned electric utility’s levelized fuel factor for the projection period Ja</w:t>
      </w:r>
      <w:r>
        <w:rPr>
          <w:rStyle w:val="Strong"/>
          <w:rFonts w:eastAsiaTheme="minorHAnsi"/>
        </w:rPr>
        <w:t>nuary 2019 through December 2019</w:t>
      </w:r>
      <w:r w:rsidRPr="002B5754">
        <w:rPr>
          <w:rStyle w:val="Strong"/>
          <w:rFonts w:eastAsiaTheme="minorHAnsi"/>
        </w:rPr>
        <w:t xml:space="preserve">? </w:t>
      </w:r>
    </w:p>
    <w:p w:rsidR="00787261" w:rsidRDefault="00787261" w:rsidP="00787261">
      <w:pPr>
        <w:rPr>
          <w:b/>
          <w:u w:val="single"/>
        </w:rPr>
      </w:pPr>
    </w:p>
    <w:p w:rsidR="00787261" w:rsidRDefault="00787261" w:rsidP="00787261">
      <w:r>
        <w:rPr>
          <w:b/>
          <w:u w:val="single"/>
        </w:rPr>
        <w:t>STIPULATION</w:t>
      </w:r>
      <w:r w:rsidRPr="002B5754">
        <w:t>:</w:t>
      </w:r>
    </w:p>
    <w:p w:rsidR="00787261" w:rsidRDefault="00787261" w:rsidP="00787261">
      <w:pPr>
        <w:tabs>
          <w:tab w:val="left" w:pos="8571"/>
        </w:tabs>
        <w:autoSpaceDE w:val="0"/>
        <w:autoSpaceDN w:val="0"/>
        <w:adjustRightInd w:val="0"/>
        <w:ind w:left="1440" w:hanging="1440"/>
        <w:jc w:val="both"/>
      </w:pPr>
      <w:r w:rsidRPr="002B5754">
        <w:tab/>
      </w:r>
    </w:p>
    <w:p w:rsidR="00787261" w:rsidRPr="009437A9" w:rsidRDefault="00787261" w:rsidP="00787261">
      <w:pPr>
        <w:tabs>
          <w:tab w:val="left" w:pos="8571"/>
        </w:tabs>
        <w:autoSpaceDE w:val="0"/>
        <w:autoSpaceDN w:val="0"/>
        <w:adjustRightInd w:val="0"/>
        <w:ind w:left="1440" w:hanging="1440"/>
        <w:jc w:val="both"/>
        <w:rPr>
          <w:b/>
        </w:rPr>
      </w:pPr>
      <w:r>
        <w:tab/>
      </w:r>
      <w:r w:rsidRPr="009437A9">
        <w:rPr>
          <w:rStyle w:val="Strong"/>
          <w:rFonts w:eastAsiaTheme="minorHAnsi"/>
          <w:b w:val="0"/>
        </w:rPr>
        <w:t>The appropriate revenue tax factor to be applied in calculating each investor-owned electric utility’s levelized fuel factor for the projection period January 2019 through December 2019 is 1.00072.</w:t>
      </w:r>
    </w:p>
    <w:p w:rsidR="00787261" w:rsidRDefault="00787261" w:rsidP="00787261">
      <w:pPr>
        <w:autoSpaceDE w:val="0"/>
        <w:autoSpaceDN w:val="0"/>
        <w:adjustRightInd w:val="0"/>
        <w:jc w:val="both"/>
        <w:rPr>
          <w:b/>
          <w:u w:val="single"/>
        </w:rPr>
      </w:pPr>
    </w:p>
    <w:p w:rsidR="00787261" w:rsidRDefault="00787261" w:rsidP="00787261">
      <w:pPr>
        <w:autoSpaceDE w:val="0"/>
        <w:autoSpaceDN w:val="0"/>
        <w:adjustRightInd w:val="0"/>
        <w:jc w:val="both"/>
        <w:rPr>
          <w:bCs/>
        </w:rPr>
      </w:pPr>
    </w:p>
    <w:p w:rsidR="00787261" w:rsidRDefault="00787261" w:rsidP="00787261">
      <w:pPr>
        <w:autoSpaceDE w:val="0"/>
        <w:autoSpaceDN w:val="0"/>
        <w:adjustRightInd w:val="0"/>
        <w:ind w:left="1440" w:hanging="1440"/>
        <w:jc w:val="both"/>
      </w:pPr>
      <w:r>
        <w:rPr>
          <w:b/>
          <w:bCs/>
          <w:u w:val="single"/>
        </w:rPr>
        <w:t>ISSUE 20</w:t>
      </w:r>
      <w:r>
        <w:t>:</w:t>
      </w:r>
      <w:r>
        <w:tab/>
      </w:r>
      <w:r w:rsidRPr="007C6834">
        <w:rPr>
          <w:b/>
        </w:rPr>
        <w:t xml:space="preserve">What are the appropriate levelized fuel cost recovery factors for the period January 2019 through December 2019? </w:t>
      </w:r>
      <w:r>
        <w:t xml:space="preserve">                                                         </w:t>
      </w:r>
    </w:p>
    <w:p w:rsidR="00787261" w:rsidRDefault="00787261" w:rsidP="00787261">
      <w:pPr>
        <w:tabs>
          <w:tab w:val="left" w:pos="8571"/>
        </w:tabs>
        <w:autoSpaceDE w:val="0"/>
        <w:autoSpaceDN w:val="0"/>
        <w:adjustRightInd w:val="0"/>
        <w:ind w:left="1440" w:hanging="1440"/>
        <w:jc w:val="both"/>
        <w:rPr>
          <w:b/>
          <w:u w:val="single"/>
        </w:rPr>
      </w:pPr>
    </w:p>
    <w:p w:rsidR="00787261" w:rsidRDefault="00787261" w:rsidP="00787261">
      <w:pPr>
        <w:tabs>
          <w:tab w:val="left" w:pos="8571"/>
        </w:tabs>
        <w:autoSpaceDE w:val="0"/>
        <w:autoSpaceDN w:val="0"/>
        <w:adjustRightInd w:val="0"/>
        <w:ind w:left="1440" w:hanging="1440"/>
        <w:jc w:val="both"/>
      </w:pPr>
      <w:r>
        <w:rPr>
          <w:b/>
          <w:u w:val="single"/>
        </w:rPr>
        <w:t>STIPULATION</w:t>
      </w:r>
      <w:r>
        <w:t>:</w:t>
      </w:r>
    </w:p>
    <w:p w:rsidR="00787261" w:rsidRDefault="00787261" w:rsidP="00787261">
      <w:pPr>
        <w:tabs>
          <w:tab w:val="left" w:pos="8571"/>
        </w:tabs>
        <w:autoSpaceDE w:val="0"/>
        <w:autoSpaceDN w:val="0"/>
        <w:adjustRightInd w:val="0"/>
        <w:ind w:left="1440" w:hanging="1440"/>
        <w:jc w:val="both"/>
      </w:pPr>
      <w:r>
        <w:tab/>
      </w:r>
    </w:p>
    <w:p w:rsidR="00787261" w:rsidRDefault="00787261" w:rsidP="00787261">
      <w:pPr>
        <w:tabs>
          <w:tab w:val="left" w:pos="8571"/>
        </w:tabs>
        <w:autoSpaceDE w:val="0"/>
        <w:autoSpaceDN w:val="0"/>
        <w:adjustRightInd w:val="0"/>
        <w:ind w:left="1440" w:hanging="1440"/>
        <w:jc w:val="both"/>
        <w:rPr>
          <w:bCs/>
        </w:rPr>
      </w:pPr>
      <w:r>
        <w:tab/>
        <w:t>The appropriate levelized fuel cost recovery factors for the period January 2019 through December 2019 are as follows:</w:t>
      </w:r>
    </w:p>
    <w:p w:rsidR="00787261" w:rsidRDefault="00787261" w:rsidP="00787261">
      <w:pPr>
        <w:tabs>
          <w:tab w:val="left" w:pos="8571"/>
        </w:tabs>
        <w:autoSpaceDE w:val="0"/>
        <w:autoSpaceDN w:val="0"/>
        <w:adjustRightInd w:val="0"/>
        <w:jc w:val="both"/>
        <w:rPr>
          <w:b/>
        </w:rPr>
      </w:pPr>
    </w:p>
    <w:p w:rsidR="008E7827" w:rsidRPr="008E7827" w:rsidRDefault="008E7827" w:rsidP="00787261">
      <w:pPr>
        <w:tabs>
          <w:tab w:val="left" w:pos="8571"/>
        </w:tabs>
        <w:autoSpaceDE w:val="0"/>
        <w:autoSpaceDN w:val="0"/>
        <w:adjustRightInd w:val="0"/>
        <w:ind w:left="1440" w:hanging="1440"/>
        <w:jc w:val="both"/>
        <w:rPr>
          <w:rStyle w:val="Strong"/>
          <w:rFonts w:eastAsiaTheme="minorHAnsi"/>
          <w:b w:val="0"/>
        </w:rPr>
      </w:pPr>
      <w:r>
        <w:t>DEF:</w:t>
      </w:r>
      <w:r>
        <w:tab/>
      </w:r>
      <w:r w:rsidRPr="00FD2B57">
        <w:t xml:space="preserve">The appropriate </w:t>
      </w:r>
      <w:r>
        <w:t xml:space="preserve">levelized </w:t>
      </w:r>
      <w:r w:rsidRPr="00FD2B57">
        <w:t>factor is</w:t>
      </w:r>
      <w:r>
        <w:t xml:space="preserve"> </w:t>
      </w:r>
      <w:r>
        <w:rPr>
          <w:bCs/>
        </w:rPr>
        <w:t>3.969</w:t>
      </w:r>
      <w:r w:rsidRPr="009D34A4">
        <w:t xml:space="preserve"> cents per kWh (adjusted for jurisdictional losses)</w:t>
      </w:r>
      <w:r w:rsidRPr="009D34A4">
        <w:rPr>
          <w:rStyle w:val="Strong"/>
          <w:rFonts w:eastAsiaTheme="minorHAnsi"/>
        </w:rPr>
        <w:t xml:space="preserve">, </w:t>
      </w:r>
      <w:r w:rsidRPr="008E7827">
        <w:rPr>
          <w:rStyle w:val="Strong"/>
          <w:rFonts w:eastAsiaTheme="minorHAnsi"/>
          <w:b w:val="0"/>
        </w:rPr>
        <w:t>as reflected on Line 6, Schedule E1-D (Exhibit CAM-3, Part 2, Page 1 of 1).</w:t>
      </w:r>
    </w:p>
    <w:p w:rsidR="008E7827" w:rsidRDefault="008E7827" w:rsidP="00787261">
      <w:pPr>
        <w:tabs>
          <w:tab w:val="left" w:pos="8571"/>
        </w:tabs>
        <w:autoSpaceDE w:val="0"/>
        <w:autoSpaceDN w:val="0"/>
        <w:adjustRightInd w:val="0"/>
        <w:ind w:left="1440" w:hanging="1440"/>
        <w:jc w:val="both"/>
      </w:pPr>
      <w:r>
        <w:tab/>
      </w:r>
      <w:r>
        <w:tab/>
      </w:r>
    </w:p>
    <w:p w:rsidR="00787261" w:rsidRDefault="00787261" w:rsidP="00787261">
      <w:pPr>
        <w:tabs>
          <w:tab w:val="left" w:pos="8571"/>
        </w:tabs>
        <w:autoSpaceDE w:val="0"/>
        <w:autoSpaceDN w:val="0"/>
        <w:adjustRightInd w:val="0"/>
        <w:ind w:left="1440" w:hanging="1440"/>
        <w:jc w:val="both"/>
      </w:pPr>
      <w:r w:rsidRPr="00FD2B57">
        <w:t>FPL</w:t>
      </w:r>
      <w:r w:rsidRPr="00FD2B57">
        <w:rPr>
          <w:b/>
        </w:rPr>
        <w:t>:</w:t>
      </w:r>
      <w:r w:rsidRPr="00FD2B57">
        <w:rPr>
          <w:b/>
        </w:rPr>
        <w:tab/>
      </w:r>
      <w:r w:rsidRPr="00FD2B57">
        <w:t xml:space="preserve">The appropriate </w:t>
      </w:r>
      <w:r>
        <w:t xml:space="preserve">levelized </w:t>
      </w:r>
      <w:r w:rsidRPr="00FD2B57">
        <w:t>factor</w:t>
      </w:r>
      <w:r>
        <w:t>s are as follows:</w:t>
      </w:r>
    </w:p>
    <w:p w:rsidR="00787261" w:rsidRDefault="00787261" w:rsidP="00787261">
      <w:pPr>
        <w:pStyle w:val="ListParagraph"/>
        <w:numPr>
          <w:ilvl w:val="0"/>
          <w:numId w:val="20"/>
        </w:numPr>
        <w:tabs>
          <w:tab w:val="left" w:pos="8571"/>
        </w:tabs>
        <w:autoSpaceDE w:val="0"/>
        <w:autoSpaceDN w:val="0"/>
        <w:adjustRightInd w:val="0"/>
        <w:jc w:val="both"/>
      </w:pPr>
      <w:r>
        <w:t>2.735</w:t>
      </w:r>
      <w:r w:rsidRPr="00FD2B57">
        <w:t xml:space="preserve"> cents per kWh (adju</w:t>
      </w:r>
      <w:r>
        <w:t>sted for jurisdictional losses and revenue taxes), for the period January 1, 2019 through the day prior to the in-service date of the 2019 SoBRA (projected to be February 28, 2019), as reflected on Line 37 of Schedule E1 (Appendix II – 2019 FCR Projections Schedule, Exhibit RBD-5, Page 1 of 91).</w:t>
      </w:r>
    </w:p>
    <w:p w:rsidR="00787261" w:rsidRDefault="00787261" w:rsidP="00787261">
      <w:pPr>
        <w:pStyle w:val="ListParagraph"/>
        <w:numPr>
          <w:ilvl w:val="0"/>
          <w:numId w:val="20"/>
        </w:numPr>
        <w:tabs>
          <w:tab w:val="left" w:pos="8571"/>
        </w:tabs>
        <w:autoSpaceDE w:val="0"/>
        <w:autoSpaceDN w:val="0"/>
        <w:adjustRightInd w:val="0"/>
        <w:jc w:val="both"/>
      </w:pPr>
      <w:r>
        <w:t>2.712</w:t>
      </w:r>
      <w:r w:rsidRPr="00FD2B57">
        <w:t xml:space="preserve"> cents per kWh (adju</w:t>
      </w:r>
      <w:r>
        <w:t>sted for jurisdictional losses and revenue taxes), for the period March 1, 2019 through the day prior to the in-service date of the Okeechobee Clean Energy Center (projected to be May 31, 2019), as reflected on Line 38 of Schedule E1 (Appendix III – 2019 FCR Projections Schedule, Exhibit RBD-6, Page 1 of 7).</w:t>
      </w:r>
    </w:p>
    <w:p w:rsidR="00787261" w:rsidRDefault="00787261" w:rsidP="00787261">
      <w:pPr>
        <w:pStyle w:val="ListParagraph"/>
        <w:numPr>
          <w:ilvl w:val="0"/>
          <w:numId w:val="20"/>
        </w:numPr>
        <w:tabs>
          <w:tab w:val="left" w:pos="8571"/>
        </w:tabs>
        <w:autoSpaceDE w:val="0"/>
        <w:autoSpaceDN w:val="0"/>
        <w:adjustRightInd w:val="0"/>
        <w:jc w:val="both"/>
      </w:pPr>
      <w:r>
        <w:t>2.551</w:t>
      </w:r>
      <w:r w:rsidRPr="00FD2B57">
        <w:t xml:space="preserve"> cents per kWh (adju</w:t>
      </w:r>
      <w:r>
        <w:t>sted for jurisdictional losses and revenue taxes), for the period June 1, 2019 through December, 31, 2019,</w:t>
      </w:r>
      <w:r w:rsidRPr="00FD2B57">
        <w:t xml:space="preserve"> </w:t>
      </w:r>
      <w:r>
        <w:t>as reflected on Line 39 of Schedule E1 (Appendix IV – 2019 FCR Projections Schedule, Exhibit RBD-7, Page 1 of 7).</w:t>
      </w:r>
    </w:p>
    <w:p w:rsidR="00787261" w:rsidRDefault="00787261" w:rsidP="00787261">
      <w:pPr>
        <w:pStyle w:val="ListParagraph"/>
        <w:tabs>
          <w:tab w:val="left" w:pos="8571"/>
        </w:tabs>
        <w:autoSpaceDE w:val="0"/>
        <w:autoSpaceDN w:val="0"/>
        <w:adjustRightInd w:val="0"/>
        <w:ind w:left="1800"/>
        <w:jc w:val="both"/>
      </w:pPr>
    </w:p>
    <w:p w:rsidR="00787261" w:rsidRDefault="00787261" w:rsidP="00787261">
      <w:pPr>
        <w:tabs>
          <w:tab w:val="left" w:pos="8571"/>
        </w:tabs>
        <w:autoSpaceDE w:val="0"/>
        <w:autoSpaceDN w:val="0"/>
        <w:adjustRightInd w:val="0"/>
        <w:ind w:left="1440" w:hanging="1440"/>
        <w:jc w:val="both"/>
      </w:pPr>
      <w:r>
        <w:t xml:space="preserve"> </w:t>
      </w:r>
      <w:r w:rsidRPr="00FD2B57">
        <w:t xml:space="preserve"> FPUC</w:t>
      </w:r>
      <w:r w:rsidRPr="00FD2B57">
        <w:rPr>
          <w:b/>
        </w:rPr>
        <w:t>:</w:t>
      </w:r>
      <w:r w:rsidRPr="00FD2B57">
        <w:rPr>
          <w:b/>
        </w:rPr>
        <w:tab/>
      </w:r>
      <w:r>
        <w:t xml:space="preserve">On October 18, 2018, FPUC and OPC jointly proposed a stipulation to resolve all issues in Docket No. 20180048-EI. If approved, that proposal that impacts this issue. </w:t>
      </w:r>
    </w:p>
    <w:p w:rsidR="00787261" w:rsidRDefault="00787261" w:rsidP="00787261">
      <w:pPr>
        <w:tabs>
          <w:tab w:val="left" w:pos="8571"/>
        </w:tabs>
        <w:autoSpaceDE w:val="0"/>
        <w:autoSpaceDN w:val="0"/>
        <w:adjustRightInd w:val="0"/>
        <w:ind w:left="1440" w:hanging="1440"/>
        <w:jc w:val="both"/>
      </w:pPr>
    </w:p>
    <w:p w:rsidR="00787261" w:rsidRPr="00FD2B57" w:rsidRDefault="00787261" w:rsidP="00787261">
      <w:pPr>
        <w:ind w:left="1440" w:hanging="1440"/>
        <w:jc w:val="both"/>
      </w:pPr>
      <w:r>
        <w:tab/>
        <w:t>If that stipulation is approved, the appropriate</w:t>
      </w:r>
      <w:r w:rsidRPr="00FD2B57">
        <w:t xml:space="preserve"> </w:t>
      </w:r>
      <w:r>
        <w:t>le</w:t>
      </w:r>
      <w:r w:rsidRPr="009B29FF">
        <w:t xml:space="preserve">velized factor is </w:t>
      </w:r>
      <w:r>
        <w:t>6.212</w:t>
      </w:r>
      <w:r w:rsidRPr="009B29FF">
        <w:t xml:space="preserve"> cents per kWh, as reflected </w:t>
      </w:r>
      <w:r>
        <w:t xml:space="preserve">on Line 43, </w:t>
      </w:r>
      <w:r w:rsidRPr="0054382C">
        <w:t>Alternate</w:t>
      </w:r>
      <w:r>
        <w:t xml:space="preserve"> Schedule E1 (</w:t>
      </w:r>
      <w:r w:rsidRPr="0054382C">
        <w:t>Alternate</w:t>
      </w:r>
      <w:r>
        <w:t xml:space="preserve"> Exhibit MC-2, </w:t>
      </w:r>
      <w:r w:rsidRPr="009B29FF">
        <w:t xml:space="preserve">Page 2 of 8). </w:t>
      </w:r>
    </w:p>
    <w:p w:rsidR="00787261" w:rsidRPr="004A4C2A" w:rsidRDefault="00787261" w:rsidP="00787261">
      <w:pPr>
        <w:tabs>
          <w:tab w:val="left" w:pos="8571"/>
        </w:tabs>
        <w:autoSpaceDE w:val="0"/>
        <w:autoSpaceDN w:val="0"/>
        <w:adjustRightInd w:val="0"/>
        <w:jc w:val="both"/>
        <w:rPr>
          <w:b/>
          <w:highlight w:val="yellow"/>
        </w:rPr>
      </w:pPr>
    </w:p>
    <w:p w:rsidR="00787261" w:rsidRDefault="00787261" w:rsidP="00787261">
      <w:pPr>
        <w:tabs>
          <w:tab w:val="left" w:pos="8571"/>
        </w:tabs>
        <w:autoSpaceDE w:val="0"/>
        <w:autoSpaceDN w:val="0"/>
        <w:adjustRightInd w:val="0"/>
        <w:ind w:left="1440" w:hanging="1440"/>
        <w:jc w:val="both"/>
      </w:pPr>
      <w:r>
        <w:tab/>
        <w:t>If that stipulation is not approved, the appropriate</w:t>
      </w:r>
      <w:r w:rsidRPr="00FD2B57">
        <w:t xml:space="preserve"> </w:t>
      </w:r>
      <w:r>
        <w:t>le</w:t>
      </w:r>
      <w:r w:rsidRPr="009B29FF">
        <w:t xml:space="preserve">velized factor is 6.433 cents per kWh, as reflected </w:t>
      </w:r>
      <w:r>
        <w:t xml:space="preserve">on Line 43, Schedule E1 (Exhibit MC-2, </w:t>
      </w:r>
      <w:r w:rsidRPr="009B29FF">
        <w:t>Page 2 of 8).</w:t>
      </w:r>
    </w:p>
    <w:p w:rsidR="00787261" w:rsidRPr="004A4C2A" w:rsidRDefault="00787261" w:rsidP="00787261">
      <w:pPr>
        <w:tabs>
          <w:tab w:val="left" w:pos="8571"/>
        </w:tabs>
        <w:autoSpaceDE w:val="0"/>
        <w:autoSpaceDN w:val="0"/>
        <w:adjustRightInd w:val="0"/>
        <w:jc w:val="both"/>
        <w:rPr>
          <w:b/>
          <w:highlight w:val="yellow"/>
        </w:rPr>
      </w:pPr>
    </w:p>
    <w:p w:rsidR="00787261" w:rsidRPr="00D45ADB" w:rsidRDefault="00787261" w:rsidP="00787261">
      <w:pPr>
        <w:tabs>
          <w:tab w:val="left" w:pos="8571"/>
        </w:tabs>
        <w:autoSpaceDE w:val="0"/>
        <w:autoSpaceDN w:val="0"/>
        <w:adjustRightInd w:val="0"/>
        <w:ind w:left="1440" w:hanging="1440"/>
        <w:jc w:val="both"/>
      </w:pPr>
      <w:r w:rsidRPr="00FD2B57">
        <w:t>GULF</w:t>
      </w:r>
      <w:r w:rsidRPr="00FD2B57">
        <w:rPr>
          <w:b/>
        </w:rPr>
        <w:t>:</w:t>
      </w:r>
      <w:r w:rsidRPr="00FD2B57">
        <w:rPr>
          <w:b/>
        </w:rPr>
        <w:tab/>
      </w:r>
      <w:r w:rsidRPr="00FD2B57">
        <w:t xml:space="preserve">The appropriate </w:t>
      </w:r>
      <w:r>
        <w:t xml:space="preserve">levelized </w:t>
      </w:r>
      <w:r w:rsidRPr="00FD2B57">
        <w:t>factor</w:t>
      </w:r>
      <w:r w:rsidRPr="00D7779E">
        <w:t xml:space="preserve"> is 3.030 cents/kWh., as reflected on Line 31</w:t>
      </w:r>
      <w:r>
        <w:t>, Schedule E-1 (</w:t>
      </w:r>
      <w:r w:rsidRPr="00D7779E">
        <w:t>Exhibit CSB-5</w:t>
      </w:r>
      <w:r>
        <w:t>, 2019 Projection Filing, Page 1 of 41)</w:t>
      </w:r>
      <w:r w:rsidRPr="00937E60">
        <w:t>.</w:t>
      </w:r>
    </w:p>
    <w:p w:rsidR="00787261" w:rsidRPr="007004EA" w:rsidRDefault="00787261" w:rsidP="00787261">
      <w:pPr>
        <w:ind w:left="1440" w:hanging="1440"/>
        <w:jc w:val="both"/>
      </w:pPr>
      <w:r>
        <w:t xml:space="preserve"> </w:t>
      </w:r>
    </w:p>
    <w:p w:rsidR="00787261" w:rsidRPr="009F5C6B" w:rsidRDefault="00787261" w:rsidP="00787261">
      <w:pPr>
        <w:tabs>
          <w:tab w:val="left" w:pos="8571"/>
        </w:tabs>
        <w:autoSpaceDE w:val="0"/>
        <w:autoSpaceDN w:val="0"/>
        <w:adjustRightInd w:val="0"/>
        <w:ind w:left="1440" w:hanging="1440"/>
        <w:jc w:val="both"/>
      </w:pPr>
      <w:r w:rsidRPr="000F1A10">
        <w:t>TECO</w:t>
      </w:r>
      <w:r w:rsidRPr="000F1A10">
        <w:rPr>
          <w:b/>
        </w:rPr>
        <w:t>:</w:t>
      </w:r>
      <w:r w:rsidRPr="000F1A10">
        <w:rPr>
          <w:b/>
        </w:rPr>
        <w:tab/>
      </w:r>
      <w:r w:rsidRPr="007004EA">
        <w:t xml:space="preserve">The appropriate factor is </w:t>
      </w:r>
      <w:r>
        <w:t>2.715</w:t>
      </w:r>
      <w:r w:rsidRPr="007004EA">
        <w:t xml:space="preserve"> cents per kWh before any application of time of use multipliers for on-peak or off-peak usage, </w:t>
      </w:r>
      <w:r>
        <w:t>as reflected on Line 34, Schedule E1 (Exhibit PAR-3, Document No. 2, Page 2 of 30).</w:t>
      </w:r>
    </w:p>
    <w:p w:rsidR="00787261" w:rsidRDefault="00787261" w:rsidP="00787261">
      <w:pPr>
        <w:tabs>
          <w:tab w:val="left" w:pos="8571"/>
        </w:tabs>
        <w:autoSpaceDE w:val="0"/>
        <w:autoSpaceDN w:val="0"/>
        <w:adjustRightInd w:val="0"/>
        <w:ind w:left="1440" w:hanging="1440"/>
        <w:jc w:val="both"/>
        <w:rPr>
          <w:b/>
          <w:u w:val="single"/>
        </w:rPr>
      </w:pPr>
    </w:p>
    <w:p w:rsidR="00787261" w:rsidRPr="00E206B0" w:rsidRDefault="00787261" w:rsidP="00787261">
      <w:pPr>
        <w:autoSpaceDE w:val="0"/>
        <w:autoSpaceDN w:val="0"/>
        <w:adjustRightInd w:val="0"/>
        <w:jc w:val="both"/>
        <w:rPr>
          <w:bCs/>
        </w:rPr>
      </w:pPr>
    </w:p>
    <w:p w:rsidR="00787261" w:rsidRDefault="00787261" w:rsidP="00787261">
      <w:pPr>
        <w:autoSpaceDE w:val="0"/>
        <w:autoSpaceDN w:val="0"/>
        <w:adjustRightInd w:val="0"/>
        <w:ind w:left="1440" w:hanging="1440"/>
        <w:jc w:val="both"/>
      </w:pPr>
      <w:r>
        <w:rPr>
          <w:b/>
          <w:bCs/>
          <w:u w:val="single"/>
        </w:rPr>
        <w:t>ISSUE 21</w:t>
      </w:r>
      <w:r>
        <w:t>:</w:t>
      </w:r>
      <w:r>
        <w:tab/>
      </w:r>
      <w:r w:rsidRPr="007C6834">
        <w:rPr>
          <w:b/>
        </w:rPr>
        <w:t xml:space="preserve">What are the appropriate fuel recovery line loss multipliers to be used in calculating the fuel cost recovery factors charged to each rate class/delivery voltage level class?  </w:t>
      </w:r>
      <w:r>
        <w:t xml:space="preserve">                                                                                   </w:t>
      </w:r>
    </w:p>
    <w:p w:rsidR="00787261" w:rsidRDefault="00787261" w:rsidP="00787261">
      <w:pPr>
        <w:autoSpaceDE w:val="0"/>
        <w:autoSpaceDN w:val="0"/>
        <w:adjustRightInd w:val="0"/>
        <w:jc w:val="both"/>
        <w:rPr>
          <w:b/>
          <w:bCs/>
          <w:u w:val="single"/>
        </w:rPr>
      </w:pPr>
    </w:p>
    <w:p w:rsidR="007C6834" w:rsidRDefault="007C6834">
      <w:pPr>
        <w:rPr>
          <w:b/>
        </w:rPr>
      </w:pPr>
      <w:r>
        <w:rPr>
          <w:b/>
        </w:rPr>
        <w:br w:type="page"/>
      </w:r>
    </w:p>
    <w:p w:rsidR="00787261" w:rsidRDefault="00787261" w:rsidP="00787261">
      <w:pPr>
        <w:tabs>
          <w:tab w:val="left" w:pos="8571"/>
        </w:tabs>
        <w:autoSpaceDE w:val="0"/>
        <w:autoSpaceDN w:val="0"/>
        <w:adjustRightInd w:val="0"/>
        <w:ind w:left="1440" w:hanging="1440"/>
        <w:jc w:val="both"/>
        <w:rPr>
          <w:b/>
        </w:rPr>
      </w:pPr>
      <w:r>
        <w:rPr>
          <w:b/>
        </w:rPr>
        <w:lastRenderedPageBreak/>
        <w:t xml:space="preserve">STIPULATION:  </w:t>
      </w:r>
    </w:p>
    <w:p w:rsidR="00787261" w:rsidRDefault="00787261" w:rsidP="00787261">
      <w:pPr>
        <w:tabs>
          <w:tab w:val="left" w:pos="8571"/>
        </w:tabs>
        <w:autoSpaceDE w:val="0"/>
        <w:autoSpaceDN w:val="0"/>
        <w:adjustRightInd w:val="0"/>
        <w:ind w:left="1440" w:hanging="1440"/>
        <w:jc w:val="both"/>
        <w:rPr>
          <w:b/>
        </w:rPr>
      </w:pPr>
    </w:p>
    <w:p w:rsidR="00787261" w:rsidRDefault="00787261" w:rsidP="00787261">
      <w:pPr>
        <w:tabs>
          <w:tab w:val="left" w:pos="8571"/>
        </w:tabs>
        <w:autoSpaceDE w:val="0"/>
        <w:autoSpaceDN w:val="0"/>
        <w:adjustRightInd w:val="0"/>
        <w:ind w:left="1440" w:hanging="1440"/>
        <w:jc w:val="both"/>
        <w:rPr>
          <w:b/>
        </w:rPr>
      </w:pPr>
      <w:r>
        <w:rPr>
          <w:b/>
        </w:rPr>
        <w:tab/>
      </w:r>
      <w:r>
        <w:t>The appropriate fuel recovery line loss multipliers to be used in calculating the fuel cost recovery factors charged to each rate class/delivery voltage level class are shown below:</w:t>
      </w:r>
    </w:p>
    <w:p w:rsidR="008E7827" w:rsidRDefault="008E7827"/>
    <w:p w:rsidR="00787261" w:rsidRDefault="00787261" w:rsidP="00787261">
      <w:pPr>
        <w:keepNext/>
        <w:keepLines/>
        <w:jc w:val="both"/>
        <w:rPr>
          <w:b/>
        </w:rPr>
      </w:pPr>
      <w:r w:rsidRPr="008A0D60">
        <w:t>DEF</w:t>
      </w:r>
      <w:r>
        <w:rPr>
          <w:b/>
        </w:rPr>
        <w:t>:</w:t>
      </w:r>
      <w:r>
        <w:rPr>
          <w:b/>
        </w:rPr>
        <w:tab/>
      </w:r>
      <w:r>
        <w:rPr>
          <w:b/>
        </w:rPr>
        <w:tab/>
      </w:r>
      <w:r>
        <w:t>See Table 21-1 below</w:t>
      </w:r>
      <w:r>
        <w:rPr>
          <w:b/>
        </w:rPr>
        <w:t>:</w:t>
      </w:r>
    </w:p>
    <w:p w:rsidR="00787261" w:rsidRDefault="00787261" w:rsidP="00787261">
      <w:pPr>
        <w:keepNext/>
        <w:keepLines/>
        <w:jc w:val="both"/>
        <w:rPr>
          <w:b/>
        </w:rPr>
      </w:pPr>
    </w:p>
    <w:p w:rsidR="00787261" w:rsidRDefault="00787261" w:rsidP="00787261">
      <w:pPr>
        <w:ind w:left="1440" w:hanging="1440"/>
        <w:jc w:val="center"/>
        <w:rPr>
          <w:rFonts w:ascii="Arial" w:hAnsi="Arial" w:cs="Arial"/>
          <w:b/>
        </w:rPr>
      </w:pPr>
      <w:r>
        <w:rPr>
          <w:rFonts w:ascii="Arial" w:hAnsi="Arial" w:cs="Arial"/>
          <w:b/>
        </w:rPr>
        <w:t xml:space="preserve">               Table 21-1</w:t>
      </w:r>
    </w:p>
    <w:p w:rsidR="00787261" w:rsidRDefault="00787261" w:rsidP="00787261">
      <w:pPr>
        <w:keepNext/>
        <w:keepLines/>
        <w:jc w:val="center"/>
        <w:rPr>
          <w:rFonts w:ascii="Arial" w:hAnsi="Arial" w:cs="Arial"/>
          <w:b/>
        </w:rPr>
      </w:pPr>
      <w:r>
        <w:rPr>
          <w:rFonts w:ascii="Arial" w:hAnsi="Arial" w:cs="Arial"/>
          <w:b/>
        </w:rPr>
        <w:t xml:space="preserve">                         DEF Fuel Recovery Line Loss Multipliers</w:t>
      </w:r>
    </w:p>
    <w:p w:rsidR="00787261" w:rsidRDefault="00787261" w:rsidP="00787261">
      <w:pPr>
        <w:keepNext/>
        <w:keepLines/>
        <w:jc w:val="center"/>
      </w:pPr>
      <w:r>
        <w:rPr>
          <w:rFonts w:ascii="Arial" w:hAnsi="Arial" w:cs="Arial"/>
          <w:b/>
        </w:rPr>
        <w:t xml:space="preserve">                        for the period January-December, 2019</w:t>
      </w:r>
    </w:p>
    <w:tbl>
      <w:tblPr>
        <w:tblStyle w:val="TableGrid"/>
        <w:tblW w:w="0" w:type="auto"/>
        <w:tblInd w:w="1548" w:type="dxa"/>
        <w:tblLook w:val="04A0" w:firstRow="1" w:lastRow="0" w:firstColumn="1" w:lastColumn="0" w:noHBand="0" w:noVBand="1"/>
      </w:tblPr>
      <w:tblGrid>
        <w:gridCol w:w="1980"/>
        <w:gridCol w:w="3207"/>
        <w:gridCol w:w="2841"/>
      </w:tblGrid>
      <w:tr w:rsidR="00787261" w:rsidTr="00787261">
        <w:tc>
          <w:tcPr>
            <w:tcW w:w="1980" w:type="dxa"/>
            <w:tcBorders>
              <w:top w:val="single" w:sz="4" w:space="0" w:color="auto"/>
              <w:left w:val="single" w:sz="4" w:space="0" w:color="auto"/>
              <w:bottom w:val="single" w:sz="4" w:space="0" w:color="auto"/>
              <w:right w:val="single" w:sz="4" w:space="0" w:color="auto"/>
            </w:tcBorders>
            <w:hideMark/>
          </w:tcPr>
          <w:p w:rsidR="00787261" w:rsidRDefault="00787261" w:rsidP="00787261">
            <w:pPr>
              <w:jc w:val="center"/>
            </w:pPr>
            <w:r>
              <w:t>Group</w:t>
            </w:r>
          </w:p>
        </w:tc>
        <w:tc>
          <w:tcPr>
            <w:tcW w:w="3207" w:type="dxa"/>
            <w:tcBorders>
              <w:top w:val="single" w:sz="4" w:space="0" w:color="auto"/>
              <w:left w:val="single" w:sz="4" w:space="0" w:color="auto"/>
              <w:bottom w:val="single" w:sz="4" w:space="0" w:color="auto"/>
              <w:right w:val="single" w:sz="4" w:space="0" w:color="auto"/>
            </w:tcBorders>
          </w:tcPr>
          <w:p w:rsidR="00787261" w:rsidRDefault="00787261" w:rsidP="00787261">
            <w:pPr>
              <w:jc w:val="center"/>
            </w:pPr>
            <w:r>
              <w:t>Delivery Voltage Level</w:t>
            </w:r>
          </w:p>
        </w:tc>
        <w:tc>
          <w:tcPr>
            <w:tcW w:w="2841" w:type="dxa"/>
            <w:tcBorders>
              <w:top w:val="single" w:sz="4" w:space="0" w:color="auto"/>
              <w:left w:val="single" w:sz="4" w:space="0" w:color="auto"/>
              <w:bottom w:val="single" w:sz="4" w:space="0" w:color="auto"/>
              <w:right w:val="single" w:sz="4" w:space="0" w:color="auto"/>
            </w:tcBorders>
            <w:hideMark/>
          </w:tcPr>
          <w:p w:rsidR="00787261" w:rsidRDefault="00787261" w:rsidP="00787261">
            <w:pPr>
              <w:jc w:val="center"/>
            </w:pPr>
            <w:r>
              <w:t>Line Loss Multiplier</w:t>
            </w:r>
          </w:p>
        </w:tc>
      </w:tr>
      <w:tr w:rsidR="00787261" w:rsidTr="00787261">
        <w:tc>
          <w:tcPr>
            <w:tcW w:w="1980" w:type="dxa"/>
            <w:tcBorders>
              <w:top w:val="single" w:sz="4" w:space="0" w:color="auto"/>
              <w:left w:val="single" w:sz="4" w:space="0" w:color="auto"/>
              <w:bottom w:val="single" w:sz="4" w:space="0" w:color="auto"/>
              <w:right w:val="single" w:sz="4" w:space="0" w:color="auto"/>
            </w:tcBorders>
            <w:hideMark/>
          </w:tcPr>
          <w:p w:rsidR="00787261" w:rsidRDefault="00787261" w:rsidP="00787261">
            <w:pPr>
              <w:jc w:val="center"/>
            </w:pPr>
            <w:r>
              <w:t>A</w:t>
            </w:r>
          </w:p>
        </w:tc>
        <w:tc>
          <w:tcPr>
            <w:tcW w:w="3207" w:type="dxa"/>
            <w:tcBorders>
              <w:top w:val="single" w:sz="4" w:space="0" w:color="auto"/>
              <w:left w:val="single" w:sz="4" w:space="0" w:color="auto"/>
              <w:bottom w:val="single" w:sz="4" w:space="0" w:color="auto"/>
              <w:right w:val="single" w:sz="4" w:space="0" w:color="auto"/>
            </w:tcBorders>
          </w:tcPr>
          <w:p w:rsidR="00787261" w:rsidRPr="009D34A4" w:rsidRDefault="00787261" w:rsidP="00787261">
            <w:pPr>
              <w:jc w:val="center"/>
            </w:pPr>
            <w:r>
              <w:t>Transmission</w:t>
            </w:r>
          </w:p>
        </w:tc>
        <w:tc>
          <w:tcPr>
            <w:tcW w:w="2841" w:type="dxa"/>
            <w:tcBorders>
              <w:top w:val="single" w:sz="4" w:space="0" w:color="auto"/>
              <w:left w:val="single" w:sz="4" w:space="0" w:color="auto"/>
              <w:bottom w:val="single" w:sz="4" w:space="0" w:color="auto"/>
              <w:right w:val="single" w:sz="4" w:space="0" w:color="auto"/>
            </w:tcBorders>
            <w:hideMark/>
          </w:tcPr>
          <w:p w:rsidR="00787261" w:rsidRPr="009D34A4" w:rsidRDefault="00787261" w:rsidP="00787261">
            <w:pPr>
              <w:jc w:val="center"/>
            </w:pPr>
            <w:r>
              <w:t>0.98</w:t>
            </w:r>
          </w:p>
        </w:tc>
      </w:tr>
      <w:tr w:rsidR="00787261" w:rsidTr="00787261">
        <w:tc>
          <w:tcPr>
            <w:tcW w:w="1980" w:type="dxa"/>
            <w:tcBorders>
              <w:top w:val="single" w:sz="4" w:space="0" w:color="auto"/>
              <w:left w:val="single" w:sz="4" w:space="0" w:color="auto"/>
              <w:bottom w:val="single" w:sz="4" w:space="0" w:color="auto"/>
              <w:right w:val="single" w:sz="4" w:space="0" w:color="auto"/>
            </w:tcBorders>
          </w:tcPr>
          <w:p w:rsidR="00787261" w:rsidRDefault="00787261" w:rsidP="00787261">
            <w:pPr>
              <w:jc w:val="center"/>
            </w:pPr>
            <w:r>
              <w:t>B</w:t>
            </w:r>
          </w:p>
        </w:tc>
        <w:tc>
          <w:tcPr>
            <w:tcW w:w="3207" w:type="dxa"/>
            <w:tcBorders>
              <w:top w:val="single" w:sz="4" w:space="0" w:color="auto"/>
              <w:left w:val="single" w:sz="4" w:space="0" w:color="auto"/>
              <w:bottom w:val="single" w:sz="4" w:space="0" w:color="auto"/>
              <w:right w:val="single" w:sz="4" w:space="0" w:color="auto"/>
            </w:tcBorders>
          </w:tcPr>
          <w:p w:rsidR="00787261" w:rsidRPr="009D34A4" w:rsidRDefault="00787261" w:rsidP="00787261">
            <w:pPr>
              <w:jc w:val="center"/>
            </w:pPr>
            <w:r>
              <w:t>Distribution Primary</w:t>
            </w:r>
          </w:p>
        </w:tc>
        <w:tc>
          <w:tcPr>
            <w:tcW w:w="2841" w:type="dxa"/>
            <w:tcBorders>
              <w:top w:val="single" w:sz="4" w:space="0" w:color="auto"/>
              <w:left w:val="single" w:sz="4" w:space="0" w:color="auto"/>
              <w:bottom w:val="single" w:sz="4" w:space="0" w:color="auto"/>
              <w:right w:val="single" w:sz="4" w:space="0" w:color="auto"/>
            </w:tcBorders>
          </w:tcPr>
          <w:p w:rsidR="00787261" w:rsidRPr="009D34A4" w:rsidRDefault="00787261" w:rsidP="00787261">
            <w:pPr>
              <w:jc w:val="center"/>
            </w:pPr>
            <w:r>
              <w:t>0.99</w:t>
            </w:r>
          </w:p>
        </w:tc>
      </w:tr>
      <w:tr w:rsidR="00787261" w:rsidTr="00787261">
        <w:tc>
          <w:tcPr>
            <w:tcW w:w="1980" w:type="dxa"/>
            <w:tcBorders>
              <w:top w:val="single" w:sz="4" w:space="0" w:color="auto"/>
              <w:left w:val="single" w:sz="4" w:space="0" w:color="auto"/>
              <w:bottom w:val="single" w:sz="4" w:space="0" w:color="auto"/>
              <w:right w:val="single" w:sz="4" w:space="0" w:color="auto"/>
            </w:tcBorders>
          </w:tcPr>
          <w:p w:rsidR="00787261" w:rsidRDefault="00787261" w:rsidP="00787261">
            <w:pPr>
              <w:jc w:val="center"/>
            </w:pPr>
            <w:r>
              <w:t>C</w:t>
            </w:r>
          </w:p>
        </w:tc>
        <w:tc>
          <w:tcPr>
            <w:tcW w:w="3207" w:type="dxa"/>
            <w:tcBorders>
              <w:top w:val="single" w:sz="4" w:space="0" w:color="auto"/>
              <w:left w:val="single" w:sz="4" w:space="0" w:color="auto"/>
              <w:bottom w:val="single" w:sz="4" w:space="0" w:color="auto"/>
              <w:right w:val="single" w:sz="4" w:space="0" w:color="auto"/>
            </w:tcBorders>
          </w:tcPr>
          <w:p w:rsidR="00787261" w:rsidRPr="009D34A4" w:rsidRDefault="00787261" w:rsidP="00787261">
            <w:pPr>
              <w:jc w:val="center"/>
            </w:pPr>
            <w:r>
              <w:t>Distribution Secondary</w:t>
            </w:r>
          </w:p>
        </w:tc>
        <w:tc>
          <w:tcPr>
            <w:tcW w:w="2841" w:type="dxa"/>
            <w:tcBorders>
              <w:top w:val="single" w:sz="4" w:space="0" w:color="auto"/>
              <w:left w:val="single" w:sz="4" w:space="0" w:color="auto"/>
              <w:bottom w:val="single" w:sz="4" w:space="0" w:color="auto"/>
              <w:right w:val="single" w:sz="4" w:space="0" w:color="auto"/>
            </w:tcBorders>
          </w:tcPr>
          <w:p w:rsidR="00787261" w:rsidRPr="009D34A4" w:rsidRDefault="00787261" w:rsidP="00787261">
            <w:pPr>
              <w:jc w:val="center"/>
            </w:pPr>
            <w:r>
              <w:t>1.00</w:t>
            </w:r>
          </w:p>
        </w:tc>
      </w:tr>
      <w:tr w:rsidR="00787261" w:rsidTr="00787261">
        <w:tc>
          <w:tcPr>
            <w:tcW w:w="1980" w:type="dxa"/>
            <w:tcBorders>
              <w:top w:val="single" w:sz="4" w:space="0" w:color="auto"/>
              <w:left w:val="single" w:sz="4" w:space="0" w:color="auto"/>
              <w:bottom w:val="single" w:sz="4" w:space="0" w:color="auto"/>
              <w:right w:val="single" w:sz="4" w:space="0" w:color="auto"/>
            </w:tcBorders>
            <w:hideMark/>
          </w:tcPr>
          <w:p w:rsidR="00787261" w:rsidRDefault="00787261" w:rsidP="00787261">
            <w:pPr>
              <w:jc w:val="center"/>
            </w:pPr>
            <w:r>
              <w:t>D</w:t>
            </w:r>
          </w:p>
        </w:tc>
        <w:tc>
          <w:tcPr>
            <w:tcW w:w="3207" w:type="dxa"/>
            <w:tcBorders>
              <w:top w:val="single" w:sz="4" w:space="0" w:color="auto"/>
              <w:left w:val="single" w:sz="4" w:space="0" w:color="auto"/>
              <w:bottom w:val="single" w:sz="4" w:space="0" w:color="auto"/>
              <w:right w:val="single" w:sz="4" w:space="0" w:color="auto"/>
            </w:tcBorders>
          </w:tcPr>
          <w:p w:rsidR="00787261" w:rsidRPr="009D34A4" w:rsidRDefault="00787261" w:rsidP="00787261">
            <w:pPr>
              <w:jc w:val="center"/>
            </w:pPr>
            <w:r>
              <w:t>Lighting Service</w:t>
            </w:r>
          </w:p>
        </w:tc>
        <w:tc>
          <w:tcPr>
            <w:tcW w:w="2841" w:type="dxa"/>
            <w:tcBorders>
              <w:top w:val="single" w:sz="4" w:space="0" w:color="auto"/>
              <w:left w:val="single" w:sz="4" w:space="0" w:color="auto"/>
              <w:bottom w:val="single" w:sz="4" w:space="0" w:color="auto"/>
              <w:right w:val="single" w:sz="4" w:space="0" w:color="auto"/>
            </w:tcBorders>
            <w:hideMark/>
          </w:tcPr>
          <w:p w:rsidR="00787261" w:rsidRPr="009D34A4" w:rsidRDefault="00787261" w:rsidP="00787261">
            <w:pPr>
              <w:jc w:val="center"/>
            </w:pPr>
            <w:r>
              <w:t>1.00</w:t>
            </w:r>
          </w:p>
        </w:tc>
      </w:tr>
    </w:tbl>
    <w:p w:rsidR="00787261" w:rsidRDefault="00787261" w:rsidP="00787261">
      <w:pPr>
        <w:autoSpaceDE w:val="0"/>
        <w:autoSpaceDN w:val="0"/>
        <w:adjustRightInd w:val="0"/>
        <w:ind w:left="1440"/>
        <w:jc w:val="both"/>
        <w:rPr>
          <w:bCs/>
        </w:rPr>
      </w:pPr>
      <w:r>
        <w:rPr>
          <w:sz w:val="22"/>
          <w:szCs w:val="22"/>
        </w:rPr>
        <w:t xml:space="preserve">    Source: Menendez Testimony, dated August 24, 2018 (Pages 2-3).</w:t>
      </w:r>
    </w:p>
    <w:p w:rsidR="00787261" w:rsidRDefault="00787261" w:rsidP="00787261">
      <w:pPr>
        <w:jc w:val="both"/>
        <w:rPr>
          <w:highlight w:val="yellow"/>
        </w:rPr>
      </w:pPr>
    </w:p>
    <w:p w:rsidR="00787261" w:rsidRDefault="00787261" w:rsidP="00787261">
      <w:pPr>
        <w:ind w:left="1440" w:hanging="1440"/>
        <w:jc w:val="both"/>
      </w:pPr>
      <w:r w:rsidRPr="008A0D60">
        <w:rPr>
          <w:bCs/>
        </w:rPr>
        <w:t>FPL:</w:t>
      </w:r>
      <w:r>
        <w:tab/>
        <w:t xml:space="preserve">The appropriate fuel recovery line loss multipliers to be used in calculating the fuel cost recovery factors charged to each rate class/delivery voltage level class are provided in response to Issue No. 22.  </w:t>
      </w:r>
    </w:p>
    <w:p w:rsidR="00787261" w:rsidRDefault="00787261" w:rsidP="00787261">
      <w:pPr>
        <w:jc w:val="both"/>
        <w:rPr>
          <w:highlight w:val="yellow"/>
        </w:rPr>
      </w:pPr>
    </w:p>
    <w:p w:rsidR="007C6834" w:rsidRDefault="00787261" w:rsidP="007C6834">
      <w:pPr>
        <w:ind w:left="1440" w:hanging="1440"/>
        <w:jc w:val="both"/>
      </w:pPr>
      <w:r w:rsidRPr="008A0D60">
        <w:t>FPUC:</w:t>
      </w:r>
      <w:r>
        <w:rPr>
          <w:b/>
        </w:rPr>
        <w:tab/>
      </w:r>
      <w:r>
        <w:t>The appropriate fuel recovery line loss multiplier to be used in calculating the fuel cost recove</w:t>
      </w:r>
      <w:r w:rsidRPr="009B29FF">
        <w:t>ry factors charged to each rate class/delivery voltage level c</w:t>
      </w:r>
      <w:r>
        <w:t xml:space="preserve">lass is 1.0000, as reflected on Line 26a, Schedule E1 (Exhibit MC-2, </w:t>
      </w:r>
      <w:r w:rsidRPr="009B29FF">
        <w:t xml:space="preserve">Page 1 of 8).  </w:t>
      </w:r>
    </w:p>
    <w:p w:rsidR="007C6834" w:rsidRDefault="007C6834" w:rsidP="007C6834">
      <w:pPr>
        <w:ind w:left="1440" w:hanging="1440"/>
        <w:jc w:val="both"/>
      </w:pPr>
    </w:p>
    <w:p w:rsidR="008E7827" w:rsidRDefault="007C6834" w:rsidP="007C6834">
      <w:pPr>
        <w:ind w:left="1440" w:hanging="1440"/>
        <w:jc w:val="both"/>
      </w:pPr>
      <w:r>
        <w:t>G</w:t>
      </w:r>
      <w:r w:rsidR="00787261" w:rsidRPr="008A0D60">
        <w:t>ULF:</w:t>
      </w:r>
      <w:r w:rsidR="00787261">
        <w:rPr>
          <w:b/>
        </w:rPr>
        <w:tab/>
      </w:r>
      <w:r w:rsidR="00787261">
        <w:t xml:space="preserve">See Table 21-2 below: </w:t>
      </w:r>
    </w:p>
    <w:p w:rsidR="009570AF" w:rsidRDefault="009570AF" w:rsidP="009570AF">
      <w:pPr>
        <w:rPr>
          <w:b/>
          <w:u w:val="single"/>
        </w:rPr>
      </w:pPr>
    </w:p>
    <w:p w:rsidR="007C6834" w:rsidRPr="00952579" w:rsidRDefault="007C6834" w:rsidP="007C6834">
      <w:pPr>
        <w:keepNext/>
        <w:keepLines/>
        <w:autoSpaceDE w:val="0"/>
        <w:autoSpaceDN w:val="0"/>
        <w:adjustRightInd w:val="0"/>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21-2</w:t>
      </w:r>
    </w:p>
    <w:p w:rsidR="007C6834" w:rsidRDefault="007C6834" w:rsidP="007C6834">
      <w:pPr>
        <w:keepNext/>
        <w:keepLines/>
        <w:ind w:left="720" w:hanging="720"/>
        <w:jc w:val="center"/>
        <w:rPr>
          <w:rFonts w:ascii="Arial" w:hAnsi="Arial" w:cs="Arial"/>
          <w:b/>
        </w:rPr>
      </w:pPr>
      <w:r>
        <w:rPr>
          <w:rFonts w:ascii="Arial" w:hAnsi="Arial" w:cs="Arial"/>
          <w:b/>
        </w:rPr>
        <w:t xml:space="preserve">GULF </w:t>
      </w:r>
      <w:r w:rsidRPr="00952579">
        <w:rPr>
          <w:rFonts w:ascii="Arial" w:hAnsi="Arial" w:cs="Arial"/>
          <w:b/>
        </w:rPr>
        <w:t>Fu</w:t>
      </w:r>
      <w:r>
        <w:rPr>
          <w:rFonts w:ascii="Arial" w:hAnsi="Arial" w:cs="Arial"/>
          <w:b/>
        </w:rPr>
        <w:t>el Recovery Line Loss Multipliers</w:t>
      </w:r>
    </w:p>
    <w:p w:rsidR="007C6834" w:rsidRPr="00E210A5" w:rsidRDefault="007C6834" w:rsidP="007C6834">
      <w:pPr>
        <w:keepNext/>
        <w:keepLines/>
        <w:ind w:left="720" w:hanging="720"/>
        <w:jc w:val="center"/>
      </w:pPr>
      <w:r>
        <w:rPr>
          <w:rFonts w:ascii="Arial" w:hAnsi="Arial" w:cs="Arial"/>
          <w:b/>
        </w:rPr>
        <w:t>for the period January-December, 2019</w:t>
      </w:r>
    </w:p>
    <w:tbl>
      <w:tblPr>
        <w:tblW w:w="9540" w:type="dxa"/>
        <w:tblLayout w:type="fixed"/>
        <w:tblCellMar>
          <w:left w:w="165" w:type="dxa"/>
          <w:right w:w="165" w:type="dxa"/>
        </w:tblCellMar>
        <w:tblLook w:val="0000" w:firstRow="0" w:lastRow="0" w:firstColumn="0" w:lastColumn="0" w:noHBand="0" w:noVBand="0"/>
      </w:tblPr>
      <w:tblGrid>
        <w:gridCol w:w="990"/>
        <w:gridCol w:w="4950"/>
        <w:gridCol w:w="3600"/>
      </w:tblGrid>
      <w:tr w:rsidR="007C6834" w:rsidRPr="001C4B18" w:rsidTr="00DF0E0E">
        <w:trPr>
          <w:cantSplit/>
          <w:trHeight w:val="276"/>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jc w:val="center"/>
              <w:rPr>
                <w:bCs/>
              </w:rPr>
            </w:pPr>
            <w:r w:rsidRPr="001C4B18">
              <w:rPr>
                <w:bCs/>
              </w:rPr>
              <w:t>Group</w:t>
            </w:r>
          </w:p>
        </w:tc>
        <w:tc>
          <w:tcPr>
            <w:tcW w:w="4950" w:type="dxa"/>
            <w:vMerge w:val="restart"/>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jc w:val="center"/>
            </w:pPr>
            <w:r w:rsidRPr="001C4B18">
              <w:rPr>
                <w:bCs/>
              </w:rPr>
              <w:t>Rate Schedules</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jc w:val="center"/>
              <w:rPr>
                <w:bCs/>
              </w:rPr>
            </w:pPr>
            <w:r>
              <w:rPr>
                <w:bCs/>
              </w:rPr>
              <w:t>Fuel Recovery</w:t>
            </w:r>
            <w:r w:rsidRPr="001C4B18">
              <w:rPr>
                <w:bCs/>
              </w:rPr>
              <w:t xml:space="preserve"> Loss Multipliers</w:t>
            </w:r>
          </w:p>
        </w:tc>
      </w:tr>
      <w:tr w:rsidR="007C6834" w:rsidRPr="001C4B18" w:rsidTr="00DF0E0E">
        <w:trPr>
          <w:cantSplit/>
          <w:trHeight w:val="276"/>
        </w:trPr>
        <w:tc>
          <w:tcPr>
            <w:tcW w:w="990" w:type="dxa"/>
            <w:vMerge/>
            <w:tcBorders>
              <w:top w:val="nil"/>
              <w:left w:val="single" w:sz="4" w:space="0" w:color="auto"/>
              <w:bottom w:val="single" w:sz="4" w:space="0" w:color="auto"/>
              <w:right w:val="single" w:sz="4" w:space="0" w:color="auto"/>
            </w:tcBorders>
          </w:tcPr>
          <w:p w:rsidR="007C6834" w:rsidRPr="001C4B18" w:rsidRDefault="007C6834" w:rsidP="00DF0E0E">
            <w:pPr>
              <w:keepNext/>
              <w:keepLines/>
            </w:pPr>
          </w:p>
        </w:tc>
        <w:tc>
          <w:tcPr>
            <w:tcW w:w="4950" w:type="dxa"/>
            <w:vMerge/>
            <w:tcBorders>
              <w:top w:val="nil"/>
              <w:left w:val="single" w:sz="4" w:space="0" w:color="auto"/>
              <w:bottom w:val="single" w:sz="4" w:space="0" w:color="auto"/>
              <w:right w:val="single" w:sz="4" w:space="0" w:color="auto"/>
            </w:tcBorders>
          </w:tcPr>
          <w:p w:rsidR="007C6834" w:rsidRPr="001C4B18" w:rsidRDefault="007C6834" w:rsidP="00DF0E0E">
            <w:pPr>
              <w:keepNext/>
              <w:keepLines/>
            </w:pPr>
          </w:p>
        </w:tc>
        <w:tc>
          <w:tcPr>
            <w:tcW w:w="3600" w:type="dxa"/>
            <w:vMerge/>
            <w:tcBorders>
              <w:top w:val="nil"/>
              <w:left w:val="single" w:sz="4" w:space="0" w:color="auto"/>
              <w:bottom w:val="single" w:sz="4" w:space="0" w:color="auto"/>
              <w:right w:val="single" w:sz="4" w:space="0" w:color="auto"/>
            </w:tcBorders>
          </w:tcPr>
          <w:p w:rsidR="007C6834" w:rsidRPr="001C4B18" w:rsidRDefault="007C6834" w:rsidP="00DF0E0E">
            <w:pPr>
              <w:keepNext/>
              <w:keepLines/>
            </w:pPr>
          </w:p>
        </w:tc>
      </w:tr>
      <w:tr w:rsidR="007C6834" w:rsidRPr="001C4B18" w:rsidTr="00DF0E0E">
        <w:trPr>
          <w:cantSplit/>
          <w:trHeight w:val="366"/>
        </w:trPr>
        <w:tc>
          <w:tcPr>
            <w:tcW w:w="990" w:type="dxa"/>
            <w:vMerge/>
            <w:tcBorders>
              <w:top w:val="nil"/>
              <w:left w:val="single" w:sz="4" w:space="0" w:color="auto"/>
              <w:bottom w:val="single" w:sz="4" w:space="0" w:color="auto"/>
              <w:right w:val="single" w:sz="4" w:space="0" w:color="auto"/>
            </w:tcBorders>
          </w:tcPr>
          <w:p w:rsidR="007C6834" w:rsidRPr="001C4B18" w:rsidRDefault="007C6834" w:rsidP="00DF0E0E">
            <w:pPr>
              <w:keepNext/>
              <w:keepLines/>
              <w:spacing w:after="90"/>
            </w:pPr>
          </w:p>
        </w:tc>
        <w:tc>
          <w:tcPr>
            <w:tcW w:w="4950" w:type="dxa"/>
            <w:vMerge/>
            <w:tcBorders>
              <w:top w:val="nil"/>
              <w:left w:val="single" w:sz="4" w:space="0" w:color="auto"/>
              <w:bottom w:val="single" w:sz="4" w:space="0" w:color="auto"/>
              <w:right w:val="single" w:sz="4" w:space="0" w:color="auto"/>
            </w:tcBorders>
          </w:tcPr>
          <w:p w:rsidR="007C6834" w:rsidRPr="001C4B18" w:rsidRDefault="007C6834" w:rsidP="00DF0E0E">
            <w:pPr>
              <w:keepNext/>
              <w:keepLines/>
              <w:spacing w:after="90"/>
            </w:pPr>
          </w:p>
        </w:tc>
        <w:tc>
          <w:tcPr>
            <w:tcW w:w="3600" w:type="dxa"/>
            <w:vMerge/>
            <w:tcBorders>
              <w:top w:val="nil"/>
              <w:left w:val="single" w:sz="4" w:space="0" w:color="auto"/>
              <w:bottom w:val="single" w:sz="4" w:space="0" w:color="auto"/>
              <w:right w:val="single" w:sz="4" w:space="0" w:color="auto"/>
            </w:tcBorders>
          </w:tcPr>
          <w:p w:rsidR="007C6834" w:rsidRPr="001C4B18" w:rsidRDefault="007C6834" w:rsidP="00DF0E0E">
            <w:pPr>
              <w:keepNext/>
              <w:keepLines/>
              <w:spacing w:after="90"/>
            </w:pPr>
          </w:p>
        </w:tc>
      </w:tr>
      <w:tr w:rsidR="007C6834" w:rsidRPr="001C4B18" w:rsidTr="00DF0E0E">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spacing w:line="182" w:lineRule="exact"/>
              <w:jc w:val="center"/>
              <w:rPr>
                <w:b/>
                <w:bCs/>
                <w:sz w:val="12"/>
                <w:szCs w:val="12"/>
              </w:rPr>
            </w:pPr>
          </w:p>
          <w:p w:rsidR="007C6834" w:rsidRPr="001C4B18" w:rsidRDefault="007C6834" w:rsidP="00DF0E0E">
            <w:pPr>
              <w:keepNext/>
              <w:keepLines/>
              <w:jc w:val="center"/>
            </w:pPr>
            <w:r w:rsidRPr="001C4B18">
              <w:t>A</w:t>
            </w:r>
          </w:p>
        </w:tc>
        <w:tc>
          <w:tcPr>
            <w:tcW w:w="4950" w:type="dxa"/>
            <w:tcBorders>
              <w:top w:val="single" w:sz="4" w:space="0" w:color="auto"/>
              <w:left w:val="single" w:sz="4" w:space="0" w:color="auto"/>
              <w:bottom w:val="single" w:sz="6" w:space="0" w:color="FFFFFF"/>
              <w:right w:val="single" w:sz="8" w:space="0" w:color="000000"/>
            </w:tcBorders>
            <w:vAlign w:val="center"/>
          </w:tcPr>
          <w:p w:rsidR="007C6834" w:rsidRPr="001C4B18" w:rsidRDefault="007C6834" w:rsidP="00DF0E0E">
            <w:pPr>
              <w:keepNext/>
              <w:keepLines/>
              <w:jc w:val="center"/>
              <w:rPr>
                <w:sz w:val="8"/>
                <w:szCs w:val="8"/>
              </w:rPr>
            </w:pPr>
          </w:p>
          <w:p w:rsidR="007C6834" w:rsidRPr="001C4B18" w:rsidRDefault="007C6834" w:rsidP="00DF0E0E">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RS, RSVP, RSTOU,</w:t>
            </w:r>
          </w:p>
          <w:p w:rsidR="007C6834" w:rsidRPr="001C4B18" w:rsidRDefault="007C6834" w:rsidP="00DF0E0E">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GS, GSD, GSDT, GSTOU, OSIII, SBS(1)</w:t>
            </w:r>
          </w:p>
        </w:tc>
        <w:tc>
          <w:tcPr>
            <w:tcW w:w="3600" w:type="dxa"/>
            <w:tcBorders>
              <w:top w:val="single" w:sz="4" w:space="0" w:color="auto"/>
              <w:left w:val="single" w:sz="8" w:space="0" w:color="000000"/>
              <w:bottom w:val="single" w:sz="6" w:space="0" w:color="FFFFFF"/>
              <w:right w:val="single" w:sz="4" w:space="0" w:color="auto"/>
            </w:tcBorders>
            <w:vAlign w:val="center"/>
          </w:tcPr>
          <w:p w:rsidR="007C6834" w:rsidRPr="00F61D02" w:rsidRDefault="007C6834" w:rsidP="00DF0E0E">
            <w:pPr>
              <w:keepNext/>
              <w:keepLines/>
              <w:spacing w:line="182" w:lineRule="exact"/>
              <w:jc w:val="center"/>
            </w:pPr>
          </w:p>
          <w:p w:rsidR="007C6834" w:rsidRPr="00F61D02" w:rsidRDefault="007C6834" w:rsidP="00DF0E0E">
            <w:pPr>
              <w:keepNext/>
              <w:keepLines/>
              <w:jc w:val="center"/>
            </w:pPr>
            <w:r w:rsidRPr="00F61D02">
              <w:t>1.00555</w:t>
            </w:r>
          </w:p>
        </w:tc>
      </w:tr>
      <w:tr w:rsidR="007C6834" w:rsidRPr="001C4B18" w:rsidTr="00DF0E0E">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jc w:val="center"/>
            </w:pPr>
            <w:r w:rsidRPr="001C4B18">
              <w:t>B</w:t>
            </w:r>
          </w:p>
        </w:tc>
        <w:tc>
          <w:tcPr>
            <w:tcW w:w="4950" w:type="dxa"/>
            <w:tcBorders>
              <w:top w:val="single" w:sz="7" w:space="0" w:color="000000"/>
              <w:left w:val="single" w:sz="4" w:space="0" w:color="auto"/>
              <w:bottom w:val="single" w:sz="6" w:space="0" w:color="FFFFFF"/>
              <w:right w:val="single" w:sz="8" w:space="0" w:color="000000"/>
            </w:tcBorders>
            <w:vAlign w:val="center"/>
          </w:tcPr>
          <w:p w:rsidR="007C6834" w:rsidRPr="001C4B18" w:rsidRDefault="007C6834" w:rsidP="00DF0E0E">
            <w:pPr>
              <w:keepNext/>
              <w:keepLines/>
              <w:jc w:val="center"/>
            </w:pPr>
            <w:r w:rsidRPr="001C4B18">
              <w:t>LP, LPT, SBS(2)</w:t>
            </w:r>
          </w:p>
        </w:tc>
        <w:tc>
          <w:tcPr>
            <w:tcW w:w="3600" w:type="dxa"/>
            <w:tcBorders>
              <w:top w:val="single" w:sz="7" w:space="0" w:color="000000"/>
              <w:left w:val="single" w:sz="8" w:space="0" w:color="000000"/>
              <w:bottom w:val="single" w:sz="6" w:space="0" w:color="FFFFFF"/>
              <w:right w:val="single" w:sz="4" w:space="0" w:color="auto"/>
            </w:tcBorders>
            <w:vAlign w:val="center"/>
          </w:tcPr>
          <w:p w:rsidR="007C6834" w:rsidRPr="00F61D02" w:rsidRDefault="007C6834" w:rsidP="00DF0E0E">
            <w:pPr>
              <w:keepNext/>
              <w:keepLines/>
              <w:jc w:val="center"/>
            </w:pPr>
            <w:r w:rsidRPr="00F61D02">
              <w:t>0.99188</w:t>
            </w:r>
          </w:p>
        </w:tc>
      </w:tr>
      <w:tr w:rsidR="007C6834" w:rsidRPr="001C4B18" w:rsidTr="00DF0E0E">
        <w:trPr>
          <w:cantSplit/>
        </w:trPr>
        <w:tc>
          <w:tcPr>
            <w:tcW w:w="990" w:type="dxa"/>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jc w:val="center"/>
            </w:pPr>
            <w:r w:rsidRPr="001C4B18">
              <w:t>C</w:t>
            </w:r>
          </w:p>
        </w:tc>
        <w:tc>
          <w:tcPr>
            <w:tcW w:w="4950" w:type="dxa"/>
            <w:tcBorders>
              <w:top w:val="single" w:sz="7" w:space="0" w:color="000000"/>
              <w:left w:val="single" w:sz="4" w:space="0" w:color="auto"/>
              <w:bottom w:val="single" w:sz="4" w:space="0" w:color="auto"/>
              <w:right w:val="single" w:sz="8" w:space="0" w:color="000000"/>
            </w:tcBorders>
            <w:vAlign w:val="center"/>
          </w:tcPr>
          <w:p w:rsidR="007C6834" w:rsidRPr="001C4B18" w:rsidRDefault="007C6834" w:rsidP="00DF0E0E">
            <w:pPr>
              <w:keepNext/>
              <w:keepLines/>
              <w:jc w:val="center"/>
            </w:pPr>
            <w:r w:rsidRPr="001C4B18">
              <w:t>PX, PXT, RTP, SBS(3)</w:t>
            </w:r>
          </w:p>
        </w:tc>
        <w:tc>
          <w:tcPr>
            <w:tcW w:w="3600" w:type="dxa"/>
            <w:tcBorders>
              <w:top w:val="single" w:sz="7" w:space="0" w:color="000000"/>
              <w:left w:val="single" w:sz="8" w:space="0" w:color="000000"/>
              <w:bottom w:val="single" w:sz="4" w:space="0" w:color="auto"/>
              <w:right w:val="single" w:sz="4" w:space="0" w:color="auto"/>
            </w:tcBorders>
            <w:vAlign w:val="center"/>
          </w:tcPr>
          <w:p w:rsidR="007C6834" w:rsidRPr="00F61D02" w:rsidRDefault="007C6834" w:rsidP="00DF0E0E">
            <w:pPr>
              <w:keepNext/>
              <w:keepLines/>
              <w:jc w:val="center"/>
            </w:pPr>
            <w:r w:rsidRPr="00F61D02">
              <w:t>0.97668</w:t>
            </w:r>
          </w:p>
        </w:tc>
      </w:tr>
      <w:tr w:rsidR="007C6834" w:rsidRPr="001C4B18" w:rsidTr="00DF0E0E">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jc w:val="center"/>
            </w:pPr>
            <w:r w:rsidRPr="001C4B18">
              <w:t>D</w:t>
            </w:r>
          </w:p>
        </w:tc>
        <w:tc>
          <w:tcPr>
            <w:tcW w:w="4950" w:type="dxa"/>
            <w:tcBorders>
              <w:top w:val="single" w:sz="4" w:space="0" w:color="auto"/>
              <w:left w:val="single" w:sz="4" w:space="0" w:color="auto"/>
              <w:bottom w:val="single" w:sz="4" w:space="0" w:color="auto"/>
              <w:right w:val="single" w:sz="4" w:space="0" w:color="auto"/>
            </w:tcBorders>
            <w:vAlign w:val="center"/>
          </w:tcPr>
          <w:p w:rsidR="007C6834" w:rsidRPr="001C4B18" w:rsidRDefault="007C6834" w:rsidP="00DF0E0E">
            <w:pPr>
              <w:keepNext/>
              <w:keepLines/>
              <w:spacing w:after="58"/>
              <w:jc w:val="center"/>
            </w:pPr>
            <w:r w:rsidRPr="001C4B18">
              <w:t>OSI/II</w:t>
            </w:r>
          </w:p>
        </w:tc>
        <w:tc>
          <w:tcPr>
            <w:tcW w:w="3600" w:type="dxa"/>
            <w:tcBorders>
              <w:top w:val="single" w:sz="4" w:space="0" w:color="auto"/>
              <w:left w:val="single" w:sz="4" w:space="0" w:color="auto"/>
              <w:bottom w:val="single" w:sz="4" w:space="0" w:color="auto"/>
              <w:right w:val="single" w:sz="4" w:space="0" w:color="auto"/>
            </w:tcBorders>
            <w:vAlign w:val="center"/>
          </w:tcPr>
          <w:p w:rsidR="007C6834" w:rsidRPr="00F61D02" w:rsidRDefault="007C6834" w:rsidP="00DF0E0E">
            <w:pPr>
              <w:keepNext/>
              <w:keepLines/>
              <w:spacing w:after="58"/>
              <w:jc w:val="center"/>
            </w:pPr>
            <w:r w:rsidRPr="00F61D02">
              <w:t>1.00560</w:t>
            </w:r>
          </w:p>
        </w:tc>
      </w:tr>
      <w:tr w:rsidR="007C6834" w:rsidRPr="001C4B18" w:rsidTr="00DF0E0E">
        <w:trPr>
          <w:cantSplit/>
          <w:trHeight w:val="461"/>
        </w:trPr>
        <w:tc>
          <w:tcPr>
            <w:tcW w:w="9540" w:type="dxa"/>
            <w:gridSpan w:val="3"/>
            <w:tcBorders>
              <w:top w:val="single" w:sz="4" w:space="0" w:color="auto"/>
              <w:left w:val="single" w:sz="4" w:space="0" w:color="auto"/>
              <w:bottom w:val="single" w:sz="4" w:space="0" w:color="auto"/>
              <w:right w:val="single" w:sz="4" w:space="0" w:color="auto"/>
            </w:tcBorders>
            <w:vAlign w:val="center"/>
          </w:tcPr>
          <w:p w:rsidR="007C6834" w:rsidRDefault="007C6834" w:rsidP="00DF0E0E">
            <w:pPr>
              <w:pStyle w:val="ListParagraph"/>
              <w:keepNext/>
              <w:keepLines/>
              <w:numPr>
                <w:ilvl w:val="0"/>
                <w:numId w:val="21"/>
              </w:numPr>
              <w:spacing w:after="58"/>
            </w:pPr>
            <w:r>
              <w:t xml:space="preserve"> Includes SBS customers with a contract demand in the range of 100 to 499 kW</w:t>
            </w:r>
          </w:p>
          <w:p w:rsidR="007C6834" w:rsidRDefault="007C6834" w:rsidP="00DF0E0E">
            <w:pPr>
              <w:pStyle w:val="ListParagraph"/>
              <w:keepNext/>
              <w:keepLines/>
              <w:numPr>
                <w:ilvl w:val="0"/>
                <w:numId w:val="21"/>
              </w:numPr>
              <w:spacing w:after="58"/>
            </w:pPr>
            <w:r>
              <w:t xml:space="preserve"> Includes SBS customers with a contract demand in the range of 500 to 7,499 kW</w:t>
            </w:r>
          </w:p>
          <w:p w:rsidR="007C6834" w:rsidRPr="00F61D02" w:rsidRDefault="007C6834" w:rsidP="00DF0E0E">
            <w:pPr>
              <w:pStyle w:val="ListParagraph"/>
              <w:keepNext/>
              <w:keepLines/>
              <w:numPr>
                <w:ilvl w:val="0"/>
                <w:numId w:val="21"/>
              </w:numPr>
              <w:spacing w:after="58"/>
            </w:pPr>
            <w:r>
              <w:t xml:space="preserve"> Includes SBS customers with a contract demand over 7,499 kW</w:t>
            </w:r>
          </w:p>
        </w:tc>
      </w:tr>
    </w:tbl>
    <w:p w:rsidR="007C6834" w:rsidRPr="00D57783" w:rsidRDefault="007C6834" w:rsidP="007C6834">
      <w:r>
        <w:rPr>
          <w:sz w:val="22"/>
          <w:szCs w:val="22"/>
        </w:rPr>
        <w:t>Source: S</w:t>
      </w:r>
      <w:r w:rsidRPr="00F61D02">
        <w:rPr>
          <w:sz w:val="22"/>
          <w:szCs w:val="22"/>
        </w:rPr>
        <w:t>chedule E</w:t>
      </w:r>
      <w:r>
        <w:rPr>
          <w:sz w:val="22"/>
          <w:szCs w:val="22"/>
        </w:rPr>
        <w:t xml:space="preserve">1-E (Exhibit CSB-5, 2019 Projection Filing, </w:t>
      </w:r>
      <w:r w:rsidRPr="00F61D02">
        <w:rPr>
          <w:sz w:val="22"/>
          <w:szCs w:val="22"/>
        </w:rPr>
        <w:t>Page 8 of 41)</w:t>
      </w:r>
      <w:r>
        <w:rPr>
          <w:sz w:val="22"/>
          <w:szCs w:val="22"/>
        </w:rPr>
        <w:t>.</w:t>
      </w:r>
    </w:p>
    <w:p w:rsidR="007C6834" w:rsidRDefault="007C6834" w:rsidP="009570AF">
      <w:pPr>
        <w:rPr>
          <w:b/>
          <w:u w:val="single"/>
        </w:rPr>
      </w:pPr>
    </w:p>
    <w:p w:rsidR="009570AF" w:rsidRDefault="009570AF" w:rsidP="009570AF">
      <w:pPr>
        <w:rPr>
          <w:b/>
        </w:rPr>
      </w:pPr>
      <w:r w:rsidRPr="008A0D60">
        <w:t>TECO:</w:t>
      </w:r>
      <w:r>
        <w:rPr>
          <w:b/>
        </w:rPr>
        <w:tab/>
      </w:r>
      <w:r>
        <w:t>See Table 21-3 below</w:t>
      </w:r>
      <w:r>
        <w:rPr>
          <w:b/>
        </w:rPr>
        <w:t>:</w:t>
      </w:r>
    </w:p>
    <w:p w:rsidR="005F47DE" w:rsidRDefault="005F47DE" w:rsidP="009570AF">
      <w:pPr>
        <w:ind w:left="1440" w:hanging="1440"/>
        <w:jc w:val="center"/>
        <w:rPr>
          <w:rFonts w:ascii="Arial" w:hAnsi="Arial" w:cs="Arial"/>
          <w:b/>
        </w:rPr>
      </w:pPr>
    </w:p>
    <w:p w:rsidR="009570AF" w:rsidRDefault="009570AF" w:rsidP="009570AF">
      <w:pPr>
        <w:ind w:left="1440" w:hanging="1440"/>
        <w:jc w:val="center"/>
        <w:rPr>
          <w:rFonts w:ascii="Arial" w:hAnsi="Arial" w:cs="Arial"/>
          <w:b/>
        </w:rPr>
      </w:pPr>
      <w:r>
        <w:rPr>
          <w:rFonts w:ascii="Arial" w:hAnsi="Arial" w:cs="Arial"/>
          <w:b/>
        </w:rPr>
        <w:t xml:space="preserve">               Table 21-3</w:t>
      </w:r>
    </w:p>
    <w:p w:rsidR="009570AF" w:rsidRDefault="009570AF" w:rsidP="009570AF">
      <w:pPr>
        <w:keepNext/>
        <w:keepLines/>
        <w:jc w:val="center"/>
        <w:rPr>
          <w:rFonts w:ascii="Arial" w:hAnsi="Arial" w:cs="Arial"/>
          <w:b/>
        </w:rPr>
      </w:pPr>
      <w:r>
        <w:rPr>
          <w:rFonts w:ascii="Arial" w:hAnsi="Arial" w:cs="Arial"/>
          <w:b/>
        </w:rPr>
        <w:t xml:space="preserve">                         TECO Fuel Recovery Line Loss Multipliers</w:t>
      </w:r>
    </w:p>
    <w:p w:rsidR="009570AF" w:rsidRDefault="009570AF" w:rsidP="009570AF">
      <w:pPr>
        <w:keepNext/>
        <w:keepLines/>
        <w:jc w:val="center"/>
      </w:pPr>
      <w:r>
        <w:rPr>
          <w:rFonts w:ascii="Arial" w:hAnsi="Arial" w:cs="Arial"/>
          <w:b/>
        </w:rPr>
        <w:t xml:space="preserve">                        for the period January-December, 2019</w:t>
      </w:r>
    </w:p>
    <w:tbl>
      <w:tblPr>
        <w:tblStyle w:val="TableGrid"/>
        <w:tblW w:w="8010" w:type="dxa"/>
        <w:tblInd w:w="1548" w:type="dxa"/>
        <w:tblLook w:val="04A0" w:firstRow="1" w:lastRow="0" w:firstColumn="1" w:lastColumn="0" w:noHBand="0" w:noVBand="1"/>
      </w:tblPr>
      <w:tblGrid>
        <w:gridCol w:w="3690"/>
        <w:gridCol w:w="4320"/>
      </w:tblGrid>
      <w:tr w:rsidR="009570AF" w:rsidTr="009570AF">
        <w:tc>
          <w:tcPr>
            <w:tcW w:w="3690" w:type="dxa"/>
            <w:tcBorders>
              <w:top w:val="single" w:sz="4" w:space="0" w:color="auto"/>
              <w:left w:val="single" w:sz="4" w:space="0" w:color="auto"/>
              <w:bottom w:val="single" w:sz="4" w:space="0" w:color="auto"/>
              <w:right w:val="single" w:sz="4" w:space="0" w:color="auto"/>
            </w:tcBorders>
          </w:tcPr>
          <w:p w:rsidR="009570AF" w:rsidRDefault="009570AF" w:rsidP="009570AF">
            <w:pPr>
              <w:jc w:val="center"/>
            </w:pPr>
            <w:r>
              <w:t>Delivery Voltage Level</w:t>
            </w:r>
          </w:p>
        </w:tc>
        <w:tc>
          <w:tcPr>
            <w:tcW w:w="4320" w:type="dxa"/>
            <w:tcBorders>
              <w:top w:val="single" w:sz="4" w:space="0" w:color="auto"/>
              <w:left w:val="single" w:sz="4" w:space="0" w:color="auto"/>
              <w:bottom w:val="single" w:sz="4" w:space="0" w:color="auto"/>
              <w:right w:val="single" w:sz="4" w:space="0" w:color="auto"/>
            </w:tcBorders>
            <w:hideMark/>
          </w:tcPr>
          <w:p w:rsidR="009570AF" w:rsidRDefault="009570AF" w:rsidP="009570AF">
            <w:pPr>
              <w:jc w:val="center"/>
            </w:pPr>
            <w:r>
              <w:t>Line Loss Multiplier</w:t>
            </w:r>
          </w:p>
        </w:tc>
      </w:tr>
      <w:tr w:rsidR="009570AF" w:rsidTr="009570AF">
        <w:tc>
          <w:tcPr>
            <w:tcW w:w="3690" w:type="dxa"/>
            <w:tcBorders>
              <w:top w:val="single" w:sz="4" w:space="0" w:color="auto"/>
              <w:left w:val="single" w:sz="4" w:space="0" w:color="auto"/>
              <w:bottom w:val="single" w:sz="4" w:space="0" w:color="auto"/>
              <w:right w:val="single" w:sz="4" w:space="0" w:color="auto"/>
            </w:tcBorders>
          </w:tcPr>
          <w:p w:rsidR="009570AF" w:rsidRPr="009D34A4" w:rsidRDefault="009570AF" w:rsidP="009570AF">
            <w:pPr>
              <w:jc w:val="center"/>
            </w:pPr>
            <w:r>
              <w:t>Transmission</w:t>
            </w:r>
          </w:p>
        </w:tc>
        <w:tc>
          <w:tcPr>
            <w:tcW w:w="4320" w:type="dxa"/>
            <w:tcBorders>
              <w:top w:val="single" w:sz="4" w:space="0" w:color="auto"/>
              <w:left w:val="single" w:sz="4" w:space="0" w:color="auto"/>
              <w:bottom w:val="single" w:sz="4" w:space="0" w:color="auto"/>
              <w:right w:val="single" w:sz="4" w:space="0" w:color="auto"/>
            </w:tcBorders>
            <w:hideMark/>
          </w:tcPr>
          <w:p w:rsidR="009570AF" w:rsidRPr="009D34A4" w:rsidRDefault="009570AF" w:rsidP="009570AF">
            <w:pPr>
              <w:jc w:val="center"/>
            </w:pPr>
            <w:r>
              <w:t>0.98</w:t>
            </w:r>
          </w:p>
        </w:tc>
      </w:tr>
      <w:tr w:rsidR="009570AF" w:rsidTr="009570AF">
        <w:tc>
          <w:tcPr>
            <w:tcW w:w="3690" w:type="dxa"/>
            <w:tcBorders>
              <w:top w:val="single" w:sz="4" w:space="0" w:color="auto"/>
              <w:left w:val="single" w:sz="4" w:space="0" w:color="auto"/>
              <w:bottom w:val="single" w:sz="4" w:space="0" w:color="auto"/>
              <w:right w:val="single" w:sz="4" w:space="0" w:color="auto"/>
            </w:tcBorders>
          </w:tcPr>
          <w:p w:rsidR="009570AF" w:rsidRPr="009D34A4" w:rsidRDefault="009570AF" w:rsidP="009570AF">
            <w:pPr>
              <w:jc w:val="center"/>
            </w:pPr>
            <w:r>
              <w:t>Distribution Primary</w:t>
            </w:r>
          </w:p>
        </w:tc>
        <w:tc>
          <w:tcPr>
            <w:tcW w:w="4320" w:type="dxa"/>
            <w:tcBorders>
              <w:top w:val="single" w:sz="4" w:space="0" w:color="auto"/>
              <w:left w:val="single" w:sz="4" w:space="0" w:color="auto"/>
              <w:bottom w:val="single" w:sz="4" w:space="0" w:color="auto"/>
              <w:right w:val="single" w:sz="4" w:space="0" w:color="auto"/>
            </w:tcBorders>
          </w:tcPr>
          <w:p w:rsidR="009570AF" w:rsidRPr="009D34A4" w:rsidRDefault="009570AF" w:rsidP="009570AF">
            <w:pPr>
              <w:jc w:val="center"/>
            </w:pPr>
            <w:r>
              <w:t>0.99</w:t>
            </w:r>
          </w:p>
        </w:tc>
      </w:tr>
      <w:tr w:rsidR="009570AF" w:rsidTr="009570AF">
        <w:tc>
          <w:tcPr>
            <w:tcW w:w="3690" w:type="dxa"/>
            <w:tcBorders>
              <w:top w:val="single" w:sz="4" w:space="0" w:color="auto"/>
              <w:left w:val="single" w:sz="4" w:space="0" w:color="auto"/>
              <w:bottom w:val="single" w:sz="4" w:space="0" w:color="auto"/>
              <w:right w:val="single" w:sz="4" w:space="0" w:color="auto"/>
            </w:tcBorders>
          </w:tcPr>
          <w:p w:rsidR="009570AF" w:rsidRPr="009D34A4" w:rsidRDefault="009570AF" w:rsidP="009570AF">
            <w:pPr>
              <w:jc w:val="center"/>
            </w:pPr>
            <w:r>
              <w:t>Distribution Secondary</w:t>
            </w:r>
          </w:p>
        </w:tc>
        <w:tc>
          <w:tcPr>
            <w:tcW w:w="4320" w:type="dxa"/>
            <w:tcBorders>
              <w:top w:val="single" w:sz="4" w:space="0" w:color="auto"/>
              <w:left w:val="single" w:sz="4" w:space="0" w:color="auto"/>
              <w:bottom w:val="single" w:sz="4" w:space="0" w:color="auto"/>
              <w:right w:val="single" w:sz="4" w:space="0" w:color="auto"/>
            </w:tcBorders>
          </w:tcPr>
          <w:p w:rsidR="009570AF" w:rsidRPr="009D34A4" w:rsidRDefault="009570AF" w:rsidP="009570AF">
            <w:pPr>
              <w:jc w:val="center"/>
            </w:pPr>
            <w:r>
              <w:t>1.00</w:t>
            </w:r>
          </w:p>
        </w:tc>
      </w:tr>
      <w:tr w:rsidR="009570AF" w:rsidTr="009570AF">
        <w:tc>
          <w:tcPr>
            <w:tcW w:w="3690" w:type="dxa"/>
            <w:tcBorders>
              <w:top w:val="single" w:sz="4" w:space="0" w:color="auto"/>
              <w:left w:val="single" w:sz="4" w:space="0" w:color="auto"/>
              <w:bottom w:val="single" w:sz="4" w:space="0" w:color="auto"/>
              <w:right w:val="single" w:sz="4" w:space="0" w:color="auto"/>
            </w:tcBorders>
          </w:tcPr>
          <w:p w:rsidR="009570AF" w:rsidRPr="009D34A4" w:rsidRDefault="009570AF" w:rsidP="009570AF">
            <w:pPr>
              <w:jc w:val="center"/>
            </w:pPr>
            <w:r>
              <w:t>Lighting Service</w:t>
            </w:r>
          </w:p>
        </w:tc>
        <w:tc>
          <w:tcPr>
            <w:tcW w:w="4320" w:type="dxa"/>
            <w:tcBorders>
              <w:top w:val="single" w:sz="4" w:space="0" w:color="auto"/>
              <w:left w:val="single" w:sz="4" w:space="0" w:color="auto"/>
              <w:bottom w:val="single" w:sz="4" w:space="0" w:color="auto"/>
              <w:right w:val="single" w:sz="4" w:space="0" w:color="auto"/>
            </w:tcBorders>
            <w:hideMark/>
          </w:tcPr>
          <w:p w:rsidR="009570AF" w:rsidRPr="009D34A4" w:rsidRDefault="009570AF" w:rsidP="009570AF">
            <w:pPr>
              <w:jc w:val="center"/>
            </w:pPr>
            <w:r>
              <w:t>1.00</w:t>
            </w:r>
          </w:p>
        </w:tc>
      </w:tr>
    </w:tbl>
    <w:p w:rsidR="009570AF" w:rsidRDefault="009570AF" w:rsidP="009570AF">
      <w:pPr>
        <w:autoSpaceDE w:val="0"/>
        <w:autoSpaceDN w:val="0"/>
        <w:adjustRightInd w:val="0"/>
        <w:ind w:left="1605"/>
        <w:jc w:val="both"/>
        <w:rPr>
          <w:bCs/>
        </w:rPr>
      </w:pPr>
      <w:r>
        <w:rPr>
          <w:sz w:val="22"/>
          <w:szCs w:val="22"/>
        </w:rPr>
        <w:t xml:space="preserve">Source: Schedule E1-E, BSP 23 </w:t>
      </w:r>
      <w:r w:rsidRPr="00D8283F">
        <w:rPr>
          <w:sz w:val="22"/>
          <w:szCs w:val="22"/>
        </w:rPr>
        <w:t>(Exhibit PAR-3</w:t>
      </w:r>
      <w:r>
        <w:rPr>
          <w:sz w:val="22"/>
          <w:szCs w:val="22"/>
        </w:rPr>
        <w:t xml:space="preserve">, </w:t>
      </w:r>
      <w:r w:rsidRPr="00D8283F">
        <w:rPr>
          <w:sz w:val="22"/>
          <w:szCs w:val="22"/>
        </w:rPr>
        <w:t>Document Number 2, Page 6 of 30)</w:t>
      </w:r>
      <w:r>
        <w:rPr>
          <w:sz w:val="22"/>
          <w:szCs w:val="22"/>
        </w:rPr>
        <w:t>.</w:t>
      </w:r>
    </w:p>
    <w:p w:rsidR="009570AF" w:rsidRPr="00261117" w:rsidRDefault="009570AF" w:rsidP="009570AF">
      <w:pPr>
        <w:tabs>
          <w:tab w:val="left" w:pos="8571"/>
        </w:tabs>
        <w:autoSpaceDE w:val="0"/>
        <w:autoSpaceDN w:val="0"/>
        <w:adjustRightInd w:val="0"/>
        <w:jc w:val="both"/>
      </w:pPr>
    </w:p>
    <w:p w:rsidR="009570AF" w:rsidRDefault="009570AF" w:rsidP="009570AF">
      <w:pPr>
        <w:rPr>
          <w:b/>
          <w:bCs/>
          <w:u w:val="single"/>
        </w:rPr>
      </w:pPr>
    </w:p>
    <w:p w:rsidR="009570AF" w:rsidRPr="00310585" w:rsidRDefault="009570AF" w:rsidP="009570AF">
      <w:pPr>
        <w:ind w:left="1440" w:hanging="1440"/>
        <w:jc w:val="both"/>
      </w:pPr>
      <w:r w:rsidRPr="00310585">
        <w:rPr>
          <w:b/>
          <w:bCs/>
          <w:u w:val="single"/>
        </w:rPr>
        <w:t>ISSUE 22</w:t>
      </w:r>
      <w:r w:rsidRPr="00310585">
        <w:t>:</w:t>
      </w:r>
      <w:r w:rsidRPr="00310585">
        <w:tab/>
      </w:r>
      <w:r w:rsidRPr="007C6834">
        <w:rPr>
          <w:b/>
        </w:rPr>
        <w:t>What are the appropriate fuel cost recovery factors for each rate class/delivery voltage level class adjusted for line losses?</w:t>
      </w:r>
    </w:p>
    <w:p w:rsidR="009570AF" w:rsidRPr="00310585" w:rsidRDefault="009570AF" w:rsidP="009570AF">
      <w:pPr>
        <w:keepNext/>
        <w:tabs>
          <w:tab w:val="left" w:pos="8571"/>
        </w:tabs>
        <w:autoSpaceDE w:val="0"/>
        <w:autoSpaceDN w:val="0"/>
        <w:adjustRightInd w:val="0"/>
        <w:ind w:left="1440" w:hanging="1440"/>
        <w:jc w:val="both"/>
        <w:rPr>
          <w:b/>
          <w:u w:val="single"/>
        </w:rPr>
      </w:pPr>
    </w:p>
    <w:p w:rsidR="009570AF" w:rsidRDefault="009570AF" w:rsidP="009570AF">
      <w:pPr>
        <w:keepNext/>
        <w:tabs>
          <w:tab w:val="left" w:pos="8571"/>
        </w:tabs>
        <w:autoSpaceDE w:val="0"/>
        <w:autoSpaceDN w:val="0"/>
        <w:adjustRightInd w:val="0"/>
        <w:ind w:left="1440" w:hanging="1440"/>
        <w:jc w:val="both"/>
      </w:pPr>
      <w:r w:rsidRPr="00310585">
        <w:rPr>
          <w:b/>
          <w:u w:val="single"/>
        </w:rPr>
        <w:t>STIPULATION</w:t>
      </w:r>
      <w:r w:rsidRPr="00310585">
        <w:t xml:space="preserve">:   </w:t>
      </w:r>
    </w:p>
    <w:p w:rsidR="009570AF" w:rsidRDefault="009570AF" w:rsidP="009570AF">
      <w:pPr>
        <w:keepNext/>
        <w:tabs>
          <w:tab w:val="left" w:pos="8571"/>
        </w:tabs>
        <w:autoSpaceDE w:val="0"/>
        <w:autoSpaceDN w:val="0"/>
        <w:adjustRightInd w:val="0"/>
        <w:ind w:left="1440" w:hanging="1440"/>
        <w:jc w:val="both"/>
      </w:pPr>
    </w:p>
    <w:p w:rsidR="009570AF" w:rsidRPr="00310585" w:rsidRDefault="009570AF" w:rsidP="009570AF">
      <w:pPr>
        <w:keepNext/>
        <w:tabs>
          <w:tab w:val="left" w:pos="8571"/>
        </w:tabs>
        <w:autoSpaceDE w:val="0"/>
        <w:autoSpaceDN w:val="0"/>
        <w:adjustRightInd w:val="0"/>
        <w:ind w:left="1440" w:hanging="1440"/>
        <w:jc w:val="both"/>
      </w:pPr>
      <w:r w:rsidRPr="00310585">
        <w:tab/>
        <w:t>The appropriate fuel cost recovery factors for each rate class/delivery voltage level class adjusted for line losses are shown in Tables 22-</w:t>
      </w:r>
      <w:r w:rsidR="005F47DE">
        <w:t>1</w:t>
      </w:r>
      <w:r w:rsidRPr="00310585">
        <w:t xml:space="preserve"> through 22-13 below:</w:t>
      </w:r>
    </w:p>
    <w:p w:rsidR="009570AF" w:rsidRDefault="009570AF" w:rsidP="009570AF">
      <w:pPr>
        <w:jc w:val="both"/>
      </w:pPr>
    </w:p>
    <w:p w:rsidR="007C6834" w:rsidRDefault="008E7827" w:rsidP="007C6834">
      <w:pPr>
        <w:spacing w:line="276" w:lineRule="auto"/>
        <w:ind w:left="1440" w:hanging="1440"/>
        <w:jc w:val="both"/>
      </w:pPr>
      <w:r>
        <w:t>DEF:</w:t>
      </w:r>
      <w:r>
        <w:tab/>
      </w:r>
      <w:r w:rsidR="005F47DE">
        <w:t xml:space="preserve">DEF’s appropriate fuel cost recovery factors for each rate class/delivery voltage level class, adjusted for line losses, are as provided below.  In recognition of the decreasing spread between on-peak and off-peak time of use fuel cost factors, DEF will evaluate, what, if any adjustments to the calculation of on- and off-peak </w:t>
      </w:r>
      <w:r w:rsidR="005F47DE">
        <w:lastRenderedPageBreak/>
        <w:t>time of use fuel cost factors are appropriate.  DEF will provide its findings in Docket No. 20190001-EI.</w:t>
      </w:r>
    </w:p>
    <w:p w:rsidR="007268E2" w:rsidRDefault="007268E2" w:rsidP="007C6834">
      <w:pPr>
        <w:spacing w:line="276" w:lineRule="auto"/>
        <w:ind w:left="1440" w:hanging="1440"/>
        <w:jc w:val="both"/>
      </w:pPr>
    </w:p>
    <w:p w:rsidR="005F47DE" w:rsidRPr="00560924" w:rsidRDefault="00560924" w:rsidP="007268E2">
      <w:pPr>
        <w:spacing w:line="276" w:lineRule="auto"/>
        <w:ind w:left="1440" w:hanging="1440"/>
        <w:jc w:val="center"/>
        <w:rPr>
          <w:rFonts w:ascii="Arial" w:hAnsi="Arial" w:cs="Arial"/>
          <w:b/>
        </w:rPr>
      </w:pPr>
      <w:r w:rsidRPr="00560924">
        <w:rPr>
          <w:rFonts w:ascii="Arial" w:hAnsi="Arial" w:cs="Arial"/>
          <w:b/>
        </w:rPr>
        <w:t>Table 22-1</w:t>
      </w:r>
    </w:p>
    <w:p w:rsidR="00560924" w:rsidRPr="00560924" w:rsidRDefault="00560924" w:rsidP="005F47DE">
      <w:pPr>
        <w:spacing w:line="276" w:lineRule="auto"/>
        <w:ind w:left="1440" w:hanging="1440"/>
        <w:jc w:val="center"/>
        <w:rPr>
          <w:rFonts w:ascii="Arial" w:hAnsi="Arial" w:cs="Arial"/>
          <w:b/>
        </w:rPr>
      </w:pPr>
      <w:r>
        <w:rPr>
          <w:rFonts w:ascii="Arial" w:hAnsi="Arial" w:cs="Arial"/>
          <w:b/>
        </w:rPr>
        <w:t>DEF Fuel Cost Recovery Factors</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5F47DE" w:rsidRPr="008D1D3B" w:rsidTr="0001240D">
        <w:tc>
          <w:tcPr>
            <w:tcW w:w="9788" w:type="dxa"/>
            <w:gridSpan w:val="7"/>
          </w:tcPr>
          <w:p w:rsidR="005F47DE" w:rsidRPr="008D1D3B" w:rsidRDefault="005F47DE" w:rsidP="0001240D">
            <w:pPr>
              <w:jc w:val="center"/>
            </w:pPr>
            <w:r w:rsidRPr="008D1D3B">
              <w:t>Fuel Cost Factors (cents/kWh)</w:t>
            </w:r>
          </w:p>
          <w:p w:rsidR="005F47DE" w:rsidRPr="008D1D3B" w:rsidRDefault="005F47DE" w:rsidP="0001240D">
            <w:pPr>
              <w:jc w:val="center"/>
            </w:pPr>
          </w:p>
        </w:tc>
      </w:tr>
      <w:tr w:rsidR="005F47DE" w:rsidRPr="008D1D3B" w:rsidTr="0001240D">
        <w:tc>
          <w:tcPr>
            <w:tcW w:w="7396" w:type="dxa"/>
            <w:gridSpan w:val="5"/>
          </w:tcPr>
          <w:p w:rsidR="005F47DE" w:rsidRPr="008D1D3B" w:rsidRDefault="005F47DE" w:rsidP="0001240D">
            <w:pPr>
              <w:jc w:val="both"/>
            </w:pPr>
          </w:p>
        </w:tc>
        <w:tc>
          <w:tcPr>
            <w:tcW w:w="2392" w:type="dxa"/>
            <w:gridSpan w:val="2"/>
          </w:tcPr>
          <w:p w:rsidR="005F47DE" w:rsidRPr="008D1D3B" w:rsidRDefault="005F47DE" w:rsidP="0001240D">
            <w:pPr>
              <w:jc w:val="both"/>
            </w:pPr>
            <w:r w:rsidRPr="008D1D3B">
              <w:t>Time of Use</w:t>
            </w:r>
          </w:p>
        </w:tc>
      </w:tr>
      <w:tr w:rsidR="005F47DE" w:rsidRPr="008D1D3B" w:rsidTr="0001240D">
        <w:tc>
          <w:tcPr>
            <w:tcW w:w="950" w:type="dxa"/>
          </w:tcPr>
          <w:p w:rsidR="005F47DE" w:rsidRPr="008D1D3B" w:rsidRDefault="005F47DE" w:rsidP="0001240D">
            <w:pPr>
              <w:jc w:val="both"/>
            </w:pPr>
            <w:r w:rsidRPr="008D1D3B">
              <w:t>Group</w:t>
            </w:r>
          </w:p>
        </w:tc>
        <w:tc>
          <w:tcPr>
            <w:tcW w:w="2566" w:type="dxa"/>
          </w:tcPr>
          <w:p w:rsidR="005F47DE" w:rsidRPr="008D1D3B" w:rsidRDefault="005F47DE" w:rsidP="0001240D">
            <w:pPr>
              <w:jc w:val="center"/>
            </w:pPr>
            <w:r w:rsidRPr="008D1D3B">
              <w:t>Delivery</w:t>
            </w:r>
          </w:p>
          <w:p w:rsidR="005F47DE" w:rsidRPr="008D1D3B" w:rsidRDefault="005F47DE" w:rsidP="0001240D">
            <w:pPr>
              <w:jc w:val="center"/>
            </w:pPr>
            <w:r w:rsidRPr="008D1D3B">
              <w:t>Voltage Level</w:t>
            </w:r>
          </w:p>
        </w:tc>
        <w:tc>
          <w:tcPr>
            <w:tcW w:w="1225" w:type="dxa"/>
          </w:tcPr>
          <w:p w:rsidR="005F47DE" w:rsidRPr="008D1D3B" w:rsidRDefault="005F47DE" w:rsidP="0001240D">
            <w:pPr>
              <w:jc w:val="center"/>
            </w:pPr>
            <w:r w:rsidRPr="008D1D3B">
              <w:t>First Tier</w:t>
            </w:r>
          </w:p>
          <w:p w:rsidR="005F47DE" w:rsidRPr="008D1D3B" w:rsidRDefault="005F47DE" w:rsidP="0001240D">
            <w:pPr>
              <w:jc w:val="center"/>
            </w:pPr>
            <w:r w:rsidRPr="008D1D3B">
              <w:t>Factor</w:t>
            </w:r>
          </w:p>
        </w:tc>
        <w:tc>
          <w:tcPr>
            <w:tcW w:w="1384" w:type="dxa"/>
          </w:tcPr>
          <w:p w:rsidR="005F47DE" w:rsidRPr="008D1D3B" w:rsidRDefault="005F47DE" w:rsidP="0001240D">
            <w:pPr>
              <w:jc w:val="center"/>
            </w:pPr>
            <w:r w:rsidRPr="008D1D3B">
              <w:t>Second Tier</w:t>
            </w:r>
          </w:p>
          <w:p w:rsidR="005F47DE" w:rsidRPr="008D1D3B" w:rsidRDefault="005F47DE" w:rsidP="0001240D">
            <w:pPr>
              <w:jc w:val="center"/>
            </w:pPr>
            <w:r w:rsidRPr="008D1D3B">
              <w:t>Factors</w:t>
            </w:r>
          </w:p>
        </w:tc>
        <w:tc>
          <w:tcPr>
            <w:tcW w:w="1271" w:type="dxa"/>
          </w:tcPr>
          <w:p w:rsidR="005F47DE" w:rsidRPr="008D1D3B" w:rsidRDefault="005F47DE" w:rsidP="0001240D">
            <w:pPr>
              <w:jc w:val="center"/>
            </w:pPr>
            <w:r w:rsidRPr="008D1D3B">
              <w:t>Levelized</w:t>
            </w:r>
          </w:p>
          <w:p w:rsidR="005F47DE" w:rsidRPr="008D1D3B" w:rsidRDefault="005F47DE" w:rsidP="0001240D">
            <w:pPr>
              <w:jc w:val="center"/>
            </w:pPr>
            <w:r w:rsidRPr="008D1D3B">
              <w:t>Factors</w:t>
            </w:r>
          </w:p>
        </w:tc>
        <w:tc>
          <w:tcPr>
            <w:tcW w:w="1176" w:type="dxa"/>
          </w:tcPr>
          <w:p w:rsidR="005F47DE" w:rsidRPr="008D1D3B" w:rsidRDefault="005F47DE" w:rsidP="0001240D">
            <w:pPr>
              <w:jc w:val="center"/>
            </w:pPr>
            <w:r w:rsidRPr="008D1D3B">
              <w:t>On-Peak</w:t>
            </w:r>
          </w:p>
        </w:tc>
        <w:tc>
          <w:tcPr>
            <w:tcW w:w="1216" w:type="dxa"/>
          </w:tcPr>
          <w:p w:rsidR="005F47DE" w:rsidRPr="008D1D3B" w:rsidRDefault="005F47DE" w:rsidP="0001240D">
            <w:pPr>
              <w:jc w:val="center"/>
            </w:pPr>
            <w:r w:rsidRPr="008D1D3B">
              <w:t>Off-Peak</w:t>
            </w:r>
          </w:p>
        </w:tc>
      </w:tr>
      <w:tr w:rsidR="005F47DE" w:rsidRPr="008D1D3B" w:rsidTr="0001240D">
        <w:tc>
          <w:tcPr>
            <w:tcW w:w="950" w:type="dxa"/>
          </w:tcPr>
          <w:p w:rsidR="005F47DE" w:rsidRPr="008D1D3B" w:rsidRDefault="005F47DE" w:rsidP="0001240D">
            <w:pPr>
              <w:jc w:val="both"/>
            </w:pPr>
            <w:r w:rsidRPr="008D1D3B">
              <w:t>A</w:t>
            </w:r>
          </w:p>
        </w:tc>
        <w:tc>
          <w:tcPr>
            <w:tcW w:w="2566" w:type="dxa"/>
          </w:tcPr>
          <w:p w:rsidR="005F47DE" w:rsidRPr="008D1D3B" w:rsidRDefault="005F47DE" w:rsidP="0001240D">
            <w:r w:rsidRPr="008D1D3B">
              <w:t>Transmission</w:t>
            </w:r>
          </w:p>
        </w:tc>
        <w:tc>
          <w:tcPr>
            <w:tcW w:w="1225" w:type="dxa"/>
          </w:tcPr>
          <w:p w:rsidR="005F47DE" w:rsidRPr="00336D50" w:rsidRDefault="005F47DE" w:rsidP="0001240D">
            <w:pPr>
              <w:jc w:val="center"/>
            </w:pPr>
            <w:r w:rsidRPr="00336D50">
              <w:t>--</w:t>
            </w:r>
          </w:p>
        </w:tc>
        <w:tc>
          <w:tcPr>
            <w:tcW w:w="1384" w:type="dxa"/>
          </w:tcPr>
          <w:p w:rsidR="005F47DE" w:rsidRPr="00336D50" w:rsidRDefault="005F47DE" w:rsidP="0001240D">
            <w:pPr>
              <w:jc w:val="center"/>
            </w:pPr>
            <w:r w:rsidRPr="00336D50">
              <w:t>--</w:t>
            </w:r>
          </w:p>
        </w:tc>
        <w:tc>
          <w:tcPr>
            <w:tcW w:w="1271" w:type="dxa"/>
          </w:tcPr>
          <w:p w:rsidR="005F47DE" w:rsidRPr="00336D50" w:rsidRDefault="005F47DE" w:rsidP="0001240D">
            <w:pPr>
              <w:jc w:val="center"/>
            </w:pPr>
            <w:r>
              <w:t>3</w:t>
            </w:r>
            <w:r w:rsidRPr="00336D50">
              <w:t>.</w:t>
            </w:r>
            <w:r>
              <w:t>895</w:t>
            </w:r>
            <w:r w:rsidRPr="00336D50">
              <w:t xml:space="preserve"> </w:t>
            </w:r>
          </w:p>
        </w:tc>
        <w:tc>
          <w:tcPr>
            <w:tcW w:w="1176" w:type="dxa"/>
          </w:tcPr>
          <w:p w:rsidR="005F47DE" w:rsidRPr="00336D50" w:rsidRDefault="005F47DE" w:rsidP="0001240D">
            <w:pPr>
              <w:jc w:val="center"/>
            </w:pPr>
            <w:r>
              <w:t>4</w:t>
            </w:r>
            <w:r w:rsidRPr="00336D50">
              <w:t>.</w:t>
            </w:r>
            <w:r>
              <w:t>857</w:t>
            </w:r>
          </w:p>
        </w:tc>
        <w:tc>
          <w:tcPr>
            <w:tcW w:w="1216" w:type="dxa"/>
          </w:tcPr>
          <w:p w:rsidR="005F47DE" w:rsidRPr="00336D50" w:rsidRDefault="005F47DE" w:rsidP="0001240D">
            <w:pPr>
              <w:jc w:val="center"/>
            </w:pPr>
            <w:r>
              <w:t>3</w:t>
            </w:r>
            <w:r w:rsidRPr="00336D50">
              <w:t>.</w:t>
            </w:r>
            <w:r>
              <w:t>470</w:t>
            </w:r>
          </w:p>
        </w:tc>
      </w:tr>
      <w:tr w:rsidR="005F47DE" w:rsidRPr="008D1D3B" w:rsidTr="0001240D">
        <w:tc>
          <w:tcPr>
            <w:tcW w:w="950" w:type="dxa"/>
          </w:tcPr>
          <w:p w:rsidR="005F47DE" w:rsidRPr="008D1D3B" w:rsidRDefault="005F47DE" w:rsidP="0001240D">
            <w:pPr>
              <w:jc w:val="both"/>
            </w:pPr>
            <w:r w:rsidRPr="008D1D3B">
              <w:t>B</w:t>
            </w:r>
          </w:p>
        </w:tc>
        <w:tc>
          <w:tcPr>
            <w:tcW w:w="2566" w:type="dxa"/>
          </w:tcPr>
          <w:p w:rsidR="005F47DE" w:rsidRPr="008D1D3B" w:rsidRDefault="005F47DE" w:rsidP="0001240D">
            <w:r w:rsidRPr="008D1D3B">
              <w:t>Distribution Primary</w:t>
            </w:r>
          </w:p>
        </w:tc>
        <w:tc>
          <w:tcPr>
            <w:tcW w:w="1225" w:type="dxa"/>
          </w:tcPr>
          <w:p w:rsidR="005F47DE" w:rsidRPr="00336D50" w:rsidRDefault="005F47DE" w:rsidP="0001240D">
            <w:pPr>
              <w:jc w:val="center"/>
            </w:pPr>
            <w:r w:rsidRPr="00336D50">
              <w:t>--</w:t>
            </w:r>
          </w:p>
        </w:tc>
        <w:tc>
          <w:tcPr>
            <w:tcW w:w="1384" w:type="dxa"/>
          </w:tcPr>
          <w:p w:rsidR="005F47DE" w:rsidRPr="00336D50" w:rsidRDefault="005F47DE" w:rsidP="0001240D">
            <w:pPr>
              <w:jc w:val="center"/>
            </w:pPr>
            <w:r w:rsidRPr="00336D50">
              <w:t>--</w:t>
            </w:r>
          </w:p>
        </w:tc>
        <w:tc>
          <w:tcPr>
            <w:tcW w:w="1271" w:type="dxa"/>
          </w:tcPr>
          <w:p w:rsidR="005F47DE" w:rsidRPr="00336D50" w:rsidRDefault="005F47DE" w:rsidP="0001240D">
            <w:pPr>
              <w:jc w:val="center"/>
            </w:pPr>
            <w:r>
              <w:t>3.934</w:t>
            </w:r>
          </w:p>
        </w:tc>
        <w:tc>
          <w:tcPr>
            <w:tcW w:w="1176" w:type="dxa"/>
          </w:tcPr>
          <w:p w:rsidR="005F47DE" w:rsidRPr="00336D50" w:rsidRDefault="005F47DE" w:rsidP="0001240D">
            <w:pPr>
              <w:jc w:val="center"/>
            </w:pPr>
            <w:r>
              <w:t>4.906</w:t>
            </w:r>
          </w:p>
        </w:tc>
        <w:tc>
          <w:tcPr>
            <w:tcW w:w="1216" w:type="dxa"/>
          </w:tcPr>
          <w:p w:rsidR="005F47DE" w:rsidRPr="00336D50" w:rsidRDefault="005F47DE" w:rsidP="0001240D">
            <w:pPr>
              <w:jc w:val="center"/>
            </w:pPr>
            <w:r>
              <w:t>3.505</w:t>
            </w:r>
          </w:p>
        </w:tc>
      </w:tr>
      <w:tr w:rsidR="005F47DE" w:rsidRPr="008D1D3B" w:rsidTr="0001240D">
        <w:tc>
          <w:tcPr>
            <w:tcW w:w="950" w:type="dxa"/>
          </w:tcPr>
          <w:p w:rsidR="005F47DE" w:rsidRPr="008D1D3B" w:rsidRDefault="005F47DE" w:rsidP="0001240D">
            <w:pPr>
              <w:jc w:val="both"/>
            </w:pPr>
            <w:r w:rsidRPr="008D1D3B">
              <w:t>C</w:t>
            </w:r>
          </w:p>
        </w:tc>
        <w:tc>
          <w:tcPr>
            <w:tcW w:w="2566" w:type="dxa"/>
          </w:tcPr>
          <w:p w:rsidR="005F47DE" w:rsidRPr="008D1D3B" w:rsidRDefault="005F47DE" w:rsidP="0001240D">
            <w:r w:rsidRPr="008D1D3B">
              <w:t>Distribution Secondary</w:t>
            </w:r>
          </w:p>
        </w:tc>
        <w:tc>
          <w:tcPr>
            <w:tcW w:w="1225" w:type="dxa"/>
          </w:tcPr>
          <w:p w:rsidR="005F47DE" w:rsidRPr="00336D50" w:rsidRDefault="005F47DE" w:rsidP="0001240D">
            <w:pPr>
              <w:jc w:val="center"/>
            </w:pPr>
            <w:r>
              <w:t>3.698</w:t>
            </w:r>
          </w:p>
        </w:tc>
        <w:tc>
          <w:tcPr>
            <w:tcW w:w="1384" w:type="dxa"/>
          </w:tcPr>
          <w:p w:rsidR="005F47DE" w:rsidRPr="00336D50" w:rsidRDefault="005F47DE" w:rsidP="0001240D">
            <w:pPr>
              <w:jc w:val="center"/>
            </w:pPr>
            <w:r>
              <w:t>4.698</w:t>
            </w:r>
          </w:p>
        </w:tc>
        <w:tc>
          <w:tcPr>
            <w:tcW w:w="1271" w:type="dxa"/>
          </w:tcPr>
          <w:p w:rsidR="005F47DE" w:rsidRPr="00336D50" w:rsidRDefault="005F47DE" w:rsidP="0001240D">
            <w:pPr>
              <w:jc w:val="center"/>
            </w:pPr>
            <w:r>
              <w:t>3.974</w:t>
            </w:r>
          </w:p>
        </w:tc>
        <w:tc>
          <w:tcPr>
            <w:tcW w:w="1176" w:type="dxa"/>
          </w:tcPr>
          <w:p w:rsidR="005F47DE" w:rsidRPr="00336D50" w:rsidRDefault="005F47DE" w:rsidP="0001240D">
            <w:pPr>
              <w:jc w:val="center"/>
            </w:pPr>
            <w:r>
              <w:t>4.956</w:t>
            </w:r>
          </w:p>
        </w:tc>
        <w:tc>
          <w:tcPr>
            <w:tcW w:w="1216" w:type="dxa"/>
          </w:tcPr>
          <w:p w:rsidR="005F47DE" w:rsidRPr="00336D50" w:rsidRDefault="005F47DE" w:rsidP="0001240D">
            <w:pPr>
              <w:jc w:val="center"/>
            </w:pPr>
            <w:r>
              <w:t>3.541</w:t>
            </w:r>
          </w:p>
        </w:tc>
      </w:tr>
      <w:tr w:rsidR="005F47DE" w:rsidRPr="008F67CD" w:rsidTr="0001240D">
        <w:tc>
          <w:tcPr>
            <w:tcW w:w="950" w:type="dxa"/>
          </w:tcPr>
          <w:p w:rsidR="005F47DE" w:rsidRPr="008D1D3B" w:rsidRDefault="005F47DE" w:rsidP="0001240D">
            <w:pPr>
              <w:jc w:val="both"/>
            </w:pPr>
            <w:r w:rsidRPr="008D1D3B">
              <w:t>D</w:t>
            </w:r>
          </w:p>
        </w:tc>
        <w:tc>
          <w:tcPr>
            <w:tcW w:w="2566" w:type="dxa"/>
          </w:tcPr>
          <w:p w:rsidR="005F47DE" w:rsidRPr="008D1D3B" w:rsidRDefault="005F47DE" w:rsidP="0001240D">
            <w:r w:rsidRPr="008D1D3B">
              <w:t>Lighting Secondary</w:t>
            </w:r>
          </w:p>
        </w:tc>
        <w:tc>
          <w:tcPr>
            <w:tcW w:w="1225" w:type="dxa"/>
          </w:tcPr>
          <w:p w:rsidR="005F47DE" w:rsidRPr="00336D50" w:rsidRDefault="005F47DE" w:rsidP="0001240D">
            <w:pPr>
              <w:jc w:val="center"/>
            </w:pPr>
            <w:r w:rsidRPr="00336D50">
              <w:t>--</w:t>
            </w:r>
          </w:p>
        </w:tc>
        <w:tc>
          <w:tcPr>
            <w:tcW w:w="1384" w:type="dxa"/>
          </w:tcPr>
          <w:p w:rsidR="005F47DE" w:rsidRPr="00336D50" w:rsidRDefault="005F47DE" w:rsidP="0001240D">
            <w:pPr>
              <w:jc w:val="center"/>
            </w:pPr>
            <w:r w:rsidRPr="00336D50">
              <w:t>--</w:t>
            </w:r>
          </w:p>
        </w:tc>
        <w:tc>
          <w:tcPr>
            <w:tcW w:w="1271" w:type="dxa"/>
          </w:tcPr>
          <w:p w:rsidR="005F47DE" w:rsidRPr="00336D50" w:rsidRDefault="005F47DE" w:rsidP="0001240D">
            <w:pPr>
              <w:jc w:val="center"/>
            </w:pPr>
            <w:r>
              <w:t>3.805</w:t>
            </w:r>
          </w:p>
        </w:tc>
        <w:tc>
          <w:tcPr>
            <w:tcW w:w="1176" w:type="dxa"/>
          </w:tcPr>
          <w:p w:rsidR="005F47DE" w:rsidRPr="00336D50" w:rsidRDefault="005F47DE" w:rsidP="0001240D">
            <w:pPr>
              <w:jc w:val="center"/>
            </w:pPr>
            <w:r w:rsidRPr="00336D50">
              <w:t>--</w:t>
            </w:r>
          </w:p>
        </w:tc>
        <w:tc>
          <w:tcPr>
            <w:tcW w:w="1216" w:type="dxa"/>
          </w:tcPr>
          <w:p w:rsidR="005F47DE" w:rsidRPr="00336D50" w:rsidRDefault="005F47DE" w:rsidP="0001240D">
            <w:pPr>
              <w:jc w:val="center"/>
            </w:pPr>
            <w:r w:rsidRPr="00336D50">
              <w:t>--</w:t>
            </w:r>
          </w:p>
        </w:tc>
      </w:tr>
    </w:tbl>
    <w:p w:rsidR="008E7827" w:rsidRPr="001173DE" w:rsidRDefault="001173DE" w:rsidP="005F47DE">
      <w:pPr>
        <w:keepNext/>
        <w:tabs>
          <w:tab w:val="left" w:pos="8571"/>
        </w:tabs>
        <w:autoSpaceDE w:val="0"/>
        <w:autoSpaceDN w:val="0"/>
        <w:adjustRightInd w:val="0"/>
        <w:ind w:left="1440" w:hanging="1440"/>
        <w:jc w:val="both"/>
        <w:rPr>
          <w:sz w:val="22"/>
          <w:szCs w:val="22"/>
        </w:rPr>
      </w:pPr>
      <w:r w:rsidRPr="001173DE">
        <w:rPr>
          <w:sz w:val="22"/>
          <w:szCs w:val="22"/>
        </w:rPr>
        <w:t>Source: Schedule E1-E</w:t>
      </w:r>
      <w:r>
        <w:rPr>
          <w:sz w:val="22"/>
          <w:szCs w:val="22"/>
        </w:rPr>
        <w:t xml:space="preserve"> </w:t>
      </w:r>
      <w:r w:rsidRPr="001173DE">
        <w:rPr>
          <w:sz w:val="22"/>
          <w:szCs w:val="22"/>
        </w:rPr>
        <w:t>(Exhibit CAM-3, Part II, Page 1 of 1)</w:t>
      </w:r>
    </w:p>
    <w:p w:rsidR="008A56AD" w:rsidRDefault="008A56AD" w:rsidP="009570AF">
      <w:pPr>
        <w:ind w:left="1440" w:hanging="1440"/>
        <w:jc w:val="both"/>
      </w:pPr>
    </w:p>
    <w:p w:rsidR="009570AF" w:rsidRDefault="009570AF" w:rsidP="009570AF">
      <w:pPr>
        <w:ind w:left="1440" w:hanging="1440"/>
        <w:jc w:val="both"/>
      </w:pPr>
      <w:r w:rsidRPr="00310585">
        <w:t>FPL:</w:t>
      </w:r>
      <w:r w:rsidRPr="00310585">
        <w:rPr>
          <w:b/>
        </w:rPr>
        <w:tab/>
      </w:r>
      <w:r w:rsidRPr="00310585">
        <w:t>The appropriate fuel cost recovery factors for each rate class/delivery voltage level class adjusted for line losses are shown below. The factors for January and February, 2019 are shown in Tables 22-2 and 22-3 below. The factors for March through May, 2019 are shown in Tables 22-4 and 22-5 below. The factors for June through December, 2019 are shown in Tables 22-6 and 22-7 below:</w:t>
      </w:r>
    </w:p>
    <w:p w:rsidR="005F47DE" w:rsidRDefault="005F47DE" w:rsidP="009570AF">
      <w:pPr>
        <w:ind w:left="1440" w:hanging="1440"/>
        <w:jc w:val="both"/>
      </w:pPr>
    </w:p>
    <w:p w:rsidR="009570AF" w:rsidRPr="00310585" w:rsidRDefault="009570AF" w:rsidP="009570AF">
      <w:pPr>
        <w:jc w:val="center"/>
        <w:rPr>
          <w:rFonts w:ascii="Arial" w:hAnsi="Arial" w:cs="Arial"/>
          <w:b/>
        </w:rPr>
      </w:pPr>
      <w:r w:rsidRPr="00310585">
        <w:rPr>
          <w:rFonts w:ascii="Arial" w:hAnsi="Arial" w:cs="Arial"/>
          <w:b/>
        </w:rPr>
        <w:t>Table 22-2</w:t>
      </w:r>
    </w:p>
    <w:p w:rsidR="009570AF" w:rsidRPr="00310585" w:rsidRDefault="009570AF" w:rsidP="009570AF">
      <w:pPr>
        <w:ind w:left="1440" w:hanging="1440"/>
        <w:jc w:val="center"/>
        <w:rPr>
          <w:rFonts w:ascii="Arial" w:hAnsi="Arial" w:cs="Arial"/>
        </w:rPr>
      </w:pPr>
      <w:r w:rsidRPr="00310585">
        <w:rPr>
          <w:rFonts w:ascii="Arial" w:hAnsi="Arial" w:cs="Arial"/>
          <w:b/>
        </w:rPr>
        <w:t>FPL Fuel Cost Recovery Factors for the period January-February, 2019</w:t>
      </w:r>
      <w:r w:rsidRPr="00310585">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9570AF" w:rsidRPr="00310585" w:rsidTr="009570AF">
        <w:tc>
          <w:tcPr>
            <w:tcW w:w="9468" w:type="dxa"/>
            <w:gridSpan w:val="5"/>
          </w:tcPr>
          <w:p w:rsidR="009570AF" w:rsidRPr="00310585" w:rsidRDefault="009570AF" w:rsidP="009570AF">
            <w:pPr>
              <w:jc w:val="center"/>
            </w:pPr>
            <w:r w:rsidRPr="00310585">
              <w:t>Fuel Recovery Factors – By Rate Group (Adjusted for Line Losses)</w:t>
            </w:r>
          </w:p>
        </w:tc>
      </w:tr>
      <w:tr w:rsidR="009570AF" w:rsidRPr="00310585" w:rsidTr="009570AF">
        <w:tc>
          <w:tcPr>
            <w:tcW w:w="9468" w:type="dxa"/>
            <w:gridSpan w:val="5"/>
          </w:tcPr>
          <w:p w:rsidR="009570AF" w:rsidRPr="00310585" w:rsidRDefault="009570AF" w:rsidP="009570AF">
            <w:pPr>
              <w:jc w:val="center"/>
            </w:pPr>
            <w:r w:rsidRPr="00310585">
              <w:t>For the Period January through February, 2019</w:t>
            </w:r>
          </w:p>
        </w:tc>
      </w:tr>
      <w:tr w:rsidR="009570AF" w:rsidRPr="00310585" w:rsidTr="009570AF">
        <w:tc>
          <w:tcPr>
            <w:tcW w:w="900" w:type="dxa"/>
            <w:vAlign w:val="center"/>
          </w:tcPr>
          <w:p w:rsidR="009570AF" w:rsidRPr="00310585" w:rsidRDefault="009570AF" w:rsidP="009570AF">
            <w:pPr>
              <w:jc w:val="center"/>
            </w:pPr>
            <w:r w:rsidRPr="00310585">
              <w:t>Group</w:t>
            </w:r>
          </w:p>
        </w:tc>
        <w:tc>
          <w:tcPr>
            <w:tcW w:w="5220" w:type="dxa"/>
            <w:vAlign w:val="center"/>
          </w:tcPr>
          <w:p w:rsidR="009570AF" w:rsidRPr="00310585" w:rsidRDefault="009570AF" w:rsidP="009570AF">
            <w:pPr>
              <w:jc w:val="center"/>
            </w:pPr>
            <w:r w:rsidRPr="00310585">
              <w:t>Rate Schedule</w:t>
            </w:r>
          </w:p>
        </w:tc>
        <w:tc>
          <w:tcPr>
            <w:tcW w:w="900" w:type="dxa"/>
            <w:vAlign w:val="center"/>
          </w:tcPr>
          <w:p w:rsidR="009570AF" w:rsidRPr="00310585" w:rsidRDefault="009570AF" w:rsidP="009570AF">
            <w:pPr>
              <w:jc w:val="center"/>
            </w:pPr>
            <w:r w:rsidRPr="00310585">
              <w:t>Avg. Factor</w:t>
            </w:r>
          </w:p>
        </w:tc>
        <w:tc>
          <w:tcPr>
            <w:tcW w:w="1260" w:type="dxa"/>
            <w:vAlign w:val="center"/>
          </w:tcPr>
          <w:p w:rsidR="009570AF" w:rsidRPr="00310585" w:rsidRDefault="009570AF" w:rsidP="009570AF">
            <w:pPr>
              <w:jc w:val="center"/>
            </w:pPr>
            <w:r w:rsidRPr="00310585">
              <w:t>Loss Multiplier</w:t>
            </w:r>
          </w:p>
        </w:tc>
        <w:tc>
          <w:tcPr>
            <w:tcW w:w="1188" w:type="dxa"/>
            <w:vAlign w:val="center"/>
          </w:tcPr>
          <w:p w:rsidR="009570AF" w:rsidRPr="00310585" w:rsidRDefault="009570AF" w:rsidP="009570AF">
            <w:pPr>
              <w:jc w:val="center"/>
            </w:pPr>
            <w:r w:rsidRPr="00310585">
              <w:t>Fuel Recovery Factor</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A</w:t>
            </w:r>
          </w:p>
        </w:tc>
        <w:tc>
          <w:tcPr>
            <w:tcW w:w="5220" w:type="dxa"/>
          </w:tcPr>
          <w:p w:rsidR="009570AF" w:rsidRPr="00310585" w:rsidRDefault="009570AF" w:rsidP="009570AF">
            <w:pPr>
              <w:jc w:val="center"/>
              <w:rPr>
                <w:sz w:val="22"/>
                <w:szCs w:val="22"/>
              </w:rPr>
            </w:pPr>
            <w:r w:rsidRPr="00310585">
              <w:rPr>
                <w:sz w:val="22"/>
                <w:szCs w:val="22"/>
              </w:rPr>
              <w:t>RS-1 first 1,000 kWh</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2.412</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RS-1, all addl. kWh</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3.412</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GS-1, SL-2, GSCU-1, WIES-1</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2.748</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A-1</w:t>
            </w:r>
          </w:p>
        </w:tc>
        <w:tc>
          <w:tcPr>
            <w:tcW w:w="5220" w:type="dxa"/>
          </w:tcPr>
          <w:p w:rsidR="009570AF" w:rsidRPr="00310585" w:rsidRDefault="009570AF" w:rsidP="009570AF">
            <w:pPr>
              <w:jc w:val="center"/>
              <w:rPr>
                <w:sz w:val="22"/>
                <w:szCs w:val="22"/>
              </w:rPr>
            </w:pPr>
            <w:r w:rsidRPr="00310585">
              <w:rPr>
                <w:sz w:val="22"/>
                <w:szCs w:val="22"/>
              </w:rPr>
              <w:t>SL-1, OL-1, PL-1</w:t>
            </w:r>
          </w:p>
        </w:tc>
        <w:tc>
          <w:tcPr>
            <w:tcW w:w="900" w:type="dxa"/>
          </w:tcPr>
          <w:p w:rsidR="009570AF" w:rsidRPr="00310585" w:rsidRDefault="009570AF" w:rsidP="009570AF">
            <w:pPr>
              <w:jc w:val="center"/>
              <w:rPr>
                <w:sz w:val="22"/>
                <w:szCs w:val="22"/>
              </w:rPr>
            </w:pPr>
            <w:r w:rsidRPr="00310585">
              <w:rPr>
                <w:sz w:val="22"/>
                <w:szCs w:val="22"/>
              </w:rPr>
              <w:t>2.591</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2.604</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B</w:t>
            </w:r>
          </w:p>
        </w:tc>
        <w:tc>
          <w:tcPr>
            <w:tcW w:w="5220" w:type="dxa"/>
          </w:tcPr>
          <w:p w:rsidR="009570AF" w:rsidRPr="00310585" w:rsidRDefault="009570AF" w:rsidP="009570AF">
            <w:pPr>
              <w:jc w:val="center"/>
              <w:rPr>
                <w:sz w:val="22"/>
                <w:szCs w:val="22"/>
              </w:rPr>
            </w:pPr>
            <w:r w:rsidRPr="00310585">
              <w:rPr>
                <w:sz w:val="22"/>
                <w:szCs w:val="22"/>
              </w:rPr>
              <w:t>GSD-1</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2.748</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C</w:t>
            </w:r>
          </w:p>
        </w:tc>
        <w:tc>
          <w:tcPr>
            <w:tcW w:w="5220" w:type="dxa"/>
          </w:tcPr>
          <w:p w:rsidR="009570AF" w:rsidRPr="00310585" w:rsidRDefault="009570AF" w:rsidP="009570AF">
            <w:pPr>
              <w:jc w:val="center"/>
              <w:rPr>
                <w:sz w:val="22"/>
                <w:szCs w:val="22"/>
              </w:rPr>
            </w:pPr>
            <w:r w:rsidRPr="00310585">
              <w:rPr>
                <w:sz w:val="22"/>
                <w:szCs w:val="22"/>
              </w:rPr>
              <w:t>GSLD-1, CS-1</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2.746</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D</w:t>
            </w:r>
          </w:p>
        </w:tc>
        <w:tc>
          <w:tcPr>
            <w:tcW w:w="5220" w:type="dxa"/>
          </w:tcPr>
          <w:p w:rsidR="009570AF" w:rsidRPr="00310585" w:rsidRDefault="009570AF" w:rsidP="009570AF">
            <w:pPr>
              <w:jc w:val="center"/>
              <w:rPr>
                <w:sz w:val="22"/>
                <w:szCs w:val="22"/>
              </w:rPr>
            </w:pPr>
            <w:r w:rsidRPr="00310585">
              <w:rPr>
                <w:sz w:val="22"/>
                <w:szCs w:val="22"/>
              </w:rPr>
              <w:t>GSLD-2, CS-2, OS-2, MET</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0.99638</w:t>
            </w:r>
          </w:p>
        </w:tc>
        <w:tc>
          <w:tcPr>
            <w:tcW w:w="1188" w:type="dxa"/>
          </w:tcPr>
          <w:p w:rsidR="009570AF" w:rsidRPr="00310585" w:rsidRDefault="009570AF" w:rsidP="009570AF">
            <w:pPr>
              <w:jc w:val="center"/>
              <w:rPr>
                <w:sz w:val="22"/>
                <w:szCs w:val="22"/>
              </w:rPr>
            </w:pPr>
            <w:r w:rsidRPr="00310585">
              <w:rPr>
                <w:sz w:val="22"/>
                <w:szCs w:val="22"/>
              </w:rPr>
              <w:t>2.725</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E</w:t>
            </w:r>
          </w:p>
        </w:tc>
        <w:tc>
          <w:tcPr>
            <w:tcW w:w="5220" w:type="dxa"/>
          </w:tcPr>
          <w:p w:rsidR="009570AF" w:rsidRPr="00310585" w:rsidRDefault="009570AF" w:rsidP="009570AF">
            <w:pPr>
              <w:jc w:val="center"/>
              <w:rPr>
                <w:sz w:val="22"/>
                <w:szCs w:val="22"/>
              </w:rPr>
            </w:pPr>
            <w:r w:rsidRPr="00310585">
              <w:rPr>
                <w:sz w:val="22"/>
                <w:szCs w:val="22"/>
              </w:rPr>
              <w:t>GSLD-3, CS-3</w:t>
            </w:r>
          </w:p>
        </w:tc>
        <w:tc>
          <w:tcPr>
            <w:tcW w:w="900" w:type="dxa"/>
          </w:tcPr>
          <w:p w:rsidR="009570AF" w:rsidRPr="00310585" w:rsidRDefault="009570AF" w:rsidP="009570AF">
            <w:pPr>
              <w:jc w:val="center"/>
              <w:rPr>
                <w:sz w:val="22"/>
                <w:szCs w:val="22"/>
              </w:rPr>
            </w:pPr>
            <w:r w:rsidRPr="00310585">
              <w:rPr>
                <w:sz w:val="22"/>
                <w:szCs w:val="22"/>
              </w:rPr>
              <w:t>2.735</w:t>
            </w:r>
          </w:p>
        </w:tc>
        <w:tc>
          <w:tcPr>
            <w:tcW w:w="1260" w:type="dxa"/>
          </w:tcPr>
          <w:p w:rsidR="009570AF" w:rsidRPr="00310585" w:rsidRDefault="009570AF" w:rsidP="009570AF">
            <w:pPr>
              <w:jc w:val="center"/>
              <w:rPr>
                <w:sz w:val="22"/>
                <w:szCs w:val="22"/>
              </w:rPr>
            </w:pPr>
            <w:r w:rsidRPr="00310585">
              <w:rPr>
                <w:sz w:val="22"/>
                <w:szCs w:val="22"/>
              </w:rPr>
              <w:t>0.97324</w:t>
            </w:r>
          </w:p>
        </w:tc>
        <w:tc>
          <w:tcPr>
            <w:tcW w:w="1188" w:type="dxa"/>
          </w:tcPr>
          <w:p w:rsidR="009570AF" w:rsidRPr="00310585" w:rsidRDefault="009570AF" w:rsidP="009570AF">
            <w:pPr>
              <w:jc w:val="center"/>
              <w:rPr>
                <w:sz w:val="22"/>
                <w:szCs w:val="22"/>
              </w:rPr>
            </w:pPr>
            <w:r w:rsidRPr="00310585">
              <w:rPr>
                <w:sz w:val="22"/>
                <w:szCs w:val="22"/>
              </w:rPr>
              <w:t>2.662</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A</w:t>
            </w:r>
          </w:p>
        </w:tc>
        <w:tc>
          <w:tcPr>
            <w:tcW w:w="5220" w:type="dxa"/>
          </w:tcPr>
          <w:p w:rsidR="009570AF" w:rsidRPr="00310585" w:rsidRDefault="009570AF" w:rsidP="009570AF">
            <w:pPr>
              <w:jc w:val="center"/>
              <w:rPr>
                <w:sz w:val="22"/>
                <w:szCs w:val="22"/>
              </w:rPr>
            </w:pPr>
            <w:r w:rsidRPr="00310585">
              <w:rPr>
                <w:sz w:val="22"/>
                <w:szCs w:val="22"/>
              </w:rPr>
              <w:t>GST-1 On-Peak</w:t>
            </w:r>
          </w:p>
        </w:tc>
        <w:tc>
          <w:tcPr>
            <w:tcW w:w="900" w:type="dxa"/>
          </w:tcPr>
          <w:p w:rsidR="009570AF" w:rsidRPr="00310585" w:rsidRDefault="009570AF" w:rsidP="009570AF">
            <w:pPr>
              <w:jc w:val="center"/>
              <w:rPr>
                <w:sz w:val="22"/>
                <w:szCs w:val="22"/>
              </w:rPr>
            </w:pPr>
            <w:r w:rsidRPr="00310585">
              <w:rPr>
                <w:sz w:val="22"/>
                <w:szCs w:val="22"/>
              </w:rPr>
              <w:t>3.457</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3.474</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GST-1 Off Peak</w:t>
            </w:r>
          </w:p>
        </w:tc>
        <w:tc>
          <w:tcPr>
            <w:tcW w:w="900" w:type="dxa"/>
          </w:tcPr>
          <w:p w:rsidR="009570AF" w:rsidRPr="00310585" w:rsidRDefault="009570AF" w:rsidP="009570AF">
            <w:pPr>
              <w:jc w:val="center"/>
              <w:rPr>
                <w:sz w:val="22"/>
                <w:szCs w:val="22"/>
              </w:rPr>
            </w:pPr>
            <w:r w:rsidRPr="00310585">
              <w:rPr>
                <w:sz w:val="22"/>
                <w:szCs w:val="22"/>
              </w:rPr>
              <w:t>2.426</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2.438</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RTR-1 On-Peak</w:t>
            </w:r>
          </w:p>
        </w:tc>
        <w:tc>
          <w:tcPr>
            <w:tcW w:w="900" w:type="dxa"/>
          </w:tcPr>
          <w:p w:rsidR="009570AF" w:rsidRPr="00310585" w:rsidRDefault="009570AF" w:rsidP="009570AF">
            <w:pPr>
              <w:jc w:val="center"/>
              <w:rPr>
                <w:sz w:val="22"/>
                <w:szCs w:val="22"/>
              </w:rPr>
            </w:pPr>
            <w:r w:rsidRPr="00310585">
              <w:rPr>
                <w:sz w:val="22"/>
                <w:szCs w:val="22"/>
              </w:rPr>
              <w:t>-</w:t>
            </w:r>
          </w:p>
        </w:tc>
        <w:tc>
          <w:tcPr>
            <w:tcW w:w="1260" w:type="dxa"/>
          </w:tcPr>
          <w:p w:rsidR="009570AF" w:rsidRPr="00310585" w:rsidRDefault="009570AF" w:rsidP="009570AF">
            <w:pPr>
              <w:jc w:val="center"/>
              <w:rPr>
                <w:sz w:val="22"/>
                <w:szCs w:val="22"/>
              </w:rPr>
            </w:pPr>
            <w:r w:rsidRPr="00310585">
              <w:rPr>
                <w:sz w:val="22"/>
                <w:szCs w:val="22"/>
              </w:rPr>
              <w:t>-</w:t>
            </w:r>
          </w:p>
        </w:tc>
        <w:tc>
          <w:tcPr>
            <w:tcW w:w="1188" w:type="dxa"/>
          </w:tcPr>
          <w:p w:rsidR="009570AF" w:rsidRPr="00310585" w:rsidRDefault="009570AF" w:rsidP="009570AF">
            <w:pPr>
              <w:jc w:val="center"/>
              <w:rPr>
                <w:sz w:val="22"/>
                <w:szCs w:val="22"/>
              </w:rPr>
            </w:pPr>
            <w:r w:rsidRPr="00310585">
              <w:rPr>
                <w:sz w:val="22"/>
                <w:szCs w:val="22"/>
              </w:rPr>
              <w:t>0.726</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RTR-1 Off-Peak</w:t>
            </w:r>
          </w:p>
        </w:tc>
        <w:tc>
          <w:tcPr>
            <w:tcW w:w="900" w:type="dxa"/>
          </w:tcPr>
          <w:p w:rsidR="009570AF" w:rsidRPr="00310585" w:rsidRDefault="009570AF" w:rsidP="009570AF">
            <w:pPr>
              <w:jc w:val="center"/>
              <w:rPr>
                <w:sz w:val="22"/>
                <w:szCs w:val="22"/>
              </w:rPr>
            </w:pPr>
            <w:r w:rsidRPr="00310585">
              <w:rPr>
                <w:sz w:val="22"/>
                <w:szCs w:val="22"/>
              </w:rPr>
              <w:t>-</w:t>
            </w:r>
          </w:p>
        </w:tc>
        <w:tc>
          <w:tcPr>
            <w:tcW w:w="1260" w:type="dxa"/>
          </w:tcPr>
          <w:p w:rsidR="009570AF" w:rsidRPr="00310585" w:rsidRDefault="009570AF" w:rsidP="009570AF">
            <w:pPr>
              <w:jc w:val="center"/>
              <w:rPr>
                <w:sz w:val="22"/>
                <w:szCs w:val="22"/>
              </w:rPr>
            </w:pPr>
            <w:r w:rsidRPr="00310585">
              <w:rPr>
                <w:sz w:val="22"/>
                <w:szCs w:val="22"/>
              </w:rPr>
              <w:t>-</w:t>
            </w:r>
          </w:p>
        </w:tc>
        <w:tc>
          <w:tcPr>
            <w:tcW w:w="1188" w:type="dxa"/>
          </w:tcPr>
          <w:p w:rsidR="009570AF" w:rsidRPr="00310585" w:rsidRDefault="009570AF" w:rsidP="009570AF">
            <w:pPr>
              <w:jc w:val="center"/>
              <w:rPr>
                <w:sz w:val="22"/>
                <w:szCs w:val="22"/>
              </w:rPr>
            </w:pPr>
            <w:r w:rsidRPr="00310585">
              <w:rPr>
                <w:sz w:val="22"/>
                <w:szCs w:val="22"/>
              </w:rPr>
              <w:t>(0.310)</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B</w:t>
            </w:r>
          </w:p>
        </w:tc>
        <w:tc>
          <w:tcPr>
            <w:tcW w:w="5220" w:type="dxa"/>
          </w:tcPr>
          <w:p w:rsidR="009570AF" w:rsidRPr="00310585" w:rsidRDefault="009570AF" w:rsidP="009570AF">
            <w:pPr>
              <w:jc w:val="center"/>
              <w:rPr>
                <w:sz w:val="22"/>
                <w:szCs w:val="22"/>
              </w:rPr>
            </w:pPr>
            <w:r w:rsidRPr="00310585">
              <w:rPr>
                <w:sz w:val="22"/>
                <w:szCs w:val="22"/>
              </w:rPr>
              <w:t>GSDT-1, CILC-1(G), HLFT-1 (21-499 kW) On Peak</w:t>
            </w:r>
          </w:p>
        </w:tc>
        <w:tc>
          <w:tcPr>
            <w:tcW w:w="900" w:type="dxa"/>
            <w:vAlign w:val="center"/>
          </w:tcPr>
          <w:p w:rsidR="009570AF" w:rsidRPr="00310585" w:rsidRDefault="009570AF" w:rsidP="009570AF">
            <w:pPr>
              <w:jc w:val="center"/>
              <w:rPr>
                <w:sz w:val="22"/>
                <w:szCs w:val="22"/>
              </w:rPr>
            </w:pPr>
            <w:r w:rsidRPr="00310585">
              <w:rPr>
                <w:sz w:val="22"/>
                <w:szCs w:val="22"/>
              </w:rPr>
              <w:t>3.457</w:t>
            </w:r>
          </w:p>
        </w:tc>
        <w:tc>
          <w:tcPr>
            <w:tcW w:w="1260" w:type="dxa"/>
            <w:vAlign w:val="center"/>
          </w:tcPr>
          <w:p w:rsidR="009570AF" w:rsidRPr="00310585" w:rsidRDefault="009570AF" w:rsidP="009570AF">
            <w:pPr>
              <w:jc w:val="center"/>
              <w:rPr>
                <w:sz w:val="22"/>
                <w:szCs w:val="22"/>
              </w:rPr>
            </w:pPr>
            <w:r w:rsidRPr="00310585">
              <w:rPr>
                <w:sz w:val="22"/>
                <w:szCs w:val="22"/>
              </w:rPr>
              <w:t>1.00481</w:t>
            </w:r>
          </w:p>
        </w:tc>
        <w:tc>
          <w:tcPr>
            <w:tcW w:w="1188" w:type="dxa"/>
            <w:vAlign w:val="center"/>
          </w:tcPr>
          <w:p w:rsidR="009570AF" w:rsidRPr="00310585" w:rsidRDefault="009570AF" w:rsidP="009570AF">
            <w:pPr>
              <w:jc w:val="center"/>
              <w:rPr>
                <w:sz w:val="22"/>
                <w:szCs w:val="22"/>
              </w:rPr>
            </w:pPr>
            <w:r w:rsidRPr="00310585">
              <w:rPr>
                <w:sz w:val="22"/>
                <w:szCs w:val="22"/>
              </w:rPr>
              <w:t>3.474</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GSDT-1, CILC-1(G), HLFT-1 (21-499 kW) Off Peak</w:t>
            </w:r>
          </w:p>
        </w:tc>
        <w:tc>
          <w:tcPr>
            <w:tcW w:w="900" w:type="dxa"/>
            <w:vAlign w:val="center"/>
          </w:tcPr>
          <w:p w:rsidR="009570AF" w:rsidRPr="00310585" w:rsidRDefault="009570AF" w:rsidP="009570AF">
            <w:pPr>
              <w:jc w:val="center"/>
              <w:rPr>
                <w:sz w:val="22"/>
                <w:szCs w:val="22"/>
              </w:rPr>
            </w:pPr>
            <w:r w:rsidRPr="00310585">
              <w:rPr>
                <w:sz w:val="22"/>
                <w:szCs w:val="22"/>
              </w:rPr>
              <w:t>2.426</w:t>
            </w:r>
          </w:p>
        </w:tc>
        <w:tc>
          <w:tcPr>
            <w:tcW w:w="1260" w:type="dxa"/>
            <w:vAlign w:val="center"/>
          </w:tcPr>
          <w:p w:rsidR="009570AF" w:rsidRPr="00310585" w:rsidRDefault="009570AF" w:rsidP="009570AF">
            <w:pPr>
              <w:jc w:val="center"/>
              <w:rPr>
                <w:sz w:val="22"/>
                <w:szCs w:val="22"/>
              </w:rPr>
            </w:pPr>
            <w:r w:rsidRPr="00310585">
              <w:rPr>
                <w:sz w:val="22"/>
                <w:szCs w:val="22"/>
              </w:rPr>
              <w:t>1.00481</w:t>
            </w:r>
          </w:p>
        </w:tc>
        <w:tc>
          <w:tcPr>
            <w:tcW w:w="1188" w:type="dxa"/>
            <w:vAlign w:val="center"/>
          </w:tcPr>
          <w:p w:rsidR="009570AF" w:rsidRPr="00310585" w:rsidRDefault="009570AF" w:rsidP="009570AF">
            <w:pPr>
              <w:jc w:val="center"/>
              <w:rPr>
                <w:sz w:val="22"/>
                <w:szCs w:val="22"/>
              </w:rPr>
            </w:pPr>
            <w:r w:rsidRPr="00310585">
              <w:rPr>
                <w:sz w:val="22"/>
                <w:szCs w:val="22"/>
              </w:rPr>
              <w:t>2.438</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C</w:t>
            </w:r>
          </w:p>
        </w:tc>
        <w:tc>
          <w:tcPr>
            <w:tcW w:w="5220" w:type="dxa"/>
          </w:tcPr>
          <w:p w:rsidR="009570AF" w:rsidRPr="00310585" w:rsidRDefault="009570AF" w:rsidP="009570AF">
            <w:pPr>
              <w:jc w:val="center"/>
              <w:rPr>
                <w:sz w:val="22"/>
                <w:szCs w:val="22"/>
              </w:rPr>
            </w:pPr>
            <w:r w:rsidRPr="00310585">
              <w:rPr>
                <w:sz w:val="22"/>
                <w:szCs w:val="22"/>
              </w:rPr>
              <w:t>GSDLT-1, CST-1, HLFT-2 (500-1,9999 kW) On Peak</w:t>
            </w:r>
          </w:p>
        </w:tc>
        <w:tc>
          <w:tcPr>
            <w:tcW w:w="900" w:type="dxa"/>
            <w:vAlign w:val="center"/>
          </w:tcPr>
          <w:p w:rsidR="009570AF" w:rsidRPr="00310585" w:rsidRDefault="009570AF" w:rsidP="009570AF">
            <w:pPr>
              <w:jc w:val="center"/>
              <w:rPr>
                <w:sz w:val="22"/>
                <w:szCs w:val="22"/>
              </w:rPr>
            </w:pPr>
            <w:r w:rsidRPr="00310585">
              <w:rPr>
                <w:sz w:val="22"/>
                <w:szCs w:val="22"/>
              </w:rPr>
              <w:t>3.457</w:t>
            </w:r>
          </w:p>
        </w:tc>
        <w:tc>
          <w:tcPr>
            <w:tcW w:w="1260" w:type="dxa"/>
            <w:vAlign w:val="center"/>
          </w:tcPr>
          <w:p w:rsidR="009570AF" w:rsidRPr="00310585" w:rsidRDefault="009570AF" w:rsidP="009570AF">
            <w:pPr>
              <w:jc w:val="center"/>
              <w:rPr>
                <w:sz w:val="22"/>
                <w:szCs w:val="22"/>
              </w:rPr>
            </w:pPr>
            <w:r w:rsidRPr="00310585">
              <w:rPr>
                <w:sz w:val="22"/>
                <w:szCs w:val="22"/>
              </w:rPr>
              <w:t>1.00412</w:t>
            </w:r>
          </w:p>
        </w:tc>
        <w:tc>
          <w:tcPr>
            <w:tcW w:w="1188" w:type="dxa"/>
            <w:vAlign w:val="center"/>
          </w:tcPr>
          <w:p w:rsidR="009570AF" w:rsidRPr="00310585" w:rsidRDefault="009570AF" w:rsidP="009570AF">
            <w:pPr>
              <w:jc w:val="center"/>
              <w:rPr>
                <w:sz w:val="22"/>
                <w:szCs w:val="22"/>
              </w:rPr>
            </w:pPr>
            <w:r w:rsidRPr="00310585">
              <w:rPr>
                <w:sz w:val="22"/>
                <w:szCs w:val="22"/>
              </w:rPr>
              <w:t>3.471</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GSDLT-1, CST-1, HLFT-2 (500-1,9999 kW) Off Peak</w:t>
            </w:r>
          </w:p>
        </w:tc>
        <w:tc>
          <w:tcPr>
            <w:tcW w:w="900" w:type="dxa"/>
            <w:vAlign w:val="center"/>
          </w:tcPr>
          <w:p w:rsidR="009570AF" w:rsidRPr="00310585" w:rsidRDefault="009570AF" w:rsidP="009570AF">
            <w:pPr>
              <w:jc w:val="center"/>
              <w:rPr>
                <w:sz w:val="22"/>
                <w:szCs w:val="22"/>
              </w:rPr>
            </w:pPr>
            <w:r w:rsidRPr="00310585">
              <w:rPr>
                <w:sz w:val="22"/>
                <w:szCs w:val="22"/>
              </w:rPr>
              <w:t>2.426</w:t>
            </w:r>
          </w:p>
        </w:tc>
        <w:tc>
          <w:tcPr>
            <w:tcW w:w="1260" w:type="dxa"/>
            <w:vAlign w:val="center"/>
          </w:tcPr>
          <w:p w:rsidR="009570AF" w:rsidRPr="00310585" w:rsidRDefault="009570AF" w:rsidP="009570AF">
            <w:pPr>
              <w:jc w:val="center"/>
              <w:rPr>
                <w:sz w:val="22"/>
                <w:szCs w:val="22"/>
              </w:rPr>
            </w:pPr>
            <w:r w:rsidRPr="00310585">
              <w:rPr>
                <w:sz w:val="22"/>
                <w:szCs w:val="22"/>
              </w:rPr>
              <w:t>1.00412</w:t>
            </w:r>
          </w:p>
        </w:tc>
        <w:tc>
          <w:tcPr>
            <w:tcW w:w="1188" w:type="dxa"/>
            <w:vAlign w:val="center"/>
          </w:tcPr>
          <w:p w:rsidR="009570AF" w:rsidRPr="00310585" w:rsidRDefault="009570AF" w:rsidP="009570AF">
            <w:pPr>
              <w:jc w:val="center"/>
              <w:rPr>
                <w:sz w:val="22"/>
                <w:szCs w:val="22"/>
              </w:rPr>
            </w:pPr>
            <w:r w:rsidRPr="00310585">
              <w:rPr>
                <w:sz w:val="22"/>
                <w:szCs w:val="22"/>
              </w:rPr>
              <w:t>2.436</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lastRenderedPageBreak/>
              <w:t>D</w:t>
            </w:r>
          </w:p>
        </w:tc>
        <w:tc>
          <w:tcPr>
            <w:tcW w:w="5220" w:type="dxa"/>
          </w:tcPr>
          <w:p w:rsidR="009570AF" w:rsidRPr="00310585" w:rsidRDefault="009570AF" w:rsidP="009570AF">
            <w:pPr>
              <w:jc w:val="center"/>
              <w:rPr>
                <w:sz w:val="22"/>
                <w:szCs w:val="22"/>
              </w:rPr>
            </w:pPr>
            <w:r w:rsidRPr="00310585">
              <w:rPr>
                <w:sz w:val="22"/>
                <w:szCs w:val="22"/>
              </w:rPr>
              <w:t>GSDLT-2, CST-2, HLFT-3 (2,000+ kW) On Peak</w:t>
            </w:r>
          </w:p>
        </w:tc>
        <w:tc>
          <w:tcPr>
            <w:tcW w:w="900" w:type="dxa"/>
            <w:vAlign w:val="center"/>
          </w:tcPr>
          <w:p w:rsidR="009570AF" w:rsidRPr="00310585" w:rsidRDefault="009570AF" w:rsidP="009570AF">
            <w:pPr>
              <w:jc w:val="center"/>
              <w:rPr>
                <w:sz w:val="22"/>
                <w:szCs w:val="22"/>
              </w:rPr>
            </w:pPr>
            <w:r w:rsidRPr="00310585">
              <w:rPr>
                <w:sz w:val="22"/>
                <w:szCs w:val="22"/>
              </w:rPr>
              <w:t>3.457</w:t>
            </w:r>
          </w:p>
        </w:tc>
        <w:tc>
          <w:tcPr>
            <w:tcW w:w="1260" w:type="dxa"/>
            <w:vAlign w:val="center"/>
          </w:tcPr>
          <w:p w:rsidR="009570AF" w:rsidRPr="00310585" w:rsidRDefault="009570AF" w:rsidP="009570AF">
            <w:pPr>
              <w:jc w:val="center"/>
              <w:rPr>
                <w:sz w:val="22"/>
                <w:szCs w:val="22"/>
              </w:rPr>
            </w:pPr>
            <w:r w:rsidRPr="00310585">
              <w:rPr>
                <w:sz w:val="22"/>
                <w:szCs w:val="22"/>
              </w:rPr>
              <w:t>0.99690</w:t>
            </w:r>
          </w:p>
        </w:tc>
        <w:tc>
          <w:tcPr>
            <w:tcW w:w="1188" w:type="dxa"/>
            <w:vAlign w:val="center"/>
          </w:tcPr>
          <w:p w:rsidR="009570AF" w:rsidRPr="00310585" w:rsidRDefault="009570AF" w:rsidP="009570AF">
            <w:pPr>
              <w:jc w:val="center"/>
              <w:rPr>
                <w:sz w:val="22"/>
                <w:szCs w:val="22"/>
              </w:rPr>
            </w:pPr>
            <w:r w:rsidRPr="00310585">
              <w:rPr>
                <w:sz w:val="22"/>
                <w:szCs w:val="22"/>
              </w:rPr>
              <w:t>3.446</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GSDLT-2, CST-2, HLFT-3 (2,000+ kW) On Peak</w:t>
            </w:r>
          </w:p>
        </w:tc>
        <w:tc>
          <w:tcPr>
            <w:tcW w:w="900" w:type="dxa"/>
            <w:vAlign w:val="center"/>
          </w:tcPr>
          <w:p w:rsidR="009570AF" w:rsidRPr="00310585" w:rsidRDefault="009570AF" w:rsidP="009570AF">
            <w:pPr>
              <w:jc w:val="center"/>
              <w:rPr>
                <w:sz w:val="22"/>
                <w:szCs w:val="22"/>
              </w:rPr>
            </w:pPr>
            <w:r w:rsidRPr="00310585">
              <w:rPr>
                <w:sz w:val="22"/>
                <w:szCs w:val="22"/>
              </w:rPr>
              <w:t>2.426</w:t>
            </w:r>
          </w:p>
        </w:tc>
        <w:tc>
          <w:tcPr>
            <w:tcW w:w="1260" w:type="dxa"/>
            <w:vAlign w:val="center"/>
          </w:tcPr>
          <w:p w:rsidR="009570AF" w:rsidRPr="00310585" w:rsidRDefault="009570AF" w:rsidP="009570AF">
            <w:pPr>
              <w:jc w:val="center"/>
              <w:rPr>
                <w:sz w:val="22"/>
                <w:szCs w:val="22"/>
              </w:rPr>
            </w:pPr>
            <w:r w:rsidRPr="00310585">
              <w:rPr>
                <w:sz w:val="22"/>
                <w:szCs w:val="22"/>
              </w:rPr>
              <w:t>0.99690</w:t>
            </w:r>
          </w:p>
        </w:tc>
        <w:tc>
          <w:tcPr>
            <w:tcW w:w="1188" w:type="dxa"/>
            <w:vAlign w:val="center"/>
          </w:tcPr>
          <w:p w:rsidR="009570AF" w:rsidRPr="00310585" w:rsidRDefault="009570AF" w:rsidP="009570AF">
            <w:pPr>
              <w:jc w:val="center"/>
              <w:rPr>
                <w:sz w:val="22"/>
                <w:szCs w:val="22"/>
              </w:rPr>
            </w:pPr>
            <w:r w:rsidRPr="00310585">
              <w:rPr>
                <w:sz w:val="22"/>
                <w:szCs w:val="22"/>
              </w:rPr>
              <w:t>2.418</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E</w:t>
            </w:r>
          </w:p>
        </w:tc>
        <w:tc>
          <w:tcPr>
            <w:tcW w:w="5220" w:type="dxa"/>
          </w:tcPr>
          <w:p w:rsidR="009570AF" w:rsidRPr="00310585" w:rsidRDefault="009570AF" w:rsidP="009570AF">
            <w:pPr>
              <w:jc w:val="center"/>
              <w:rPr>
                <w:sz w:val="22"/>
                <w:szCs w:val="22"/>
              </w:rPr>
            </w:pPr>
            <w:r w:rsidRPr="00310585">
              <w:rPr>
                <w:sz w:val="22"/>
                <w:szCs w:val="22"/>
              </w:rPr>
              <w:t>GSDLT-3, CST-3, CILC-1(T), ISST-1(T) On Peak</w:t>
            </w:r>
          </w:p>
        </w:tc>
        <w:tc>
          <w:tcPr>
            <w:tcW w:w="900" w:type="dxa"/>
            <w:vAlign w:val="center"/>
          </w:tcPr>
          <w:p w:rsidR="009570AF" w:rsidRPr="00310585" w:rsidRDefault="009570AF" w:rsidP="009570AF">
            <w:pPr>
              <w:jc w:val="center"/>
              <w:rPr>
                <w:sz w:val="22"/>
                <w:szCs w:val="22"/>
              </w:rPr>
            </w:pPr>
            <w:r w:rsidRPr="00310585">
              <w:rPr>
                <w:sz w:val="22"/>
                <w:szCs w:val="22"/>
              </w:rPr>
              <w:t>3.457</w:t>
            </w:r>
          </w:p>
        </w:tc>
        <w:tc>
          <w:tcPr>
            <w:tcW w:w="1260" w:type="dxa"/>
            <w:vAlign w:val="center"/>
          </w:tcPr>
          <w:p w:rsidR="009570AF" w:rsidRPr="00310585" w:rsidRDefault="009570AF" w:rsidP="009570AF">
            <w:pPr>
              <w:jc w:val="center"/>
              <w:rPr>
                <w:sz w:val="22"/>
                <w:szCs w:val="22"/>
              </w:rPr>
            </w:pPr>
            <w:r w:rsidRPr="00310585">
              <w:rPr>
                <w:sz w:val="22"/>
                <w:szCs w:val="22"/>
              </w:rPr>
              <w:t>0.97324</w:t>
            </w:r>
          </w:p>
        </w:tc>
        <w:tc>
          <w:tcPr>
            <w:tcW w:w="1188" w:type="dxa"/>
            <w:vAlign w:val="center"/>
          </w:tcPr>
          <w:p w:rsidR="009570AF" w:rsidRPr="00310585" w:rsidRDefault="009570AF" w:rsidP="009570AF">
            <w:pPr>
              <w:jc w:val="center"/>
              <w:rPr>
                <w:sz w:val="22"/>
                <w:szCs w:val="22"/>
              </w:rPr>
            </w:pPr>
            <w:r w:rsidRPr="00310585">
              <w:rPr>
                <w:sz w:val="22"/>
                <w:szCs w:val="22"/>
              </w:rPr>
              <w:t>3.364</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GSDLT-3, CST-3, CILC-1(T), ISST-1(T) Off Peak</w:t>
            </w:r>
          </w:p>
        </w:tc>
        <w:tc>
          <w:tcPr>
            <w:tcW w:w="900" w:type="dxa"/>
            <w:vAlign w:val="center"/>
          </w:tcPr>
          <w:p w:rsidR="009570AF" w:rsidRPr="00310585" w:rsidRDefault="009570AF" w:rsidP="009570AF">
            <w:pPr>
              <w:jc w:val="center"/>
              <w:rPr>
                <w:sz w:val="22"/>
                <w:szCs w:val="22"/>
              </w:rPr>
            </w:pPr>
            <w:r w:rsidRPr="00310585">
              <w:rPr>
                <w:sz w:val="22"/>
                <w:szCs w:val="22"/>
              </w:rPr>
              <w:t>2.426</w:t>
            </w:r>
          </w:p>
        </w:tc>
        <w:tc>
          <w:tcPr>
            <w:tcW w:w="1260" w:type="dxa"/>
            <w:vAlign w:val="center"/>
          </w:tcPr>
          <w:p w:rsidR="009570AF" w:rsidRPr="00310585" w:rsidRDefault="009570AF" w:rsidP="009570AF">
            <w:pPr>
              <w:jc w:val="center"/>
              <w:rPr>
                <w:sz w:val="22"/>
                <w:szCs w:val="22"/>
              </w:rPr>
            </w:pPr>
            <w:r w:rsidRPr="00310585">
              <w:rPr>
                <w:sz w:val="22"/>
                <w:szCs w:val="22"/>
              </w:rPr>
              <w:t>0.97324</w:t>
            </w:r>
          </w:p>
        </w:tc>
        <w:tc>
          <w:tcPr>
            <w:tcW w:w="1188" w:type="dxa"/>
            <w:vAlign w:val="center"/>
          </w:tcPr>
          <w:p w:rsidR="009570AF" w:rsidRPr="00310585" w:rsidRDefault="009570AF" w:rsidP="009570AF">
            <w:pPr>
              <w:jc w:val="center"/>
              <w:rPr>
                <w:sz w:val="22"/>
                <w:szCs w:val="22"/>
              </w:rPr>
            </w:pPr>
            <w:r w:rsidRPr="00310585">
              <w:rPr>
                <w:sz w:val="22"/>
                <w:szCs w:val="22"/>
              </w:rPr>
              <w:t>2.361</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F</w:t>
            </w:r>
          </w:p>
        </w:tc>
        <w:tc>
          <w:tcPr>
            <w:tcW w:w="5220" w:type="dxa"/>
          </w:tcPr>
          <w:p w:rsidR="009570AF" w:rsidRPr="00310585" w:rsidRDefault="009570AF" w:rsidP="009570AF">
            <w:pPr>
              <w:jc w:val="center"/>
              <w:rPr>
                <w:sz w:val="22"/>
                <w:szCs w:val="22"/>
              </w:rPr>
            </w:pPr>
            <w:r w:rsidRPr="00310585">
              <w:rPr>
                <w:sz w:val="22"/>
                <w:szCs w:val="22"/>
              </w:rPr>
              <w:t>CILC-1(D), ISST-1(D) On Peak</w:t>
            </w:r>
          </w:p>
        </w:tc>
        <w:tc>
          <w:tcPr>
            <w:tcW w:w="900" w:type="dxa"/>
          </w:tcPr>
          <w:p w:rsidR="009570AF" w:rsidRPr="00310585" w:rsidRDefault="009570AF" w:rsidP="009570AF">
            <w:pPr>
              <w:jc w:val="center"/>
              <w:rPr>
                <w:sz w:val="22"/>
                <w:szCs w:val="22"/>
              </w:rPr>
            </w:pPr>
            <w:r w:rsidRPr="00310585">
              <w:rPr>
                <w:sz w:val="22"/>
                <w:szCs w:val="22"/>
              </w:rPr>
              <w:t>3.457</w:t>
            </w:r>
          </w:p>
        </w:tc>
        <w:tc>
          <w:tcPr>
            <w:tcW w:w="1260" w:type="dxa"/>
          </w:tcPr>
          <w:p w:rsidR="009570AF" w:rsidRPr="00310585" w:rsidRDefault="009570AF" w:rsidP="009570AF">
            <w:pPr>
              <w:jc w:val="center"/>
              <w:rPr>
                <w:sz w:val="22"/>
                <w:szCs w:val="22"/>
              </w:rPr>
            </w:pPr>
            <w:r w:rsidRPr="00310585">
              <w:rPr>
                <w:sz w:val="22"/>
                <w:szCs w:val="22"/>
              </w:rPr>
              <w:t>0.99646</w:t>
            </w:r>
          </w:p>
        </w:tc>
        <w:tc>
          <w:tcPr>
            <w:tcW w:w="1188" w:type="dxa"/>
          </w:tcPr>
          <w:p w:rsidR="009570AF" w:rsidRPr="00310585" w:rsidRDefault="009570AF" w:rsidP="009570AF">
            <w:pPr>
              <w:jc w:val="center"/>
              <w:rPr>
                <w:sz w:val="22"/>
                <w:szCs w:val="22"/>
              </w:rPr>
            </w:pPr>
            <w:r w:rsidRPr="00310585">
              <w:rPr>
                <w:sz w:val="22"/>
                <w:szCs w:val="22"/>
              </w:rPr>
              <w:t>3.445</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CILC-1(D), ISST-1(D) Off Peak</w:t>
            </w:r>
          </w:p>
        </w:tc>
        <w:tc>
          <w:tcPr>
            <w:tcW w:w="900" w:type="dxa"/>
          </w:tcPr>
          <w:p w:rsidR="009570AF" w:rsidRPr="00310585" w:rsidRDefault="009570AF" w:rsidP="009570AF">
            <w:pPr>
              <w:jc w:val="center"/>
              <w:rPr>
                <w:sz w:val="22"/>
                <w:szCs w:val="22"/>
              </w:rPr>
            </w:pPr>
            <w:r w:rsidRPr="00310585">
              <w:rPr>
                <w:sz w:val="22"/>
                <w:szCs w:val="22"/>
              </w:rPr>
              <w:t>2.426</w:t>
            </w:r>
          </w:p>
        </w:tc>
        <w:tc>
          <w:tcPr>
            <w:tcW w:w="1260" w:type="dxa"/>
          </w:tcPr>
          <w:p w:rsidR="009570AF" w:rsidRPr="00310585" w:rsidRDefault="009570AF" w:rsidP="009570AF">
            <w:pPr>
              <w:jc w:val="center"/>
              <w:rPr>
                <w:sz w:val="22"/>
                <w:szCs w:val="22"/>
              </w:rPr>
            </w:pPr>
            <w:r w:rsidRPr="00310585">
              <w:rPr>
                <w:sz w:val="22"/>
                <w:szCs w:val="22"/>
              </w:rPr>
              <w:t>0.99646</w:t>
            </w:r>
          </w:p>
        </w:tc>
        <w:tc>
          <w:tcPr>
            <w:tcW w:w="1188" w:type="dxa"/>
          </w:tcPr>
          <w:p w:rsidR="009570AF" w:rsidRPr="00310585" w:rsidRDefault="009570AF" w:rsidP="009570AF">
            <w:pPr>
              <w:jc w:val="center"/>
              <w:rPr>
                <w:sz w:val="22"/>
                <w:szCs w:val="22"/>
              </w:rPr>
            </w:pPr>
            <w:r w:rsidRPr="00310585">
              <w:rPr>
                <w:sz w:val="22"/>
                <w:szCs w:val="22"/>
              </w:rPr>
              <w:t>2.417</w:t>
            </w:r>
          </w:p>
        </w:tc>
      </w:tr>
    </w:tbl>
    <w:p w:rsidR="009570AF" w:rsidRPr="00310585" w:rsidRDefault="009570AF" w:rsidP="009570AF">
      <w:pPr>
        <w:rPr>
          <w:sz w:val="22"/>
          <w:szCs w:val="22"/>
        </w:rPr>
      </w:pPr>
      <w:r w:rsidRPr="00310585">
        <w:rPr>
          <w:sz w:val="22"/>
          <w:szCs w:val="22"/>
        </w:rPr>
        <w:t xml:space="preserve">    Source: Schedule E1-E, Page 1 of 2 (Exh. RBD-5, Appendix II – 2019 FCR Projections, Page 7 of 91).</w:t>
      </w:r>
    </w:p>
    <w:p w:rsidR="007C6834" w:rsidRDefault="007C6834" w:rsidP="007C6834">
      <w:pPr>
        <w:rPr>
          <w:rFonts w:ascii="Arial" w:hAnsi="Arial" w:cs="Arial"/>
          <w:b/>
        </w:rPr>
      </w:pPr>
    </w:p>
    <w:p w:rsidR="007268E2" w:rsidRDefault="007268E2" w:rsidP="007C6834">
      <w:pPr>
        <w:rPr>
          <w:rFonts w:ascii="Arial" w:hAnsi="Arial" w:cs="Arial"/>
          <w:b/>
        </w:rPr>
      </w:pPr>
    </w:p>
    <w:p w:rsidR="009570AF" w:rsidRPr="00310585" w:rsidRDefault="009570AF" w:rsidP="007C6834">
      <w:pPr>
        <w:jc w:val="center"/>
        <w:rPr>
          <w:rFonts w:ascii="Arial" w:hAnsi="Arial" w:cs="Arial"/>
          <w:b/>
        </w:rPr>
      </w:pPr>
      <w:r w:rsidRPr="00310585">
        <w:rPr>
          <w:rFonts w:ascii="Arial" w:hAnsi="Arial" w:cs="Arial"/>
          <w:b/>
        </w:rPr>
        <w:t>Table 22-3</w:t>
      </w:r>
    </w:p>
    <w:p w:rsidR="009570AF" w:rsidRPr="00310585" w:rsidRDefault="009570AF" w:rsidP="009570AF">
      <w:pPr>
        <w:jc w:val="center"/>
      </w:pPr>
      <w:r w:rsidRPr="00310585">
        <w:rPr>
          <w:rFonts w:ascii="Arial" w:hAnsi="Arial" w:cs="Arial"/>
          <w:b/>
        </w:rPr>
        <w:t>FPL Fuel Cost Recovery Factors for the period January-February, 2019</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9570AF" w:rsidRPr="00310585" w:rsidTr="009570AF">
        <w:tc>
          <w:tcPr>
            <w:tcW w:w="9468" w:type="dxa"/>
            <w:gridSpan w:val="5"/>
          </w:tcPr>
          <w:p w:rsidR="009570AF" w:rsidRPr="00310585" w:rsidRDefault="009570AF" w:rsidP="009570AF">
            <w:pPr>
              <w:jc w:val="center"/>
            </w:pPr>
            <w:r w:rsidRPr="00310585">
              <w:t>Seasonal Demand Time of Use Rider (SDTR) Fuel Recovery Factors</w:t>
            </w:r>
          </w:p>
        </w:tc>
      </w:tr>
      <w:tr w:rsidR="009570AF" w:rsidRPr="00310585" w:rsidTr="009570AF">
        <w:tc>
          <w:tcPr>
            <w:tcW w:w="9468" w:type="dxa"/>
            <w:gridSpan w:val="5"/>
          </w:tcPr>
          <w:p w:rsidR="009570AF" w:rsidRPr="00310585" w:rsidRDefault="009570AF" w:rsidP="009570AF">
            <w:pPr>
              <w:jc w:val="center"/>
            </w:pPr>
            <w:r w:rsidRPr="00310585">
              <w:t>For the Period June - September, 2019</w:t>
            </w:r>
          </w:p>
        </w:tc>
      </w:tr>
      <w:tr w:rsidR="009570AF" w:rsidRPr="00310585" w:rsidTr="009570AF">
        <w:tc>
          <w:tcPr>
            <w:tcW w:w="900" w:type="dxa"/>
            <w:vAlign w:val="center"/>
          </w:tcPr>
          <w:p w:rsidR="009570AF" w:rsidRPr="00310585" w:rsidRDefault="009570AF" w:rsidP="009570AF">
            <w:pPr>
              <w:jc w:val="center"/>
            </w:pPr>
            <w:r w:rsidRPr="00310585">
              <w:t>Group</w:t>
            </w:r>
          </w:p>
        </w:tc>
        <w:tc>
          <w:tcPr>
            <w:tcW w:w="4950" w:type="dxa"/>
            <w:vAlign w:val="center"/>
          </w:tcPr>
          <w:p w:rsidR="009570AF" w:rsidRPr="00310585" w:rsidRDefault="009570AF" w:rsidP="009570AF">
            <w:pPr>
              <w:jc w:val="center"/>
            </w:pPr>
            <w:r w:rsidRPr="00310585">
              <w:t>Rate Schedule</w:t>
            </w:r>
          </w:p>
        </w:tc>
        <w:tc>
          <w:tcPr>
            <w:tcW w:w="1170" w:type="dxa"/>
            <w:vAlign w:val="center"/>
          </w:tcPr>
          <w:p w:rsidR="009570AF" w:rsidRPr="00310585" w:rsidRDefault="009570AF" w:rsidP="009570AF">
            <w:pPr>
              <w:jc w:val="center"/>
            </w:pPr>
            <w:r w:rsidRPr="00310585">
              <w:t>Avg. Factor</w:t>
            </w:r>
          </w:p>
        </w:tc>
        <w:tc>
          <w:tcPr>
            <w:tcW w:w="1260" w:type="dxa"/>
            <w:vAlign w:val="center"/>
          </w:tcPr>
          <w:p w:rsidR="009570AF" w:rsidRPr="00310585" w:rsidRDefault="009570AF" w:rsidP="009570AF">
            <w:pPr>
              <w:jc w:val="center"/>
            </w:pPr>
            <w:r w:rsidRPr="00310585">
              <w:t>Loss Multiplier</w:t>
            </w:r>
          </w:p>
        </w:tc>
        <w:tc>
          <w:tcPr>
            <w:tcW w:w="1188" w:type="dxa"/>
            <w:vAlign w:val="center"/>
          </w:tcPr>
          <w:p w:rsidR="009570AF" w:rsidRPr="00310585" w:rsidRDefault="009570AF" w:rsidP="009570AF">
            <w:pPr>
              <w:jc w:val="center"/>
            </w:pPr>
            <w:r w:rsidRPr="00310585">
              <w:t>Fuel Recovery Factor</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B</w:t>
            </w:r>
          </w:p>
        </w:tc>
        <w:tc>
          <w:tcPr>
            <w:tcW w:w="4950" w:type="dxa"/>
          </w:tcPr>
          <w:p w:rsidR="009570AF" w:rsidRPr="00310585" w:rsidRDefault="009570AF" w:rsidP="009570AF">
            <w:pPr>
              <w:jc w:val="center"/>
              <w:rPr>
                <w:sz w:val="22"/>
                <w:szCs w:val="22"/>
              </w:rPr>
            </w:pPr>
            <w:r w:rsidRPr="00310585">
              <w:rPr>
                <w:sz w:val="22"/>
                <w:szCs w:val="22"/>
              </w:rPr>
              <w:t>GSD(T)-1 On-Peak</w:t>
            </w:r>
          </w:p>
        </w:tc>
        <w:tc>
          <w:tcPr>
            <w:tcW w:w="1170" w:type="dxa"/>
          </w:tcPr>
          <w:p w:rsidR="009570AF" w:rsidRPr="00310585" w:rsidRDefault="009570AF" w:rsidP="009570AF">
            <w:pPr>
              <w:jc w:val="center"/>
              <w:rPr>
                <w:sz w:val="22"/>
                <w:szCs w:val="22"/>
              </w:rPr>
            </w:pPr>
            <w:r w:rsidRPr="00310585">
              <w:rPr>
                <w:sz w:val="22"/>
                <w:szCs w:val="22"/>
              </w:rPr>
              <w:t>4.611</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4.633</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GSD(T)-1 Off-Peak</w:t>
            </w:r>
          </w:p>
        </w:tc>
        <w:tc>
          <w:tcPr>
            <w:tcW w:w="1170" w:type="dxa"/>
          </w:tcPr>
          <w:p w:rsidR="009570AF" w:rsidRPr="00310585" w:rsidRDefault="009570AF" w:rsidP="009570AF">
            <w:pPr>
              <w:jc w:val="center"/>
              <w:rPr>
                <w:sz w:val="22"/>
                <w:szCs w:val="22"/>
              </w:rPr>
            </w:pPr>
            <w:r w:rsidRPr="00310585">
              <w:rPr>
                <w:sz w:val="22"/>
                <w:szCs w:val="22"/>
              </w:rPr>
              <w:t>2.494</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2.506</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C</w:t>
            </w:r>
          </w:p>
        </w:tc>
        <w:tc>
          <w:tcPr>
            <w:tcW w:w="4950" w:type="dxa"/>
          </w:tcPr>
          <w:p w:rsidR="009570AF" w:rsidRPr="00310585" w:rsidRDefault="009570AF" w:rsidP="009570AF">
            <w:pPr>
              <w:jc w:val="center"/>
              <w:rPr>
                <w:sz w:val="22"/>
                <w:szCs w:val="22"/>
              </w:rPr>
            </w:pPr>
            <w:r w:rsidRPr="00310585">
              <w:rPr>
                <w:sz w:val="22"/>
                <w:szCs w:val="22"/>
              </w:rPr>
              <w:t>GSLD(T)-1 On-Peak</w:t>
            </w:r>
          </w:p>
        </w:tc>
        <w:tc>
          <w:tcPr>
            <w:tcW w:w="1170" w:type="dxa"/>
          </w:tcPr>
          <w:p w:rsidR="009570AF" w:rsidRPr="00310585" w:rsidRDefault="009570AF" w:rsidP="009570AF">
            <w:pPr>
              <w:jc w:val="center"/>
              <w:rPr>
                <w:sz w:val="22"/>
                <w:szCs w:val="22"/>
              </w:rPr>
            </w:pPr>
            <w:r w:rsidRPr="00310585">
              <w:rPr>
                <w:sz w:val="22"/>
                <w:szCs w:val="22"/>
              </w:rPr>
              <w:t>4.611</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4.630</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GSLD(T)-1 Off-Peak</w:t>
            </w:r>
          </w:p>
        </w:tc>
        <w:tc>
          <w:tcPr>
            <w:tcW w:w="1170" w:type="dxa"/>
          </w:tcPr>
          <w:p w:rsidR="009570AF" w:rsidRPr="00310585" w:rsidRDefault="009570AF" w:rsidP="009570AF">
            <w:pPr>
              <w:jc w:val="center"/>
              <w:rPr>
                <w:sz w:val="22"/>
                <w:szCs w:val="22"/>
              </w:rPr>
            </w:pPr>
            <w:r w:rsidRPr="00310585">
              <w:rPr>
                <w:sz w:val="22"/>
                <w:szCs w:val="22"/>
              </w:rPr>
              <w:t>2.494</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2.504</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D</w:t>
            </w:r>
          </w:p>
        </w:tc>
        <w:tc>
          <w:tcPr>
            <w:tcW w:w="4950" w:type="dxa"/>
          </w:tcPr>
          <w:p w:rsidR="009570AF" w:rsidRPr="00310585" w:rsidRDefault="009570AF" w:rsidP="009570AF">
            <w:pPr>
              <w:jc w:val="center"/>
              <w:rPr>
                <w:sz w:val="22"/>
                <w:szCs w:val="22"/>
              </w:rPr>
            </w:pPr>
            <w:r w:rsidRPr="00310585">
              <w:rPr>
                <w:sz w:val="22"/>
                <w:szCs w:val="22"/>
              </w:rPr>
              <w:t>GSLD(T)-2 On-Peak</w:t>
            </w:r>
          </w:p>
        </w:tc>
        <w:tc>
          <w:tcPr>
            <w:tcW w:w="1170" w:type="dxa"/>
          </w:tcPr>
          <w:p w:rsidR="009570AF" w:rsidRPr="00310585" w:rsidRDefault="009570AF" w:rsidP="009570AF">
            <w:pPr>
              <w:jc w:val="center"/>
              <w:rPr>
                <w:sz w:val="22"/>
                <w:szCs w:val="22"/>
              </w:rPr>
            </w:pPr>
            <w:r w:rsidRPr="00310585">
              <w:rPr>
                <w:sz w:val="22"/>
                <w:szCs w:val="22"/>
              </w:rPr>
              <w:t>4.611</w:t>
            </w:r>
          </w:p>
        </w:tc>
        <w:tc>
          <w:tcPr>
            <w:tcW w:w="1260" w:type="dxa"/>
          </w:tcPr>
          <w:p w:rsidR="009570AF" w:rsidRPr="00310585" w:rsidRDefault="009570AF" w:rsidP="009570AF">
            <w:pPr>
              <w:jc w:val="center"/>
              <w:rPr>
                <w:sz w:val="22"/>
                <w:szCs w:val="22"/>
              </w:rPr>
            </w:pPr>
            <w:r w:rsidRPr="00310585">
              <w:rPr>
                <w:sz w:val="22"/>
                <w:szCs w:val="22"/>
              </w:rPr>
              <w:t>0.99690</w:t>
            </w:r>
          </w:p>
        </w:tc>
        <w:tc>
          <w:tcPr>
            <w:tcW w:w="1188" w:type="dxa"/>
          </w:tcPr>
          <w:p w:rsidR="009570AF" w:rsidRPr="00310585" w:rsidRDefault="009570AF" w:rsidP="009570AF">
            <w:pPr>
              <w:jc w:val="center"/>
              <w:rPr>
                <w:sz w:val="22"/>
                <w:szCs w:val="22"/>
              </w:rPr>
            </w:pPr>
            <w:r w:rsidRPr="00310585">
              <w:rPr>
                <w:sz w:val="22"/>
                <w:szCs w:val="22"/>
              </w:rPr>
              <w:t>4.597</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GSLD(T)-2 Off-Peak</w:t>
            </w:r>
          </w:p>
        </w:tc>
        <w:tc>
          <w:tcPr>
            <w:tcW w:w="1170" w:type="dxa"/>
          </w:tcPr>
          <w:p w:rsidR="009570AF" w:rsidRPr="00310585" w:rsidRDefault="009570AF" w:rsidP="009570AF">
            <w:pPr>
              <w:jc w:val="center"/>
              <w:rPr>
                <w:sz w:val="22"/>
                <w:szCs w:val="22"/>
              </w:rPr>
            </w:pPr>
            <w:r w:rsidRPr="00310585">
              <w:rPr>
                <w:sz w:val="22"/>
                <w:szCs w:val="22"/>
              </w:rPr>
              <w:t>2.494</w:t>
            </w:r>
          </w:p>
        </w:tc>
        <w:tc>
          <w:tcPr>
            <w:tcW w:w="1260" w:type="dxa"/>
          </w:tcPr>
          <w:p w:rsidR="009570AF" w:rsidRPr="00310585" w:rsidRDefault="009570AF" w:rsidP="009570AF">
            <w:pPr>
              <w:jc w:val="center"/>
              <w:rPr>
                <w:sz w:val="22"/>
                <w:szCs w:val="22"/>
              </w:rPr>
            </w:pPr>
            <w:r w:rsidRPr="00310585">
              <w:rPr>
                <w:sz w:val="22"/>
                <w:szCs w:val="22"/>
              </w:rPr>
              <w:t>0.99690</w:t>
            </w:r>
          </w:p>
        </w:tc>
        <w:tc>
          <w:tcPr>
            <w:tcW w:w="1188" w:type="dxa"/>
          </w:tcPr>
          <w:p w:rsidR="009570AF" w:rsidRPr="00310585" w:rsidRDefault="009570AF" w:rsidP="009570AF">
            <w:pPr>
              <w:jc w:val="center"/>
              <w:rPr>
                <w:sz w:val="22"/>
                <w:szCs w:val="22"/>
              </w:rPr>
            </w:pPr>
            <w:r w:rsidRPr="00310585">
              <w:rPr>
                <w:sz w:val="22"/>
                <w:szCs w:val="22"/>
              </w:rPr>
              <w:t>2.486</w:t>
            </w:r>
          </w:p>
        </w:tc>
      </w:tr>
    </w:tbl>
    <w:p w:rsidR="009570AF" w:rsidRPr="00310585" w:rsidRDefault="009570AF" w:rsidP="009570AF">
      <w:pPr>
        <w:rPr>
          <w:sz w:val="22"/>
          <w:szCs w:val="22"/>
        </w:rPr>
      </w:pPr>
      <w:r w:rsidRPr="00310585">
        <w:rPr>
          <w:sz w:val="22"/>
          <w:szCs w:val="22"/>
        </w:rPr>
        <w:t xml:space="preserve">    Source: Schedule E1- E, Page 2 of 2 (Exh. RBD-5, Appendix II – 2019 FCR Projections, Page 8 of 91).</w:t>
      </w:r>
    </w:p>
    <w:p w:rsidR="00560924" w:rsidRDefault="00560924" w:rsidP="009570AF">
      <w:pPr>
        <w:jc w:val="center"/>
        <w:rPr>
          <w:rFonts w:ascii="Arial" w:hAnsi="Arial" w:cs="Arial"/>
          <w:b/>
        </w:rPr>
      </w:pPr>
    </w:p>
    <w:p w:rsidR="00560924" w:rsidRDefault="00560924" w:rsidP="009570AF">
      <w:pPr>
        <w:jc w:val="center"/>
        <w:rPr>
          <w:rFonts w:ascii="Arial" w:hAnsi="Arial" w:cs="Arial"/>
          <w:b/>
        </w:rPr>
      </w:pPr>
    </w:p>
    <w:p w:rsidR="009570AF" w:rsidRPr="00310585" w:rsidRDefault="009570AF" w:rsidP="009570AF">
      <w:pPr>
        <w:jc w:val="center"/>
        <w:rPr>
          <w:rFonts w:ascii="Arial" w:hAnsi="Arial" w:cs="Arial"/>
          <w:b/>
        </w:rPr>
      </w:pPr>
      <w:r w:rsidRPr="00310585">
        <w:rPr>
          <w:rFonts w:ascii="Arial" w:hAnsi="Arial" w:cs="Arial"/>
          <w:b/>
        </w:rPr>
        <w:t>Table 22-4</w:t>
      </w:r>
    </w:p>
    <w:p w:rsidR="009570AF" w:rsidRPr="00310585" w:rsidRDefault="009570AF" w:rsidP="009570AF">
      <w:pPr>
        <w:ind w:left="1440" w:hanging="1440"/>
        <w:jc w:val="center"/>
        <w:rPr>
          <w:rFonts w:ascii="Arial" w:hAnsi="Arial" w:cs="Arial"/>
        </w:rPr>
      </w:pPr>
      <w:r w:rsidRPr="00310585">
        <w:rPr>
          <w:rFonts w:ascii="Arial" w:hAnsi="Arial" w:cs="Arial"/>
          <w:b/>
        </w:rPr>
        <w:t>FPL Fuel Cost Recovery Factors for the period March-May, 2019</w:t>
      </w:r>
      <w:r w:rsidRPr="00310585">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9570AF" w:rsidRPr="00310585" w:rsidTr="009570AF">
        <w:tc>
          <w:tcPr>
            <w:tcW w:w="9468" w:type="dxa"/>
            <w:gridSpan w:val="5"/>
          </w:tcPr>
          <w:p w:rsidR="009570AF" w:rsidRPr="00310585" w:rsidRDefault="009570AF" w:rsidP="009570AF">
            <w:pPr>
              <w:jc w:val="center"/>
            </w:pPr>
            <w:r w:rsidRPr="00310585">
              <w:t>Fuel Recovery Factors – By Rate Group (Adjusted for Line Losses)</w:t>
            </w:r>
          </w:p>
        </w:tc>
      </w:tr>
      <w:tr w:rsidR="009570AF" w:rsidRPr="00310585" w:rsidTr="009570AF">
        <w:tc>
          <w:tcPr>
            <w:tcW w:w="9468" w:type="dxa"/>
            <w:gridSpan w:val="5"/>
          </w:tcPr>
          <w:p w:rsidR="009570AF" w:rsidRPr="00310585" w:rsidRDefault="009570AF" w:rsidP="009570AF">
            <w:pPr>
              <w:jc w:val="center"/>
            </w:pPr>
            <w:r w:rsidRPr="00310585">
              <w:t>For the Period March through May, 2019</w:t>
            </w:r>
          </w:p>
        </w:tc>
      </w:tr>
      <w:tr w:rsidR="009570AF" w:rsidRPr="00310585" w:rsidTr="009570AF">
        <w:tc>
          <w:tcPr>
            <w:tcW w:w="900" w:type="dxa"/>
            <w:vAlign w:val="center"/>
          </w:tcPr>
          <w:p w:rsidR="009570AF" w:rsidRPr="00310585" w:rsidRDefault="009570AF" w:rsidP="009570AF">
            <w:pPr>
              <w:jc w:val="center"/>
            </w:pPr>
            <w:r w:rsidRPr="00310585">
              <w:t>Group</w:t>
            </w:r>
          </w:p>
        </w:tc>
        <w:tc>
          <w:tcPr>
            <w:tcW w:w="5220" w:type="dxa"/>
            <w:vAlign w:val="center"/>
          </w:tcPr>
          <w:p w:rsidR="009570AF" w:rsidRPr="00310585" w:rsidRDefault="009570AF" w:rsidP="009570AF">
            <w:pPr>
              <w:jc w:val="center"/>
            </w:pPr>
            <w:r w:rsidRPr="00310585">
              <w:t>Rate Schedule</w:t>
            </w:r>
          </w:p>
        </w:tc>
        <w:tc>
          <w:tcPr>
            <w:tcW w:w="900" w:type="dxa"/>
            <w:vAlign w:val="center"/>
          </w:tcPr>
          <w:p w:rsidR="009570AF" w:rsidRPr="00310585" w:rsidRDefault="009570AF" w:rsidP="009570AF">
            <w:pPr>
              <w:jc w:val="center"/>
            </w:pPr>
            <w:r w:rsidRPr="00310585">
              <w:t>Avg. Factor</w:t>
            </w:r>
          </w:p>
        </w:tc>
        <w:tc>
          <w:tcPr>
            <w:tcW w:w="1260" w:type="dxa"/>
            <w:vAlign w:val="center"/>
          </w:tcPr>
          <w:p w:rsidR="009570AF" w:rsidRPr="00310585" w:rsidRDefault="009570AF" w:rsidP="009570AF">
            <w:pPr>
              <w:jc w:val="center"/>
            </w:pPr>
            <w:r w:rsidRPr="00310585">
              <w:t>Loss Multiplier</w:t>
            </w:r>
          </w:p>
        </w:tc>
        <w:tc>
          <w:tcPr>
            <w:tcW w:w="1188" w:type="dxa"/>
            <w:vAlign w:val="center"/>
          </w:tcPr>
          <w:p w:rsidR="009570AF" w:rsidRPr="00310585" w:rsidRDefault="009570AF" w:rsidP="009570AF">
            <w:pPr>
              <w:jc w:val="center"/>
            </w:pPr>
            <w:r w:rsidRPr="00310585">
              <w:t>Fuel Recovery Factor</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A</w:t>
            </w:r>
          </w:p>
        </w:tc>
        <w:tc>
          <w:tcPr>
            <w:tcW w:w="5220" w:type="dxa"/>
          </w:tcPr>
          <w:p w:rsidR="009570AF" w:rsidRPr="00310585" w:rsidRDefault="009570AF" w:rsidP="009570AF">
            <w:pPr>
              <w:jc w:val="center"/>
              <w:rPr>
                <w:sz w:val="22"/>
                <w:szCs w:val="22"/>
              </w:rPr>
            </w:pPr>
            <w:r w:rsidRPr="00310585">
              <w:rPr>
                <w:sz w:val="22"/>
                <w:szCs w:val="22"/>
              </w:rPr>
              <w:t>RS-1 first 1,000 kWh</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2.389</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RS-1, all addl. kWh</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3.389</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GS-1, SL-2, GSCU-1, WIES-1</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2.725</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A-1</w:t>
            </w:r>
          </w:p>
        </w:tc>
        <w:tc>
          <w:tcPr>
            <w:tcW w:w="5220" w:type="dxa"/>
          </w:tcPr>
          <w:p w:rsidR="009570AF" w:rsidRPr="00310585" w:rsidRDefault="009570AF" w:rsidP="009570AF">
            <w:pPr>
              <w:jc w:val="center"/>
              <w:rPr>
                <w:sz w:val="22"/>
                <w:szCs w:val="22"/>
              </w:rPr>
            </w:pPr>
            <w:r w:rsidRPr="00310585">
              <w:rPr>
                <w:sz w:val="22"/>
                <w:szCs w:val="22"/>
              </w:rPr>
              <w:t>SL-1, OL-1, PL-1</w:t>
            </w:r>
          </w:p>
        </w:tc>
        <w:tc>
          <w:tcPr>
            <w:tcW w:w="900" w:type="dxa"/>
          </w:tcPr>
          <w:p w:rsidR="009570AF" w:rsidRPr="00310585" w:rsidRDefault="009570AF" w:rsidP="009570AF">
            <w:pPr>
              <w:jc w:val="center"/>
              <w:rPr>
                <w:sz w:val="22"/>
                <w:szCs w:val="22"/>
              </w:rPr>
            </w:pPr>
            <w:r w:rsidRPr="00310585">
              <w:rPr>
                <w:sz w:val="22"/>
                <w:szCs w:val="22"/>
              </w:rPr>
              <w:t>2.569</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2.582</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B</w:t>
            </w:r>
          </w:p>
        </w:tc>
        <w:tc>
          <w:tcPr>
            <w:tcW w:w="5220" w:type="dxa"/>
          </w:tcPr>
          <w:p w:rsidR="009570AF" w:rsidRPr="00310585" w:rsidRDefault="009570AF" w:rsidP="009570AF">
            <w:pPr>
              <w:jc w:val="center"/>
              <w:rPr>
                <w:sz w:val="22"/>
                <w:szCs w:val="22"/>
              </w:rPr>
            </w:pPr>
            <w:r w:rsidRPr="00310585">
              <w:rPr>
                <w:sz w:val="22"/>
                <w:szCs w:val="22"/>
              </w:rPr>
              <w:t>GSD-1</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2.725</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C</w:t>
            </w:r>
          </w:p>
        </w:tc>
        <w:tc>
          <w:tcPr>
            <w:tcW w:w="5220" w:type="dxa"/>
          </w:tcPr>
          <w:p w:rsidR="009570AF" w:rsidRPr="00310585" w:rsidRDefault="009570AF" w:rsidP="009570AF">
            <w:pPr>
              <w:jc w:val="center"/>
              <w:rPr>
                <w:sz w:val="22"/>
                <w:szCs w:val="22"/>
              </w:rPr>
            </w:pPr>
            <w:r w:rsidRPr="00310585">
              <w:rPr>
                <w:sz w:val="22"/>
                <w:szCs w:val="22"/>
              </w:rPr>
              <w:t>GSLD-1, CS-1</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2.723</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D</w:t>
            </w:r>
          </w:p>
        </w:tc>
        <w:tc>
          <w:tcPr>
            <w:tcW w:w="5220" w:type="dxa"/>
          </w:tcPr>
          <w:p w:rsidR="009570AF" w:rsidRPr="00310585" w:rsidRDefault="009570AF" w:rsidP="009570AF">
            <w:pPr>
              <w:jc w:val="center"/>
              <w:rPr>
                <w:sz w:val="22"/>
                <w:szCs w:val="22"/>
              </w:rPr>
            </w:pPr>
            <w:r w:rsidRPr="00310585">
              <w:rPr>
                <w:sz w:val="22"/>
                <w:szCs w:val="22"/>
              </w:rPr>
              <w:t>GSLD-2, CS-2, OS-2, MET</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0.99638</w:t>
            </w:r>
          </w:p>
        </w:tc>
        <w:tc>
          <w:tcPr>
            <w:tcW w:w="1188" w:type="dxa"/>
          </w:tcPr>
          <w:p w:rsidR="009570AF" w:rsidRPr="00310585" w:rsidRDefault="009570AF" w:rsidP="009570AF">
            <w:pPr>
              <w:jc w:val="center"/>
              <w:rPr>
                <w:sz w:val="22"/>
                <w:szCs w:val="22"/>
              </w:rPr>
            </w:pPr>
            <w:r w:rsidRPr="00310585">
              <w:rPr>
                <w:sz w:val="22"/>
                <w:szCs w:val="22"/>
              </w:rPr>
              <w:t>2.702</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E</w:t>
            </w:r>
          </w:p>
        </w:tc>
        <w:tc>
          <w:tcPr>
            <w:tcW w:w="5220" w:type="dxa"/>
          </w:tcPr>
          <w:p w:rsidR="009570AF" w:rsidRPr="00310585" w:rsidRDefault="009570AF" w:rsidP="009570AF">
            <w:pPr>
              <w:jc w:val="center"/>
              <w:rPr>
                <w:sz w:val="22"/>
                <w:szCs w:val="22"/>
              </w:rPr>
            </w:pPr>
            <w:r w:rsidRPr="00310585">
              <w:rPr>
                <w:sz w:val="22"/>
                <w:szCs w:val="22"/>
              </w:rPr>
              <w:t>GSLD-3, CS-3</w:t>
            </w:r>
          </w:p>
        </w:tc>
        <w:tc>
          <w:tcPr>
            <w:tcW w:w="900" w:type="dxa"/>
          </w:tcPr>
          <w:p w:rsidR="009570AF" w:rsidRPr="00310585" w:rsidRDefault="009570AF" w:rsidP="009570AF">
            <w:pPr>
              <w:jc w:val="center"/>
              <w:rPr>
                <w:sz w:val="22"/>
                <w:szCs w:val="22"/>
              </w:rPr>
            </w:pPr>
            <w:r w:rsidRPr="00310585">
              <w:rPr>
                <w:sz w:val="22"/>
                <w:szCs w:val="22"/>
              </w:rPr>
              <w:t>2.712</w:t>
            </w:r>
          </w:p>
        </w:tc>
        <w:tc>
          <w:tcPr>
            <w:tcW w:w="1260" w:type="dxa"/>
          </w:tcPr>
          <w:p w:rsidR="009570AF" w:rsidRPr="00310585" w:rsidRDefault="009570AF" w:rsidP="009570AF">
            <w:pPr>
              <w:jc w:val="center"/>
              <w:rPr>
                <w:sz w:val="22"/>
                <w:szCs w:val="22"/>
              </w:rPr>
            </w:pPr>
            <w:r w:rsidRPr="00310585">
              <w:rPr>
                <w:sz w:val="22"/>
                <w:szCs w:val="22"/>
              </w:rPr>
              <w:t>0.97324</w:t>
            </w:r>
          </w:p>
        </w:tc>
        <w:tc>
          <w:tcPr>
            <w:tcW w:w="1188" w:type="dxa"/>
          </w:tcPr>
          <w:p w:rsidR="009570AF" w:rsidRPr="00310585" w:rsidRDefault="009570AF" w:rsidP="009570AF">
            <w:pPr>
              <w:jc w:val="center"/>
              <w:rPr>
                <w:sz w:val="22"/>
                <w:szCs w:val="22"/>
              </w:rPr>
            </w:pPr>
            <w:r w:rsidRPr="00310585">
              <w:rPr>
                <w:sz w:val="22"/>
                <w:szCs w:val="22"/>
              </w:rPr>
              <w:t>2.639</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A</w:t>
            </w:r>
          </w:p>
        </w:tc>
        <w:tc>
          <w:tcPr>
            <w:tcW w:w="5220" w:type="dxa"/>
          </w:tcPr>
          <w:p w:rsidR="009570AF" w:rsidRPr="00310585" w:rsidRDefault="009570AF" w:rsidP="009570AF">
            <w:pPr>
              <w:jc w:val="center"/>
              <w:rPr>
                <w:sz w:val="22"/>
                <w:szCs w:val="22"/>
              </w:rPr>
            </w:pPr>
            <w:r w:rsidRPr="00310585">
              <w:rPr>
                <w:sz w:val="22"/>
                <w:szCs w:val="22"/>
              </w:rPr>
              <w:t>GST-1 On-Peak</w:t>
            </w:r>
          </w:p>
        </w:tc>
        <w:tc>
          <w:tcPr>
            <w:tcW w:w="900" w:type="dxa"/>
          </w:tcPr>
          <w:p w:rsidR="009570AF" w:rsidRPr="00310585" w:rsidRDefault="009570AF" w:rsidP="009570AF">
            <w:pPr>
              <w:jc w:val="center"/>
              <w:rPr>
                <w:sz w:val="22"/>
                <w:szCs w:val="22"/>
              </w:rPr>
            </w:pPr>
            <w:r w:rsidRPr="00310585">
              <w:rPr>
                <w:sz w:val="22"/>
                <w:szCs w:val="22"/>
              </w:rPr>
              <w:t>3.428</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3.445</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GST-1 Off Peak</w:t>
            </w:r>
          </w:p>
        </w:tc>
        <w:tc>
          <w:tcPr>
            <w:tcW w:w="900" w:type="dxa"/>
          </w:tcPr>
          <w:p w:rsidR="009570AF" w:rsidRPr="00310585" w:rsidRDefault="009570AF" w:rsidP="009570AF">
            <w:pPr>
              <w:jc w:val="center"/>
              <w:rPr>
                <w:sz w:val="22"/>
                <w:szCs w:val="22"/>
              </w:rPr>
            </w:pPr>
            <w:r w:rsidRPr="00310585">
              <w:rPr>
                <w:sz w:val="22"/>
                <w:szCs w:val="22"/>
              </w:rPr>
              <w:t>2.406</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2.418</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RTR-1 On-Peak</w:t>
            </w:r>
          </w:p>
        </w:tc>
        <w:tc>
          <w:tcPr>
            <w:tcW w:w="900" w:type="dxa"/>
          </w:tcPr>
          <w:p w:rsidR="009570AF" w:rsidRPr="00310585" w:rsidRDefault="009570AF" w:rsidP="009570AF">
            <w:pPr>
              <w:jc w:val="center"/>
              <w:rPr>
                <w:sz w:val="22"/>
                <w:szCs w:val="22"/>
              </w:rPr>
            </w:pPr>
            <w:r w:rsidRPr="00310585">
              <w:rPr>
                <w:sz w:val="22"/>
                <w:szCs w:val="22"/>
              </w:rPr>
              <w:t>-</w:t>
            </w:r>
          </w:p>
        </w:tc>
        <w:tc>
          <w:tcPr>
            <w:tcW w:w="1260" w:type="dxa"/>
          </w:tcPr>
          <w:p w:rsidR="009570AF" w:rsidRPr="00310585" w:rsidRDefault="009570AF" w:rsidP="009570AF">
            <w:pPr>
              <w:jc w:val="center"/>
              <w:rPr>
                <w:sz w:val="22"/>
                <w:szCs w:val="22"/>
              </w:rPr>
            </w:pPr>
            <w:r w:rsidRPr="00310585">
              <w:rPr>
                <w:sz w:val="22"/>
                <w:szCs w:val="22"/>
              </w:rPr>
              <w:t>-</w:t>
            </w:r>
          </w:p>
        </w:tc>
        <w:tc>
          <w:tcPr>
            <w:tcW w:w="1188" w:type="dxa"/>
          </w:tcPr>
          <w:p w:rsidR="009570AF" w:rsidRPr="00310585" w:rsidRDefault="009570AF" w:rsidP="009570AF">
            <w:pPr>
              <w:jc w:val="center"/>
              <w:rPr>
                <w:sz w:val="22"/>
                <w:szCs w:val="22"/>
              </w:rPr>
            </w:pPr>
            <w:r w:rsidRPr="00310585">
              <w:rPr>
                <w:sz w:val="22"/>
                <w:szCs w:val="22"/>
              </w:rPr>
              <w:t>0.72</w:t>
            </w:r>
            <w:r>
              <w:rPr>
                <w:sz w:val="22"/>
                <w:szCs w:val="22"/>
              </w:rPr>
              <w:t>0</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RTR-1 Off-Peak</w:t>
            </w:r>
          </w:p>
        </w:tc>
        <w:tc>
          <w:tcPr>
            <w:tcW w:w="900" w:type="dxa"/>
          </w:tcPr>
          <w:p w:rsidR="009570AF" w:rsidRPr="00310585" w:rsidRDefault="009570AF" w:rsidP="009570AF">
            <w:pPr>
              <w:jc w:val="center"/>
              <w:rPr>
                <w:sz w:val="22"/>
                <w:szCs w:val="22"/>
              </w:rPr>
            </w:pPr>
            <w:r w:rsidRPr="00310585">
              <w:rPr>
                <w:sz w:val="22"/>
                <w:szCs w:val="22"/>
              </w:rPr>
              <w:t>-</w:t>
            </w:r>
          </w:p>
        </w:tc>
        <w:tc>
          <w:tcPr>
            <w:tcW w:w="1260" w:type="dxa"/>
          </w:tcPr>
          <w:p w:rsidR="009570AF" w:rsidRPr="00310585" w:rsidRDefault="009570AF" w:rsidP="009570AF">
            <w:pPr>
              <w:jc w:val="center"/>
              <w:rPr>
                <w:sz w:val="22"/>
                <w:szCs w:val="22"/>
              </w:rPr>
            </w:pPr>
            <w:r w:rsidRPr="00310585">
              <w:rPr>
                <w:sz w:val="22"/>
                <w:szCs w:val="22"/>
              </w:rPr>
              <w:t>-</w:t>
            </w:r>
          </w:p>
        </w:tc>
        <w:tc>
          <w:tcPr>
            <w:tcW w:w="1188" w:type="dxa"/>
          </w:tcPr>
          <w:p w:rsidR="009570AF" w:rsidRPr="00310585" w:rsidRDefault="009570AF" w:rsidP="009570AF">
            <w:pPr>
              <w:jc w:val="center"/>
              <w:rPr>
                <w:sz w:val="22"/>
                <w:szCs w:val="22"/>
              </w:rPr>
            </w:pPr>
            <w:r w:rsidRPr="00310585">
              <w:rPr>
                <w:sz w:val="22"/>
                <w:szCs w:val="22"/>
              </w:rPr>
              <w:t>(0.307)</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B</w:t>
            </w:r>
          </w:p>
        </w:tc>
        <w:tc>
          <w:tcPr>
            <w:tcW w:w="5220" w:type="dxa"/>
          </w:tcPr>
          <w:p w:rsidR="009570AF" w:rsidRPr="00310585" w:rsidRDefault="009570AF" w:rsidP="009570AF">
            <w:pPr>
              <w:jc w:val="center"/>
              <w:rPr>
                <w:sz w:val="22"/>
                <w:szCs w:val="22"/>
              </w:rPr>
            </w:pPr>
            <w:r w:rsidRPr="00310585">
              <w:rPr>
                <w:sz w:val="22"/>
                <w:szCs w:val="22"/>
              </w:rPr>
              <w:t>GSDT-1, CILC-1(G), HLFT-1 (21-499 kW) On Peak</w:t>
            </w:r>
          </w:p>
        </w:tc>
        <w:tc>
          <w:tcPr>
            <w:tcW w:w="900" w:type="dxa"/>
          </w:tcPr>
          <w:p w:rsidR="009570AF" w:rsidRPr="00310585" w:rsidRDefault="009570AF" w:rsidP="009570AF">
            <w:pPr>
              <w:jc w:val="center"/>
              <w:rPr>
                <w:sz w:val="22"/>
                <w:szCs w:val="22"/>
              </w:rPr>
            </w:pPr>
            <w:r w:rsidRPr="00310585">
              <w:rPr>
                <w:sz w:val="22"/>
                <w:szCs w:val="22"/>
              </w:rPr>
              <w:t>3.428</w:t>
            </w:r>
          </w:p>
        </w:tc>
        <w:tc>
          <w:tcPr>
            <w:tcW w:w="1260" w:type="dxa"/>
            <w:vAlign w:val="center"/>
          </w:tcPr>
          <w:p w:rsidR="009570AF" w:rsidRPr="00310585" w:rsidRDefault="009570AF" w:rsidP="009570AF">
            <w:pPr>
              <w:jc w:val="center"/>
              <w:rPr>
                <w:sz w:val="22"/>
                <w:szCs w:val="22"/>
              </w:rPr>
            </w:pPr>
            <w:r w:rsidRPr="00310585">
              <w:rPr>
                <w:sz w:val="22"/>
                <w:szCs w:val="22"/>
              </w:rPr>
              <w:t>1.00481</w:t>
            </w:r>
          </w:p>
        </w:tc>
        <w:tc>
          <w:tcPr>
            <w:tcW w:w="1188" w:type="dxa"/>
            <w:vAlign w:val="center"/>
          </w:tcPr>
          <w:p w:rsidR="009570AF" w:rsidRPr="00310585" w:rsidRDefault="009570AF" w:rsidP="009570AF">
            <w:pPr>
              <w:jc w:val="center"/>
              <w:rPr>
                <w:sz w:val="22"/>
                <w:szCs w:val="22"/>
              </w:rPr>
            </w:pPr>
            <w:r w:rsidRPr="00310585">
              <w:rPr>
                <w:sz w:val="22"/>
                <w:szCs w:val="22"/>
              </w:rPr>
              <w:t>3.445</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GSDT-1, CILC-1(G), HLFT-1 (21-499 kW) Off Peak</w:t>
            </w:r>
          </w:p>
        </w:tc>
        <w:tc>
          <w:tcPr>
            <w:tcW w:w="900" w:type="dxa"/>
          </w:tcPr>
          <w:p w:rsidR="009570AF" w:rsidRPr="00310585" w:rsidRDefault="009570AF" w:rsidP="009570AF">
            <w:pPr>
              <w:jc w:val="center"/>
              <w:rPr>
                <w:sz w:val="22"/>
                <w:szCs w:val="22"/>
              </w:rPr>
            </w:pPr>
            <w:r w:rsidRPr="00310585">
              <w:rPr>
                <w:sz w:val="22"/>
                <w:szCs w:val="22"/>
              </w:rPr>
              <w:t>2.406</w:t>
            </w:r>
          </w:p>
        </w:tc>
        <w:tc>
          <w:tcPr>
            <w:tcW w:w="1260" w:type="dxa"/>
            <w:vAlign w:val="center"/>
          </w:tcPr>
          <w:p w:rsidR="009570AF" w:rsidRPr="00310585" w:rsidRDefault="009570AF" w:rsidP="009570AF">
            <w:pPr>
              <w:jc w:val="center"/>
              <w:rPr>
                <w:sz w:val="22"/>
                <w:szCs w:val="22"/>
              </w:rPr>
            </w:pPr>
            <w:r w:rsidRPr="00310585">
              <w:rPr>
                <w:sz w:val="22"/>
                <w:szCs w:val="22"/>
              </w:rPr>
              <w:t>1.00481</w:t>
            </w:r>
          </w:p>
        </w:tc>
        <w:tc>
          <w:tcPr>
            <w:tcW w:w="1188" w:type="dxa"/>
            <w:vAlign w:val="center"/>
          </w:tcPr>
          <w:p w:rsidR="009570AF" w:rsidRPr="00310585" w:rsidRDefault="009570AF" w:rsidP="009570AF">
            <w:pPr>
              <w:jc w:val="center"/>
              <w:rPr>
                <w:sz w:val="22"/>
                <w:szCs w:val="22"/>
              </w:rPr>
            </w:pPr>
            <w:r w:rsidRPr="00310585">
              <w:rPr>
                <w:sz w:val="22"/>
                <w:szCs w:val="22"/>
              </w:rPr>
              <w:t>2.418</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lastRenderedPageBreak/>
              <w:t>C</w:t>
            </w:r>
          </w:p>
        </w:tc>
        <w:tc>
          <w:tcPr>
            <w:tcW w:w="5220" w:type="dxa"/>
          </w:tcPr>
          <w:p w:rsidR="009570AF" w:rsidRPr="00310585" w:rsidRDefault="009570AF" w:rsidP="009570AF">
            <w:pPr>
              <w:jc w:val="center"/>
              <w:rPr>
                <w:sz w:val="22"/>
                <w:szCs w:val="22"/>
              </w:rPr>
            </w:pPr>
            <w:r w:rsidRPr="00310585">
              <w:rPr>
                <w:sz w:val="22"/>
                <w:szCs w:val="22"/>
              </w:rPr>
              <w:t>GSDLT-1, CST-1, HLFT-2 (500-1,9999 kW) On Peak</w:t>
            </w:r>
          </w:p>
        </w:tc>
        <w:tc>
          <w:tcPr>
            <w:tcW w:w="900" w:type="dxa"/>
          </w:tcPr>
          <w:p w:rsidR="009570AF" w:rsidRPr="00310585" w:rsidRDefault="009570AF" w:rsidP="009570AF">
            <w:pPr>
              <w:jc w:val="center"/>
              <w:rPr>
                <w:sz w:val="22"/>
                <w:szCs w:val="22"/>
              </w:rPr>
            </w:pPr>
            <w:r w:rsidRPr="00310585">
              <w:rPr>
                <w:sz w:val="22"/>
                <w:szCs w:val="22"/>
              </w:rPr>
              <w:t>3.428</w:t>
            </w:r>
          </w:p>
        </w:tc>
        <w:tc>
          <w:tcPr>
            <w:tcW w:w="1260" w:type="dxa"/>
            <w:vAlign w:val="center"/>
          </w:tcPr>
          <w:p w:rsidR="009570AF" w:rsidRPr="00310585" w:rsidRDefault="009570AF" w:rsidP="009570AF">
            <w:pPr>
              <w:jc w:val="center"/>
              <w:rPr>
                <w:sz w:val="22"/>
                <w:szCs w:val="22"/>
              </w:rPr>
            </w:pPr>
            <w:r w:rsidRPr="00310585">
              <w:rPr>
                <w:sz w:val="22"/>
                <w:szCs w:val="22"/>
              </w:rPr>
              <w:t>1.00412</w:t>
            </w:r>
          </w:p>
        </w:tc>
        <w:tc>
          <w:tcPr>
            <w:tcW w:w="1188" w:type="dxa"/>
            <w:vAlign w:val="center"/>
          </w:tcPr>
          <w:p w:rsidR="009570AF" w:rsidRPr="00310585" w:rsidRDefault="009570AF" w:rsidP="009570AF">
            <w:pPr>
              <w:jc w:val="center"/>
              <w:rPr>
                <w:sz w:val="22"/>
                <w:szCs w:val="22"/>
              </w:rPr>
            </w:pPr>
            <w:r w:rsidRPr="00310585">
              <w:rPr>
                <w:sz w:val="22"/>
                <w:szCs w:val="22"/>
              </w:rPr>
              <w:t>3.442</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GSDLT-1, CST-1, HLFT-2 (500-1,9999 kW) Off Peak</w:t>
            </w:r>
          </w:p>
        </w:tc>
        <w:tc>
          <w:tcPr>
            <w:tcW w:w="900" w:type="dxa"/>
          </w:tcPr>
          <w:p w:rsidR="009570AF" w:rsidRPr="00310585" w:rsidRDefault="009570AF" w:rsidP="009570AF">
            <w:pPr>
              <w:jc w:val="center"/>
              <w:rPr>
                <w:sz w:val="22"/>
                <w:szCs w:val="22"/>
              </w:rPr>
            </w:pPr>
            <w:r w:rsidRPr="00310585">
              <w:rPr>
                <w:sz w:val="22"/>
                <w:szCs w:val="22"/>
              </w:rPr>
              <w:t>2.406</w:t>
            </w:r>
          </w:p>
        </w:tc>
        <w:tc>
          <w:tcPr>
            <w:tcW w:w="1260" w:type="dxa"/>
            <w:vAlign w:val="center"/>
          </w:tcPr>
          <w:p w:rsidR="009570AF" w:rsidRPr="00310585" w:rsidRDefault="009570AF" w:rsidP="009570AF">
            <w:pPr>
              <w:jc w:val="center"/>
              <w:rPr>
                <w:sz w:val="22"/>
                <w:szCs w:val="22"/>
              </w:rPr>
            </w:pPr>
            <w:r w:rsidRPr="00310585">
              <w:rPr>
                <w:sz w:val="22"/>
                <w:szCs w:val="22"/>
              </w:rPr>
              <w:t>1.00412</w:t>
            </w:r>
          </w:p>
        </w:tc>
        <w:tc>
          <w:tcPr>
            <w:tcW w:w="1188" w:type="dxa"/>
            <w:vAlign w:val="center"/>
          </w:tcPr>
          <w:p w:rsidR="009570AF" w:rsidRPr="00310585" w:rsidRDefault="009570AF" w:rsidP="009570AF">
            <w:pPr>
              <w:jc w:val="center"/>
              <w:rPr>
                <w:sz w:val="22"/>
                <w:szCs w:val="22"/>
              </w:rPr>
            </w:pPr>
            <w:r w:rsidRPr="00310585">
              <w:rPr>
                <w:sz w:val="22"/>
                <w:szCs w:val="22"/>
              </w:rPr>
              <w:t>2.416</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D</w:t>
            </w:r>
          </w:p>
        </w:tc>
        <w:tc>
          <w:tcPr>
            <w:tcW w:w="5220" w:type="dxa"/>
          </w:tcPr>
          <w:p w:rsidR="009570AF" w:rsidRPr="00310585" w:rsidRDefault="009570AF" w:rsidP="009570AF">
            <w:pPr>
              <w:jc w:val="center"/>
              <w:rPr>
                <w:sz w:val="22"/>
                <w:szCs w:val="22"/>
              </w:rPr>
            </w:pPr>
            <w:r w:rsidRPr="00310585">
              <w:rPr>
                <w:sz w:val="22"/>
                <w:szCs w:val="22"/>
              </w:rPr>
              <w:t>GSDLT-2, CST-2, HLFT-3 (2,000+ kW) On Peak</w:t>
            </w:r>
          </w:p>
        </w:tc>
        <w:tc>
          <w:tcPr>
            <w:tcW w:w="900" w:type="dxa"/>
          </w:tcPr>
          <w:p w:rsidR="009570AF" w:rsidRPr="00310585" w:rsidRDefault="009570AF" w:rsidP="009570AF">
            <w:pPr>
              <w:jc w:val="center"/>
              <w:rPr>
                <w:sz w:val="22"/>
                <w:szCs w:val="22"/>
              </w:rPr>
            </w:pPr>
            <w:r w:rsidRPr="00310585">
              <w:rPr>
                <w:sz w:val="22"/>
                <w:szCs w:val="22"/>
              </w:rPr>
              <w:t>3.428</w:t>
            </w:r>
          </w:p>
        </w:tc>
        <w:tc>
          <w:tcPr>
            <w:tcW w:w="1260" w:type="dxa"/>
            <w:vAlign w:val="center"/>
          </w:tcPr>
          <w:p w:rsidR="009570AF" w:rsidRPr="00310585" w:rsidRDefault="009570AF" w:rsidP="009570AF">
            <w:pPr>
              <w:jc w:val="center"/>
              <w:rPr>
                <w:sz w:val="22"/>
                <w:szCs w:val="22"/>
              </w:rPr>
            </w:pPr>
            <w:r w:rsidRPr="00310585">
              <w:rPr>
                <w:sz w:val="22"/>
                <w:szCs w:val="22"/>
              </w:rPr>
              <w:t>0.99690</w:t>
            </w:r>
          </w:p>
        </w:tc>
        <w:tc>
          <w:tcPr>
            <w:tcW w:w="1188" w:type="dxa"/>
            <w:vAlign w:val="center"/>
          </w:tcPr>
          <w:p w:rsidR="009570AF" w:rsidRPr="00310585" w:rsidRDefault="009570AF" w:rsidP="009570AF">
            <w:pPr>
              <w:jc w:val="center"/>
              <w:rPr>
                <w:sz w:val="22"/>
                <w:szCs w:val="22"/>
              </w:rPr>
            </w:pPr>
            <w:r w:rsidRPr="00310585">
              <w:rPr>
                <w:sz w:val="22"/>
                <w:szCs w:val="22"/>
              </w:rPr>
              <w:t>3.417</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GSDLT-2, CST-2, HLFT-3 (2,000+ kW) On Peak</w:t>
            </w:r>
          </w:p>
        </w:tc>
        <w:tc>
          <w:tcPr>
            <w:tcW w:w="900" w:type="dxa"/>
          </w:tcPr>
          <w:p w:rsidR="009570AF" w:rsidRPr="00310585" w:rsidRDefault="009570AF" w:rsidP="009570AF">
            <w:pPr>
              <w:jc w:val="center"/>
              <w:rPr>
                <w:sz w:val="22"/>
                <w:szCs w:val="22"/>
              </w:rPr>
            </w:pPr>
            <w:r w:rsidRPr="00310585">
              <w:rPr>
                <w:sz w:val="22"/>
                <w:szCs w:val="22"/>
              </w:rPr>
              <w:t>2.406</w:t>
            </w:r>
          </w:p>
        </w:tc>
        <w:tc>
          <w:tcPr>
            <w:tcW w:w="1260" w:type="dxa"/>
            <w:vAlign w:val="center"/>
          </w:tcPr>
          <w:p w:rsidR="009570AF" w:rsidRPr="00310585" w:rsidRDefault="009570AF" w:rsidP="009570AF">
            <w:pPr>
              <w:jc w:val="center"/>
              <w:rPr>
                <w:sz w:val="22"/>
                <w:szCs w:val="22"/>
              </w:rPr>
            </w:pPr>
            <w:r w:rsidRPr="00310585">
              <w:rPr>
                <w:sz w:val="22"/>
                <w:szCs w:val="22"/>
              </w:rPr>
              <w:t>0.99690</w:t>
            </w:r>
          </w:p>
        </w:tc>
        <w:tc>
          <w:tcPr>
            <w:tcW w:w="1188" w:type="dxa"/>
            <w:vAlign w:val="center"/>
          </w:tcPr>
          <w:p w:rsidR="009570AF" w:rsidRPr="00310585" w:rsidRDefault="009570AF" w:rsidP="009570AF">
            <w:pPr>
              <w:jc w:val="center"/>
              <w:rPr>
                <w:sz w:val="22"/>
                <w:szCs w:val="22"/>
              </w:rPr>
            </w:pPr>
            <w:r w:rsidRPr="00310585">
              <w:rPr>
                <w:sz w:val="22"/>
                <w:szCs w:val="22"/>
              </w:rPr>
              <w:t>2.399</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E</w:t>
            </w:r>
          </w:p>
        </w:tc>
        <w:tc>
          <w:tcPr>
            <w:tcW w:w="5220" w:type="dxa"/>
          </w:tcPr>
          <w:p w:rsidR="009570AF" w:rsidRPr="00310585" w:rsidRDefault="009570AF" w:rsidP="009570AF">
            <w:pPr>
              <w:jc w:val="center"/>
              <w:rPr>
                <w:sz w:val="22"/>
                <w:szCs w:val="22"/>
              </w:rPr>
            </w:pPr>
            <w:r w:rsidRPr="00310585">
              <w:rPr>
                <w:sz w:val="22"/>
                <w:szCs w:val="22"/>
              </w:rPr>
              <w:t>GSDLT-3, CST-3, CILC-1(T), ISST-1(T) On Peak</w:t>
            </w:r>
          </w:p>
        </w:tc>
        <w:tc>
          <w:tcPr>
            <w:tcW w:w="900" w:type="dxa"/>
          </w:tcPr>
          <w:p w:rsidR="009570AF" w:rsidRPr="00310585" w:rsidRDefault="009570AF" w:rsidP="009570AF">
            <w:pPr>
              <w:jc w:val="center"/>
              <w:rPr>
                <w:sz w:val="22"/>
                <w:szCs w:val="22"/>
              </w:rPr>
            </w:pPr>
            <w:r w:rsidRPr="00310585">
              <w:rPr>
                <w:sz w:val="22"/>
                <w:szCs w:val="22"/>
              </w:rPr>
              <w:t>3.428</w:t>
            </w:r>
          </w:p>
        </w:tc>
        <w:tc>
          <w:tcPr>
            <w:tcW w:w="1260" w:type="dxa"/>
            <w:vAlign w:val="center"/>
          </w:tcPr>
          <w:p w:rsidR="009570AF" w:rsidRPr="00310585" w:rsidRDefault="009570AF" w:rsidP="009570AF">
            <w:pPr>
              <w:jc w:val="center"/>
              <w:rPr>
                <w:sz w:val="22"/>
                <w:szCs w:val="22"/>
              </w:rPr>
            </w:pPr>
            <w:r w:rsidRPr="00310585">
              <w:rPr>
                <w:sz w:val="22"/>
                <w:szCs w:val="22"/>
              </w:rPr>
              <w:t>0.97324</w:t>
            </w:r>
          </w:p>
        </w:tc>
        <w:tc>
          <w:tcPr>
            <w:tcW w:w="1188" w:type="dxa"/>
            <w:vAlign w:val="center"/>
          </w:tcPr>
          <w:p w:rsidR="009570AF" w:rsidRPr="00310585" w:rsidRDefault="009570AF" w:rsidP="009570AF">
            <w:pPr>
              <w:jc w:val="center"/>
              <w:rPr>
                <w:sz w:val="22"/>
                <w:szCs w:val="22"/>
              </w:rPr>
            </w:pPr>
            <w:r w:rsidRPr="00310585">
              <w:rPr>
                <w:sz w:val="22"/>
                <w:szCs w:val="22"/>
              </w:rPr>
              <w:t>3.336</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GSDLT-3, CST-3, CILC-1(T), ISST-1(T) Off Peak</w:t>
            </w:r>
          </w:p>
        </w:tc>
        <w:tc>
          <w:tcPr>
            <w:tcW w:w="900" w:type="dxa"/>
          </w:tcPr>
          <w:p w:rsidR="009570AF" w:rsidRPr="00310585" w:rsidRDefault="009570AF" w:rsidP="009570AF">
            <w:pPr>
              <w:jc w:val="center"/>
              <w:rPr>
                <w:sz w:val="22"/>
                <w:szCs w:val="22"/>
              </w:rPr>
            </w:pPr>
            <w:r w:rsidRPr="00310585">
              <w:rPr>
                <w:sz w:val="22"/>
                <w:szCs w:val="22"/>
              </w:rPr>
              <w:t>2.406</w:t>
            </w:r>
          </w:p>
        </w:tc>
        <w:tc>
          <w:tcPr>
            <w:tcW w:w="1260" w:type="dxa"/>
            <w:vAlign w:val="center"/>
          </w:tcPr>
          <w:p w:rsidR="009570AF" w:rsidRPr="00310585" w:rsidRDefault="009570AF" w:rsidP="009570AF">
            <w:pPr>
              <w:jc w:val="center"/>
              <w:rPr>
                <w:sz w:val="22"/>
                <w:szCs w:val="22"/>
              </w:rPr>
            </w:pPr>
            <w:r w:rsidRPr="00310585">
              <w:rPr>
                <w:sz w:val="22"/>
                <w:szCs w:val="22"/>
              </w:rPr>
              <w:t>0.97324</w:t>
            </w:r>
          </w:p>
        </w:tc>
        <w:tc>
          <w:tcPr>
            <w:tcW w:w="1188" w:type="dxa"/>
            <w:vAlign w:val="center"/>
          </w:tcPr>
          <w:p w:rsidR="009570AF" w:rsidRPr="00310585" w:rsidRDefault="009570AF" w:rsidP="009570AF">
            <w:pPr>
              <w:jc w:val="center"/>
              <w:rPr>
                <w:sz w:val="22"/>
                <w:szCs w:val="22"/>
              </w:rPr>
            </w:pPr>
            <w:r w:rsidRPr="00310585">
              <w:rPr>
                <w:sz w:val="22"/>
                <w:szCs w:val="22"/>
              </w:rPr>
              <w:t>2.342</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F</w:t>
            </w:r>
          </w:p>
        </w:tc>
        <w:tc>
          <w:tcPr>
            <w:tcW w:w="5220" w:type="dxa"/>
          </w:tcPr>
          <w:p w:rsidR="009570AF" w:rsidRPr="00310585" w:rsidRDefault="009570AF" w:rsidP="009570AF">
            <w:pPr>
              <w:jc w:val="center"/>
              <w:rPr>
                <w:sz w:val="22"/>
                <w:szCs w:val="22"/>
              </w:rPr>
            </w:pPr>
            <w:r w:rsidRPr="00310585">
              <w:rPr>
                <w:sz w:val="22"/>
                <w:szCs w:val="22"/>
              </w:rPr>
              <w:t>CILC-1(D), ISST-1(D) On Peak</w:t>
            </w:r>
          </w:p>
        </w:tc>
        <w:tc>
          <w:tcPr>
            <w:tcW w:w="900" w:type="dxa"/>
          </w:tcPr>
          <w:p w:rsidR="009570AF" w:rsidRPr="00310585" w:rsidRDefault="009570AF" w:rsidP="009570AF">
            <w:pPr>
              <w:jc w:val="center"/>
              <w:rPr>
                <w:sz w:val="22"/>
                <w:szCs w:val="22"/>
              </w:rPr>
            </w:pPr>
            <w:r w:rsidRPr="00310585">
              <w:rPr>
                <w:sz w:val="22"/>
                <w:szCs w:val="22"/>
              </w:rPr>
              <w:t>3.428</w:t>
            </w:r>
          </w:p>
        </w:tc>
        <w:tc>
          <w:tcPr>
            <w:tcW w:w="1260" w:type="dxa"/>
          </w:tcPr>
          <w:p w:rsidR="009570AF" w:rsidRPr="00310585" w:rsidRDefault="009570AF" w:rsidP="009570AF">
            <w:pPr>
              <w:jc w:val="center"/>
              <w:rPr>
                <w:sz w:val="22"/>
                <w:szCs w:val="22"/>
              </w:rPr>
            </w:pPr>
            <w:r w:rsidRPr="00310585">
              <w:rPr>
                <w:sz w:val="22"/>
                <w:szCs w:val="22"/>
              </w:rPr>
              <w:t>0.99646</w:t>
            </w:r>
          </w:p>
        </w:tc>
        <w:tc>
          <w:tcPr>
            <w:tcW w:w="1188" w:type="dxa"/>
          </w:tcPr>
          <w:p w:rsidR="009570AF" w:rsidRPr="00310585" w:rsidRDefault="009570AF" w:rsidP="009570AF">
            <w:pPr>
              <w:jc w:val="center"/>
              <w:rPr>
                <w:sz w:val="22"/>
                <w:szCs w:val="22"/>
              </w:rPr>
            </w:pPr>
            <w:r w:rsidRPr="00310585">
              <w:rPr>
                <w:sz w:val="22"/>
                <w:szCs w:val="22"/>
              </w:rPr>
              <w:t>3.416</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CILC-1(D), ISST-1(D) Off Peak</w:t>
            </w:r>
          </w:p>
        </w:tc>
        <w:tc>
          <w:tcPr>
            <w:tcW w:w="900" w:type="dxa"/>
          </w:tcPr>
          <w:p w:rsidR="009570AF" w:rsidRPr="00310585" w:rsidRDefault="009570AF" w:rsidP="009570AF">
            <w:pPr>
              <w:jc w:val="center"/>
              <w:rPr>
                <w:sz w:val="22"/>
                <w:szCs w:val="22"/>
              </w:rPr>
            </w:pPr>
            <w:r w:rsidRPr="00310585">
              <w:rPr>
                <w:sz w:val="22"/>
                <w:szCs w:val="22"/>
              </w:rPr>
              <w:t>2.406</w:t>
            </w:r>
          </w:p>
        </w:tc>
        <w:tc>
          <w:tcPr>
            <w:tcW w:w="1260" w:type="dxa"/>
          </w:tcPr>
          <w:p w:rsidR="009570AF" w:rsidRPr="00310585" w:rsidRDefault="009570AF" w:rsidP="009570AF">
            <w:pPr>
              <w:jc w:val="center"/>
              <w:rPr>
                <w:sz w:val="22"/>
                <w:szCs w:val="22"/>
              </w:rPr>
            </w:pPr>
            <w:r w:rsidRPr="00310585">
              <w:rPr>
                <w:sz w:val="22"/>
                <w:szCs w:val="22"/>
              </w:rPr>
              <w:t>0.99646</w:t>
            </w:r>
          </w:p>
        </w:tc>
        <w:tc>
          <w:tcPr>
            <w:tcW w:w="1188" w:type="dxa"/>
          </w:tcPr>
          <w:p w:rsidR="009570AF" w:rsidRPr="00310585" w:rsidRDefault="009570AF" w:rsidP="009570AF">
            <w:pPr>
              <w:jc w:val="center"/>
              <w:rPr>
                <w:sz w:val="22"/>
                <w:szCs w:val="22"/>
              </w:rPr>
            </w:pPr>
            <w:r w:rsidRPr="00310585">
              <w:rPr>
                <w:sz w:val="22"/>
                <w:szCs w:val="22"/>
              </w:rPr>
              <w:t>2.397</w:t>
            </w:r>
          </w:p>
        </w:tc>
      </w:tr>
    </w:tbl>
    <w:p w:rsidR="009570AF" w:rsidRDefault="009570AF" w:rsidP="009570AF">
      <w:pPr>
        <w:rPr>
          <w:sz w:val="22"/>
          <w:szCs w:val="22"/>
        </w:rPr>
      </w:pPr>
      <w:r w:rsidRPr="00310585">
        <w:rPr>
          <w:sz w:val="22"/>
          <w:szCs w:val="22"/>
        </w:rPr>
        <w:t xml:space="preserve">    Source: Schedule E1-E, Page 1 of 2 (Exh. RBD-6, Appendix III – 2019 FCR Projections, Page 3 of 7).</w:t>
      </w:r>
    </w:p>
    <w:p w:rsidR="007268E2" w:rsidRDefault="007268E2" w:rsidP="009570AF">
      <w:pPr>
        <w:rPr>
          <w:sz w:val="22"/>
          <w:szCs w:val="22"/>
        </w:rPr>
      </w:pPr>
    </w:p>
    <w:p w:rsidR="007268E2" w:rsidRPr="00310585" w:rsidRDefault="007268E2" w:rsidP="009570AF">
      <w:pPr>
        <w:rPr>
          <w:sz w:val="22"/>
          <w:szCs w:val="22"/>
        </w:rPr>
      </w:pPr>
    </w:p>
    <w:p w:rsidR="009570AF" w:rsidRPr="00310585" w:rsidRDefault="009570AF" w:rsidP="009570AF">
      <w:pPr>
        <w:ind w:left="1440" w:hanging="1440"/>
        <w:jc w:val="center"/>
        <w:rPr>
          <w:rFonts w:ascii="Arial" w:hAnsi="Arial" w:cs="Arial"/>
          <w:b/>
        </w:rPr>
      </w:pPr>
      <w:r w:rsidRPr="00310585">
        <w:rPr>
          <w:rFonts w:ascii="Arial" w:hAnsi="Arial" w:cs="Arial"/>
          <w:b/>
        </w:rPr>
        <w:t>Table 22-5</w:t>
      </w:r>
    </w:p>
    <w:p w:rsidR="009570AF" w:rsidRPr="00310585" w:rsidRDefault="009570AF" w:rsidP="009570AF">
      <w:pPr>
        <w:jc w:val="center"/>
      </w:pPr>
      <w:r w:rsidRPr="00310585">
        <w:rPr>
          <w:rFonts w:ascii="Arial" w:hAnsi="Arial" w:cs="Arial"/>
          <w:b/>
        </w:rPr>
        <w:t>FPL Fuel Cost Recovery Factors for the period March-May, 2019</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9570AF" w:rsidRPr="00310585" w:rsidTr="009570AF">
        <w:tc>
          <w:tcPr>
            <w:tcW w:w="9468" w:type="dxa"/>
            <w:gridSpan w:val="5"/>
          </w:tcPr>
          <w:p w:rsidR="009570AF" w:rsidRPr="00310585" w:rsidRDefault="009570AF" w:rsidP="009570AF">
            <w:pPr>
              <w:jc w:val="center"/>
            </w:pPr>
            <w:r w:rsidRPr="00310585">
              <w:t>Seasonal Demand Time of Use Rider (SDTR) Fuel Recovery Factors</w:t>
            </w:r>
          </w:p>
        </w:tc>
      </w:tr>
      <w:tr w:rsidR="009570AF" w:rsidRPr="00310585" w:rsidTr="009570AF">
        <w:tc>
          <w:tcPr>
            <w:tcW w:w="9468" w:type="dxa"/>
            <w:gridSpan w:val="5"/>
          </w:tcPr>
          <w:p w:rsidR="009570AF" w:rsidRPr="00310585" w:rsidRDefault="009570AF" w:rsidP="009570AF">
            <w:pPr>
              <w:jc w:val="center"/>
            </w:pPr>
            <w:r w:rsidRPr="00310585">
              <w:t>For the Period June - September, 2019</w:t>
            </w:r>
          </w:p>
        </w:tc>
      </w:tr>
      <w:tr w:rsidR="009570AF" w:rsidRPr="00310585" w:rsidTr="009570AF">
        <w:tc>
          <w:tcPr>
            <w:tcW w:w="900" w:type="dxa"/>
            <w:vAlign w:val="center"/>
          </w:tcPr>
          <w:p w:rsidR="009570AF" w:rsidRPr="00310585" w:rsidRDefault="009570AF" w:rsidP="009570AF">
            <w:pPr>
              <w:jc w:val="center"/>
            </w:pPr>
            <w:r w:rsidRPr="00310585">
              <w:t>Group</w:t>
            </w:r>
          </w:p>
        </w:tc>
        <w:tc>
          <w:tcPr>
            <w:tcW w:w="4950" w:type="dxa"/>
            <w:vAlign w:val="center"/>
          </w:tcPr>
          <w:p w:rsidR="009570AF" w:rsidRPr="00310585" w:rsidRDefault="009570AF" w:rsidP="009570AF">
            <w:pPr>
              <w:jc w:val="center"/>
            </w:pPr>
            <w:r w:rsidRPr="00310585">
              <w:t>Rate Schedule</w:t>
            </w:r>
          </w:p>
        </w:tc>
        <w:tc>
          <w:tcPr>
            <w:tcW w:w="1170" w:type="dxa"/>
            <w:vAlign w:val="center"/>
          </w:tcPr>
          <w:p w:rsidR="009570AF" w:rsidRPr="00310585" w:rsidRDefault="009570AF" w:rsidP="009570AF">
            <w:pPr>
              <w:jc w:val="center"/>
            </w:pPr>
            <w:r w:rsidRPr="00310585">
              <w:t>Avg. Factor</w:t>
            </w:r>
          </w:p>
        </w:tc>
        <w:tc>
          <w:tcPr>
            <w:tcW w:w="1260" w:type="dxa"/>
            <w:vAlign w:val="center"/>
          </w:tcPr>
          <w:p w:rsidR="009570AF" w:rsidRPr="00310585" w:rsidRDefault="009570AF" w:rsidP="009570AF">
            <w:pPr>
              <w:jc w:val="center"/>
            </w:pPr>
            <w:r w:rsidRPr="00310585">
              <w:t>Loss Multiplier</w:t>
            </w:r>
          </w:p>
        </w:tc>
        <w:tc>
          <w:tcPr>
            <w:tcW w:w="1188" w:type="dxa"/>
            <w:vAlign w:val="center"/>
          </w:tcPr>
          <w:p w:rsidR="009570AF" w:rsidRPr="00310585" w:rsidRDefault="009570AF" w:rsidP="009570AF">
            <w:pPr>
              <w:jc w:val="center"/>
            </w:pPr>
            <w:r w:rsidRPr="00310585">
              <w:t>Fuel Recovery Factor</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B</w:t>
            </w:r>
          </w:p>
        </w:tc>
        <w:tc>
          <w:tcPr>
            <w:tcW w:w="4950" w:type="dxa"/>
          </w:tcPr>
          <w:p w:rsidR="009570AF" w:rsidRPr="00310585" w:rsidRDefault="009570AF" w:rsidP="009570AF">
            <w:pPr>
              <w:jc w:val="center"/>
              <w:rPr>
                <w:sz w:val="22"/>
                <w:szCs w:val="22"/>
              </w:rPr>
            </w:pPr>
            <w:r w:rsidRPr="00310585">
              <w:rPr>
                <w:sz w:val="22"/>
                <w:szCs w:val="22"/>
              </w:rPr>
              <w:t>GSD(T)-1 On-Peak</w:t>
            </w:r>
          </w:p>
        </w:tc>
        <w:tc>
          <w:tcPr>
            <w:tcW w:w="1170" w:type="dxa"/>
          </w:tcPr>
          <w:p w:rsidR="009570AF" w:rsidRPr="00310585" w:rsidRDefault="009570AF" w:rsidP="009570AF">
            <w:pPr>
              <w:jc w:val="center"/>
              <w:rPr>
                <w:sz w:val="22"/>
                <w:szCs w:val="22"/>
              </w:rPr>
            </w:pPr>
            <w:r w:rsidRPr="00310585">
              <w:rPr>
                <w:sz w:val="22"/>
                <w:szCs w:val="22"/>
              </w:rPr>
              <w:t>4.572</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4.594</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GSD(T)-1 Off-Peak</w:t>
            </w:r>
          </w:p>
        </w:tc>
        <w:tc>
          <w:tcPr>
            <w:tcW w:w="1170" w:type="dxa"/>
          </w:tcPr>
          <w:p w:rsidR="009570AF" w:rsidRPr="00310585" w:rsidRDefault="009570AF" w:rsidP="009570AF">
            <w:pPr>
              <w:jc w:val="center"/>
              <w:rPr>
                <w:sz w:val="22"/>
                <w:szCs w:val="22"/>
              </w:rPr>
            </w:pPr>
            <w:r w:rsidRPr="00310585">
              <w:rPr>
                <w:sz w:val="22"/>
                <w:szCs w:val="22"/>
              </w:rPr>
              <w:t>2.473</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2.485</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C</w:t>
            </w:r>
          </w:p>
        </w:tc>
        <w:tc>
          <w:tcPr>
            <w:tcW w:w="4950" w:type="dxa"/>
          </w:tcPr>
          <w:p w:rsidR="009570AF" w:rsidRPr="00310585" w:rsidRDefault="009570AF" w:rsidP="009570AF">
            <w:pPr>
              <w:jc w:val="center"/>
              <w:rPr>
                <w:sz w:val="22"/>
                <w:szCs w:val="22"/>
              </w:rPr>
            </w:pPr>
            <w:r w:rsidRPr="00310585">
              <w:rPr>
                <w:sz w:val="22"/>
                <w:szCs w:val="22"/>
              </w:rPr>
              <w:t>GSLD(T)-1 On-Peak</w:t>
            </w:r>
          </w:p>
        </w:tc>
        <w:tc>
          <w:tcPr>
            <w:tcW w:w="1170" w:type="dxa"/>
          </w:tcPr>
          <w:p w:rsidR="009570AF" w:rsidRPr="00310585" w:rsidRDefault="009570AF" w:rsidP="009570AF">
            <w:pPr>
              <w:jc w:val="center"/>
              <w:rPr>
                <w:sz w:val="22"/>
                <w:szCs w:val="22"/>
              </w:rPr>
            </w:pPr>
            <w:r w:rsidRPr="00310585">
              <w:rPr>
                <w:sz w:val="22"/>
                <w:szCs w:val="22"/>
              </w:rPr>
              <w:t>4.572</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4.591</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GSLD(T)-1 Off-Peak</w:t>
            </w:r>
          </w:p>
        </w:tc>
        <w:tc>
          <w:tcPr>
            <w:tcW w:w="1170" w:type="dxa"/>
          </w:tcPr>
          <w:p w:rsidR="009570AF" w:rsidRPr="00310585" w:rsidRDefault="009570AF" w:rsidP="009570AF">
            <w:pPr>
              <w:jc w:val="center"/>
              <w:rPr>
                <w:sz w:val="22"/>
                <w:szCs w:val="22"/>
              </w:rPr>
            </w:pPr>
            <w:r w:rsidRPr="00310585">
              <w:rPr>
                <w:sz w:val="22"/>
                <w:szCs w:val="22"/>
              </w:rPr>
              <w:t>2.473</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2.483</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D</w:t>
            </w:r>
          </w:p>
        </w:tc>
        <w:tc>
          <w:tcPr>
            <w:tcW w:w="4950" w:type="dxa"/>
          </w:tcPr>
          <w:p w:rsidR="009570AF" w:rsidRPr="00310585" w:rsidRDefault="009570AF" w:rsidP="009570AF">
            <w:pPr>
              <w:jc w:val="center"/>
              <w:rPr>
                <w:sz w:val="22"/>
                <w:szCs w:val="22"/>
              </w:rPr>
            </w:pPr>
            <w:r w:rsidRPr="00310585">
              <w:rPr>
                <w:sz w:val="22"/>
                <w:szCs w:val="22"/>
              </w:rPr>
              <w:t>GSLD(T)-2 On-Peak</w:t>
            </w:r>
          </w:p>
        </w:tc>
        <w:tc>
          <w:tcPr>
            <w:tcW w:w="1170" w:type="dxa"/>
          </w:tcPr>
          <w:p w:rsidR="009570AF" w:rsidRPr="00310585" w:rsidRDefault="009570AF" w:rsidP="009570AF">
            <w:pPr>
              <w:jc w:val="center"/>
              <w:rPr>
                <w:sz w:val="22"/>
                <w:szCs w:val="22"/>
              </w:rPr>
            </w:pPr>
            <w:r w:rsidRPr="00310585">
              <w:rPr>
                <w:sz w:val="22"/>
                <w:szCs w:val="22"/>
              </w:rPr>
              <w:t>4.572</w:t>
            </w:r>
          </w:p>
        </w:tc>
        <w:tc>
          <w:tcPr>
            <w:tcW w:w="1260" w:type="dxa"/>
          </w:tcPr>
          <w:p w:rsidR="009570AF" w:rsidRPr="00310585" w:rsidRDefault="009570AF" w:rsidP="009570AF">
            <w:pPr>
              <w:jc w:val="center"/>
              <w:rPr>
                <w:sz w:val="22"/>
                <w:szCs w:val="22"/>
              </w:rPr>
            </w:pPr>
            <w:r w:rsidRPr="00310585">
              <w:rPr>
                <w:sz w:val="22"/>
                <w:szCs w:val="22"/>
              </w:rPr>
              <w:t>0.99690</w:t>
            </w:r>
          </w:p>
        </w:tc>
        <w:tc>
          <w:tcPr>
            <w:tcW w:w="1188" w:type="dxa"/>
          </w:tcPr>
          <w:p w:rsidR="009570AF" w:rsidRPr="00310585" w:rsidRDefault="009570AF" w:rsidP="009570AF">
            <w:pPr>
              <w:jc w:val="center"/>
              <w:rPr>
                <w:sz w:val="22"/>
                <w:szCs w:val="22"/>
              </w:rPr>
            </w:pPr>
            <w:r w:rsidRPr="00310585">
              <w:rPr>
                <w:sz w:val="22"/>
                <w:szCs w:val="22"/>
              </w:rPr>
              <w:t>4.558</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GSLD(T)-2 Off-Peak</w:t>
            </w:r>
          </w:p>
        </w:tc>
        <w:tc>
          <w:tcPr>
            <w:tcW w:w="1170" w:type="dxa"/>
          </w:tcPr>
          <w:p w:rsidR="009570AF" w:rsidRPr="00310585" w:rsidRDefault="009570AF" w:rsidP="009570AF">
            <w:pPr>
              <w:jc w:val="center"/>
              <w:rPr>
                <w:sz w:val="22"/>
                <w:szCs w:val="22"/>
              </w:rPr>
            </w:pPr>
            <w:r w:rsidRPr="00310585">
              <w:rPr>
                <w:sz w:val="22"/>
                <w:szCs w:val="22"/>
              </w:rPr>
              <w:t>2.473</w:t>
            </w:r>
          </w:p>
        </w:tc>
        <w:tc>
          <w:tcPr>
            <w:tcW w:w="1260" w:type="dxa"/>
          </w:tcPr>
          <w:p w:rsidR="009570AF" w:rsidRPr="00310585" w:rsidRDefault="009570AF" w:rsidP="009570AF">
            <w:pPr>
              <w:jc w:val="center"/>
              <w:rPr>
                <w:sz w:val="22"/>
                <w:szCs w:val="22"/>
              </w:rPr>
            </w:pPr>
            <w:r w:rsidRPr="00310585">
              <w:rPr>
                <w:sz w:val="22"/>
                <w:szCs w:val="22"/>
              </w:rPr>
              <w:t>0.99690</w:t>
            </w:r>
          </w:p>
        </w:tc>
        <w:tc>
          <w:tcPr>
            <w:tcW w:w="1188" w:type="dxa"/>
          </w:tcPr>
          <w:p w:rsidR="009570AF" w:rsidRPr="00310585" w:rsidRDefault="009570AF" w:rsidP="009570AF">
            <w:pPr>
              <w:jc w:val="center"/>
              <w:rPr>
                <w:sz w:val="22"/>
                <w:szCs w:val="22"/>
              </w:rPr>
            </w:pPr>
            <w:r w:rsidRPr="00310585">
              <w:rPr>
                <w:sz w:val="22"/>
                <w:szCs w:val="22"/>
              </w:rPr>
              <w:t>2.465</w:t>
            </w:r>
          </w:p>
        </w:tc>
      </w:tr>
    </w:tbl>
    <w:p w:rsidR="009570AF" w:rsidRPr="00310585" w:rsidRDefault="009570AF" w:rsidP="009570AF">
      <w:pPr>
        <w:rPr>
          <w:sz w:val="22"/>
          <w:szCs w:val="22"/>
        </w:rPr>
      </w:pPr>
      <w:r w:rsidRPr="00310585">
        <w:rPr>
          <w:sz w:val="22"/>
          <w:szCs w:val="22"/>
        </w:rPr>
        <w:t xml:space="preserve">    Source: Schedule E1- E, Page 2 of 2 (Exh. RBD-6, Appendix III – 2019 FCR Projections, Page 4 of 7).</w:t>
      </w:r>
    </w:p>
    <w:p w:rsidR="009570AF" w:rsidRPr="00310585" w:rsidRDefault="009570AF" w:rsidP="009570AF">
      <w:pPr>
        <w:rPr>
          <w:sz w:val="22"/>
          <w:szCs w:val="22"/>
        </w:rPr>
      </w:pPr>
    </w:p>
    <w:p w:rsidR="009570AF" w:rsidRPr="00310585" w:rsidRDefault="009570AF" w:rsidP="009570AF">
      <w:pPr>
        <w:jc w:val="center"/>
        <w:rPr>
          <w:rFonts w:ascii="Arial" w:hAnsi="Arial" w:cs="Arial"/>
          <w:b/>
        </w:rPr>
      </w:pPr>
    </w:p>
    <w:p w:rsidR="009570AF" w:rsidRPr="00310585" w:rsidRDefault="009570AF" w:rsidP="009570AF">
      <w:pPr>
        <w:jc w:val="center"/>
        <w:rPr>
          <w:rFonts w:ascii="Arial" w:hAnsi="Arial" w:cs="Arial"/>
          <w:b/>
        </w:rPr>
      </w:pPr>
      <w:r w:rsidRPr="00310585">
        <w:rPr>
          <w:rFonts w:ascii="Arial" w:hAnsi="Arial" w:cs="Arial"/>
          <w:b/>
        </w:rPr>
        <w:t>Table 22-6</w:t>
      </w:r>
    </w:p>
    <w:p w:rsidR="009570AF" w:rsidRPr="00310585" w:rsidRDefault="009570AF" w:rsidP="009570AF">
      <w:pPr>
        <w:ind w:left="1440" w:hanging="1440"/>
        <w:jc w:val="center"/>
        <w:rPr>
          <w:rFonts w:ascii="Arial" w:hAnsi="Arial" w:cs="Arial"/>
        </w:rPr>
      </w:pPr>
      <w:r w:rsidRPr="00310585">
        <w:rPr>
          <w:rFonts w:ascii="Arial" w:hAnsi="Arial" w:cs="Arial"/>
          <w:b/>
        </w:rPr>
        <w:t>FPL Fuel Cost Recovery Factors for the period June-December, 2019</w:t>
      </w:r>
      <w:r w:rsidRPr="00310585">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9570AF" w:rsidRPr="00310585" w:rsidTr="009570AF">
        <w:tc>
          <w:tcPr>
            <w:tcW w:w="9468" w:type="dxa"/>
            <w:gridSpan w:val="5"/>
          </w:tcPr>
          <w:p w:rsidR="009570AF" w:rsidRPr="00310585" w:rsidRDefault="009570AF" w:rsidP="009570AF">
            <w:pPr>
              <w:jc w:val="center"/>
            </w:pPr>
            <w:r w:rsidRPr="00310585">
              <w:t>Fuel Recovery Factors – By Rate Group (Adjusted for Line Losses)</w:t>
            </w:r>
          </w:p>
        </w:tc>
      </w:tr>
      <w:tr w:rsidR="009570AF" w:rsidRPr="00310585" w:rsidTr="009570AF">
        <w:tc>
          <w:tcPr>
            <w:tcW w:w="9468" w:type="dxa"/>
            <w:gridSpan w:val="5"/>
          </w:tcPr>
          <w:p w:rsidR="009570AF" w:rsidRPr="00310585" w:rsidRDefault="009570AF" w:rsidP="009570AF">
            <w:pPr>
              <w:jc w:val="center"/>
            </w:pPr>
            <w:r w:rsidRPr="00310585">
              <w:t>For the Period June through December, 2019</w:t>
            </w:r>
          </w:p>
        </w:tc>
      </w:tr>
      <w:tr w:rsidR="009570AF" w:rsidRPr="00310585" w:rsidTr="009570AF">
        <w:tc>
          <w:tcPr>
            <w:tcW w:w="900" w:type="dxa"/>
            <w:vAlign w:val="center"/>
          </w:tcPr>
          <w:p w:rsidR="009570AF" w:rsidRPr="00310585" w:rsidRDefault="009570AF" w:rsidP="009570AF">
            <w:pPr>
              <w:jc w:val="center"/>
            </w:pPr>
            <w:r w:rsidRPr="00310585">
              <w:t>Group</w:t>
            </w:r>
          </w:p>
        </w:tc>
        <w:tc>
          <w:tcPr>
            <w:tcW w:w="5220" w:type="dxa"/>
            <w:vAlign w:val="center"/>
          </w:tcPr>
          <w:p w:rsidR="009570AF" w:rsidRPr="00310585" w:rsidRDefault="009570AF" w:rsidP="009570AF">
            <w:pPr>
              <w:jc w:val="center"/>
            </w:pPr>
            <w:r w:rsidRPr="00310585">
              <w:t>Rate Schedule</w:t>
            </w:r>
          </w:p>
        </w:tc>
        <w:tc>
          <w:tcPr>
            <w:tcW w:w="900" w:type="dxa"/>
            <w:vAlign w:val="center"/>
          </w:tcPr>
          <w:p w:rsidR="009570AF" w:rsidRPr="00310585" w:rsidRDefault="009570AF" w:rsidP="009570AF">
            <w:pPr>
              <w:jc w:val="center"/>
            </w:pPr>
            <w:r w:rsidRPr="00310585">
              <w:t>Avg. Factor</w:t>
            </w:r>
          </w:p>
        </w:tc>
        <w:tc>
          <w:tcPr>
            <w:tcW w:w="1260" w:type="dxa"/>
            <w:vAlign w:val="center"/>
          </w:tcPr>
          <w:p w:rsidR="009570AF" w:rsidRPr="00310585" w:rsidRDefault="009570AF" w:rsidP="009570AF">
            <w:pPr>
              <w:jc w:val="center"/>
            </w:pPr>
            <w:r w:rsidRPr="00310585">
              <w:t>Loss Multiplier</w:t>
            </w:r>
          </w:p>
        </w:tc>
        <w:tc>
          <w:tcPr>
            <w:tcW w:w="1188" w:type="dxa"/>
            <w:vAlign w:val="center"/>
          </w:tcPr>
          <w:p w:rsidR="009570AF" w:rsidRPr="00310585" w:rsidRDefault="009570AF" w:rsidP="009570AF">
            <w:pPr>
              <w:jc w:val="center"/>
            </w:pPr>
            <w:r w:rsidRPr="00310585">
              <w:t>Fuel Recovery Factor</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A</w:t>
            </w:r>
          </w:p>
        </w:tc>
        <w:tc>
          <w:tcPr>
            <w:tcW w:w="5220" w:type="dxa"/>
          </w:tcPr>
          <w:p w:rsidR="009570AF" w:rsidRPr="00310585" w:rsidRDefault="009570AF" w:rsidP="009570AF">
            <w:pPr>
              <w:jc w:val="center"/>
              <w:rPr>
                <w:sz w:val="22"/>
                <w:szCs w:val="22"/>
              </w:rPr>
            </w:pPr>
            <w:r w:rsidRPr="00310585">
              <w:rPr>
                <w:sz w:val="22"/>
                <w:szCs w:val="22"/>
              </w:rPr>
              <w:t>RS-1 first 1,000 kWh</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2.227</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RS-1, all addl. kWh</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3.227</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GS-1, SL-2, GSCU-1, WIES-1</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2.563</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A-1</w:t>
            </w:r>
          </w:p>
        </w:tc>
        <w:tc>
          <w:tcPr>
            <w:tcW w:w="5220" w:type="dxa"/>
          </w:tcPr>
          <w:p w:rsidR="009570AF" w:rsidRPr="00310585" w:rsidRDefault="009570AF" w:rsidP="009570AF">
            <w:pPr>
              <w:jc w:val="center"/>
              <w:rPr>
                <w:sz w:val="22"/>
                <w:szCs w:val="22"/>
              </w:rPr>
            </w:pPr>
            <w:r w:rsidRPr="00310585">
              <w:rPr>
                <w:sz w:val="22"/>
                <w:szCs w:val="22"/>
              </w:rPr>
              <w:t>SL-1, OL-1, PL-1</w:t>
            </w:r>
          </w:p>
        </w:tc>
        <w:tc>
          <w:tcPr>
            <w:tcW w:w="900" w:type="dxa"/>
          </w:tcPr>
          <w:p w:rsidR="009570AF" w:rsidRPr="00310585" w:rsidRDefault="009570AF" w:rsidP="009570AF">
            <w:pPr>
              <w:jc w:val="center"/>
              <w:rPr>
                <w:sz w:val="22"/>
                <w:szCs w:val="22"/>
              </w:rPr>
            </w:pPr>
            <w:r w:rsidRPr="00310585">
              <w:rPr>
                <w:sz w:val="22"/>
                <w:szCs w:val="22"/>
              </w:rPr>
              <w:t>2.417</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2.428</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B</w:t>
            </w:r>
          </w:p>
        </w:tc>
        <w:tc>
          <w:tcPr>
            <w:tcW w:w="5220" w:type="dxa"/>
          </w:tcPr>
          <w:p w:rsidR="009570AF" w:rsidRPr="00310585" w:rsidRDefault="009570AF" w:rsidP="009570AF">
            <w:pPr>
              <w:jc w:val="center"/>
              <w:rPr>
                <w:sz w:val="22"/>
                <w:szCs w:val="22"/>
              </w:rPr>
            </w:pPr>
            <w:r w:rsidRPr="00310585">
              <w:rPr>
                <w:sz w:val="22"/>
                <w:szCs w:val="22"/>
              </w:rPr>
              <w:t>GSD-1</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2.563</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C</w:t>
            </w:r>
          </w:p>
        </w:tc>
        <w:tc>
          <w:tcPr>
            <w:tcW w:w="5220" w:type="dxa"/>
          </w:tcPr>
          <w:p w:rsidR="009570AF" w:rsidRPr="00310585" w:rsidRDefault="009570AF" w:rsidP="009570AF">
            <w:pPr>
              <w:jc w:val="center"/>
              <w:rPr>
                <w:sz w:val="22"/>
                <w:szCs w:val="22"/>
              </w:rPr>
            </w:pPr>
            <w:r w:rsidRPr="00310585">
              <w:rPr>
                <w:sz w:val="22"/>
                <w:szCs w:val="22"/>
              </w:rPr>
              <w:t>GSLD-1, CS-1</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2.562</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D</w:t>
            </w:r>
          </w:p>
        </w:tc>
        <w:tc>
          <w:tcPr>
            <w:tcW w:w="5220" w:type="dxa"/>
          </w:tcPr>
          <w:p w:rsidR="009570AF" w:rsidRPr="00310585" w:rsidRDefault="009570AF" w:rsidP="009570AF">
            <w:pPr>
              <w:jc w:val="center"/>
              <w:rPr>
                <w:sz w:val="22"/>
                <w:szCs w:val="22"/>
              </w:rPr>
            </w:pPr>
            <w:r w:rsidRPr="00310585">
              <w:rPr>
                <w:sz w:val="22"/>
                <w:szCs w:val="22"/>
              </w:rPr>
              <w:t>GSLD-2, CS-2, OS-2, MET</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0.99638</w:t>
            </w:r>
          </w:p>
        </w:tc>
        <w:tc>
          <w:tcPr>
            <w:tcW w:w="1188" w:type="dxa"/>
          </w:tcPr>
          <w:p w:rsidR="009570AF" w:rsidRPr="00310585" w:rsidRDefault="009570AF" w:rsidP="009570AF">
            <w:pPr>
              <w:jc w:val="center"/>
              <w:rPr>
                <w:sz w:val="22"/>
                <w:szCs w:val="22"/>
              </w:rPr>
            </w:pPr>
            <w:r w:rsidRPr="00310585">
              <w:rPr>
                <w:sz w:val="22"/>
                <w:szCs w:val="22"/>
              </w:rPr>
              <w:t>2.542</w:t>
            </w:r>
          </w:p>
        </w:tc>
      </w:tr>
      <w:tr w:rsidR="009570AF" w:rsidRPr="00310585" w:rsidTr="009570AF">
        <w:tc>
          <w:tcPr>
            <w:tcW w:w="900" w:type="dxa"/>
          </w:tcPr>
          <w:p w:rsidR="009570AF" w:rsidRPr="00310585" w:rsidRDefault="009570AF" w:rsidP="009570AF">
            <w:pPr>
              <w:jc w:val="center"/>
              <w:rPr>
                <w:sz w:val="22"/>
                <w:szCs w:val="22"/>
              </w:rPr>
            </w:pPr>
            <w:r w:rsidRPr="00310585">
              <w:rPr>
                <w:sz w:val="22"/>
                <w:szCs w:val="22"/>
              </w:rPr>
              <w:t>E</w:t>
            </w:r>
          </w:p>
        </w:tc>
        <w:tc>
          <w:tcPr>
            <w:tcW w:w="5220" w:type="dxa"/>
          </w:tcPr>
          <w:p w:rsidR="009570AF" w:rsidRPr="00310585" w:rsidRDefault="009570AF" w:rsidP="009570AF">
            <w:pPr>
              <w:jc w:val="center"/>
              <w:rPr>
                <w:sz w:val="22"/>
                <w:szCs w:val="22"/>
              </w:rPr>
            </w:pPr>
            <w:r w:rsidRPr="00310585">
              <w:rPr>
                <w:sz w:val="22"/>
                <w:szCs w:val="22"/>
              </w:rPr>
              <w:t>GSLD-3, CS-3</w:t>
            </w:r>
          </w:p>
        </w:tc>
        <w:tc>
          <w:tcPr>
            <w:tcW w:w="900" w:type="dxa"/>
          </w:tcPr>
          <w:p w:rsidR="009570AF" w:rsidRPr="00310585" w:rsidRDefault="009570AF" w:rsidP="009570AF">
            <w:pPr>
              <w:jc w:val="center"/>
              <w:rPr>
                <w:sz w:val="22"/>
                <w:szCs w:val="22"/>
              </w:rPr>
            </w:pPr>
            <w:r w:rsidRPr="00310585">
              <w:rPr>
                <w:sz w:val="22"/>
                <w:szCs w:val="22"/>
              </w:rPr>
              <w:t>2.551</w:t>
            </w:r>
          </w:p>
        </w:tc>
        <w:tc>
          <w:tcPr>
            <w:tcW w:w="1260" w:type="dxa"/>
          </w:tcPr>
          <w:p w:rsidR="009570AF" w:rsidRPr="00310585" w:rsidRDefault="009570AF" w:rsidP="009570AF">
            <w:pPr>
              <w:jc w:val="center"/>
              <w:rPr>
                <w:sz w:val="22"/>
                <w:szCs w:val="22"/>
              </w:rPr>
            </w:pPr>
            <w:r w:rsidRPr="00310585">
              <w:rPr>
                <w:sz w:val="22"/>
                <w:szCs w:val="22"/>
              </w:rPr>
              <w:t>0.97324</w:t>
            </w:r>
          </w:p>
        </w:tc>
        <w:tc>
          <w:tcPr>
            <w:tcW w:w="1188" w:type="dxa"/>
          </w:tcPr>
          <w:p w:rsidR="009570AF" w:rsidRPr="00310585" w:rsidRDefault="009570AF" w:rsidP="009570AF">
            <w:pPr>
              <w:jc w:val="center"/>
              <w:rPr>
                <w:sz w:val="22"/>
                <w:szCs w:val="22"/>
              </w:rPr>
            </w:pPr>
            <w:r w:rsidRPr="00310585">
              <w:rPr>
                <w:sz w:val="22"/>
                <w:szCs w:val="22"/>
              </w:rPr>
              <w:t>2.483</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A</w:t>
            </w:r>
          </w:p>
        </w:tc>
        <w:tc>
          <w:tcPr>
            <w:tcW w:w="5220" w:type="dxa"/>
          </w:tcPr>
          <w:p w:rsidR="009570AF" w:rsidRPr="00310585" w:rsidRDefault="009570AF" w:rsidP="009570AF">
            <w:pPr>
              <w:jc w:val="center"/>
              <w:rPr>
                <w:sz w:val="22"/>
                <w:szCs w:val="22"/>
              </w:rPr>
            </w:pPr>
            <w:r w:rsidRPr="00310585">
              <w:rPr>
                <w:sz w:val="22"/>
                <w:szCs w:val="22"/>
              </w:rPr>
              <w:t>GST-1 On-Peak</w:t>
            </w:r>
          </w:p>
        </w:tc>
        <w:tc>
          <w:tcPr>
            <w:tcW w:w="900" w:type="dxa"/>
          </w:tcPr>
          <w:p w:rsidR="009570AF" w:rsidRPr="00310585" w:rsidRDefault="009570AF" w:rsidP="009570AF">
            <w:pPr>
              <w:jc w:val="center"/>
              <w:rPr>
                <w:sz w:val="22"/>
                <w:szCs w:val="22"/>
              </w:rPr>
            </w:pPr>
            <w:r w:rsidRPr="00310585">
              <w:rPr>
                <w:sz w:val="22"/>
                <w:szCs w:val="22"/>
              </w:rPr>
              <w:t>3.224</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3.240</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GST-1 Off Peak</w:t>
            </w:r>
          </w:p>
        </w:tc>
        <w:tc>
          <w:tcPr>
            <w:tcW w:w="900" w:type="dxa"/>
          </w:tcPr>
          <w:p w:rsidR="009570AF" w:rsidRPr="00310585" w:rsidRDefault="009570AF" w:rsidP="009570AF">
            <w:pPr>
              <w:jc w:val="center"/>
              <w:rPr>
                <w:sz w:val="22"/>
                <w:szCs w:val="22"/>
              </w:rPr>
            </w:pPr>
            <w:r w:rsidRPr="00310585">
              <w:rPr>
                <w:sz w:val="22"/>
                <w:szCs w:val="22"/>
              </w:rPr>
              <w:t>2.263</w:t>
            </w:r>
          </w:p>
        </w:tc>
        <w:tc>
          <w:tcPr>
            <w:tcW w:w="1260" w:type="dxa"/>
          </w:tcPr>
          <w:p w:rsidR="009570AF" w:rsidRPr="00310585" w:rsidRDefault="009570AF" w:rsidP="009570AF">
            <w:pPr>
              <w:jc w:val="center"/>
              <w:rPr>
                <w:sz w:val="22"/>
                <w:szCs w:val="22"/>
              </w:rPr>
            </w:pPr>
            <w:r w:rsidRPr="00310585">
              <w:rPr>
                <w:sz w:val="22"/>
                <w:szCs w:val="22"/>
              </w:rPr>
              <w:t>1.00487</w:t>
            </w:r>
          </w:p>
        </w:tc>
        <w:tc>
          <w:tcPr>
            <w:tcW w:w="1188" w:type="dxa"/>
          </w:tcPr>
          <w:p w:rsidR="009570AF" w:rsidRPr="00310585" w:rsidRDefault="009570AF" w:rsidP="009570AF">
            <w:pPr>
              <w:jc w:val="center"/>
              <w:rPr>
                <w:sz w:val="22"/>
                <w:szCs w:val="22"/>
              </w:rPr>
            </w:pPr>
            <w:r w:rsidRPr="00310585">
              <w:rPr>
                <w:sz w:val="22"/>
                <w:szCs w:val="22"/>
              </w:rPr>
              <w:t>2.274</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RTR-1 On-Peak</w:t>
            </w:r>
          </w:p>
        </w:tc>
        <w:tc>
          <w:tcPr>
            <w:tcW w:w="900" w:type="dxa"/>
          </w:tcPr>
          <w:p w:rsidR="009570AF" w:rsidRPr="00310585" w:rsidRDefault="009570AF" w:rsidP="009570AF">
            <w:pPr>
              <w:jc w:val="center"/>
              <w:rPr>
                <w:sz w:val="22"/>
                <w:szCs w:val="22"/>
              </w:rPr>
            </w:pPr>
            <w:r w:rsidRPr="00310585">
              <w:rPr>
                <w:sz w:val="22"/>
                <w:szCs w:val="22"/>
              </w:rPr>
              <w:t>-</w:t>
            </w:r>
          </w:p>
        </w:tc>
        <w:tc>
          <w:tcPr>
            <w:tcW w:w="1260" w:type="dxa"/>
          </w:tcPr>
          <w:p w:rsidR="009570AF" w:rsidRPr="00310585" w:rsidRDefault="009570AF" w:rsidP="009570AF">
            <w:pPr>
              <w:jc w:val="center"/>
              <w:rPr>
                <w:sz w:val="22"/>
                <w:szCs w:val="22"/>
              </w:rPr>
            </w:pPr>
            <w:r w:rsidRPr="00310585">
              <w:rPr>
                <w:sz w:val="22"/>
                <w:szCs w:val="22"/>
              </w:rPr>
              <w:t>-</w:t>
            </w:r>
          </w:p>
        </w:tc>
        <w:tc>
          <w:tcPr>
            <w:tcW w:w="1188" w:type="dxa"/>
          </w:tcPr>
          <w:p w:rsidR="009570AF" w:rsidRPr="00310585" w:rsidRDefault="009570AF" w:rsidP="009570AF">
            <w:pPr>
              <w:jc w:val="center"/>
              <w:rPr>
                <w:sz w:val="22"/>
                <w:szCs w:val="22"/>
              </w:rPr>
            </w:pPr>
            <w:r w:rsidRPr="00310585">
              <w:rPr>
                <w:sz w:val="22"/>
                <w:szCs w:val="22"/>
              </w:rPr>
              <w:t>0.677</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RTR-1 Off-Peak</w:t>
            </w:r>
          </w:p>
        </w:tc>
        <w:tc>
          <w:tcPr>
            <w:tcW w:w="900" w:type="dxa"/>
          </w:tcPr>
          <w:p w:rsidR="009570AF" w:rsidRPr="00310585" w:rsidRDefault="009570AF" w:rsidP="009570AF">
            <w:pPr>
              <w:jc w:val="center"/>
              <w:rPr>
                <w:sz w:val="22"/>
                <w:szCs w:val="22"/>
              </w:rPr>
            </w:pPr>
            <w:r w:rsidRPr="00310585">
              <w:rPr>
                <w:sz w:val="22"/>
                <w:szCs w:val="22"/>
              </w:rPr>
              <w:t>-</w:t>
            </w:r>
          </w:p>
        </w:tc>
        <w:tc>
          <w:tcPr>
            <w:tcW w:w="1260" w:type="dxa"/>
          </w:tcPr>
          <w:p w:rsidR="009570AF" w:rsidRPr="00310585" w:rsidRDefault="009570AF" w:rsidP="009570AF">
            <w:pPr>
              <w:jc w:val="center"/>
              <w:rPr>
                <w:sz w:val="22"/>
                <w:szCs w:val="22"/>
              </w:rPr>
            </w:pPr>
            <w:r w:rsidRPr="00310585">
              <w:rPr>
                <w:sz w:val="22"/>
                <w:szCs w:val="22"/>
              </w:rPr>
              <w:t>-</w:t>
            </w:r>
          </w:p>
        </w:tc>
        <w:tc>
          <w:tcPr>
            <w:tcW w:w="1188" w:type="dxa"/>
          </w:tcPr>
          <w:p w:rsidR="009570AF" w:rsidRPr="00310585" w:rsidRDefault="009570AF" w:rsidP="009570AF">
            <w:pPr>
              <w:jc w:val="center"/>
              <w:rPr>
                <w:sz w:val="22"/>
                <w:szCs w:val="22"/>
              </w:rPr>
            </w:pPr>
            <w:r w:rsidRPr="00310585">
              <w:rPr>
                <w:sz w:val="22"/>
                <w:szCs w:val="22"/>
              </w:rPr>
              <w:t>(0.289)</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lastRenderedPageBreak/>
              <w:t>B</w:t>
            </w:r>
          </w:p>
        </w:tc>
        <w:tc>
          <w:tcPr>
            <w:tcW w:w="5220" w:type="dxa"/>
          </w:tcPr>
          <w:p w:rsidR="009570AF" w:rsidRPr="00310585" w:rsidRDefault="009570AF" w:rsidP="009570AF">
            <w:pPr>
              <w:jc w:val="center"/>
              <w:rPr>
                <w:sz w:val="22"/>
                <w:szCs w:val="22"/>
              </w:rPr>
            </w:pPr>
            <w:r w:rsidRPr="00310585">
              <w:rPr>
                <w:sz w:val="22"/>
                <w:szCs w:val="22"/>
              </w:rPr>
              <w:t>GSDT-1, CILC-1(G), HLFT-1 (21-499 kW) On Peak</w:t>
            </w:r>
          </w:p>
        </w:tc>
        <w:tc>
          <w:tcPr>
            <w:tcW w:w="900" w:type="dxa"/>
            <w:vAlign w:val="center"/>
          </w:tcPr>
          <w:p w:rsidR="009570AF" w:rsidRPr="00310585" w:rsidRDefault="009570AF" w:rsidP="009570AF">
            <w:pPr>
              <w:jc w:val="center"/>
              <w:rPr>
                <w:sz w:val="22"/>
                <w:szCs w:val="22"/>
              </w:rPr>
            </w:pPr>
            <w:r w:rsidRPr="00310585">
              <w:rPr>
                <w:sz w:val="22"/>
                <w:szCs w:val="22"/>
              </w:rPr>
              <w:t>3.224</w:t>
            </w:r>
          </w:p>
        </w:tc>
        <w:tc>
          <w:tcPr>
            <w:tcW w:w="1260" w:type="dxa"/>
            <w:vAlign w:val="center"/>
          </w:tcPr>
          <w:p w:rsidR="009570AF" w:rsidRPr="00310585" w:rsidRDefault="009570AF" w:rsidP="009570AF">
            <w:pPr>
              <w:jc w:val="center"/>
              <w:rPr>
                <w:sz w:val="22"/>
                <w:szCs w:val="22"/>
              </w:rPr>
            </w:pPr>
            <w:r w:rsidRPr="00310585">
              <w:rPr>
                <w:sz w:val="22"/>
                <w:szCs w:val="22"/>
              </w:rPr>
              <w:t>1.00481</w:t>
            </w:r>
          </w:p>
        </w:tc>
        <w:tc>
          <w:tcPr>
            <w:tcW w:w="1188" w:type="dxa"/>
            <w:vAlign w:val="center"/>
          </w:tcPr>
          <w:p w:rsidR="009570AF" w:rsidRPr="00310585" w:rsidRDefault="009570AF" w:rsidP="009570AF">
            <w:pPr>
              <w:jc w:val="center"/>
              <w:rPr>
                <w:sz w:val="22"/>
                <w:szCs w:val="22"/>
              </w:rPr>
            </w:pPr>
            <w:r w:rsidRPr="00310585">
              <w:rPr>
                <w:sz w:val="22"/>
                <w:szCs w:val="22"/>
              </w:rPr>
              <w:t>3.240</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GSDT-1, CILC-1(G), HLFT-1 (21-499 kW) Off Peak</w:t>
            </w:r>
          </w:p>
        </w:tc>
        <w:tc>
          <w:tcPr>
            <w:tcW w:w="900" w:type="dxa"/>
            <w:vAlign w:val="center"/>
          </w:tcPr>
          <w:p w:rsidR="009570AF" w:rsidRPr="00310585" w:rsidRDefault="009570AF" w:rsidP="009570AF">
            <w:pPr>
              <w:jc w:val="center"/>
              <w:rPr>
                <w:sz w:val="22"/>
                <w:szCs w:val="22"/>
              </w:rPr>
            </w:pPr>
            <w:r w:rsidRPr="00310585">
              <w:rPr>
                <w:sz w:val="22"/>
                <w:szCs w:val="22"/>
              </w:rPr>
              <w:t>2.263</w:t>
            </w:r>
          </w:p>
        </w:tc>
        <w:tc>
          <w:tcPr>
            <w:tcW w:w="1260" w:type="dxa"/>
            <w:vAlign w:val="center"/>
          </w:tcPr>
          <w:p w:rsidR="009570AF" w:rsidRPr="00310585" w:rsidRDefault="009570AF" w:rsidP="009570AF">
            <w:pPr>
              <w:jc w:val="center"/>
              <w:rPr>
                <w:sz w:val="22"/>
                <w:szCs w:val="22"/>
              </w:rPr>
            </w:pPr>
            <w:r w:rsidRPr="00310585">
              <w:rPr>
                <w:sz w:val="22"/>
                <w:szCs w:val="22"/>
              </w:rPr>
              <w:t>1.00481</w:t>
            </w:r>
          </w:p>
        </w:tc>
        <w:tc>
          <w:tcPr>
            <w:tcW w:w="1188" w:type="dxa"/>
            <w:vAlign w:val="center"/>
          </w:tcPr>
          <w:p w:rsidR="009570AF" w:rsidRPr="00310585" w:rsidRDefault="009570AF" w:rsidP="009570AF">
            <w:pPr>
              <w:jc w:val="center"/>
              <w:rPr>
                <w:sz w:val="22"/>
                <w:szCs w:val="22"/>
              </w:rPr>
            </w:pPr>
            <w:r w:rsidRPr="00310585">
              <w:rPr>
                <w:sz w:val="22"/>
                <w:szCs w:val="22"/>
              </w:rPr>
              <w:t>2.274</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C</w:t>
            </w:r>
          </w:p>
        </w:tc>
        <w:tc>
          <w:tcPr>
            <w:tcW w:w="5220" w:type="dxa"/>
          </w:tcPr>
          <w:p w:rsidR="009570AF" w:rsidRPr="00310585" w:rsidRDefault="009570AF" w:rsidP="009570AF">
            <w:pPr>
              <w:jc w:val="center"/>
              <w:rPr>
                <w:sz w:val="22"/>
                <w:szCs w:val="22"/>
              </w:rPr>
            </w:pPr>
            <w:r w:rsidRPr="00310585">
              <w:rPr>
                <w:sz w:val="22"/>
                <w:szCs w:val="22"/>
              </w:rPr>
              <w:t>GSDLT-1, CST-1, HLFT-2 (500-1,9999 kW) On Peak</w:t>
            </w:r>
          </w:p>
        </w:tc>
        <w:tc>
          <w:tcPr>
            <w:tcW w:w="900" w:type="dxa"/>
            <w:vAlign w:val="center"/>
          </w:tcPr>
          <w:p w:rsidR="009570AF" w:rsidRPr="00310585" w:rsidRDefault="009570AF" w:rsidP="009570AF">
            <w:pPr>
              <w:jc w:val="center"/>
              <w:rPr>
                <w:sz w:val="22"/>
                <w:szCs w:val="22"/>
              </w:rPr>
            </w:pPr>
            <w:r w:rsidRPr="00310585">
              <w:rPr>
                <w:sz w:val="22"/>
                <w:szCs w:val="22"/>
              </w:rPr>
              <w:t>3.224</w:t>
            </w:r>
          </w:p>
        </w:tc>
        <w:tc>
          <w:tcPr>
            <w:tcW w:w="1260" w:type="dxa"/>
            <w:vAlign w:val="center"/>
          </w:tcPr>
          <w:p w:rsidR="009570AF" w:rsidRPr="00310585" w:rsidRDefault="009570AF" w:rsidP="009570AF">
            <w:pPr>
              <w:jc w:val="center"/>
              <w:rPr>
                <w:sz w:val="22"/>
                <w:szCs w:val="22"/>
              </w:rPr>
            </w:pPr>
            <w:r w:rsidRPr="00310585">
              <w:rPr>
                <w:sz w:val="22"/>
                <w:szCs w:val="22"/>
              </w:rPr>
              <w:t>1.00412</w:t>
            </w:r>
          </w:p>
        </w:tc>
        <w:tc>
          <w:tcPr>
            <w:tcW w:w="1188" w:type="dxa"/>
            <w:vAlign w:val="center"/>
          </w:tcPr>
          <w:p w:rsidR="009570AF" w:rsidRPr="00310585" w:rsidRDefault="009570AF" w:rsidP="009570AF">
            <w:pPr>
              <w:jc w:val="center"/>
              <w:rPr>
                <w:sz w:val="22"/>
                <w:szCs w:val="22"/>
              </w:rPr>
            </w:pPr>
            <w:r w:rsidRPr="00310585">
              <w:rPr>
                <w:sz w:val="22"/>
                <w:szCs w:val="22"/>
              </w:rPr>
              <w:t>3.237</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GSDLT-1, CST-1, HLFT-2 (500-1,9999 kW) Off Peak</w:t>
            </w:r>
          </w:p>
        </w:tc>
        <w:tc>
          <w:tcPr>
            <w:tcW w:w="900" w:type="dxa"/>
            <w:vAlign w:val="center"/>
          </w:tcPr>
          <w:p w:rsidR="009570AF" w:rsidRPr="00310585" w:rsidRDefault="009570AF" w:rsidP="009570AF">
            <w:pPr>
              <w:jc w:val="center"/>
              <w:rPr>
                <w:sz w:val="22"/>
                <w:szCs w:val="22"/>
              </w:rPr>
            </w:pPr>
            <w:r w:rsidRPr="00310585">
              <w:rPr>
                <w:sz w:val="22"/>
                <w:szCs w:val="22"/>
              </w:rPr>
              <w:t>2.263</w:t>
            </w:r>
          </w:p>
        </w:tc>
        <w:tc>
          <w:tcPr>
            <w:tcW w:w="1260" w:type="dxa"/>
            <w:vAlign w:val="center"/>
          </w:tcPr>
          <w:p w:rsidR="009570AF" w:rsidRPr="00310585" w:rsidRDefault="009570AF" w:rsidP="009570AF">
            <w:pPr>
              <w:jc w:val="center"/>
              <w:rPr>
                <w:sz w:val="22"/>
                <w:szCs w:val="22"/>
              </w:rPr>
            </w:pPr>
            <w:r w:rsidRPr="00310585">
              <w:rPr>
                <w:sz w:val="22"/>
                <w:szCs w:val="22"/>
              </w:rPr>
              <w:t>1.00412</w:t>
            </w:r>
          </w:p>
        </w:tc>
        <w:tc>
          <w:tcPr>
            <w:tcW w:w="1188" w:type="dxa"/>
            <w:vAlign w:val="center"/>
          </w:tcPr>
          <w:p w:rsidR="009570AF" w:rsidRPr="00310585" w:rsidRDefault="009570AF" w:rsidP="009570AF">
            <w:pPr>
              <w:jc w:val="center"/>
              <w:rPr>
                <w:sz w:val="22"/>
                <w:szCs w:val="22"/>
              </w:rPr>
            </w:pPr>
            <w:r w:rsidRPr="00310585">
              <w:rPr>
                <w:sz w:val="22"/>
                <w:szCs w:val="22"/>
              </w:rPr>
              <w:t>2.272</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D</w:t>
            </w:r>
          </w:p>
        </w:tc>
        <w:tc>
          <w:tcPr>
            <w:tcW w:w="5220" w:type="dxa"/>
          </w:tcPr>
          <w:p w:rsidR="009570AF" w:rsidRPr="00310585" w:rsidRDefault="009570AF" w:rsidP="009570AF">
            <w:pPr>
              <w:jc w:val="center"/>
              <w:rPr>
                <w:sz w:val="22"/>
                <w:szCs w:val="22"/>
              </w:rPr>
            </w:pPr>
            <w:r w:rsidRPr="00310585">
              <w:rPr>
                <w:sz w:val="22"/>
                <w:szCs w:val="22"/>
              </w:rPr>
              <w:t>GSDLT-2, CST-2, HLFT-3 (2,000+ kW) On Peak</w:t>
            </w:r>
          </w:p>
        </w:tc>
        <w:tc>
          <w:tcPr>
            <w:tcW w:w="900" w:type="dxa"/>
            <w:vAlign w:val="center"/>
          </w:tcPr>
          <w:p w:rsidR="009570AF" w:rsidRPr="00310585" w:rsidRDefault="009570AF" w:rsidP="009570AF">
            <w:pPr>
              <w:jc w:val="center"/>
              <w:rPr>
                <w:sz w:val="22"/>
                <w:szCs w:val="22"/>
              </w:rPr>
            </w:pPr>
            <w:r w:rsidRPr="00310585">
              <w:rPr>
                <w:sz w:val="22"/>
                <w:szCs w:val="22"/>
              </w:rPr>
              <w:t>3.224</w:t>
            </w:r>
          </w:p>
        </w:tc>
        <w:tc>
          <w:tcPr>
            <w:tcW w:w="1260" w:type="dxa"/>
            <w:vAlign w:val="center"/>
          </w:tcPr>
          <w:p w:rsidR="009570AF" w:rsidRPr="00310585" w:rsidRDefault="009570AF" w:rsidP="009570AF">
            <w:pPr>
              <w:jc w:val="center"/>
              <w:rPr>
                <w:sz w:val="22"/>
                <w:szCs w:val="22"/>
              </w:rPr>
            </w:pPr>
            <w:r w:rsidRPr="00310585">
              <w:rPr>
                <w:sz w:val="22"/>
                <w:szCs w:val="22"/>
              </w:rPr>
              <w:t>0.99690</w:t>
            </w:r>
          </w:p>
        </w:tc>
        <w:tc>
          <w:tcPr>
            <w:tcW w:w="1188" w:type="dxa"/>
            <w:vAlign w:val="center"/>
          </w:tcPr>
          <w:p w:rsidR="009570AF" w:rsidRPr="00310585" w:rsidRDefault="009570AF" w:rsidP="009570AF">
            <w:pPr>
              <w:jc w:val="center"/>
              <w:rPr>
                <w:sz w:val="22"/>
                <w:szCs w:val="22"/>
              </w:rPr>
            </w:pPr>
            <w:r w:rsidRPr="00310585">
              <w:rPr>
                <w:sz w:val="22"/>
                <w:szCs w:val="22"/>
              </w:rPr>
              <w:t>3.214</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GSDLT-2, CST-2, HLFT-3 (2,000+ kW) On Peak</w:t>
            </w:r>
          </w:p>
        </w:tc>
        <w:tc>
          <w:tcPr>
            <w:tcW w:w="900" w:type="dxa"/>
            <w:vAlign w:val="center"/>
          </w:tcPr>
          <w:p w:rsidR="009570AF" w:rsidRPr="00310585" w:rsidRDefault="009570AF" w:rsidP="009570AF">
            <w:pPr>
              <w:jc w:val="center"/>
              <w:rPr>
                <w:sz w:val="22"/>
                <w:szCs w:val="22"/>
              </w:rPr>
            </w:pPr>
            <w:r w:rsidRPr="00310585">
              <w:rPr>
                <w:sz w:val="22"/>
                <w:szCs w:val="22"/>
              </w:rPr>
              <w:t>2.263</w:t>
            </w:r>
          </w:p>
        </w:tc>
        <w:tc>
          <w:tcPr>
            <w:tcW w:w="1260" w:type="dxa"/>
            <w:vAlign w:val="center"/>
          </w:tcPr>
          <w:p w:rsidR="009570AF" w:rsidRPr="00310585" w:rsidRDefault="009570AF" w:rsidP="009570AF">
            <w:pPr>
              <w:jc w:val="center"/>
              <w:rPr>
                <w:sz w:val="22"/>
                <w:szCs w:val="22"/>
              </w:rPr>
            </w:pPr>
            <w:r w:rsidRPr="00310585">
              <w:rPr>
                <w:sz w:val="22"/>
                <w:szCs w:val="22"/>
              </w:rPr>
              <w:t>0.99690</w:t>
            </w:r>
          </w:p>
        </w:tc>
        <w:tc>
          <w:tcPr>
            <w:tcW w:w="1188" w:type="dxa"/>
            <w:vAlign w:val="center"/>
          </w:tcPr>
          <w:p w:rsidR="009570AF" w:rsidRPr="00310585" w:rsidRDefault="009570AF" w:rsidP="009570AF">
            <w:pPr>
              <w:jc w:val="center"/>
              <w:rPr>
                <w:sz w:val="22"/>
                <w:szCs w:val="22"/>
              </w:rPr>
            </w:pPr>
            <w:r w:rsidRPr="00310585">
              <w:rPr>
                <w:sz w:val="22"/>
                <w:szCs w:val="22"/>
              </w:rPr>
              <w:t>2.256</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E</w:t>
            </w:r>
          </w:p>
        </w:tc>
        <w:tc>
          <w:tcPr>
            <w:tcW w:w="5220" w:type="dxa"/>
          </w:tcPr>
          <w:p w:rsidR="009570AF" w:rsidRPr="00310585" w:rsidRDefault="009570AF" w:rsidP="009570AF">
            <w:pPr>
              <w:jc w:val="center"/>
              <w:rPr>
                <w:sz w:val="22"/>
                <w:szCs w:val="22"/>
              </w:rPr>
            </w:pPr>
            <w:r w:rsidRPr="00310585">
              <w:rPr>
                <w:sz w:val="22"/>
                <w:szCs w:val="22"/>
              </w:rPr>
              <w:t>GSDLT-3, CST-3, CILC-1(T), ISST-1(T) On Peak</w:t>
            </w:r>
          </w:p>
        </w:tc>
        <w:tc>
          <w:tcPr>
            <w:tcW w:w="900" w:type="dxa"/>
            <w:vAlign w:val="center"/>
          </w:tcPr>
          <w:p w:rsidR="009570AF" w:rsidRPr="00310585" w:rsidRDefault="009570AF" w:rsidP="009570AF">
            <w:pPr>
              <w:jc w:val="center"/>
              <w:rPr>
                <w:sz w:val="22"/>
                <w:szCs w:val="22"/>
              </w:rPr>
            </w:pPr>
            <w:r w:rsidRPr="00310585">
              <w:rPr>
                <w:sz w:val="22"/>
                <w:szCs w:val="22"/>
              </w:rPr>
              <w:t>3.224</w:t>
            </w:r>
          </w:p>
        </w:tc>
        <w:tc>
          <w:tcPr>
            <w:tcW w:w="1260" w:type="dxa"/>
            <w:vAlign w:val="center"/>
          </w:tcPr>
          <w:p w:rsidR="009570AF" w:rsidRPr="00310585" w:rsidRDefault="009570AF" w:rsidP="009570AF">
            <w:pPr>
              <w:jc w:val="center"/>
              <w:rPr>
                <w:sz w:val="22"/>
                <w:szCs w:val="22"/>
              </w:rPr>
            </w:pPr>
            <w:r w:rsidRPr="00310585">
              <w:rPr>
                <w:sz w:val="22"/>
                <w:szCs w:val="22"/>
              </w:rPr>
              <w:t>0.97324</w:t>
            </w:r>
          </w:p>
        </w:tc>
        <w:tc>
          <w:tcPr>
            <w:tcW w:w="1188" w:type="dxa"/>
            <w:vAlign w:val="center"/>
          </w:tcPr>
          <w:p w:rsidR="009570AF" w:rsidRPr="00310585" w:rsidRDefault="009570AF" w:rsidP="009570AF">
            <w:pPr>
              <w:jc w:val="center"/>
              <w:rPr>
                <w:sz w:val="22"/>
                <w:szCs w:val="22"/>
              </w:rPr>
            </w:pPr>
            <w:r w:rsidRPr="00310585">
              <w:rPr>
                <w:sz w:val="22"/>
                <w:szCs w:val="22"/>
              </w:rPr>
              <w:t>3.138</w:t>
            </w:r>
          </w:p>
        </w:tc>
      </w:tr>
      <w:tr w:rsidR="009570AF" w:rsidRPr="00310585" w:rsidTr="009570AF">
        <w:tc>
          <w:tcPr>
            <w:tcW w:w="900" w:type="dxa"/>
            <w:vMerge/>
            <w:vAlign w:val="center"/>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GSDLT-3, CST-3, CILC-1(T), ISST-1(T) Off Peak</w:t>
            </w:r>
          </w:p>
        </w:tc>
        <w:tc>
          <w:tcPr>
            <w:tcW w:w="900" w:type="dxa"/>
            <w:vAlign w:val="center"/>
          </w:tcPr>
          <w:p w:rsidR="009570AF" w:rsidRPr="00310585" w:rsidRDefault="009570AF" w:rsidP="009570AF">
            <w:pPr>
              <w:jc w:val="center"/>
              <w:rPr>
                <w:sz w:val="22"/>
                <w:szCs w:val="22"/>
              </w:rPr>
            </w:pPr>
            <w:r w:rsidRPr="00310585">
              <w:rPr>
                <w:sz w:val="22"/>
                <w:szCs w:val="22"/>
              </w:rPr>
              <w:t>2.263</w:t>
            </w:r>
          </w:p>
        </w:tc>
        <w:tc>
          <w:tcPr>
            <w:tcW w:w="1260" w:type="dxa"/>
            <w:vAlign w:val="center"/>
          </w:tcPr>
          <w:p w:rsidR="009570AF" w:rsidRPr="00310585" w:rsidRDefault="009570AF" w:rsidP="009570AF">
            <w:pPr>
              <w:jc w:val="center"/>
              <w:rPr>
                <w:sz w:val="22"/>
                <w:szCs w:val="22"/>
              </w:rPr>
            </w:pPr>
            <w:r w:rsidRPr="00310585">
              <w:rPr>
                <w:sz w:val="22"/>
                <w:szCs w:val="22"/>
              </w:rPr>
              <w:t>0.97324</w:t>
            </w:r>
          </w:p>
        </w:tc>
        <w:tc>
          <w:tcPr>
            <w:tcW w:w="1188" w:type="dxa"/>
            <w:vAlign w:val="center"/>
          </w:tcPr>
          <w:p w:rsidR="009570AF" w:rsidRPr="00310585" w:rsidRDefault="009570AF" w:rsidP="009570AF">
            <w:pPr>
              <w:jc w:val="center"/>
              <w:rPr>
                <w:sz w:val="22"/>
                <w:szCs w:val="22"/>
              </w:rPr>
            </w:pPr>
            <w:r w:rsidRPr="00310585">
              <w:rPr>
                <w:sz w:val="22"/>
                <w:szCs w:val="22"/>
              </w:rPr>
              <w:t>2.202</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F</w:t>
            </w:r>
          </w:p>
        </w:tc>
        <w:tc>
          <w:tcPr>
            <w:tcW w:w="5220" w:type="dxa"/>
          </w:tcPr>
          <w:p w:rsidR="009570AF" w:rsidRPr="00310585" w:rsidRDefault="009570AF" w:rsidP="009570AF">
            <w:pPr>
              <w:jc w:val="center"/>
              <w:rPr>
                <w:sz w:val="22"/>
                <w:szCs w:val="22"/>
              </w:rPr>
            </w:pPr>
            <w:r w:rsidRPr="00310585">
              <w:rPr>
                <w:sz w:val="22"/>
                <w:szCs w:val="22"/>
              </w:rPr>
              <w:t>CILC-1(D), ISST-1(D) On Peak</w:t>
            </w:r>
          </w:p>
        </w:tc>
        <w:tc>
          <w:tcPr>
            <w:tcW w:w="900" w:type="dxa"/>
            <w:vAlign w:val="center"/>
          </w:tcPr>
          <w:p w:rsidR="009570AF" w:rsidRPr="00310585" w:rsidRDefault="009570AF" w:rsidP="009570AF">
            <w:pPr>
              <w:jc w:val="center"/>
              <w:rPr>
                <w:sz w:val="22"/>
                <w:szCs w:val="22"/>
              </w:rPr>
            </w:pPr>
            <w:r w:rsidRPr="00310585">
              <w:rPr>
                <w:sz w:val="22"/>
                <w:szCs w:val="22"/>
              </w:rPr>
              <w:t>3.224</w:t>
            </w:r>
          </w:p>
        </w:tc>
        <w:tc>
          <w:tcPr>
            <w:tcW w:w="1260" w:type="dxa"/>
          </w:tcPr>
          <w:p w:rsidR="009570AF" w:rsidRPr="00310585" w:rsidRDefault="009570AF" w:rsidP="009570AF">
            <w:pPr>
              <w:jc w:val="center"/>
              <w:rPr>
                <w:sz w:val="22"/>
                <w:szCs w:val="22"/>
              </w:rPr>
            </w:pPr>
            <w:r w:rsidRPr="00310585">
              <w:rPr>
                <w:sz w:val="22"/>
                <w:szCs w:val="22"/>
              </w:rPr>
              <w:t>0.99646</w:t>
            </w:r>
          </w:p>
        </w:tc>
        <w:tc>
          <w:tcPr>
            <w:tcW w:w="1188" w:type="dxa"/>
          </w:tcPr>
          <w:p w:rsidR="009570AF" w:rsidRPr="00310585" w:rsidRDefault="009570AF" w:rsidP="009570AF">
            <w:pPr>
              <w:jc w:val="center"/>
              <w:rPr>
                <w:sz w:val="22"/>
                <w:szCs w:val="22"/>
              </w:rPr>
            </w:pPr>
            <w:r w:rsidRPr="00310585">
              <w:rPr>
                <w:sz w:val="22"/>
                <w:szCs w:val="22"/>
              </w:rPr>
              <w:t>3.213</w:t>
            </w:r>
          </w:p>
        </w:tc>
      </w:tr>
      <w:tr w:rsidR="009570AF" w:rsidRPr="00310585" w:rsidTr="009570AF">
        <w:tc>
          <w:tcPr>
            <w:tcW w:w="900" w:type="dxa"/>
            <w:vMerge/>
          </w:tcPr>
          <w:p w:rsidR="009570AF" w:rsidRPr="00310585" w:rsidRDefault="009570AF" w:rsidP="009570AF">
            <w:pPr>
              <w:jc w:val="center"/>
              <w:rPr>
                <w:sz w:val="22"/>
                <w:szCs w:val="22"/>
              </w:rPr>
            </w:pPr>
          </w:p>
        </w:tc>
        <w:tc>
          <w:tcPr>
            <w:tcW w:w="5220" w:type="dxa"/>
          </w:tcPr>
          <w:p w:rsidR="009570AF" w:rsidRPr="00310585" w:rsidRDefault="009570AF" w:rsidP="009570AF">
            <w:pPr>
              <w:jc w:val="center"/>
              <w:rPr>
                <w:sz w:val="22"/>
                <w:szCs w:val="22"/>
              </w:rPr>
            </w:pPr>
            <w:r w:rsidRPr="00310585">
              <w:rPr>
                <w:sz w:val="22"/>
                <w:szCs w:val="22"/>
              </w:rPr>
              <w:t>CILC-1(D), ISST-1(D) Off Peak</w:t>
            </w:r>
          </w:p>
        </w:tc>
        <w:tc>
          <w:tcPr>
            <w:tcW w:w="900" w:type="dxa"/>
            <w:vAlign w:val="center"/>
          </w:tcPr>
          <w:p w:rsidR="009570AF" w:rsidRPr="00310585" w:rsidRDefault="009570AF" w:rsidP="009570AF">
            <w:pPr>
              <w:jc w:val="center"/>
              <w:rPr>
                <w:sz w:val="22"/>
                <w:szCs w:val="22"/>
              </w:rPr>
            </w:pPr>
            <w:r w:rsidRPr="00310585">
              <w:rPr>
                <w:sz w:val="22"/>
                <w:szCs w:val="22"/>
              </w:rPr>
              <w:t>2.263</w:t>
            </w:r>
          </w:p>
        </w:tc>
        <w:tc>
          <w:tcPr>
            <w:tcW w:w="1260" w:type="dxa"/>
          </w:tcPr>
          <w:p w:rsidR="009570AF" w:rsidRPr="00310585" w:rsidRDefault="009570AF" w:rsidP="009570AF">
            <w:pPr>
              <w:jc w:val="center"/>
              <w:rPr>
                <w:sz w:val="22"/>
                <w:szCs w:val="22"/>
              </w:rPr>
            </w:pPr>
            <w:r w:rsidRPr="00310585">
              <w:rPr>
                <w:sz w:val="22"/>
                <w:szCs w:val="22"/>
              </w:rPr>
              <w:t>0.99646</w:t>
            </w:r>
          </w:p>
        </w:tc>
        <w:tc>
          <w:tcPr>
            <w:tcW w:w="1188" w:type="dxa"/>
          </w:tcPr>
          <w:p w:rsidR="009570AF" w:rsidRPr="00310585" w:rsidRDefault="009570AF" w:rsidP="009570AF">
            <w:pPr>
              <w:jc w:val="center"/>
              <w:rPr>
                <w:sz w:val="22"/>
                <w:szCs w:val="22"/>
              </w:rPr>
            </w:pPr>
            <w:r w:rsidRPr="00310585">
              <w:rPr>
                <w:sz w:val="22"/>
                <w:szCs w:val="22"/>
              </w:rPr>
              <w:t>2.255</w:t>
            </w:r>
          </w:p>
        </w:tc>
      </w:tr>
    </w:tbl>
    <w:p w:rsidR="009570AF" w:rsidRPr="00310585" w:rsidRDefault="009570AF" w:rsidP="009570AF">
      <w:pPr>
        <w:rPr>
          <w:sz w:val="22"/>
          <w:szCs w:val="22"/>
        </w:rPr>
      </w:pPr>
      <w:r w:rsidRPr="00310585">
        <w:rPr>
          <w:sz w:val="22"/>
          <w:szCs w:val="22"/>
        </w:rPr>
        <w:t xml:space="preserve">    Source: Schedule E1-E, Page 1 of 2 (Exh. RBD-7, Appendix IV – 2019 FCR Projections, Page 3 of 7).</w:t>
      </w:r>
    </w:p>
    <w:p w:rsidR="009570AF" w:rsidRDefault="009570AF" w:rsidP="009570AF">
      <w:pPr>
        <w:rPr>
          <w:sz w:val="22"/>
          <w:szCs w:val="22"/>
        </w:rPr>
      </w:pPr>
    </w:p>
    <w:p w:rsidR="007268E2" w:rsidRPr="00310585" w:rsidRDefault="007268E2" w:rsidP="009570AF">
      <w:pPr>
        <w:rPr>
          <w:sz w:val="22"/>
          <w:szCs w:val="22"/>
        </w:rPr>
      </w:pPr>
    </w:p>
    <w:p w:rsidR="009570AF" w:rsidRPr="00310585" w:rsidRDefault="009570AF" w:rsidP="009570AF">
      <w:pPr>
        <w:ind w:left="1440" w:hanging="1440"/>
        <w:jc w:val="center"/>
        <w:rPr>
          <w:rFonts w:ascii="Arial" w:hAnsi="Arial" w:cs="Arial"/>
          <w:b/>
        </w:rPr>
      </w:pPr>
      <w:r w:rsidRPr="00310585">
        <w:rPr>
          <w:rFonts w:ascii="Arial" w:hAnsi="Arial" w:cs="Arial"/>
          <w:b/>
        </w:rPr>
        <w:t>Table 22-7</w:t>
      </w:r>
    </w:p>
    <w:p w:rsidR="009570AF" w:rsidRPr="00310585" w:rsidRDefault="009570AF" w:rsidP="009570AF">
      <w:pPr>
        <w:jc w:val="center"/>
      </w:pPr>
      <w:r w:rsidRPr="00310585">
        <w:rPr>
          <w:rFonts w:ascii="Arial" w:hAnsi="Arial" w:cs="Arial"/>
          <w:b/>
        </w:rPr>
        <w:t>FPL Fuel Cost Recovery Factors for the period June-December, 2019</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9570AF" w:rsidRPr="00310585" w:rsidTr="009570AF">
        <w:tc>
          <w:tcPr>
            <w:tcW w:w="9468" w:type="dxa"/>
            <w:gridSpan w:val="5"/>
          </w:tcPr>
          <w:p w:rsidR="009570AF" w:rsidRPr="00310585" w:rsidRDefault="009570AF" w:rsidP="009570AF">
            <w:pPr>
              <w:jc w:val="center"/>
            </w:pPr>
            <w:r w:rsidRPr="00310585">
              <w:t>Seasonal Demand Time of Use Rider (SDTR) Fuel Recovery Factors</w:t>
            </w:r>
          </w:p>
        </w:tc>
      </w:tr>
      <w:tr w:rsidR="009570AF" w:rsidRPr="00310585" w:rsidTr="009570AF">
        <w:tc>
          <w:tcPr>
            <w:tcW w:w="9468" w:type="dxa"/>
            <w:gridSpan w:val="5"/>
          </w:tcPr>
          <w:p w:rsidR="009570AF" w:rsidRPr="00310585" w:rsidRDefault="009570AF" w:rsidP="009570AF">
            <w:pPr>
              <w:jc w:val="center"/>
            </w:pPr>
            <w:r w:rsidRPr="00310585">
              <w:t>For the Period June - September, 2019</w:t>
            </w:r>
          </w:p>
        </w:tc>
      </w:tr>
      <w:tr w:rsidR="009570AF" w:rsidRPr="00310585" w:rsidTr="009570AF">
        <w:tc>
          <w:tcPr>
            <w:tcW w:w="900" w:type="dxa"/>
            <w:vAlign w:val="center"/>
          </w:tcPr>
          <w:p w:rsidR="009570AF" w:rsidRPr="00310585" w:rsidRDefault="009570AF" w:rsidP="009570AF">
            <w:pPr>
              <w:jc w:val="center"/>
            </w:pPr>
            <w:r w:rsidRPr="00310585">
              <w:t>Group</w:t>
            </w:r>
          </w:p>
        </w:tc>
        <w:tc>
          <w:tcPr>
            <w:tcW w:w="4950" w:type="dxa"/>
            <w:vAlign w:val="center"/>
          </w:tcPr>
          <w:p w:rsidR="009570AF" w:rsidRPr="00310585" w:rsidRDefault="009570AF" w:rsidP="009570AF">
            <w:pPr>
              <w:jc w:val="center"/>
            </w:pPr>
            <w:r w:rsidRPr="00310585">
              <w:t>Rate Schedule</w:t>
            </w:r>
          </w:p>
        </w:tc>
        <w:tc>
          <w:tcPr>
            <w:tcW w:w="1170" w:type="dxa"/>
            <w:vAlign w:val="center"/>
          </w:tcPr>
          <w:p w:rsidR="009570AF" w:rsidRPr="00310585" w:rsidRDefault="009570AF" w:rsidP="009570AF">
            <w:pPr>
              <w:jc w:val="center"/>
            </w:pPr>
            <w:r w:rsidRPr="00310585">
              <w:t>Avg. Factor</w:t>
            </w:r>
          </w:p>
        </w:tc>
        <w:tc>
          <w:tcPr>
            <w:tcW w:w="1260" w:type="dxa"/>
            <w:vAlign w:val="center"/>
          </w:tcPr>
          <w:p w:rsidR="009570AF" w:rsidRPr="00310585" w:rsidRDefault="009570AF" w:rsidP="009570AF">
            <w:pPr>
              <w:jc w:val="center"/>
            </w:pPr>
            <w:r w:rsidRPr="00310585">
              <w:t>Loss Multiplier</w:t>
            </w:r>
          </w:p>
        </w:tc>
        <w:tc>
          <w:tcPr>
            <w:tcW w:w="1188" w:type="dxa"/>
            <w:vAlign w:val="center"/>
          </w:tcPr>
          <w:p w:rsidR="009570AF" w:rsidRPr="00310585" w:rsidRDefault="009570AF" w:rsidP="009570AF">
            <w:pPr>
              <w:jc w:val="center"/>
            </w:pPr>
            <w:r w:rsidRPr="00310585">
              <w:t>Fuel Recovery Factor</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B</w:t>
            </w:r>
          </w:p>
        </w:tc>
        <w:tc>
          <w:tcPr>
            <w:tcW w:w="4950" w:type="dxa"/>
          </w:tcPr>
          <w:p w:rsidR="009570AF" w:rsidRPr="00310585" w:rsidRDefault="009570AF" w:rsidP="009570AF">
            <w:pPr>
              <w:jc w:val="center"/>
              <w:rPr>
                <w:sz w:val="22"/>
                <w:szCs w:val="22"/>
              </w:rPr>
            </w:pPr>
            <w:r w:rsidRPr="00310585">
              <w:rPr>
                <w:sz w:val="22"/>
                <w:szCs w:val="22"/>
              </w:rPr>
              <w:t>GSD(T)-1 On-Peak</w:t>
            </w:r>
          </w:p>
        </w:tc>
        <w:tc>
          <w:tcPr>
            <w:tcW w:w="1170" w:type="dxa"/>
          </w:tcPr>
          <w:p w:rsidR="009570AF" w:rsidRPr="00310585" w:rsidRDefault="009570AF" w:rsidP="009570AF">
            <w:pPr>
              <w:jc w:val="center"/>
              <w:rPr>
                <w:sz w:val="22"/>
                <w:szCs w:val="22"/>
              </w:rPr>
            </w:pPr>
            <w:r w:rsidRPr="00310585">
              <w:rPr>
                <w:sz w:val="22"/>
                <w:szCs w:val="22"/>
              </w:rPr>
              <w:t>4.301</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4.322</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GSD(T)-1 Off-Peak</w:t>
            </w:r>
          </w:p>
        </w:tc>
        <w:tc>
          <w:tcPr>
            <w:tcW w:w="1170" w:type="dxa"/>
          </w:tcPr>
          <w:p w:rsidR="009570AF" w:rsidRPr="00310585" w:rsidRDefault="009570AF" w:rsidP="009570AF">
            <w:pPr>
              <w:jc w:val="center"/>
              <w:rPr>
                <w:sz w:val="22"/>
                <w:szCs w:val="22"/>
              </w:rPr>
            </w:pPr>
            <w:r w:rsidRPr="00310585">
              <w:rPr>
                <w:sz w:val="22"/>
                <w:szCs w:val="22"/>
              </w:rPr>
              <w:t>2.327</w:t>
            </w:r>
          </w:p>
        </w:tc>
        <w:tc>
          <w:tcPr>
            <w:tcW w:w="1260" w:type="dxa"/>
          </w:tcPr>
          <w:p w:rsidR="009570AF" w:rsidRPr="00310585" w:rsidRDefault="009570AF" w:rsidP="009570AF">
            <w:pPr>
              <w:jc w:val="center"/>
              <w:rPr>
                <w:sz w:val="22"/>
                <w:szCs w:val="22"/>
              </w:rPr>
            </w:pPr>
            <w:r w:rsidRPr="00310585">
              <w:rPr>
                <w:sz w:val="22"/>
                <w:szCs w:val="22"/>
              </w:rPr>
              <w:t>1.00482</w:t>
            </w:r>
          </w:p>
        </w:tc>
        <w:tc>
          <w:tcPr>
            <w:tcW w:w="1188" w:type="dxa"/>
          </w:tcPr>
          <w:p w:rsidR="009570AF" w:rsidRPr="00310585" w:rsidRDefault="009570AF" w:rsidP="009570AF">
            <w:pPr>
              <w:jc w:val="center"/>
              <w:rPr>
                <w:sz w:val="22"/>
                <w:szCs w:val="22"/>
              </w:rPr>
            </w:pPr>
            <w:r w:rsidRPr="00310585">
              <w:rPr>
                <w:sz w:val="22"/>
                <w:szCs w:val="22"/>
              </w:rPr>
              <w:t>2.338</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C</w:t>
            </w:r>
          </w:p>
        </w:tc>
        <w:tc>
          <w:tcPr>
            <w:tcW w:w="4950" w:type="dxa"/>
          </w:tcPr>
          <w:p w:rsidR="009570AF" w:rsidRPr="00310585" w:rsidRDefault="009570AF" w:rsidP="009570AF">
            <w:pPr>
              <w:jc w:val="center"/>
              <w:rPr>
                <w:sz w:val="22"/>
                <w:szCs w:val="22"/>
              </w:rPr>
            </w:pPr>
            <w:r w:rsidRPr="00310585">
              <w:rPr>
                <w:sz w:val="22"/>
                <w:szCs w:val="22"/>
              </w:rPr>
              <w:t>GSLD(T)-1 On-Peak</w:t>
            </w:r>
          </w:p>
        </w:tc>
        <w:tc>
          <w:tcPr>
            <w:tcW w:w="1170" w:type="dxa"/>
          </w:tcPr>
          <w:p w:rsidR="009570AF" w:rsidRPr="00310585" w:rsidRDefault="009570AF" w:rsidP="009570AF">
            <w:pPr>
              <w:jc w:val="center"/>
              <w:rPr>
                <w:sz w:val="22"/>
                <w:szCs w:val="22"/>
              </w:rPr>
            </w:pPr>
            <w:r w:rsidRPr="00310585">
              <w:rPr>
                <w:sz w:val="22"/>
                <w:szCs w:val="22"/>
              </w:rPr>
              <w:t>4.301</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4.319</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GSLD(T)-1 Off-Peak</w:t>
            </w:r>
          </w:p>
        </w:tc>
        <w:tc>
          <w:tcPr>
            <w:tcW w:w="1170" w:type="dxa"/>
          </w:tcPr>
          <w:p w:rsidR="009570AF" w:rsidRPr="00310585" w:rsidRDefault="009570AF" w:rsidP="009570AF">
            <w:pPr>
              <w:jc w:val="center"/>
              <w:rPr>
                <w:sz w:val="22"/>
                <w:szCs w:val="22"/>
              </w:rPr>
            </w:pPr>
            <w:r w:rsidRPr="00310585">
              <w:rPr>
                <w:sz w:val="22"/>
                <w:szCs w:val="22"/>
              </w:rPr>
              <w:t>2.327</w:t>
            </w:r>
          </w:p>
        </w:tc>
        <w:tc>
          <w:tcPr>
            <w:tcW w:w="1260" w:type="dxa"/>
          </w:tcPr>
          <w:p w:rsidR="009570AF" w:rsidRPr="00310585" w:rsidRDefault="009570AF" w:rsidP="009570AF">
            <w:pPr>
              <w:jc w:val="center"/>
              <w:rPr>
                <w:sz w:val="22"/>
                <w:szCs w:val="22"/>
              </w:rPr>
            </w:pPr>
            <w:r w:rsidRPr="00310585">
              <w:rPr>
                <w:sz w:val="22"/>
                <w:szCs w:val="22"/>
              </w:rPr>
              <w:t>1.00412</w:t>
            </w:r>
          </w:p>
        </w:tc>
        <w:tc>
          <w:tcPr>
            <w:tcW w:w="1188" w:type="dxa"/>
          </w:tcPr>
          <w:p w:rsidR="009570AF" w:rsidRPr="00310585" w:rsidRDefault="009570AF" w:rsidP="009570AF">
            <w:pPr>
              <w:jc w:val="center"/>
              <w:rPr>
                <w:sz w:val="22"/>
                <w:szCs w:val="22"/>
              </w:rPr>
            </w:pPr>
            <w:r w:rsidRPr="00310585">
              <w:rPr>
                <w:sz w:val="22"/>
                <w:szCs w:val="22"/>
              </w:rPr>
              <w:t>2.337</w:t>
            </w:r>
          </w:p>
        </w:tc>
      </w:tr>
      <w:tr w:rsidR="009570AF" w:rsidRPr="00310585" w:rsidTr="009570AF">
        <w:tc>
          <w:tcPr>
            <w:tcW w:w="900" w:type="dxa"/>
            <w:vMerge w:val="restart"/>
            <w:vAlign w:val="center"/>
          </w:tcPr>
          <w:p w:rsidR="009570AF" w:rsidRPr="00310585" w:rsidRDefault="009570AF" w:rsidP="009570AF">
            <w:pPr>
              <w:jc w:val="center"/>
              <w:rPr>
                <w:sz w:val="22"/>
                <w:szCs w:val="22"/>
              </w:rPr>
            </w:pPr>
            <w:r w:rsidRPr="00310585">
              <w:rPr>
                <w:sz w:val="22"/>
                <w:szCs w:val="22"/>
              </w:rPr>
              <w:t>D</w:t>
            </w:r>
          </w:p>
        </w:tc>
        <w:tc>
          <w:tcPr>
            <w:tcW w:w="4950" w:type="dxa"/>
          </w:tcPr>
          <w:p w:rsidR="009570AF" w:rsidRPr="00310585" w:rsidRDefault="009570AF" w:rsidP="009570AF">
            <w:pPr>
              <w:jc w:val="center"/>
              <w:rPr>
                <w:sz w:val="22"/>
                <w:szCs w:val="22"/>
              </w:rPr>
            </w:pPr>
            <w:r w:rsidRPr="00310585">
              <w:rPr>
                <w:sz w:val="22"/>
                <w:szCs w:val="22"/>
              </w:rPr>
              <w:t>GSLD(T)-2 On-Peak</w:t>
            </w:r>
          </w:p>
        </w:tc>
        <w:tc>
          <w:tcPr>
            <w:tcW w:w="1170" w:type="dxa"/>
          </w:tcPr>
          <w:p w:rsidR="009570AF" w:rsidRPr="00310585" w:rsidRDefault="009570AF" w:rsidP="009570AF">
            <w:pPr>
              <w:jc w:val="center"/>
              <w:rPr>
                <w:sz w:val="22"/>
                <w:szCs w:val="22"/>
              </w:rPr>
            </w:pPr>
            <w:r w:rsidRPr="00310585">
              <w:rPr>
                <w:sz w:val="22"/>
                <w:szCs w:val="22"/>
              </w:rPr>
              <w:t>4.301</w:t>
            </w:r>
          </w:p>
        </w:tc>
        <w:tc>
          <w:tcPr>
            <w:tcW w:w="1260" w:type="dxa"/>
          </w:tcPr>
          <w:p w:rsidR="009570AF" w:rsidRPr="00310585" w:rsidRDefault="009570AF" w:rsidP="009570AF">
            <w:pPr>
              <w:jc w:val="center"/>
              <w:rPr>
                <w:sz w:val="22"/>
                <w:szCs w:val="22"/>
              </w:rPr>
            </w:pPr>
            <w:r w:rsidRPr="00310585">
              <w:rPr>
                <w:sz w:val="22"/>
                <w:szCs w:val="22"/>
              </w:rPr>
              <w:t>0.99690</w:t>
            </w:r>
          </w:p>
        </w:tc>
        <w:tc>
          <w:tcPr>
            <w:tcW w:w="1188" w:type="dxa"/>
          </w:tcPr>
          <w:p w:rsidR="009570AF" w:rsidRPr="00310585" w:rsidRDefault="009570AF" w:rsidP="009570AF">
            <w:pPr>
              <w:jc w:val="center"/>
              <w:rPr>
                <w:sz w:val="22"/>
                <w:szCs w:val="22"/>
              </w:rPr>
            </w:pPr>
            <w:r w:rsidRPr="00310585">
              <w:rPr>
                <w:sz w:val="22"/>
                <w:szCs w:val="22"/>
              </w:rPr>
              <w:t>4.288</w:t>
            </w:r>
          </w:p>
        </w:tc>
      </w:tr>
      <w:tr w:rsidR="009570AF" w:rsidRPr="00310585" w:rsidTr="009570AF">
        <w:tc>
          <w:tcPr>
            <w:tcW w:w="900" w:type="dxa"/>
            <w:vMerge/>
          </w:tcPr>
          <w:p w:rsidR="009570AF" w:rsidRPr="00310585" w:rsidRDefault="009570AF" w:rsidP="009570AF">
            <w:pPr>
              <w:jc w:val="center"/>
              <w:rPr>
                <w:sz w:val="22"/>
                <w:szCs w:val="22"/>
              </w:rPr>
            </w:pPr>
          </w:p>
        </w:tc>
        <w:tc>
          <w:tcPr>
            <w:tcW w:w="4950" w:type="dxa"/>
          </w:tcPr>
          <w:p w:rsidR="009570AF" w:rsidRPr="00310585" w:rsidRDefault="009570AF" w:rsidP="009570AF">
            <w:pPr>
              <w:jc w:val="center"/>
              <w:rPr>
                <w:sz w:val="22"/>
                <w:szCs w:val="22"/>
              </w:rPr>
            </w:pPr>
            <w:r w:rsidRPr="00310585">
              <w:rPr>
                <w:sz w:val="22"/>
                <w:szCs w:val="22"/>
              </w:rPr>
              <w:t>GSLD(T)-2 Off-Peak</w:t>
            </w:r>
          </w:p>
        </w:tc>
        <w:tc>
          <w:tcPr>
            <w:tcW w:w="1170" w:type="dxa"/>
          </w:tcPr>
          <w:p w:rsidR="009570AF" w:rsidRPr="00310585" w:rsidRDefault="009570AF" w:rsidP="009570AF">
            <w:pPr>
              <w:jc w:val="center"/>
              <w:rPr>
                <w:sz w:val="22"/>
                <w:szCs w:val="22"/>
              </w:rPr>
            </w:pPr>
            <w:r w:rsidRPr="00310585">
              <w:rPr>
                <w:sz w:val="22"/>
                <w:szCs w:val="22"/>
              </w:rPr>
              <w:t>2.327</w:t>
            </w:r>
          </w:p>
        </w:tc>
        <w:tc>
          <w:tcPr>
            <w:tcW w:w="1260" w:type="dxa"/>
          </w:tcPr>
          <w:p w:rsidR="009570AF" w:rsidRPr="00310585" w:rsidRDefault="009570AF" w:rsidP="009570AF">
            <w:pPr>
              <w:jc w:val="center"/>
              <w:rPr>
                <w:sz w:val="22"/>
                <w:szCs w:val="22"/>
              </w:rPr>
            </w:pPr>
            <w:r w:rsidRPr="00310585">
              <w:rPr>
                <w:sz w:val="22"/>
                <w:szCs w:val="22"/>
              </w:rPr>
              <w:t>0.99690</w:t>
            </w:r>
          </w:p>
        </w:tc>
        <w:tc>
          <w:tcPr>
            <w:tcW w:w="1188" w:type="dxa"/>
          </w:tcPr>
          <w:p w:rsidR="009570AF" w:rsidRPr="00310585" w:rsidRDefault="009570AF" w:rsidP="009570AF">
            <w:pPr>
              <w:jc w:val="center"/>
              <w:rPr>
                <w:sz w:val="22"/>
                <w:szCs w:val="22"/>
              </w:rPr>
            </w:pPr>
            <w:r w:rsidRPr="00310585">
              <w:rPr>
                <w:sz w:val="22"/>
                <w:szCs w:val="22"/>
              </w:rPr>
              <w:t>2.320</w:t>
            </w:r>
          </w:p>
        </w:tc>
      </w:tr>
    </w:tbl>
    <w:p w:rsidR="009570AF" w:rsidRDefault="009570AF" w:rsidP="009570AF">
      <w:pPr>
        <w:rPr>
          <w:sz w:val="22"/>
          <w:szCs w:val="22"/>
        </w:rPr>
      </w:pPr>
      <w:r w:rsidRPr="00310585">
        <w:rPr>
          <w:sz w:val="22"/>
          <w:szCs w:val="22"/>
        </w:rPr>
        <w:t xml:space="preserve">    Source: Schedule E1- E, Page 2 of 2 (Exh. RBD-7, Appendix IV – 2019 FCR Projections, Page 4 of 7).</w:t>
      </w:r>
    </w:p>
    <w:p w:rsidR="00560924" w:rsidRPr="00310585" w:rsidRDefault="00560924" w:rsidP="009570AF">
      <w:pPr>
        <w:rPr>
          <w:sz w:val="22"/>
          <w:szCs w:val="22"/>
        </w:rPr>
      </w:pPr>
    </w:p>
    <w:p w:rsidR="009570AF" w:rsidRDefault="009570AF" w:rsidP="009570AF">
      <w:pPr>
        <w:tabs>
          <w:tab w:val="left" w:pos="8571"/>
        </w:tabs>
        <w:autoSpaceDE w:val="0"/>
        <w:autoSpaceDN w:val="0"/>
        <w:adjustRightInd w:val="0"/>
        <w:ind w:left="1440" w:hanging="1440"/>
        <w:jc w:val="both"/>
      </w:pPr>
      <w:r w:rsidRPr="00310585">
        <w:t>FPUC:</w:t>
      </w:r>
      <w:r w:rsidRPr="00310585">
        <w:rPr>
          <w:b/>
        </w:rPr>
        <w:tab/>
      </w:r>
      <w:r>
        <w:t xml:space="preserve">On October 18, 2018, FPUC and OPC jointly proposed a stipulation to resolve all issues in Docket No. 20180048-EI. If approved, that proposal that impacts this issue. </w:t>
      </w:r>
    </w:p>
    <w:p w:rsidR="009570AF" w:rsidRDefault="009570AF" w:rsidP="009570AF">
      <w:pPr>
        <w:spacing w:before="240"/>
        <w:ind w:left="1440" w:hanging="1440"/>
        <w:jc w:val="both"/>
      </w:pPr>
      <w:r>
        <w:tab/>
        <w:t>If that stipulation is approved, the</w:t>
      </w:r>
      <w:r w:rsidRPr="00EE2120">
        <w:t xml:space="preserve"> appropriate levelized fuel adjustment and purchased power cost recovery fac</w:t>
      </w:r>
      <w:r>
        <w:t>tors for the period January 2019 through December 2019</w:t>
      </w:r>
      <w:r w:rsidRPr="00EE2120">
        <w:t xml:space="preserve"> for the Consolidated Electric Division, adjusted for line loss multipliers and including taxes, are shown in </w:t>
      </w:r>
      <w:r w:rsidRPr="00C932D7">
        <w:t>Alternate</w:t>
      </w:r>
      <w:r>
        <w:t xml:space="preserve"> </w:t>
      </w:r>
      <w:r w:rsidRPr="00EE2120">
        <w:t>Tables 22</w:t>
      </w:r>
      <w:r>
        <w:t>-</w:t>
      </w:r>
      <w:r w:rsidR="001173DE">
        <w:t>8</w:t>
      </w:r>
      <w:r>
        <w:t xml:space="preserve"> through</w:t>
      </w:r>
      <w:r w:rsidRPr="00EE2120">
        <w:t xml:space="preserve"> 22-</w:t>
      </w:r>
      <w:r w:rsidR="001173DE">
        <w:t>10</w:t>
      </w:r>
      <w:r w:rsidRPr="00EE2120">
        <w:t xml:space="preserve"> below:</w:t>
      </w:r>
    </w:p>
    <w:p w:rsidR="009570AF" w:rsidRDefault="009570AF" w:rsidP="009570AF">
      <w:pPr>
        <w:spacing w:before="240"/>
        <w:ind w:left="1440"/>
        <w:jc w:val="both"/>
      </w:pPr>
      <w:r>
        <w:t>If that stipulation is not approved, the</w:t>
      </w:r>
      <w:r w:rsidRPr="00EE2120">
        <w:t xml:space="preserve"> appropriate levelized fuel adjustment and purchased power cost recovery fac</w:t>
      </w:r>
      <w:r>
        <w:t>tors for the period January 2019 through December 2019</w:t>
      </w:r>
      <w:r w:rsidRPr="00EE2120">
        <w:t xml:space="preserve"> for the Consolidated Electric Division, adjusted for line loss multipliers and including taxes, are shown in Tables 22</w:t>
      </w:r>
      <w:r>
        <w:t>-</w:t>
      </w:r>
      <w:r w:rsidR="001173DE">
        <w:t>8</w:t>
      </w:r>
      <w:r>
        <w:t xml:space="preserve"> through</w:t>
      </w:r>
      <w:r w:rsidRPr="00EE2120">
        <w:t xml:space="preserve"> 22-</w:t>
      </w:r>
      <w:r w:rsidR="001173DE">
        <w:t>10</w:t>
      </w:r>
      <w:r w:rsidRPr="00EE2120">
        <w:t xml:space="preserve"> below:</w:t>
      </w:r>
    </w:p>
    <w:p w:rsidR="001173DE" w:rsidRDefault="001173DE">
      <w:r>
        <w:br w:type="page"/>
      </w:r>
    </w:p>
    <w:p w:rsidR="009570AF" w:rsidRPr="00952579" w:rsidRDefault="009570AF" w:rsidP="009570AF">
      <w:pPr>
        <w:spacing w:before="240"/>
        <w:ind w:left="1440"/>
        <w:jc w:val="both"/>
        <w:rPr>
          <w:rFonts w:ascii="Arial" w:hAnsi="Arial" w:cs="Arial"/>
          <w:b/>
        </w:rPr>
      </w:pPr>
      <w:r>
        <w:rPr>
          <w:rFonts w:ascii="Arial" w:hAnsi="Arial" w:cs="Arial"/>
          <w:b/>
        </w:rPr>
        <w:lastRenderedPageBreak/>
        <w:tab/>
      </w:r>
      <w:r>
        <w:rPr>
          <w:rFonts w:ascii="Arial" w:hAnsi="Arial" w:cs="Arial"/>
          <w:b/>
        </w:rPr>
        <w:tab/>
      </w:r>
      <w:r w:rsidRPr="00C932D7">
        <w:rPr>
          <w:rFonts w:ascii="Arial" w:hAnsi="Arial" w:cs="Arial"/>
          <w:b/>
        </w:rPr>
        <w:t>Alternate</w:t>
      </w:r>
      <w:r>
        <w:rPr>
          <w:rFonts w:ascii="Arial" w:hAnsi="Arial" w:cs="Arial"/>
          <w:b/>
        </w:rPr>
        <w:t xml:space="preserve"> </w:t>
      </w:r>
      <w:r w:rsidRPr="00952579">
        <w:rPr>
          <w:rFonts w:ascii="Arial" w:hAnsi="Arial" w:cs="Arial"/>
          <w:b/>
        </w:rPr>
        <w:t xml:space="preserve">Table </w:t>
      </w:r>
      <w:r>
        <w:rPr>
          <w:rFonts w:ascii="Arial" w:hAnsi="Arial" w:cs="Arial"/>
          <w:b/>
        </w:rPr>
        <w:t>22-</w:t>
      </w:r>
      <w:r w:rsidR="001173DE">
        <w:rPr>
          <w:rFonts w:ascii="Arial" w:hAnsi="Arial" w:cs="Arial"/>
          <w:b/>
        </w:rPr>
        <w:t>8</w:t>
      </w:r>
    </w:p>
    <w:p w:rsidR="009570AF" w:rsidRPr="00EE2120" w:rsidRDefault="009570AF" w:rsidP="009570AF">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9570AF" w:rsidRPr="00EE2120" w:rsidTr="009570AF">
        <w:tc>
          <w:tcPr>
            <w:tcW w:w="9468" w:type="dxa"/>
            <w:gridSpan w:val="2"/>
          </w:tcPr>
          <w:p w:rsidR="009570AF" w:rsidRDefault="009570AF" w:rsidP="009570AF">
            <w:pPr>
              <w:jc w:val="center"/>
            </w:pPr>
            <w:r>
              <w:t>Fuel Recovery Factors – By Rate Schedule</w:t>
            </w:r>
          </w:p>
        </w:tc>
      </w:tr>
      <w:tr w:rsidR="009570AF" w:rsidRPr="00EE2120" w:rsidTr="009570AF">
        <w:tc>
          <w:tcPr>
            <w:tcW w:w="9468" w:type="dxa"/>
            <w:gridSpan w:val="2"/>
          </w:tcPr>
          <w:p w:rsidR="009570AF" w:rsidRDefault="009570AF" w:rsidP="009570AF">
            <w:pPr>
              <w:jc w:val="center"/>
            </w:pPr>
            <w:r>
              <w:t>For the Period January through December, 2019</w:t>
            </w:r>
          </w:p>
        </w:tc>
      </w:tr>
      <w:tr w:rsidR="009570AF" w:rsidRPr="00EE2120" w:rsidTr="009570AF">
        <w:tc>
          <w:tcPr>
            <w:tcW w:w="6948" w:type="dxa"/>
            <w:vAlign w:val="center"/>
          </w:tcPr>
          <w:p w:rsidR="009570AF" w:rsidRPr="00EE2120" w:rsidRDefault="009570AF" w:rsidP="009570AF">
            <w:pPr>
              <w:keepNext/>
              <w:keepLines/>
              <w:jc w:val="center"/>
            </w:pPr>
            <w:r w:rsidRPr="00EE2120">
              <w:t>Rate Schedule</w:t>
            </w:r>
          </w:p>
        </w:tc>
        <w:tc>
          <w:tcPr>
            <w:tcW w:w="2520" w:type="dxa"/>
          </w:tcPr>
          <w:p w:rsidR="009570AF" w:rsidRPr="00EE2120" w:rsidRDefault="009570AF" w:rsidP="009570AF">
            <w:pPr>
              <w:keepNext/>
              <w:keepLines/>
              <w:jc w:val="center"/>
            </w:pPr>
            <w:r>
              <w:t xml:space="preserve">Levelized </w:t>
            </w:r>
            <w:r w:rsidRPr="00EE2120">
              <w:t>Adjustment (cents/kWh)</w:t>
            </w:r>
          </w:p>
        </w:tc>
      </w:tr>
      <w:tr w:rsidR="009570AF" w:rsidRPr="00EE2120" w:rsidTr="009570AF">
        <w:tc>
          <w:tcPr>
            <w:tcW w:w="6948" w:type="dxa"/>
          </w:tcPr>
          <w:p w:rsidR="009570AF" w:rsidRPr="00EE2120" w:rsidRDefault="009570AF" w:rsidP="009570AF">
            <w:pPr>
              <w:keepNext/>
              <w:keepLines/>
              <w:jc w:val="center"/>
            </w:pPr>
            <w:r w:rsidRPr="00EE2120">
              <w:t>RS</w:t>
            </w:r>
          </w:p>
        </w:tc>
        <w:tc>
          <w:tcPr>
            <w:tcW w:w="2520" w:type="dxa"/>
          </w:tcPr>
          <w:p w:rsidR="009570AF" w:rsidRPr="009B29FF" w:rsidRDefault="009570AF" w:rsidP="009570AF">
            <w:pPr>
              <w:keepNext/>
              <w:keepLines/>
              <w:jc w:val="center"/>
            </w:pPr>
            <w:r>
              <w:t>9.885</w:t>
            </w:r>
          </w:p>
        </w:tc>
      </w:tr>
      <w:tr w:rsidR="009570AF" w:rsidRPr="00EE2120" w:rsidTr="009570AF">
        <w:tc>
          <w:tcPr>
            <w:tcW w:w="6948" w:type="dxa"/>
          </w:tcPr>
          <w:p w:rsidR="009570AF" w:rsidRPr="00EE2120" w:rsidRDefault="009570AF" w:rsidP="009570AF">
            <w:pPr>
              <w:keepNext/>
              <w:keepLines/>
              <w:jc w:val="center"/>
            </w:pPr>
            <w:r w:rsidRPr="00EE2120">
              <w:t>GS</w:t>
            </w:r>
          </w:p>
        </w:tc>
        <w:tc>
          <w:tcPr>
            <w:tcW w:w="2520" w:type="dxa"/>
          </w:tcPr>
          <w:p w:rsidR="009570AF" w:rsidRPr="009B29FF" w:rsidRDefault="009570AF" w:rsidP="009570AF">
            <w:pPr>
              <w:keepNext/>
              <w:keepLines/>
              <w:jc w:val="center"/>
            </w:pPr>
            <w:r>
              <w:t>9.564</w:t>
            </w:r>
          </w:p>
        </w:tc>
      </w:tr>
      <w:tr w:rsidR="009570AF" w:rsidRPr="00EE2120" w:rsidTr="009570AF">
        <w:tc>
          <w:tcPr>
            <w:tcW w:w="6948" w:type="dxa"/>
          </w:tcPr>
          <w:p w:rsidR="009570AF" w:rsidRPr="00EE2120" w:rsidRDefault="009570AF" w:rsidP="009570AF">
            <w:pPr>
              <w:keepNext/>
              <w:keepLines/>
              <w:jc w:val="center"/>
            </w:pPr>
            <w:r w:rsidRPr="00EE2120">
              <w:t>GSD</w:t>
            </w:r>
          </w:p>
        </w:tc>
        <w:tc>
          <w:tcPr>
            <w:tcW w:w="2520" w:type="dxa"/>
          </w:tcPr>
          <w:p w:rsidR="009570AF" w:rsidRPr="009B29FF" w:rsidRDefault="009570AF" w:rsidP="009570AF">
            <w:pPr>
              <w:keepNext/>
              <w:keepLines/>
              <w:jc w:val="center"/>
            </w:pPr>
            <w:r>
              <w:t>9.141</w:t>
            </w:r>
          </w:p>
        </w:tc>
      </w:tr>
      <w:tr w:rsidR="009570AF" w:rsidRPr="00EE2120" w:rsidTr="009570AF">
        <w:tc>
          <w:tcPr>
            <w:tcW w:w="6948" w:type="dxa"/>
          </w:tcPr>
          <w:p w:rsidR="009570AF" w:rsidRPr="00EE2120" w:rsidRDefault="009570AF" w:rsidP="009570AF">
            <w:pPr>
              <w:keepNext/>
              <w:keepLines/>
              <w:jc w:val="center"/>
            </w:pPr>
            <w:r w:rsidRPr="00EE2120">
              <w:t>GSLD</w:t>
            </w:r>
          </w:p>
        </w:tc>
        <w:tc>
          <w:tcPr>
            <w:tcW w:w="2520" w:type="dxa"/>
          </w:tcPr>
          <w:p w:rsidR="009570AF" w:rsidRPr="009B29FF" w:rsidRDefault="009570AF" w:rsidP="009570AF">
            <w:pPr>
              <w:keepNext/>
              <w:keepLines/>
              <w:jc w:val="center"/>
            </w:pPr>
            <w:r>
              <w:t>8.842</w:t>
            </w:r>
          </w:p>
        </w:tc>
      </w:tr>
      <w:tr w:rsidR="009570AF" w:rsidRPr="00EE2120" w:rsidTr="009570AF">
        <w:tc>
          <w:tcPr>
            <w:tcW w:w="6948" w:type="dxa"/>
          </w:tcPr>
          <w:p w:rsidR="009570AF" w:rsidRPr="00EE2120" w:rsidRDefault="009570AF" w:rsidP="009570AF">
            <w:pPr>
              <w:keepNext/>
              <w:keepLines/>
              <w:jc w:val="center"/>
            </w:pPr>
            <w:r w:rsidRPr="00EE2120">
              <w:t>LS</w:t>
            </w:r>
          </w:p>
        </w:tc>
        <w:tc>
          <w:tcPr>
            <w:tcW w:w="2520" w:type="dxa"/>
          </w:tcPr>
          <w:p w:rsidR="009570AF" w:rsidRPr="009B29FF" w:rsidRDefault="009570AF" w:rsidP="009570AF">
            <w:pPr>
              <w:keepNext/>
              <w:keepLines/>
              <w:jc w:val="center"/>
            </w:pPr>
            <w:r>
              <w:t>6.952</w:t>
            </w:r>
          </w:p>
        </w:tc>
      </w:tr>
    </w:tbl>
    <w:p w:rsidR="009570AF" w:rsidRPr="009B29FF" w:rsidRDefault="009570AF" w:rsidP="009570AF">
      <w:r>
        <w:rPr>
          <w:sz w:val="22"/>
          <w:szCs w:val="22"/>
        </w:rPr>
        <w:t xml:space="preserve">Source: </w:t>
      </w:r>
      <w:r w:rsidRPr="00C932D7">
        <w:rPr>
          <w:sz w:val="22"/>
          <w:szCs w:val="22"/>
        </w:rPr>
        <w:t>Alternate</w:t>
      </w:r>
      <w:r>
        <w:rPr>
          <w:sz w:val="22"/>
          <w:szCs w:val="22"/>
        </w:rPr>
        <w:t xml:space="preserve"> Schedule E1, Page 3 of 3 (</w:t>
      </w:r>
      <w:r w:rsidRPr="00C932D7">
        <w:rPr>
          <w:sz w:val="22"/>
          <w:szCs w:val="22"/>
        </w:rPr>
        <w:t>Alternate</w:t>
      </w:r>
      <w:r>
        <w:rPr>
          <w:sz w:val="22"/>
          <w:szCs w:val="22"/>
        </w:rPr>
        <w:t xml:space="preserve"> Exhibit MC-2, Cost Recovery Clause Calculation, Page 3 of  8).</w:t>
      </w:r>
    </w:p>
    <w:p w:rsidR="009570AF" w:rsidRDefault="009570AF" w:rsidP="009570AF"/>
    <w:p w:rsidR="001173DE" w:rsidRDefault="001173DE" w:rsidP="00DF0E0E">
      <w:pPr>
        <w:jc w:val="center"/>
      </w:pPr>
    </w:p>
    <w:p w:rsidR="00DF0E0E" w:rsidRDefault="00DF0E0E" w:rsidP="00DF0E0E">
      <w:pPr>
        <w:jc w:val="center"/>
        <w:rPr>
          <w:rFonts w:ascii="Arial" w:hAnsi="Arial" w:cs="Arial"/>
          <w:b/>
        </w:rPr>
      </w:pPr>
      <w:r>
        <w:rPr>
          <w:rFonts w:ascii="Arial" w:hAnsi="Arial" w:cs="Arial"/>
          <w:b/>
        </w:rPr>
        <w:t>Alternative Table 22-9</w:t>
      </w:r>
    </w:p>
    <w:p w:rsidR="00DF0E0E" w:rsidRDefault="00DF0E0E" w:rsidP="00DF0E0E">
      <w:pPr>
        <w:jc w:val="center"/>
        <w:rPr>
          <w:rFonts w:ascii="Arial" w:hAnsi="Arial" w:cs="Arial"/>
          <w:b/>
        </w:rPr>
      </w:pPr>
      <w:r>
        <w:rPr>
          <w:rFonts w:ascii="Arial" w:hAnsi="Arial" w:cs="Arial"/>
          <w:b/>
        </w:rPr>
        <w:t>FPUC Fuel Cost Recovery Factors for the period January-December, 2019</w:t>
      </w:r>
    </w:p>
    <w:tbl>
      <w:tblPr>
        <w:tblStyle w:val="TableGrid"/>
        <w:tblW w:w="0" w:type="auto"/>
        <w:tblLook w:val="04A0" w:firstRow="1" w:lastRow="0" w:firstColumn="1" w:lastColumn="0" w:noHBand="0" w:noVBand="1"/>
      </w:tblPr>
      <w:tblGrid>
        <w:gridCol w:w="6948"/>
        <w:gridCol w:w="2628"/>
      </w:tblGrid>
      <w:tr w:rsidR="00DF0E0E" w:rsidTr="00DF0E0E">
        <w:tc>
          <w:tcPr>
            <w:tcW w:w="9576" w:type="dxa"/>
            <w:gridSpan w:val="2"/>
          </w:tcPr>
          <w:p w:rsidR="00DF0E0E" w:rsidRPr="00DF0E0E" w:rsidRDefault="00DF0E0E" w:rsidP="00DF0E0E">
            <w:pPr>
              <w:jc w:val="center"/>
            </w:pPr>
            <w:r>
              <w:t>Step Rate Allocation For Residential Customers (RS Rate Schedule)</w:t>
            </w:r>
          </w:p>
        </w:tc>
      </w:tr>
      <w:tr w:rsidR="00DF0E0E" w:rsidTr="00DF0E0E">
        <w:tc>
          <w:tcPr>
            <w:tcW w:w="9576" w:type="dxa"/>
            <w:gridSpan w:val="2"/>
          </w:tcPr>
          <w:p w:rsidR="00DF0E0E" w:rsidRDefault="00DF0E0E" w:rsidP="00DF0E0E">
            <w:pPr>
              <w:jc w:val="center"/>
              <w:rPr>
                <w:rFonts w:ascii="Arial" w:hAnsi="Arial" w:cs="Arial"/>
                <w:b/>
              </w:rPr>
            </w:pPr>
            <w:r>
              <w:t>For the Period January through December, 2019</w:t>
            </w:r>
            <w:r>
              <w:rPr>
                <w:rFonts w:ascii="Arial" w:hAnsi="Arial" w:cs="Arial"/>
                <w:b/>
              </w:rPr>
              <w:t xml:space="preserve"> </w:t>
            </w:r>
          </w:p>
        </w:tc>
      </w:tr>
      <w:tr w:rsidR="00DF0E0E" w:rsidTr="00DF0E0E">
        <w:trPr>
          <w:trHeight w:val="69"/>
        </w:trPr>
        <w:tc>
          <w:tcPr>
            <w:tcW w:w="6948" w:type="dxa"/>
          </w:tcPr>
          <w:p w:rsidR="00DF0E0E" w:rsidRPr="00DF0E0E" w:rsidRDefault="00DF0E0E" w:rsidP="00DF0E0E">
            <w:pPr>
              <w:jc w:val="center"/>
            </w:pPr>
            <w:r>
              <w:t>Rate Schedule and Allocation</w:t>
            </w:r>
          </w:p>
        </w:tc>
        <w:tc>
          <w:tcPr>
            <w:tcW w:w="2628" w:type="dxa"/>
          </w:tcPr>
          <w:p w:rsidR="00DF0E0E" w:rsidRDefault="00DF0E0E" w:rsidP="00DF0E0E">
            <w:pPr>
              <w:jc w:val="center"/>
            </w:pPr>
            <w:r>
              <w:t>Levelized Adjustment</w:t>
            </w:r>
          </w:p>
          <w:p w:rsidR="00DF0E0E" w:rsidRPr="00DF0E0E" w:rsidRDefault="00DF0E0E" w:rsidP="00DF0E0E">
            <w:pPr>
              <w:jc w:val="center"/>
            </w:pPr>
            <w:r>
              <w:t>(cents/kWh)</w:t>
            </w:r>
          </w:p>
        </w:tc>
      </w:tr>
      <w:tr w:rsidR="00DF0E0E" w:rsidTr="00DF0E0E">
        <w:trPr>
          <w:trHeight w:val="67"/>
        </w:trPr>
        <w:tc>
          <w:tcPr>
            <w:tcW w:w="6948" w:type="dxa"/>
          </w:tcPr>
          <w:p w:rsidR="00DF0E0E" w:rsidRPr="00DF0E0E" w:rsidRDefault="00DF0E0E" w:rsidP="00DF0E0E">
            <w:pPr>
              <w:jc w:val="center"/>
            </w:pPr>
            <w:r>
              <w:t>RS Rate Schedule – Sales Allocation</w:t>
            </w:r>
          </w:p>
        </w:tc>
        <w:tc>
          <w:tcPr>
            <w:tcW w:w="2628" w:type="dxa"/>
          </w:tcPr>
          <w:p w:rsidR="00DF0E0E" w:rsidRPr="00DF0E0E" w:rsidRDefault="00DF0E0E" w:rsidP="00DF0E0E">
            <w:pPr>
              <w:jc w:val="center"/>
            </w:pPr>
            <w:r>
              <w:t>9.885</w:t>
            </w:r>
          </w:p>
        </w:tc>
      </w:tr>
      <w:tr w:rsidR="00DF0E0E" w:rsidTr="00DF0E0E">
        <w:trPr>
          <w:trHeight w:val="67"/>
        </w:trPr>
        <w:tc>
          <w:tcPr>
            <w:tcW w:w="6948" w:type="dxa"/>
          </w:tcPr>
          <w:p w:rsidR="00DF0E0E" w:rsidRPr="00DF0E0E" w:rsidRDefault="00DF0E0E" w:rsidP="00DF0E0E">
            <w:pPr>
              <w:jc w:val="center"/>
            </w:pPr>
            <w:r>
              <w:t xml:space="preserve">RS Rate Schedule with less than or equal to 1,000 kWh/month </w:t>
            </w:r>
          </w:p>
        </w:tc>
        <w:tc>
          <w:tcPr>
            <w:tcW w:w="2628" w:type="dxa"/>
          </w:tcPr>
          <w:p w:rsidR="00DF0E0E" w:rsidRPr="00DF0E0E" w:rsidRDefault="00DF0E0E" w:rsidP="00DF0E0E">
            <w:pPr>
              <w:jc w:val="center"/>
            </w:pPr>
            <w:r>
              <w:t>9.562</w:t>
            </w:r>
          </w:p>
        </w:tc>
      </w:tr>
      <w:tr w:rsidR="00DF0E0E" w:rsidTr="00DF0E0E">
        <w:trPr>
          <w:trHeight w:val="67"/>
        </w:trPr>
        <w:tc>
          <w:tcPr>
            <w:tcW w:w="6948" w:type="dxa"/>
          </w:tcPr>
          <w:p w:rsidR="00DF0E0E" w:rsidRPr="00DF0E0E" w:rsidRDefault="00CA3DD5" w:rsidP="00CA3DD5">
            <w:pPr>
              <w:jc w:val="center"/>
            </w:pPr>
            <w:r>
              <w:t>RS Rate Schedule with more than 1,000 kWh/month</w:t>
            </w:r>
          </w:p>
        </w:tc>
        <w:tc>
          <w:tcPr>
            <w:tcW w:w="2628" w:type="dxa"/>
          </w:tcPr>
          <w:p w:rsidR="00DF0E0E" w:rsidRPr="00DF0E0E" w:rsidRDefault="00CA3DD5" w:rsidP="00DF0E0E">
            <w:pPr>
              <w:jc w:val="center"/>
            </w:pPr>
            <w:r>
              <w:t>10.776</w:t>
            </w:r>
          </w:p>
        </w:tc>
      </w:tr>
    </w:tbl>
    <w:p w:rsidR="00CA3DD5" w:rsidRDefault="00CA3DD5" w:rsidP="00CA3DD5">
      <w:pPr>
        <w:jc w:val="both"/>
        <w:rPr>
          <w:sz w:val="22"/>
          <w:szCs w:val="22"/>
        </w:rPr>
      </w:pPr>
      <w:r w:rsidRPr="00CA3DD5">
        <w:rPr>
          <w:sz w:val="22"/>
          <w:szCs w:val="22"/>
        </w:rPr>
        <w:t>Source:Alternative Schedule E1, Page 3 of 3 (Alternative Exhibit MC-2, Cost Recovery Clause</w:t>
      </w:r>
      <w:r>
        <w:rPr>
          <w:sz w:val="22"/>
          <w:szCs w:val="22"/>
        </w:rPr>
        <w:t xml:space="preserve"> C</w:t>
      </w:r>
      <w:r w:rsidRPr="00CA3DD5">
        <w:rPr>
          <w:sz w:val="22"/>
          <w:szCs w:val="22"/>
        </w:rPr>
        <w:t>alculation, Page 3 of 8)</w:t>
      </w:r>
    </w:p>
    <w:p w:rsidR="00CA3DD5" w:rsidRDefault="00CA3DD5" w:rsidP="00CA3DD5">
      <w:pPr>
        <w:jc w:val="both"/>
        <w:rPr>
          <w:sz w:val="22"/>
          <w:szCs w:val="22"/>
        </w:rPr>
      </w:pPr>
    </w:p>
    <w:p w:rsidR="00CA3DD5" w:rsidRDefault="00CA3DD5" w:rsidP="00CA3DD5">
      <w:pPr>
        <w:jc w:val="both"/>
        <w:rPr>
          <w:rFonts w:ascii="Arial" w:hAnsi="Arial" w:cs="Arial"/>
          <w:b/>
        </w:rPr>
      </w:pPr>
    </w:p>
    <w:p w:rsidR="009570AF" w:rsidRPr="00952579" w:rsidRDefault="009570AF" w:rsidP="00CA3DD5">
      <w:pPr>
        <w:jc w:val="center"/>
        <w:rPr>
          <w:rFonts w:ascii="Arial" w:hAnsi="Arial" w:cs="Arial"/>
          <w:b/>
        </w:rPr>
      </w:pPr>
      <w:r w:rsidRPr="000E17A1">
        <w:rPr>
          <w:rFonts w:ascii="Arial" w:hAnsi="Arial" w:cs="Arial"/>
          <w:b/>
        </w:rPr>
        <w:t>Alternate</w:t>
      </w:r>
      <w:r>
        <w:rPr>
          <w:rFonts w:ascii="Arial" w:hAnsi="Arial" w:cs="Arial"/>
          <w:b/>
        </w:rPr>
        <w:t xml:space="preserve"> </w:t>
      </w:r>
      <w:r w:rsidRPr="00952579">
        <w:rPr>
          <w:rFonts w:ascii="Arial" w:hAnsi="Arial" w:cs="Arial"/>
          <w:b/>
        </w:rPr>
        <w:t xml:space="preserve">Table </w:t>
      </w:r>
      <w:r>
        <w:rPr>
          <w:rFonts w:ascii="Arial" w:hAnsi="Arial" w:cs="Arial"/>
          <w:b/>
        </w:rPr>
        <w:t>22-</w:t>
      </w:r>
      <w:r w:rsidR="00CA3DD5">
        <w:rPr>
          <w:rFonts w:ascii="Arial" w:hAnsi="Arial" w:cs="Arial"/>
          <w:b/>
        </w:rPr>
        <w:t>10</w:t>
      </w:r>
    </w:p>
    <w:p w:rsidR="009570AF" w:rsidRPr="00EE2120" w:rsidRDefault="009570AF" w:rsidP="009570AF">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9570AF" w:rsidRPr="00EE2120" w:rsidTr="009570AF">
        <w:tc>
          <w:tcPr>
            <w:tcW w:w="9468" w:type="dxa"/>
            <w:gridSpan w:val="3"/>
          </w:tcPr>
          <w:p w:rsidR="009570AF" w:rsidRDefault="009570AF" w:rsidP="009570AF">
            <w:pPr>
              <w:jc w:val="center"/>
            </w:pPr>
            <w:r>
              <w:t>Fuel Recovery Factors for Time Of Use – By Rate Schedule</w:t>
            </w:r>
          </w:p>
        </w:tc>
      </w:tr>
      <w:tr w:rsidR="009570AF" w:rsidRPr="00EE2120" w:rsidTr="009570AF">
        <w:tc>
          <w:tcPr>
            <w:tcW w:w="9468" w:type="dxa"/>
            <w:gridSpan w:val="3"/>
          </w:tcPr>
          <w:p w:rsidR="009570AF" w:rsidRDefault="009570AF" w:rsidP="009570AF">
            <w:pPr>
              <w:jc w:val="center"/>
            </w:pPr>
            <w:r>
              <w:t>For the Period January through December, 2019</w:t>
            </w:r>
          </w:p>
        </w:tc>
      </w:tr>
      <w:tr w:rsidR="009570AF" w:rsidRPr="00EE2120" w:rsidTr="009570AF">
        <w:tc>
          <w:tcPr>
            <w:tcW w:w="4608" w:type="dxa"/>
            <w:vAlign w:val="center"/>
          </w:tcPr>
          <w:p w:rsidR="009570AF" w:rsidRPr="00EE2120" w:rsidRDefault="009570AF" w:rsidP="009570AF">
            <w:pPr>
              <w:keepNext/>
              <w:keepLines/>
              <w:jc w:val="center"/>
            </w:pPr>
            <w:r w:rsidRPr="00EE2120">
              <w:t>Rate Schedule</w:t>
            </w:r>
          </w:p>
        </w:tc>
        <w:tc>
          <w:tcPr>
            <w:tcW w:w="2340" w:type="dxa"/>
          </w:tcPr>
          <w:p w:rsidR="009570AF" w:rsidRDefault="009570AF" w:rsidP="009570AF">
            <w:pPr>
              <w:keepNext/>
              <w:keepLines/>
              <w:jc w:val="center"/>
            </w:pPr>
            <w:r>
              <w:t xml:space="preserve">Levelized </w:t>
            </w:r>
            <w:r w:rsidRPr="00EE2120">
              <w:t xml:space="preserve">Adjustment </w:t>
            </w:r>
          </w:p>
          <w:p w:rsidR="009570AF" w:rsidRPr="00EE2120" w:rsidRDefault="009570AF" w:rsidP="009570AF">
            <w:pPr>
              <w:keepNext/>
              <w:keepLines/>
              <w:jc w:val="center"/>
            </w:pPr>
            <w:r w:rsidRPr="00EE2120">
              <w:t>On Peak (cents/kWh)</w:t>
            </w:r>
          </w:p>
        </w:tc>
        <w:tc>
          <w:tcPr>
            <w:tcW w:w="2520" w:type="dxa"/>
          </w:tcPr>
          <w:p w:rsidR="009570AF" w:rsidRDefault="009570AF" w:rsidP="009570AF">
            <w:pPr>
              <w:keepNext/>
              <w:keepLines/>
              <w:jc w:val="center"/>
            </w:pPr>
            <w:r>
              <w:t>Levelized</w:t>
            </w:r>
          </w:p>
          <w:p w:rsidR="009570AF" w:rsidRDefault="009570AF" w:rsidP="009570AF">
            <w:pPr>
              <w:keepNext/>
              <w:keepLines/>
              <w:jc w:val="center"/>
            </w:pPr>
            <w:r w:rsidRPr="00EE2120">
              <w:t xml:space="preserve">Adjustment </w:t>
            </w:r>
          </w:p>
          <w:p w:rsidR="009570AF" w:rsidRPr="00EE2120" w:rsidRDefault="009570AF" w:rsidP="009570AF">
            <w:pPr>
              <w:keepNext/>
              <w:keepLines/>
              <w:jc w:val="center"/>
            </w:pPr>
            <w:r w:rsidRPr="00EE2120">
              <w:t>Off Peak (cents/kWh)</w:t>
            </w:r>
          </w:p>
        </w:tc>
      </w:tr>
      <w:tr w:rsidR="009570AF" w:rsidRPr="00EE2120" w:rsidTr="009570AF">
        <w:tc>
          <w:tcPr>
            <w:tcW w:w="4608" w:type="dxa"/>
          </w:tcPr>
          <w:p w:rsidR="009570AF" w:rsidRPr="00EE2120" w:rsidRDefault="009570AF" w:rsidP="009570AF">
            <w:pPr>
              <w:keepNext/>
              <w:keepLines/>
              <w:jc w:val="center"/>
            </w:pPr>
            <w:r w:rsidRPr="00EE2120">
              <w:t>RS</w:t>
            </w:r>
          </w:p>
        </w:tc>
        <w:tc>
          <w:tcPr>
            <w:tcW w:w="2340" w:type="dxa"/>
          </w:tcPr>
          <w:p w:rsidR="009570AF" w:rsidRPr="009B29FF" w:rsidRDefault="009570AF" w:rsidP="009570AF">
            <w:pPr>
              <w:keepNext/>
              <w:keepLines/>
              <w:jc w:val="center"/>
            </w:pPr>
            <w:r>
              <w:t>17.926</w:t>
            </w:r>
          </w:p>
        </w:tc>
        <w:tc>
          <w:tcPr>
            <w:tcW w:w="2520" w:type="dxa"/>
          </w:tcPr>
          <w:p w:rsidR="009570AF" w:rsidRPr="009B29FF" w:rsidRDefault="009570AF" w:rsidP="009570AF">
            <w:pPr>
              <w:keepNext/>
              <w:keepLines/>
              <w:jc w:val="center"/>
            </w:pPr>
            <w:r>
              <w:t>5.626</w:t>
            </w:r>
          </w:p>
        </w:tc>
      </w:tr>
      <w:tr w:rsidR="009570AF" w:rsidRPr="00EE2120" w:rsidTr="009570AF">
        <w:tc>
          <w:tcPr>
            <w:tcW w:w="4608" w:type="dxa"/>
          </w:tcPr>
          <w:p w:rsidR="009570AF" w:rsidRPr="00EE2120" w:rsidRDefault="009570AF" w:rsidP="009570AF">
            <w:pPr>
              <w:keepNext/>
              <w:keepLines/>
              <w:jc w:val="center"/>
            </w:pPr>
            <w:r w:rsidRPr="00EE2120">
              <w:t>GS</w:t>
            </w:r>
          </w:p>
        </w:tc>
        <w:tc>
          <w:tcPr>
            <w:tcW w:w="2340" w:type="dxa"/>
          </w:tcPr>
          <w:p w:rsidR="009570AF" w:rsidRPr="009B29FF" w:rsidRDefault="009570AF" w:rsidP="009570AF">
            <w:pPr>
              <w:keepNext/>
              <w:keepLines/>
              <w:jc w:val="center"/>
            </w:pPr>
            <w:r>
              <w:t>13.564</w:t>
            </w:r>
          </w:p>
        </w:tc>
        <w:tc>
          <w:tcPr>
            <w:tcW w:w="2520" w:type="dxa"/>
          </w:tcPr>
          <w:p w:rsidR="009570AF" w:rsidRPr="009B29FF" w:rsidRDefault="009570AF" w:rsidP="009570AF">
            <w:pPr>
              <w:keepNext/>
              <w:keepLines/>
              <w:jc w:val="center"/>
            </w:pPr>
            <w:r>
              <w:t>4.564</w:t>
            </w:r>
          </w:p>
        </w:tc>
      </w:tr>
      <w:tr w:rsidR="009570AF" w:rsidRPr="00EE2120" w:rsidTr="009570AF">
        <w:tc>
          <w:tcPr>
            <w:tcW w:w="4608" w:type="dxa"/>
          </w:tcPr>
          <w:p w:rsidR="009570AF" w:rsidRPr="00EE2120" w:rsidRDefault="009570AF" w:rsidP="009570AF">
            <w:pPr>
              <w:keepNext/>
              <w:keepLines/>
              <w:jc w:val="center"/>
            </w:pPr>
            <w:r w:rsidRPr="00EE2120">
              <w:t>GSD</w:t>
            </w:r>
          </w:p>
        </w:tc>
        <w:tc>
          <w:tcPr>
            <w:tcW w:w="2340" w:type="dxa"/>
          </w:tcPr>
          <w:p w:rsidR="009570AF" w:rsidRPr="009B29FF" w:rsidRDefault="009570AF" w:rsidP="009570AF">
            <w:pPr>
              <w:keepNext/>
              <w:keepLines/>
              <w:jc w:val="center"/>
            </w:pPr>
            <w:r>
              <w:t>13.141</w:t>
            </w:r>
          </w:p>
        </w:tc>
        <w:tc>
          <w:tcPr>
            <w:tcW w:w="2520" w:type="dxa"/>
          </w:tcPr>
          <w:p w:rsidR="009570AF" w:rsidRPr="009B29FF" w:rsidRDefault="009570AF" w:rsidP="009570AF">
            <w:pPr>
              <w:keepNext/>
              <w:keepLines/>
              <w:jc w:val="center"/>
            </w:pPr>
            <w:r>
              <w:t>5.891</w:t>
            </w:r>
          </w:p>
        </w:tc>
      </w:tr>
      <w:tr w:rsidR="009570AF" w:rsidRPr="00EE2120" w:rsidTr="009570AF">
        <w:tc>
          <w:tcPr>
            <w:tcW w:w="4608" w:type="dxa"/>
          </w:tcPr>
          <w:p w:rsidR="009570AF" w:rsidRPr="00EE2120" w:rsidRDefault="009570AF" w:rsidP="009570AF">
            <w:pPr>
              <w:keepNext/>
              <w:keepLines/>
              <w:jc w:val="center"/>
            </w:pPr>
            <w:r w:rsidRPr="00EE2120">
              <w:t>GSLD</w:t>
            </w:r>
          </w:p>
        </w:tc>
        <w:tc>
          <w:tcPr>
            <w:tcW w:w="2340" w:type="dxa"/>
          </w:tcPr>
          <w:p w:rsidR="009570AF" w:rsidRPr="009B29FF" w:rsidRDefault="009570AF" w:rsidP="009570AF">
            <w:pPr>
              <w:keepNext/>
              <w:keepLines/>
              <w:jc w:val="center"/>
            </w:pPr>
            <w:r>
              <w:t>14.842</w:t>
            </w:r>
          </w:p>
        </w:tc>
        <w:tc>
          <w:tcPr>
            <w:tcW w:w="2520" w:type="dxa"/>
          </w:tcPr>
          <w:p w:rsidR="009570AF" w:rsidRPr="009B29FF" w:rsidRDefault="009570AF" w:rsidP="009570AF">
            <w:pPr>
              <w:keepNext/>
              <w:keepLines/>
              <w:jc w:val="center"/>
            </w:pPr>
            <w:r>
              <w:t>5.842</w:t>
            </w:r>
          </w:p>
        </w:tc>
      </w:tr>
      <w:tr w:rsidR="009570AF" w:rsidRPr="00EE2120" w:rsidTr="009570AF">
        <w:tc>
          <w:tcPr>
            <w:tcW w:w="4608" w:type="dxa"/>
          </w:tcPr>
          <w:p w:rsidR="009570AF" w:rsidRPr="00EE2120" w:rsidRDefault="009570AF" w:rsidP="009570AF">
            <w:pPr>
              <w:keepNext/>
              <w:keepLines/>
              <w:jc w:val="center"/>
            </w:pPr>
            <w:r w:rsidRPr="00EE2120">
              <w:t>Interruptible</w:t>
            </w:r>
          </w:p>
        </w:tc>
        <w:tc>
          <w:tcPr>
            <w:tcW w:w="2340" w:type="dxa"/>
          </w:tcPr>
          <w:p w:rsidR="009570AF" w:rsidRPr="009B29FF" w:rsidRDefault="009570AF" w:rsidP="009570AF">
            <w:pPr>
              <w:keepNext/>
              <w:keepLines/>
              <w:jc w:val="center"/>
            </w:pPr>
            <w:r>
              <w:t>7.342</w:t>
            </w:r>
          </w:p>
        </w:tc>
        <w:tc>
          <w:tcPr>
            <w:tcW w:w="2520" w:type="dxa"/>
          </w:tcPr>
          <w:p w:rsidR="009570AF" w:rsidRPr="009B29FF" w:rsidRDefault="009570AF" w:rsidP="009570AF">
            <w:pPr>
              <w:keepNext/>
              <w:keepLines/>
              <w:jc w:val="center"/>
            </w:pPr>
            <w:r>
              <w:t>8.842</w:t>
            </w:r>
          </w:p>
        </w:tc>
      </w:tr>
    </w:tbl>
    <w:p w:rsidR="009570AF" w:rsidRPr="009B29FF" w:rsidRDefault="009570AF" w:rsidP="009570AF">
      <w:r w:rsidRPr="00EE2120">
        <w:fldChar w:fldCharType="begin"/>
      </w:r>
      <w:r w:rsidRPr="00EE2120">
        <w:instrText>ADVANCE \u3</w:instrText>
      </w:r>
      <w:r w:rsidRPr="00EE2120">
        <w:fldChar w:fldCharType="end"/>
      </w:r>
      <w:r w:rsidRPr="005B7F92">
        <w:rPr>
          <w:sz w:val="22"/>
          <w:szCs w:val="22"/>
        </w:rPr>
        <w:t xml:space="preserve"> </w:t>
      </w:r>
      <w:r>
        <w:rPr>
          <w:sz w:val="22"/>
          <w:szCs w:val="22"/>
        </w:rPr>
        <w:t xml:space="preserve">Source: </w:t>
      </w:r>
      <w:r w:rsidRPr="000E17A1">
        <w:rPr>
          <w:sz w:val="22"/>
          <w:szCs w:val="22"/>
        </w:rPr>
        <w:t>Alternate</w:t>
      </w:r>
      <w:r>
        <w:rPr>
          <w:sz w:val="22"/>
          <w:szCs w:val="22"/>
        </w:rPr>
        <w:t xml:space="preserve"> Schedule E1, Page 3 of 3 (</w:t>
      </w:r>
      <w:r w:rsidRPr="000E17A1">
        <w:rPr>
          <w:sz w:val="22"/>
          <w:szCs w:val="22"/>
        </w:rPr>
        <w:t>Alternate</w:t>
      </w:r>
      <w:r>
        <w:rPr>
          <w:sz w:val="22"/>
          <w:szCs w:val="22"/>
        </w:rPr>
        <w:t xml:space="preserve"> Exhibit MC-2, Cost Recovery Clause Calculation, Page 3 of  8).</w:t>
      </w:r>
    </w:p>
    <w:p w:rsidR="00560924" w:rsidRDefault="00560924" w:rsidP="009570AF">
      <w:pPr>
        <w:rPr>
          <w:rFonts w:ascii="Arial" w:hAnsi="Arial" w:cs="Arial"/>
          <w:b/>
        </w:rPr>
      </w:pPr>
    </w:p>
    <w:p w:rsidR="00CA3DD5" w:rsidRDefault="00CA3DD5">
      <w:pPr>
        <w:rPr>
          <w:rFonts w:ascii="Arial" w:hAnsi="Arial" w:cs="Arial"/>
          <w:b/>
        </w:rPr>
      </w:pPr>
      <w:r>
        <w:rPr>
          <w:rFonts w:ascii="Arial" w:hAnsi="Arial" w:cs="Arial"/>
          <w:b/>
        </w:rPr>
        <w:br w:type="page"/>
      </w:r>
    </w:p>
    <w:p w:rsidR="00A16EB4" w:rsidRDefault="009570AF" w:rsidP="009570AF">
      <w:pPr>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16EB4" w:rsidRDefault="00A16EB4" w:rsidP="009570AF">
      <w:pPr>
        <w:rPr>
          <w:rFonts w:ascii="Arial" w:hAnsi="Arial" w:cs="Arial"/>
          <w:b/>
        </w:rPr>
      </w:pPr>
    </w:p>
    <w:p w:rsidR="00A16EB4" w:rsidRDefault="00A16EB4" w:rsidP="009570AF">
      <w:pPr>
        <w:rPr>
          <w:rFonts w:ascii="Arial" w:hAnsi="Arial" w:cs="Arial"/>
          <w:b/>
        </w:rPr>
      </w:pPr>
    </w:p>
    <w:p w:rsidR="009570AF" w:rsidRPr="00952579" w:rsidRDefault="009570AF" w:rsidP="00A16EB4">
      <w:pPr>
        <w:jc w:val="center"/>
        <w:rPr>
          <w:rFonts w:ascii="Arial" w:hAnsi="Arial" w:cs="Arial"/>
          <w:b/>
        </w:rPr>
      </w:pPr>
      <w:r w:rsidRPr="00952579">
        <w:rPr>
          <w:rFonts w:ascii="Arial" w:hAnsi="Arial" w:cs="Arial"/>
          <w:b/>
        </w:rPr>
        <w:t xml:space="preserve">Table </w:t>
      </w:r>
      <w:r>
        <w:rPr>
          <w:rFonts w:ascii="Arial" w:hAnsi="Arial" w:cs="Arial"/>
          <w:b/>
        </w:rPr>
        <w:t>22-</w:t>
      </w:r>
      <w:r w:rsidR="00CA3DD5">
        <w:rPr>
          <w:rFonts w:ascii="Arial" w:hAnsi="Arial" w:cs="Arial"/>
          <w:b/>
        </w:rPr>
        <w:t>8</w:t>
      </w:r>
    </w:p>
    <w:p w:rsidR="009570AF" w:rsidRPr="00EE2120" w:rsidRDefault="009570AF" w:rsidP="009570AF">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9570AF" w:rsidRPr="00EE2120" w:rsidTr="009570AF">
        <w:tc>
          <w:tcPr>
            <w:tcW w:w="9468" w:type="dxa"/>
            <w:gridSpan w:val="2"/>
          </w:tcPr>
          <w:p w:rsidR="009570AF" w:rsidRDefault="009570AF" w:rsidP="009570AF">
            <w:pPr>
              <w:jc w:val="center"/>
            </w:pPr>
            <w:r>
              <w:t>Fuel Recovery Factors – By Rate Schedule</w:t>
            </w:r>
          </w:p>
        </w:tc>
      </w:tr>
      <w:tr w:rsidR="009570AF" w:rsidRPr="00EE2120" w:rsidTr="009570AF">
        <w:tc>
          <w:tcPr>
            <w:tcW w:w="9468" w:type="dxa"/>
            <w:gridSpan w:val="2"/>
          </w:tcPr>
          <w:p w:rsidR="009570AF" w:rsidRDefault="009570AF" w:rsidP="009570AF">
            <w:pPr>
              <w:jc w:val="center"/>
            </w:pPr>
            <w:r>
              <w:t>For the Period January through December, 2019</w:t>
            </w:r>
          </w:p>
        </w:tc>
      </w:tr>
      <w:tr w:rsidR="009570AF" w:rsidRPr="00EE2120" w:rsidTr="009570AF">
        <w:tc>
          <w:tcPr>
            <w:tcW w:w="6948" w:type="dxa"/>
            <w:vAlign w:val="center"/>
          </w:tcPr>
          <w:p w:rsidR="009570AF" w:rsidRPr="00EE2120" w:rsidRDefault="009570AF" w:rsidP="009570AF">
            <w:pPr>
              <w:keepNext/>
              <w:keepLines/>
              <w:jc w:val="center"/>
            </w:pPr>
            <w:r w:rsidRPr="00EE2120">
              <w:t>Rate Schedule</w:t>
            </w:r>
          </w:p>
        </w:tc>
        <w:tc>
          <w:tcPr>
            <w:tcW w:w="2520" w:type="dxa"/>
          </w:tcPr>
          <w:p w:rsidR="009570AF" w:rsidRPr="00EE2120" w:rsidRDefault="009570AF" w:rsidP="009570AF">
            <w:pPr>
              <w:keepNext/>
              <w:keepLines/>
              <w:jc w:val="center"/>
            </w:pPr>
            <w:r>
              <w:t xml:space="preserve">Levelized </w:t>
            </w:r>
            <w:r w:rsidRPr="00EE2120">
              <w:t>Adjustment (cents/kWh)</w:t>
            </w:r>
          </w:p>
        </w:tc>
      </w:tr>
      <w:tr w:rsidR="009570AF" w:rsidRPr="00EE2120" w:rsidTr="009570AF">
        <w:tc>
          <w:tcPr>
            <w:tcW w:w="6948" w:type="dxa"/>
          </w:tcPr>
          <w:p w:rsidR="009570AF" w:rsidRPr="00EE2120" w:rsidRDefault="009570AF" w:rsidP="009570AF">
            <w:pPr>
              <w:keepNext/>
              <w:keepLines/>
              <w:jc w:val="center"/>
            </w:pPr>
            <w:r w:rsidRPr="00EE2120">
              <w:t>RS</w:t>
            </w:r>
          </w:p>
        </w:tc>
        <w:tc>
          <w:tcPr>
            <w:tcW w:w="2520" w:type="dxa"/>
          </w:tcPr>
          <w:p w:rsidR="009570AF" w:rsidRPr="009B29FF" w:rsidRDefault="009570AF" w:rsidP="009570AF">
            <w:pPr>
              <w:keepNext/>
              <w:keepLines/>
              <w:jc w:val="center"/>
            </w:pPr>
            <w:r w:rsidRPr="009B29FF">
              <w:t>10.106</w:t>
            </w:r>
          </w:p>
        </w:tc>
      </w:tr>
      <w:tr w:rsidR="009570AF" w:rsidRPr="00EE2120" w:rsidTr="009570AF">
        <w:tc>
          <w:tcPr>
            <w:tcW w:w="6948" w:type="dxa"/>
          </w:tcPr>
          <w:p w:rsidR="009570AF" w:rsidRPr="00EE2120" w:rsidRDefault="009570AF" w:rsidP="009570AF">
            <w:pPr>
              <w:keepNext/>
              <w:keepLines/>
              <w:jc w:val="center"/>
            </w:pPr>
            <w:r w:rsidRPr="00EE2120">
              <w:t>GS</w:t>
            </w:r>
          </w:p>
        </w:tc>
        <w:tc>
          <w:tcPr>
            <w:tcW w:w="2520" w:type="dxa"/>
          </w:tcPr>
          <w:p w:rsidR="009570AF" w:rsidRPr="009B29FF" w:rsidRDefault="009570AF" w:rsidP="009570AF">
            <w:pPr>
              <w:keepNext/>
              <w:keepLines/>
              <w:jc w:val="center"/>
            </w:pPr>
            <w:r w:rsidRPr="009B29FF">
              <w:t>9.785</w:t>
            </w:r>
          </w:p>
        </w:tc>
      </w:tr>
      <w:tr w:rsidR="009570AF" w:rsidRPr="00EE2120" w:rsidTr="009570AF">
        <w:tc>
          <w:tcPr>
            <w:tcW w:w="6948" w:type="dxa"/>
          </w:tcPr>
          <w:p w:rsidR="009570AF" w:rsidRPr="00EE2120" w:rsidRDefault="009570AF" w:rsidP="009570AF">
            <w:pPr>
              <w:keepNext/>
              <w:keepLines/>
              <w:jc w:val="center"/>
            </w:pPr>
            <w:r w:rsidRPr="00EE2120">
              <w:t>GSD</w:t>
            </w:r>
          </w:p>
        </w:tc>
        <w:tc>
          <w:tcPr>
            <w:tcW w:w="2520" w:type="dxa"/>
          </w:tcPr>
          <w:p w:rsidR="009570AF" w:rsidRPr="009B29FF" w:rsidRDefault="009570AF" w:rsidP="009570AF">
            <w:pPr>
              <w:keepNext/>
              <w:keepLines/>
              <w:jc w:val="center"/>
            </w:pPr>
            <w:r w:rsidRPr="009B29FF">
              <w:t>9.362</w:t>
            </w:r>
          </w:p>
        </w:tc>
      </w:tr>
      <w:tr w:rsidR="009570AF" w:rsidRPr="00EE2120" w:rsidTr="009570AF">
        <w:tc>
          <w:tcPr>
            <w:tcW w:w="6948" w:type="dxa"/>
          </w:tcPr>
          <w:p w:rsidR="009570AF" w:rsidRPr="00EE2120" w:rsidRDefault="009570AF" w:rsidP="009570AF">
            <w:pPr>
              <w:keepNext/>
              <w:keepLines/>
              <w:jc w:val="center"/>
            </w:pPr>
            <w:r w:rsidRPr="00EE2120">
              <w:t>GSLD</w:t>
            </w:r>
          </w:p>
        </w:tc>
        <w:tc>
          <w:tcPr>
            <w:tcW w:w="2520" w:type="dxa"/>
          </w:tcPr>
          <w:p w:rsidR="009570AF" w:rsidRPr="009B29FF" w:rsidRDefault="009570AF" w:rsidP="009570AF">
            <w:pPr>
              <w:keepNext/>
              <w:keepLines/>
              <w:jc w:val="center"/>
            </w:pPr>
            <w:r w:rsidRPr="009B29FF">
              <w:t>9.063</w:t>
            </w:r>
          </w:p>
        </w:tc>
      </w:tr>
      <w:tr w:rsidR="009570AF" w:rsidRPr="00EE2120" w:rsidTr="009570AF">
        <w:tc>
          <w:tcPr>
            <w:tcW w:w="6948" w:type="dxa"/>
          </w:tcPr>
          <w:p w:rsidR="009570AF" w:rsidRPr="00EE2120" w:rsidRDefault="009570AF" w:rsidP="009570AF">
            <w:pPr>
              <w:keepNext/>
              <w:keepLines/>
              <w:jc w:val="center"/>
            </w:pPr>
            <w:r w:rsidRPr="00EE2120">
              <w:t>LS</w:t>
            </w:r>
          </w:p>
        </w:tc>
        <w:tc>
          <w:tcPr>
            <w:tcW w:w="2520" w:type="dxa"/>
          </w:tcPr>
          <w:p w:rsidR="009570AF" w:rsidRPr="009B29FF" w:rsidRDefault="009570AF" w:rsidP="009570AF">
            <w:pPr>
              <w:keepNext/>
              <w:keepLines/>
              <w:jc w:val="center"/>
            </w:pPr>
            <w:r w:rsidRPr="009B29FF">
              <w:t>7.173</w:t>
            </w:r>
          </w:p>
        </w:tc>
      </w:tr>
    </w:tbl>
    <w:p w:rsidR="009570AF" w:rsidRPr="009B29FF" w:rsidRDefault="009570AF" w:rsidP="009570AF">
      <w:r>
        <w:rPr>
          <w:sz w:val="22"/>
          <w:szCs w:val="22"/>
        </w:rPr>
        <w:t>Source: Schedule E1, Page 3 of 3 (Exhibit MC-2, Cost Recovery Clause Calculation, Page 3 of  8).</w:t>
      </w:r>
    </w:p>
    <w:p w:rsidR="009570AF" w:rsidRDefault="009570AF" w:rsidP="009570AF">
      <w:pPr>
        <w:rPr>
          <w:b/>
        </w:rPr>
      </w:pPr>
    </w:p>
    <w:p w:rsidR="00A16EB4" w:rsidRDefault="00A16EB4" w:rsidP="009570AF">
      <w:pPr>
        <w:rPr>
          <w:b/>
        </w:rPr>
      </w:pPr>
    </w:p>
    <w:p w:rsidR="00A16EB4" w:rsidRDefault="00A16EB4" w:rsidP="009570AF">
      <w:pPr>
        <w:rPr>
          <w:b/>
        </w:rPr>
      </w:pPr>
    </w:p>
    <w:p w:rsidR="00A16EB4" w:rsidRDefault="00A16EB4" w:rsidP="009570AF">
      <w:pPr>
        <w:rPr>
          <w:b/>
        </w:rPr>
      </w:pPr>
    </w:p>
    <w:p w:rsidR="00A16EB4" w:rsidRDefault="00A16EB4" w:rsidP="009570AF">
      <w:pPr>
        <w:rPr>
          <w:b/>
        </w:rPr>
      </w:pPr>
    </w:p>
    <w:p w:rsidR="00A16EB4" w:rsidRDefault="00A16EB4" w:rsidP="009570AF">
      <w:pPr>
        <w:rPr>
          <w:b/>
        </w:rPr>
      </w:pPr>
    </w:p>
    <w:p w:rsidR="00A16EB4" w:rsidRDefault="00A16EB4" w:rsidP="009570AF">
      <w:pPr>
        <w:rPr>
          <w:b/>
        </w:rPr>
      </w:pPr>
    </w:p>
    <w:p w:rsidR="009570AF" w:rsidRPr="00952579" w:rsidRDefault="009570AF" w:rsidP="009570AF">
      <w:pPr>
        <w:jc w:val="center"/>
        <w:rPr>
          <w:rFonts w:ascii="Arial" w:hAnsi="Arial" w:cs="Arial"/>
          <w:b/>
        </w:rPr>
      </w:pPr>
      <w:r w:rsidRPr="00914E04">
        <w:rPr>
          <w:b/>
        </w:rPr>
        <w:t>T</w:t>
      </w:r>
      <w:r w:rsidRPr="00952579">
        <w:rPr>
          <w:rFonts w:ascii="Arial" w:hAnsi="Arial" w:cs="Arial"/>
          <w:b/>
        </w:rPr>
        <w:t xml:space="preserve">able </w:t>
      </w:r>
      <w:r>
        <w:rPr>
          <w:rFonts w:ascii="Arial" w:hAnsi="Arial" w:cs="Arial"/>
          <w:b/>
        </w:rPr>
        <w:t>22-</w:t>
      </w:r>
      <w:r w:rsidR="00CA3DD5">
        <w:rPr>
          <w:rFonts w:ascii="Arial" w:hAnsi="Arial" w:cs="Arial"/>
          <w:b/>
        </w:rPr>
        <w:t>9</w:t>
      </w:r>
    </w:p>
    <w:p w:rsidR="009570AF" w:rsidRDefault="009570AF" w:rsidP="009570AF">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9570AF" w:rsidRPr="00EE2120" w:rsidTr="009570AF">
        <w:tc>
          <w:tcPr>
            <w:tcW w:w="9468" w:type="dxa"/>
            <w:gridSpan w:val="2"/>
          </w:tcPr>
          <w:p w:rsidR="009570AF" w:rsidRDefault="009570AF" w:rsidP="009570AF">
            <w:pPr>
              <w:jc w:val="center"/>
            </w:pPr>
            <w:r>
              <w:t>Step Rate Allocation For Residential Customers (RS Rate Schedule)</w:t>
            </w:r>
          </w:p>
        </w:tc>
      </w:tr>
      <w:tr w:rsidR="009570AF" w:rsidRPr="00EE2120" w:rsidTr="009570AF">
        <w:tc>
          <w:tcPr>
            <w:tcW w:w="9468" w:type="dxa"/>
            <w:gridSpan w:val="2"/>
          </w:tcPr>
          <w:p w:rsidR="009570AF" w:rsidRDefault="009570AF" w:rsidP="009570AF">
            <w:pPr>
              <w:jc w:val="center"/>
            </w:pPr>
            <w:r>
              <w:t>For the Period January through December, 2019</w:t>
            </w:r>
          </w:p>
        </w:tc>
      </w:tr>
      <w:tr w:rsidR="009570AF" w:rsidRPr="00EE2120" w:rsidTr="009570AF">
        <w:tc>
          <w:tcPr>
            <w:tcW w:w="6948" w:type="dxa"/>
            <w:vAlign w:val="center"/>
          </w:tcPr>
          <w:p w:rsidR="009570AF" w:rsidRPr="00EE2120" w:rsidRDefault="009570AF" w:rsidP="009570AF">
            <w:pPr>
              <w:keepNext/>
              <w:keepLines/>
              <w:jc w:val="center"/>
            </w:pPr>
            <w:r>
              <w:t>Rate Schedule and Allocation</w:t>
            </w:r>
          </w:p>
        </w:tc>
        <w:tc>
          <w:tcPr>
            <w:tcW w:w="2520" w:type="dxa"/>
          </w:tcPr>
          <w:p w:rsidR="009570AF" w:rsidRPr="00EE2120" w:rsidRDefault="009570AF" w:rsidP="009570AF">
            <w:pPr>
              <w:keepNext/>
              <w:keepLines/>
              <w:jc w:val="center"/>
            </w:pPr>
            <w:r>
              <w:t xml:space="preserve">Levelized </w:t>
            </w:r>
            <w:r w:rsidRPr="00EE2120">
              <w:t>Adjustment (cents/kWh)</w:t>
            </w:r>
          </w:p>
        </w:tc>
      </w:tr>
      <w:tr w:rsidR="009570AF" w:rsidRPr="00EE2120" w:rsidTr="009570AF">
        <w:tc>
          <w:tcPr>
            <w:tcW w:w="6948" w:type="dxa"/>
          </w:tcPr>
          <w:p w:rsidR="009570AF" w:rsidRPr="00EE2120" w:rsidRDefault="009570AF" w:rsidP="009570AF">
            <w:pPr>
              <w:keepNext/>
              <w:keepLines/>
              <w:jc w:val="center"/>
            </w:pPr>
            <w:r w:rsidRPr="00EE2120">
              <w:t xml:space="preserve">RS </w:t>
            </w:r>
            <w:r>
              <w:t xml:space="preserve">Rate Schedule – </w:t>
            </w:r>
            <w:r w:rsidRPr="00EE2120">
              <w:t>Sales</w:t>
            </w:r>
            <w:r>
              <w:t xml:space="preserve"> Allocation</w:t>
            </w:r>
          </w:p>
        </w:tc>
        <w:tc>
          <w:tcPr>
            <w:tcW w:w="2520" w:type="dxa"/>
          </w:tcPr>
          <w:p w:rsidR="009570AF" w:rsidRPr="00A928D7" w:rsidRDefault="009570AF" w:rsidP="009570AF">
            <w:pPr>
              <w:keepNext/>
              <w:keepLines/>
              <w:jc w:val="center"/>
            </w:pPr>
            <w:r w:rsidRPr="00A928D7">
              <w:t>10.106</w:t>
            </w:r>
          </w:p>
        </w:tc>
      </w:tr>
      <w:tr w:rsidR="009570AF" w:rsidRPr="00EE2120" w:rsidTr="009570AF">
        <w:tc>
          <w:tcPr>
            <w:tcW w:w="6948" w:type="dxa"/>
          </w:tcPr>
          <w:p w:rsidR="009570AF" w:rsidRPr="00EE2120" w:rsidRDefault="009570AF" w:rsidP="009570AF">
            <w:pPr>
              <w:keepNext/>
              <w:keepLines/>
              <w:jc w:val="center"/>
            </w:pPr>
            <w:r w:rsidRPr="00EE2120">
              <w:t xml:space="preserve">RS </w:t>
            </w:r>
            <w:r>
              <w:t xml:space="preserve">Rate Schedule </w:t>
            </w:r>
            <w:r w:rsidRPr="00EE2120">
              <w:t>with less than</w:t>
            </w:r>
            <w:r>
              <w:t xml:space="preserve"> or equal to</w:t>
            </w:r>
            <w:r w:rsidRPr="00EE2120">
              <w:t xml:space="preserve"> 1,000 kWh/month</w:t>
            </w:r>
          </w:p>
        </w:tc>
        <w:tc>
          <w:tcPr>
            <w:tcW w:w="2520" w:type="dxa"/>
          </w:tcPr>
          <w:p w:rsidR="009570AF" w:rsidRPr="00A928D7" w:rsidRDefault="009570AF" w:rsidP="009570AF">
            <w:pPr>
              <w:keepNext/>
              <w:keepLines/>
              <w:jc w:val="center"/>
            </w:pPr>
            <w:r w:rsidRPr="00A928D7">
              <w:t>9.747</w:t>
            </w:r>
          </w:p>
        </w:tc>
      </w:tr>
      <w:tr w:rsidR="009570AF" w:rsidRPr="00EE2120" w:rsidTr="009570AF">
        <w:tc>
          <w:tcPr>
            <w:tcW w:w="6948" w:type="dxa"/>
          </w:tcPr>
          <w:p w:rsidR="009570AF" w:rsidRPr="00EE2120" w:rsidRDefault="009570AF" w:rsidP="009570AF">
            <w:pPr>
              <w:keepNext/>
              <w:keepLines/>
              <w:jc w:val="center"/>
            </w:pPr>
            <w:r w:rsidRPr="00EE2120">
              <w:t xml:space="preserve">RS </w:t>
            </w:r>
            <w:r>
              <w:t xml:space="preserve">Rate Schedule </w:t>
            </w:r>
            <w:r w:rsidRPr="00EE2120">
              <w:t>with more than 1,000 kWh/month</w:t>
            </w:r>
          </w:p>
        </w:tc>
        <w:tc>
          <w:tcPr>
            <w:tcW w:w="2520" w:type="dxa"/>
          </w:tcPr>
          <w:p w:rsidR="009570AF" w:rsidRPr="00A928D7" w:rsidRDefault="009570AF" w:rsidP="009570AF">
            <w:pPr>
              <w:keepNext/>
              <w:keepLines/>
              <w:jc w:val="center"/>
            </w:pPr>
            <w:r w:rsidRPr="00A928D7">
              <w:t>10.997</w:t>
            </w:r>
          </w:p>
        </w:tc>
      </w:tr>
    </w:tbl>
    <w:p w:rsidR="009570AF" w:rsidRDefault="009570AF" w:rsidP="009570AF">
      <w:pPr>
        <w:rPr>
          <w:sz w:val="22"/>
          <w:szCs w:val="22"/>
        </w:rPr>
      </w:pPr>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(Exhibit MC-2, Cost Recovery Clause Calculation, Page 3 of  8).</w:t>
      </w:r>
    </w:p>
    <w:p w:rsidR="00A16EB4" w:rsidRPr="00952579" w:rsidRDefault="00560924" w:rsidP="00A16EB4">
      <w:pPr>
        <w:jc w:val="center"/>
        <w:rPr>
          <w:rFonts w:ascii="Arial" w:hAnsi="Arial" w:cs="Arial"/>
          <w:b/>
        </w:rPr>
      </w:pPr>
      <w:r>
        <w:rPr>
          <w:rFonts w:ascii="Arial" w:hAnsi="Arial" w:cs="Arial"/>
          <w:b/>
        </w:rPr>
        <w:br w:type="page"/>
      </w:r>
      <w:r w:rsidR="00A16EB4" w:rsidRPr="00952579">
        <w:rPr>
          <w:rFonts w:ascii="Arial" w:hAnsi="Arial" w:cs="Arial"/>
          <w:b/>
        </w:rPr>
        <w:lastRenderedPageBreak/>
        <w:t xml:space="preserve">Table </w:t>
      </w:r>
      <w:r w:rsidR="00A16EB4">
        <w:rPr>
          <w:rFonts w:ascii="Arial" w:hAnsi="Arial" w:cs="Arial"/>
          <w:b/>
        </w:rPr>
        <w:t>22-10</w:t>
      </w:r>
    </w:p>
    <w:p w:rsidR="00A16EB4" w:rsidRPr="00EE2120" w:rsidRDefault="00A16EB4" w:rsidP="00A16EB4">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2019</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A16EB4" w:rsidRPr="00EE2120" w:rsidTr="00FA4001">
        <w:tc>
          <w:tcPr>
            <w:tcW w:w="9468" w:type="dxa"/>
            <w:gridSpan w:val="3"/>
          </w:tcPr>
          <w:p w:rsidR="00A16EB4" w:rsidRDefault="00A16EB4" w:rsidP="00FA4001">
            <w:pPr>
              <w:jc w:val="center"/>
            </w:pPr>
            <w:r>
              <w:t>Fuel Recovery Factors for Time Of Use – By Rate Schedule</w:t>
            </w:r>
          </w:p>
        </w:tc>
      </w:tr>
      <w:tr w:rsidR="00A16EB4" w:rsidRPr="00EE2120" w:rsidTr="00FA4001">
        <w:tc>
          <w:tcPr>
            <w:tcW w:w="9468" w:type="dxa"/>
            <w:gridSpan w:val="3"/>
          </w:tcPr>
          <w:p w:rsidR="00A16EB4" w:rsidRDefault="00A16EB4" w:rsidP="00FA4001">
            <w:pPr>
              <w:jc w:val="center"/>
            </w:pPr>
            <w:r>
              <w:t>For the Period January through December, 2019</w:t>
            </w:r>
          </w:p>
        </w:tc>
      </w:tr>
      <w:tr w:rsidR="00A16EB4" w:rsidRPr="00EE2120" w:rsidTr="00FA4001">
        <w:tc>
          <w:tcPr>
            <w:tcW w:w="4608" w:type="dxa"/>
            <w:vAlign w:val="center"/>
          </w:tcPr>
          <w:p w:rsidR="00A16EB4" w:rsidRPr="00EE2120" w:rsidRDefault="00A16EB4" w:rsidP="00FA4001">
            <w:pPr>
              <w:keepNext/>
              <w:keepLines/>
              <w:jc w:val="center"/>
            </w:pPr>
            <w:r w:rsidRPr="00EE2120">
              <w:t>Rate Schedule</w:t>
            </w:r>
          </w:p>
        </w:tc>
        <w:tc>
          <w:tcPr>
            <w:tcW w:w="2340" w:type="dxa"/>
          </w:tcPr>
          <w:p w:rsidR="00A16EB4" w:rsidRDefault="00A16EB4" w:rsidP="00FA4001">
            <w:pPr>
              <w:keepNext/>
              <w:keepLines/>
              <w:jc w:val="center"/>
            </w:pPr>
            <w:r>
              <w:t xml:space="preserve">Levelized </w:t>
            </w:r>
            <w:r w:rsidRPr="00EE2120">
              <w:t xml:space="preserve">Adjustment </w:t>
            </w:r>
          </w:p>
          <w:p w:rsidR="00A16EB4" w:rsidRPr="00EE2120" w:rsidRDefault="00A16EB4" w:rsidP="00FA4001">
            <w:pPr>
              <w:keepNext/>
              <w:keepLines/>
              <w:jc w:val="center"/>
            </w:pPr>
            <w:r w:rsidRPr="00EE2120">
              <w:t>On Peak (cents/kWh)</w:t>
            </w:r>
          </w:p>
        </w:tc>
        <w:tc>
          <w:tcPr>
            <w:tcW w:w="2520" w:type="dxa"/>
          </w:tcPr>
          <w:p w:rsidR="00A16EB4" w:rsidRDefault="00A16EB4" w:rsidP="00FA4001">
            <w:pPr>
              <w:keepNext/>
              <w:keepLines/>
              <w:jc w:val="center"/>
            </w:pPr>
            <w:r>
              <w:t>Levelized</w:t>
            </w:r>
          </w:p>
          <w:p w:rsidR="00A16EB4" w:rsidRDefault="00A16EB4" w:rsidP="00FA4001">
            <w:pPr>
              <w:keepNext/>
              <w:keepLines/>
              <w:jc w:val="center"/>
            </w:pPr>
            <w:r w:rsidRPr="00EE2120">
              <w:t xml:space="preserve">Adjustment </w:t>
            </w:r>
          </w:p>
          <w:p w:rsidR="00A16EB4" w:rsidRPr="00EE2120" w:rsidRDefault="00A16EB4" w:rsidP="00FA4001">
            <w:pPr>
              <w:keepNext/>
              <w:keepLines/>
              <w:jc w:val="center"/>
            </w:pPr>
            <w:r w:rsidRPr="00EE2120">
              <w:t>Off Peak (cents/kWh)</w:t>
            </w:r>
          </w:p>
        </w:tc>
      </w:tr>
      <w:tr w:rsidR="00A16EB4" w:rsidRPr="00EE2120" w:rsidTr="00FA4001">
        <w:tc>
          <w:tcPr>
            <w:tcW w:w="4608" w:type="dxa"/>
          </w:tcPr>
          <w:p w:rsidR="00A16EB4" w:rsidRPr="00EE2120" w:rsidRDefault="00A16EB4" w:rsidP="00FA4001">
            <w:pPr>
              <w:keepNext/>
              <w:keepLines/>
              <w:jc w:val="center"/>
            </w:pPr>
            <w:r w:rsidRPr="00EE2120">
              <w:t>RS</w:t>
            </w:r>
          </w:p>
        </w:tc>
        <w:tc>
          <w:tcPr>
            <w:tcW w:w="2340" w:type="dxa"/>
          </w:tcPr>
          <w:p w:rsidR="00A16EB4" w:rsidRPr="00A928D7" w:rsidRDefault="00A16EB4" w:rsidP="00FA4001">
            <w:pPr>
              <w:keepNext/>
              <w:keepLines/>
              <w:jc w:val="center"/>
            </w:pPr>
            <w:r w:rsidRPr="00A928D7">
              <w:t>18.147</w:t>
            </w:r>
          </w:p>
        </w:tc>
        <w:tc>
          <w:tcPr>
            <w:tcW w:w="2520" w:type="dxa"/>
          </w:tcPr>
          <w:p w:rsidR="00A16EB4" w:rsidRPr="00A928D7" w:rsidRDefault="00A16EB4" w:rsidP="00FA4001">
            <w:pPr>
              <w:keepNext/>
              <w:keepLines/>
              <w:jc w:val="center"/>
            </w:pPr>
            <w:r w:rsidRPr="00A928D7">
              <w:t>5.847</w:t>
            </w:r>
          </w:p>
        </w:tc>
      </w:tr>
      <w:tr w:rsidR="00A16EB4" w:rsidRPr="00EE2120" w:rsidTr="00FA4001">
        <w:tc>
          <w:tcPr>
            <w:tcW w:w="4608" w:type="dxa"/>
          </w:tcPr>
          <w:p w:rsidR="00A16EB4" w:rsidRPr="00EE2120" w:rsidRDefault="00A16EB4" w:rsidP="00FA4001">
            <w:pPr>
              <w:keepNext/>
              <w:keepLines/>
              <w:jc w:val="center"/>
            </w:pPr>
            <w:r w:rsidRPr="00EE2120">
              <w:t>GS</w:t>
            </w:r>
          </w:p>
        </w:tc>
        <w:tc>
          <w:tcPr>
            <w:tcW w:w="2340" w:type="dxa"/>
          </w:tcPr>
          <w:p w:rsidR="00A16EB4" w:rsidRPr="00A928D7" w:rsidRDefault="00A16EB4" w:rsidP="00FA4001">
            <w:pPr>
              <w:keepNext/>
              <w:keepLines/>
              <w:jc w:val="center"/>
            </w:pPr>
            <w:r w:rsidRPr="00A928D7">
              <w:t>13.785</w:t>
            </w:r>
          </w:p>
        </w:tc>
        <w:tc>
          <w:tcPr>
            <w:tcW w:w="2520" w:type="dxa"/>
          </w:tcPr>
          <w:p w:rsidR="00A16EB4" w:rsidRPr="00A928D7" w:rsidRDefault="00A16EB4" w:rsidP="00FA4001">
            <w:pPr>
              <w:keepNext/>
              <w:keepLines/>
              <w:jc w:val="center"/>
            </w:pPr>
            <w:r w:rsidRPr="00A928D7">
              <w:t>4.785</w:t>
            </w:r>
          </w:p>
        </w:tc>
      </w:tr>
      <w:tr w:rsidR="00A16EB4" w:rsidRPr="00EE2120" w:rsidTr="00FA4001">
        <w:tc>
          <w:tcPr>
            <w:tcW w:w="4608" w:type="dxa"/>
          </w:tcPr>
          <w:p w:rsidR="00A16EB4" w:rsidRPr="00EE2120" w:rsidRDefault="00A16EB4" w:rsidP="00FA4001">
            <w:pPr>
              <w:keepNext/>
              <w:keepLines/>
              <w:jc w:val="center"/>
            </w:pPr>
            <w:r w:rsidRPr="00EE2120">
              <w:t>GSD</w:t>
            </w:r>
          </w:p>
        </w:tc>
        <w:tc>
          <w:tcPr>
            <w:tcW w:w="2340" w:type="dxa"/>
          </w:tcPr>
          <w:p w:rsidR="00A16EB4" w:rsidRPr="00A928D7" w:rsidRDefault="00A16EB4" w:rsidP="00FA4001">
            <w:pPr>
              <w:keepNext/>
              <w:keepLines/>
              <w:jc w:val="center"/>
            </w:pPr>
            <w:r w:rsidRPr="00A928D7">
              <w:t>13.362</w:t>
            </w:r>
          </w:p>
        </w:tc>
        <w:tc>
          <w:tcPr>
            <w:tcW w:w="2520" w:type="dxa"/>
          </w:tcPr>
          <w:p w:rsidR="00A16EB4" w:rsidRPr="00A928D7" w:rsidRDefault="00A16EB4" w:rsidP="00FA4001">
            <w:pPr>
              <w:keepNext/>
              <w:keepLines/>
              <w:jc w:val="center"/>
            </w:pPr>
            <w:r w:rsidRPr="00A928D7">
              <w:t>6.112</w:t>
            </w:r>
          </w:p>
        </w:tc>
      </w:tr>
      <w:tr w:rsidR="00A16EB4" w:rsidRPr="00EE2120" w:rsidTr="00FA4001">
        <w:tc>
          <w:tcPr>
            <w:tcW w:w="4608" w:type="dxa"/>
          </w:tcPr>
          <w:p w:rsidR="00A16EB4" w:rsidRPr="00EE2120" w:rsidRDefault="00A16EB4" w:rsidP="00FA4001">
            <w:pPr>
              <w:keepNext/>
              <w:keepLines/>
              <w:jc w:val="center"/>
            </w:pPr>
            <w:r w:rsidRPr="00EE2120">
              <w:t>GSLD</w:t>
            </w:r>
          </w:p>
        </w:tc>
        <w:tc>
          <w:tcPr>
            <w:tcW w:w="2340" w:type="dxa"/>
          </w:tcPr>
          <w:p w:rsidR="00A16EB4" w:rsidRPr="00A928D7" w:rsidRDefault="00A16EB4" w:rsidP="00FA4001">
            <w:pPr>
              <w:keepNext/>
              <w:keepLines/>
              <w:jc w:val="center"/>
            </w:pPr>
            <w:r w:rsidRPr="00A928D7">
              <w:t>15.063</w:t>
            </w:r>
          </w:p>
        </w:tc>
        <w:tc>
          <w:tcPr>
            <w:tcW w:w="2520" w:type="dxa"/>
          </w:tcPr>
          <w:p w:rsidR="00A16EB4" w:rsidRPr="00A928D7" w:rsidRDefault="00A16EB4" w:rsidP="00FA4001">
            <w:pPr>
              <w:keepNext/>
              <w:keepLines/>
              <w:jc w:val="center"/>
            </w:pPr>
            <w:r w:rsidRPr="00A928D7">
              <w:t>6.063</w:t>
            </w:r>
          </w:p>
        </w:tc>
      </w:tr>
      <w:tr w:rsidR="00A16EB4" w:rsidRPr="00EE2120" w:rsidTr="00FA4001">
        <w:tc>
          <w:tcPr>
            <w:tcW w:w="4608" w:type="dxa"/>
          </w:tcPr>
          <w:p w:rsidR="00A16EB4" w:rsidRPr="00EE2120" w:rsidRDefault="00A16EB4" w:rsidP="00FA4001">
            <w:pPr>
              <w:keepNext/>
              <w:keepLines/>
              <w:jc w:val="center"/>
            </w:pPr>
            <w:r w:rsidRPr="00EE2120">
              <w:t>Interruptible</w:t>
            </w:r>
          </w:p>
        </w:tc>
        <w:tc>
          <w:tcPr>
            <w:tcW w:w="2340" w:type="dxa"/>
          </w:tcPr>
          <w:p w:rsidR="00A16EB4" w:rsidRPr="00A928D7" w:rsidRDefault="00A16EB4" w:rsidP="00FA4001">
            <w:pPr>
              <w:keepNext/>
              <w:keepLines/>
              <w:jc w:val="center"/>
            </w:pPr>
            <w:r w:rsidRPr="00A928D7">
              <w:t>7.563</w:t>
            </w:r>
          </w:p>
        </w:tc>
        <w:tc>
          <w:tcPr>
            <w:tcW w:w="2520" w:type="dxa"/>
          </w:tcPr>
          <w:p w:rsidR="00A16EB4" w:rsidRPr="00A928D7" w:rsidRDefault="00A16EB4" w:rsidP="00FA4001">
            <w:pPr>
              <w:keepNext/>
              <w:keepLines/>
              <w:jc w:val="center"/>
            </w:pPr>
            <w:r w:rsidRPr="00A928D7">
              <w:t>9.063</w:t>
            </w:r>
          </w:p>
        </w:tc>
      </w:tr>
    </w:tbl>
    <w:p w:rsidR="00A16EB4" w:rsidRPr="009B29FF" w:rsidRDefault="00A16EB4" w:rsidP="00A16EB4">
      <w:r w:rsidRPr="00EE2120">
        <w:fldChar w:fldCharType="begin"/>
      </w:r>
      <w:r w:rsidRPr="00EE2120">
        <w:instrText>ADVANCE \u3</w:instrText>
      </w:r>
      <w:r w:rsidRPr="00EE2120">
        <w:fldChar w:fldCharType="end"/>
      </w:r>
      <w:r w:rsidRPr="005B7F92">
        <w:rPr>
          <w:sz w:val="22"/>
          <w:szCs w:val="22"/>
        </w:rPr>
        <w:t xml:space="preserve"> </w:t>
      </w:r>
      <w:r>
        <w:rPr>
          <w:sz w:val="22"/>
          <w:szCs w:val="22"/>
        </w:rPr>
        <w:t>Source: Schedule E1, Page 3 of 3 (Exhibit MC-2, Cost Recovery Clause Calculation, Page 3 of  8).</w:t>
      </w:r>
    </w:p>
    <w:p w:rsidR="00CA3DD5" w:rsidRPr="009B29FF" w:rsidRDefault="00CA3DD5" w:rsidP="00A16EB4">
      <w:pPr>
        <w:jc w:val="center"/>
      </w:pPr>
    </w:p>
    <w:p w:rsidR="00CA3DD5" w:rsidRPr="009B29FF" w:rsidRDefault="00CA3DD5" w:rsidP="00CA3DD5">
      <w:pPr>
        <w:jc w:val="center"/>
      </w:pPr>
    </w:p>
    <w:p w:rsidR="009570AF" w:rsidRDefault="00A16EB4" w:rsidP="00560924">
      <w:pPr>
        <w:keepNext/>
        <w:keepLines/>
        <w:autoSpaceDE w:val="0"/>
        <w:autoSpaceDN w:val="0"/>
        <w:adjustRightInd w:val="0"/>
        <w:ind w:left="1440" w:hanging="1440"/>
        <w:jc w:val="both"/>
      </w:pPr>
      <w:r>
        <w:t>G</w:t>
      </w:r>
      <w:r w:rsidR="009570AF" w:rsidRPr="00310585">
        <w:t xml:space="preserve">ULF:  </w:t>
      </w:r>
      <w:r w:rsidR="009570AF" w:rsidRPr="00310585">
        <w:tab/>
        <w:t>The appropriate fuel cost recovery factors for each rate class/delivery voltage level class adjusted for line losses for the period January 2019 through December 2019, are shown in Tables 22-11 and 22-12 below:</w:t>
      </w:r>
    </w:p>
    <w:p w:rsidR="00560924" w:rsidRDefault="00560924" w:rsidP="00560924">
      <w:pPr>
        <w:keepNext/>
        <w:keepLines/>
        <w:autoSpaceDE w:val="0"/>
        <w:autoSpaceDN w:val="0"/>
        <w:adjustRightInd w:val="0"/>
        <w:ind w:left="1440" w:hanging="1440"/>
        <w:jc w:val="both"/>
      </w:pPr>
    </w:p>
    <w:p w:rsidR="00A16EB4" w:rsidRDefault="00A16EB4" w:rsidP="00560924">
      <w:pPr>
        <w:keepNext/>
        <w:keepLines/>
        <w:autoSpaceDE w:val="0"/>
        <w:autoSpaceDN w:val="0"/>
        <w:adjustRightInd w:val="0"/>
        <w:ind w:left="1440" w:hanging="1440"/>
        <w:jc w:val="both"/>
      </w:pPr>
    </w:p>
    <w:p w:rsidR="00560924" w:rsidRPr="00310585" w:rsidRDefault="00560924" w:rsidP="00560924">
      <w:pPr>
        <w:jc w:val="center"/>
        <w:rPr>
          <w:rFonts w:ascii="Arial" w:hAnsi="Arial" w:cs="Arial"/>
          <w:b/>
        </w:rPr>
      </w:pPr>
      <w:r w:rsidRPr="00310585">
        <w:rPr>
          <w:rFonts w:ascii="Arial" w:hAnsi="Arial" w:cs="Arial"/>
          <w:b/>
        </w:rPr>
        <w:t>Table 22-11</w:t>
      </w:r>
    </w:p>
    <w:p w:rsidR="00560924" w:rsidRPr="00310585" w:rsidRDefault="00560924" w:rsidP="00560924">
      <w:pPr>
        <w:keepNext/>
        <w:keepLines/>
        <w:ind w:left="720" w:hanging="720"/>
        <w:jc w:val="center"/>
        <w:rPr>
          <w:rFonts w:ascii="Arial" w:hAnsi="Arial" w:cs="Arial"/>
          <w:b/>
        </w:rPr>
      </w:pPr>
      <w:r w:rsidRPr="00310585">
        <w:rPr>
          <w:rFonts w:ascii="Arial" w:hAnsi="Arial" w:cs="Arial"/>
          <w:b/>
        </w:rPr>
        <w:t>Gulf Standard Fuel Cost Recovery Factors</w:t>
      </w:r>
    </w:p>
    <w:p w:rsidR="00560924" w:rsidRPr="00310585" w:rsidRDefault="00560924" w:rsidP="00560924">
      <w:pPr>
        <w:keepNext/>
        <w:keepLines/>
        <w:ind w:left="720" w:hanging="720"/>
        <w:jc w:val="center"/>
      </w:pPr>
      <w:r w:rsidRPr="00310585">
        <w:rPr>
          <w:rFonts w:ascii="Arial" w:hAnsi="Arial" w:cs="Arial"/>
          <w:b/>
        </w:rPr>
        <w:t>for the period January-December, 2019</w:t>
      </w:r>
    </w:p>
    <w:tbl>
      <w:tblPr>
        <w:tblW w:w="94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5" w:type="dxa"/>
          <w:right w:w="165" w:type="dxa"/>
        </w:tblCellMar>
        <w:tblLook w:val="0000" w:firstRow="0" w:lastRow="0" w:firstColumn="0" w:lastColumn="0" w:noHBand="0" w:noVBand="0"/>
      </w:tblPr>
      <w:tblGrid>
        <w:gridCol w:w="990"/>
        <w:gridCol w:w="4590"/>
        <w:gridCol w:w="3870"/>
      </w:tblGrid>
      <w:tr w:rsidR="00560924" w:rsidRPr="00310585" w:rsidTr="0001240D">
        <w:trPr>
          <w:cantSplit/>
          <w:trHeight w:val="1076"/>
        </w:trPr>
        <w:tc>
          <w:tcPr>
            <w:tcW w:w="990" w:type="dxa"/>
            <w:vAlign w:val="center"/>
          </w:tcPr>
          <w:p w:rsidR="00560924" w:rsidRPr="00310585" w:rsidRDefault="00560924" w:rsidP="0001240D">
            <w:pPr>
              <w:keepNext/>
              <w:keepLines/>
              <w:jc w:val="center"/>
              <w:rPr>
                <w:bCs/>
              </w:rPr>
            </w:pPr>
            <w:r w:rsidRPr="00310585">
              <w:rPr>
                <w:bCs/>
              </w:rPr>
              <w:t>Group</w:t>
            </w:r>
          </w:p>
        </w:tc>
        <w:tc>
          <w:tcPr>
            <w:tcW w:w="4590" w:type="dxa"/>
            <w:vAlign w:val="center"/>
          </w:tcPr>
          <w:p w:rsidR="00560924" w:rsidRPr="00310585" w:rsidRDefault="00560924" w:rsidP="0001240D">
            <w:pPr>
              <w:keepNext/>
              <w:keepLines/>
              <w:jc w:val="center"/>
            </w:pPr>
            <w:r w:rsidRPr="00310585">
              <w:rPr>
                <w:bCs/>
              </w:rPr>
              <w:t>Rate Schedules</w:t>
            </w:r>
          </w:p>
        </w:tc>
        <w:tc>
          <w:tcPr>
            <w:tcW w:w="3870" w:type="dxa"/>
            <w:vAlign w:val="center"/>
          </w:tcPr>
          <w:p w:rsidR="00560924" w:rsidRPr="00310585" w:rsidRDefault="00560924" w:rsidP="0001240D">
            <w:pPr>
              <w:keepNext/>
              <w:keepLines/>
              <w:spacing w:after="90"/>
              <w:jc w:val="center"/>
              <w:rPr>
                <w:bCs/>
              </w:rPr>
            </w:pPr>
            <w:r w:rsidRPr="00310585">
              <w:rPr>
                <w:bCs/>
              </w:rPr>
              <w:t>Fuel Cost Recovery Factors ¢/KWH</w:t>
            </w:r>
          </w:p>
        </w:tc>
      </w:tr>
      <w:tr w:rsidR="00560924" w:rsidRPr="00310585" w:rsidTr="0001240D">
        <w:trPr>
          <w:cantSplit/>
          <w:trHeight w:val="35"/>
        </w:trPr>
        <w:tc>
          <w:tcPr>
            <w:tcW w:w="990" w:type="dxa"/>
            <w:vAlign w:val="center"/>
          </w:tcPr>
          <w:p w:rsidR="00560924" w:rsidRPr="00310585" w:rsidRDefault="00560924" w:rsidP="0001240D">
            <w:pPr>
              <w:keepNext/>
              <w:keepLines/>
              <w:spacing w:line="182" w:lineRule="exact"/>
              <w:jc w:val="center"/>
              <w:rPr>
                <w:b/>
                <w:bCs/>
                <w:sz w:val="12"/>
                <w:szCs w:val="12"/>
              </w:rPr>
            </w:pPr>
          </w:p>
          <w:p w:rsidR="00560924" w:rsidRPr="00310585" w:rsidRDefault="00560924" w:rsidP="0001240D">
            <w:pPr>
              <w:keepNext/>
              <w:keepLines/>
              <w:jc w:val="center"/>
            </w:pPr>
            <w:r w:rsidRPr="00310585">
              <w:t>A</w:t>
            </w:r>
          </w:p>
        </w:tc>
        <w:tc>
          <w:tcPr>
            <w:tcW w:w="4590" w:type="dxa"/>
            <w:vAlign w:val="center"/>
          </w:tcPr>
          <w:p w:rsidR="00560924" w:rsidRPr="00310585" w:rsidRDefault="00560924" w:rsidP="0001240D">
            <w:pPr>
              <w:keepNext/>
              <w:keepLines/>
              <w:jc w:val="center"/>
              <w:rPr>
                <w:sz w:val="8"/>
                <w:szCs w:val="8"/>
              </w:rPr>
            </w:pPr>
          </w:p>
          <w:p w:rsidR="00560924" w:rsidRPr="00310585" w:rsidRDefault="00560924" w:rsidP="0001240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10585">
              <w:t>RS, RSVP, RSTOU,</w:t>
            </w:r>
          </w:p>
          <w:p w:rsidR="00560924" w:rsidRPr="00310585" w:rsidRDefault="00560924" w:rsidP="0001240D">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10585">
              <w:t>GS, GSD, GSDT, GSTOU, OSIII</w:t>
            </w:r>
          </w:p>
        </w:tc>
        <w:tc>
          <w:tcPr>
            <w:tcW w:w="3870" w:type="dxa"/>
            <w:vAlign w:val="center"/>
          </w:tcPr>
          <w:p w:rsidR="00560924" w:rsidRPr="00310585" w:rsidRDefault="00560924" w:rsidP="0001240D">
            <w:pPr>
              <w:keepNext/>
              <w:keepLines/>
              <w:spacing w:line="182" w:lineRule="exact"/>
              <w:jc w:val="center"/>
            </w:pPr>
          </w:p>
          <w:p w:rsidR="00560924" w:rsidRPr="00310585" w:rsidRDefault="00560924" w:rsidP="0001240D">
            <w:pPr>
              <w:keepNext/>
              <w:keepLines/>
              <w:jc w:val="center"/>
            </w:pPr>
            <w:r w:rsidRPr="00310585">
              <w:t>3.047</w:t>
            </w:r>
          </w:p>
        </w:tc>
      </w:tr>
      <w:tr w:rsidR="00560924" w:rsidRPr="00310585" w:rsidTr="0001240D">
        <w:trPr>
          <w:cantSplit/>
          <w:trHeight w:val="461"/>
        </w:trPr>
        <w:tc>
          <w:tcPr>
            <w:tcW w:w="990" w:type="dxa"/>
            <w:vAlign w:val="center"/>
          </w:tcPr>
          <w:p w:rsidR="00560924" w:rsidRPr="00310585" w:rsidRDefault="00560924" w:rsidP="0001240D">
            <w:pPr>
              <w:keepNext/>
              <w:keepLines/>
              <w:jc w:val="center"/>
            </w:pPr>
            <w:r w:rsidRPr="00310585">
              <w:t>B</w:t>
            </w:r>
          </w:p>
        </w:tc>
        <w:tc>
          <w:tcPr>
            <w:tcW w:w="4590" w:type="dxa"/>
            <w:vAlign w:val="center"/>
          </w:tcPr>
          <w:p w:rsidR="00560924" w:rsidRPr="00310585" w:rsidRDefault="00560924" w:rsidP="0001240D">
            <w:pPr>
              <w:keepNext/>
              <w:keepLines/>
              <w:jc w:val="center"/>
            </w:pPr>
            <w:r w:rsidRPr="00310585">
              <w:t>LP</w:t>
            </w:r>
          </w:p>
        </w:tc>
        <w:tc>
          <w:tcPr>
            <w:tcW w:w="3870" w:type="dxa"/>
            <w:vAlign w:val="center"/>
          </w:tcPr>
          <w:p w:rsidR="00560924" w:rsidRPr="00310585" w:rsidRDefault="00560924" w:rsidP="0001240D">
            <w:pPr>
              <w:keepNext/>
              <w:keepLines/>
              <w:jc w:val="center"/>
            </w:pPr>
            <w:r w:rsidRPr="00310585">
              <w:t>3.005</w:t>
            </w:r>
          </w:p>
        </w:tc>
      </w:tr>
      <w:tr w:rsidR="00560924" w:rsidRPr="00310585" w:rsidTr="0001240D">
        <w:trPr>
          <w:cantSplit/>
        </w:trPr>
        <w:tc>
          <w:tcPr>
            <w:tcW w:w="990" w:type="dxa"/>
            <w:vAlign w:val="center"/>
          </w:tcPr>
          <w:p w:rsidR="00560924" w:rsidRPr="00310585" w:rsidRDefault="00560924" w:rsidP="0001240D">
            <w:pPr>
              <w:keepNext/>
              <w:keepLines/>
              <w:jc w:val="center"/>
            </w:pPr>
            <w:r w:rsidRPr="00310585">
              <w:t>C</w:t>
            </w:r>
          </w:p>
        </w:tc>
        <w:tc>
          <w:tcPr>
            <w:tcW w:w="4590" w:type="dxa"/>
            <w:vAlign w:val="center"/>
          </w:tcPr>
          <w:p w:rsidR="00560924" w:rsidRPr="00310585" w:rsidRDefault="00560924" w:rsidP="0001240D">
            <w:pPr>
              <w:keepNext/>
              <w:keepLines/>
              <w:jc w:val="center"/>
            </w:pPr>
            <w:r w:rsidRPr="00310585">
              <w:t>PX, RTP</w:t>
            </w:r>
          </w:p>
        </w:tc>
        <w:tc>
          <w:tcPr>
            <w:tcW w:w="3870" w:type="dxa"/>
            <w:vAlign w:val="center"/>
          </w:tcPr>
          <w:p w:rsidR="00560924" w:rsidRPr="00310585" w:rsidRDefault="00560924" w:rsidP="0001240D">
            <w:pPr>
              <w:keepNext/>
              <w:keepLines/>
              <w:jc w:val="center"/>
            </w:pPr>
            <w:r w:rsidRPr="00310585">
              <w:t>2.959</w:t>
            </w:r>
          </w:p>
        </w:tc>
      </w:tr>
      <w:tr w:rsidR="00560924" w:rsidRPr="00310585" w:rsidTr="0001240D">
        <w:trPr>
          <w:cantSplit/>
          <w:trHeight w:val="461"/>
        </w:trPr>
        <w:tc>
          <w:tcPr>
            <w:tcW w:w="990" w:type="dxa"/>
            <w:vAlign w:val="center"/>
          </w:tcPr>
          <w:p w:rsidR="00560924" w:rsidRPr="00310585" w:rsidRDefault="00560924" w:rsidP="0001240D">
            <w:pPr>
              <w:keepNext/>
              <w:keepLines/>
              <w:jc w:val="center"/>
            </w:pPr>
            <w:r w:rsidRPr="00310585">
              <w:t>D</w:t>
            </w:r>
          </w:p>
        </w:tc>
        <w:tc>
          <w:tcPr>
            <w:tcW w:w="4590" w:type="dxa"/>
            <w:vAlign w:val="center"/>
          </w:tcPr>
          <w:p w:rsidR="00560924" w:rsidRPr="00310585" w:rsidRDefault="00560924" w:rsidP="0001240D">
            <w:pPr>
              <w:keepNext/>
              <w:keepLines/>
              <w:spacing w:after="58"/>
              <w:jc w:val="center"/>
            </w:pPr>
            <w:r w:rsidRPr="00310585">
              <w:t>OSI/II</w:t>
            </w:r>
          </w:p>
        </w:tc>
        <w:tc>
          <w:tcPr>
            <w:tcW w:w="3870" w:type="dxa"/>
            <w:vAlign w:val="center"/>
          </w:tcPr>
          <w:p w:rsidR="00560924" w:rsidRPr="00310585" w:rsidRDefault="00560924" w:rsidP="0001240D">
            <w:pPr>
              <w:keepNext/>
              <w:keepLines/>
              <w:spacing w:after="58"/>
              <w:jc w:val="center"/>
            </w:pPr>
            <w:r w:rsidRPr="00310585">
              <w:t>3.008</w:t>
            </w:r>
          </w:p>
        </w:tc>
      </w:tr>
    </w:tbl>
    <w:p w:rsidR="00560924" w:rsidRPr="00310585" w:rsidRDefault="00560924" w:rsidP="00560924">
      <w:pPr>
        <w:rPr>
          <w:rFonts w:cstheme="minorHAnsi"/>
          <w:b/>
          <w:bCs/>
          <w:caps/>
          <w:u w:val="single"/>
        </w:rPr>
      </w:pPr>
      <w:r w:rsidRPr="00310585">
        <w:t xml:space="preserve">  </w:t>
      </w:r>
      <w:r w:rsidRPr="00310585">
        <w:rPr>
          <w:sz w:val="22"/>
          <w:szCs w:val="22"/>
        </w:rPr>
        <w:t>Source: Schedule E1-E (Exhibit CSB-5, 2019 Projection Filing, Page 8 of 41).</w:t>
      </w:r>
    </w:p>
    <w:p w:rsidR="00560924" w:rsidRPr="00310585" w:rsidRDefault="00560924" w:rsidP="00560924">
      <w:pPr>
        <w:rPr>
          <w:rFonts w:ascii="Arial" w:hAnsi="Arial" w:cs="Arial"/>
          <w:b/>
        </w:rPr>
      </w:pPr>
    </w:p>
    <w:p w:rsidR="00560924" w:rsidRDefault="00560924" w:rsidP="00560924">
      <w:pPr>
        <w:keepNext/>
        <w:keepLines/>
        <w:autoSpaceDE w:val="0"/>
        <w:autoSpaceDN w:val="0"/>
        <w:adjustRightInd w:val="0"/>
        <w:ind w:left="1440" w:hanging="1440"/>
        <w:jc w:val="both"/>
        <w:rPr>
          <w:sz w:val="16"/>
          <w:szCs w:val="16"/>
        </w:rPr>
      </w:pPr>
    </w:p>
    <w:p w:rsidR="009570AF" w:rsidRPr="00310585" w:rsidRDefault="009570AF" w:rsidP="009570AF">
      <w:pPr>
        <w:jc w:val="center"/>
        <w:rPr>
          <w:sz w:val="16"/>
          <w:szCs w:val="16"/>
        </w:rPr>
      </w:pPr>
      <w:r>
        <w:rPr>
          <w:sz w:val="16"/>
          <w:szCs w:val="16"/>
        </w:rPr>
        <w:br w:type="page"/>
      </w:r>
      <w:r w:rsidR="00560924" w:rsidRPr="00310585">
        <w:rPr>
          <w:rFonts w:ascii="Arial" w:hAnsi="Arial" w:cs="Arial"/>
          <w:b/>
        </w:rPr>
        <w:lastRenderedPageBreak/>
        <w:t xml:space="preserve"> </w:t>
      </w:r>
      <w:r w:rsidRPr="00310585">
        <w:rPr>
          <w:rFonts w:ascii="Arial" w:hAnsi="Arial" w:cs="Arial"/>
          <w:b/>
        </w:rPr>
        <w:t>Table 22-12</w:t>
      </w:r>
    </w:p>
    <w:p w:rsidR="009570AF" w:rsidRPr="00310585" w:rsidRDefault="009570AF" w:rsidP="009570AF">
      <w:pPr>
        <w:keepNext/>
        <w:keepLines/>
        <w:ind w:left="720" w:hanging="720"/>
        <w:jc w:val="center"/>
        <w:rPr>
          <w:rFonts w:ascii="Arial" w:hAnsi="Arial" w:cs="Arial"/>
          <w:b/>
        </w:rPr>
      </w:pPr>
      <w:r w:rsidRPr="00310585">
        <w:rPr>
          <w:rFonts w:ascii="Arial" w:hAnsi="Arial" w:cs="Arial"/>
          <w:b/>
        </w:rPr>
        <w:t>Gulf Time-of-Use Fuel Cost Recovery Factors</w:t>
      </w:r>
    </w:p>
    <w:p w:rsidR="009570AF" w:rsidRPr="00310585" w:rsidRDefault="009570AF" w:rsidP="009570AF">
      <w:pPr>
        <w:keepNext/>
        <w:keepLines/>
        <w:ind w:left="720" w:hanging="720"/>
        <w:jc w:val="center"/>
      </w:pPr>
      <w:r w:rsidRPr="00310585">
        <w:rPr>
          <w:rFonts w:ascii="Arial" w:hAnsi="Arial" w:cs="Arial"/>
          <w:b/>
        </w:rPr>
        <w:t>for the period January-December, 2019</w:t>
      </w:r>
    </w:p>
    <w:tbl>
      <w:tblPr>
        <w:tblW w:w="9450" w:type="dxa"/>
        <w:tblInd w:w="75" w:type="dxa"/>
        <w:tblLayout w:type="fixed"/>
        <w:tblCellMar>
          <w:left w:w="165" w:type="dxa"/>
          <w:right w:w="165" w:type="dxa"/>
        </w:tblCellMar>
        <w:tblLook w:val="0000" w:firstRow="0" w:lastRow="0" w:firstColumn="0" w:lastColumn="0" w:noHBand="0" w:noVBand="0"/>
      </w:tblPr>
      <w:tblGrid>
        <w:gridCol w:w="990"/>
        <w:gridCol w:w="3330"/>
        <w:gridCol w:w="2070"/>
        <w:gridCol w:w="1350"/>
        <w:gridCol w:w="1710"/>
      </w:tblGrid>
      <w:tr w:rsidR="009570AF" w:rsidRPr="00310585" w:rsidTr="009570AF">
        <w:trPr>
          <w:cantSplit/>
          <w:trHeight w:val="288"/>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rPr>
                <w:bCs/>
              </w:rPr>
            </w:pPr>
            <w:r w:rsidRPr="00310585">
              <w:rPr>
                <w:bCs/>
              </w:rPr>
              <w:t>Group</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rPr>
                <w:bCs/>
              </w:rPr>
              <w:t>Time-of-Use Rate Schedules</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rPr>
                <w:bCs/>
              </w:rPr>
            </w:pPr>
            <w:r w:rsidRPr="00310585">
              <w:rPr>
                <w:bCs/>
              </w:rPr>
              <w:t>Fuel Recovery Loss Multipliers</w:t>
            </w:r>
          </w:p>
        </w:tc>
        <w:tc>
          <w:tcPr>
            <w:tcW w:w="3060" w:type="dxa"/>
            <w:gridSpan w:val="2"/>
            <w:tcBorders>
              <w:top w:val="single" w:sz="4" w:space="0" w:color="auto"/>
              <w:left w:val="single" w:sz="4" w:space="0" w:color="auto"/>
              <w:bottom w:val="single" w:sz="4" w:space="0" w:color="auto"/>
              <w:right w:val="single" w:sz="4" w:space="0" w:color="auto"/>
            </w:tcBorders>
          </w:tcPr>
          <w:p w:rsidR="009570AF" w:rsidRPr="00310585" w:rsidRDefault="009570AF" w:rsidP="009570AF">
            <w:pPr>
              <w:keepNext/>
              <w:keepLines/>
              <w:jc w:val="center"/>
              <w:rPr>
                <w:bCs/>
              </w:rPr>
            </w:pPr>
            <w:r w:rsidRPr="00310585">
              <w:rPr>
                <w:bCs/>
              </w:rPr>
              <w:t>Fuel Cost Recovery</w:t>
            </w:r>
          </w:p>
          <w:p w:rsidR="009570AF" w:rsidRPr="00310585" w:rsidRDefault="009570AF" w:rsidP="009570AF">
            <w:pPr>
              <w:keepNext/>
              <w:keepLines/>
              <w:jc w:val="center"/>
              <w:rPr>
                <w:bCs/>
              </w:rPr>
            </w:pPr>
            <w:r w:rsidRPr="00310585">
              <w:rPr>
                <w:bCs/>
              </w:rPr>
              <w:t xml:space="preserve">Factors ¢/KWH </w:t>
            </w:r>
          </w:p>
        </w:tc>
      </w:tr>
      <w:tr w:rsidR="009570AF" w:rsidRPr="00310585" w:rsidTr="009570AF">
        <w:trPr>
          <w:cantSplit/>
          <w:trHeight w:val="659"/>
        </w:trPr>
        <w:tc>
          <w:tcPr>
            <w:tcW w:w="990" w:type="dxa"/>
            <w:vMerge/>
            <w:tcBorders>
              <w:top w:val="single" w:sz="4" w:space="0" w:color="auto"/>
              <w:left w:val="single" w:sz="4" w:space="0" w:color="auto"/>
              <w:bottom w:val="single" w:sz="4" w:space="0" w:color="auto"/>
              <w:right w:val="single" w:sz="4" w:space="0" w:color="auto"/>
            </w:tcBorders>
          </w:tcPr>
          <w:p w:rsidR="009570AF" w:rsidRPr="00310585" w:rsidRDefault="009570AF" w:rsidP="009570AF">
            <w:pPr>
              <w:keepNext/>
              <w:keepLines/>
            </w:pPr>
          </w:p>
        </w:tc>
        <w:tc>
          <w:tcPr>
            <w:tcW w:w="3330" w:type="dxa"/>
            <w:vMerge/>
            <w:tcBorders>
              <w:top w:val="single" w:sz="4" w:space="0" w:color="auto"/>
              <w:left w:val="single" w:sz="4" w:space="0" w:color="auto"/>
              <w:bottom w:val="single" w:sz="4" w:space="0" w:color="auto"/>
              <w:right w:val="single" w:sz="4" w:space="0" w:color="auto"/>
            </w:tcBorders>
          </w:tcPr>
          <w:p w:rsidR="009570AF" w:rsidRPr="00310585" w:rsidRDefault="009570AF" w:rsidP="009570AF">
            <w:pPr>
              <w:keepNext/>
              <w:keepLines/>
            </w:pPr>
          </w:p>
        </w:tc>
        <w:tc>
          <w:tcPr>
            <w:tcW w:w="2070" w:type="dxa"/>
            <w:vMerge/>
            <w:tcBorders>
              <w:top w:val="single" w:sz="4" w:space="0" w:color="auto"/>
              <w:left w:val="single" w:sz="4" w:space="0" w:color="auto"/>
              <w:bottom w:val="single" w:sz="4" w:space="0" w:color="auto"/>
              <w:right w:val="single" w:sz="4" w:space="0" w:color="auto"/>
            </w:tcBorders>
          </w:tcPr>
          <w:p w:rsidR="009570AF" w:rsidRPr="00310585" w:rsidRDefault="009570AF" w:rsidP="009570AF">
            <w:pPr>
              <w:keepNext/>
              <w:keepLines/>
            </w:pPr>
          </w:p>
        </w:tc>
        <w:tc>
          <w:tcPr>
            <w:tcW w:w="135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spacing w:after="90"/>
              <w:jc w:val="center"/>
              <w:rPr>
                <w:bCs/>
              </w:rPr>
            </w:pPr>
            <w:r w:rsidRPr="00310585">
              <w:rPr>
                <w:bCs/>
              </w:rPr>
              <w:t>On-Peak</w:t>
            </w:r>
          </w:p>
        </w:tc>
        <w:tc>
          <w:tcPr>
            <w:tcW w:w="171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spacing w:after="90"/>
              <w:jc w:val="center"/>
              <w:rPr>
                <w:bCs/>
              </w:rPr>
            </w:pPr>
            <w:r w:rsidRPr="00310585">
              <w:rPr>
                <w:bCs/>
              </w:rPr>
              <w:t>Off-Peak</w:t>
            </w:r>
          </w:p>
        </w:tc>
      </w:tr>
      <w:tr w:rsidR="009570AF" w:rsidRPr="00310585" w:rsidTr="009570AF">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spacing w:line="182" w:lineRule="exact"/>
              <w:jc w:val="center"/>
              <w:rPr>
                <w:b/>
                <w:bCs/>
                <w:sz w:val="12"/>
                <w:szCs w:val="12"/>
              </w:rPr>
            </w:pPr>
          </w:p>
          <w:p w:rsidR="009570AF" w:rsidRPr="00310585" w:rsidRDefault="009570AF" w:rsidP="009570AF">
            <w:pPr>
              <w:keepNext/>
              <w:keepLines/>
              <w:jc w:val="center"/>
            </w:pPr>
            <w:r w:rsidRPr="00310585">
              <w:t>A</w:t>
            </w:r>
          </w:p>
        </w:tc>
        <w:tc>
          <w:tcPr>
            <w:tcW w:w="333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rPr>
                <w:sz w:val="8"/>
                <w:szCs w:val="8"/>
              </w:rPr>
            </w:pPr>
          </w:p>
          <w:p w:rsidR="009570AF" w:rsidRPr="00310585" w:rsidRDefault="009570AF" w:rsidP="009570AF">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10585">
              <w:t>GSDT, SBS(1)</w:t>
            </w:r>
          </w:p>
        </w:tc>
        <w:tc>
          <w:tcPr>
            <w:tcW w:w="207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spacing w:line="182" w:lineRule="exact"/>
              <w:jc w:val="center"/>
            </w:pPr>
          </w:p>
          <w:p w:rsidR="009570AF" w:rsidRPr="00310585" w:rsidRDefault="009570AF" w:rsidP="009570AF">
            <w:pPr>
              <w:keepNext/>
              <w:keepLines/>
              <w:jc w:val="center"/>
            </w:pPr>
            <w:r w:rsidRPr="00310585">
              <w:t>1.00555</w:t>
            </w:r>
          </w:p>
        </w:tc>
        <w:tc>
          <w:tcPr>
            <w:tcW w:w="135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spacing w:line="182" w:lineRule="exact"/>
              <w:jc w:val="center"/>
            </w:pPr>
          </w:p>
          <w:p w:rsidR="009570AF" w:rsidRPr="00310585" w:rsidRDefault="009570AF" w:rsidP="009570AF">
            <w:pPr>
              <w:keepNext/>
              <w:keepLines/>
              <w:jc w:val="center"/>
            </w:pPr>
            <w:r w:rsidRPr="00310585">
              <w:t>3.681</w:t>
            </w:r>
          </w:p>
        </w:tc>
        <w:tc>
          <w:tcPr>
            <w:tcW w:w="171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spacing w:line="182" w:lineRule="exact"/>
              <w:jc w:val="center"/>
            </w:pPr>
          </w:p>
          <w:p w:rsidR="009570AF" w:rsidRPr="00310585" w:rsidRDefault="009570AF" w:rsidP="009570AF">
            <w:pPr>
              <w:keepNext/>
              <w:keepLines/>
              <w:jc w:val="center"/>
            </w:pPr>
            <w:r w:rsidRPr="00310585">
              <w:t>2.782</w:t>
            </w:r>
          </w:p>
        </w:tc>
      </w:tr>
      <w:tr w:rsidR="009570AF" w:rsidRPr="00310585" w:rsidTr="009570AF">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B</w:t>
            </w:r>
          </w:p>
        </w:tc>
        <w:tc>
          <w:tcPr>
            <w:tcW w:w="333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LPT, SBS(2)</w:t>
            </w:r>
          </w:p>
        </w:tc>
        <w:tc>
          <w:tcPr>
            <w:tcW w:w="207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0.99188</w:t>
            </w:r>
          </w:p>
        </w:tc>
        <w:tc>
          <w:tcPr>
            <w:tcW w:w="135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3.631</w:t>
            </w:r>
          </w:p>
        </w:tc>
        <w:tc>
          <w:tcPr>
            <w:tcW w:w="171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2.745</w:t>
            </w:r>
          </w:p>
        </w:tc>
      </w:tr>
      <w:tr w:rsidR="009570AF" w:rsidRPr="00310585" w:rsidTr="009570AF">
        <w:trPr>
          <w:cantSplit/>
        </w:trPr>
        <w:tc>
          <w:tcPr>
            <w:tcW w:w="99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C</w:t>
            </w:r>
          </w:p>
        </w:tc>
        <w:tc>
          <w:tcPr>
            <w:tcW w:w="333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PXT, SBS(3)</w:t>
            </w:r>
          </w:p>
        </w:tc>
        <w:tc>
          <w:tcPr>
            <w:tcW w:w="207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0.97668</w:t>
            </w:r>
          </w:p>
        </w:tc>
        <w:tc>
          <w:tcPr>
            <w:tcW w:w="135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3.576</w:t>
            </w:r>
          </w:p>
        </w:tc>
        <w:tc>
          <w:tcPr>
            <w:tcW w:w="1710" w:type="dxa"/>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keepNext/>
              <w:keepLines/>
              <w:jc w:val="center"/>
            </w:pPr>
            <w:r w:rsidRPr="00310585">
              <w:t>2.702</w:t>
            </w:r>
          </w:p>
        </w:tc>
      </w:tr>
      <w:tr w:rsidR="009570AF" w:rsidRPr="00310585" w:rsidTr="009570AF">
        <w:trPr>
          <w:cantSplit/>
          <w:trHeight w:val="461"/>
        </w:trPr>
        <w:tc>
          <w:tcPr>
            <w:tcW w:w="9450" w:type="dxa"/>
            <w:gridSpan w:val="5"/>
            <w:tcBorders>
              <w:top w:val="single" w:sz="4" w:space="0" w:color="auto"/>
              <w:left w:val="single" w:sz="4" w:space="0" w:color="auto"/>
              <w:bottom w:val="single" w:sz="4" w:space="0" w:color="auto"/>
              <w:right w:val="single" w:sz="4" w:space="0" w:color="auto"/>
            </w:tcBorders>
            <w:vAlign w:val="center"/>
          </w:tcPr>
          <w:p w:rsidR="009570AF" w:rsidRPr="00310585" w:rsidRDefault="009570AF" w:rsidP="009570AF">
            <w:pPr>
              <w:pStyle w:val="ListParagraph"/>
              <w:keepNext/>
              <w:keepLines/>
              <w:numPr>
                <w:ilvl w:val="0"/>
                <w:numId w:val="24"/>
              </w:numPr>
              <w:spacing w:after="58"/>
            </w:pPr>
            <w:r w:rsidRPr="00310585">
              <w:t>Includes SBS customers with a contract demand in the range of 100 to 499 kW</w:t>
            </w:r>
          </w:p>
          <w:p w:rsidR="009570AF" w:rsidRPr="00310585" w:rsidRDefault="009570AF" w:rsidP="009570AF">
            <w:pPr>
              <w:pStyle w:val="ListParagraph"/>
              <w:keepNext/>
              <w:keepLines/>
              <w:numPr>
                <w:ilvl w:val="0"/>
                <w:numId w:val="24"/>
              </w:numPr>
              <w:spacing w:after="58"/>
            </w:pPr>
            <w:r w:rsidRPr="00310585">
              <w:t>Includes SBS customers with a contract demand in the range of 500 to 7,499 kW</w:t>
            </w:r>
          </w:p>
          <w:p w:rsidR="009570AF" w:rsidRPr="00310585" w:rsidRDefault="009570AF" w:rsidP="009570AF">
            <w:pPr>
              <w:pStyle w:val="ListParagraph"/>
              <w:keepNext/>
              <w:keepLines/>
              <w:numPr>
                <w:ilvl w:val="0"/>
                <w:numId w:val="24"/>
              </w:numPr>
              <w:spacing w:after="58"/>
            </w:pPr>
            <w:r w:rsidRPr="00310585">
              <w:t>Includes SBS customers with a contract demand over 7,499 kW</w:t>
            </w:r>
          </w:p>
        </w:tc>
      </w:tr>
    </w:tbl>
    <w:p w:rsidR="009570AF" w:rsidRDefault="009570AF" w:rsidP="009570AF">
      <w:pPr>
        <w:rPr>
          <w:sz w:val="22"/>
          <w:szCs w:val="22"/>
        </w:rPr>
      </w:pPr>
      <w:r w:rsidRPr="00310585">
        <w:t xml:space="preserve">  </w:t>
      </w:r>
      <w:r w:rsidRPr="00310585">
        <w:rPr>
          <w:sz w:val="22"/>
          <w:szCs w:val="22"/>
        </w:rPr>
        <w:t>Source: Schedule E1-E (Exhibit CSB-5, 2019 Projection Filing, Page 8 of 41).</w:t>
      </w:r>
    </w:p>
    <w:p w:rsidR="009570AF" w:rsidRDefault="009570AF" w:rsidP="009570AF">
      <w:pPr>
        <w:rPr>
          <w:sz w:val="22"/>
          <w:szCs w:val="22"/>
        </w:rPr>
      </w:pPr>
    </w:p>
    <w:p w:rsidR="009570AF" w:rsidRPr="00310585" w:rsidRDefault="009570AF" w:rsidP="009570AF">
      <w:pPr>
        <w:ind w:left="1440" w:hanging="1440"/>
      </w:pPr>
      <w:r w:rsidRPr="00310585">
        <w:t>TECO:</w:t>
      </w:r>
      <w:r w:rsidRPr="00310585">
        <w:rPr>
          <w:b/>
        </w:rPr>
        <w:t xml:space="preserve">  </w:t>
      </w:r>
      <w:r w:rsidRPr="00310585">
        <w:rPr>
          <w:b/>
        </w:rPr>
        <w:tab/>
      </w:r>
      <w:r w:rsidRPr="00310585">
        <w:t>The appropriate fuel cost recovery factors for each rate class/delivery voltage level class adjusted for line losses for the period January 2019 through December 2019, are shown in Table 22-13 below:</w:t>
      </w:r>
    </w:p>
    <w:p w:rsidR="00560924" w:rsidRDefault="00560924" w:rsidP="00560924">
      <w:pPr>
        <w:rPr>
          <w:rFonts w:ascii="Arial" w:hAnsi="Arial" w:cs="Arial"/>
          <w:b/>
        </w:rPr>
      </w:pPr>
    </w:p>
    <w:p w:rsidR="009570AF" w:rsidRPr="00310585" w:rsidRDefault="009570AF" w:rsidP="00560924">
      <w:pPr>
        <w:jc w:val="center"/>
        <w:rPr>
          <w:rFonts w:ascii="Arial" w:hAnsi="Arial" w:cs="Arial"/>
          <w:b/>
        </w:rPr>
      </w:pPr>
      <w:r w:rsidRPr="00310585">
        <w:rPr>
          <w:rFonts w:ascii="Arial" w:hAnsi="Arial" w:cs="Arial"/>
          <w:b/>
        </w:rPr>
        <w:t>Table 22-13</w:t>
      </w:r>
    </w:p>
    <w:p w:rsidR="009570AF" w:rsidRPr="00310585" w:rsidRDefault="009570AF" w:rsidP="009570AF">
      <w:pPr>
        <w:keepNext/>
        <w:keepLines/>
        <w:ind w:left="720" w:hanging="720"/>
        <w:jc w:val="center"/>
      </w:pPr>
      <w:r w:rsidRPr="00310585">
        <w:rPr>
          <w:rFonts w:ascii="Arial" w:hAnsi="Arial" w:cs="Arial"/>
          <w:b/>
        </w:rPr>
        <w:t>TECO Fuel Cost Recovery Factors for the period January-December, 2019</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9570AF" w:rsidRPr="00310585" w:rsidTr="009570AF">
        <w:tc>
          <w:tcPr>
            <w:tcW w:w="3780" w:type="dxa"/>
            <w:gridSpan w:val="2"/>
            <w:vMerge w:val="restart"/>
            <w:vAlign w:val="center"/>
          </w:tcPr>
          <w:p w:rsidR="009570AF" w:rsidRPr="00310585" w:rsidRDefault="009570AF" w:rsidP="009570AF">
            <w:pPr>
              <w:pStyle w:val="Footer"/>
              <w:keepNext/>
              <w:keepLines/>
              <w:widowControl w:val="0"/>
              <w:tabs>
                <w:tab w:val="center" w:pos="5940"/>
                <w:tab w:val="center" w:pos="7380"/>
              </w:tabs>
              <w:suppressAutoHyphens/>
              <w:jc w:val="center"/>
              <w:rPr>
                <w:rFonts w:cs="Arial"/>
              </w:rPr>
            </w:pPr>
            <w:r w:rsidRPr="00310585">
              <w:rPr>
                <w:rFonts w:cs="Arial"/>
              </w:rPr>
              <w:t>Metering Voltage Level</w:t>
            </w:r>
          </w:p>
        </w:tc>
        <w:tc>
          <w:tcPr>
            <w:tcW w:w="5580" w:type="dxa"/>
            <w:gridSpan w:val="3"/>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Fuel Cost Recovery Factors (cents per kWh)</w:t>
            </w:r>
          </w:p>
        </w:tc>
      </w:tr>
      <w:tr w:rsidR="009570AF" w:rsidRPr="00310585" w:rsidTr="009570AF">
        <w:tc>
          <w:tcPr>
            <w:tcW w:w="3780" w:type="dxa"/>
            <w:gridSpan w:val="2"/>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1890" w:type="dxa"/>
            <w:vAlign w:val="center"/>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Levelized Fuel Recovery Factor</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 xml:space="preserve">First Tier </w:t>
            </w:r>
          </w:p>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(Up to 1,000 kWh)</w:t>
            </w:r>
          </w:p>
        </w:tc>
        <w:tc>
          <w:tcPr>
            <w:tcW w:w="180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 xml:space="preserve">Second Tier </w:t>
            </w:r>
          </w:p>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(Over 1,000 kWh)</w:t>
            </w:r>
          </w:p>
        </w:tc>
      </w:tr>
      <w:tr w:rsidR="009570AF" w:rsidRPr="00310585" w:rsidTr="009570AF">
        <w:tc>
          <w:tcPr>
            <w:tcW w:w="9360" w:type="dxa"/>
            <w:gridSpan w:val="5"/>
          </w:tcPr>
          <w:p w:rsidR="009570AF" w:rsidRPr="00310585" w:rsidRDefault="009570AF" w:rsidP="009570AF">
            <w:pPr>
              <w:pStyle w:val="Footer"/>
              <w:keepNext/>
              <w:keepLines/>
              <w:widowControl w:val="0"/>
              <w:tabs>
                <w:tab w:val="center" w:pos="5940"/>
                <w:tab w:val="center" w:pos="7380"/>
              </w:tabs>
              <w:suppressAutoHyphens/>
              <w:rPr>
                <w:bCs/>
              </w:rPr>
            </w:pPr>
            <w:r w:rsidRPr="00310585">
              <w:rPr>
                <w:bCs/>
              </w:rPr>
              <w:t>STANDARD</w:t>
            </w:r>
          </w:p>
        </w:tc>
      </w:tr>
      <w:tr w:rsidR="009570AF" w:rsidRPr="00310585" w:rsidTr="009570AF">
        <w:tc>
          <w:tcPr>
            <w:tcW w:w="270" w:type="dxa"/>
            <w:vMerge w:val="restart"/>
            <w:vAlign w:val="center"/>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Distribution Secondary (RS only)</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2.405</w:t>
            </w:r>
          </w:p>
        </w:tc>
        <w:tc>
          <w:tcPr>
            <w:tcW w:w="180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3.405</w:t>
            </w: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Distribution Secondary</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2.719</w:t>
            </w:r>
          </w:p>
        </w:tc>
        <w:tc>
          <w:tcPr>
            <w:tcW w:w="3690" w:type="dxa"/>
            <w:gridSpan w:val="2"/>
            <w:vMerge w:val="restart"/>
            <w:vAlign w:val="center"/>
          </w:tcPr>
          <w:p w:rsidR="009570AF" w:rsidRPr="00310585" w:rsidRDefault="009570AF" w:rsidP="009570AF">
            <w:pPr>
              <w:pStyle w:val="Footer"/>
              <w:keepNext/>
              <w:keepLines/>
              <w:widowControl w:val="0"/>
              <w:tabs>
                <w:tab w:val="center" w:pos="5940"/>
                <w:tab w:val="center" w:pos="7380"/>
              </w:tabs>
              <w:suppressAutoHyphens/>
              <w:jc w:val="center"/>
              <w:rPr>
                <w:bCs/>
              </w:rPr>
            </w:pP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Distribution Primary</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2.692</w:t>
            </w:r>
          </w:p>
        </w:tc>
        <w:tc>
          <w:tcPr>
            <w:tcW w:w="3690" w:type="dxa"/>
            <w:gridSpan w:val="2"/>
            <w:vMerge/>
          </w:tcPr>
          <w:p w:rsidR="009570AF" w:rsidRPr="00310585" w:rsidRDefault="009570AF" w:rsidP="009570AF">
            <w:pPr>
              <w:pStyle w:val="Footer"/>
              <w:keepNext/>
              <w:keepLines/>
              <w:widowControl w:val="0"/>
              <w:tabs>
                <w:tab w:val="center" w:pos="5940"/>
                <w:tab w:val="center" w:pos="7380"/>
              </w:tabs>
              <w:suppressAutoHyphens/>
              <w:jc w:val="center"/>
              <w:rPr>
                <w:bCs/>
              </w:rPr>
            </w:pP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Transmission</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2.665</w:t>
            </w:r>
          </w:p>
        </w:tc>
        <w:tc>
          <w:tcPr>
            <w:tcW w:w="3690" w:type="dxa"/>
            <w:gridSpan w:val="2"/>
            <w:vMerge/>
          </w:tcPr>
          <w:p w:rsidR="009570AF" w:rsidRPr="00310585" w:rsidRDefault="009570AF" w:rsidP="009570AF">
            <w:pPr>
              <w:pStyle w:val="Footer"/>
              <w:keepNext/>
              <w:keepLines/>
              <w:widowControl w:val="0"/>
              <w:tabs>
                <w:tab w:val="center" w:pos="5940"/>
                <w:tab w:val="center" w:pos="7380"/>
              </w:tabs>
              <w:suppressAutoHyphens/>
              <w:jc w:val="center"/>
              <w:rPr>
                <w:bCs/>
              </w:rPr>
            </w:pP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Lighting Service</w:t>
            </w:r>
          </w:p>
        </w:tc>
        <w:tc>
          <w:tcPr>
            <w:tcW w:w="1890" w:type="dxa"/>
          </w:tcPr>
          <w:p w:rsidR="009570AF" w:rsidRPr="00310585" w:rsidRDefault="009570AF" w:rsidP="009570AF">
            <w:pPr>
              <w:pStyle w:val="Footer"/>
              <w:keepNext/>
              <w:keepLines/>
              <w:widowControl w:val="0"/>
              <w:tabs>
                <w:tab w:val="center" w:pos="5940"/>
                <w:tab w:val="center" w:pos="7380"/>
              </w:tabs>
              <w:suppressAutoHyphens/>
              <w:jc w:val="center"/>
              <w:rPr>
                <w:bCs/>
              </w:rPr>
            </w:pPr>
            <w:r w:rsidRPr="00310585">
              <w:rPr>
                <w:bCs/>
              </w:rPr>
              <w:t>2.691</w:t>
            </w:r>
          </w:p>
        </w:tc>
        <w:tc>
          <w:tcPr>
            <w:tcW w:w="3690" w:type="dxa"/>
            <w:gridSpan w:val="2"/>
            <w:vMerge/>
          </w:tcPr>
          <w:p w:rsidR="009570AF" w:rsidRPr="00310585" w:rsidRDefault="009570AF" w:rsidP="009570AF">
            <w:pPr>
              <w:pStyle w:val="Footer"/>
              <w:keepNext/>
              <w:keepLines/>
              <w:widowControl w:val="0"/>
              <w:tabs>
                <w:tab w:val="center" w:pos="5940"/>
                <w:tab w:val="center" w:pos="7380"/>
              </w:tabs>
              <w:suppressAutoHyphens/>
              <w:jc w:val="center"/>
              <w:rPr>
                <w:bCs/>
              </w:rPr>
            </w:pPr>
          </w:p>
        </w:tc>
      </w:tr>
      <w:tr w:rsidR="009570AF" w:rsidRPr="00310585" w:rsidTr="009570AF">
        <w:tc>
          <w:tcPr>
            <w:tcW w:w="9360" w:type="dxa"/>
            <w:gridSpan w:val="5"/>
          </w:tcPr>
          <w:p w:rsidR="009570AF" w:rsidRPr="00310585" w:rsidRDefault="009570AF" w:rsidP="009570AF">
            <w:pPr>
              <w:pStyle w:val="Footer"/>
              <w:keepNext/>
              <w:keepLines/>
              <w:widowControl w:val="0"/>
              <w:tabs>
                <w:tab w:val="center" w:pos="5940"/>
                <w:tab w:val="center" w:pos="7380"/>
              </w:tabs>
              <w:suppressAutoHyphens/>
              <w:rPr>
                <w:bCs/>
              </w:rPr>
            </w:pPr>
            <w:r w:rsidRPr="00310585">
              <w:rPr>
                <w:bCs/>
              </w:rPr>
              <w:t>TIME OF USE</w:t>
            </w:r>
          </w:p>
        </w:tc>
      </w:tr>
      <w:tr w:rsidR="009570AF" w:rsidRPr="00310585" w:rsidTr="009570AF">
        <w:tc>
          <w:tcPr>
            <w:tcW w:w="270" w:type="dxa"/>
            <w:vMerge w:val="restart"/>
            <w:vAlign w:val="center"/>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jc w:val="center"/>
            </w:pPr>
            <w:r w:rsidRPr="00310585">
              <w:t>Distribution Secondary- On-Peak</w:t>
            </w:r>
          </w:p>
        </w:tc>
        <w:tc>
          <w:tcPr>
            <w:tcW w:w="1890" w:type="dxa"/>
          </w:tcPr>
          <w:p w:rsidR="009570AF" w:rsidRPr="00310585" w:rsidRDefault="009570AF" w:rsidP="009570AF">
            <w:pPr>
              <w:jc w:val="center"/>
            </w:pPr>
            <w:r w:rsidRPr="00310585">
              <w:rPr>
                <w:bCs/>
              </w:rPr>
              <w:t>2.874</w:t>
            </w:r>
          </w:p>
        </w:tc>
        <w:tc>
          <w:tcPr>
            <w:tcW w:w="3690" w:type="dxa"/>
            <w:gridSpan w:val="2"/>
            <w:vMerge w:val="restart"/>
            <w:vAlign w:val="center"/>
          </w:tcPr>
          <w:p w:rsidR="009570AF" w:rsidRPr="00310585" w:rsidRDefault="009570AF" w:rsidP="009570AF">
            <w:pPr>
              <w:jc w:val="center"/>
              <w:rPr>
                <w:bCs/>
              </w:rPr>
            </w:pP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jc w:val="center"/>
            </w:pPr>
            <w:r w:rsidRPr="00310585">
              <w:t>Distribution Secondary- Off-Peak</w:t>
            </w:r>
          </w:p>
        </w:tc>
        <w:tc>
          <w:tcPr>
            <w:tcW w:w="1890" w:type="dxa"/>
          </w:tcPr>
          <w:p w:rsidR="009570AF" w:rsidRPr="00310585" w:rsidRDefault="009570AF" w:rsidP="009570AF">
            <w:pPr>
              <w:jc w:val="center"/>
            </w:pPr>
            <w:r w:rsidRPr="00310585">
              <w:rPr>
                <w:bCs/>
              </w:rPr>
              <w:t>2.653</w:t>
            </w:r>
          </w:p>
        </w:tc>
        <w:tc>
          <w:tcPr>
            <w:tcW w:w="3690" w:type="dxa"/>
            <w:gridSpan w:val="2"/>
            <w:vMerge/>
          </w:tcPr>
          <w:p w:rsidR="009570AF" w:rsidRPr="00310585" w:rsidRDefault="009570AF" w:rsidP="009570AF">
            <w:pPr>
              <w:jc w:val="center"/>
              <w:rPr>
                <w:bCs/>
              </w:rPr>
            </w:pPr>
          </w:p>
        </w:tc>
      </w:tr>
      <w:tr w:rsidR="009570AF" w:rsidRPr="00310585" w:rsidTr="009570AF">
        <w:tc>
          <w:tcPr>
            <w:tcW w:w="270" w:type="dxa"/>
            <w:vMerge/>
            <w:vAlign w:val="center"/>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jc w:val="center"/>
            </w:pPr>
            <w:r w:rsidRPr="00310585">
              <w:t>Distribution Primary- On-Peak</w:t>
            </w:r>
          </w:p>
        </w:tc>
        <w:tc>
          <w:tcPr>
            <w:tcW w:w="1890" w:type="dxa"/>
          </w:tcPr>
          <w:p w:rsidR="009570AF" w:rsidRPr="00310585" w:rsidRDefault="009570AF" w:rsidP="009570AF">
            <w:pPr>
              <w:jc w:val="center"/>
            </w:pPr>
            <w:r w:rsidRPr="00310585">
              <w:rPr>
                <w:bCs/>
              </w:rPr>
              <w:t>2.845</w:t>
            </w:r>
          </w:p>
        </w:tc>
        <w:tc>
          <w:tcPr>
            <w:tcW w:w="3690" w:type="dxa"/>
            <w:gridSpan w:val="2"/>
            <w:vMerge/>
          </w:tcPr>
          <w:p w:rsidR="009570AF" w:rsidRPr="00310585" w:rsidRDefault="009570AF" w:rsidP="009570AF">
            <w:pPr>
              <w:jc w:val="center"/>
              <w:rPr>
                <w:bCs/>
              </w:rPr>
            </w:pP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jc w:val="center"/>
            </w:pPr>
            <w:r w:rsidRPr="00310585">
              <w:t>Distribution Primary- Off-Peak</w:t>
            </w:r>
          </w:p>
        </w:tc>
        <w:tc>
          <w:tcPr>
            <w:tcW w:w="1890" w:type="dxa"/>
          </w:tcPr>
          <w:p w:rsidR="009570AF" w:rsidRPr="00310585" w:rsidRDefault="009570AF" w:rsidP="009570AF">
            <w:pPr>
              <w:jc w:val="center"/>
            </w:pPr>
            <w:r w:rsidRPr="00310585">
              <w:rPr>
                <w:bCs/>
              </w:rPr>
              <w:t>2.626</w:t>
            </w:r>
          </w:p>
        </w:tc>
        <w:tc>
          <w:tcPr>
            <w:tcW w:w="3690" w:type="dxa"/>
            <w:gridSpan w:val="2"/>
            <w:vMerge/>
          </w:tcPr>
          <w:p w:rsidR="009570AF" w:rsidRPr="00310585" w:rsidRDefault="009570AF" w:rsidP="009570AF">
            <w:pPr>
              <w:jc w:val="center"/>
              <w:rPr>
                <w:bCs/>
              </w:rPr>
            </w:pPr>
          </w:p>
        </w:tc>
      </w:tr>
      <w:tr w:rsidR="009570AF" w:rsidRPr="00310585" w:rsidTr="009570AF">
        <w:tc>
          <w:tcPr>
            <w:tcW w:w="270" w:type="dxa"/>
            <w:vMerge/>
            <w:vAlign w:val="center"/>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jc w:val="center"/>
            </w:pPr>
            <w:r w:rsidRPr="00310585">
              <w:t>Transmission – On-Peak</w:t>
            </w:r>
          </w:p>
        </w:tc>
        <w:tc>
          <w:tcPr>
            <w:tcW w:w="1890" w:type="dxa"/>
          </w:tcPr>
          <w:p w:rsidR="009570AF" w:rsidRPr="00310585" w:rsidRDefault="009570AF" w:rsidP="009570AF">
            <w:pPr>
              <w:jc w:val="center"/>
            </w:pPr>
            <w:r w:rsidRPr="00310585">
              <w:rPr>
                <w:bCs/>
              </w:rPr>
              <w:t>2.817</w:t>
            </w:r>
          </w:p>
        </w:tc>
        <w:tc>
          <w:tcPr>
            <w:tcW w:w="3690" w:type="dxa"/>
            <w:gridSpan w:val="2"/>
            <w:vMerge/>
          </w:tcPr>
          <w:p w:rsidR="009570AF" w:rsidRPr="00310585" w:rsidRDefault="009570AF" w:rsidP="009570AF">
            <w:pPr>
              <w:jc w:val="center"/>
              <w:rPr>
                <w:bCs/>
              </w:rPr>
            </w:pPr>
          </w:p>
        </w:tc>
      </w:tr>
      <w:tr w:rsidR="009570AF" w:rsidRPr="00310585" w:rsidTr="009570AF">
        <w:tc>
          <w:tcPr>
            <w:tcW w:w="270" w:type="dxa"/>
            <w:vMerge/>
          </w:tcPr>
          <w:p w:rsidR="009570AF" w:rsidRPr="00310585" w:rsidRDefault="009570AF" w:rsidP="009570AF">
            <w:pPr>
              <w:pStyle w:val="Footer"/>
              <w:keepNext/>
              <w:keepLines/>
              <w:widowControl w:val="0"/>
              <w:tabs>
                <w:tab w:val="center" w:pos="5940"/>
                <w:tab w:val="center" w:pos="7380"/>
              </w:tabs>
              <w:suppressAutoHyphens/>
              <w:jc w:val="center"/>
              <w:rPr>
                <w:bCs/>
              </w:rPr>
            </w:pPr>
          </w:p>
        </w:tc>
        <w:tc>
          <w:tcPr>
            <w:tcW w:w="3510" w:type="dxa"/>
          </w:tcPr>
          <w:p w:rsidR="009570AF" w:rsidRPr="00310585" w:rsidRDefault="009570AF" w:rsidP="009570AF">
            <w:pPr>
              <w:jc w:val="center"/>
            </w:pPr>
            <w:r w:rsidRPr="00310585">
              <w:t>Transmission – Off-Peak</w:t>
            </w:r>
          </w:p>
        </w:tc>
        <w:tc>
          <w:tcPr>
            <w:tcW w:w="1890" w:type="dxa"/>
          </w:tcPr>
          <w:p w:rsidR="009570AF" w:rsidRPr="00310585" w:rsidRDefault="009570AF" w:rsidP="009570AF">
            <w:pPr>
              <w:jc w:val="center"/>
            </w:pPr>
            <w:r w:rsidRPr="00310585">
              <w:rPr>
                <w:bCs/>
              </w:rPr>
              <w:t>2.600</w:t>
            </w:r>
          </w:p>
        </w:tc>
        <w:tc>
          <w:tcPr>
            <w:tcW w:w="3690" w:type="dxa"/>
            <w:gridSpan w:val="2"/>
            <w:vMerge/>
          </w:tcPr>
          <w:p w:rsidR="009570AF" w:rsidRPr="00310585" w:rsidRDefault="009570AF" w:rsidP="009570AF">
            <w:pPr>
              <w:jc w:val="center"/>
              <w:rPr>
                <w:bCs/>
              </w:rPr>
            </w:pPr>
          </w:p>
        </w:tc>
      </w:tr>
    </w:tbl>
    <w:p w:rsidR="009570AF" w:rsidRPr="00141D07" w:rsidRDefault="009570AF" w:rsidP="009570AF">
      <w:pPr>
        <w:pStyle w:val="Footer"/>
        <w:keepNext/>
        <w:keepLines/>
        <w:widowControl w:val="0"/>
        <w:tabs>
          <w:tab w:val="center" w:pos="5940"/>
          <w:tab w:val="center" w:pos="7380"/>
        </w:tabs>
        <w:suppressAutoHyphens/>
        <w:rPr>
          <w:bCs/>
        </w:rPr>
      </w:pPr>
      <w:r w:rsidRPr="00310585">
        <w:rPr>
          <w:bCs/>
        </w:rPr>
        <w:t xml:space="preserve">  </w:t>
      </w:r>
      <w:r w:rsidRPr="00310585">
        <w:rPr>
          <w:sz w:val="22"/>
          <w:szCs w:val="22"/>
        </w:rPr>
        <w:t>Source: Schedule E1-E, Bates Stamped Page 23 (Exhibit PAR-3, Document Number 2, Page 6 of 30).</w:t>
      </w:r>
    </w:p>
    <w:p w:rsidR="009570AF" w:rsidRDefault="009570AF" w:rsidP="009570AF">
      <w:pPr>
        <w:rPr>
          <w:b/>
          <w:bCs/>
          <w:caps/>
          <w:u w:val="single"/>
        </w:rPr>
      </w:pPr>
    </w:p>
    <w:p w:rsidR="00560924" w:rsidRDefault="00560924">
      <w:pPr>
        <w:rPr>
          <w:b/>
          <w:bCs/>
          <w:caps/>
        </w:rPr>
      </w:pPr>
      <w:r>
        <w:rPr>
          <w:b/>
          <w:bCs/>
          <w:caps/>
        </w:rPr>
        <w:br w:type="page"/>
      </w:r>
    </w:p>
    <w:p w:rsidR="009570AF" w:rsidRDefault="009570AF" w:rsidP="009570AF">
      <w:pPr>
        <w:rPr>
          <w:b/>
          <w:bCs/>
          <w:caps/>
          <w:u w:val="single"/>
        </w:rPr>
      </w:pPr>
      <w:r w:rsidRPr="00D233F0">
        <w:rPr>
          <w:b/>
          <w:bCs/>
          <w:caps/>
        </w:rPr>
        <w:lastRenderedPageBreak/>
        <w:t>II.</w:t>
      </w:r>
      <w:r w:rsidRPr="004C09BE">
        <w:rPr>
          <w:b/>
          <w:bCs/>
          <w:caps/>
        </w:rPr>
        <w:tab/>
      </w:r>
      <w:r>
        <w:rPr>
          <w:b/>
          <w:bCs/>
          <w:caps/>
          <w:u w:val="single"/>
        </w:rPr>
        <w:t>Capacity Issues</w:t>
      </w:r>
    </w:p>
    <w:p w:rsidR="009570AF" w:rsidRDefault="009570AF" w:rsidP="009570AF">
      <w:pPr>
        <w:autoSpaceDE w:val="0"/>
        <w:autoSpaceDN w:val="0"/>
        <w:adjustRightInd w:val="0"/>
        <w:rPr>
          <w:b/>
          <w:bCs/>
        </w:rPr>
      </w:pPr>
    </w:p>
    <w:p w:rsidR="009570AF" w:rsidRDefault="009570AF" w:rsidP="009570AF">
      <w:pPr>
        <w:autoSpaceDE w:val="0"/>
        <w:autoSpaceDN w:val="0"/>
        <w:adjustRightInd w:val="0"/>
        <w:rPr>
          <w:b/>
          <w:bCs/>
        </w:rPr>
      </w:pPr>
      <w:r>
        <w:rPr>
          <w:b/>
          <w:bCs/>
        </w:rPr>
        <w:t>COMPANY-SPECIFIC CAPACITY COST RECOVERY FACTOR ISSUES</w:t>
      </w:r>
    </w:p>
    <w:p w:rsidR="009570AF" w:rsidRDefault="009570AF" w:rsidP="009570AF">
      <w:pPr>
        <w:autoSpaceDE w:val="0"/>
        <w:autoSpaceDN w:val="0"/>
        <w:adjustRightInd w:val="0"/>
      </w:pPr>
    </w:p>
    <w:p w:rsidR="009570AF" w:rsidRDefault="009570AF" w:rsidP="009570AF">
      <w:pPr>
        <w:autoSpaceDE w:val="0"/>
        <w:autoSpaceDN w:val="0"/>
        <w:adjustRightInd w:val="0"/>
        <w:rPr>
          <w:b/>
          <w:bCs/>
        </w:rPr>
      </w:pPr>
      <w:r>
        <w:rPr>
          <w:b/>
          <w:bCs/>
        </w:rPr>
        <w:t>Duke Energy Florida, LLC.</w:t>
      </w:r>
    </w:p>
    <w:p w:rsidR="009570AF" w:rsidRDefault="009570AF" w:rsidP="009570AF">
      <w:pPr>
        <w:autoSpaceDE w:val="0"/>
        <w:autoSpaceDN w:val="0"/>
        <w:adjustRightInd w:val="0"/>
      </w:pPr>
    </w:p>
    <w:p w:rsidR="009570AF" w:rsidRDefault="009570AF" w:rsidP="009570AF">
      <w:pPr>
        <w:autoSpaceDE w:val="0"/>
        <w:autoSpaceDN w:val="0"/>
        <w:adjustRightInd w:val="0"/>
        <w:ind w:left="1440" w:hanging="1440"/>
        <w:jc w:val="both"/>
      </w:pPr>
      <w:r>
        <w:rPr>
          <w:b/>
          <w:bCs/>
          <w:u w:val="single"/>
        </w:rPr>
        <w:t>ISSUE 23A</w:t>
      </w:r>
      <w:r>
        <w:rPr>
          <w:b/>
          <w:bCs/>
        </w:rPr>
        <w:t>:</w:t>
      </w:r>
      <w:r>
        <w:rPr>
          <w:b/>
          <w:bCs/>
        </w:rPr>
        <w:tab/>
      </w:r>
      <w:r w:rsidRPr="00A16EB4">
        <w:rPr>
          <w:b/>
        </w:rPr>
        <w:t>What amount has DEF included in the capacity cost recovery clause for nuclear cost recovery?</w:t>
      </w:r>
      <w:r>
        <w:t xml:space="preserve"> </w:t>
      </w:r>
    </w:p>
    <w:p w:rsidR="009570AF" w:rsidRDefault="009570AF" w:rsidP="009570AF">
      <w:pPr>
        <w:autoSpaceDE w:val="0"/>
        <w:autoSpaceDN w:val="0"/>
        <w:adjustRightInd w:val="0"/>
        <w:ind w:left="1440"/>
        <w:jc w:val="both"/>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Pr="00D96FBE" w:rsidRDefault="009570AF" w:rsidP="009570AF">
      <w:pPr>
        <w:tabs>
          <w:tab w:val="left" w:pos="8571"/>
        </w:tabs>
        <w:autoSpaceDE w:val="0"/>
        <w:autoSpaceDN w:val="0"/>
        <w:adjustRightInd w:val="0"/>
        <w:ind w:left="1440" w:hanging="1440"/>
        <w:jc w:val="both"/>
      </w:pPr>
      <w:r>
        <w:tab/>
        <w:t>Duke has included $43,858,854 in the capacity cost recovery clause for nuclear cost recovery, as</w:t>
      </w:r>
      <w:r w:rsidRPr="007829BA">
        <w:rPr>
          <w:color w:val="FF0000"/>
        </w:rPr>
        <w:t xml:space="preserve"> </w:t>
      </w:r>
      <w:r w:rsidRPr="00F11E1B">
        <w:t xml:space="preserve">reflected </w:t>
      </w:r>
      <w:r>
        <w:t>on Line 35, Schedule E12-A (</w:t>
      </w:r>
      <w:r w:rsidRPr="00D96FBE">
        <w:t>Exhibit CAM-2, Part 3</w:t>
      </w:r>
      <w:r>
        <w:t>, Page 1 of 2)</w:t>
      </w:r>
      <w:r w:rsidRPr="00D96FBE">
        <w:t>.</w:t>
      </w:r>
    </w:p>
    <w:p w:rsidR="009570AF" w:rsidRDefault="009570AF" w:rsidP="009570AF"/>
    <w:p w:rsidR="009570AF" w:rsidRPr="00914E04" w:rsidRDefault="009570AF" w:rsidP="009570AF"/>
    <w:p w:rsidR="009570AF" w:rsidRDefault="009570AF" w:rsidP="009570AF">
      <w:pPr>
        <w:rPr>
          <w:b/>
          <w:bCs/>
        </w:rPr>
      </w:pPr>
      <w:r>
        <w:rPr>
          <w:b/>
          <w:bCs/>
        </w:rPr>
        <w:t>Florida Power &amp; Light Company</w:t>
      </w:r>
    </w:p>
    <w:p w:rsidR="009570AF" w:rsidRDefault="009570AF" w:rsidP="009570AF">
      <w:pPr>
        <w:autoSpaceDE w:val="0"/>
        <w:autoSpaceDN w:val="0"/>
        <w:adjustRightInd w:val="0"/>
        <w:jc w:val="both"/>
      </w:pPr>
    </w:p>
    <w:p w:rsidR="009570AF" w:rsidRDefault="009570AF" w:rsidP="009570AF">
      <w:pPr>
        <w:autoSpaceDE w:val="0"/>
        <w:autoSpaceDN w:val="0"/>
        <w:adjustRightInd w:val="0"/>
        <w:ind w:left="1440" w:hanging="1440"/>
        <w:jc w:val="both"/>
      </w:pPr>
      <w:r>
        <w:rPr>
          <w:b/>
          <w:bCs/>
          <w:u w:val="single"/>
        </w:rPr>
        <w:t>ISSUE 24A</w:t>
      </w:r>
      <w:r>
        <w:rPr>
          <w:b/>
          <w:bCs/>
        </w:rPr>
        <w:t>:</w:t>
      </w:r>
      <w:r>
        <w:rPr>
          <w:b/>
          <w:bCs/>
        </w:rPr>
        <w:tab/>
      </w:r>
      <w:r w:rsidRPr="00A16EB4">
        <w:rPr>
          <w:b/>
        </w:rPr>
        <w:t>What amount has FPL included in the capacity cost recovery clause for nuclear cost recovery?</w:t>
      </w:r>
      <w:r>
        <w:t xml:space="preserve"> </w:t>
      </w:r>
    </w:p>
    <w:p w:rsidR="009570AF" w:rsidRDefault="009570AF" w:rsidP="00560924">
      <w:pPr>
        <w:autoSpaceDE w:val="0"/>
        <w:autoSpaceDN w:val="0"/>
        <w:adjustRightInd w:val="0"/>
        <w:ind w:left="1440"/>
        <w:jc w:val="both"/>
        <w:rPr>
          <w:b/>
          <w:u w:val="single"/>
        </w:rPr>
      </w:pPr>
      <w:r>
        <w:t xml:space="preserve">                      </w:t>
      </w:r>
    </w:p>
    <w:p w:rsidR="009570AF" w:rsidRDefault="009570AF" w:rsidP="009570AF">
      <w:pPr>
        <w:tabs>
          <w:tab w:val="left" w:pos="8571"/>
        </w:tabs>
        <w:autoSpaceDE w:val="0"/>
        <w:autoSpaceDN w:val="0"/>
        <w:adjustRightInd w:val="0"/>
        <w:ind w:left="1440" w:hanging="1440"/>
        <w:jc w:val="both"/>
      </w:pPr>
      <w:r>
        <w:rPr>
          <w:b/>
          <w:u w:val="single"/>
        </w:rPr>
        <w:t>STIPULATION</w:t>
      </w:r>
      <w:r>
        <w:t xml:space="preserve">: </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pPr>
      <w:r>
        <w:tab/>
        <w:t xml:space="preserve">$0. </w:t>
      </w:r>
    </w:p>
    <w:p w:rsidR="009570AF" w:rsidRDefault="009570AF" w:rsidP="009570AF">
      <w:pPr>
        <w:autoSpaceDE w:val="0"/>
        <w:autoSpaceDN w:val="0"/>
        <w:adjustRightInd w:val="0"/>
        <w:ind w:left="1440" w:hanging="1440"/>
        <w:jc w:val="both"/>
        <w:rPr>
          <w:b/>
          <w:u w:val="single"/>
        </w:rPr>
      </w:pPr>
    </w:p>
    <w:p w:rsidR="00560924" w:rsidRDefault="00560924" w:rsidP="009570AF">
      <w:pPr>
        <w:autoSpaceDE w:val="0"/>
        <w:autoSpaceDN w:val="0"/>
        <w:adjustRightInd w:val="0"/>
        <w:ind w:left="1440" w:hanging="1440"/>
        <w:jc w:val="both"/>
        <w:rPr>
          <w:b/>
          <w:u w:val="single"/>
        </w:rPr>
      </w:pPr>
    </w:p>
    <w:p w:rsidR="009570AF" w:rsidRPr="00210417" w:rsidRDefault="009570AF" w:rsidP="009570AF">
      <w:pPr>
        <w:autoSpaceDE w:val="0"/>
        <w:autoSpaceDN w:val="0"/>
        <w:adjustRightInd w:val="0"/>
        <w:ind w:left="1440" w:hanging="1440"/>
        <w:jc w:val="both"/>
      </w:pPr>
      <w:r>
        <w:rPr>
          <w:b/>
          <w:u w:val="single"/>
        </w:rPr>
        <w:t>ISSUE 24B</w:t>
      </w:r>
      <w:r>
        <w:rPr>
          <w:b/>
        </w:rPr>
        <w:t>:</w:t>
      </w:r>
      <w:r>
        <w:rPr>
          <w:b/>
        </w:rPr>
        <w:tab/>
      </w:r>
      <w:r w:rsidRPr="00A16EB4">
        <w:rPr>
          <w:b/>
        </w:rPr>
        <w:t>Has FPL properly reflected in the capacity cost recovery clause the effects of the St. John’s River Power Park transaction approved by Order No. PSC-2017-0415-AS-EI?</w:t>
      </w:r>
      <w:r>
        <w:t xml:space="preserve"> </w:t>
      </w:r>
    </w:p>
    <w:p w:rsidR="009570AF" w:rsidRDefault="009570AF" w:rsidP="009570AF">
      <w:pPr>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Pr="00AA4963" w:rsidRDefault="009570AF" w:rsidP="009570AF">
      <w:pPr>
        <w:tabs>
          <w:tab w:val="left" w:pos="8571"/>
        </w:tabs>
        <w:autoSpaceDE w:val="0"/>
        <w:autoSpaceDN w:val="0"/>
        <w:adjustRightInd w:val="0"/>
        <w:ind w:left="1440" w:hanging="1440"/>
        <w:jc w:val="both"/>
        <w:rPr>
          <w:b/>
          <w:bCs/>
          <w:u w:val="single"/>
        </w:rPr>
      </w:pPr>
      <w:r>
        <w:rPr>
          <w:b/>
        </w:rPr>
        <w:tab/>
      </w:r>
      <w:r>
        <w:t>Yes, as</w:t>
      </w:r>
      <w:r w:rsidRPr="007829BA">
        <w:rPr>
          <w:color w:val="FF0000"/>
        </w:rPr>
        <w:t xml:space="preserve"> </w:t>
      </w:r>
      <w:r w:rsidRPr="00F11E1B">
        <w:t xml:space="preserve">reflected in </w:t>
      </w:r>
      <w:r>
        <w:t>2018 CCR Actual Estimated Schedule</w:t>
      </w:r>
      <w:r w:rsidRPr="00F11E1B">
        <w:t xml:space="preserve"> (Exhibit RDB-4</w:t>
      </w:r>
      <w:r>
        <w:t xml:space="preserve">, </w:t>
      </w:r>
      <w:r w:rsidRPr="00F11E1B">
        <w:t>Page 14 of 18).</w:t>
      </w:r>
    </w:p>
    <w:p w:rsidR="009570AF" w:rsidRDefault="009570AF" w:rsidP="009570AF">
      <w:pPr>
        <w:autoSpaceDE w:val="0"/>
        <w:autoSpaceDN w:val="0"/>
        <w:adjustRightInd w:val="0"/>
        <w:jc w:val="both"/>
        <w:rPr>
          <w:bCs/>
        </w:rPr>
      </w:pPr>
    </w:p>
    <w:p w:rsidR="00560924" w:rsidRPr="00E206B0" w:rsidRDefault="00560924" w:rsidP="009570AF">
      <w:pPr>
        <w:autoSpaceDE w:val="0"/>
        <w:autoSpaceDN w:val="0"/>
        <w:adjustRightInd w:val="0"/>
        <w:jc w:val="both"/>
        <w:rPr>
          <w:bCs/>
        </w:rPr>
      </w:pPr>
    </w:p>
    <w:p w:rsidR="009570AF" w:rsidRDefault="009570AF" w:rsidP="009570AF">
      <w:pPr>
        <w:autoSpaceDE w:val="0"/>
        <w:autoSpaceDN w:val="0"/>
        <w:adjustRightInd w:val="0"/>
        <w:ind w:left="1440" w:hanging="1440"/>
        <w:jc w:val="both"/>
        <w:rPr>
          <w:b/>
        </w:rPr>
      </w:pPr>
      <w:r>
        <w:rPr>
          <w:b/>
          <w:u w:val="single"/>
        </w:rPr>
        <w:t>ISSUE 24C</w:t>
      </w:r>
      <w:r>
        <w:rPr>
          <w:b/>
        </w:rPr>
        <w:t>:</w:t>
      </w:r>
      <w:r>
        <w:tab/>
      </w:r>
      <w:r w:rsidRPr="00A16EB4">
        <w:rPr>
          <w:b/>
        </w:rPr>
        <w:t>What are the appropriate Indiantown non-fuel base revenue requirements to be recovered through the Capacity Clause pursuant to the Commission’s approval of the Indiantown transaction in Docket No. 160154-EI for 2018 and 2019?</w:t>
      </w:r>
      <w:r>
        <w:rPr>
          <w:b/>
        </w:rPr>
        <w:tab/>
      </w:r>
    </w:p>
    <w:p w:rsidR="009570AF" w:rsidRDefault="009570AF" w:rsidP="009570AF">
      <w:pPr>
        <w:autoSpaceDE w:val="0"/>
        <w:autoSpaceDN w:val="0"/>
        <w:adjustRightInd w:val="0"/>
        <w:ind w:left="1440" w:hanging="1440"/>
        <w:jc w:val="both"/>
        <w:rPr>
          <w:b/>
        </w:rPr>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Pr="00EC2941" w:rsidRDefault="009570AF" w:rsidP="009570AF">
      <w:pPr>
        <w:tabs>
          <w:tab w:val="left" w:pos="8571"/>
        </w:tabs>
        <w:autoSpaceDE w:val="0"/>
        <w:autoSpaceDN w:val="0"/>
        <w:adjustRightInd w:val="0"/>
        <w:ind w:left="1440" w:hanging="1440"/>
        <w:jc w:val="both"/>
      </w:pPr>
      <w:r>
        <w:rPr>
          <w:b/>
        </w:rPr>
        <w:tab/>
      </w:r>
      <w:r>
        <w:t xml:space="preserve">For 2019, the appropriate projected non-fuel base revenue requirements to be recovered through the Capacity Clause pursuant to the Commission’s approval of </w:t>
      </w:r>
      <w:r>
        <w:lastRenderedPageBreak/>
        <w:t>the Indiantown transaction in Docket No. 160154-EI is $3,304,628, as reflected on Line 15 of the Indiantown 2019 Revenue Requirements Schedule (Exhibit RDB-9, Appendix VI - 2019 CCR Projections Schedule, Page 20 of 31).</w:t>
      </w:r>
    </w:p>
    <w:p w:rsidR="009570AF" w:rsidRDefault="009570AF" w:rsidP="009570AF">
      <w:pPr>
        <w:autoSpaceDE w:val="0"/>
        <w:autoSpaceDN w:val="0"/>
        <w:adjustRightInd w:val="0"/>
        <w:ind w:left="1440" w:hanging="1440"/>
        <w:jc w:val="both"/>
      </w:pPr>
    </w:p>
    <w:p w:rsidR="009570AF" w:rsidRPr="00E206B0" w:rsidRDefault="009570AF" w:rsidP="009570AF">
      <w:pPr>
        <w:autoSpaceDE w:val="0"/>
        <w:autoSpaceDN w:val="0"/>
        <w:adjustRightInd w:val="0"/>
        <w:jc w:val="both"/>
        <w:rPr>
          <w:bCs/>
        </w:rPr>
      </w:pPr>
    </w:p>
    <w:p w:rsidR="009570AF" w:rsidRDefault="009570AF" w:rsidP="009570AF">
      <w:pPr>
        <w:ind w:left="1440" w:hanging="1440"/>
        <w:jc w:val="both"/>
      </w:pPr>
      <w:r w:rsidRPr="001230BD">
        <w:rPr>
          <w:b/>
          <w:u w:val="single"/>
        </w:rPr>
        <w:t>ISSUE 2</w:t>
      </w:r>
      <w:r>
        <w:rPr>
          <w:b/>
          <w:u w:val="single"/>
        </w:rPr>
        <w:t>4D</w:t>
      </w:r>
      <w:r w:rsidRPr="001230BD">
        <w:rPr>
          <w:b/>
        </w:rPr>
        <w:t>:</w:t>
      </w:r>
      <w:r>
        <w:rPr>
          <w:b/>
        </w:rPr>
        <w:t xml:space="preserve"> </w:t>
      </w:r>
      <w:r w:rsidRPr="00A16EB4">
        <w:rPr>
          <w:b/>
        </w:rPr>
        <w:t xml:space="preserve">What </w:t>
      </w:r>
      <w:r w:rsidRPr="00A16EB4">
        <w:rPr>
          <w:b/>
          <w:bCs/>
        </w:rPr>
        <w:t>is the appropriate true-up adjustment amount</w:t>
      </w:r>
      <w:r w:rsidRPr="00A16EB4">
        <w:rPr>
          <w:b/>
        </w:rPr>
        <w:t xml:space="preserve"> </w:t>
      </w:r>
      <w:r w:rsidRPr="00A16EB4">
        <w:rPr>
          <w:b/>
          <w:bCs/>
        </w:rPr>
        <w:t xml:space="preserve">associated with </w:t>
      </w:r>
      <w:r w:rsidRPr="00A16EB4">
        <w:rPr>
          <w:b/>
        </w:rPr>
        <w:t>the 2017 SoBRA projects approved by Order No. PSC-2018-0028-FOF-EI to be refunded through the capacity clause in 2019?</w:t>
      </w:r>
      <w:r>
        <w:t xml:space="preserve"> </w:t>
      </w:r>
    </w:p>
    <w:p w:rsidR="009570AF" w:rsidRDefault="009570AF" w:rsidP="009570AF">
      <w:pPr>
        <w:ind w:left="1440" w:hanging="1440"/>
        <w:jc w:val="both"/>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pPr>
      <w:r>
        <w:tab/>
        <w:t>This issue is not ripe for consideration during the hearing cycle for 2018, and will be addressed in Docket No. 20190001-EI.</w:t>
      </w:r>
    </w:p>
    <w:p w:rsidR="009570AF" w:rsidRDefault="009570AF" w:rsidP="009570AF">
      <w:pPr>
        <w:jc w:val="both"/>
      </w:pPr>
    </w:p>
    <w:p w:rsidR="009570AF" w:rsidRPr="00CC782D" w:rsidRDefault="009570AF" w:rsidP="009570AF">
      <w:pPr>
        <w:jc w:val="both"/>
      </w:pPr>
    </w:p>
    <w:p w:rsidR="009570AF" w:rsidRDefault="009570AF" w:rsidP="009570AF">
      <w:pPr>
        <w:ind w:left="1440" w:hanging="1440"/>
        <w:jc w:val="both"/>
      </w:pPr>
      <w:r w:rsidRPr="001230BD">
        <w:rPr>
          <w:b/>
          <w:u w:val="single"/>
        </w:rPr>
        <w:t>ISSUE 2</w:t>
      </w:r>
      <w:r>
        <w:rPr>
          <w:b/>
          <w:u w:val="single"/>
        </w:rPr>
        <w:t>4E</w:t>
      </w:r>
      <w:r w:rsidRPr="001230BD">
        <w:rPr>
          <w:b/>
        </w:rPr>
        <w:t>:</w:t>
      </w:r>
      <w:r w:rsidRPr="001230BD">
        <w:tab/>
      </w:r>
      <w:r w:rsidRPr="00A16EB4">
        <w:rPr>
          <w:b/>
        </w:rPr>
        <w:t xml:space="preserve">What </w:t>
      </w:r>
      <w:r w:rsidRPr="00A16EB4">
        <w:rPr>
          <w:b/>
          <w:bCs/>
        </w:rPr>
        <w:t xml:space="preserve">is the appropriate true-up amount associated with </w:t>
      </w:r>
      <w:r w:rsidRPr="00A16EB4">
        <w:rPr>
          <w:b/>
        </w:rPr>
        <w:t>the 2018 SoBRA projects approved by Order No. PSC-2018-0028-FOF-EI to be refunded through the capacity clause in 2019?</w:t>
      </w:r>
      <w:r>
        <w:t xml:space="preserve"> </w:t>
      </w:r>
    </w:p>
    <w:p w:rsidR="009570AF" w:rsidRDefault="009570AF" w:rsidP="009570AF">
      <w:pPr>
        <w:autoSpaceDE w:val="0"/>
        <w:autoSpaceDN w:val="0"/>
        <w:adjustRightInd w:val="0"/>
        <w:jc w:val="both"/>
        <w:rPr>
          <w:bCs/>
        </w:rPr>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pPr>
      <w:r>
        <w:rPr>
          <w:b/>
        </w:rPr>
        <w:tab/>
      </w:r>
      <w:r>
        <w:t>This issue is not ripe for consideration during the hearing cycle for 2018, and will be addressed in Docket No. 20190001-EI.</w:t>
      </w:r>
    </w:p>
    <w:p w:rsidR="00560924" w:rsidRDefault="00560924" w:rsidP="009570AF">
      <w:pPr>
        <w:tabs>
          <w:tab w:val="left" w:pos="8571"/>
        </w:tabs>
        <w:autoSpaceDE w:val="0"/>
        <w:autoSpaceDN w:val="0"/>
        <w:adjustRightInd w:val="0"/>
        <w:ind w:left="1440" w:hanging="1440"/>
        <w:jc w:val="both"/>
      </w:pPr>
    </w:p>
    <w:p w:rsidR="00560924" w:rsidRDefault="00560924" w:rsidP="009570AF">
      <w:pPr>
        <w:tabs>
          <w:tab w:val="left" w:pos="8571"/>
        </w:tabs>
        <w:autoSpaceDE w:val="0"/>
        <w:autoSpaceDN w:val="0"/>
        <w:adjustRightInd w:val="0"/>
        <w:ind w:left="1440" w:hanging="1440"/>
        <w:jc w:val="both"/>
      </w:pPr>
    </w:p>
    <w:p w:rsidR="009570AF" w:rsidRDefault="009570AF" w:rsidP="009570AF">
      <w:pPr>
        <w:rPr>
          <w:b/>
          <w:bCs/>
        </w:rPr>
      </w:pPr>
      <w:r>
        <w:rPr>
          <w:b/>
          <w:bCs/>
        </w:rPr>
        <w:t>GENERIC CAPACITY COST RECOVERY FACTOR ISSUES</w:t>
      </w:r>
    </w:p>
    <w:p w:rsidR="009570AF" w:rsidRDefault="009570AF" w:rsidP="009570AF">
      <w:pPr>
        <w:autoSpaceDE w:val="0"/>
        <w:autoSpaceDN w:val="0"/>
        <w:adjustRightInd w:val="0"/>
      </w:pPr>
    </w:p>
    <w:p w:rsidR="009570AF" w:rsidRDefault="009570AF" w:rsidP="009570AF">
      <w:pPr>
        <w:autoSpaceDE w:val="0"/>
        <w:autoSpaceDN w:val="0"/>
        <w:adjustRightInd w:val="0"/>
        <w:ind w:left="1440" w:hanging="1440"/>
        <w:jc w:val="both"/>
      </w:pPr>
      <w:r>
        <w:rPr>
          <w:b/>
          <w:bCs/>
          <w:u w:val="single"/>
        </w:rPr>
        <w:t>ISSUE 27:</w:t>
      </w:r>
      <w:r>
        <w:tab/>
      </w:r>
      <w:r w:rsidRPr="00A16EB4">
        <w:rPr>
          <w:b/>
        </w:rPr>
        <w:t>What are the appropriate final capacity cost recovery true-up amounts for the period January 2017 through December 2017?</w:t>
      </w:r>
      <w:r>
        <w:t xml:space="preserve"> </w:t>
      </w:r>
    </w:p>
    <w:p w:rsidR="009570AF" w:rsidRDefault="009570AF" w:rsidP="009570AF">
      <w:pPr>
        <w:autoSpaceDE w:val="0"/>
        <w:autoSpaceDN w:val="0"/>
        <w:adjustRightInd w:val="0"/>
        <w:ind w:left="1440" w:hanging="1440"/>
        <w:jc w:val="both"/>
      </w:pPr>
      <w:r>
        <w:t xml:space="preserve">                                               </w:t>
      </w: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rPr>
          <w:bCs/>
        </w:rPr>
      </w:pPr>
      <w:r>
        <w:rPr>
          <w:b/>
        </w:rPr>
        <w:tab/>
      </w:r>
      <w:r>
        <w:t>The appropriate final capacity cost recovery true-up amounts for the period January 2017 through December 2017 are as follows:</w:t>
      </w:r>
    </w:p>
    <w:p w:rsidR="009570AF" w:rsidRDefault="009570AF" w:rsidP="009570AF">
      <w:pPr>
        <w:tabs>
          <w:tab w:val="left" w:pos="8571"/>
        </w:tabs>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t xml:space="preserve">DEF:  </w:t>
      </w:r>
      <w:r>
        <w:tab/>
        <w:t>$346,154, ov</w:t>
      </w:r>
      <w:r w:rsidRPr="00937E60">
        <w:t>er-recovery</w:t>
      </w:r>
      <w:r>
        <w:t>, as reflected on Line 9 of Capacity Cost Recovery Clause Summary of Actual True-Up Amount (Exhibit CAM-2T, Sheet 1 of 3)</w:t>
      </w:r>
      <w:r w:rsidRPr="00937E60">
        <w:t>.</w:t>
      </w:r>
    </w:p>
    <w:p w:rsidR="009570AF" w:rsidRDefault="009570AF" w:rsidP="009570AF">
      <w:pPr>
        <w:tabs>
          <w:tab w:val="left" w:pos="8571"/>
        </w:tabs>
        <w:autoSpaceDE w:val="0"/>
        <w:autoSpaceDN w:val="0"/>
        <w:adjustRightInd w:val="0"/>
        <w:ind w:left="1440" w:hanging="1440"/>
        <w:jc w:val="both"/>
      </w:pPr>
    </w:p>
    <w:p w:rsidR="009570AF" w:rsidRPr="00937E60" w:rsidRDefault="009570AF" w:rsidP="009570AF">
      <w:pPr>
        <w:tabs>
          <w:tab w:val="left" w:pos="8571"/>
        </w:tabs>
        <w:autoSpaceDE w:val="0"/>
        <w:autoSpaceDN w:val="0"/>
        <w:adjustRightInd w:val="0"/>
        <w:ind w:left="1440" w:hanging="1440"/>
        <w:jc w:val="both"/>
      </w:pPr>
      <w:r w:rsidRPr="00937E60">
        <w:t xml:space="preserve">FPL:   </w:t>
      </w:r>
      <w:r>
        <w:t xml:space="preserve">          </w:t>
      </w:r>
      <w:r>
        <w:tab/>
      </w:r>
      <w:r>
        <w:rPr>
          <w:color w:val="000000" w:themeColor="text1"/>
        </w:rPr>
        <w:t>$2,212,807</w:t>
      </w:r>
      <w:r w:rsidRPr="00937E60">
        <w:t>, under-recovery</w:t>
      </w:r>
      <w:r>
        <w:t>, as reflected on Line 3 of Capacity Cost Recovery Clause Final True Up Summary Schedule (Exhibit RBD-2, 2017 CCR Final True Up, Page 1 of 12).</w:t>
      </w:r>
    </w:p>
    <w:p w:rsidR="009570AF" w:rsidRPr="00937E60" w:rsidRDefault="009570AF" w:rsidP="009570AF">
      <w:pPr>
        <w:tabs>
          <w:tab w:val="left" w:pos="8571"/>
        </w:tabs>
        <w:autoSpaceDE w:val="0"/>
        <w:autoSpaceDN w:val="0"/>
        <w:adjustRightInd w:val="0"/>
        <w:ind w:left="1440" w:hanging="1440"/>
        <w:jc w:val="both"/>
      </w:pPr>
      <w:r>
        <w:tab/>
      </w:r>
      <w:r w:rsidRPr="00937E60">
        <w:tab/>
      </w:r>
      <w:r w:rsidRPr="00937E60">
        <w:tab/>
      </w:r>
    </w:p>
    <w:p w:rsidR="009570AF" w:rsidRDefault="009570AF" w:rsidP="009570AF">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$846,417,</w:t>
      </w:r>
      <w:r>
        <w:t xml:space="preserve"> over</w:t>
      </w:r>
      <w:r w:rsidRPr="00937E60">
        <w:t>-recovery</w:t>
      </w:r>
      <w:r>
        <w:t>, as reflected on Line 2, Schedule CCE-1A, 2018 Est/Actual Schedules (Exhibit CSB-3, Page 29 of 33)</w:t>
      </w:r>
      <w:r w:rsidRPr="00937E60">
        <w:t>.</w:t>
      </w:r>
    </w:p>
    <w:p w:rsidR="009570AF" w:rsidRDefault="009570AF" w:rsidP="009570AF">
      <w:pPr>
        <w:tabs>
          <w:tab w:val="left" w:pos="8571"/>
        </w:tabs>
        <w:autoSpaceDE w:val="0"/>
        <w:autoSpaceDN w:val="0"/>
        <w:adjustRightInd w:val="0"/>
        <w:ind w:left="1440" w:hanging="1440"/>
        <w:jc w:val="both"/>
      </w:pPr>
    </w:p>
    <w:p w:rsidR="009570AF" w:rsidRPr="009F5C6B" w:rsidRDefault="009570AF" w:rsidP="009570AF">
      <w:pPr>
        <w:tabs>
          <w:tab w:val="left" w:pos="8571"/>
        </w:tabs>
        <w:autoSpaceDE w:val="0"/>
        <w:autoSpaceDN w:val="0"/>
        <w:adjustRightInd w:val="0"/>
        <w:ind w:left="1440" w:hanging="1440"/>
        <w:jc w:val="both"/>
      </w:pPr>
      <w:r>
        <w:lastRenderedPageBreak/>
        <w:t xml:space="preserve">TECO:       </w:t>
      </w:r>
      <w:r>
        <w:tab/>
      </w:r>
      <w:r w:rsidRPr="006B5652">
        <w:rPr>
          <w:color w:val="000000" w:themeColor="text1"/>
        </w:rPr>
        <w:t>$</w:t>
      </w:r>
      <w:r>
        <w:rPr>
          <w:color w:val="000000" w:themeColor="text1"/>
        </w:rPr>
        <w:t>1,952,049</w:t>
      </w:r>
      <w:r w:rsidRPr="006B5652">
        <w:rPr>
          <w:color w:val="000000" w:themeColor="text1"/>
        </w:rPr>
        <w:t>,</w:t>
      </w:r>
      <w:r>
        <w:t xml:space="preserve"> unde</w:t>
      </w:r>
      <w:r w:rsidRPr="007E66E4">
        <w:t>r-recovery</w:t>
      </w:r>
      <w:r>
        <w:t>, as reflected on Line 3, CCR 2017 Final True-Up  (Exhibit PAR-1, Document No. 1, Page 1 of 4)</w:t>
      </w:r>
      <w:r w:rsidRPr="007E66E4">
        <w:t>.</w:t>
      </w:r>
    </w:p>
    <w:p w:rsidR="009570AF" w:rsidRDefault="009570AF" w:rsidP="009570AF">
      <w:pPr>
        <w:autoSpaceDE w:val="0"/>
        <w:autoSpaceDN w:val="0"/>
        <w:adjustRightInd w:val="0"/>
        <w:jc w:val="both"/>
        <w:rPr>
          <w:b/>
          <w:bCs/>
          <w:u w:val="single"/>
        </w:rPr>
      </w:pPr>
    </w:p>
    <w:p w:rsidR="009570AF" w:rsidRDefault="009570AF" w:rsidP="009570AF">
      <w:pPr>
        <w:autoSpaceDE w:val="0"/>
        <w:autoSpaceDN w:val="0"/>
        <w:adjustRightInd w:val="0"/>
        <w:jc w:val="both"/>
        <w:rPr>
          <w:b/>
          <w:bCs/>
          <w:u w:val="single"/>
        </w:rPr>
      </w:pPr>
    </w:p>
    <w:p w:rsidR="009570AF" w:rsidRDefault="009570AF" w:rsidP="009570AF">
      <w:pPr>
        <w:autoSpaceDE w:val="0"/>
        <w:autoSpaceDN w:val="0"/>
        <w:adjustRightInd w:val="0"/>
        <w:ind w:left="1440" w:hanging="1440"/>
        <w:jc w:val="both"/>
      </w:pPr>
      <w:r>
        <w:rPr>
          <w:b/>
          <w:bCs/>
          <w:u w:val="single"/>
        </w:rPr>
        <w:t>ISSUE 28</w:t>
      </w:r>
      <w:r>
        <w:t>:</w:t>
      </w:r>
      <w:r>
        <w:tab/>
      </w:r>
      <w:r w:rsidRPr="00A16EB4">
        <w:rPr>
          <w:b/>
        </w:rPr>
        <w:t>What are the appropriate capacity cost recovery actual/estimated true-up amounts for the period January 2018 through December 2018?</w:t>
      </w:r>
      <w:r>
        <w:t xml:space="preserve"> </w:t>
      </w:r>
    </w:p>
    <w:p w:rsidR="009570AF" w:rsidRDefault="009570AF" w:rsidP="009570AF">
      <w:pPr>
        <w:tabs>
          <w:tab w:val="left" w:pos="8571"/>
        </w:tabs>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rPr>
          <w:bCs/>
        </w:rPr>
      </w:pPr>
      <w:r>
        <w:rPr>
          <w:b/>
        </w:rPr>
        <w:tab/>
      </w:r>
      <w:r>
        <w:t>The appropriate capacity cost recovery actual/estimated true-up amounts for the period January 2018 through December 2018 are as follows:</w:t>
      </w:r>
    </w:p>
    <w:p w:rsidR="009570AF" w:rsidRDefault="009570AF" w:rsidP="009570AF">
      <w:pPr>
        <w:tabs>
          <w:tab w:val="left" w:pos="8571"/>
        </w:tabs>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t xml:space="preserve">DEF:  </w:t>
      </w:r>
      <w:r>
        <w:tab/>
        <w:t>$16,264,319, ov</w:t>
      </w:r>
      <w:r w:rsidRPr="00937E60">
        <w:t>er-recovery</w:t>
      </w:r>
      <w:r>
        <w:t>, as reflected on Line 42, Schedule E12-B (Exhibit CAM-2, Part 2, Page 1 of 2)</w:t>
      </w:r>
      <w:r w:rsidRPr="00937E60">
        <w:t>.</w:t>
      </w:r>
    </w:p>
    <w:p w:rsidR="009570AF" w:rsidRDefault="009570AF" w:rsidP="009570AF">
      <w:pPr>
        <w:tabs>
          <w:tab w:val="left" w:pos="8571"/>
        </w:tabs>
        <w:autoSpaceDE w:val="0"/>
        <w:autoSpaceDN w:val="0"/>
        <w:adjustRightInd w:val="0"/>
        <w:ind w:left="1440" w:hanging="1440"/>
        <w:jc w:val="both"/>
      </w:pPr>
      <w:r>
        <w:tab/>
      </w:r>
    </w:p>
    <w:p w:rsidR="009570AF" w:rsidRPr="00937E60" w:rsidRDefault="009570AF" w:rsidP="009570AF">
      <w:pPr>
        <w:tabs>
          <w:tab w:val="left" w:pos="8571"/>
        </w:tabs>
        <w:autoSpaceDE w:val="0"/>
        <w:autoSpaceDN w:val="0"/>
        <w:adjustRightInd w:val="0"/>
        <w:ind w:left="1440" w:hanging="1440"/>
        <w:jc w:val="both"/>
      </w:pPr>
      <w:r>
        <w:t>FPL:</w:t>
      </w:r>
      <w:r>
        <w:tab/>
      </w:r>
      <w:r>
        <w:rPr>
          <w:color w:val="000000" w:themeColor="text1"/>
        </w:rPr>
        <w:t>$6,415,909</w:t>
      </w:r>
      <w:r>
        <w:t>, ove</w:t>
      </w:r>
      <w:r w:rsidRPr="00937E60">
        <w:t>r-recovery</w:t>
      </w:r>
      <w:r>
        <w:t>, as reflected on Lines 9 plus Line     10, Capacity Cost Recovery Calculation of Actual/Estimated True-Up Amount (Exhibit RBD-4, 2018 CCR Actual Estimated, Page 3 of 18).</w:t>
      </w:r>
    </w:p>
    <w:p w:rsidR="009570AF" w:rsidRPr="00937E60" w:rsidRDefault="009570AF" w:rsidP="009570AF">
      <w:pPr>
        <w:tabs>
          <w:tab w:val="left" w:pos="8571"/>
        </w:tabs>
        <w:autoSpaceDE w:val="0"/>
        <w:autoSpaceDN w:val="0"/>
        <w:adjustRightInd w:val="0"/>
        <w:ind w:left="1440" w:hanging="1440"/>
        <w:jc w:val="both"/>
      </w:pPr>
      <w:r>
        <w:tab/>
      </w:r>
      <w:r w:rsidRPr="00937E60">
        <w:tab/>
      </w:r>
      <w:r w:rsidRPr="00937E60">
        <w:tab/>
      </w:r>
    </w:p>
    <w:p w:rsidR="009570AF" w:rsidRDefault="009570AF" w:rsidP="009570AF">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$1,187,593,</w:t>
      </w:r>
      <w:r>
        <w:t xml:space="preserve"> over</w:t>
      </w:r>
      <w:r w:rsidRPr="00937E60">
        <w:t>-recovery</w:t>
      </w:r>
      <w:r>
        <w:t>, as reflected on Line 1, Schedule CCE-1A, 2018 Est/Actual Schedules (Exhibit CSB-3, Page 29 of 33)</w:t>
      </w:r>
      <w:r w:rsidRPr="00937E60">
        <w:t>.</w:t>
      </w:r>
    </w:p>
    <w:p w:rsidR="009570AF" w:rsidRDefault="009570AF" w:rsidP="009570AF">
      <w:pPr>
        <w:tabs>
          <w:tab w:val="left" w:pos="8571"/>
        </w:tabs>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t xml:space="preserve">TECO:        </w:t>
      </w:r>
      <w:r>
        <w:tab/>
      </w:r>
      <w:r w:rsidRPr="006B5652">
        <w:rPr>
          <w:color w:val="000000" w:themeColor="text1"/>
        </w:rPr>
        <w:t>$</w:t>
      </w:r>
      <w:r>
        <w:rPr>
          <w:color w:val="000000" w:themeColor="text1"/>
        </w:rPr>
        <w:t>832,939</w:t>
      </w:r>
      <w:r w:rsidRPr="006B5652">
        <w:rPr>
          <w:color w:val="000000" w:themeColor="text1"/>
        </w:rPr>
        <w:t>,</w:t>
      </w:r>
      <w:r>
        <w:t xml:space="preserve"> unde</w:t>
      </w:r>
      <w:r w:rsidRPr="007E66E4">
        <w:t>r-recovery</w:t>
      </w:r>
      <w:r>
        <w:t>, as reflected on Line 2, Capacity Cost Recovery Calculation of the Current Period True-Up (Exhibit PAR-2, Document No. 2, Page 1 of 4)</w:t>
      </w:r>
      <w:r w:rsidRPr="007E66E4">
        <w:t>.</w:t>
      </w:r>
    </w:p>
    <w:p w:rsidR="00A16EB4" w:rsidRPr="009F5C6B" w:rsidRDefault="00A16EB4" w:rsidP="009570AF">
      <w:pPr>
        <w:tabs>
          <w:tab w:val="left" w:pos="8571"/>
        </w:tabs>
        <w:autoSpaceDE w:val="0"/>
        <w:autoSpaceDN w:val="0"/>
        <w:adjustRightInd w:val="0"/>
        <w:ind w:left="1440" w:hanging="1440"/>
        <w:jc w:val="both"/>
      </w:pPr>
    </w:p>
    <w:p w:rsidR="009570AF" w:rsidRDefault="009570AF" w:rsidP="009570AF">
      <w:pPr>
        <w:autoSpaceDE w:val="0"/>
        <w:autoSpaceDN w:val="0"/>
        <w:adjustRightInd w:val="0"/>
        <w:ind w:left="1440" w:hanging="1440"/>
        <w:jc w:val="both"/>
      </w:pPr>
      <w:r>
        <w:rPr>
          <w:b/>
          <w:bCs/>
          <w:u w:val="single"/>
        </w:rPr>
        <w:t>ISSUE 29</w:t>
      </w:r>
      <w:r>
        <w:t>:</w:t>
      </w:r>
      <w:r>
        <w:tab/>
      </w:r>
      <w:r w:rsidRPr="00A16EB4">
        <w:rPr>
          <w:b/>
        </w:rPr>
        <w:t>What are the appropriate total capacity cost recovery true-up amounts to be collected/refunded during the period January 2019 through December 2019?</w:t>
      </w:r>
      <w:r>
        <w:t xml:space="preserve">  </w:t>
      </w:r>
    </w:p>
    <w:p w:rsidR="009570AF" w:rsidRDefault="009570AF" w:rsidP="009570AF">
      <w:pPr>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rPr>
          <w:bCs/>
        </w:rPr>
      </w:pPr>
      <w:r>
        <w:rPr>
          <w:b/>
        </w:rPr>
        <w:tab/>
      </w:r>
      <w:r>
        <w:t>The appropriate total capacity cost recovery true-up amounts to be collected/refunded during the period January 2019 through December 2019 are as follows:</w:t>
      </w:r>
    </w:p>
    <w:p w:rsidR="009570AF" w:rsidRDefault="009570AF" w:rsidP="009570AF">
      <w:pPr>
        <w:tabs>
          <w:tab w:val="left" w:pos="8571"/>
        </w:tabs>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pPr>
      <w:r>
        <w:t xml:space="preserve">DEF:  </w:t>
      </w:r>
      <w:r>
        <w:tab/>
        <w:t>$16,610,473, ov</w:t>
      </w:r>
      <w:r w:rsidRPr="00937E60">
        <w:t>er-recovery</w:t>
      </w:r>
      <w:r>
        <w:t>, as reflected on Line 46, Schedule E12-B (Exhibit CAM-2, Part 2, Page 1 of 2)</w:t>
      </w:r>
      <w:r w:rsidRPr="00937E60">
        <w:t>.</w:t>
      </w:r>
    </w:p>
    <w:p w:rsidR="009570AF" w:rsidRDefault="009570AF" w:rsidP="009570AF">
      <w:pPr>
        <w:tabs>
          <w:tab w:val="left" w:pos="8571"/>
        </w:tabs>
        <w:autoSpaceDE w:val="0"/>
        <w:autoSpaceDN w:val="0"/>
        <w:adjustRightInd w:val="0"/>
        <w:ind w:left="1440" w:hanging="1440"/>
        <w:jc w:val="both"/>
      </w:pPr>
      <w:r w:rsidRPr="00937E60">
        <w:t>.</w:t>
      </w:r>
    </w:p>
    <w:p w:rsidR="009570AF" w:rsidRDefault="009570AF" w:rsidP="009570AF">
      <w:pPr>
        <w:tabs>
          <w:tab w:val="left" w:pos="8571"/>
        </w:tabs>
        <w:autoSpaceDE w:val="0"/>
        <w:autoSpaceDN w:val="0"/>
        <w:adjustRightInd w:val="0"/>
        <w:ind w:left="1440" w:hanging="1440"/>
        <w:jc w:val="both"/>
      </w:pPr>
      <w:r>
        <w:t>FPL:</w:t>
      </w:r>
      <w:r>
        <w:tab/>
      </w:r>
      <w:r>
        <w:rPr>
          <w:color w:val="000000" w:themeColor="text1"/>
        </w:rPr>
        <w:t>$4,203,102, ove</w:t>
      </w:r>
      <w:r w:rsidRPr="00937E60">
        <w:t>r-recovery</w:t>
      </w:r>
      <w:r>
        <w:t>, as reflected on Line 15, Capacity Cost Recovery  Calculation of Actual/Estimated True-Up Amount (Exhibit RBD-4, 2018 CCR Actual Estimated, Page 3 of 18).</w:t>
      </w:r>
    </w:p>
    <w:p w:rsidR="009570AF" w:rsidRPr="00937E60" w:rsidRDefault="009570AF" w:rsidP="009570AF">
      <w:pPr>
        <w:tabs>
          <w:tab w:val="left" w:pos="8571"/>
        </w:tabs>
        <w:autoSpaceDE w:val="0"/>
        <w:autoSpaceDN w:val="0"/>
        <w:adjustRightInd w:val="0"/>
        <w:jc w:val="both"/>
      </w:pPr>
      <w:r>
        <w:tab/>
      </w:r>
      <w:r w:rsidRPr="00937E60">
        <w:tab/>
      </w:r>
      <w:r w:rsidRPr="00937E60">
        <w:tab/>
      </w:r>
    </w:p>
    <w:p w:rsidR="009570AF" w:rsidRDefault="009570AF" w:rsidP="009570AF">
      <w:pPr>
        <w:tabs>
          <w:tab w:val="left" w:pos="8571"/>
        </w:tabs>
        <w:autoSpaceDE w:val="0"/>
        <w:autoSpaceDN w:val="0"/>
        <w:adjustRightInd w:val="0"/>
        <w:ind w:left="1440" w:hanging="1440"/>
        <w:jc w:val="both"/>
      </w:pPr>
      <w:r w:rsidRPr="00937E60">
        <w:t xml:space="preserve">GULF:  </w:t>
      </w:r>
      <w:r>
        <w:t xml:space="preserve">   </w:t>
      </w:r>
      <w:r>
        <w:tab/>
      </w:r>
      <w:r>
        <w:rPr>
          <w:color w:val="000000" w:themeColor="text1"/>
        </w:rPr>
        <w:t>$2,034,010,</w:t>
      </w:r>
      <w:r>
        <w:t xml:space="preserve"> over</w:t>
      </w:r>
      <w:r w:rsidRPr="00937E60">
        <w:t>-recovery</w:t>
      </w:r>
      <w:r>
        <w:t>, as reflected on Line 3, Schedule CCE-1A, 2018 Est/Actual Schedules (Exhibit CSB-3, Page 29 of 33)</w:t>
      </w:r>
      <w:r w:rsidRPr="00937E60">
        <w:t>.</w:t>
      </w:r>
    </w:p>
    <w:p w:rsidR="009570AF" w:rsidRDefault="009570AF" w:rsidP="009570AF">
      <w:pPr>
        <w:tabs>
          <w:tab w:val="left" w:pos="8571"/>
        </w:tabs>
        <w:autoSpaceDE w:val="0"/>
        <w:autoSpaceDN w:val="0"/>
        <w:adjustRightInd w:val="0"/>
        <w:ind w:left="1440" w:hanging="1440"/>
        <w:jc w:val="both"/>
      </w:pPr>
    </w:p>
    <w:p w:rsidR="009570AF" w:rsidRPr="009F5C6B" w:rsidRDefault="009570AF" w:rsidP="009570AF">
      <w:pPr>
        <w:tabs>
          <w:tab w:val="left" w:pos="8571"/>
        </w:tabs>
        <w:autoSpaceDE w:val="0"/>
        <w:autoSpaceDN w:val="0"/>
        <w:adjustRightInd w:val="0"/>
        <w:ind w:left="1440" w:hanging="1440"/>
        <w:jc w:val="both"/>
      </w:pPr>
      <w:r>
        <w:lastRenderedPageBreak/>
        <w:t xml:space="preserve">TECO:     </w:t>
      </w:r>
      <w:r>
        <w:tab/>
      </w:r>
      <w:r w:rsidRPr="006B5652">
        <w:rPr>
          <w:color w:val="000000" w:themeColor="text1"/>
        </w:rPr>
        <w:t>$</w:t>
      </w:r>
      <w:r>
        <w:rPr>
          <w:color w:val="000000" w:themeColor="text1"/>
        </w:rPr>
        <w:t>2,784,988</w:t>
      </w:r>
      <w:r w:rsidRPr="006B5652">
        <w:rPr>
          <w:color w:val="000000" w:themeColor="text1"/>
        </w:rPr>
        <w:t>,</w:t>
      </w:r>
      <w:r>
        <w:t xml:space="preserve"> unde</w:t>
      </w:r>
      <w:r w:rsidRPr="007E66E4">
        <w:t>r-recovery</w:t>
      </w:r>
      <w:r>
        <w:t>, as reflected on Line 3, Capacity Cost Recovery Calculation of the Current Period True-Up (Exhibit PAR-2, Document No. 2, Page 1 of 4)</w:t>
      </w:r>
      <w:r w:rsidRPr="007E66E4">
        <w:t>.</w:t>
      </w:r>
    </w:p>
    <w:p w:rsidR="009570AF" w:rsidRDefault="009570AF" w:rsidP="009570AF">
      <w:pPr>
        <w:tabs>
          <w:tab w:val="left" w:pos="8571"/>
        </w:tabs>
        <w:autoSpaceDE w:val="0"/>
        <w:autoSpaceDN w:val="0"/>
        <w:adjustRightInd w:val="0"/>
        <w:ind w:left="1440" w:hanging="1440"/>
        <w:jc w:val="both"/>
      </w:pPr>
    </w:p>
    <w:p w:rsidR="009570AF" w:rsidRPr="00E206B0" w:rsidRDefault="009570AF" w:rsidP="009570AF">
      <w:pPr>
        <w:autoSpaceDE w:val="0"/>
        <w:autoSpaceDN w:val="0"/>
        <w:adjustRightInd w:val="0"/>
        <w:jc w:val="both"/>
        <w:rPr>
          <w:bCs/>
        </w:rPr>
      </w:pPr>
    </w:p>
    <w:p w:rsidR="009570AF" w:rsidRDefault="009570AF" w:rsidP="009570AF">
      <w:pPr>
        <w:autoSpaceDE w:val="0"/>
        <w:autoSpaceDN w:val="0"/>
        <w:adjustRightInd w:val="0"/>
        <w:ind w:left="1440" w:hanging="1440"/>
        <w:jc w:val="both"/>
      </w:pPr>
      <w:r>
        <w:rPr>
          <w:b/>
          <w:bCs/>
          <w:caps/>
          <w:u w:val="single"/>
        </w:rPr>
        <w:t>Issue</w:t>
      </w:r>
      <w:r>
        <w:rPr>
          <w:b/>
          <w:bCs/>
          <w:u w:val="single"/>
        </w:rPr>
        <w:t xml:space="preserve"> 30</w:t>
      </w:r>
      <w:r>
        <w:rPr>
          <w:b/>
          <w:bCs/>
        </w:rPr>
        <w:t>:</w:t>
      </w:r>
      <w:r>
        <w:tab/>
      </w:r>
      <w:r w:rsidRPr="00A16EB4">
        <w:rPr>
          <w:b/>
        </w:rPr>
        <w:t xml:space="preserve">What are the appropriate projected total capacity cost recovery amounts for the period January 2019 through December 2019?  </w:t>
      </w:r>
      <w:r>
        <w:t xml:space="preserve">                                             </w:t>
      </w:r>
    </w:p>
    <w:p w:rsidR="009570AF" w:rsidRDefault="009570AF" w:rsidP="009570AF">
      <w:pPr>
        <w:tabs>
          <w:tab w:val="left" w:pos="8571"/>
        </w:tabs>
        <w:autoSpaceDE w:val="0"/>
        <w:autoSpaceDN w:val="0"/>
        <w:adjustRightInd w:val="0"/>
        <w:ind w:left="1440" w:hanging="1440"/>
        <w:jc w:val="both"/>
        <w:rPr>
          <w:b/>
          <w:u w:val="single"/>
        </w:rPr>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rPr>
          <w:bCs/>
        </w:rPr>
      </w:pPr>
      <w:r>
        <w:rPr>
          <w:b/>
        </w:rPr>
        <w:tab/>
      </w:r>
      <w:r>
        <w:t>The appropriate projected total capacity cost recovery amounts for the period January 2019 through December 2019 are as follows:</w:t>
      </w:r>
    </w:p>
    <w:p w:rsidR="009570AF" w:rsidRDefault="009570AF" w:rsidP="009570AF">
      <w:pPr>
        <w:tabs>
          <w:tab w:val="left" w:pos="8571"/>
        </w:tabs>
        <w:autoSpaceDE w:val="0"/>
        <w:autoSpaceDN w:val="0"/>
        <w:adjustRightInd w:val="0"/>
        <w:ind w:left="1440" w:hanging="1440"/>
        <w:jc w:val="both"/>
      </w:pPr>
    </w:p>
    <w:p w:rsidR="009570AF" w:rsidRPr="00D96FBE" w:rsidRDefault="009570AF" w:rsidP="009570AF">
      <w:pPr>
        <w:tabs>
          <w:tab w:val="left" w:pos="8571"/>
        </w:tabs>
        <w:autoSpaceDE w:val="0"/>
        <w:autoSpaceDN w:val="0"/>
        <w:adjustRightInd w:val="0"/>
        <w:ind w:left="1440" w:hanging="1440"/>
        <w:jc w:val="both"/>
      </w:pPr>
      <w:r w:rsidRPr="00D96FBE">
        <w:t>D</w:t>
      </w:r>
      <w:r>
        <w:t xml:space="preserve">EF:  </w:t>
      </w:r>
      <w:r>
        <w:tab/>
        <w:t>$395,724,869</w:t>
      </w:r>
      <w:r w:rsidRPr="00D96FBE">
        <w:t>, as re</w:t>
      </w:r>
      <w:r>
        <w:t>flected on Line 28, Schedule E12-A (</w:t>
      </w:r>
      <w:r w:rsidRPr="00D96FBE">
        <w:t>Exhibit CAM-2, Part 3</w:t>
      </w:r>
      <w:r>
        <w:t>, Page 1 of 2)</w:t>
      </w:r>
      <w:r w:rsidRPr="00D96FBE">
        <w:t>.</w:t>
      </w:r>
    </w:p>
    <w:p w:rsidR="009570AF" w:rsidRPr="002977A4" w:rsidRDefault="009570AF" w:rsidP="009570AF">
      <w:pPr>
        <w:tabs>
          <w:tab w:val="left" w:pos="8571"/>
        </w:tabs>
        <w:autoSpaceDE w:val="0"/>
        <w:autoSpaceDN w:val="0"/>
        <w:adjustRightInd w:val="0"/>
        <w:ind w:left="1440" w:hanging="1440"/>
        <w:jc w:val="both"/>
      </w:pPr>
      <w:r w:rsidRPr="001D74AB">
        <w:rPr>
          <w:color w:val="FF0000"/>
        </w:rPr>
        <w:tab/>
      </w:r>
    </w:p>
    <w:p w:rsidR="009570AF" w:rsidRDefault="009570AF" w:rsidP="009570AF">
      <w:pPr>
        <w:tabs>
          <w:tab w:val="left" w:pos="8571"/>
        </w:tabs>
        <w:autoSpaceDE w:val="0"/>
        <w:autoSpaceDN w:val="0"/>
        <w:adjustRightInd w:val="0"/>
        <w:ind w:left="1440" w:hanging="1440"/>
        <w:jc w:val="both"/>
      </w:pPr>
      <w:r>
        <w:t xml:space="preserve">FPL:  </w:t>
      </w:r>
      <w:r>
        <w:tab/>
        <w:t>$260,414,750</w:t>
      </w:r>
      <w:r w:rsidRPr="005239D0">
        <w:t>,</w:t>
      </w:r>
      <w:r>
        <w:t xml:space="preserve"> which excludes </w:t>
      </w:r>
      <w:r w:rsidRPr="00D45ADB">
        <w:t>prior period true-up</w:t>
      </w:r>
      <w:r>
        <w:t xml:space="preserve"> amounts, </w:t>
      </w:r>
      <w:r w:rsidRPr="00D45ADB">
        <w:t>revenue taxes</w:t>
      </w:r>
      <w:r>
        <w:t xml:space="preserve"> and the Indiantown non-fuel base revenue requirement</w:t>
      </w:r>
      <w:r w:rsidRPr="00D45ADB">
        <w:t xml:space="preserve">, </w:t>
      </w:r>
      <w:r>
        <w:t xml:space="preserve">as reflected on Line 27,  Appendix VI - 2019 CCR Projections Schedule (Exhibit RBD-9, Page 2 of 31). </w:t>
      </w:r>
    </w:p>
    <w:p w:rsidR="009570AF" w:rsidRPr="001D74AB" w:rsidRDefault="009570AF" w:rsidP="009570AF">
      <w:pPr>
        <w:tabs>
          <w:tab w:val="left" w:pos="8571"/>
        </w:tabs>
        <w:autoSpaceDE w:val="0"/>
        <w:autoSpaceDN w:val="0"/>
        <w:adjustRightInd w:val="0"/>
        <w:ind w:left="1440" w:hanging="1440"/>
        <w:jc w:val="both"/>
        <w:rPr>
          <w:color w:val="FF0000"/>
        </w:rPr>
      </w:pPr>
      <w:r w:rsidRPr="001D74AB">
        <w:rPr>
          <w:color w:val="FF0000"/>
        </w:rPr>
        <w:tab/>
      </w:r>
      <w:r w:rsidRPr="001D74AB">
        <w:rPr>
          <w:color w:val="FF0000"/>
        </w:rPr>
        <w:tab/>
      </w:r>
      <w:r w:rsidRPr="001D74AB">
        <w:rPr>
          <w:color w:val="FF0000"/>
        </w:rPr>
        <w:tab/>
      </w:r>
    </w:p>
    <w:p w:rsidR="009570AF" w:rsidRPr="001D74AB" w:rsidRDefault="009570AF" w:rsidP="009570AF">
      <w:pPr>
        <w:tabs>
          <w:tab w:val="left" w:pos="8571"/>
        </w:tabs>
        <w:autoSpaceDE w:val="0"/>
        <w:autoSpaceDN w:val="0"/>
        <w:adjustRightInd w:val="0"/>
        <w:ind w:left="1440" w:hanging="1440"/>
        <w:jc w:val="both"/>
        <w:rPr>
          <w:color w:val="FF0000"/>
        </w:rPr>
      </w:pPr>
      <w:r w:rsidRPr="000E0466">
        <w:t xml:space="preserve">GULF:       </w:t>
      </w:r>
      <w:r>
        <w:tab/>
      </w:r>
      <w:r w:rsidRPr="000E0466">
        <w:t>$</w:t>
      </w:r>
      <w:r>
        <w:t xml:space="preserve">74,394,162, which is </w:t>
      </w:r>
      <w:r w:rsidRPr="00CA16F2">
        <w:t>a</w:t>
      </w:r>
      <w:r>
        <w:t xml:space="preserve">djusted for jurisdictional losses, but excludes </w:t>
      </w:r>
      <w:r w:rsidRPr="00D45ADB">
        <w:t>prior period true-up</w:t>
      </w:r>
      <w:r>
        <w:t xml:space="preserve"> amounts</w:t>
      </w:r>
      <w:r w:rsidRPr="00D45ADB">
        <w:t xml:space="preserve">, </w:t>
      </w:r>
      <w:r>
        <w:t xml:space="preserve">and </w:t>
      </w:r>
      <w:r w:rsidRPr="00D45ADB">
        <w:t>revenue taxes</w:t>
      </w:r>
      <w:r>
        <w:t>, a</w:t>
      </w:r>
      <w:r w:rsidRPr="00CA16F2">
        <w:t xml:space="preserve">s reflected </w:t>
      </w:r>
      <w:r>
        <w:t>on Line 7 of Schedule CCE-1, 2019 Projection Filing (</w:t>
      </w:r>
      <w:r w:rsidRPr="00CA16F2">
        <w:t>Exhibit C</w:t>
      </w:r>
      <w:r>
        <w:t>SB-5, Page 36 of 41).</w:t>
      </w:r>
    </w:p>
    <w:p w:rsidR="009570AF" w:rsidRPr="001D74AB" w:rsidRDefault="009570AF" w:rsidP="009570AF">
      <w:pPr>
        <w:tabs>
          <w:tab w:val="left" w:pos="8571"/>
        </w:tabs>
        <w:autoSpaceDE w:val="0"/>
        <w:autoSpaceDN w:val="0"/>
        <w:adjustRightInd w:val="0"/>
        <w:ind w:left="1440" w:hanging="1440"/>
        <w:jc w:val="both"/>
        <w:rPr>
          <w:color w:val="FF0000"/>
        </w:rPr>
      </w:pPr>
    </w:p>
    <w:p w:rsidR="009570AF" w:rsidRPr="001E5CD3" w:rsidRDefault="009570AF" w:rsidP="009570AF">
      <w:pPr>
        <w:tabs>
          <w:tab w:val="left" w:pos="8571"/>
        </w:tabs>
        <w:autoSpaceDE w:val="0"/>
        <w:autoSpaceDN w:val="0"/>
        <w:adjustRightInd w:val="0"/>
        <w:ind w:left="1440" w:hanging="1440"/>
        <w:jc w:val="both"/>
      </w:pPr>
      <w:r w:rsidRPr="001E5CD3">
        <w:t xml:space="preserve">TECO:        </w:t>
      </w:r>
      <w:r>
        <w:t>$14,327,487</w:t>
      </w:r>
      <w:r w:rsidRPr="005239D0">
        <w:t>,</w:t>
      </w:r>
      <w:r>
        <w:t xml:space="preserve"> which excludes </w:t>
      </w:r>
      <w:r w:rsidRPr="00D45ADB">
        <w:t>prior period true-up</w:t>
      </w:r>
      <w:r>
        <w:t xml:space="preserve"> amounts and </w:t>
      </w:r>
      <w:r w:rsidRPr="00D45ADB">
        <w:t xml:space="preserve">revenue taxes, </w:t>
      </w:r>
      <w:r>
        <w:t>as reflected on Line 6, Capacity Cost Recovery Clause Calculation of Energy and Demand Allocation By Rate Class (Exhibit PAR-3, Document No. 1, Page 2 of 4).</w:t>
      </w:r>
    </w:p>
    <w:p w:rsidR="009570AF" w:rsidRDefault="009570AF" w:rsidP="009570AF">
      <w:pPr>
        <w:ind w:left="1440" w:hanging="1440"/>
        <w:jc w:val="both"/>
        <w:rPr>
          <w:b/>
          <w:bCs/>
          <w:u w:val="single"/>
        </w:rPr>
      </w:pPr>
    </w:p>
    <w:p w:rsidR="009570AF" w:rsidRDefault="009570AF" w:rsidP="009570AF">
      <w:pPr>
        <w:ind w:left="1440" w:hanging="1440"/>
        <w:jc w:val="both"/>
        <w:rPr>
          <w:b/>
          <w:bCs/>
          <w:u w:val="single"/>
        </w:rPr>
      </w:pPr>
    </w:p>
    <w:p w:rsidR="009570AF" w:rsidRDefault="009570AF" w:rsidP="009570AF">
      <w:pPr>
        <w:ind w:left="1440" w:hanging="1440"/>
        <w:jc w:val="both"/>
      </w:pPr>
      <w:r>
        <w:rPr>
          <w:b/>
          <w:bCs/>
          <w:u w:val="single"/>
        </w:rPr>
        <w:t>ISSUE 31</w:t>
      </w:r>
      <w:r>
        <w:t>:</w:t>
      </w:r>
      <w:r>
        <w:tab/>
      </w:r>
      <w:r w:rsidRPr="00A16EB4">
        <w:rPr>
          <w:b/>
        </w:rPr>
        <w:t>What are the appropriate projected net purchased power capacity cost recovery amounts to be included in the recovery factor for the period January 2019 through December 2019?</w:t>
      </w:r>
      <w:r>
        <w:t xml:space="preserve">                                                                                              </w:t>
      </w:r>
    </w:p>
    <w:p w:rsidR="009570AF" w:rsidRDefault="009570AF" w:rsidP="009570AF">
      <w:pPr>
        <w:autoSpaceDE w:val="0"/>
        <w:autoSpaceDN w:val="0"/>
        <w:adjustRightInd w:val="0"/>
        <w:jc w:val="both"/>
        <w:rPr>
          <w:b/>
          <w:bCs/>
          <w:u w:val="single"/>
        </w:rPr>
      </w:pPr>
    </w:p>
    <w:p w:rsidR="009570AF" w:rsidRDefault="009570AF" w:rsidP="009570AF">
      <w:pPr>
        <w:tabs>
          <w:tab w:val="left" w:pos="8571"/>
        </w:tabs>
        <w:autoSpaceDE w:val="0"/>
        <w:autoSpaceDN w:val="0"/>
        <w:adjustRightInd w:val="0"/>
        <w:ind w:left="1440" w:hanging="1440"/>
        <w:jc w:val="both"/>
      </w:pPr>
      <w:r>
        <w:rPr>
          <w:b/>
          <w:u w:val="single"/>
        </w:rPr>
        <w:t>STIPULATION</w:t>
      </w:r>
      <w:r>
        <w:t>:</w:t>
      </w:r>
    </w:p>
    <w:p w:rsidR="009570AF" w:rsidRDefault="009570AF" w:rsidP="009570AF">
      <w:pPr>
        <w:tabs>
          <w:tab w:val="left" w:pos="8571"/>
        </w:tabs>
        <w:autoSpaceDE w:val="0"/>
        <w:autoSpaceDN w:val="0"/>
        <w:adjustRightInd w:val="0"/>
        <w:ind w:left="1440" w:hanging="1440"/>
        <w:jc w:val="both"/>
      </w:pPr>
      <w:r>
        <w:tab/>
      </w:r>
    </w:p>
    <w:p w:rsidR="009570AF" w:rsidRDefault="009570AF" w:rsidP="009570AF">
      <w:pPr>
        <w:tabs>
          <w:tab w:val="left" w:pos="8571"/>
        </w:tabs>
        <w:autoSpaceDE w:val="0"/>
        <w:autoSpaceDN w:val="0"/>
        <w:adjustRightInd w:val="0"/>
        <w:ind w:left="1440" w:hanging="1440"/>
        <w:jc w:val="both"/>
        <w:rPr>
          <w:bCs/>
        </w:rPr>
      </w:pPr>
      <w:r>
        <w:rPr>
          <w:b/>
        </w:rPr>
        <w:tab/>
      </w:r>
      <w:r>
        <w:t xml:space="preserve">The appropriate projected net purchased power capacity cost recovery amounts to be included in the recovery factor for the period January 2019 </w:t>
      </w:r>
      <w:r w:rsidRPr="00493182">
        <w:t>through</w:t>
      </w:r>
      <w:r>
        <w:t xml:space="preserve"> December 2019 are as follows:</w:t>
      </w:r>
    </w:p>
    <w:p w:rsidR="009570AF" w:rsidRDefault="009570AF" w:rsidP="009570AF">
      <w:pPr>
        <w:tabs>
          <w:tab w:val="left" w:pos="8571"/>
        </w:tabs>
        <w:autoSpaceDE w:val="0"/>
        <w:autoSpaceDN w:val="0"/>
        <w:adjustRightInd w:val="0"/>
        <w:ind w:left="1440" w:hanging="1440"/>
        <w:jc w:val="both"/>
      </w:pPr>
    </w:p>
    <w:p w:rsidR="009570AF" w:rsidRPr="00D96FBE" w:rsidRDefault="009570AF" w:rsidP="009570AF">
      <w:pPr>
        <w:tabs>
          <w:tab w:val="left" w:pos="8571"/>
        </w:tabs>
        <w:autoSpaceDE w:val="0"/>
        <w:autoSpaceDN w:val="0"/>
        <w:adjustRightInd w:val="0"/>
        <w:ind w:left="1440" w:hanging="1440"/>
        <w:jc w:val="both"/>
      </w:pPr>
      <w:r w:rsidRPr="00D96FBE">
        <w:t xml:space="preserve">DEF:  </w:t>
      </w:r>
      <w:r w:rsidRPr="00D96FBE">
        <w:tab/>
        <w:t>$430,136,347, as reflected</w:t>
      </w:r>
      <w:r w:rsidRPr="00F97EA6">
        <w:t xml:space="preserve"> </w:t>
      </w:r>
      <w:r>
        <w:t>on Line 39, Schedule E12-A (</w:t>
      </w:r>
      <w:r w:rsidRPr="00D96FBE">
        <w:t>Exhibit CAM-2, Part 3</w:t>
      </w:r>
      <w:r>
        <w:t>, Page 1 of 2)</w:t>
      </w:r>
      <w:r w:rsidRPr="00D96FBE">
        <w:t>.</w:t>
      </w:r>
    </w:p>
    <w:p w:rsidR="009570AF" w:rsidRPr="002977A4" w:rsidRDefault="009570AF" w:rsidP="009570AF">
      <w:pPr>
        <w:tabs>
          <w:tab w:val="left" w:pos="8571"/>
        </w:tabs>
        <w:autoSpaceDE w:val="0"/>
        <w:autoSpaceDN w:val="0"/>
        <w:adjustRightInd w:val="0"/>
        <w:ind w:left="1440" w:hanging="1440"/>
        <w:jc w:val="both"/>
      </w:pPr>
      <w:r w:rsidRPr="001D74AB">
        <w:rPr>
          <w:color w:val="FF0000"/>
        </w:rPr>
        <w:tab/>
      </w:r>
    </w:p>
    <w:p w:rsidR="009570AF" w:rsidRDefault="009570AF" w:rsidP="009570AF">
      <w:pPr>
        <w:tabs>
          <w:tab w:val="left" w:pos="8571"/>
        </w:tabs>
        <w:autoSpaceDE w:val="0"/>
        <w:autoSpaceDN w:val="0"/>
        <w:adjustRightInd w:val="0"/>
        <w:ind w:left="1440" w:hanging="1440"/>
        <w:jc w:val="both"/>
      </w:pPr>
      <w:r>
        <w:t>FPL:</w:t>
      </w:r>
      <w:r>
        <w:tab/>
        <w:t>$259,700,749</w:t>
      </w:r>
      <w:r w:rsidRPr="005239D0">
        <w:t>,</w:t>
      </w:r>
      <w:r>
        <w:t xml:space="preserve"> which includes </w:t>
      </w:r>
      <w:r w:rsidRPr="00D45ADB">
        <w:t>prior period true-up</w:t>
      </w:r>
      <w:r>
        <w:t xml:space="preserve"> amounts, </w:t>
      </w:r>
      <w:r w:rsidRPr="00D45ADB">
        <w:t>revenue taxes</w:t>
      </w:r>
      <w:r>
        <w:t xml:space="preserve"> and the Indiantown non-fuel based revenue requirement</w:t>
      </w:r>
      <w:r w:rsidRPr="00D45ADB">
        <w:t xml:space="preserve">, </w:t>
      </w:r>
      <w:r>
        <w:t xml:space="preserve">as reflected Line 39,  Appendix </w:t>
      </w:r>
      <w:r>
        <w:lastRenderedPageBreak/>
        <w:t>VI - 2019 CCR Projections Schedule (Exhibit RBD-9, Page 2 of 31) plus Line 15, Appendix VI – 2019 CCR Projections Schedule (Exhibit RBD-9, Page 17 of 31).</w:t>
      </w:r>
    </w:p>
    <w:p w:rsidR="009570AF" w:rsidRPr="002977A4" w:rsidRDefault="009570AF" w:rsidP="009570AF">
      <w:pPr>
        <w:tabs>
          <w:tab w:val="left" w:pos="8571"/>
        </w:tabs>
        <w:autoSpaceDE w:val="0"/>
        <w:autoSpaceDN w:val="0"/>
        <w:adjustRightInd w:val="0"/>
        <w:ind w:left="1440" w:hanging="1440"/>
        <w:jc w:val="both"/>
      </w:pPr>
      <w:r w:rsidRPr="002977A4">
        <w:tab/>
      </w:r>
      <w:r w:rsidRPr="002977A4">
        <w:tab/>
      </w:r>
      <w:r w:rsidRPr="002977A4">
        <w:tab/>
      </w:r>
    </w:p>
    <w:p w:rsidR="009570AF" w:rsidRDefault="009570AF" w:rsidP="009570AF">
      <w:pPr>
        <w:tabs>
          <w:tab w:val="left" w:pos="8571"/>
        </w:tabs>
        <w:autoSpaceDE w:val="0"/>
        <w:autoSpaceDN w:val="0"/>
        <w:adjustRightInd w:val="0"/>
        <w:ind w:left="1440" w:hanging="1440"/>
        <w:jc w:val="both"/>
      </w:pPr>
      <w:r w:rsidRPr="000E0466">
        <w:t xml:space="preserve">GULF: </w:t>
      </w:r>
      <w:r>
        <w:rPr>
          <w:color w:val="FF0000"/>
        </w:rPr>
        <w:t xml:space="preserve">         </w:t>
      </w:r>
      <w:r w:rsidRPr="000E0466">
        <w:t>$</w:t>
      </w:r>
      <w:r>
        <w:t xml:space="preserve">72,412,251, which is </w:t>
      </w:r>
      <w:r w:rsidRPr="00CA16F2">
        <w:t>a</w:t>
      </w:r>
      <w:r>
        <w:t xml:space="preserve">djusted for jurisdictional losses, and includes </w:t>
      </w:r>
      <w:r w:rsidRPr="00D45ADB">
        <w:t>prior period true-up</w:t>
      </w:r>
      <w:r>
        <w:t xml:space="preserve"> amounts</w:t>
      </w:r>
      <w:r w:rsidRPr="00D45ADB">
        <w:t xml:space="preserve"> </w:t>
      </w:r>
      <w:r>
        <w:t xml:space="preserve">and </w:t>
      </w:r>
      <w:r w:rsidRPr="00D45ADB">
        <w:t>revenue taxes</w:t>
      </w:r>
      <w:r>
        <w:t>, a</w:t>
      </w:r>
      <w:r w:rsidRPr="00CA16F2">
        <w:t xml:space="preserve">s reflected </w:t>
      </w:r>
      <w:r>
        <w:t>on Line 11 of Schedule CCE-1, 2019 Projection Filing (</w:t>
      </w:r>
      <w:r w:rsidRPr="00CA16F2">
        <w:t>Exhibit C</w:t>
      </w:r>
      <w:r>
        <w:t>SB-5, Page 36 of 41).</w:t>
      </w:r>
    </w:p>
    <w:p w:rsidR="009570AF" w:rsidRPr="001D74AB" w:rsidRDefault="009570AF" w:rsidP="009570AF">
      <w:pPr>
        <w:tabs>
          <w:tab w:val="left" w:pos="8571"/>
        </w:tabs>
        <w:autoSpaceDE w:val="0"/>
        <w:autoSpaceDN w:val="0"/>
        <w:adjustRightInd w:val="0"/>
        <w:ind w:left="1440" w:hanging="1440"/>
        <w:jc w:val="both"/>
        <w:rPr>
          <w:color w:val="FF0000"/>
        </w:rPr>
      </w:pPr>
    </w:p>
    <w:p w:rsidR="009570AF" w:rsidRDefault="009570AF" w:rsidP="009570AF">
      <w:pPr>
        <w:tabs>
          <w:tab w:val="left" w:pos="8571"/>
        </w:tabs>
        <w:autoSpaceDE w:val="0"/>
        <w:autoSpaceDN w:val="0"/>
        <w:adjustRightInd w:val="0"/>
        <w:ind w:left="1440" w:hanging="1440"/>
        <w:jc w:val="both"/>
      </w:pPr>
      <w:r w:rsidRPr="001E5CD3">
        <w:t xml:space="preserve">TECO:        </w:t>
      </w:r>
      <w:r>
        <w:t>$17,124,796</w:t>
      </w:r>
      <w:r w:rsidRPr="005239D0">
        <w:t>,</w:t>
      </w:r>
      <w:r>
        <w:t xml:space="preserve"> which includes </w:t>
      </w:r>
      <w:r w:rsidRPr="00D45ADB">
        <w:t>prior period true-up</w:t>
      </w:r>
      <w:r>
        <w:t xml:space="preserve"> amounts and </w:t>
      </w:r>
      <w:r w:rsidRPr="00D45ADB">
        <w:t xml:space="preserve">revenue taxes, </w:t>
      </w:r>
      <w:r>
        <w:t>as reflected on Line 10, Capacity Cost Recovery Clause Calculation of Energy and Demand Allocation By Rate Class (Exhibit PAR-3, Document No. 1, Page 2 of 4).</w:t>
      </w:r>
    </w:p>
    <w:p w:rsidR="009570AF" w:rsidRPr="001E5CD3" w:rsidRDefault="009570AF" w:rsidP="009570AF">
      <w:pPr>
        <w:tabs>
          <w:tab w:val="left" w:pos="8571"/>
        </w:tabs>
        <w:autoSpaceDE w:val="0"/>
        <w:autoSpaceDN w:val="0"/>
        <w:adjustRightInd w:val="0"/>
        <w:ind w:left="1440" w:hanging="1440"/>
        <w:jc w:val="both"/>
      </w:pPr>
    </w:p>
    <w:p w:rsidR="009570AF" w:rsidRDefault="009570AF" w:rsidP="009570AF">
      <w:pPr>
        <w:autoSpaceDE w:val="0"/>
        <w:autoSpaceDN w:val="0"/>
        <w:adjustRightInd w:val="0"/>
        <w:ind w:left="1440" w:hanging="1440"/>
        <w:jc w:val="both"/>
        <w:rPr>
          <w:b/>
          <w:bCs/>
          <w:u w:val="single"/>
        </w:rPr>
      </w:pPr>
    </w:p>
    <w:p w:rsidR="009570AF" w:rsidRDefault="009570AF" w:rsidP="009570AF">
      <w:pPr>
        <w:autoSpaceDE w:val="0"/>
        <w:autoSpaceDN w:val="0"/>
        <w:adjustRightInd w:val="0"/>
        <w:ind w:left="1440" w:hanging="1440"/>
        <w:jc w:val="both"/>
      </w:pPr>
      <w:r>
        <w:rPr>
          <w:b/>
          <w:bCs/>
          <w:u w:val="single"/>
        </w:rPr>
        <w:t>ISSUE 32</w:t>
      </w:r>
      <w:r>
        <w:t>:</w:t>
      </w:r>
      <w:r>
        <w:tab/>
      </w:r>
      <w:r w:rsidRPr="00A16EB4">
        <w:rPr>
          <w:b/>
        </w:rPr>
        <w:t>What are the appropriate jurisdictional separation factors for capacity revenues and costs to be included in the recovery factor for the period January 2019 through December 2019?</w:t>
      </w:r>
      <w:r w:rsidRPr="00DE79D3">
        <w:rPr>
          <w:highlight w:val="yellow"/>
        </w:rPr>
        <w:t xml:space="preserve"> </w:t>
      </w:r>
    </w:p>
    <w:p w:rsidR="009570AF" w:rsidRDefault="009570AF" w:rsidP="009570AF">
      <w:pPr>
        <w:autoSpaceDE w:val="0"/>
        <w:autoSpaceDN w:val="0"/>
        <w:adjustRightInd w:val="0"/>
        <w:ind w:left="1440" w:hanging="1440"/>
        <w:jc w:val="both"/>
      </w:pPr>
    </w:p>
    <w:p w:rsidR="009570AF" w:rsidRDefault="009570AF" w:rsidP="009570AF">
      <w:pPr>
        <w:tabs>
          <w:tab w:val="left" w:pos="8571"/>
        </w:tabs>
        <w:autoSpaceDE w:val="0"/>
        <w:autoSpaceDN w:val="0"/>
        <w:adjustRightInd w:val="0"/>
        <w:ind w:left="1440" w:hanging="1440"/>
        <w:jc w:val="both"/>
        <w:rPr>
          <w:b/>
        </w:rPr>
      </w:pPr>
      <w:r>
        <w:rPr>
          <w:b/>
          <w:u w:val="single"/>
        </w:rPr>
        <w:t>STIPULATION</w:t>
      </w:r>
      <w:r>
        <w:rPr>
          <w:b/>
        </w:rPr>
        <w:t>:</w:t>
      </w:r>
    </w:p>
    <w:p w:rsidR="009570AF" w:rsidRDefault="009570AF" w:rsidP="009570AF">
      <w:pPr>
        <w:tabs>
          <w:tab w:val="left" w:pos="8571"/>
        </w:tabs>
        <w:autoSpaceDE w:val="0"/>
        <w:autoSpaceDN w:val="0"/>
        <w:adjustRightInd w:val="0"/>
        <w:ind w:left="1440" w:hanging="1440"/>
        <w:jc w:val="both"/>
        <w:rPr>
          <w:b/>
        </w:rPr>
      </w:pPr>
      <w:r w:rsidRPr="00EB395D">
        <w:rPr>
          <w:b/>
        </w:rPr>
        <w:t xml:space="preserve">   </w:t>
      </w:r>
    </w:p>
    <w:p w:rsidR="009570AF" w:rsidRPr="00EB395D" w:rsidRDefault="009570AF" w:rsidP="009570AF">
      <w:pPr>
        <w:tabs>
          <w:tab w:val="left" w:pos="8571"/>
        </w:tabs>
        <w:autoSpaceDE w:val="0"/>
        <w:autoSpaceDN w:val="0"/>
        <w:adjustRightInd w:val="0"/>
        <w:ind w:left="1440" w:hanging="1440"/>
        <w:jc w:val="both"/>
      </w:pPr>
      <w:r>
        <w:rPr>
          <w:b/>
        </w:rPr>
        <w:tab/>
      </w:r>
      <w:r>
        <w:t>T</w:t>
      </w:r>
      <w:r w:rsidRPr="00EB395D">
        <w:t>he appropriate jurisdictional separation factors for capacity revenues and costs to be included in the recovery fa</w:t>
      </w:r>
      <w:r>
        <w:t>ctor for the period January 2019 through December 2019 are as follows:</w:t>
      </w:r>
    </w:p>
    <w:p w:rsidR="009570AF" w:rsidRDefault="009570AF" w:rsidP="009570AF">
      <w:pPr>
        <w:tabs>
          <w:tab w:val="left" w:pos="8571"/>
        </w:tabs>
        <w:autoSpaceDE w:val="0"/>
        <w:autoSpaceDN w:val="0"/>
        <w:adjustRightInd w:val="0"/>
        <w:ind w:left="1440" w:hanging="1440"/>
        <w:jc w:val="both"/>
        <w:rPr>
          <w:b/>
        </w:rPr>
      </w:pPr>
    </w:p>
    <w:p w:rsidR="009570AF" w:rsidRDefault="009570AF" w:rsidP="009570AF">
      <w:pPr>
        <w:tabs>
          <w:tab w:val="left" w:pos="8571"/>
        </w:tabs>
        <w:autoSpaceDE w:val="0"/>
        <w:autoSpaceDN w:val="0"/>
        <w:adjustRightInd w:val="0"/>
        <w:ind w:left="1440" w:hanging="1440"/>
        <w:jc w:val="both"/>
      </w:pPr>
      <w:r w:rsidRPr="003133A6">
        <w:t>DEF:</w:t>
      </w:r>
      <w:r w:rsidRPr="003133A6">
        <w:rPr>
          <w:b/>
        </w:rPr>
        <w:tab/>
      </w:r>
      <w:r w:rsidRPr="003133A6">
        <w:t xml:space="preserve">Base – 92.885%, Intermediate – 72.703%, </w:t>
      </w:r>
      <w:r>
        <w:t xml:space="preserve">and </w:t>
      </w:r>
      <w:r w:rsidRPr="003133A6">
        <w:t>Peaking – 95.924%</w:t>
      </w:r>
      <w:r>
        <w:t>, as reflected on Lines 10, 16, and 23, respectively, on Schedule E12-A (Exhibit CAM-3</w:t>
      </w:r>
      <w:r w:rsidRPr="00D96FBE">
        <w:t>, Part 3</w:t>
      </w:r>
      <w:r>
        <w:t>, Page 1 of 2).</w:t>
      </w:r>
    </w:p>
    <w:p w:rsidR="009570AF" w:rsidRPr="006B0AEA" w:rsidRDefault="009570AF" w:rsidP="009570AF">
      <w:pPr>
        <w:tabs>
          <w:tab w:val="left" w:pos="8571"/>
        </w:tabs>
        <w:autoSpaceDE w:val="0"/>
        <w:autoSpaceDN w:val="0"/>
        <w:adjustRightInd w:val="0"/>
        <w:ind w:left="1440" w:hanging="1440"/>
        <w:jc w:val="both"/>
        <w:rPr>
          <w:b/>
        </w:rPr>
      </w:pPr>
    </w:p>
    <w:p w:rsidR="009570AF" w:rsidRPr="006B0AEA" w:rsidRDefault="009570AF" w:rsidP="009570AF">
      <w:pPr>
        <w:keepNext/>
        <w:keepLines/>
        <w:ind w:left="1440" w:hanging="1440"/>
        <w:jc w:val="both"/>
      </w:pPr>
      <w:r w:rsidRPr="006B0AEA">
        <w:rPr>
          <w:bCs/>
        </w:rPr>
        <w:t>FPL:</w:t>
      </w:r>
      <w:r>
        <w:tab/>
      </w:r>
    </w:p>
    <w:tbl>
      <w:tblPr>
        <w:tblStyle w:val="TableGrid"/>
        <w:tblW w:w="0" w:type="auto"/>
        <w:tblInd w:w="1440" w:type="dxa"/>
        <w:tblLook w:val="04A0" w:firstRow="1" w:lastRow="0" w:firstColumn="1" w:lastColumn="0" w:noHBand="0" w:noVBand="1"/>
      </w:tblPr>
      <w:tblGrid>
        <w:gridCol w:w="5958"/>
        <w:gridCol w:w="2178"/>
      </w:tblGrid>
      <w:tr w:rsidR="009570AF" w:rsidTr="009570AF">
        <w:tc>
          <w:tcPr>
            <w:tcW w:w="5958" w:type="dxa"/>
          </w:tcPr>
          <w:p w:rsidR="009570AF" w:rsidRPr="006C4443" w:rsidRDefault="009570AF" w:rsidP="009570AF">
            <w:pPr>
              <w:keepNext/>
              <w:keepLines/>
              <w:jc w:val="both"/>
              <w:rPr>
                <w:b/>
              </w:rPr>
            </w:pPr>
            <w:r>
              <w:rPr>
                <w:b/>
              </w:rPr>
              <w:t>Demand</w:t>
            </w:r>
          </w:p>
        </w:tc>
        <w:tc>
          <w:tcPr>
            <w:tcW w:w="2178" w:type="dxa"/>
          </w:tcPr>
          <w:p w:rsidR="009570AF" w:rsidRPr="006C4443" w:rsidRDefault="009570AF" w:rsidP="009570AF">
            <w:pPr>
              <w:keepNext/>
              <w:keepLines/>
              <w:jc w:val="both"/>
              <w:rPr>
                <w:b/>
              </w:rPr>
            </w:pPr>
            <w:r w:rsidRPr="006C4443">
              <w:rPr>
                <w:b/>
              </w:rPr>
              <w:t>Separation Factors</w:t>
            </w:r>
          </w:p>
        </w:tc>
      </w:tr>
      <w:tr w:rsidR="009570AF" w:rsidTr="009570AF">
        <w:tc>
          <w:tcPr>
            <w:tcW w:w="5958" w:type="dxa"/>
          </w:tcPr>
          <w:p w:rsidR="009570AF" w:rsidRDefault="009570AF" w:rsidP="009570AF">
            <w:pPr>
              <w:keepNext/>
              <w:keepLines/>
              <w:jc w:val="both"/>
            </w:pPr>
            <w:r>
              <w:t>Transmission</w:t>
            </w:r>
          </w:p>
        </w:tc>
        <w:tc>
          <w:tcPr>
            <w:tcW w:w="2178" w:type="dxa"/>
          </w:tcPr>
          <w:p w:rsidR="009570AF" w:rsidRDefault="009570AF" w:rsidP="009570AF">
            <w:pPr>
              <w:keepNext/>
              <w:keepLines/>
              <w:jc w:val="center"/>
            </w:pPr>
            <w:r>
              <w:t>0.892071</w:t>
            </w:r>
          </w:p>
        </w:tc>
      </w:tr>
      <w:tr w:rsidR="009570AF" w:rsidTr="009570AF">
        <w:tc>
          <w:tcPr>
            <w:tcW w:w="5958" w:type="dxa"/>
          </w:tcPr>
          <w:p w:rsidR="009570AF" w:rsidRDefault="009570AF" w:rsidP="009570AF">
            <w:pPr>
              <w:keepNext/>
              <w:keepLines/>
              <w:jc w:val="both"/>
            </w:pPr>
            <w:r>
              <w:t>System Average Production Demand (base and solar)</w:t>
            </w:r>
          </w:p>
        </w:tc>
        <w:tc>
          <w:tcPr>
            <w:tcW w:w="2178" w:type="dxa"/>
          </w:tcPr>
          <w:p w:rsidR="009570AF" w:rsidRDefault="009570AF" w:rsidP="009570AF">
            <w:pPr>
              <w:keepNext/>
              <w:keepLines/>
              <w:jc w:val="center"/>
            </w:pPr>
            <w:r>
              <w:t>0.957589</w:t>
            </w:r>
          </w:p>
        </w:tc>
      </w:tr>
      <w:tr w:rsidR="009570AF" w:rsidTr="009570AF">
        <w:tc>
          <w:tcPr>
            <w:tcW w:w="5958" w:type="dxa"/>
          </w:tcPr>
          <w:p w:rsidR="009570AF" w:rsidRDefault="009570AF" w:rsidP="009570AF">
            <w:pPr>
              <w:keepNext/>
              <w:keepLines/>
              <w:jc w:val="both"/>
            </w:pPr>
            <w:r>
              <w:t>Contract Adjusted Demand – Intermediate</w:t>
            </w:r>
          </w:p>
        </w:tc>
        <w:tc>
          <w:tcPr>
            <w:tcW w:w="2178" w:type="dxa"/>
          </w:tcPr>
          <w:p w:rsidR="009570AF" w:rsidRDefault="009570AF" w:rsidP="009570AF">
            <w:pPr>
              <w:keepNext/>
              <w:keepLines/>
              <w:jc w:val="center"/>
            </w:pPr>
            <w:r>
              <w:t>0.942474</w:t>
            </w:r>
          </w:p>
        </w:tc>
      </w:tr>
      <w:tr w:rsidR="009570AF" w:rsidTr="009570AF">
        <w:tc>
          <w:tcPr>
            <w:tcW w:w="5958" w:type="dxa"/>
          </w:tcPr>
          <w:p w:rsidR="009570AF" w:rsidRDefault="009570AF" w:rsidP="009570AF">
            <w:pPr>
              <w:keepNext/>
              <w:keepLines/>
              <w:jc w:val="both"/>
            </w:pPr>
            <w:r>
              <w:t>Contract Adjusted Demand – Peaking</w:t>
            </w:r>
          </w:p>
        </w:tc>
        <w:tc>
          <w:tcPr>
            <w:tcW w:w="2178" w:type="dxa"/>
          </w:tcPr>
          <w:p w:rsidR="009570AF" w:rsidRDefault="009570AF" w:rsidP="009570AF">
            <w:pPr>
              <w:keepNext/>
              <w:keepLines/>
              <w:jc w:val="center"/>
            </w:pPr>
            <w:r>
              <w:t>0.953443</w:t>
            </w:r>
          </w:p>
        </w:tc>
      </w:tr>
      <w:tr w:rsidR="009570AF" w:rsidTr="009570AF">
        <w:tc>
          <w:tcPr>
            <w:tcW w:w="5958" w:type="dxa"/>
          </w:tcPr>
          <w:p w:rsidR="009570AF" w:rsidRPr="006C4443" w:rsidRDefault="009570AF" w:rsidP="009570AF">
            <w:pPr>
              <w:keepNext/>
              <w:keepLines/>
              <w:jc w:val="both"/>
              <w:rPr>
                <w:b/>
              </w:rPr>
            </w:pPr>
            <w:r>
              <w:rPr>
                <w:b/>
              </w:rPr>
              <w:t>Energy</w:t>
            </w:r>
          </w:p>
        </w:tc>
        <w:tc>
          <w:tcPr>
            <w:tcW w:w="2178" w:type="dxa"/>
          </w:tcPr>
          <w:p w:rsidR="009570AF" w:rsidRDefault="009570AF" w:rsidP="009570AF">
            <w:pPr>
              <w:keepNext/>
              <w:keepLines/>
              <w:jc w:val="center"/>
            </w:pPr>
          </w:p>
        </w:tc>
      </w:tr>
      <w:tr w:rsidR="009570AF" w:rsidTr="009570AF">
        <w:tc>
          <w:tcPr>
            <w:tcW w:w="5958" w:type="dxa"/>
          </w:tcPr>
          <w:p w:rsidR="009570AF" w:rsidRDefault="009570AF" w:rsidP="009570AF">
            <w:pPr>
              <w:keepNext/>
              <w:keepLines/>
              <w:jc w:val="both"/>
            </w:pPr>
            <w:r>
              <w:t>System Average Production Demand (base and solar)</w:t>
            </w:r>
          </w:p>
        </w:tc>
        <w:tc>
          <w:tcPr>
            <w:tcW w:w="2178" w:type="dxa"/>
          </w:tcPr>
          <w:p w:rsidR="009570AF" w:rsidRDefault="009570AF" w:rsidP="009570AF">
            <w:pPr>
              <w:keepNext/>
              <w:keepLines/>
              <w:jc w:val="center"/>
            </w:pPr>
            <w:r>
              <w:t>0.959309</w:t>
            </w:r>
          </w:p>
        </w:tc>
      </w:tr>
      <w:tr w:rsidR="009570AF" w:rsidTr="009570AF">
        <w:tc>
          <w:tcPr>
            <w:tcW w:w="5958" w:type="dxa"/>
          </w:tcPr>
          <w:p w:rsidR="009570AF" w:rsidRDefault="009570AF" w:rsidP="009570AF">
            <w:pPr>
              <w:keepNext/>
              <w:keepLines/>
              <w:jc w:val="both"/>
            </w:pPr>
            <w:r>
              <w:t>Contract Adjusted Demand – Intermediate</w:t>
            </w:r>
          </w:p>
        </w:tc>
        <w:tc>
          <w:tcPr>
            <w:tcW w:w="2178" w:type="dxa"/>
          </w:tcPr>
          <w:p w:rsidR="009570AF" w:rsidRDefault="009570AF" w:rsidP="009570AF">
            <w:pPr>
              <w:keepNext/>
              <w:keepLines/>
              <w:jc w:val="center"/>
            </w:pPr>
            <w:r>
              <w:t>0.944167</w:t>
            </w:r>
          </w:p>
        </w:tc>
      </w:tr>
      <w:tr w:rsidR="009570AF" w:rsidTr="009570AF">
        <w:tc>
          <w:tcPr>
            <w:tcW w:w="5958" w:type="dxa"/>
          </w:tcPr>
          <w:p w:rsidR="009570AF" w:rsidRDefault="009570AF" w:rsidP="009570AF">
            <w:pPr>
              <w:keepNext/>
              <w:keepLines/>
              <w:jc w:val="both"/>
            </w:pPr>
            <w:r>
              <w:t>Contract Adjusted Demand - Peaking</w:t>
            </w:r>
          </w:p>
        </w:tc>
        <w:tc>
          <w:tcPr>
            <w:tcW w:w="2178" w:type="dxa"/>
          </w:tcPr>
          <w:p w:rsidR="009570AF" w:rsidRDefault="009570AF" w:rsidP="009570AF">
            <w:pPr>
              <w:keepNext/>
              <w:keepLines/>
              <w:jc w:val="center"/>
            </w:pPr>
            <w:r>
              <w:t>0.955155</w:t>
            </w:r>
          </w:p>
        </w:tc>
      </w:tr>
      <w:tr w:rsidR="009570AF" w:rsidTr="009570AF">
        <w:tc>
          <w:tcPr>
            <w:tcW w:w="5958" w:type="dxa"/>
          </w:tcPr>
          <w:p w:rsidR="009570AF" w:rsidRPr="006C4443" w:rsidRDefault="009570AF" w:rsidP="009570AF">
            <w:pPr>
              <w:keepNext/>
              <w:keepLines/>
              <w:jc w:val="both"/>
              <w:rPr>
                <w:b/>
              </w:rPr>
            </w:pPr>
            <w:r>
              <w:rPr>
                <w:b/>
              </w:rPr>
              <w:t>General Plant</w:t>
            </w:r>
          </w:p>
        </w:tc>
        <w:tc>
          <w:tcPr>
            <w:tcW w:w="2178" w:type="dxa"/>
          </w:tcPr>
          <w:p w:rsidR="009570AF" w:rsidRPr="006C4443" w:rsidRDefault="009570AF" w:rsidP="009570AF">
            <w:pPr>
              <w:keepNext/>
              <w:keepLines/>
              <w:jc w:val="center"/>
            </w:pPr>
            <w:r w:rsidRPr="006C4443">
              <w:t>0.969214</w:t>
            </w:r>
          </w:p>
        </w:tc>
      </w:tr>
      <w:tr w:rsidR="009570AF" w:rsidTr="009570AF">
        <w:tc>
          <w:tcPr>
            <w:tcW w:w="5958" w:type="dxa"/>
          </w:tcPr>
          <w:p w:rsidR="009570AF" w:rsidRPr="006C4443" w:rsidRDefault="009570AF" w:rsidP="009570AF">
            <w:pPr>
              <w:keepNext/>
              <w:keepLines/>
              <w:jc w:val="both"/>
              <w:rPr>
                <w:b/>
              </w:rPr>
            </w:pPr>
            <w:r>
              <w:rPr>
                <w:b/>
              </w:rPr>
              <w:t>Distribution</w:t>
            </w:r>
          </w:p>
        </w:tc>
        <w:tc>
          <w:tcPr>
            <w:tcW w:w="2178" w:type="dxa"/>
          </w:tcPr>
          <w:p w:rsidR="009570AF" w:rsidRPr="006C4443" w:rsidRDefault="009570AF" w:rsidP="009570AF">
            <w:pPr>
              <w:keepNext/>
              <w:keepLines/>
              <w:jc w:val="center"/>
            </w:pPr>
            <w:r w:rsidRPr="006C4443">
              <w:t>1.00000</w:t>
            </w:r>
          </w:p>
        </w:tc>
      </w:tr>
    </w:tbl>
    <w:p w:rsidR="009570AF" w:rsidRPr="00A16EB4" w:rsidRDefault="009570AF" w:rsidP="009570AF">
      <w:pPr>
        <w:keepNext/>
        <w:keepLines/>
        <w:ind w:left="1440" w:hanging="1440"/>
        <w:jc w:val="both"/>
        <w:rPr>
          <w:sz w:val="22"/>
          <w:szCs w:val="22"/>
        </w:rPr>
      </w:pPr>
      <w:r>
        <w:tab/>
      </w:r>
      <w:r w:rsidRPr="006B0AEA">
        <w:t xml:space="preserve"> </w:t>
      </w:r>
      <w:r w:rsidR="00A16EB4">
        <w:rPr>
          <w:sz w:val="22"/>
          <w:szCs w:val="22"/>
        </w:rPr>
        <w:t xml:space="preserve">Source: </w:t>
      </w:r>
      <w:r w:rsidRPr="00A16EB4">
        <w:rPr>
          <w:sz w:val="22"/>
          <w:szCs w:val="22"/>
        </w:rPr>
        <w:t>Appendix VI- 2019 CCR Projections Schedule (Exhibit RBD-9, Page 22 of 31).</w:t>
      </w:r>
    </w:p>
    <w:p w:rsidR="009570AF" w:rsidRPr="001D74AB" w:rsidRDefault="009570AF" w:rsidP="009570AF">
      <w:pPr>
        <w:jc w:val="both"/>
        <w:rPr>
          <w:b/>
          <w:color w:val="FF0000"/>
        </w:rPr>
      </w:pPr>
    </w:p>
    <w:p w:rsidR="009570AF" w:rsidRPr="001D74AB" w:rsidRDefault="009570AF" w:rsidP="009570AF">
      <w:pPr>
        <w:tabs>
          <w:tab w:val="left" w:pos="8571"/>
        </w:tabs>
        <w:autoSpaceDE w:val="0"/>
        <w:autoSpaceDN w:val="0"/>
        <w:adjustRightInd w:val="0"/>
        <w:ind w:left="1440" w:hanging="1440"/>
        <w:jc w:val="both"/>
        <w:rPr>
          <w:color w:val="FF0000"/>
        </w:rPr>
      </w:pPr>
      <w:r w:rsidRPr="00166E48">
        <w:t>GULF:</w:t>
      </w:r>
      <w:r w:rsidRPr="001D74AB">
        <w:rPr>
          <w:b/>
          <w:color w:val="FF0000"/>
        </w:rPr>
        <w:tab/>
      </w:r>
      <w:r w:rsidRPr="00166E48">
        <w:t xml:space="preserve">FPSC - 97.18277%, and FERC - 2.81723%, as reflected on </w:t>
      </w:r>
      <w:r>
        <w:t>Schedule CCE-1, 2019 Projection Filing (</w:t>
      </w:r>
      <w:r w:rsidRPr="00CA16F2">
        <w:t>Exhibit C</w:t>
      </w:r>
      <w:r>
        <w:t>SB-5, Page 36 of 41).</w:t>
      </w:r>
    </w:p>
    <w:p w:rsidR="009570AF" w:rsidRPr="001D74AB" w:rsidRDefault="009570AF" w:rsidP="009570AF">
      <w:pPr>
        <w:jc w:val="both"/>
        <w:rPr>
          <w:b/>
          <w:color w:val="FF0000"/>
        </w:rPr>
      </w:pPr>
    </w:p>
    <w:p w:rsidR="009570AF" w:rsidRDefault="009570AF" w:rsidP="009570AF">
      <w:pPr>
        <w:tabs>
          <w:tab w:val="left" w:pos="8571"/>
        </w:tabs>
        <w:autoSpaceDE w:val="0"/>
        <w:autoSpaceDN w:val="0"/>
        <w:adjustRightInd w:val="0"/>
        <w:ind w:left="1440" w:hanging="1440"/>
        <w:jc w:val="both"/>
      </w:pPr>
      <w:r w:rsidRPr="008E6317">
        <w:lastRenderedPageBreak/>
        <w:t>TECO:</w:t>
      </w:r>
      <w:r>
        <w:rPr>
          <w:b/>
        </w:rPr>
        <w:tab/>
      </w:r>
      <w:r w:rsidRPr="008E6317">
        <w:rPr>
          <w:bCs/>
        </w:rPr>
        <w:t xml:space="preserve">The appropriate jurisdictional </w:t>
      </w:r>
      <w:r>
        <w:rPr>
          <w:bCs/>
        </w:rPr>
        <w:t>separation factor is 1.00</w:t>
      </w:r>
      <w:r>
        <w:t>, as reflected on Line 5, Capacity Cost Recovery Clause Calculation of Energy and Demand Allocation By Rate Class (Exhibit PAR-3, Document No. 1, Page 2 of 4).</w:t>
      </w:r>
    </w:p>
    <w:p w:rsidR="009570AF" w:rsidRDefault="009570AF" w:rsidP="009570AF">
      <w:pPr>
        <w:jc w:val="both"/>
        <w:rPr>
          <w:b/>
          <w:bCs/>
          <w:u w:val="single"/>
        </w:rPr>
      </w:pPr>
    </w:p>
    <w:p w:rsidR="009570AF" w:rsidRDefault="009570AF" w:rsidP="009570AF">
      <w:pPr>
        <w:jc w:val="both"/>
        <w:rPr>
          <w:b/>
          <w:bCs/>
          <w:u w:val="single"/>
        </w:rPr>
      </w:pPr>
    </w:p>
    <w:p w:rsidR="009570AF" w:rsidRDefault="009570AF" w:rsidP="00A16EB4">
      <w:pPr>
        <w:ind w:left="1440" w:hanging="1440"/>
        <w:jc w:val="both"/>
        <w:rPr>
          <w:b/>
          <w:bCs/>
        </w:rPr>
      </w:pPr>
      <w:r>
        <w:rPr>
          <w:b/>
          <w:bCs/>
          <w:u w:val="single"/>
        </w:rPr>
        <w:t>ISSUE 33</w:t>
      </w:r>
      <w:r>
        <w:t>:</w:t>
      </w:r>
      <w:r w:rsidR="00A16EB4">
        <w:tab/>
      </w:r>
      <w:r w:rsidRPr="00A16EB4">
        <w:rPr>
          <w:b/>
        </w:rPr>
        <w:t>What are the appropriate capacity cost recovery factors for the period January 2019 through December 2019?</w:t>
      </w:r>
      <w:r>
        <w:t xml:space="preserve">                                                           </w:t>
      </w:r>
    </w:p>
    <w:p w:rsidR="009570AF" w:rsidRDefault="009570AF" w:rsidP="009570AF">
      <w:pPr>
        <w:keepNext/>
        <w:tabs>
          <w:tab w:val="left" w:pos="8571"/>
        </w:tabs>
        <w:autoSpaceDE w:val="0"/>
        <w:autoSpaceDN w:val="0"/>
        <w:adjustRightInd w:val="0"/>
        <w:ind w:left="1440" w:hanging="1440"/>
        <w:jc w:val="both"/>
        <w:rPr>
          <w:b/>
          <w:u w:val="single"/>
        </w:rPr>
      </w:pPr>
    </w:p>
    <w:p w:rsidR="009570AF" w:rsidRDefault="009570AF" w:rsidP="009570AF">
      <w:pPr>
        <w:keepNext/>
        <w:tabs>
          <w:tab w:val="left" w:pos="8571"/>
        </w:tabs>
        <w:autoSpaceDE w:val="0"/>
        <w:autoSpaceDN w:val="0"/>
        <w:adjustRightInd w:val="0"/>
        <w:ind w:left="1440" w:hanging="1440"/>
        <w:jc w:val="both"/>
        <w:rPr>
          <w:b/>
        </w:rPr>
      </w:pPr>
      <w:r>
        <w:rPr>
          <w:b/>
          <w:u w:val="single"/>
        </w:rPr>
        <w:t>STIPULATION</w:t>
      </w:r>
      <w:r>
        <w:rPr>
          <w:b/>
        </w:rPr>
        <w:t>:</w:t>
      </w:r>
    </w:p>
    <w:p w:rsidR="009570AF" w:rsidRDefault="009570AF" w:rsidP="009570AF">
      <w:pPr>
        <w:keepNext/>
        <w:tabs>
          <w:tab w:val="left" w:pos="8571"/>
        </w:tabs>
        <w:autoSpaceDE w:val="0"/>
        <w:autoSpaceDN w:val="0"/>
        <w:adjustRightInd w:val="0"/>
        <w:ind w:left="1440" w:hanging="1440"/>
        <w:jc w:val="both"/>
        <w:rPr>
          <w:b/>
        </w:rPr>
      </w:pPr>
      <w:r>
        <w:rPr>
          <w:b/>
        </w:rPr>
        <w:tab/>
      </w:r>
    </w:p>
    <w:p w:rsidR="009570AF" w:rsidRDefault="009570AF" w:rsidP="009570AF">
      <w:pPr>
        <w:keepNext/>
        <w:tabs>
          <w:tab w:val="left" w:pos="8571"/>
        </w:tabs>
        <w:autoSpaceDE w:val="0"/>
        <w:autoSpaceDN w:val="0"/>
        <w:adjustRightInd w:val="0"/>
        <w:ind w:left="1440" w:hanging="1440"/>
        <w:jc w:val="both"/>
        <w:rPr>
          <w:bCs/>
        </w:rPr>
      </w:pPr>
      <w:r>
        <w:rPr>
          <w:b/>
        </w:rPr>
        <w:tab/>
      </w:r>
      <w:r w:rsidRPr="008D3FEA">
        <w:t xml:space="preserve">The appropriate capacity cost recovery factors for the period January </w:t>
      </w:r>
      <w:r>
        <w:t>2019 through December 2019</w:t>
      </w:r>
      <w:r w:rsidRPr="008D3FEA">
        <w:t xml:space="preserve"> are show</w:t>
      </w:r>
      <w:r>
        <w:t xml:space="preserve">n in </w:t>
      </w:r>
      <w:r>
        <w:rPr>
          <w:bCs/>
        </w:rPr>
        <w:t xml:space="preserve">Tables 33-1 through 33-6 below. </w:t>
      </w:r>
    </w:p>
    <w:p w:rsidR="009570AF" w:rsidRDefault="009570AF" w:rsidP="009570AF">
      <w:pPr>
        <w:keepNext/>
        <w:tabs>
          <w:tab w:val="left" w:pos="8571"/>
        </w:tabs>
        <w:autoSpaceDE w:val="0"/>
        <w:autoSpaceDN w:val="0"/>
        <w:adjustRightInd w:val="0"/>
        <w:ind w:left="1440" w:hanging="1440"/>
        <w:jc w:val="both"/>
      </w:pPr>
    </w:p>
    <w:p w:rsidR="009570AF" w:rsidRDefault="009570AF" w:rsidP="009570AF">
      <w:pPr>
        <w:keepNext/>
        <w:tabs>
          <w:tab w:val="left" w:pos="8571"/>
        </w:tabs>
        <w:autoSpaceDE w:val="0"/>
        <w:autoSpaceDN w:val="0"/>
        <w:adjustRightInd w:val="0"/>
        <w:ind w:left="1440" w:hanging="1440"/>
        <w:jc w:val="both"/>
      </w:pPr>
      <w:r>
        <w:t>DEF:</w:t>
      </w:r>
      <w:r>
        <w:tab/>
        <w:t xml:space="preserve">The appropriate capacity cost recovery factors for the period January 2019 through December 2019 are shown in Table 33-1 below. </w:t>
      </w:r>
    </w:p>
    <w:p w:rsidR="009570AF" w:rsidRDefault="009570AF" w:rsidP="009570AF">
      <w:pPr>
        <w:rPr>
          <w:rFonts w:ascii="Arial" w:hAnsi="Arial" w:cs="Arial"/>
          <w:b/>
        </w:rPr>
      </w:pPr>
    </w:p>
    <w:p w:rsidR="009570AF" w:rsidRDefault="009570AF" w:rsidP="009570AF">
      <w:pPr>
        <w:ind w:left="1440" w:hanging="1440"/>
        <w:jc w:val="center"/>
        <w:rPr>
          <w:rFonts w:ascii="Arial" w:hAnsi="Arial" w:cs="Arial"/>
          <w:b/>
        </w:rPr>
      </w:pPr>
      <w:r>
        <w:rPr>
          <w:rFonts w:ascii="Arial" w:hAnsi="Arial" w:cs="Arial"/>
          <w:b/>
        </w:rPr>
        <w:t>Table 33-1</w:t>
      </w:r>
    </w:p>
    <w:p w:rsidR="009570AF" w:rsidRDefault="009570AF" w:rsidP="009570AF">
      <w:pPr>
        <w:keepNext/>
        <w:keepLines/>
        <w:jc w:val="center"/>
      </w:pPr>
      <w:r>
        <w:rPr>
          <w:rFonts w:ascii="Arial" w:hAnsi="Arial" w:cs="Arial"/>
          <w:b/>
        </w:rPr>
        <w:t>DEF Capacity Cost Recovery Factors for the period January-December, 2019</w:t>
      </w:r>
    </w:p>
    <w:tbl>
      <w:tblPr>
        <w:tblStyle w:val="TableGrid"/>
        <w:tblW w:w="0" w:type="auto"/>
        <w:tblLook w:val="04A0" w:firstRow="1" w:lastRow="0" w:firstColumn="1" w:lastColumn="0" w:noHBand="0" w:noVBand="1"/>
      </w:tblPr>
      <w:tblGrid>
        <w:gridCol w:w="1673"/>
        <w:gridCol w:w="4555"/>
        <w:gridCol w:w="1620"/>
        <w:gridCol w:w="1728"/>
      </w:tblGrid>
      <w:tr w:rsidR="009570AF" w:rsidTr="009570AF">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70AF" w:rsidRDefault="009570AF" w:rsidP="009570AF">
            <w:pPr>
              <w:autoSpaceDE w:val="0"/>
              <w:autoSpaceDN w:val="0"/>
              <w:adjustRightInd w:val="0"/>
              <w:jc w:val="center"/>
              <w:rPr>
                <w:b/>
                <w:bCs/>
              </w:rPr>
            </w:pPr>
            <w:r>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9570AF" w:rsidRDefault="009570AF" w:rsidP="009570AF">
            <w:pPr>
              <w:autoSpaceDE w:val="0"/>
              <w:autoSpaceDN w:val="0"/>
              <w:adjustRightInd w:val="0"/>
              <w:jc w:val="center"/>
              <w:rPr>
                <w:b/>
                <w:bCs/>
              </w:rPr>
            </w:pPr>
            <w:r>
              <w:rPr>
                <w:b/>
                <w:bCs/>
              </w:rPr>
              <w:t xml:space="preserve">2019 Capacity and Nuclear </w:t>
            </w:r>
          </w:p>
          <w:p w:rsidR="009570AF" w:rsidRDefault="009570AF" w:rsidP="009570AF">
            <w:pPr>
              <w:autoSpaceDE w:val="0"/>
              <w:autoSpaceDN w:val="0"/>
              <w:adjustRightInd w:val="0"/>
              <w:jc w:val="center"/>
              <w:rPr>
                <w:b/>
                <w:bCs/>
              </w:rPr>
            </w:pPr>
            <w:r>
              <w:rPr>
                <w:b/>
                <w:bCs/>
              </w:rPr>
              <w:t xml:space="preserve">Cost Recovery Factors </w:t>
            </w:r>
          </w:p>
        </w:tc>
      </w:tr>
      <w:tr w:rsidR="009570AF" w:rsidTr="009570A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70AF" w:rsidRDefault="009570AF" w:rsidP="009570AF">
            <w:pPr>
              <w:rPr>
                <w:b/>
                <w:bCs/>
              </w:rPr>
            </w:pPr>
          </w:p>
        </w:tc>
        <w:tc>
          <w:tcPr>
            <w:tcW w:w="1620" w:type="dxa"/>
            <w:tcBorders>
              <w:top w:val="single" w:sz="4" w:space="0" w:color="auto"/>
              <w:left w:val="single" w:sz="4" w:space="0" w:color="auto"/>
              <w:bottom w:val="single" w:sz="4" w:space="0" w:color="auto"/>
              <w:right w:val="single" w:sz="4" w:space="0" w:color="auto"/>
            </w:tcBorders>
            <w:hideMark/>
          </w:tcPr>
          <w:p w:rsidR="009570AF" w:rsidRDefault="009570AF" w:rsidP="009570AF">
            <w:pPr>
              <w:autoSpaceDE w:val="0"/>
              <w:autoSpaceDN w:val="0"/>
              <w:adjustRightInd w:val="0"/>
              <w:jc w:val="center"/>
              <w:rPr>
                <w:bCs/>
              </w:rPr>
            </w:pPr>
            <w:r>
              <w:rPr>
                <w:bCs/>
              </w:rPr>
              <w:t xml:space="preserve">Cents / </w:t>
            </w:r>
          </w:p>
          <w:p w:rsidR="009570AF" w:rsidRDefault="009570AF" w:rsidP="009570AF">
            <w:pPr>
              <w:autoSpaceDE w:val="0"/>
              <w:autoSpaceDN w:val="0"/>
              <w:adjustRightInd w:val="0"/>
              <w:jc w:val="center"/>
              <w:rPr>
                <w:bCs/>
              </w:rPr>
            </w:pPr>
            <w:r>
              <w:rPr>
                <w:bCs/>
              </w:rPr>
              <w:t>kWh</w:t>
            </w:r>
          </w:p>
        </w:tc>
        <w:tc>
          <w:tcPr>
            <w:tcW w:w="1728" w:type="dxa"/>
            <w:tcBorders>
              <w:top w:val="single" w:sz="4" w:space="0" w:color="auto"/>
              <w:left w:val="single" w:sz="4" w:space="0" w:color="auto"/>
              <w:bottom w:val="single" w:sz="4" w:space="0" w:color="auto"/>
              <w:right w:val="single" w:sz="4" w:space="0" w:color="auto"/>
            </w:tcBorders>
            <w:hideMark/>
          </w:tcPr>
          <w:p w:rsidR="009570AF" w:rsidRDefault="009570AF" w:rsidP="009570AF">
            <w:pPr>
              <w:autoSpaceDE w:val="0"/>
              <w:autoSpaceDN w:val="0"/>
              <w:adjustRightInd w:val="0"/>
              <w:jc w:val="center"/>
              <w:rPr>
                <w:bCs/>
              </w:rPr>
            </w:pPr>
            <w:r>
              <w:rPr>
                <w:bCs/>
              </w:rPr>
              <w:t>Dollars /     kW-month</w:t>
            </w:r>
          </w:p>
        </w:tc>
      </w:tr>
      <w:tr w:rsidR="009570AF" w:rsidTr="009570AF">
        <w:tc>
          <w:tcPr>
            <w:tcW w:w="6228" w:type="dxa"/>
            <w:gridSpan w:val="2"/>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rPr>
                <w:bCs/>
              </w:rPr>
            </w:pPr>
            <w:r w:rsidRPr="00002A72">
              <w:rPr>
                <w:bCs/>
              </w:rPr>
              <w:t xml:space="preserve">Residential (RS-1, RST-1, RSL-1, RSL-2, RSS-1)                At Secondary Voltage </w:t>
            </w:r>
          </w:p>
        </w:tc>
        <w:tc>
          <w:tcPr>
            <w:tcW w:w="1620"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1.248</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9570AF" w:rsidRPr="00002A72" w:rsidRDefault="009570AF" w:rsidP="009570AF">
            <w:pPr>
              <w:autoSpaceDE w:val="0"/>
              <w:autoSpaceDN w:val="0"/>
              <w:adjustRightInd w:val="0"/>
              <w:jc w:val="center"/>
              <w:rPr>
                <w:bCs/>
              </w:rPr>
            </w:pPr>
          </w:p>
        </w:tc>
      </w:tr>
      <w:tr w:rsidR="009570AF" w:rsidTr="009570AF">
        <w:tc>
          <w:tcPr>
            <w:tcW w:w="6228" w:type="dxa"/>
            <w:gridSpan w:val="2"/>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rPr>
                <w:bCs/>
              </w:rPr>
            </w:pPr>
            <w:r w:rsidRPr="00002A72">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9570AF" w:rsidRPr="00002A72" w:rsidRDefault="009570AF" w:rsidP="009570AF">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r>
      <w:tr w:rsidR="009570AF" w:rsidTr="009570AF">
        <w:tc>
          <w:tcPr>
            <w:tcW w:w="1673" w:type="dxa"/>
            <w:vMerge w:val="restart"/>
            <w:tcBorders>
              <w:top w:val="single" w:sz="4" w:space="0" w:color="auto"/>
              <w:left w:val="single" w:sz="4" w:space="0" w:color="auto"/>
              <w:bottom w:val="single" w:sz="4" w:space="0" w:color="auto"/>
              <w:right w:val="single" w:sz="4" w:space="0" w:color="auto"/>
            </w:tcBorders>
            <w:vAlign w:val="center"/>
          </w:tcPr>
          <w:p w:rsidR="009570AF" w:rsidRPr="00002A72" w:rsidRDefault="009570AF" w:rsidP="009570AF">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1.192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1.180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 xml:space="preserve">1.168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r>
      <w:tr w:rsidR="009570AF" w:rsidTr="009570AF">
        <w:tc>
          <w:tcPr>
            <w:tcW w:w="6228" w:type="dxa"/>
            <w:gridSpan w:val="2"/>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rPr>
                <w:bCs/>
              </w:rPr>
            </w:pPr>
            <w:r w:rsidRPr="00002A72">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9570AF" w:rsidRPr="00002A72" w:rsidRDefault="009570AF" w:rsidP="009570AF">
            <w:pPr>
              <w:autoSpaceDE w:val="0"/>
              <w:autoSpaceDN w:val="0"/>
              <w:adjustRightInd w:val="0"/>
              <w:jc w:val="center"/>
              <w:rPr>
                <w:bCs/>
              </w:rPr>
            </w:pPr>
            <w:r w:rsidRPr="00002A72">
              <w:rPr>
                <w:bCs/>
              </w:rPr>
              <w:t>0.718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002A72" w:rsidRDefault="009570AF" w:rsidP="009570AF">
            <w:pPr>
              <w:rPr>
                <w:bCs/>
              </w:rPr>
            </w:pPr>
          </w:p>
        </w:tc>
      </w:tr>
      <w:tr w:rsidR="009570AF" w:rsidTr="009570AF">
        <w:tc>
          <w:tcPr>
            <w:tcW w:w="6228" w:type="dxa"/>
            <w:gridSpan w:val="2"/>
            <w:tcBorders>
              <w:top w:val="single" w:sz="4" w:space="0" w:color="auto"/>
              <w:left w:val="single" w:sz="4" w:space="0" w:color="auto"/>
              <w:bottom w:val="single" w:sz="4" w:space="0" w:color="auto"/>
              <w:right w:val="single" w:sz="4" w:space="0" w:color="auto"/>
            </w:tcBorders>
          </w:tcPr>
          <w:p w:rsidR="009570AF" w:rsidRDefault="009570AF" w:rsidP="009570AF">
            <w:pPr>
              <w:autoSpaceDE w:val="0"/>
              <w:autoSpaceDN w:val="0"/>
              <w:adjustRightInd w:val="0"/>
              <w:rPr>
                <w:bCs/>
              </w:rPr>
            </w:pPr>
            <w:r>
              <w:rPr>
                <w:bCs/>
              </w:rPr>
              <w:t>Lighting (LS-1)</w:t>
            </w:r>
          </w:p>
        </w:tc>
        <w:tc>
          <w:tcPr>
            <w:tcW w:w="1620" w:type="dxa"/>
            <w:tcBorders>
              <w:top w:val="single" w:sz="4" w:space="0" w:color="auto"/>
              <w:left w:val="single" w:sz="4" w:space="0" w:color="auto"/>
              <w:bottom w:val="single" w:sz="4" w:space="0" w:color="auto"/>
              <w:right w:val="single" w:sz="4" w:space="0" w:color="auto"/>
            </w:tcBorders>
          </w:tcPr>
          <w:p w:rsidR="009570AF" w:rsidRPr="00002A72" w:rsidRDefault="009570AF" w:rsidP="009570AF">
            <w:pPr>
              <w:autoSpaceDE w:val="0"/>
              <w:autoSpaceDN w:val="0"/>
              <w:adjustRightInd w:val="0"/>
              <w:jc w:val="center"/>
              <w:rPr>
                <w:bCs/>
              </w:rPr>
            </w:pPr>
            <w:r w:rsidRPr="00002A72">
              <w:rPr>
                <w:bCs/>
              </w:rPr>
              <w:t>0.154</w:t>
            </w:r>
          </w:p>
        </w:tc>
        <w:tc>
          <w:tcPr>
            <w:tcW w:w="0" w:type="auto"/>
            <w:tcBorders>
              <w:top w:val="single" w:sz="4" w:space="0" w:color="auto"/>
              <w:left w:val="single" w:sz="4" w:space="0" w:color="auto"/>
              <w:bottom w:val="single" w:sz="4" w:space="0" w:color="auto"/>
              <w:right w:val="single" w:sz="4" w:space="0" w:color="auto"/>
            </w:tcBorders>
            <w:vAlign w:val="center"/>
          </w:tcPr>
          <w:p w:rsidR="009570AF" w:rsidRPr="00002A72" w:rsidRDefault="009570AF" w:rsidP="009570AF">
            <w:pPr>
              <w:rPr>
                <w:bCs/>
              </w:rPr>
            </w:pPr>
          </w:p>
        </w:tc>
      </w:tr>
      <w:tr w:rsidR="009570AF" w:rsidTr="009570AF">
        <w:tc>
          <w:tcPr>
            <w:tcW w:w="9576" w:type="dxa"/>
            <w:gridSpan w:val="4"/>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rPr>
                <w:bCs/>
              </w:rPr>
            </w:pPr>
            <w:r w:rsidRPr="009D32B5">
              <w:rPr>
                <w:bCs/>
              </w:rPr>
              <w:t>General Service Demand (GSD-1, GSDT-1, SS-1)</w:t>
            </w:r>
          </w:p>
        </w:tc>
      </w:tr>
      <w:tr w:rsidR="009570AF" w:rsidTr="009570AF">
        <w:tc>
          <w:tcPr>
            <w:tcW w:w="1673"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3.72</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 xml:space="preserve">3.68 </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 xml:space="preserve">3.65 </w:t>
            </w:r>
          </w:p>
        </w:tc>
      </w:tr>
      <w:tr w:rsidR="009570AF" w:rsidTr="009570AF">
        <w:tc>
          <w:tcPr>
            <w:tcW w:w="9576" w:type="dxa"/>
            <w:gridSpan w:val="4"/>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rPr>
                <w:bCs/>
              </w:rPr>
            </w:pPr>
            <w:r w:rsidRPr="009D32B5">
              <w:rPr>
                <w:bCs/>
              </w:rPr>
              <w:t>Curtailable (CS-1, CST-1, CS-2, CST-2, CS-3, CST-3, SS-3)</w:t>
            </w:r>
          </w:p>
        </w:tc>
      </w:tr>
      <w:tr w:rsidR="009570AF" w:rsidTr="009570AF">
        <w:tc>
          <w:tcPr>
            <w:tcW w:w="1673"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1.47</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 xml:space="preserve">1.46 </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1.44</w:t>
            </w:r>
          </w:p>
        </w:tc>
      </w:tr>
      <w:tr w:rsidR="009570AF" w:rsidTr="009570AF">
        <w:tc>
          <w:tcPr>
            <w:tcW w:w="9576" w:type="dxa"/>
            <w:gridSpan w:val="4"/>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rPr>
                <w:bCs/>
              </w:rPr>
            </w:pPr>
            <w:r w:rsidRPr="009D32B5">
              <w:rPr>
                <w:bCs/>
              </w:rPr>
              <w:t>Interruptible (IS-1, IST-1, IS-2, IST-2, SS-2)</w:t>
            </w:r>
          </w:p>
        </w:tc>
      </w:tr>
      <w:tr w:rsidR="009570AF" w:rsidTr="009570AF">
        <w:tc>
          <w:tcPr>
            <w:tcW w:w="1673"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3.00</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2.97</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2.94</w:t>
            </w:r>
          </w:p>
        </w:tc>
      </w:tr>
      <w:tr w:rsidR="009570AF" w:rsidTr="009570AF">
        <w:tc>
          <w:tcPr>
            <w:tcW w:w="9576" w:type="dxa"/>
            <w:gridSpan w:val="4"/>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rPr>
                <w:bCs/>
              </w:rPr>
            </w:pPr>
            <w:r w:rsidRPr="009D32B5">
              <w:rPr>
                <w:bCs/>
              </w:rPr>
              <w:t>Standby Monthly (SS-1, 2, 3)</w:t>
            </w:r>
          </w:p>
        </w:tc>
      </w:tr>
      <w:tr w:rsidR="009570AF" w:rsidTr="009570AF">
        <w:tc>
          <w:tcPr>
            <w:tcW w:w="1673" w:type="dxa"/>
            <w:vMerge w:val="restart"/>
            <w:tcBorders>
              <w:top w:val="single" w:sz="4" w:space="0" w:color="auto"/>
              <w:left w:val="single" w:sz="4" w:space="0" w:color="auto"/>
              <w:bottom w:val="single" w:sz="4" w:space="0" w:color="auto"/>
              <w:right w:val="single" w:sz="4" w:space="0" w:color="auto"/>
            </w:tcBorders>
          </w:tcPr>
          <w:p w:rsidR="009570AF" w:rsidRPr="009D32B5" w:rsidRDefault="009570AF" w:rsidP="009570AF">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0.360</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 xml:space="preserve">0.356 </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0.353</w:t>
            </w:r>
          </w:p>
        </w:tc>
      </w:tr>
      <w:tr w:rsidR="009570AF" w:rsidTr="009570AF">
        <w:tc>
          <w:tcPr>
            <w:tcW w:w="9576" w:type="dxa"/>
            <w:gridSpan w:val="4"/>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rPr>
                <w:bCs/>
              </w:rPr>
            </w:pPr>
            <w:r w:rsidRPr="009D32B5">
              <w:rPr>
                <w:bCs/>
              </w:rPr>
              <w:t>Standby Daily (SS-1, 2, 3)</w:t>
            </w:r>
          </w:p>
        </w:tc>
      </w:tr>
      <w:tr w:rsidR="009570AF" w:rsidTr="009570AF">
        <w:tc>
          <w:tcPr>
            <w:tcW w:w="1673"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570AF" w:rsidRPr="009D32B5" w:rsidRDefault="009570AF" w:rsidP="009570AF">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0.171</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 xml:space="preserve">0.169 </w:t>
            </w:r>
          </w:p>
        </w:tc>
      </w:tr>
      <w:tr w:rsidR="009570AF" w:rsidTr="009570AF">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4555"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70AF" w:rsidRPr="009D32B5" w:rsidRDefault="009570AF" w:rsidP="009570AF">
            <w:pPr>
              <w:rPr>
                <w:bCs/>
              </w:rPr>
            </w:pPr>
          </w:p>
        </w:tc>
        <w:tc>
          <w:tcPr>
            <w:tcW w:w="1728" w:type="dxa"/>
            <w:tcBorders>
              <w:top w:val="single" w:sz="4" w:space="0" w:color="auto"/>
              <w:left w:val="single" w:sz="4" w:space="0" w:color="auto"/>
              <w:bottom w:val="single" w:sz="4" w:space="0" w:color="auto"/>
              <w:right w:val="single" w:sz="4" w:space="0" w:color="auto"/>
            </w:tcBorders>
            <w:hideMark/>
          </w:tcPr>
          <w:p w:rsidR="009570AF" w:rsidRPr="009D32B5" w:rsidRDefault="009570AF" w:rsidP="009570AF">
            <w:pPr>
              <w:autoSpaceDE w:val="0"/>
              <w:autoSpaceDN w:val="0"/>
              <w:adjustRightInd w:val="0"/>
              <w:jc w:val="center"/>
              <w:rPr>
                <w:bCs/>
              </w:rPr>
            </w:pPr>
            <w:r w:rsidRPr="009D32B5">
              <w:rPr>
                <w:bCs/>
              </w:rPr>
              <w:t>0.168</w:t>
            </w:r>
          </w:p>
        </w:tc>
      </w:tr>
    </w:tbl>
    <w:p w:rsidR="009570AF" w:rsidRDefault="009570AF" w:rsidP="009570AF">
      <w:pPr>
        <w:autoSpaceDE w:val="0"/>
        <w:autoSpaceDN w:val="0"/>
        <w:adjustRightInd w:val="0"/>
        <w:jc w:val="both"/>
        <w:rPr>
          <w:sz w:val="22"/>
          <w:szCs w:val="22"/>
        </w:rPr>
      </w:pPr>
      <w:r>
        <w:rPr>
          <w:sz w:val="22"/>
          <w:szCs w:val="22"/>
        </w:rPr>
        <w:t xml:space="preserve">  Source: Schedule E12-E </w:t>
      </w:r>
      <w:r w:rsidRPr="009D32B5">
        <w:rPr>
          <w:sz w:val="22"/>
          <w:szCs w:val="22"/>
        </w:rPr>
        <w:t>(Exhibit CAM-3, Part 3</w:t>
      </w:r>
      <w:r>
        <w:rPr>
          <w:sz w:val="22"/>
          <w:szCs w:val="22"/>
        </w:rPr>
        <w:t>, Pages 1 of 2 and 2 of 2</w:t>
      </w:r>
      <w:r w:rsidRPr="009D32B5">
        <w:rPr>
          <w:sz w:val="22"/>
          <w:szCs w:val="22"/>
        </w:rPr>
        <w:t>)</w:t>
      </w:r>
      <w:r>
        <w:rPr>
          <w:sz w:val="22"/>
          <w:szCs w:val="22"/>
        </w:rPr>
        <w:t>.</w:t>
      </w:r>
    </w:p>
    <w:p w:rsidR="009570AF" w:rsidRPr="009D32B5" w:rsidRDefault="009570AF" w:rsidP="009570AF">
      <w:pPr>
        <w:autoSpaceDE w:val="0"/>
        <w:autoSpaceDN w:val="0"/>
        <w:adjustRightInd w:val="0"/>
        <w:jc w:val="both"/>
        <w:rPr>
          <w:bCs/>
        </w:rPr>
      </w:pPr>
    </w:p>
    <w:p w:rsidR="009570AF" w:rsidRDefault="009570AF" w:rsidP="009570AF">
      <w:pPr>
        <w:ind w:left="1440" w:hanging="1440"/>
        <w:jc w:val="both"/>
        <w:rPr>
          <w:bCs/>
        </w:rPr>
      </w:pPr>
      <w:r>
        <w:rPr>
          <w:bCs/>
        </w:rPr>
        <w:t xml:space="preserve">FPL: </w:t>
      </w:r>
      <w:r>
        <w:rPr>
          <w:bCs/>
        </w:rPr>
        <w:tab/>
      </w:r>
      <w:r w:rsidRPr="008D3FEA">
        <w:t xml:space="preserve">The appropriate capacity cost recovery factors for the period January </w:t>
      </w:r>
      <w:r>
        <w:t>2019 through December 2019</w:t>
      </w:r>
      <w:r w:rsidRPr="008D3FEA">
        <w:t xml:space="preserve"> are show</w:t>
      </w:r>
      <w:r>
        <w:t xml:space="preserve">n in </w:t>
      </w:r>
      <w:r>
        <w:rPr>
          <w:bCs/>
        </w:rPr>
        <w:t>Tables 33-2 through 33-4 below:</w:t>
      </w:r>
    </w:p>
    <w:p w:rsidR="009570AF" w:rsidRDefault="009570AF" w:rsidP="009570AF">
      <w:pPr>
        <w:rPr>
          <w:rFonts w:ascii="Arial" w:hAnsi="Arial" w:cs="Arial"/>
          <w:b/>
        </w:rPr>
      </w:pPr>
    </w:p>
    <w:p w:rsidR="009570AF" w:rsidRPr="00952579" w:rsidRDefault="009570AF" w:rsidP="009570AF">
      <w:pPr>
        <w:ind w:left="1440" w:hanging="1440"/>
        <w:jc w:val="center"/>
        <w:rPr>
          <w:rFonts w:ascii="Arial" w:hAnsi="Arial" w:cs="Arial"/>
          <w:b/>
        </w:rPr>
      </w:pPr>
      <w:r w:rsidRPr="00952579">
        <w:rPr>
          <w:rFonts w:ascii="Arial" w:hAnsi="Arial" w:cs="Arial"/>
          <w:b/>
        </w:rPr>
        <w:t xml:space="preserve">Table </w:t>
      </w:r>
      <w:r>
        <w:rPr>
          <w:rFonts w:ascii="Arial" w:hAnsi="Arial" w:cs="Arial"/>
          <w:b/>
        </w:rPr>
        <w:t>33-2</w:t>
      </w:r>
    </w:p>
    <w:p w:rsidR="009570AF" w:rsidRPr="006921C3" w:rsidRDefault="009570AF" w:rsidP="009570AF">
      <w:pPr>
        <w:keepNext/>
        <w:keepLines/>
        <w:jc w:val="center"/>
      </w:pPr>
      <w:r>
        <w:rPr>
          <w:rFonts w:ascii="Arial" w:hAnsi="Arial" w:cs="Arial"/>
          <w:b/>
        </w:rPr>
        <w:t>FPL Capacity Cost Recovery Factors for the period January-December, 2019</w:t>
      </w:r>
    </w:p>
    <w:tbl>
      <w:tblPr>
        <w:tblStyle w:val="TableGrid"/>
        <w:tblW w:w="0" w:type="auto"/>
        <w:tblLook w:val="04A0" w:firstRow="1" w:lastRow="0" w:firstColumn="1" w:lastColumn="0" w:noHBand="0" w:noVBand="1"/>
      </w:tblPr>
      <w:tblGrid>
        <w:gridCol w:w="3888"/>
        <w:gridCol w:w="1350"/>
        <w:gridCol w:w="1260"/>
        <w:gridCol w:w="1530"/>
        <w:gridCol w:w="1548"/>
      </w:tblGrid>
      <w:tr w:rsidR="009570AF" w:rsidRPr="00B968E1" w:rsidTr="009570AF">
        <w:tc>
          <w:tcPr>
            <w:tcW w:w="3888" w:type="dxa"/>
            <w:vMerge w:val="restart"/>
            <w:vAlign w:val="center"/>
          </w:tcPr>
          <w:p w:rsidR="009570AF" w:rsidRPr="00931D63" w:rsidRDefault="009570AF" w:rsidP="009570AF">
            <w:pPr>
              <w:autoSpaceDE w:val="0"/>
              <w:autoSpaceDN w:val="0"/>
              <w:adjustRightInd w:val="0"/>
              <w:jc w:val="center"/>
              <w:rPr>
                <w:b/>
                <w:bCs/>
              </w:rPr>
            </w:pPr>
            <w:r w:rsidRPr="00931D63">
              <w:rPr>
                <w:b/>
                <w:bCs/>
              </w:rPr>
              <w:t>Rate Schedule</w:t>
            </w:r>
          </w:p>
        </w:tc>
        <w:tc>
          <w:tcPr>
            <w:tcW w:w="5688" w:type="dxa"/>
            <w:gridSpan w:val="4"/>
          </w:tcPr>
          <w:p w:rsidR="009570AF" w:rsidRPr="00B968E1" w:rsidRDefault="009570AF" w:rsidP="009570AF">
            <w:pPr>
              <w:autoSpaceDE w:val="0"/>
              <w:autoSpaceDN w:val="0"/>
              <w:adjustRightInd w:val="0"/>
              <w:jc w:val="center"/>
              <w:rPr>
                <w:b/>
                <w:bCs/>
                <w:color w:val="FF0000"/>
              </w:rPr>
            </w:pPr>
            <w:r w:rsidRPr="00931D63">
              <w:rPr>
                <w:b/>
                <w:bCs/>
              </w:rPr>
              <w:t xml:space="preserve">2019 Capacity Cost Recovery Factors </w:t>
            </w:r>
          </w:p>
        </w:tc>
      </w:tr>
      <w:tr w:rsidR="009570AF" w:rsidRPr="00B968E1" w:rsidTr="009570AF">
        <w:tc>
          <w:tcPr>
            <w:tcW w:w="3888" w:type="dxa"/>
            <w:vMerge/>
          </w:tcPr>
          <w:p w:rsidR="009570AF" w:rsidRPr="00931D63" w:rsidRDefault="009570AF" w:rsidP="009570AF">
            <w:pPr>
              <w:autoSpaceDE w:val="0"/>
              <w:autoSpaceDN w:val="0"/>
              <w:adjustRightInd w:val="0"/>
              <w:jc w:val="center"/>
              <w:rPr>
                <w:b/>
                <w:bCs/>
              </w:rPr>
            </w:pPr>
          </w:p>
        </w:tc>
        <w:tc>
          <w:tcPr>
            <w:tcW w:w="1350" w:type="dxa"/>
            <w:vAlign w:val="center"/>
          </w:tcPr>
          <w:p w:rsidR="009570AF" w:rsidRPr="00931D63" w:rsidRDefault="009570AF" w:rsidP="009570AF">
            <w:pPr>
              <w:autoSpaceDE w:val="0"/>
              <w:autoSpaceDN w:val="0"/>
              <w:adjustRightInd w:val="0"/>
              <w:jc w:val="center"/>
              <w:rPr>
                <w:bCs/>
              </w:rPr>
            </w:pPr>
            <w:r w:rsidRPr="00931D63">
              <w:rPr>
                <w:bCs/>
              </w:rPr>
              <w:t>$/kW</w:t>
            </w:r>
          </w:p>
        </w:tc>
        <w:tc>
          <w:tcPr>
            <w:tcW w:w="1260" w:type="dxa"/>
            <w:vAlign w:val="center"/>
          </w:tcPr>
          <w:p w:rsidR="009570AF" w:rsidRPr="00931D63" w:rsidRDefault="009570AF" w:rsidP="009570AF">
            <w:pPr>
              <w:autoSpaceDE w:val="0"/>
              <w:autoSpaceDN w:val="0"/>
              <w:adjustRightInd w:val="0"/>
              <w:jc w:val="center"/>
              <w:rPr>
                <w:bCs/>
              </w:rPr>
            </w:pPr>
            <w:r w:rsidRPr="00931D63">
              <w:rPr>
                <w:bCs/>
              </w:rPr>
              <w:t>$/kWh</w:t>
            </w:r>
          </w:p>
        </w:tc>
        <w:tc>
          <w:tcPr>
            <w:tcW w:w="1530" w:type="dxa"/>
          </w:tcPr>
          <w:p w:rsidR="009570AF" w:rsidRPr="00931D63" w:rsidRDefault="009570AF" w:rsidP="009570AF">
            <w:pPr>
              <w:autoSpaceDE w:val="0"/>
              <w:autoSpaceDN w:val="0"/>
              <w:adjustRightInd w:val="0"/>
              <w:jc w:val="center"/>
              <w:rPr>
                <w:bCs/>
              </w:rPr>
            </w:pPr>
            <w:r w:rsidRPr="00931D63">
              <w:rPr>
                <w:bCs/>
              </w:rPr>
              <w:t>Reservation Demand Charge (RDC)  $/kW</w:t>
            </w:r>
          </w:p>
        </w:tc>
        <w:tc>
          <w:tcPr>
            <w:tcW w:w="1548" w:type="dxa"/>
          </w:tcPr>
          <w:p w:rsidR="009570AF" w:rsidRPr="00931D63" w:rsidRDefault="009570AF" w:rsidP="009570AF">
            <w:pPr>
              <w:autoSpaceDE w:val="0"/>
              <w:autoSpaceDN w:val="0"/>
              <w:adjustRightInd w:val="0"/>
              <w:jc w:val="center"/>
              <w:rPr>
                <w:bCs/>
              </w:rPr>
            </w:pPr>
            <w:r w:rsidRPr="00931D63">
              <w:rPr>
                <w:bCs/>
              </w:rPr>
              <w:t>Sum of Daily Demand Charge (SDD)  $/kW</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RS1/RTR1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0.002</w:t>
            </w:r>
            <w:r>
              <w:rPr>
                <w:bCs/>
              </w:rPr>
              <w:t>55</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GS1/GST1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0.0025</w:t>
            </w:r>
            <w:r>
              <w:rPr>
                <w:bCs/>
              </w:rPr>
              <w:t>1</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GSD1/GSDT1/HLFT1</w:t>
            </w:r>
          </w:p>
        </w:tc>
        <w:tc>
          <w:tcPr>
            <w:tcW w:w="1350" w:type="dxa"/>
          </w:tcPr>
          <w:p w:rsidR="009570AF" w:rsidRPr="00931D63" w:rsidRDefault="009570AF" w:rsidP="009570AF">
            <w:pPr>
              <w:autoSpaceDE w:val="0"/>
              <w:autoSpaceDN w:val="0"/>
              <w:adjustRightInd w:val="0"/>
              <w:jc w:val="center"/>
              <w:rPr>
                <w:bCs/>
              </w:rPr>
            </w:pPr>
            <w:r>
              <w:rPr>
                <w:bCs/>
              </w:rPr>
              <w:t>0.82</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OS2</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0.001</w:t>
            </w:r>
            <w:r>
              <w:rPr>
                <w:bCs/>
              </w:rPr>
              <w:t>02</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GSLD1/GSLDT1/CS1/CST1/HLFT2</w:t>
            </w:r>
          </w:p>
        </w:tc>
        <w:tc>
          <w:tcPr>
            <w:tcW w:w="1350" w:type="dxa"/>
          </w:tcPr>
          <w:p w:rsidR="009570AF" w:rsidRPr="00931D63" w:rsidRDefault="009570AF" w:rsidP="009570AF">
            <w:pPr>
              <w:autoSpaceDE w:val="0"/>
              <w:autoSpaceDN w:val="0"/>
              <w:adjustRightInd w:val="0"/>
              <w:jc w:val="center"/>
              <w:rPr>
                <w:bCs/>
              </w:rPr>
            </w:pPr>
            <w:r w:rsidRPr="00931D63">
              <w:rPr>
                <w:bCs/>
              </w:rPr>
              <w:t>0.9</w:t>
            </w:r>
            <w:r>
              <w:rPr>
                <w:bCs/>
              </w:rPr>
              <w:t>4</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GSLD2/GSLDT2/CS2/CST2/HLFT3</w:t>
            </w:r>
          </w:p>
        </w:tc>
        <w:tc>
          <w:tcPr>
            <w:tcW w:w="1350" w:type="dxa"/>
          </w:tcPr>
          <w:p w:rsidR="009570AF" w:rsidRPr="00931D63" w:rsidRDefault="009570AF" w:rsidP="009570AF">
            <w:pPr>
              <w:autoSpaceDE w:val="0"/>
              <w:autoSpaceDN w:val="0"/>
              <w:adjustRightInd w:val="0"/>
              <w:jc w:val="center"/>
              <w:rPr>
                <w:bCs/>
              </w:rPr>
            </w:pPr>
            <w:r>
              <w:rPr>
                <w:bCs/>
              </w:rPr>
              <w:t>0.89</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GSLD3/GSLDT3/CS3/CST3</w:t>
            </w:r>
          </w:p>
        </w:tc>
        <w:tc>
          <w:tcPr>
            <w:tcW w:w="1350" w:type="dxa"/>
          </w:tcPr>
          <w:p w:rsidR="009570AF" w:rsidRPr="00931D63" w:rsidRDefault="009570AF" w:rsidP="009570AF">
            <w:pPr>
              <w:autoSpaceDE w:val="0"/>
              <w:autoSpaceDN w:val="0"/>
              <w:adjustRightInd w:val="0"/>
              <w:jc w:val="center"/>
              <w:rPr>
                <w:bCs/>
              </w:rPr>
            </w:pPr>
            <w:r>
              <w:rPr>
                <w:bCs/>
              </w:rPr>
              <w:t>0.87</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SST1T</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$0.11</w:t>
            </w:r>
          </w:p>
        </w:tc>
        <w:tc>
          <w:tcPr>
            <w:tcW w:w="1548" w:type="dxa"/>
          </w:tcPr>
          <w:p w:rsidR="009570AF" w:rsidRPr="00931D63" w:rsidRDefault="009570AF" w:rsidP="009570AF">
            <w:pPr>
              <w:autoSpaceDE w:val="0"/>
              <w:autoSpaceDN w:val="0"/>
              <w:adjustRightInd w:val="0"/>
              <w:jc w:val="center"/>
              <w:rPr>
                <w:bCs/>
              </w:rPr>
            </w:pPr>
            <w:r w:rsidRPr="00931D63">
              <w:rPr>
                <w:bCs/>
              </w:rPr>
              <w:t>$0.05</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SST1D1/SST1D2/SST1D3</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$0.11</w:t>
            </w:r>
          </w:p>
        </w:tc>
        <w:tc>
          <w:tcPr>
            <w:tcW w:w="1548" w:type="dxa"/>
          </w:tcPr>
          <w:p w:rsidR="009570AF" w:rsidRPr="00931D63" w:rsidRDefault="009570AF" w:rsidP="009570AF">
            <w:pPr>
              <w:autoSpaceDE w:val="0"/>
              <w:autoSpaceDN w:val="0"/>
              <w:adjustRightInd w:val="0"/>
              <w:jc w:val="center"/>
              <w:rPr>
                <w:bCs/>
              </w:rPr>
            </w:pPr>
            <w:r w:rsidRPr="00931D63">
              <w:rPr>
                <w:bCs/>
              </w:rPr>
              <w:t>$0.05</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CILC D/CILC G</w:t>
            </w:r>
          </w:p>
        </w:tc>
        <w:tc>
          <w:tcPr>
            <w:tcW w:w="1350" w:type="dxa"/>
          </w:tcPr>
          <w:p w:rsidR="009570AF" w:rsidRPr="00931D63" w:rsidRDefault="009570AF" w:rsidP="009570AF">
            <w:pPr>
              <w:autoSpaceDE w:val="0"/>
              <w:autoSpaceDN w:val="0"/>
              <w:adjustRightInd w:val="0"/>
              <w:jc w:val="center"/>
              <w:rPr>
                <w:bCs/>
              </w:rPr>
            </w:pPr>
            <w:r>
              <w:rPr>
                <w:bCs/>
              </w:rPr>
              <w:t>0.96</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CILC T</w:t>
            </w:r>
          </w:p>
        </w:tc>
        <w:tc>
          <w:tcPr>
            <w:tcW w:w="1350" w:type="dxa"/>
          </w:tcPr>
          <w:p w:rsidR="009570AF" w:rsidRPr="00931D63" w:rsidRDefault="009570AF" w:rsidP="009570AF">
            <w:pPr>
              <w:autoSpaceDE w:val="0"/>
              <w:autoSpaceDN w:val="0"/>
              <w:adjustRightInd w:val="0"/>
              <w:jc w:val="center"/>
              <w:rPr>
                <w:bCs/>
              </w:rPr>
            </w:pPr>
            <w:r>
              <w:rPr>
                <w:bCs/>
              </w:rPr>
              <w:t>0.92</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MET</w:t>
            </w:r>
          </w:p>
        </w:tc>
        <w:tc>
          <w:tcPr>
            <w:tcW w:w="1350" w:type="dxa"/>
          </w:tcPr>
          <w:p w:rsidR="009570AF" w:rsidRPr="00931D63" w:rsidRDefault="009570AF" w:rsidP="009570AF">
            <w:pPr>
              <w:autoSpaceDE w:val="0"/>
              <w:autoSpaceDN w:val="0"/>
              <w:adjustRightInd w:val="0"/>
              <w:jc w:val="center"/>
              <w:rPr>
                <w:bCs/>
              </w:rPr>
            </w:pPr>
            <w:r>
              <w:rPr>
                <w:bCs/>
              </w:rPr>
              <w:t>0.82</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OL1/SL1/SL1M/PL1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0.000</w:t>
            </w:r>
            <w:r>
              <w:rPr>
                <w:bCs/>
              </w:rPr>
              <w:t>18</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SL2/SL2M/GSCU1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0.001</w:t>
            </w:r>
            <w:r>
              <w:rPr>
                <w:bCs/>
              </w:rPr>
              <w:t>70</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bl>
    <w:p w:rsidR="009570AF" w:rsidRPr="00931D63" w:rsidRDefault="009570AF" w:rsidP="009570AF">
      <w:pPr>
        <w:ind w:left="1440" w:hanging="1440"/>
        <w:rPr>
          <w:rFonts w:ascii="Arial" w:hAnsi="Arial" w:cs="Arial"/>
          <w:b/>
        </w:rPr>
      </w:pPr>
      <w:r>
        <w:rPr>
          <w:color w:val="FF0000"/>
          <w:sz w:val="22"/>
          <w:szCs w:val="22"/>
        </w:rPr>
        <w:t xml:space="preserve">  </w:t>
      </w:r>
      <w:r w:rsidRPr="00931D63">
        <w:rPr>
          <w:sz w:val="22"/>
          <w:szCs w:val="22"/>
        </w:rPr>
        <w:t xml:space="preserve">Source: Appendix VI </w:t>
      </w:r>
      <w:r>
        <w:rPr>
          <w:sz w:val="22"/>
          <w:szCs w:val="22"/>
        </w:rPr>
        <w:t>– 2019 CCR Projections  (</w:t>
      </w:r>
      <w:r w:rsidRPr="00931D63">
        <w:rPr>
          <w:sz w:val="22"/>
          <w:szCs w:val="22"/>
        </w:rPr>
        <w:t>Exhibit RBD-9</w:t>
      </w:r>
      <w:r>
        <w:rPr>
          <w:sz w:val="22"/>
          <w:szCs w:val="22"/>
        </w:rPr>
        <w:t xml:space="preserve">, </w:t>
      </w:r>
      <w:r w:rsidRPr="00931D63">
        <w:rPr>
          <w:sz w:val="22"/>
          <w:szCs w:val="22"/>
        </w:rPr>
        <w:t xml:space="preserve">Page 19 of </w:t>
      </w:r>
      <w:r>
        <w:rPr>
          <w:sz w:val="22"/>
          <w:szCs w:val="22"/>
        </w:rPr>
        <w:t xml:space="preserve"> </w:t>
      </w:r>
      <w:r w:rsidRPr="00931D63">
        <w:rPr>
          <w:sz w:val="22"/>
          <w:szCs w:val="22"/>
        </w:rPr>
        <w:t>31)</w:t>
      </w:r>
      <w:r>
        <w:rPr>
          <w:sz w:val="22"/>
          <w:szCs w:val="22"/>
        </w:rPr>
        <w:t>.</w:t>
      </w:r>
    </w:p>
    <w:p w:rsidR="009570AF" w:rsidRPr="00931D63" w:rsidRDefault="009570AF" w:rsidP="009570AF">
      <w:pPr>
        <w:ind w:left="1440" w:hanging="1440"/>
        <w:jc w:val="center"/>
        <w:rPr>
          <w:rFonts w:ascii="Arial" w:hAnsi="Arial" w:cs="Arial"/>
          <w:b/>
        </w:rPr>
      </w:pPr>
    </w:p>
    <w:p w:rsidR="009570AF" w:rsidRPr="00931D63" w:rsidRDefault="009570AF" w:rsidP="009570AF">
      <w:pPr>
        <w:ind w:left="1440" w:hanging="1440"/>
        <w:jc w:val="center"/>
        <w:rPr>
          <w:rFonts w:ascii="Arial" w:hAnsi="Arial" w:cs="Arial"/>
          <w:b/>
        </w:rPr>
      </w:pPr>
      <w:r w:rsidRPr="00931D63">
        <w:rPr>
          <w:rFonts w:ascii="Arial" w:hAnsi="Arial" w:cs="Arial"/>
          <w:b/>
        </w:rPr>
        <w:t>Table 33-3</w:t>
      </w:r>
    </w:p>
    <w:p w:rsidR="009570AF" w:rsidRPr="00931D63" w:rsidRDefault="009570AF" w:rsidP="009570AF">
      <w:pPr>
        <w:keepNext/>
        <w:keepLines/>
        <w:jc w:val="center"/>
      </w:pPr>
      <w:r w:rsidRPr="00931D63">
        <w:rPr>
          <w:rFonts w:ascii="Arial" w:hAnsi="Arial" w:cs="Arial"/>
          <w:b/>
        </w:rPr>
        <w:t>FPL Capacity Cost Recovery Factors for the period January-December, 2019</w:t>
      </w:r>
    </w:p>
    <w:tbl>
      <w:tblPr>
        <w:tblStyle w:val="TableGrid"/>
        <w:tblW w:w="0" w:type="auto"/>
        <w:tblLook w:val="04A0" w:firstRow="1" w:lastRow="0" w:firstColumn="1" w:lastColumn="0" w:noHBand="0" w:noVBand="1"/>
      </w:tblPr>
      <w:tblGrid>
        <w:gridCol w:w="3888"/>
        <w:gridCol w:w="1350"/>
        <w:gridCol w:w="1260"/>
        <w:gridCol w:w="1530"/>
        <w:gridCol w:w="1548"/>
      </w:tblGrid>
      <w:tr w:rsidR="009570AF" w:rsidRPr="00B968E1" w:rsidTr="009570AF">
        <w:tc>
          <w:tcPr>
            <w:tcW w:w="3888" w:type="dxa"/>
            <w:vMerge w:val="restart"/>
            <w:vAlign w:val="center"/>
          </w:tcPr>
          <w:p w:rsidR="009570AF" w:rsidRPr="00931D63" w:rsidRDefault="009570AF" w:rsidP="009570AF">
            <w:pPr>
              <w:autoSpaceDE w:val="0"/>
              <w:autoSpaceDN w:val="0"/>
              <w:adjustRightInd w:val="0"/>
              <w:jc w:val="center"/>
              <w:rPr>
                <w:b/>
                <w:bCs/>
              </w:rPr>
            </w:pPr>
            <w:r w:rsidRPr="00931D63">
              <w:rPr>
                <w:b/>
                <w:bCs/>
              </w:rPr>
              <w:t>Rate Schedule</w:t>
            </w:r>
          </w:p>
        </w:tc>
        <w:tc>
          <w:tcPr>
            <w:tcW w:w="5688" w:type="dxa"/>
            <w:gridSpan w:val="4"/>
          </w:tcPr>
          <w:p w:rsidR="009570AF" w:rsidRPr="00B968E1" w:rsidRDefault="009570AF" w:rsidP="009570AF">
            <w:pPr>
              <w:autoSpaceDE w:val="0"/>
              <w:autoSpaceDN w:val="0"/>
              <w:adjustRightInd w:val="0"/>
              <w:jc w:val="center"/>
              <w:rPr>
                <w:b/>
                <w:bCs/>
                <w:color w:val="FF0000"/>
              </w:rPr>
            </w:pPr>
            <w:r w:rsidRPr="00931D63">
              <w:rPr>
                <w:b/>
                <w:bCs/>
              </w:rPr>
              <w:t>2019 Indiantown Capacity Cost Recovery Factors</w:t>
            </w:r>
            <w:r w:rsidRPr="00B968E1">
              <w:rPr>
                <w:b/>
                <w:bCs/>
                <w:color w:val="FF0000"/>
              </w:rPr>
              <w:t xml:space="preserve"> </w:t>
            </w:r>
          </w:p>
        </w:tc>
      </w:tr>
      <w:tr w:rsidR="009570AF" w:rsidRPr="00B968E1" w:rsidTr="009570AF">
        <w:tc>
          <w:tcPr>
            <w:tcW w:w="3888" w:type="dxa"/>
            <w:vMerge/>
          </w:tcPr>
          <w:p w:rsidR="009570AF" w:rsidRPr="00931D63" w:rsidRDefault="009570AF" w:rsidP="009570AF">
            <w:pPr>
              <w:autoSpaceDE w:val="0"/>
              <w:autoSpaceDN w:val="0"/>
              <w:adjustRightInd w:val="0"/>
              <w:jc w:val="center"/>
              <w:rPr>
                <w:b/>
                <w:bCs/>
              </w:rPr>
            </w:pPr>
          </w:p>
        </w:tc>
        <w:tc>
          <w:tcPr>
            <w:tcW w:w="1350" w:type="dxa"/>
            <w:vAlign w:val="center"/>
          </w:tcPr>
          <w:p w:rsidR="009570AF" w:rsidRPr="00931D63" w:rsidRDefault="009570AF" w:rsidP="009570AF">
            <w:pPr>
              <w:autoSpaceDE w:val="0"/>
              <w:autoSpaceDN w:val="0"/>
              <w:adjustRightInd w:val="0"/>
              <w:jc w:val="center"/>
              <w:rPr>
                <w:bCs/>
              </w:rPr>
            </w:pPr>
            <w:r w:rsidRPr="00931D63">
              <w:rPr>
                <w:bCs/>
              </w:rPr>
              <w:t>$/kW</w:t>
            </w:r>
          </w:p>
        </w:tc>
        <w:tc>
          <w:tcPr>
            <w:tcW w:w="1260" w:type="dxa"/>
            <w:vAlign w:val="center"/>
          </w:tcPr>
          <w:p w:rsidR="009570AF" w:rsidRPr="00931D63" w:rsidRDefault="009570AF" w:rsidP="009570AF">
            <w:pPr>
              <w:autoSpaceDE w:val="0"/>
              <w:autoSpaceDN w:val="0"/>
              <w:adjustRightInd w:val="0"/>
              <w:jc w:val="center"/>
              <w:rPr>
                <w:bCs/>
              </w:rPr>
            </w:pPr>
            <w:r w:rsidRPr="00931D63">
              <w:rPr>
                <w:bCs/>
              </w:rPr>
              <w:t>$/kWh</w:t>
            </w:r>
          </w:p>
        </w:tc>
        <w:tc>
          <w:tcPr>
            <w:tcW w:w="1530" w:type="dxa"/>
          </w:tcPr>
          <w:p w:rsidR="009570AF" w:rsidRPr="00931D63" w:rsidRDefault="009570AF" w:rsidP="009570AF">
            <w:pPr>
              <w:autoSpaceDE w:val="0"/>
              <w:autoSpaceDN w:val="0"/>
              <w:adjustRightInd w:val="0"/>
              <w:jc w:val="center"/>
              <w:rPr>
                <w:bCs/>
              </w:rPr>
            </w:pPr>
            <w:r w:rsidRPr="00931D63">
              <w:rPr>
                <w:bCs/>
              </w:rPr>
              <w:t>Reservation Demand Charge (RDC)  $/kW</w:t>
            </w:r>
          </w:p>
        </w:tc>
        <w:tc>
          <w:tcPr>
            <w:tcW w:w="1548" w:type="dxa"/>
          </w:tcPr>
          <w:p w:rsidR="009570AF" w:rsidRPr="00931D63" w:rsidRDefault="009570AF" w:rsidP="009570AF">
            <w:pPr>
              <w:autoSpaceDE w:val="0"/>
              <w:autoSpaceDN w:val="0"/>
              <w:adjustRightInd w:val="0"/>
              <w:jc w:val="center"/>
              <w:rPr>
                <w:bCs/>
              </w:rPr>
            </w:pPr>
            <w:r w:rsidRPr="00931D63">
              <w:rPr>
                <w:bCs/>
              </w:rPr>
              <w:t>Sum of Daily Demand Charge (SDD)  $/kW</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RS1/RTR1</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0.00003</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GS1/GST1</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0.00003</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GSD1/GSDT1/HLFT1</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lastRenderedPageBreak/>
              <w:t>OS2</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0.00002</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GSLD1/GSLDT1/CS1/CST1/HLFT2</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GSLD2/GSLDT2/CS2/CST2/HLFT3</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GSLD3/GSLDT3/CS3/CST3</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SST1T</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SST1D1/SST1D2/SST1D3</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CILC D/CILC G</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CILC T</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MET</w:t>
            </w:r>
          </w:p>
        </w:tc>
        <w:tc>
          <w:tcPr>
            <w:tcW w:w="1350" w:type="dxa"/>
          </w:tcPr>
          <w:p w:rsidR="009570AF" w:rsidRPr="004A48E2" w:rsidRDefault="009570AF" w:rsidP="009570AF">
            <w:pPr>
              <w:autoSpaceDE w:val="0"/>
              <w:autoSpaceDN w:val="0"/>
              <w:adjustRightInd w:val="0"/>
              <w:jc w:val="center"/>
              <w:rPr>
                <w:bCs/>
              </w:rPr>
            </w:pPr>
            <w:r w:rsidRPr="004A48E2">
              <w:rPr>
                <w:bCs/>
              </w:rPr>
              <w:t>0.01</w:t>
            </w:r>
          </w:p>
        </w:tc>
        <w:tc>
          <w:tcPr>
            <w:tcW w:w="1260" w:type="dxa"/>
          </w:tcPr>
          <w:p w:rsidR="009570AF" w:rsidRPr="004A48E2" w:rsidRDefault="009570AF" w:rsidP="009570AF">
            <w:pPr>
              <w:autoSpaceDE w:val="0"/>
              <w:autoSpaceDN w:val="0"/>
              <w:adjustRightInd w:val="0"/>
              <w:jc w:val="center"/>
              <w:rPr>
                <w:bCs/>
              </w:rPr>
            </w:pPr>
            <w:r w:rsidRPr="004A48E2">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OL1/SL1/SL1M/PL1</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0.00001</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SL2/SL2M/GSCU1</w:t>
            </w:r>
          </w:p>
        </w:tc>
        <w:tc>
          <w:tcPr>
            <w:tcW w:w="1350" w:type="dxa"/>
          </w:tcPr>
          <w:p w:rsidR="009570AF" w:rsidRPr="004A48E2" w:rsidRDefault="009570AF" w:rsidP="009570AF">
            <w:pPr>
              <w:autoSpaceDE w:val="0"/>
              <w:autoSpaceDN w:val="0"/>
              <w:adjustRightInd w:val="0"/>
              <w:jc w:val="center"/>
              <w:rPr>
                <w:bCs/>
              </w:rPr>
            </w:pPr>
            <w:r w:rsidRPr="004A48E2">
              <w:rPr>
                <w:bCs/>
              </w:rPr>
              <w:t>-</w:t>
            </w:r>
          </w:p>
        </w:tc>
        <w:tc>
          <w:tcPr>
            <w:tcW w:w="1260" w:type="dxa"/>
          </w:tcPr>
          <w:p w:rsidR="009570AF" w:rsidRPr="004A48E2" w:rsidRDefault="009570AF" w:rsidP="009570AF">
            <w:pPr>
              <w:autoSpaceDE w:val="0"/>
              <w:autoSpaceDN w:val="0"/>
              <w:adjustRightInd w:val="0"/>
              <w:jc w:val="center"/>
              <w:rPr>
                <w:bCs/>
              </w:rPr>
            </w:pPr>
            <w:r w:rsidRPr="004A48E2">
              <w:rPr>
                <w:bCs/>
              </w:rPr>
              <w:t>0.00002</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bl>
    <w:p w:rsidR="009570AF" w:rsidRDefault="009570AF" w:rsidP="009570AF">
      <w:pPr>
        <w:autoSpaceDE w:val="0"/>
        <w:autoSpaceDN w:val="0"/>
        <w:adjustRightInd w:val="0"/>
        <w:jc w:val="both"/>
        <w:rPr>
          <w:sz w:val="22"/>
          <w:szCs w:val="22"/>
        </w:rPr>
      </w:pPr>
      <w:r w:rsidRPr="00B968E1">
        <w:rPr>
          <w:color w:val="FF0000"/>
          <w:sz w:val="22"/>
          <w:szCs w:val="22"/>
        </w:rPr>
        <w:t xml:space="preserve">  </w:t>
      </w:r>
      <w:r w:rsidRPr="00931D63">
        <w:rPr>
          <w:sz w:val="22"/>
          <w:szCs w:val="22"/>
        </w:rPr>
        <w:t xml:space="preserve">Source: Appendix VI </w:t>
      </w:r>
      <w:r>
        <w:rPr>
          <w:sz w:val="22"/>
          <w:szCs w:val="22"/>
        </w:rPr>
        <w:t>– 2019 CCR Projections  (</w:t>
      </w:r>
      <w:r w:rsidRPr="00931D63">
        <w:rPr>
          <w:sz w:val="22"/>
          <w:szCs w:val="22"/>
        </w:rPr>
        <w:t>Exhibit RBD-9</w:t>
      </w:r>
      <w:r>
        <w:rPr>
          <w:sz w:val="22"/>
          <w:szCs w:val="22"/>
        </w:rPr>
        <w:t xml:space="preserve">, </w:t>
      </w:r>
      <w:r w:rsidRPr="00931D63">
        <w:rPr>
          <w:sz w:val="22"/>
          <w:szCs w:val="22"/>
        </w:rPr>
        <w:t xml:space="preserve">Page 19 of </w:t>
      </w:r>
      <w:r>
        <w:rPr>
          <w:sz w:val="22"/>
          <w:szCs w:val="22"/>
        </w:rPr>
        <w:t xml:space="preserve"> </w:t>
      </w:r>
      <w:r w:rsidRPr="00931D63">
        <w:rPr>
          <w:sz w:val="22"/>
          <w:szCs w:val="22"/>
        </w:rPr>
        <w:t>31)</w:t>
      </w:r>
      <w:r>
        <w:rPr>
          <w:sz w:val="22"/>
          <w:szCs w:val="22"/>
        </w:rPr>
        <w:t>.</w:t>
      </w:r>
    </w:p>
    <w:p w:rsidR="009570AF" w:rsidRDefault="009570AF" w:rsidP="009570AF">
      <w:pPr>
        <w:autoSpaceDE w:val="0"/>
        <w:autoSpaceDN w:val="0"/>
        <w:adjustRightInd w:val="0"/>
        <w:jc w:val="both"/>
        <w:rPr>
          <w:bCs/>
          <w:color w:val="FF0000"/>
        </w:rPr>
      </w:pPr>
    </w:p>
    <w:p w:rsidR="006339AD" w:rsidRDefault="006339AD" w:rsidP="009570AF">
      <w:pPr>
        <w:autoSpaceDE w:val="0"/>
        <w:autoSpaceDN w:val="0"/>
        <w:adjustRightInd w:val="0"/>
        <w:jc w:val="both"/>
        <w:rPr>
          <w:bCs/>
          <w:color w:val="FF0000"/>
        </w:rPr>
      </w:pPr>
    </w:p>
    <w:p w:rsidR="006339AD" w:rsidRPr="00B968E1" w:rsidRDefault="006339AD" w:rsidP="009570AF">
      <w:pPr>
        <w:autoSpaceDE w:val="0"/>
        <w:autoSpaceDN w:val="0"/>
        <w:adjustRightInd w:val="0"/>
        <w:jc w:val="both"/>
        <w:rPr>
          <w:bCs/>
          <w:color w:val="FF0000"/>
        </w:rPr>
      </w:pPr>
    </w:p>
    <w:p w:rsidR="009570AF" w:rsidRPr="004A48E2" w:rsidRDefault="009570AF" w:rsidP="009570AF">
      <w:pPr>
        <w:ind w:left="1440" w:hanging="1440"/>
        <w:jc w:val="center"/>
        <w:rPr>
          <w:rFonts w:ascii="Arial" w:hAnsi="Arial" w:cs="Arial"/>
          <w:b/>
        </w:rPr>
      </w:pPr>
      <w:r w:rsidRPr="004A48E2">
        <w:rPr>
          <w:rFonts w:ascii="Arial" w:hAnsi="Arial" w:cs="Arial"/>
          <w:b/>
        </w:rPr>
        <w:t>Table 33-4</w:t>
      </w:r>
    </w:p>
    <w:p w:rsidR="009570AF" w:rsidRPr="004A48E2" w:rsidRDefault="009570AF" w:rsidP="009570AF">
      <w:pPr>
        <w:keepNext/>
        <w:keepLines/>
        <w:jc w:val="center"/>
      </w:pPr>
      <w:r w:rsidRPr="004A48E2">
        <w:rPr>
          <w:rFonts w:ascii="Arial" w:hAnsi="Arial" w:cs="Arial"/>
          <w:b/>
        </w:rPr>
        <w:t>FPL Capacity Cost Recovery Factors for the period January-December, 2019</w:t>
      </w:r>
    </w:p>
    <w:tbl>
      <w:tblPr>
        <w:tblStyle w:val="TableGrid"/>
        <w:tblW w:w="0" w:type="auto"/>
        <w:tblLook w:val="04A0" w:firstRow="1" w:lastRow="0" w:firstColumn="1" w:lastColumn="0" w:noHBand="0" w:noVBand="1"/>
      </w:tblPr>
      <w:tblGrid>
        <w:gridCol w:w="3888"/>
        <w:gridCol w:w="1350"/>
        <w:gridCol w:w="1260"/>
        <w:gridCol w:w="1530"/>
        <w:gridCol w:w="1548"/>
      </w:tblGrid>
      <w:tr w:rsidR="009570AF" w:rsidRPr="00B968E1" w:rsidTr="009570AF">
        <w:tc>
          <w:tcPr>
            <w:tcW w:w="3888" w:type="dxa"/>
            <w:vMerge w:val="restart"/>
            <w:vAlign w:val="center"/>
          </w:tcPr>
          <w:p w:rsidR="009570AF" w:rsidRPr="004A48E2" w:rsidRDefault="009570AF" w:rsidP="009570AF">
            <w:pPr>
              <w:autoSpaceDE w:val="0"/>
              <w:autoSpaceDN w:val="0"/>
              <w:adjustRightInd w:val="0"/>
              <w:jc w:val="center"/>
              <w:rPr>
                <w:b/>
                <w:bCs/>
              </w:rPr>
            </w:pPr>
            <w:r w:rsidRPr="004A48E2">
              <w:rPr>
                <w:b/>
                <w:bCs/>
              </w:rPr>
              <w:t>Rate Schedule</w:t>
            </w:r>
          </w:p>
        </w:tc>
        <w:tc>
          <w:tcPr>
            <w:tcW w:w="5688" w:type="dxa"/>
            <w:gridSpan w:val="4"/>
          </w:tcPr>
          <w:p w:rsidR="009570AF" w:rsidRPr="004A48E2" w:rsidRDefault="009570AF" w:rsidP="009570AF">
            <w:pPr>
              <w:autoSpaceDE w:val="0"/>
              <w:autoSpaceDN w:val="0"/>
              <w:adjustRightInd w:val="0"/>
              <w:jc w:val="center"/>
              <w:rPr>
                <w:b/>
                <w:bCs/>
              </w:rPr>
            </w:pPr>
            <w:r w:rsidRPr="004A48E2">
              <w:rPr>
                <w:b/>
                <w:bCs/>
              </w:rPr>
              <w:t xml:space="preserve">2019 Total Capacity Cost Recovery Factors </w:t>
            </w:r>
          </w:p>
        </w:tc>
      </w:tr>
      <w:tr w:rsidR="009570AF" w:rsidRPr="00B968E1" w:rsidTr="009570AF">
        <w:tc>
          <w:tcPr>
            <w:tcW w:w="3888" w:type="dxa"/>
            <w:vMerge/>
          </w:tcPr>
          <w:p w:rsidR="009570AF" w:rsidRPr="004A48E2" w:rsidRDefault="009570AF" w:rsidP="009570AF">
            <w:pPr>
              <w:autoSpaceDE w:val="0"/>
              <w:autoSpaceDN w:val="0"/>
              <w:adjustRightInd w:val="0"/>
              <w:jc w:val="center"/>
              <w:rPr>
                <w:b/>
                <w:bCs/>
              </w:rPr>
            </w:pPr>
          </w:p>
        </w:tc>
        <w:tc>
          <w:tcPr>
            <w:tcW w:w="1350" w:type="dxa"/>
            <w:vAlign w:val="center"/>
          </w:tcPr>
          <w:p w:rsidR="009570AF" w:rsidRPr="004A48E2" w:rsidRDefault="009570AF" w:rsidP="009570AF">
            <w:pPr>
              <w:autoSpaceDE w:val="0"/>
              <w:autoSpaceDN w:val="0"/>
              <w:adjustRightInd w:val="0"/>
              <w:jc w:val="center"/>
              <w:rPr>
                <w:bCs/>
              </w:rPr>
            </w:pPr>
            <w:r w:rsidRPr="004A48E2">
              <w:rPr>
                <w:bCs/>
              </w:rPr>
              <w:t>$/kW</w:t>
            </w:r>
          </w:p>
        </w:tc>
        <w:tc>
          <w:tcPr>
            <w:tcW w:w="1260" w:type="dxa"/>
            <w:vAlign w:val="center"/>
          </w:tcPr>
          <w:p w:rsidR="009570AF" w:rsidRPr="004A48E2" w:rsidRDefault="009570AF" w:rsidP="009570AF">
            <w:pPr>
              <w:autoSpaceDE w:val="0"/>
              <w:autoSpaceDN w:val="0"/>
              <w:adjustRightInd w:val="0"/>
              <w:jc w:val="center"/>
              <w:rPr>
                <w:bCs/>
              </w:rPr>
            </w:pPr>
            <w:r w:rsidRPr="004A48E2">
              <w:rPr>
                <w:bCs/>
              </w:rPr>
              <w:t>$/kWh</w:t>
            </w:r>
          </w:p>
        </w:tc>
        <w:tc>
          <w:tcPr>
            <w:tcW w:w="1530" w:type="dxa"/>
          </w:tcPr>
          <w:p w:rsidR="009570AF" w:rsidRPr="004A48E2" w:rsidRDefault="009570AF" w:rsidP="009570AF">
            <w:pPr>
              <w:autoSpaceDE w:val="0"/>
              <w:autoSpaceDN w:val="0"/>
              <w:adjustRightInd w:val="0"/>
              <w:jc w:val="center"/>
              <w:rPr>
                <w:bCs/>
              </w:rPr>
            </w:pPr>
            <w:r w:rsidRPr="004A48E2">
              <w:rPr>
                <w:bCs/>
              </w:rPr>
              <w:t>Reservation Demand Charge (RDC)  $/kW</w:t>
            </w:r>
          </w:p>
        </w:tc>
        <w:tc>
          <w:tcPr>
            <w:tcW w:w="1548" w:type="dxa"/>
          </w:tcPr>
          <w:p w:rsidR="009570AF" w:rsidRPr="004A48E2" w:rsidRDefault="009570AF" w:rsidP="009570AF">
            <w:pPr>
              <w:autoSpaceDE w:val="0"/>
              <w:autoSpaceDN w:val="0"/>
              <w:adjustRightInd w:val="0"/>
              <w:jc w:val="center"/>
              <w:rPr>
                <w:bCs/>
              </w:rPr>
            </w:pPr>
            <w:r w:rsidRPr="004A48E2">
              <w:rPr>
                <w:bCs/>
              </w:rPr>
              <w:t>Sum of Daily Demand Charge (SDD)  $/kW</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RS1/RTR1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0.00258</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GS1/GST1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0.00254</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GSD1/GSDT1/HLFT1</w:t>
            </w:r>
          </w:p>
        </w:tc>
        <w:tc>
          <w:tcPr>
            <w:tcW w:w="1350" w:type="dxa"/>
          </w:tcPr>
          <w:p w:rsidR="009570AF" w:rsidRPr="00931D63" w:rsidRDefault="009570AF" w:rsidP="009570AF">
            <w:pPr>
              <w:autoSpaceDE w:val="0"/>
              <w:autoSpaceDN w:val="0"/>
              <w:adjustRightInd w:val="0"/>
              <w:jc w:val="center"/>
              <w:rPr>
                <w:bCs/>
              </w:rPr>
            </w:pPr>
            <w:r w:rsidRPr="00931D63">
              <w:rPr>
                <w:bCs/>
              </w:rPr>
              <w:t>0.83</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OS2</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0.00104</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GSLD1/GSLDT1/CS1/CST1/HLFT2</w:t>
            </w:r>
          </w:p>
        </w:tc>
        <w:tc>
          <w:tcPr>
            <w:tcW w:w="1350" w:type="dxa"/>
          </w:tcPr>
          <w:p w:rsidR="009570AF" w:rsidRPr="00931D63" w:rsidRDefault="009570AF" w:rsidP="009570AF">
            <w:pPr>
              <w:autoSpaceDE w:val="0"/>
              <w:autoSpaceDN w:val="0"/>
              <w:adjustRightInd w:val="0"/>
              <w:jc w:val="center"/>
              <w:rPr>
                <w:bCs/>
              </w:rPr>
            </w:pPr>
            <w:r w:rsidRPr="00931D63">
              <w:rPr>
                <w:bCs/>
              </w:rPr>
              <w:t>0.95</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GSLD2/GSLDT2/CS2/CST2/HLFT3</w:t>
            </w:r>
          </w:p>
        </w:tc>
        <w:tc>
          <w:tcPr>
            <w:tcW w:w="1350" w:type="dxa"/>
          </w:tcPr>
          <w:p w:rsidR="009570AF" w:rsidRPr="00931D63" w:rsidRDefault="009570AF" w:rsidP="009570AF">
            <w:pPr>
              <w:autoSpaceDE w:val="0"/>
              <w:autoSpaceDN w:val="0"/>
              <w:adjustRightInd w:val="0"/>
              <w:jc w:val="center"/>
              <w:rPr>
                <w:bCs/>
              </w:rPr>
            </w:pPr>
            <w:r w:rsidRPr="00931D63">
              <w:rPr>
                <w:bCs/>
              </w:rPr>
              <w:t>0.90</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GSLD3/GSLDT3/CS3/CST3</w:t>
            </w:r>
          </w:p>
        </w:tc>
        <w:tc>
          <w:tcPr>
            <w:tcW w:w="1350" w:type="dxa"/>
          </w:tcPr>
          <w:p w:rsidR="009570AF" w:rsidRPr="00931D63" w:rsidRDefault="009570AF" w:rsidP="00F329C0">
            <w:pPr>
              <w:autoSpaceDE w:val="0"/>
              <w:autoSpaceDN w:val="0"/>
              <w:adjustRightInd w:val="0"/>
              <w:jc w:val="center"/>
              <w:rPr>
                <w:bCs/>
              </w:rPr>
            </w:pPr>
            <w:r w:rsidRPr="00931D63">
              <w:rPr>
                <w:bCs/>
              </w:rPr>
              <w:t>0.</w:t>
            </w:r>
            <w:r w:rsidR="00F329C0">
              <w:rPr>
                <w:bCs/>
              </w:rPr>
              <w:t>8</w:t>
            </w:r>
            <w:r w:rsidRPr="00931D63">
              <w:rPr>
                <w:bCs/>
              </w:rPr>
              <w:t>8</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SST1T</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$0.11</w:t>
            </w:r>
          </w:p>
        </w:tc>
        <w:tc>
          <w:tcPr>
            <w:tcW w:w="1548" w:type="dxa"/>
          </w:tcPr>
          <w:p w:rsidR="009570AF" w:rsidRPr="00931D63" w:rsidRDefault="009570AF" w:rsidP="009570AF">
            <w:pPr>
              <w:autoSpaceDE w:val="0"/>
              <w:autoSpaceDN w:val="0"/>
              <w:adjustRightInd w:val="0"/>
              <w:jc w:val="center"/>
              <w:rPr>
                <w:bCs/>
              </w:rPr>
            </w:pPr>
            <w:r w:rsidRPr="00931D63">
              <w:rPr>
                <w:bCs/>
              </w:rPr>
              <w:t>$0.05</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SST1D1/SST1D2/SST1D3</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$0.11</w:t>
            </w:r>
          </w:p>
        </w:tc>
        <w:tc>
          <w:tcPr>
            <w:tcW w:w="1548" w:type="dxa"/>
          </w:tcPr>
          <w:p w:rsidR="009570AF" w:rsidRPr="00931D63" w:rsidRDefault="009570AF" w:rsidP="009570AF">
            <w:pPr>
              <w:autoSpaceDE w:val="0"/>
              <w:autoSpaceDN w:val="0"/>
              <w:adjustRightInd w:val="0"/>
              <w:jc w:val="center"/>
              <w:rPr>
                <w:bCs/>
              </w:rPr>
            </w:pPr>
            <w:r w:rsidRPr="00931D63">
              <w:rPr>
                <w:bCs/>
              </w:rPr>
              <w:t>$0.05</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CILC D/CILC G</w:t>
            </w:r>
          </w:p>
        </w:tc>
        <w:tc>
          <w:tcPr>
            <w:tcW w:w="1350" w:type="dxa"/>
          </w:tcPr>
          <w:p w:rsidR="009570AF" w:rsidRPr="00931D63" w:rsidRDefault="009570AF" w:rsidP="009570AF">
            <w:pPr>
              <w:autoSpaceDE w:val="0"/>
              <w:autoSpaceDN w:val="0"/>
              <w:adjustRightInd w:val="0"/>
              <w:jc w:val="center"/>
              <w:rPr>
                <w:bCs/>
              </w:rPr>
            </w:pPr>
            <w:r w:rsidRPr="00931D63">
              <w:rPr>
                <w:bCs/>
              </w:rPr>
              <w:t>0.97</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CILC T</w:t>
            </w:r>
          </w:p>
        </w:tc>
        <w:tc>
          <w:tcPr>
            <w:tcW w:w="1350" w:type="dxa"/>
          </w:tcPr>
          <w:p w:rsidR="009570AF" w:rsidRPr="00931D63" w:rsidRDefault="009570AF" w:rsidP="009570AF">
            <w:pPr>
              <w:autoSpaceDE w:val="0"/>
              <w:autoSpaceDN w:val="0"/>
              <w:adjustRightInd w:val="0"/>
              <w:jc w:val="center"/>
              <w:rPr>
                <w:bCs/>
              </w:rPr>
            </w:pPr>
            <w:r w:rsidRPr="00931D63">
              <w:rPr>
                <w:bCs/>
              </w:rPr>
              <w:t>0.93</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MET</w:t>
            </w:r>
          </w:p>
        </w:tc>
        <w:tc>
          <w:tcPr>
            <w:tcW w:w="1350" w:type="dxa"/>
          </w:tcPr>
          <w:p w:rsidR="009570AF" w:rsidRPr="00931D63" w:rsidRDefault="009570AF" w:rsidP="009570AF">
            <w:pPr>
              <w:autoSpaceDE w:val="0"/>
              <w:autoSpaceDN w:val="0"/>
              <w:adjustRightInd w:val="0"/>
              <w:jc w:val="center"/>
              <w:rPr>
                <w:bCs/>
              </w:rPr>
            </w:pPr>
            <w:r w:rsidRPr="00931D63">
              <w:rPr>
                <w:bCs/>
              </w:rPr>
              <w:t>0.83</w:t>
            </w:r>
          </w:p>
        </w:tc>
        <w:tc>
          <w:tcPr>
            <w:tcW w:w="1260" w:type="dxa"/>
          </w:tcPr>
          <w:p w:rsidR="009570AF" w:rsidRPr="00931D63" w:rsidRDefault="009570AF" w:rsidP="009570AF">
            <w:pPr>
              <w:autoSpaceDE w:val="0"/>
              <w:autoSpaceDN w:val="0"/>
              <w:adjustRightInd w:val="0"/>
              <w:jc w:val="center"/>
              <w:rPr>
                <w:bCs/>
              </w:rPr>
            </w:pPr>
            <w:r w:rsidRPr="00931D63">
              <w:rPr>
                <w:bCs/>
              </w:rPr>
              <w:t>-</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OL1/SL1/SL1M/PL1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0.00019</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r w:rsidR="009570AF" w:rsidRPr="00B968E1" w:rsidTr="009570AF">
        <w:tc>
          <w:tcPr>
            <w:tcW w:w="3888" w:type="dxa"/>
          </w:tcPr>
          <w:p w:rsidR="009570AF" w:rsidRPr="00931D63" w:rsidRDefault="009570AF" w:rsidP="009570AF">
            <w:pPr>
              <w:autoSpaceDE w:val="0"/>
              <w:autoSpaceDN w:val="0"/>
              <w:adjustRightInd w:val="0"/>
              <w:jc w:val="center"/>
              <w:rPr>
                <w:bCs/>
              </w:rPr>
            </w:pPr>
            <w:r w:rsidRPr="00931D63">
              <w:rPr>
                <w:bCs/>
              </w:rPr>
              <w:t>SL2/SL2M/GSCU1</w:t>
            </w:r>
          </w:p>
        </w:tc>
        <w:tc>
          <w:tcPr>
            <w:tcW w:w="1350" w:type="dxa"/>
          </w:tcPr>
          <w:p w:rsidR="009570AF" w:rsidRPr="00931D63" w:rsidRDefault="009570AF" w:rsidP="009570AF">
            <w:pPr>
              <w:autoSpaceDE w:val="0"/>
              <w:autoSpaceDN w:val="0"/>
              <w:adjustRightInd w:val="0"/>
              <w:jc w:val="center"/>
              <w:rPr>
                <w:bCs/>
              </w:rPr>
            </w:pPr>
            <w:r w:rsidRPr="00931D63">
              <w:rPr>
                <w:bCs/>
              </w:rPr>
              <w:t>-</w:t>
            </w:r>
          </w:p>
        </w:tc>
        <w:tc>
          <w:tcPr>
            <w:tcW w:w="1260" w:type="dxa"/>
          </w:tcPr>
          <w:p w:rsidR="009570AF" w:rsidRPr="00931D63" w:rsidRDefault="009570AF" w:rsidP="009570AF">
            <w:pPr>
              <w:autoSpaceDE w:val="0"/>
              <w:autoSpaceDN w:val="0"/>
              <w:adjustRightInd w:val="0"/>
              <w:jc w:val="center"/>
              <w:rPr>
                <w:bCs/>
              </w:rPr>
            </w:pPr>
            <w:r w:rsidRPr="00931D63">
              <w:rPr>
                <w:bCs/>
              </w:rPr>
              <w:t>0.00172</w:t>
            </w:r>
          </w:p>
        </w:tc>
        <w:tc>
          <w:tcPr>
            <w:tcW w:w="1530" w:type="dxa"/>
          </w:tcPr>
          <w:p w:rsidR="009570AF" w:rsidRPr="00931D63" w:rsidRDefault="009570AF" w:rsidP="009570AF">
            <w:pPr>
              <w:autoSpaceDE w:val="0"/>
              <w:autoSpaceDN w:val="0"/>
              <w:adjustRightInd w:val="0"/>
              <w:jc w:val="center"/>
              <w:rPr>
                <w:bCs/>
              </w:rPr>
            </w:pPr>
            <w:r w:rsidRPr="00931D63">
              <w:rPr>
                <w:bCs/>
              </w:rPr>
              <w:t>-</w:t>
            </w:r>
          </w:p>
        </w:tc>
        <w:tc>
          <w:tcPr>
            <w:tcW w:w="1548" w:type="dxa"/>
          </w:tcPr>
          <w:p w:rsidR="009570AF" w:rsidRPr="00931D63" w:rsidRDefault="009570AF" w:rsidP="009570AF">
            <w:pPr>
              <w:autoSpaceDE w:val="0"/>
              <w:autoSpaceDN w:val="0"/>
              <w:adjustRightInd w:val="0"/>
              <w:jc w:val="center"/>
              <w:rPr>
                <w:bCs/>
              </w:rPr>
            </w:pPr>
            <w:r w:rsidRPr="00931D63">
              <w:rPr>
                <w:bCs/>
              </w:rPr>
              <w:t>-</w:t>
            </w:r>
          </w:p>
        </w:tc>
      </w:tr>
    </w:tbl>
    <w:p w:rsidR="009570AF" w:rsidRDefault="009570AF" w:rsidP="009570AF">
      <w:pPr>
        <w:autoSpaceDE w:val="0"/>
        <w:autoSpaceDN w:val="0"/>
        <w:adjustRightInd w:val="0"/>
        <w:jc w:val="both"/>
        <w:rPr>
          <w:sz w:val="22"/>
          <w:szCs w:val="22"/>
        </w:rPr>
      </w:pPr>
      <w:r w:rsidRPr="00B968E1">
        <w:rPr>
          <w:color w:val="FF0000"/>
          <w:sz w:val="22"/>
          <w:szCs w:val="22"/>
        </w:rPr>
        <w:t xml:space="preserve">  </w:t>
      </w:r>
      <w:r w:rsidRPr="00931D63">
        <w:rPr>
          <w:sz w:val="22"/>
          <w:szCs w:val="22"/>
        </w:rPr>
        <w:t xml:space="preserve">Source: Appendix VI </w:t>
      </w:r>
      <w:r>
        <w:rPr>
          <w:sz w:val="22"/>
          <w:szCs w:val="22"/>
        </w:rPr>
        <w:t>– 2019 CCR Projections  (</w:t>
      </w:r>
      <w:r w:rsidRPr="00931D63">
        <w:rPr>
          <w:sz w:val="22"/>
          <w:szCs w:val="22"/>
        </w:rPr>
        <w:t>Exhibit RBD-9</w:t>
      </w:r>
      <w:r>
        <w:rPr>
          <w:sz w:val="22"/>
          <w:szCs w:val="22"/>
        </w:rPr>
        <w:t xml:space="preserve">, </w:t>
      </w:r>
      <w:r w:rsidRPr="00931D63">
        <w:rPr>
          <w:sz w:val="22"/>
          <w:szCs w:val="22"/>
        </w:rPr>
        <w:t xml:space="preserve">Page 19 of </w:t>
      </w:r>
      <w:r>
        <w:rPr>
          <w:sz w:val="22"/>
          <w:szCs w:val="22"/>
        </w:rPr>
        <w:t xml:space="preserve"> </w:t>
      </w:r>
      <w:r w:rsidRPr="00931D63">
        <w:rPr>
          <w:sz w:val="22"/>
          <w:szCs w:val="22"/>
        </w:rPr>
        <w:t>31)</w:t>
      </w:r>
      <w:r>
        <w:rPr>
          <w:sz w:val="22"/>
          <w:szCs w:val="22"/>
        </w:rPr>
        <w:t>.</w:t>
      </w:r>
    </w:p>
    <w:p w:rsidR="006339AD" w:rsidRDefault="006339AD">
      <w:pPr>
        <w:rPr>
          <w:bCs/>
          <w:color w:val="FF0000"/>
        </w:rPr>
      </w:pPr>
      <w:r>
        <w:rPr>
          <w:bCs/>
          <w:color w:val="FF0000"/>
        </w:rPr>
        <w:br w:type="page"/>
      </w:r>
    </w:p>
    <w:p w:rsidR="009570AF" w:rsidRPr="00B968E1" w:rsidRDefault="009570AF" w:rsidP="009570AF">
      <w:pPr>
        <w:autoSpaceDE w:val="0"/>
        <w:autoSpaceDN w:val="0"/>
        <w:adjustRightInd w:val="0"/>
        <w:ind w:left="1440" w:hanging="1440"/>
        <w:jc w:val="both"/>
        <w:rPr>
          <w:bCs/>
          <w:color w:val="FF0000"/>
        </w:rPr>
      </w:pPr>
      <w:r w:rsidRPr="00166E48">
        <w:rPr>
          <w:bCs/>
        </w:rPr>
        <w:lastRenderedPageBreak/>
        <w:t>GULF:</w:t>
      </w:r>
      <w:r>
        <w:rPr>
          <w:bCs/>
        </w:rPr>
        <w:tab/>
      </w:r>
      <w:r w:rsidRPr="008D3FEA">
        <w:t xml:space="preserve">The appropriate capacity cost recovery factors for the period January </w:t>
      </w:r>
      <w:r>
        <w:t>2019 through December 2019</w:t>
      </w:r>
      <w:r w:rsidRPr="008D3FEA">
        <w:t xml:space="preserve"> are show</w:t>
      </w:r>
      <w:r>
        <w:t xml:space="preserve">n in </w:t>
      </w:r>
      <w:r>
        <w:rPr>
          <w:bCs/>
        </w:rPr>
        <w:t>Table 33-5 below:</w:t>
      </w:r>
    </w:p>
    <w:p w:rsidR="009570AF" w:rsidRDefault="009570AF" w:rsidP="009570AF">
      <w:pPr>
        <w:autoSpaceDE w:val="0"/>
        <w:autoSpaceDN w:val="0"/>
        <w:adjustRightInd w:val="0"/>
        <w:jc w:val="both"/>
        <w:rPr>
          <w:bCs/>
        </w:rPr>
      </w:pPr>
    </w:p>
    <w:p w:rsidR="009570AF" w:rsidRPr="00952579" w:rsidRDefault="009570AF" w:rsidP="009570AF">
      <w:pPr>
        <w:ind w:left="1440" w:hanging="1440"/>
        <w:jc w:val="center"/>
        <w:rPr>
          <w:rFonts w:ascii="Arial" w:hAnsi="Arial" w:cs="Arial"/>
          <w:b/>
        </w:rPr>
      </w:pPr>
      <w:r w:rsidRPr="00952579">
        <w:rPr>
          <w:rFonts w:ascii="Arial" w:hAnsi="Arial" w:cs="Arial"/>
          <w:b/>
        </w:rPr>
        <w:t xml:space="preserve">Table </w:t>
      </w:r>
      <w:r>
        <w:rPr>
          <w:rFonts w:ascii="Arial" w:hAnsi="Arial" w:cs="Arial"/>
          <w:b/>
        </w:rPr>
        <w:t>33-5</w:t>
      </w:r>
    </w:p>
    <w:p w:rsidR="009570AF" w:rsidRPr="00865E60" w:rsidRDefault="009570AF" w:rsidP="009570AF">
      <w:pPr>
        <w:keepNext/>
        <w:keepLines/>
        <w:jc w:val="center"/>
      </w:pPr>
      <w:r>
        <w:rPr>
          <w:rFonts w:ascii="Arial" w:hAnsi="Arial" w:cs="Arial"/>
          <w:b/>
        </w:rPr>
        <w:t>GULF Capacity Cost Recovery Factors for the period January-December, 2019</w:t>
      </w:r>
    </w:p>
    <w:tbl>
      <w:tblPr>
        <w:tblStyle w:val="TableGrid"/>
        <w:tblW w:w="0" w:type="auto"/>
        <w:tblLook w:val="04A0" w:firstRow="1" w:lastRow="0" w:firstColumn="1" w:lastColumn="0" w:noHBand="0" w:noVBand="1"/>
      </w:tblPr>
      <w:tblGrid>
        <w:gridCol w:w="4428"/>
        <w:gridCol w:w="2610"/>
        <w:gridCol w:w="2538"/>
      </w:tblGrid>
      <w:tr w:rsidR="009570AF" w:rsidTr="009570AF">
        <w:tc>
          <w:tcPr>
            <w:tcW w:w="4428" w:type="dxa"/>
            <w:vMerge w:val="restart"/>
            <w:vAlign w:val="center"/>
          </w:tcPr>
          <w:p w:rsidR="009570AF" w:rsidRPr="00166E48" w:rsidRDefault="009570AF" w:rsidP="009570AF">
            <w:pPr>
              <w:autoSpaceDE w:val="0"/>
              <w:autoSpaceDN w:val="0"/>
              <w:adjustRightInd w:val="0"/>
              <w:jc w:val="center"/>
              <w:rPr>
                <w:b/>
                <w:bCs/>
              </w:rPr>
            </w:pPr>
            <w:r w:rsidRPr="00166E48">
              <w:rPr>
                <w:b/>
                <w:bCs/>
              </w:rPr>
              <w:t>Rate Class</w:t>
            </w:r>
          </w:p>
        </w:tc>
        <w:tc>
          <w:tcPr>
            <w:tcW w:w="5148" w:type="dxa"/>
            <w:gridSpan w:val="2"/>
          </w:tcPr>
          <w:p w:rsidR="009570AF" w:rsidRPr="00B968E1" w:rsidRDefault="009570AF" w:rsidP="009570AF">
            <w:pPr>
              <w:autoSpaceDE w:val="0"/>
              <w:autoSpaceDN w:val="0"/>
              <w:adjustRightInd w:val="0"/>
              <w:jc w:val="center"/>
              <w:rPr>
                <w:b/>
                <w:bCs/>
                <w:color w:val="FF0000"/>
              </w:rPr>
            </w:pPr>
            <w:r w:rsidRPr="00FD3F07">
              <w:rPr>
                <w:b/>
                <w:bCs/>
              </w:rPr>
              <w:t xml:space="preserve">2019 Capacity Cost Recovery Factors </w:t>
            </w:r>
          </w:p>
        </w:tc>
      </w:tr>
      <w:tr w:rsidR="009570AF" w:rsidTr="009570AF">
        <w:tc>
          <w:tcPr>
            <w:tcW w:w="4428" w:type="dxa"/>
            <w:vMerge/>
          </w:tcPr>
          <w:p w:rsidR="009570AF" w:rsidRPr="00166E48" w:rsidRDefault="009570AF" w:rsidP="009570AF">
            <w:pPr>
              <w:autoSpaceDE w:val="0"/>
              <w:autoSpaceDN w:val="0"/>
              <w:adjustRightInd w:val="0"/>
              <w:jc w:val="center"/>
              <w:rPr>
                <w:b/>
                <w:bCs/>
              </w:rPr>
            </w:pPr>
          </w:p>
        </w:tc>
        <w:tc>
          <w:tcPr>
            <w:tcW w:w="2610" w:type="dxa"/>
          </w:tcPr>
          <w:p w:rsidR="009570AF" w:rsidRPr="00B968E1" w:rsidRDefault="009570AF" w:rsidP="009570AF">
            <w:pPr>
              <w:autoSpaceDE w:val="0"/>
              <w:autoSpaceDN w:val="0"/>
              <w:adjustRightInd w:val="0"/>
              <w:jc w:val="center"/>
              <w:rPr>
                <w:bCs/>
                <w:color w:val="FF0000"/>
              </w:rPr>
            </w:pPr>
            <w:r w:rsidRPr="00FD3F07">
              <w:rPr>
                <w:bCs/>
              </w:rPr>
              <w:t>Cents / kWh</w:t>
            </w:r>
          </w:p>
        </w:tc>
        <w:tc>
          <w:tcPr>
            <w:tcW w:w="2538" w:type="dxa"/>
          </w:tcPr>
          <w:p w:rsidR="009570AF" w:rsidRDefault="009570AF" w:rsidP="009570AF">
            <w:pPr>
              <w:autoSpaceDE w:val="0"/>
              <w:autoSpaceDN w:val="0"/>
              <w:adjustRightInd w:val="0"/>
              <w:jc w:val="center"/>
              <w:rPr>
                <w:bCs/>
              </w:rPr>
            </w:pPr>
            <w:r>
              <w:rPr>
                <w:bCs/>
              </w:rPr>
              <w:t>Dollars / kW-month</w:t>
            </w: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RS, RSVP, RSTOU</w:t>
            </w:r>
          </w:p>
        </w:tc>
        <w:tc>
          <w:tcPr>
            <w:tcW w:w="2610" w:type="dxa"/>
          </w:tcPr>
          <w:p w:rsidR="009570AF" w:rsidRPr="00FD3F07" w:rsidRDefault="009570AF" w:rsidP="009570AF">
            <w:pPr>
              <w:autoSpaceDE w:val="0"/>
              <w:autoSpaceDN w:val="0"/>
              <w:adjustRightInd w:val="0"/>
              <w:jc w:val="center"/>
              <w:rPr>
                <w:bCs/>
              </w:rPr>
            </w:pPr>
            <w:r w:rsidRPr="00FD3F07">
              <w:rPr>
                <w:bCs/>
              </w:rPr>
              <w:t>0.776</w:t>
            </w:r>
          </w:p>
        </w:tc>
        <w:tc>
          <w:tcPr>
            <w:tcW w:w="2538" w:type="dxa"/>
            <w:vMerge w:val="restart"/>
            <w:vAlign w:val="center"/>
          </w:tcPr>
          <w:p w:rsidR="009570AF" w:rsidRDefault="009570AF" w:rsidP="009570AF">
            <w:pPr>
              <w:autoSpaceDE w:val="0"/>
              <w:autoSpaceDN w:val="0"/>
              <w:adjustRightInd w:val="0"/>
              <w:jc w:val="center"/>
              <w:rPr>
                <w:bCs/>
              </w:rPr>
            </w:pPr>
            <w:r>
              <w:rPr>
                <w:bCs/>
              </w:rPr>
              <w:t>-</w:t>
            </w: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GS</w:t>
            </w:r>
          </w:p>
        </w:tc>
        <w:tc>
          <w:tcPr>
            <w:tcW w:w="2610" w:type="dxa"/>
          </w:tcPr>
          <w:p w:rsidR="009570AF" w:rsidRPr="00FD3F07" w:rsidRDefault="009570AF" w:rsidP="009570AF">
            <w:pPr>
              <w:autoSpaceDE w:val="0"/>
              <w:autoSpaceDN w:val="0"/>
              <w:adjustRightInd w:val="0"/>
              <w:jc w:val="center"/>
              <w:rPr>
                <w:bCs/>
              </w:rPr>
            </w:pPr>
            <w:r w:rsidRPr="00FD3F07">
              <w:rPr>
                <w:bCs/>
              </w:rPr>
              <w:t>0.708</w:t>
            </w:r>
          </w:p>
        </w:tc>
        <w:tc>
          <w:tcPr>
            <w:tcW w:w="2538" w:type="dxa"/>
            <w:vMerge/>
          </w:tcPr>
          <w:p w:rsidR="009570AF" w:rsidRDefault="009570AF" w:rsidP="009570AF">
            <w:pPr>
              <w:autoSpaceDE w:val="0"/>
              <w:autoSpaceDN w:val="0"/>
              <w:adjustRightInd w:val="0"/>
              <w:jc w:val="center"/>
              <w:rPr>
                <w:bCs/>
              </w:rPr>
            </w:pP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GSD, GSDT, GSTOU</w:t>
            </w:r>
          </w:p>
        </w:tc>
        <w:tc>
          <w:tcPr>
            <w:tcW w:w="2610" w:type="dxa"/>
          </w:tcPr>
          <w:p w:rsidR="009570AF" w:rsidRPr="00FD3F07" w:rsidRDefault="009570AF" w:rsidP="009570AF">
            <w:pPr>
              <w:autoSpaceDE w:val="0"/>
              <w:autoSpaceDN w:val="0"/>
              <w:adjustRightInd w:val="0"/>
              <w:jc w:val="center"/>
              <w:rPr>
                <w:bCs/>
              </w:rPr>
            </w:pPr>
            <w:r w:rsidRPr="00FD3F07">
              <w:rPr>
                <w:bCs/>
              </w:rPr>
              <w:t>0.618</w:t>
            </w:r>
          </w:p>
        </w:tc>
        <w:tc>
          <w:tcPr>
            <w:tcW w:w="2538" w:type="dxa"/>
            <w:vMerge/>
          </w:tcPr>
          <w:p w:rsidR="009570AF" w:rsidRDefault="009570AF" w:rsidP="009570AF">
            <w:pPr>
              <w:autoSpaceDE w:val="0"/>
              <w:autoSpaceDN w:val="0"/>
              <w:adjustRightInd w:val="0"/>
              <w:jc w:val="center"/>
              <w:rPr>
                <w:bCs/>
              </w:rPr>
            </w:pP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LP, LPT</w:t>
            </w:r>
          </w:p>
        </w:tc>
        <w:tc>
          <w:tcPr>
            <w:tcW w:w="2610" w:type="dxa"/>
          </w:tcPr>
          <w:p w:rsidR="009570AF" w:rsidRPr="00FD3F07" w:rsidRDefault="009570AF" w:rsidP="009570AF">
            <w:pPr>
              <w:autoSpaceDE w:val="0"/>
              <w:autoSpaceDN w:val="0"/>
              <w:adjustRightInd w:val="0"/>
              <w:jc w:val="center"/>
              <w:rPr>
                <w:bCs/>
              </w:rPr>
            </w:pPr>
            <w:r w:rsidRPr="00FD3F07">
              <w:rPr>
                <w:bCs/>
              </w:rPr>
              <w:t>-</w:t>
            </w:r>
          </w:p>
        </w:tc>
        <w:tc>
          <w:tcPr>
            <w:tcW w:w="2538" w:type="dxa"/>
          </w:tcPr>
          <w:p w:rsidR="009570AF" w:rsidRDefault="009570AF" w:rsidP="009570AF">
            <w:pPr>
              <w:autoSpaceDE w:val="0"/>
              <w:autoSpaceDN w:val="0"/>
              <w:adjustRightInd w:val="0"/>
              <w:jc w:val="center"/>
              <w:rPr>
                <w:bCs/>
              </w:rPr>
            </w:pPr>
            <w:r>
              <w:rPr>
                <w:bCs/>
              </w:rPr>
              <w:t>2.51</w:t>
            </w: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PX, PXT, RTP, SBS</w:t>
            </w:r>
          </w:p>
        </w:tc>
        <w:tc>
          <w:tcPr>
            <w:tcW w:w="2610" w:type="dxa"/>
          </w:tcPr>
          <w:p w:rsidR="009570AF" w:rsidRPr="00FD3F07" w:rsidRDefault="009570AF" w:rsidP="009570AF">
            <w:pPr>
              <w:autoSpaceDE w:val="0"/>
              <w:autoSpaceDN w:val="0"/>
              <w:adjustRightInd w:val="0"/>
              <w:jc w:val="center"/>
              <w:rPr>
                <w:bCs/>
              </w:rPr>
            </w:pPr>
            <w:r w:rsidRPr="00FD3F07">
              <w:rPr>
                <w:bCs/>
              </w:rPr>
              <w:t>0.520</w:t>
            </w:r>
          </w:p>
        </w:tc>
        <w:tc>
          <w:tcPr>
            <w:tcW w:w="2538" w:type="dxa"/>
            <w:vMerge w:val="restart"/>
            <w:vAlign w:val="center"/>
          </w:tcPr>
          <w:p w:rsidR="009570AF" w:rsidRDefault="009570AF" w:rsidP="009570AF">
            <w:pPr>
              <w:autoSpaceDE w:val="0"/>
              <w:autoSpaceDN w:val="0"/>
              <w:adjustRightInd w:val="0"/>
              <w:jc w:val="center"/>
              <w:rPr>
                <w:bCs/>
              </w:rPr>
            </w:pPr>
            <w:r>
              <w:rPr>
                <w:bCs/>
              </w:rPr>
              <w:t>-</w:t>
            </w: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OS-I/II</w:t>
            </w:r>
          </w:p>
        </w:tc>
        <w:tc>
          <w:tcPr>
            <w:tcW w:w="2610" w:type="dxa"/>
          </w:tcPr>
          <w:p w:rsidR="009570AF" w:rsidRPr="00FD3F07" w:rsidRDefault="009570AF" w:rsidP="009570AF">
            <w:pPr>
              <w:autoSpaceDE w:val="0"/>
              <w:autoSpaceDN w:val="0"/>
              <w:adjustRightInd w:val="0"/>
              <w:jc w:val="center"/>
              <w:rPr>
                <w:bCs/>
              </w:rPr>
            </w:pPr>
            <w:r w:rsidRPr="00FD3F07">
              <w:rPr>
                <w:bCs/>
              </w:rPr>
              <w:t xml:space="preserve">0.152 </w:t>
            </w:r>
          </w:p>
        </w:tc>
        <w:tc>
          <w:tcPr>
            <w:tcW w:w="2538" w:type="dxa"/>
            <w:vMerge/>
          </w:tcPr>
          <w:p w:rsidR="009570AF" w:rsidRDefault="009570AF" w:rsidP="009570AF">
            <w:pPr>
              <w:autoSpaceDE w:val="0"/>
              <w:autoSpaceDN w:val="0"/>
              <w:adjustRightInd w:val="0"/>
              <w:jc w:val="center"/>
              <w:rPr>
                <w:bCs/>
              </w:rPr>
            </w:pPr>
          </w:p>
        </w:tc>
      </w:tr>
      <w:tr w:rsidR="009570AF" w:rsidTr="009570AF">
        <w:tc>
          <w:tcPr>
            <w:tcW w:w="4428" w:type="dxa"/>
          </w:tcPr>
          <w:p w:rsidR="009570AF" w:rsidRPr="00166E48" w:rsidRDefault="009570AF" w:rsidP="009570AF">
            <w:pPr>
              <w:autoSpaceDE w:val="0"/>
              <w:autoSpaceDN w:val="0"/>
              <w:adjustRightInd w:val="0"/>
              <w:jc w:val="center"/>
              <w:rPr>
                <w:bCs/>
              </w:rPr>
            </w:pPr>
            <w:r w:rsidRPr="00166E48">
              <w:rPr>
                <w:bCs/>
              </w:rPr>
              <w:t>OSIII</w:t>
            </w:r>
          </w:p>
        </w:tc>
        <w:tc>
          <w:tcPr>
            <w:tcW w:w="2610" w:type="dxa"/>
          </w:tcPr>
          <w:p w:rsidR="009570AF" w:rsidRPr="00FD3F07" w:rsidRDefault="009570AF" w:rsidP="009570AF">
            <w:pPr>
              <w:autoSpaceDE w:val="0"/>
              <w:autoSpaceDN w:val="0"/>
              <w:adjustRightInd w:val="0"/>
              <w:jc w:val="center"/>
              <w:rPr>
                <w:bCs/>
              </w:rPr>
            </w:pPr>
            <w:r w:rsidRPr="00FD3F07">
              <w:rPr>
                <w:bCs/>
              </w:rPr>
              <w:t xml:space="preserve">0.469 </w:t>
            </w:r>
          </w:p>
        </w:tc>
        <w:tc>
          <w:tcPr>
            <w:tcW w:w="2538" w:type="dxa"/>
            <w:vMerge/>
          </w:tcPr>
          <w:p w:rsidR="009570AF" w:rsidRDefault="009570AF" w:rsidP="009570AF">
            <w:pPr>
              <w:autoSpaceDE w:val="0"/>
              <w:autoSpaceDN w:val="0"/>
              <w:adjustRightInd w:val="0"/>
              <w:jc w:val="center"/>
              <w:rPr>
                <w:bCs/>
              </w:rPr>
            </w:pPr>
          </w:p>
        </w:tc>
      </w:tr>
    </w:tbl>
    <w:p w:rsidR="009570AF" w:rsidRPr="00166E48" w:rsidRDefault="009570AF" w:rsidP="009570AF">
      <w:pPr>
        <w:autoSpaceDE w:val="0"/>
        <w:autoSpaceDN w:val="0"/>
        <w:adjustRightInd w:val="0"/>
        <w:jc w:val="both"/>
        <w:rPr>
          <w:bCs/>
        </w:rPr>
      </w:pPr>
      <w:r>
        <w:rPr>
          <w:sz w:val="22"/>
          <w:szCs w:val="22"/>
        </w:rPr>
        <w:t xml:space="preserve">  Source: Schedule CCE-2, Page 2 of 2 (Exhibit CSB-5,</w:t>
      </w:r>
      <w:r w:rsidRPr="000D073A">
        <w:rPr>
          <w:sz w:val="22"/>
          <w:szCs w:val="22"/>
        </w:rPr>
        <w:t xml:space="preserve"> </w:t>
      </w:r>
      <w:r>
        <w:rPr>
          <w:sz w:val="22"/>
          <w:szCs w:val="22"/>
        </w:rPr>
        <w:t xml:space="preserve">Columns G and I, </w:t>
      </w:r>
      <w:r w:rsidRPr="00166E48">
        <w:rPr>
          <w:sz w:val="22"/>
          <w:szCs w:val="22"/>
        </w:rPr>
        <w:t>Page 40 of 41)</w:t>
      </w:r>
      <w:r>
        <w:rPr>
          <w:sz w:val="22"/>
          <w:szCs w:val="22"/>
        </w:rPr>
        <w:t>.</w:t>
      </w:r>
    </w:p>
    <w:p w:rsidR="009570AF" w:rsidRDefault="009570AF" w:rsidP="009570AF">
      <w:pPr>
        <w:rPr>
          <w:bCs/>
          <w:u w:val="single"/>
        </w:rPr>
      </w:pPr>
    </w:p>
    <w:p w:rsidR="009570AF" w:rsidRDefault="009570AF" w:rsidP="009570AF">
      <w:pPr>
        <w:jc w:val="both"/>
        <w:rPr>
          <w:bCs/>
          <w:u w:val="single"/>
        </w:rPr>
      </w:pPr>
    </w:p>
    <w:p w:rsidR="009570AF" w:rsidRDefault="009570AF" w:rsidP="009570AF">
      <w:pPr>
        <w:ind w:left="1440" w:hanging="1440"/>
        <w:jc w:val="both"/>
        <w:rPr>
          <w:b/>
          <w:bCs/>
        </w:rPr>
      </w:pPr>
      <w:r w:rsidRPr="00166E48">
        <w:rPr>
          <w:bCs/>
        </w:rPr>
        <w:t>TECO:</w:t>
      </w:r>
      <w:r w:rsidRPr="00A47057">
        <w:rPr>
          <w:bCs/>
        </w:rPr>
        <w:tab/>
      </w:r>
      <w:r w:rsidRPr="008D3FEA">
        <w:t xml:space="preserve">The appropriate capacity cost recovery factors for the period January </w:t>
      </w:r>
      <w:r>
        <w:t>2019 through December 2019</w:t>
      </w:r>
      <w:r w:rsidRPr="008D3FEA">
        <w:t xml:space="preserve"> are show</w:t>
      </w:r>
      <w:r>
        <w:t xml:space="preserve">n in </w:t>
      </w:r>
      <w:r>
        <w:rPr>
          <w:bCs/>
        </w:rPr>
        <w:t>Table 33-6</w:t>
      </w:r>
      <w:r w:rsidRPr="00A47057">
        <w:rPr>
          <w:bCs/>
        </w:rPr>
        <w:t xml:space="preserve"> below</w:t>
      </w:r>
      <w:r w:rsidRPr="00A47057">
        <w:rPr>
          <w:b/>
          <w:bCs/>
        </w:rPr>
        <w:t>:</w:t>
      </w:r>
    </w:p>
    <w:p w:rsidR="009570AF" w:rsidRDefault="009570AF" w:rsidP="009570AF">
      <w:pPr>
        <w:jc w:val="both"/>
        <w:rPr>
          <w:b/>
          <w:bCs/>
          <w:u w:val="single"/>
        </w:rPr>
      </w:pPr>
    </w:p>
    <w:p w:rsidR="009570AF" w:rsidRPr="00952579" w:rsidRDefault="009570AF" w:rsidP="009570AF">
      <w:pPr>
        <w:ind w:left="1440" w:hanging="1440"/>
        <w:jc w:val="center"/>
        <w:rPr>
          <w:rFonts w:ascii="Arial" w:hAnsi="Arial" w:cs="Arial"/>
          <w:b/>
        </w:rPr>
      </w:pPr>
      <w:r w:rsidRPr="00952579">
        <w:rPr>
          <w:rFonts w:ascii="Arial" w:hAnsi="Arial" w:cs="Arial"/>
          <w:b/>
        </w:rPr>
        <w:t xml:space="preserve">Table </w:t>
      </w:r>
      <w:r>
        <w:rPr>
          <w:rFonts w:ascii="Arial" w:hAnsi="Arial" w:cs="Arial"/>
          <w:b/>
        </w:rPr>
        <w:t>33-6</w:t>
      </w:r>
    </w:p>
    <w:p w:rsidR="009570AF" w:rsidRPr="00865E60" w:rsidRDefault="009570AF" w:rsidP="009570AF">
      <w:pPr>
        <w:keepNext/>
        <w:keepLines/>
        <w:jc w:val="center"/>
      </w:pPr>
      <w:r>
        <w:rPr>
          <w:rFonts w:ascii="Arial" w:hAnsi="Arial" w:cs="Arial"/>
          <w:b/>
        </w:rPr>
        <w:t>TECO Capacity Cost Recovery Factors for the period January-December, 2019</w:t>
      </w:r>
    </w:p>
    <w:tbl>
      <w:tblPr>
        <w:tblStyle w:val="TableGrid"/>
        <w:tblW w:w="0" w:type="auto"/>
        <w:tblLook w:val="04A0" w:firstRow="1" w:lastRow="0" w:firstColumn="1" w:lastColumn="0" w:noHBand="0" w:noVBand="1"/>
      </w:tblPr>
      <w:tblGrid>
        <w:gridCol w:w="4158"/>
        <w:gridCol w:w="2610"/>
        <w:gridCol w:w="2808"/>
      </w:tblGrid>
      <w:tr w:rsidR="009570AF" w:rsidTr="009570AF">
        <w:tc>
          <w:tcPr>
            <w:tcW w:w="4158" w:type="dxa"/>
            <w:vMerge w:val="restart"/>
            <w:vAlign w:val="center"/>
          </w:tcPr>
          <w:p w:rsidR="009570AF" w:rsidRPr="00A47057" w:rsidRDefault="009570AF" w:rsidP="009570AF">
            <w:pPr>
              <w:autoSpaceDE w:val="0"/>
              <w:autoSpaceDN w:val="0"/>
              <w:adjustRightInd w:val="0"/>
              <w:jc w:val="center"/>
              <w:rPr>
                <w:b/>
                <w:bCs/>
              </w:rPr>
            </w:pPr>
            <w:r w:rsidRPr="00A47057">
              <w:rPr>
                <w:b/>
                <w:bCs/>
              </w:rPr>
              <w:t>Rate Class and Metering Voltage</w:t>
            </w:r>
          </w:p>
        </w:tc>
        <w:tc>
          <w:tcPr>
            <w:tcW w:w="5418" w:type="dxa"/>
            <w:gridSpan w:val="2"/>
          </w:tcPr>
          <w:p w:rsidR="009570AF" w:rsidRPr="002872EA" w:rsidRDefault="009570AF" w:rsidP="009570AF">
            <w:pPr>
              <w:autoSpaceDE w:val="0"/>
              <w:autoSpaceDN w:val="0"/>
              <w:adjustRightInd w:val="0"/>
              <w:jc w:val="center"/>
              <w:rPr>
                <w:b/>
                <w:bCs/>
              </w:rPr>
            </w:pPr>
            <w:r>
              <w:rPr>
                <w:b/>
                <w:bCs/>
              </w:rPr>
              <w:t xml:space="preserve">2019 </w:t>
            </w:r>
            <w:r w:rsidRPr="002872EA">
              <w:rPr>
                <w:b/>
                <w:bCs/>
              </w:rPr>
              <w:t>Capacity Cost Recovery Factor</w:t>
            </w:r>
            <w:r>
              <w:rPr>
                <w:b/>
                <w:bCs/>
              </w:rPr>
              <w:t>s</w:t>
            </w:r>
            <w:r w:rsidRPr="002872EA">
              <w:rPr>
                <w:b/>
                <w:bCs/>
              </w:rPr>
              <w:t xml:space="preserve"> </w:t>
            </w:r>
          </w:p>
        </w:tc>
      </w:tr>
      <w:tr w:rsidR="009570AF" w:rsidTr="009570AF">
        <w:tc>
          <w:tcPr>
            <w:tcW w:w="4158" w:type="dxa"/>
            <w:vMerge/>
          </w:tcPr>
          <w:p w:rsidR="009570AF" w:rsidRDefault="009570AF" w:rsidP="009570AF">
            <w:pPr>
              <w:autoSpaceDE w:val="0"/>
              <w:autoSpaceDN w:val="0"/>
              <w:adjustRightInd w:val="0"/>
              <w:jc w:val="center"/>
              <w:rPr>
                <w:b/>
                <w:bCs/>
                <w:u w:val="single"/>
              </w:rPr>
            </w:pPr>
          </w:p>
        </w:tc>
        <w:tc>
          <w:tcPr>
            <w:tcW w:w="2610" w:type="dxa"/>
          </w:tcPr>
          <w:p w:rsidR="009570AF" w:rsidRDefault="009570AF" w:rsidP="009570AF">
            <w:pPr>
              <w:autoSpaceDE w:val="0"/>
              <w:autoSpaceDN w:val="0"/>
              <w:adjustRightInd w:val="0"/>
              <w:jc w:val="center"/>
              <w:rPr>
                <w:bCs/>
              </w:rPr>
            </w:pPr>
            <w:r>
              <w:rPr>
                <w:bCs/>
              </w:rPr>
              <w:t>Cents / kWh</w:t>
            </w:r>
          </w:p>
        </w:tc>
        <w:tc>
          <w:tcPr>
            <w:tcW w:w="2808" w:type="dxa"/>
          </w:tcPr>
          <w:p w:rsidR="009570AF" w:rsidRDefault="009570AF" w:rsidP="009570AF">
            <w:pPr>
              <w:autoSpaceDE w:val="0"/>
              <w:autoSpaceDN w:val="0"/>
              <w:adjustRightInd w:val="0"/>
              <w:jc w:val="center"/>
              <w:rPr>
                <w:bCs/>
              </w:rPr>
            </w:pPr>
            <w:r>
              <w:rPr>
                <w:bCs/>
              </w:rPr>
              <w:t>Dollars / kW</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RS Secondary</w:t>
            </w:r>
          </w:p>
        </w:tc>
        <w:tc>
          <w:tcPr>
            <w:tcW w:w="2610" w:type="dxa"/>
          </w:tcPr>
          <w:p w:rsidR="009570AF" w:rsidRPr="007C7CEA" w:rsidRDefault="009570AF" w:rsidP="009570AF">
            <w:pPr>
              <w:autoSpaceDE w:val="0"/>
              <w:autoSpaceDN w:val="0"/>
              <w:adjustRightInd w:val="0"/>
              <w:jc w:val="center"/>
              <w:rPr>
                <w:bCs/>
              </w:rPr>
            </w:pPr>
            <w:r w:rsidRPr="007C7CEA">
              <w:rPr>
                <w:bCs/>
              </w:rPr>
              <w:t>0.103</w:t>
            </w:r>
          </w:p>
        </w:tc>
        <w:tc>
          <w:tcPr>
            <w:tcW w:w="2808" w:type="dxa"/>
            <w:vMerge w:val="restart"/>
            <w:vAlign w:val="center"/>
          </w:tcPr>
          <w:p w:rsidR="009570AF" w:rsidRPr="007C7CEA" w:rsidRDefault="009570AF" w:rsidP="009570AF">
            <w:pPr>
              <w:autoSpaceDE w:val="0"/>
              <w:autoSpaceDN w:val="0"/>
              <w:adjustRightInd w:val="0"/>
              <w:jc w:val="center"/>
              <w:rPr>
                <w:bCs/>
              </w:rPr>
            </w:pPr>
            <w:r w:rsidRPr="007C7CEA">
              <w:rPr>
                <w:bCs/>
              </w:rPr>
              <w:t>-</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GS and CS Secondary</w:t>
            </w:r>
          </w:p>
        </w:tc>
        <w:tc>
          <w:tcPr>
            <w:tcW w:w="2610" w:type="dxa"/>
          </w:tcPr>
          <w:p w:rsidR="009570AF" w:rsidRPr="007C7CEA" w:rsidRDefault="009570AF" w:rsidP="009570AF">
            <w:pPr>
              <w:autoSpaceDE w:val="0"/>
              <w:autoSpaceDN w:val="0"/>
              <w:adjustRightInd w:val="0"/>
              <w:jc w:val="center"/>
              <w:rPr>
                <w:bCs/>
              </w:rPr>
            </w:pPr>
            <w:r w:rsidRPr="007C7CEA">
              <w:rPr>
                <w:bCs/>
              </w:rPr>
              <w:t>0.086</w:t>
            </w:r>
          </w:p>
        </w:tc>
        <w:tc>
          <w:tcPr>
            <w:tcW w:w="2808" w:type="dxa"/>
            <w:vMerge/>
          </w:tcPr>
          <w:p w:rsidR="009570AF" w:rsidRPr="007C7CEA" w:rsidRDefault="009570AF" w:rsidP="009570AF">
            <w:pPr>
              <w:autoSpaceDE w:val="0"/>
              <w:autoSpaceDN w:val="0"/>
              <w:adjustRightInd w:val="0"/>
              <w:jc w:val="center"/>
              <w:rPr>
                <w:bCs/>
              </w:rPr>
            </w:pPr>
          </w:p>
        </w:tc>
      </w:tr>
      <w:tr w:rsidR="009570AF" w:rsidRPr="00B968E1" w:rsidTr="009570AF">
        <w:tc>
          <w:tcPr>
            <w:tcW w:w="6768" w:type="dxa"/>
            <w:gridSpan w:val="2"/>
          </w:tcPr>
          <w:p w:rsidR="009570AF" w:rsidRPr="007C7CEA" w:rsidRDefault="009570AF" w:rsidP="009570AF">
            <w:pPr>
              <w:autoSpaceDE w:val="0"/>
              <w:autoSpaceDN w:val="0"/>
              <w:adjustRightInd w:val="0"/>
              <w:jc w:val="center"/>
              <w:rPr>
                <w:bCs/>
              </w:rPr>
            </w:pPr>
            <w:r w:rsidRPr="007C7CEA">
              <w:rPr>
                <w:bCs/>
              </w:rPr>
              <w:t>GSD, SBF Standard</w:t>
            </w:r>
          </w:p>
        </w:tc>
        <w:tc>
          <w:tcPr>
            <w:tcW w:w="2808" w:type="dxa"/>
          </w:tcPr>
          <w:p w:rsidR="009570AF" w:rsidRPr="007C7CEA" w:rsidRDefault="009570AF" w:rsidP="009570AF">
            <w:pPr>
              <w:autoSpaceDE w:val="0"/>
              <w:autoSpaceDN w:val="0"/>
              <w:adjustRightInd w:val="0"/>
              <w:jc w:val="center"/>
              <w:rPr>
                <w:bCs/>
              </w:rPr>
            </w:pP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Secondary</w:t>
            </w:r>
          </w:p>
        </w:tc>
        <w:tc>
          <w:tcPr>
            <w:tcW w:w="2610" w:type="dxa"/>
            <w:vMerge w:val="restart"/>
            <w:vAlign w:val="center"/>
          </w:tcPr>
          <w:p w:rsidR="009570AF" w:rsidRPr="007C7CEA" w:rsidRDefault="009570AF" w:rsidP="009570AF">
            <w:pPr>
              <w:autoSpaceDE w:val="0"/>
              <w:autoSpaceDN w:val="0"/>
              <w:adjustRightInd w:val="0"/>
              <w:jc w:val="center"/>
              <w:rPr>
                <w:bCs/>
              </w:rPr>
            </w:pPr>
            <w:r w:rsidRPr="007C7CEA">
              <w:rPr>
                <w:bCs/>
              </w:rPr>
              <w:t>-</w:t>
            </w:r>
          </w:p>
        </w:tc>
        <w:tc>
          <w:tcPr>
            <w:tcW w:w="2808" w:type="dxa"/>
          </w:tcPr>
          <w:p w:rsidR="009570AF" w:rsidRPr="007C7CEA" w:rsidRDefault="009570AF" w:rsidP="009570AF">
            <w:pPr>
              <w:autoSpaceDE w:val="0"/>
              <w:autoSpaceDN w:val="0"/>
              <w:adjustRightInd w:val="0"/>
              <w:jc w:val="center"/>
              <w:rPr>
                <w:bCs/>
              </w:rPr>
            </w:pPr>
            <w:r w:rsidRPr="007C7CEA">
              <w:rPr>
                <w:bCs/>
              </w:rPr>
              <w:t>0.32</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Primary</w:t>
            </w:r>
          </w:p>
        </w:tc>
        <w:tc>
          <w:tcPr>
            <w:tcW w:w="2610" w:type="dxa"/>
            <w:vMerge/>
          </w:tcPr>
          <w:p w:rsidR="009570AF" w:rsidRPr="007C7CEA" w:rsidRDefault="009570AF" w:rsidP="009570AF">
            <w:pPr>
              <w:autoSpaceDE w:val="0"/>
              <w:autoSpaceDN w:val="0"/>
              <w:adjustRightInd w:val="0"/>
              <w:jc w:val="center"/>
              <w:rPr>
                <w:bCs/>
              </w:rPr>
            </w:pPr>
          </w:p>
        </w:tc>
        <w:tc>
          <w:tcPr>
            <w:tcW w:w="2808" w:type="dxa"/>
          </w:tcPr>
          <w:p w:rsidR="009570AF" w:rsidRPr="007C7CEA" w:rsidRDefault="009570AF" w:rsidP="009570AF">
            <w:pPr>
              <w:autoSpaceDE w:val="0"/>
              <w:autoSpaceDN w:val="0"/>
              <w:adjustRightInd w:val="0"/>
              <w:jc w:val="center"/>
              <w:rPr>
                <w:bCs/>
              </w:rPr>
            </w:pPr>
            <w:r w:rsidRPr="007C7CEA">
              <w:rPr>
                <w:bCs/>
              </w:rPr>
              <w:t>0.32</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Transmission</w:t>
            </w:r>
          </w:p>
        </w:tc>
        <w:tc>
          <w:tcPr>
            <w:tcW w:w="2610" w:type="dxa"/>
            <w:vMerge/>
          </w:tcPr>
          <w:p w:rsidR="009570AF" w:rsidRPr="007C7CEA" w:rsidRDefault="009570AF" w:rsidP="009570AF">
            <w:pPr>
              <w:autoSpaceDE w:val="0"/>
              <w:autoSpaceDN w:val="0"/>
              <w:adjustRightInd w:val="0"/>
              <w:jc w:val="center"/>
              <w:rPr>
                <w:bCs/>
              </w:rPr>
            </w:pPr>
          </w:p>
        </w:tc>
        <w:tc>
          <w:tcPr>
            <w:tcW w:w="2808" w:type="dxa"/>
          </w:tcPr>
          <w:p w:rsidR="009570AF" w:rsidRPr="007C7CEA" w:rsidRDefault="009570AF" w:rsidP="009570AF">
            <w:pPr>
              <w:autoSpaceDE w:val="0"/>
              <w:autoSpaceDN w:val="0"/>
              <w:adjustRightInd w:val="0"/>
              <w:jc w:val="center"/>
              <w:rPr>
                <w:bCs/>
              </w:rPr>
            </w:pPr>
            <w:r w:rsidRPr="007C7CEA">
              <w:rPr>
                <w:bCs/>
              </w:rPr>
              <w:t>0.31</w:t>
            </w:r>
          </w:p>
        </w:tc>
      </w:tr>
      <w:tr w:rsidR="009570AF" w:rsidRPr="00B968E1" w:rsidTr="009570AF">
        <w:tc>
          <w:tcPr>
            <w:tcW w:w="6768" w:type="dxa"/>
            <w:gridSpan w:val="2"/>
          </w:tcPr>
          <w:p w:rsidR="009570AF" w:rsidRPr="007C7CEA" w:rsidRDefault="009570AF" w:rsidP="009570AF">
            <w:pPr>
              <w:autoSpaceDE w:val="0"/>
              <w:autoSpaceDN w:val="0"/>
              <w:adjustRightInd w:val="0"/>
              <w:jc w:val="center"/>
              <w:rPr>
                <w:bCs/>
              </w:rPr>
            </w:pPr>
            <w:r w:rsidRPr="007C7CEA">
              <w:rPr>
                <w:bCs/>
              </w:rPr>
              <w:t>GSD Optional</w:t>
            </w:r>
          </w:p>
        </w:tc>
        <w:tc>
          <w:tcPr>
            <w:tcW w:w="2808" w:type="dxa"/>
          </w:tcPr>
          <w:p w:rsidR="009570AF" w:rsidRPr="007C7CEA" w:rsidRDefault="009570AF" w:rsidP="009570AF">
            <w:pPr>
              <w:autoSpaceDE w:val="0"/>
              <w:autoSpaceDN w:val="0"/>
              <w:adjustRightInd w:val="0"/>
              <w:jc w:val="center"/>
              <w:rPr>
                <w:bCs/>
              </w:rPr>
            </w:pP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Secondary</w:t>
            </w:r>
          </w:p>
        </w:tc>
        <w:tc>
          <w:tcPr>
            <w:tcW w:w="2610" w:type="dxa"/>
          </w:tcPr>
          <w:p w:rsidR="009570AF" w:rsidRPr="007C7CEA" w:rsidRDefault="009570AF" w:rsidP="009570AF">
            <w:pPr>
              <w:autoSpaceDE w:val="0"/>
              <w:autoSpaceDN w:val="0"/>
              <w:adjustRightInd w:val="0"/>
              <w:jc w:val="center"/>
              <w:rPr>
                <w:bCs/>
              </w:rPr>
            </w:pPr>
            <w:r w:rsidRPr="007C7CEA">
              <w:rPr>
                <w:bCs/>
              </w:rPr>
              <w:t>0.075</w:t>
            </w:r>
          </w:p>
        </w:tc>
        <w:tc>
          <w:tcPr>
            <w:tcW w:w="2808" w:type="dxa"/>
            <w:vMerge w:val="restart"/>
            <w:vAlign w:val="center"/>
          </w:tcPr>
          <w:p w:rsidR="009570AF" w:rsidRPr="007C7CEA" w:rsidRDefault="009570AF" w:rsidP="009570AF">
            <w:pPr>
              <w:autoSpaceDE w:val="0"/>
              <w:autoSpaceDN w:val="0"/>
              <w:adjustRightInd w:val="0"/>
              <w:jc w:val="center"/>
              <w:rPr>
                <w:bCs/>
              </w:rPr>
            </w:pPr>
            <w:r w:rsidRPr="007C7CEA">
              <w:rPr>
                <w:bCs/>
              </w:rPr>
              <w:t>-</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Primary</w:t>
            </w:r>
          </w:p>
        </w:tc>
        <w:tc>
          <w:tcPr>
            <w:tcW w:w="2610" w:type="dxa"/>
          </w:tcPr>
          <w:p w:rsidR="009570AF" w:rsidRPr="007C7CEA" w:rsidRDefault="009570AF" w:rsidP="009570AF">
            <w:pPr>
              <w:autoSpaceDE w:val="0"/>
              <w:autoSpaceDN w:val="0"/>
              <w:adjustRightInd w:val="0"/>
              <w:jc w:val="center"/>
              <w:rPr>
                <w:bCs/>
              </w:rPr>
            </w:pPr>
            <w:r w:rsidRPr="007C7CEA">
              <w:rPr>
                <w:bCs/>
              </w:rPr>
              <w:t>0.074</w:t>
            </w:r>
          </w:p>
        </w:tc>
        <w:tc>
          <w:tcPr>
            <w:tcW w:w="2808" w:type="dxa"/>
            <w:vMerge/>
          </w:tcPr>
          <w:p w:rsidR="009570AF" w:rsidRPr="007C7CEA" w:rsidRDefault="009570AF" w:rsidP="009570AF">
            <w:pPr>
              <w:autoSpaceDE w:val="0"/>
              <w:autoSpaceDN w:val="0"/>
              <w:adjustRightInd w:val="0"/>
              <w:jc w:val="center"/>
              <w:rPr>
                <w:bCs/>
              </w:rPr>
            </w:pP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Transmission</w:t>
            </w:r>
          </w:p>
        </w:tc>
        <w:tc>
          <w:tcPr>
            <w:tcW w:w="2610" w:type="dxa"/>
          </w:tcPr>
          <w:p w:rsidR="009570AF" w:rsidRPr="007C7CEA" w:rsidRDefault="009570AF" w:rsidP="009570AF">
            <w:pPr>
              <w:autoSpaceDE w:val="0"/>
              <w:autoSpaceDN w:val="0"/>
              <w:adjustRightInd w:val="0"/>
              <w:jc w:val="center"/>
              <w:rPr>
                <w:bCs/>
              </w:rPr>
            </w:pPr>
            <w:r w:rsidRPr="007C7CEA">
              <w:rPr>
                <w:bCs/>
              </w:rPr>
              <w:t>0.074</w:t>
            </w:r>
          </w:p>
        </w:tc>
        <w:tc>
          <w:tcPr>
            <w:tcW w:w="2808" w:type="dxa"/>
          </w:tcPr>
          <w:p w:rsidR="009570AF" w:rsidRPr="007C7CEA" w:rsidRDefault="009570AF" w:rsidP="009570AF">
            <w:pPr>
              <w:autoSpaceDE w:val="0"/>
              <w:autoSpaceDN w:val="0"/>
              <w:adjustRightInd w:val="0"/>
              <w:jc w:val="center"/>
              <w:rPr>
                <w:bCs/>
              </w:rPr>
            </w:pPr>
          </w:p>
        </w:tc>
      </w:tr>
      <w:tr w:rsidR="009570AF" w:rsidRPr="00B968E1" w:rsidTr="009570AF">
        <w:tc>
          <w:tcPr>
            <w:tcW w:w="6768" w:type="dxa"/>
            <w:gridSpan w:val="2"/>
          </w:tcPr>
          <w:p w:rsidR="009570AF" w:rsidRPr="007C7CEA" w:rsidRDefault="009570AF" w:rsidP="009570AF">
            <w:pPr>
              <w:autoSpaceDE w:val="0"/>
              <w:autoSpaceDN w:val="0"/>
              <w:adjustRightInd w:val="0"/>
              <w:jc w:val="center"/>
              <w:rPr>
                <w:bCs/>
              </w:rPr>
            </w:pPr>
            <w:r w:rsidRPr="007C7CEA">
              <w:rPr>
                <w:bCs/>
              </w:rPr>
              <w:t>IS, SBI</w:t>
            </w:r>
          </w:p>
        </w:tc>
        <w:tc>
          <w:tcPr>
            <w:tcW w:w="2808" w:type="dxa"/>
          </w:tcPr>
          <w:p w:rsidR="009570AF" w:rsidRPr="007C7CEA" w:rsidRDefault="009570AF" w:rsidP="009570AF">
            <w:pPr>
              <w:autoSpaceDE w:val="0"/>
              <w:autoSpaceDN w:val="0"/>
              <w:adjustRightInd w:val="0"/>
              <w:jc w:val="center"/>
              <w:rPr>
                <w:bCs/>
              </w:rPr>
            </w:pP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Primary</w:t>
            </w:r>
          </w:p>
        </w:tc>
        <w:tc>
          <w:tcPr>
            <w:tcW w:w="2610" w:type="dxa"/>
            <w:vMerge w:val="restart"/>
            <w:vAlign w:val="center"/>
          </w:tcPr>
          <w:p w:rsidR="009570AF" w:rsidRPr="007C7CEA" w:rsidRDefault="009570AF" w:rsidP="009570AF">
            <w:pPr>
              <w:autoSpaceDE w:val="0"/>
              <w:autoSpaceDN w:val="0"/>
              <w:adjustRightInd w:val="0"/>
              <w:jc w:val="center"/>
              <w:rPr>
                <w:bCs/>
              </w:rPr>
            </w:pPr>
            <w:r w:rsidRPr="007C7CEA">
              <w:rPr>
                <w:bCs/>
              </w:rPr>
              <w:t>-</w:t>
            </w:r>
          </w:p>
        </w:tc>
        <w:tc>
          <w:tcPr>
            <w:tcW w:w="2808" w:type="dxa"/>
          </w:tcPr>
          <w:p w:rsidR="009570AF" w:rsidRPr="007C7CEA" w:rsidRDefault="009570AF" w:rsidP="009570AF">
            <w:pPr>
              <w:autoSpaceDE w:val="0"/>
              <w:autoSpaceDN w:val="0"/>
              <w:adjustRightInd w:val="0"/>
              <w:jc w:val="center"/>
              <w:rPr>
                <w:bCs/>
              </w:rPr>
            </w:pPr>
            <w:r w:rsidRPr="007C7CEA">
              <w:rPr>
                <w:bCs/>
              </w:rPr>
              <w:t>0.24</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Transmission</w:t>
            </w:r>
          </w:p>
        </w:tc>
        <w:tc>
          <w:tcPr>
            <w:tcW w:w="2610" w:type="dxa"/>
            <w:vMerge/>
          </w:tcPr>
          <w:p w:rsidR="009570AF" w:rsidRPr="007C7CEA" w:rsidRDefault="009570AF" w:rsidP="009570AF">
            <w:pPr>
              <w:autoSpaceDE w:val="0"/>
              <w:autoSpaceDN w:val="0"/>
              <w:adjustRightInd w:val="0"/>
              <w:jc w:val="center"/>
              <w:rPr>
                <w:bCs/>
              </w:rPr>
            </w:pPr>
          </w:p>
        </w:tc>
        <w:tc>
          <w:tcPr>
            <w:tcW w:w="2808" w:type="dxa"/>
          </w:tcPr>
          <w:p w:rsidR="009570AF" w:rsidRPr="007C7CEA" w:rsidRDefault="009570AF" w:rsidP="009570AF">
            <w:pPr>
              <w:autoSpaceDE w:val="0"/>
              <w:autoSpaceDN w:val="0"/>
              <w:adjustRightInd w:val="0"/>
              <w:jc w:val="center"/>
              <w:rPr>
                <w:bCs/>
              </w:rPr>
            </w:pPr>
            <w:r w:rsidRPr="007C7CEA">
              <w:rPr>
                <w:bCs/>
              </w:rPr>
              <w:t>0.24</w:t>
            </w:r>
          </w:p>
        </w:tc>
      </w:tr>
      <w:tr w:rsidR="009570AF" w:rsidRPr="00B968E1" w:rsidTr="009570AF">
        <w:tc>
          <w:tcPr>
            <w:tcW w:w="4158" w:type="dxa"/>
          </w:tcPr>
          <w:p w:rsidR="009570AF" w:rsidRPr="007C7CEA" w:rsidRDefault="009570AF" w:rsidP="009570AF">
            <w:pPr>
              <w:autoSpaceDE w:val="0"/>
              <w:autoSpaceDN w:val="0"/>
              <w:adjustRightInd w:val="0"/>
              <w:jc w:val="center"/>
              <w:rPr>
                <w:bCs/>
              </w:rPr>
            </w:pPr>
            <w:r w:rsidRPr="007C7CEA">
              <w:rPr>
                <w:bCs/>
              </w:rPr>
              <w:t>LS1 Secondary</w:t>
            </w:r>
          </w:p>
        </w:tc>
        <w:tc>
          <w:tcPr>
            <w:tcW w:w="2610" w:type="dxa"/>
          </w:tcPr>
          <w:p w:rsidR="009570AF" w:rsidRPr="007C7CEA" w:rsidRDefault="009570AF" w:rsidP="009570AF">
            <w:pPr>
              <w:autoSpaceDE w:val="0"/>
              <w:autoSpaceDN w:val="0"/>
              <w:adjustRightInd w:val="0"/>
              <w:jc w:val="center"/>
              <w:rPr>
                <w:bCs/>
              </w:rPr>
            </w:pPr>
            <w:r w:rsidRPr="007C7CEA">
              <w:rPr>
                <w:bCs/>
              </w:rPr>
              <w:t>0.024</w:t>
            </w:r>
          </w:p>
        </w:tc>
        <w:tc>
          <w:tcPr>
            <w:tcW w:w="2808" w:type="dxa"/>
          </w:tcPr>
          <w:p w:rsidR="009570AF" w:rsidRPr="007C7CEA" w:rsidRDefault="009570AF" w:rsidP="009570AF">
            <w:pPr>
              <w:autoSpaceDE w:val="0"/>
              <w:autoSpaceDN w:val="0"/>
              <w:adjustRightInd w:val="0"/>
              <w:jc w:val="center"/>
              <w:rPr>
                <w:bCs/>
              </w:rPr>
            </w:pPr>
            <w:r w:rsidRPr="007C7CEA">
              <w:rPr>
                <w:bCs/>
              </w:rPr>
              <w:t>-</w:t>
            </w:r>
          </w:p>
        </w:tc>
      </w:tr>
    </w:tbl>
    <w:p w:rsidR="009570AF" w:rsidRPr="008E6317" w:rsidRDefault="009570AF" w:rsidP="009570AF">
      <w:pPr>
        <w:pStyle w:val="Footer"/>
        <w:keepNext/>
        <w:keepLines/>
        <w:widowControl w:val="0"/>
        <w:tabs>
          <w:tab w:val="center" w:pos="5940"/>
          <w:tab w:val="center" w:pos="7380"/>
        </w:tabs>
        <w:suppressAutoHyphens/>
        <w:rPr>
          <w:bCs/>
        </w:rPr>
      </w:pPr>
      <w:r w:rsidRPr="00B968E1">
        <w:rPr>
          <w:color w:val="FF0000"/>
          <w:sz w:val="22"/>
          <w:szCs w:val="22"/>
        </w:rPr>
        <w:t xml:space="preserve">   </w:t>
      </w:r>
      <w:r w:rsidRPr="008E6317">
        <w:rPr>
          <w:sz w:val="22"/>
          <w:szCs w:val="22"/>
        </w:rPr>
        <w:t>Source: Exhibit PAR-3</w:t>
      </w:r>
      <w:r>
        <w:rPr>
          <w:sz w:val="22"/>
          <w:szCs w:val="22"/>
        </w:rPr>
        <w:t>, Document Number 1, Columns 10 and 11, Page 3 of 4.</w:t>
      </w:r>
    </w:p>
    <w:p w:rsidR="009570AF" w:rsidRDefault="009570AF" w:rsidP="00957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339AD" w:rsidRDefault="006339AD">
      <w:r>
        <w:br w:type="page"/>
      </w:r>
    </w:p>
    <w:p w:rsidR="009570AF" w:rsidRDefault="009570AF" w:rsidP="00957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D233F0">
        <w:rPr>
          <w:b/>
          <w:bCs/>
          <w:caps/>
        </w:rPr>
        <w:lastRenderedPageBreak/>
        <w:t>III.</w:t>
      </w:r>
      <w:r w:rsidRPr="004C09BE">
        <w:rPr>
          <w:b/>
          <w:bCs/>
          <w:caps/>
        </w:rPr>
        <w:tab/>
      </w:r>
      <w:r>
        <w:rPr>
          <w:b/>
          <w:bCs/>
          <w:caps/>
          <w:u w:val="single"/>
        </w:rPr>
        <w:t>Effective Date</w:t>
      </w:r>
    </w:p>
    <w:p w:rsidR="009570AF" w:rsidRDefault="009570AF" w:rsidP="00957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560924" w:rsidRDefault="009570AF" w:rsidP="00560924">
      <w:pPr>
        <w:autoSpaceDE w:val="0"/>
        <w:autoSpaceDN w:val="0"/>
        <w:adjustRightInd w:val="0"/>
        <w:ind w:left="1440" w:hanging="1440"/>
        <w:jc w:val="both"/>
      </w:pPr>
      <w:r>
        <w:rPr>
          <w:b/>
          <w:bCs/>
          <w:u w:val="single"/>
        </w:rPr>
        <w:t>ISSUE 34</w:t>
      </w:r>
      <w:r>
        <w:t>:</w:t>
      </w:r>
      <w:r>
        <w:tab/>
      </w:r>
      <w:r w:rsidRPr="00A16EB4">
        <w:rPr>
          <w:b/>
        </w:rPr>
        <w:t>What should be the effective date of the fuel adjustment factors and capacity cost recovery factors for billing purposes?</w:t>
      </w:r>
      <w:r w:rsidRPr="00DE79D3">
        <w:rPr>
          <w:highlight w:val="yellow"/>
        </w:rPr>
        <w:t xml:space="preserve"> </w:t>
      </w:r>
      <w:r>
        <w:t xml:space="preserve">                                                              </w:t>
      </w:r>
    </w:p>
    <w:p w:rsidR="00560924" w:rsidRDefault="00560924" w:rsidP="00560924">
      <w:pPr>
        <w:autoSpaceDE w:val="0"/>
        <w:autoSpaceDN w:val="0"/>
        <w:adjustRightInd w:val="0"/>
        <w:ind w:left="1440" w:hanging="1440"/>
        <w:jc w:val="both"/>
      </w:pPr>
    </w:p>
    <w:p w:rsidR="00560924" w:rsidRDefault="009570AF" w:rsidP="00560924">
      <w:pPr>
        <w:autoSpaceDE w:val="0"/>
        <w:autoSpaceDN w:val="0"/>
        <w:adjustRightInd w:val="0"/>
        <w:ind w:left="1440" w:hanging="1440"/>
        <w:jc w:val="both"/>
        <w:rPr>
          <w:b/>
        </w:rPr>
      </w:pPr>
      <w:r>
        <w:rPr>
          <w:b/>
          <w:u w:val="single"/>
        </w:rPr>
        <w:t>STIPULATION</w:t>
      </w:r>
      <w:r>
        <w:rPr>
          <w:b/>
        </w:rPr>
        <w:t>:</w:t>
      </w:r>
    </w:p>
    <w:p w:rsidR="00560924" w:rsidRDefault="00560924" w:rsidP="00560924">
      <w:pPr>
        <w:autoSpaceDE w:val="0"/>
        <w:autoSpaceDN w:val="0"/>
        <w:adjustRightInd w:val="0"/>
        <w:ind w:left="1440" w:hanging="1440"/>
        <w:jc w:val="both"/>
        <w:rPr>
          <w:b/>
        </w:rPr>
      </w:pPr>
    </w:p>
    <w:p w:rsidR="009570AF" w:rsidRDefault="00560924" w:rsidP="00560924">
      <w:pPr>
        <w:autoSpaceDE w:val="0"/>
        <w:autoSpaceDN w:val="0"/>
        <w:adjustRightInd w:val="0"/>
        <w:ind w:left="1440" w:hanging="1440"/>
        <w:jc w:val="both"/>
      </w:pPr>
      <w:r>
        <w:tab/>
      </w:r>
      <w:r w:rsidR="009570AF" w:rsidRPr="00C3360A">
        <w:t>The new factors should be effective begin with the firs</w:t>
      </w:r>
      <w:r w:rsidR="009570AF">
        <w:t>t billing cycle for January 2019</w:t>
      </w:r>
      <w:r w:rsidR="009570AF" w:rsidRPr="00C3360A">
        <w:t xml:space="preserve"> through the last</w:t>
      </w:r>
      <w:r w:rsidR="009570AF">
        <w:t xml:space="preserve"> billing cycle for December 2019</w:t>
      </w:r>
      <w:r w:rsidR="009570AF" w:rsidRPr="00C3360A">
        <w:t xml:space="preserve">. The first billing cycle </w:t>
      </w:r>
      <w:r w:rsidR="009570AF">
        <w:t>may start before January 1, 2019</w:t>
      </w:r>
      <w:r w:rsidR="009570AF" w:rsidRPr="00C3360A">
        <w:t>, and the last cycle may</w:t>
      </w:r>
      <w:r w:rsidR="009570AF">
        <w:t xml:space="preserve"> be read after December 31, 2019</w:t>
      </w:r>
      <w:r w:rsidR="009570AF" w:rsidRPr="00C3360A">
        <w:t>, so that each customer is billed for twelve months regardless of when the recovery factors became effective. The new factors shall continue in effect until modified by this Commission.</w:t>
      </w:r>
    </w:p>
    <w:p w:rsidR="009570AF" w:rsidRDefault="009570AF" w:rsidP="009570AF">
      <w:pPr>
        <w:autoSpaceDE w:val="0"/>
        <w:autoSpaceDN w:val="0"/>
        <w:adjustRightInd w:val="0"/>
        <w:ind w:left="1440" w:hanging="1440"/>
        <w:jc w:val="both"/>
        <w:rPr>
          <w:b/>
          <w:u w:val="single"/>
        </w:rPr>
      </w:pPr>
    </w:p>
    <w:p w:rsidR="009570AF" w:rsidRDefault="009570AF" w:rsidP="009570AF">
      <w:pPr>
        <w:autoSpaceDE w:val="0"/>
        <w:autoSpaceDN w:val="0"/>
        <w:adjustRightInd w:val="0"/>
        <w:ind w:left="1440" w:hanging="1440"/>
        <w:jc w:val="both"/>
        <w:rPr>
          <w:b/>
          <w:u w:val="single"/>
        </w:rPr>
      </w:pPr>
    </w:p>
    <w:p w:rsidR="009570AF" w:rsidRPr="00857966" w:rsidRDefault="009570AF" w:rsidP="009570AF">
      <w:pPr>
        <w:autoSpaceDE w:val="0"/>
        <w:autoSpaceDN w:val="0"/>
        <w:adjustRightInd w:val="0"/>
        <w:ind w:left="1440" w:hanging="1440"/>
        <w:jc w:val="both"/>
        <w:rPr>
          <w:b/>
        </w:rPr>
      </w:pPr>
      <w:r w:rsidRPr="00E96930">
        <w:rPr>
          <w:b/>
          <w:u w:val="single"/>
        </w:rPr>
        <w:t>ISSUE 35:</w:t>
      </w:r>
      <w:r>
        <w:rPr>
          <w:b/>
        </w:rPr>
        <w:tab/>
      </w:r>
      <w:r w:rsidRPr="00A16EB4">
        <w:rPr>
          <w:b/>
        </w:rPr>
        <w:t>Should the Commission approve revised tariffs reflecting the fuel adjustment factors and capacity cost recovery factors determined to be appropriate in this proceeding?</w:t>
      </w:r>
      <w:r w:rsidRPr="00A16EB4">
        <w:rPr>
          <w:b/>
          <w:highlight w:val="yellow"/>
        </w:rPr>
        <w:t xml:space="preserve"> </w:t>
      </w:r>
    </w:p>
    <w:p w:rsidR="009570AF" w:rsidRDefault="009570AF" w:rsidP="009570AF">
      <w:pPr>
        <w:autoSpaceDE w:val="0"/>
        <w:autoSpaceDN w:val="0"/>
        <w:adjustRightInd w:val="0"/>
        <w:jc w:val="both"/>
        <w:rPr>
          <w:b/>
          <w:u w:val="single"/>
        </w:rPr>
      </w:pPr>
    </w:p>
    <w:p w:rsidR="009570AF" w:rsidRDefault="009570AF" w:rsidP="009570AF">
      <w:pPr>
        <w:autoSpaceDE w:val="0"/>
        <w:autoSpaceDN w:val="0"/>
        <w:adjustRightInd w:val="0"/>
        <w:jc w:val="both"/>
        <w:rPr>
          <w:b/>
          <w:u w:val="single"/>
        </w:rPr>
      </w:pPr>
      <w:r>
        <w:rPr>
          <w:b/>
          <w:u w:val="single"/>
        </w:rPr>
        <w:t>STIPULATION:</w:t>
      </w:r>
    </w:p>
    <w:p w:rsidR="009570AF" w:rsidRDefault="009570AF" w:rsidP="009570AF">
      <w:pPr>
        <w:autoSpaceDE w:val="0"/>
        <w:autoSpaceDN w:val="0"/>
        <w:adjustRightInd w:val="0"/>
        <w:jc w:val="both"/>
        <w:rPr>
          <w:b/>
          <w:u w:val="single"/>
        </w:rPr>
      </w:pPr>
    </w:p>
    <w:p w:rsidR="009570AF" w:rsidRDefault="009570AF" w:rsidP="009570AF">
      <w:pPr>
        <w:autoSpaceDE w:val="0"/>
        <w:autoSpaceDN w:val="0"/>
        <w:adjustRightInd w:val="0"/>
        <w:jc w:val="both"/>
      </w:pPr>
      <w:r>
        <w:rPr>
          <w:b/>
        </w:rPr>
        <w:tab/>
      </w:r>
      <w:r>
        <w:rPr>
          <w:b/>
        </w:rPr>
        <w:tab/>
      </w:r>
      <w:r>
        <w:t>Yes.</w:t>
      </w:r>
    </w:p>
    <w:p w:rsidR="009570AF" w:rsidRDefault="009570AF" w:rsidP="009570AF">
      <w:pPr>
        <w:autoSpaceDE w:val="0"/>
        <w:autoSpaceDN w:val="0"/>
        <w:adjustRightInd w:val="0"/>
        <w:ind w:left="1440" w:hanging="1440"/>
        <w:jc w:val="both"/>
        <w:rPr>
          <w:b/>
          <w:u w:val="single"/>
        </w:rPr>
      </w:pPr>
    </w:p>
    <w:p w:rsidR="009570AF" w:rsidRDefault="009570AF" w:rsidP="009570AF">
      <w:pPr>
        <w:autoSpaceDE w:val="0"/>
        <w:autoSpaceDN w:val="0"/>
        <w:adjustRightInd w:val="0"/>
        <w:ind w:left="1440" w:hanging="1440"/>
        <w:jc w:val="both"/>
      </w:pPr>
      <w:r w:rsidRPr="00962BA7">
        <w:rPr>
          <w:b/>
          <w:u w:val="single"/>
        </w:rPr>
        <w:t xml:space="preserve">ISSUE </w:t>
      </w:r>
      <w:r>
        <w:rPr>
          <w:b/>
          <w:u w:val="single"/>
        </w:rPr>
        <w:t>36</w:t>
      </w:r>
      <w:r w:rsidRPr="00962BA7">
        <w:rPr>
          <w:b/>
          <w:u w:val="single"/>
        </w:rPr>
        <w:t>:</w:t>
      </w:r>
      <w:r>
        <w:tab/>
      </w:r>
      <w:r w:rsidRPr="00EF2421">
        <w:rPr>
          <w:b/>
        </w:rPr>
        <w:t xml:space="preserve">Should this docket be closed?      </w:t>
      </w:r>
      <w:r>
        <w:t xml:space="preserve">                                                                      </w:t>
      </w:r>
    </w:p>
    <w:p w:rsidR="009570AF" w:rsidRDefault="009570AF" w:rsidP="009570AF">
      <w:pPr>
        <w:autoSpaceDE w:val="0"/>
        <w:autoSpaceDN w:val="0"/>
        <w:adjustRightInd w:val="0"/>
        <w:ind w:left="1440" w:hanging="1440"/>
        <w:jc w:val="both"/>
      </w:pPr>
    </w:p>
    <w:p w:rsidR="009570AF" w:rsidRDefault="009570AF" w:rsidP="009570AF">
      <w:pPr>
        <w:autoSpaceDE w:val="0"/>
        <w:autoSpaceDN w:val="0"/>
        <w:adjustRightInd w:val="0"/>
        <w:jc w:val="both"/>
        <w:rPr>
          <w:b/>
          <w:bCs/>
          <w:u w:val="single"/>
        </w:rPr>
      </w:pPr>
      <w:r w:rsidRPr="00FE0E85">
        <w:rPr>
          <w:b/>
          <w:bCs/>
          <w:u w:val="single"/>
        </w:rPr>
        <w:t>STIPULATION:</w:t>
      </w:r>
    </w:p>
    <w:p w:rsidR="009570AF" w:rsidRPr="00FE0E85" w:rsidRDefault="009570AF" w:rsidP="009570AF">
      <w:pPr>
        <w:autoSpaceDE w:val="0"/>
        <w:autoSpaceDN w:val="0"/>
        <w:adjustRightInd w:val="0"/>
        <w:jc w:val="both"/>
        <w:rPr>
          <w:b/>
          <w:bCs/>
          <w:u w:val="single"/>
        </w:rPr>
      </w:pPr>
    </w:p>
    <w:p w:rsidR="009570AF" w:rsidRPr="00701945" w:rsidRDefault="009570AF" w:rsidP="009570AF">
      <w:pPr>
        <w:ind w:left="1440" w:hanging="1440"/>
        <w:jc w:val="both"/>
      </w:pPr>
      <w:r w:rsidRPr="00701945">
        <w:tab/>
      </w:r>
      <w:r>
        <w:t xml:space="preserve">No. While a separate docket number is assigned each year for administrative convenience, this is a continuing docket and should remain open.  </w:t>
      </w:r>
    </w:p>
    <w:p w:rsidR="009570AF" w:rsidRDefault="009570AF" w:rsidP="009570AF">
      <w:pPr>
        <w:ind w:left="1440" w:hanging="1440"/>
        <w:jc w:val="both"/>
        <w:rPr>
          <w:bCs/>
        </w:rPr>
      </w:pPr>
    </w:p>
    <w:p w:rsidR="00787261" w:rsidRDefault="00787261" w:rsidP="00787261">
      <w:pPr>
        <w:pStyle w:val="OrderBody"/>
      </w:pPr>
    </w:p>
    <w:p w:rsidR="00F329C0" w:rsidRDefault="00F329C0">
      <w:r>
        <w:br w:type="page"/>
      </w:r>
    </w:p>
    <w:p w:rsidR="00F329C0" w:rsidRDefault="00F329C0" w:rsidP="00F329C0">
      <w:pPr>
        <w:pStyle w:val="OrderBody"/>
        <w:jc w:val="right"/>
      </w:pPr>
      <w:r>
        <w:lastRenderedPageBreak/>
        <w:t>ATTACHMENT B</w:t>
      </w:r>
    </w:p>
    <w:p w:rsidR="0058234A" w:rsidRDefault="0058234A" w:rsidP="00F329C0">
      <w:pPr>
        <w:pStyle w:val="OrderBody"/>
      </w:pPr>
    </w:p>
    <w:p w:rsidR="0058234A" w:rsidRPr="0058234A" w:rsidRDefault="0058234A" w:rsidP="0058234A">
      <w:pPr>
        <w:pStyle w:val="OrderBody"/>
        <w:jc w:val="center"/>
        <w:rPr>
          <w:u w:val="single"/>
        </w:rPr>
      </w:pPr>
      <w:r w:rsidRPr="0058234A">
        <w:rPr>
          <w:u w:val="single"/>
        </w:rPr>
        <w:t>HEDGING ISSUE STIPULATIONS</w:t>
      </w:r>
    </w:p>
    <w:p w:rsidR="0058234A" w:rsidRDefault="0058234A" w:rsidP="0058234A">
      <w:pPr>
        <w:pStyle w:val="OrderBody"/>
        <w:jc w:val="center"/>
      </w:pPr>
    </w:p>
    <w:p w:rsidR="0058234A" w:rsidRDefault="0058234A" w:rsidP="0058234A">
      <w:pPr>
        <w:pStyle w:val="OrderBody"/>
        <w:jc w:val="center"/>
      </w:pPr>
    </w:p>
    <w:p w:rsidR="0058234A" w:rsidRPr="005D4105" w:rsidRDefault="0058234A" w:rsidP="0058234A">
      <w:pPr>
        <w:autoSpaceDE w:val="0"/>
        <w:autoSpaceDN w:val="0"/>
        <w:adjustRightInd w:val="0"/>
        <w:ind w:left="1440" w:hanging="1440"/>
        <w:jc w:val="both"/>
        <w:rPr>
          <w:b/>
        </w:rPr>
      </w:pPr>
      <w:r>
        <w:rPr>
          <w:b/>
          <w:bCs/>
          <w:u w:val="single"/>
        </w:rPr>
        <w:t>ISSUE 1A</w:t>
      </w:r>
      <w:r>
        <w:rPr>
          <w:b/>
          <w:bCs/>
        </w:rPr>
        <w:t>:</w:t>
      </w:r>
      <w:r>
        <w:tab/>
      </w:r>
      <w:r w:rsidRPr="005D4105">
        <w:rPr>
          <w:b/>
        </w:rPr>
        <w:t xml:space="preserve">Should the Commission approve as prudent DEF’s actions to mitigate the volatility of natural gas, residual oil, and purchased power prices, as reported in DEF’s April 2018 and August 2018 hedging reports? </w:t>
      </w:r>
    </w:p>
    <w:p w:rsidR="0058234A" w:rsidRDefault="0058234A" w:rsidP="0058234A">
      <w:pPr>
        <w:autoSpaceDE w:val="0"/>
        <w:autoSpaceDN w:val="0"/>
        <w:adjustRightInd w:val="0"/>
        <w:ind w:left="1440" w:hanging="1440"/>
        <w:jc w:val="both"/>
      </w:pPr>
    </w:p>
    <w:p w:rsidR="0058234A" w:rsidRPr="0058397E" w:rsidRDefault="0058234A" w:rsidP="0058234A">
      <w:pPr>
        <w:autoSpaceDE w:val="0"/>
        <w:autoSpaceDN w:val="0"/>
        <w:adjustRightInd w:val="0"/>
        <w:jc w:val="both"/>
        <w:rPr>
          <w:b/>
          <w:bCs/>
          <w:u w:val="single"/>
        </w:rPr>
      </w:pPr>
      <w:r w:rsidRPr="0058397E">
        <w:rPr>
          <w:b/>
          <w:bCs/>
          <w:u w:val="single"/>
        </w:rPr>
        <w:t>S</w:t>
      </w:r>
      <w:r>
        <w:rPr>
          <w:b/>
          <w:bCs/>
          <w:u w:val="single"/>
        </w:rPr>
        <w:t>TIPULATION</w:t>
      </w:r>
      <w:r w:rsidRPr="0058397E">
        <w:rPr>
          <w:b/>
          <w:bCs/>
          <w:u w:val="single"/>
        </w:rPr>
        <w:t>:</w:t>
      </w:r>
    </w:p>
    <w:p w:rsidR="0058234A" w:rsidRDefault="0058234A" w:rsidP="0058234A">
      <w:pPr>
        <w:autoSpaceDE w:val="0"/>
        <w:autoSpaceDN w:val="0"/>
        <w:adjustRightInd w:val="0"/>
        <w:jc w:val="both"/>
        <w:rPr>
          <w:bCs/>
          <w:u w:val="single"/>
        </w:rPr>
      </w:pPr>
    </w:p>
    <w:p w:rsidR="00F329C0" w:rsidRDefault="0058234A" w:rsidP="0058234A">
      <w:pPr>
        <w:pStyle w:val="OrderBody"/>
        <w:ind w:left="1440" w:hanging="1440"/>
      </w:pPr>
      <w:r>
        <w:tab/>
        <w:t>Yes, the Commission should approve DEF’s actions to mitigate fuel price volatility because those activities were taken pursuant to, and were consistent with, previously approved risk management plans.  Pursuant to the 2017 RRSSA, DEF has agreed not to enter into any additional hedges during the term of the Agreement, however, the hedges at issue in this docket were entered into prior to the hedging moratorium.  Over the period of August 2017 through July 2018, DEF’s hedging activities resulted in a cost of approximately $24.9 M.  As indicated in Tampa Electric’s Motion to Close Docket No. 20170057-EI, DEF supported the Motion and believes that docket can be closed.</w:t>
      </w:r>
    </w:p>
    <w:p w:rsidR="0058234A" w:rsidRDefault="0058234A" w:rsidP="0058234A">
      <w:pPr>
        <w:pStyle w:val="OrderBody"/>
        <w:ind w:left="1440" w:hanging="1440"/>
      </w:pPr>
    </w:p>
    <w:p w:rsidR="0058234A" w:rsidRDefault="0058234A" w:rsidP="0058234A">
      <w:pPr>
        <w:autoSpaceDE w:val="0"/>
        <w:autoSpaceDN w:val="0"/>
        <w:adjustRightInd w:val="0"/>
        <w:ind w:left="1440" w:hanging="1440"/>
        <w:jc w:val="both"/>
      </w:pPr>
      <w:r>
        <w:rPr>
          <w:b/>
          <w:bCs/>
          <w:u w:val="single"/>
        </w:rPr>
        <w:t>ISSUE 2A</w:t>
      </w:r>
      <w:r>
        <w:rPr>
          <w:b/>
          <w:bCs/>
        </w:rPr>
        <w:t>:</w:t>
      </w:r>
      <w:r>
        <w:rPr>
          <w:b/>
          <w:bCs/>
        </w:rPr>
        <w:tab/>
      </w:r>
      <w:r w:rsidRPr="005D4105">
        <w:rPr>
          <w:b/>
        </w:rPr>
        <w:t xml:space="preserve">Should the Commission approve as prudent FPL’s actions to mitigate the volatility of natural gas, residual oil, and purchased power prices, as reported in FPL’s April 2018 and August 2018 hedging reports? </w:t>
      </w:r>
      <w:r>
        <w:t xml:space="preserve">                                    </w:t>
      </w:r>
    </w:p>
    <w:p w:rsidR="0058234A" w:rsidRDefault="0058234A" w:rsidP="0058234A">
      <w:pPr>
        <w:autoSpaceDE w:val="0"/>
        <w:autoSpaceDN w:val="0"/>
        <w:adjustRightInd w:val="0"/>
        <w:ind w:left="1440" w:hanging="1440"/>
        <w:jc w:val="both"/>
      </w:pPr>
    </w:p>
    <w:p w:rsidR="0058234A" w:rsidRDefault="0058234A" w:rsidP="0058234A">
      <w:pPr>
        <w:autoSpaceDE w:val="0"/>
        <w:autoSpaceDN w:val="0"/>
        <w:adjustRightInd w:val="0"/>
        <w:ind w:left="1440" w:hanging="1440"/>
        <w:jc w:val="both"/>
        <w:rPr>
          <w:b/>
          <w:bCs/>
          <w:u w:val="single"/>
        </w:rPr>
      </w:pPr>
      <w:r w:rsidRPr="0058397E">
        <w:rPr>
          <w:b/>
          <w:bCs/>
          <w:u w:val="single"/>
        </w:rPr>
        <w:t>S</w:t>
      </w:r>
      <w:r>
        <w:rPr>
          <w:b/>
          <w:bCs/>
          <w:u w:val="single"/>
        </w:rPr>
        <w:t>TIPULATION</w:t>
      </w:r>
      <w:r w:rsidRPr="0058397E">
        <w:rPr>
          <w:b/>
          <w:bCs/>
          <w:u w:val="single"/>
        </w:rPr>
        <w:t>:</w:t>
      </w:r>
    </w:p>
    <w:p w:rsidR="0058234A" w:rsidRPr="0058397E" w:rsidRDefault="0058234A" w:rsidP="0058234A">
      <w:pPr>
        <w:autoSpaceDE w:val="0"/>
        <w:autoSpaceDN w:val="0"/>
        <w:adjustRightInd w:val="0"/>
        <w:jc w:val="both"/>
        <w:rPr>
          <w:b/>
          <w:bCs/>
          <w:u w:val="single"/>
        </w:rPr>
      </w:pPr>
    </w:p>
    <w:p w:rsidR="0058234A" w:rsidRDefault="0058234A" w:rsidP="0058234A">
      <w:pPr>
        <w:pStyle w:val="OrderBody"/>
        <w:ind w:left="1440" w:hanging="1440"/>
      </w:pPr>
      <w:r w:rsidRPr="005D4B47">
        <w:tab/>
      </w:r>
      <w:r>
        <w:t xml:space="preserve">Yes, the Commission should approve FPL’s actions to mitigate fuel price volatility because those activities were taken pursuant to, and were consistent with, previously approved risk management plans.  </w:t>
      </w:r>
      <w:r w:rsidRPr="00956D47">
        <w:t>Pursuant to Paragraph 16 of FPL</w:t>
      </w:r>
      <w:r>
        <w:t>’s</w:t>
      </w:r>
      <w:r w:rsidRPr="00956D47">
        <w:t xml:space="preserve"> settlement agreement approved in Order No. PSC-16-0560-AS-EI dated December 15, 2016, FPL’s fuel hedging program is under a </w:t>
      </w:r>
      <w:r>
        <w:t>moratorium.  FPL has agreed not to enter into any additional hedges during the terms of the Agreement.  However, the hedges at issue in this docket were entered prior to the hedging moratorium.  FPL’s hedging activities for the period January 1, 2017 through December 31, 2017 as reported in April 2018 in Docket No. 20180001-EI resulted in savings of $37,833,753.  FPL had no hedging activity to report for 2018 in the August 2018 hedging report.  Upon review of these filings, FPL has complied with its Risk Management Plan as approved by this Commission and, therefore, its actions are found to be reasonable and prudent.  As indicated in Tampa Electric’s Motion to Close Docket No. 20170057-EI, FPL supported the Motion and believes that docket can be closed.</w:t>
      </w:r>
    </w:p>
    <w:p w:rsidR="0058234A" w:rsidRDefault="0058234A" w:rsidP="0058234A">
      <w:pPr>
        <w:pStyle w:val="OrderBody"/>
        <w:ind w:left="1440" w:hanging="1440"/>
      </w:pPr>
    </w:p>
    <w:p w:rsidR="0058234A" w:rsidRDefault="0058234A">
      <w:r>
        <w:br w:type="page"/>
      </w:r>
    </w:p>
    <w:p w:rsidR="0058234A" w:rsidRDefault="0058234A" w:rsidP="0058234A">
      <w:pPr>
        <w:autoSpaceDE w:val="0"/>
        <w:autoSpaceDN w:val="0"/>
        <w:adjustRightInd w:val="0"/>
        <w:ind w:left="1440" w:hanging="1440"/>
        <w:jc w:val="both"/>
      </w:pPr>
      <w:r>
        <w:rPr>
          <w:b/>
          <w:bCs/>
          <w:u w:val="single"/>
        </w:rPr>
        <w:lastRenderedPageBreak/>
        <w:t>ISSUE 4A</w:t>
      </w:r>
      <w:r>
        <w:rPr>
          <w:b/>
          <w:bCs/>
        </w:rPr>
        <w:t>:</w:t>
      </w:r>
      <w:r>
        <w:rPr>
          <w:b/>
          <w:bCs/>
        </w:rPr>
        <w:tab/>
      </w:r>
      <w:r w:rsidRPr="005D4105">
        <w:rPr>
          <w:b/>
        </w:rPr>
        <w:t xml:space="preserve">Should the Commission approve as prudent Gulf’s actions to mitigate the volatility of natural gas, residual oil, and purchased power prices, as reported in Gulf’s April 2018 and August 2018 hedging reports?   </w:t>
      </w:r>
      <w:r>
        <w:t xml:space="preserve">                                  </w:t>
      </w:r>
    </w:p>
    <w:p w:rsidR="0058234A" w:rsidRDefault="0058234A" w:rsidP="0058234A">
      <w:pPr>
        <w:rPr>
          <w:b/>
          <w:bCs/>
        </w:rPr>
      </w:pPr>
    </w:p>
    <w:p w:rsidR="0058234A" w:rsidRPr="0058397E" w:rsidRDefault="0058234A" w:rsidP="0058234A">
      <w:pPr>
        <w:autoSpaceDE w:val="0"/>
        <w:autoSpaceDN w:val="0"/>
        <w:adjustRightInd w:val="0"/>
        <w:jc w:val="both"/>
        <w:rPr>
          <w:b/>
          <w:bCs/>
          <w:u w:val="single"/>
        </w:rPr>
      </w:pPr>
      <w:r w:rsidRPr="0058397E">
        <w:rPr>
          <w:b/>
          <w:bCs/>
          <w:u w:val="single"/>
        </w:rPr>
        <w:t>STI</w:t>
      </w:r>
      <w:r>
        <w:rPr>
          <w:b/>
          <w:bCs/>
          <w:u w:val="single"/>
        </w:rPr>
        <w:t>PULATIO</w:t>
      </w:r>
      <w:r w:rsidRPr="0058397E">
        <w:rPr>
          <w:b/>
          <w:bCs/>
          <w:u w:val="single"/>
        </w:rPr>
        <w:t>N:</w:t>
      </w:r>
    </w:p>
    <w:p w:rsidR="0058234A" w:rsidRDefault="0058234A" w:rsidP="0058234A">
      <w:pPr>
        <w:pStyle w:val="OrderBody"/>
        <w:ind w:left="1440" w:hanging="1440"/>
      </w:pPr>
    </w:p>
    <w:p w:rsidR="0058234A" w:rsidRDefault="0058234A" w:rsidP="0058234A">
      <w:pPr>
        <w:pStyle w:val="OrderBody"/>
        <w:ind w:left="1440" w:hanging="1440"/>
      </w:pPr>
      <w:r>
        <w:tab/>
        <w:t xml:space="preserve">Yes, the Commission should approve Gulf’s actions to mitigate fuel price volatility because those activities were taken pursuant to, and were consistent with, previously approved risk management plans.  </w:t>
      </w:r>
      <w:r w:rsidRPr="00956D47">
        <w:t>Pursuant to</w:t>
      </w:r>
      <w:r>
        <w:t xml:space="preserve"> the 2017 Stipulation and Settlement Agreement, Gulf has agreed not to enter into any additional hedges during the terms of the Agreement, however, the hedges at issue in this docket were entered prior to the hedging moratorium.  Gulf’s hedging activities for the period August 1, 2017 through July 31, 2018 are reported in April 2018 and August 2018 filings in Docket No. 20180001-EI and resulted in hedging net expense of $20,129,290.  Upon review of these filings, Gulf has complied with its Risk Management Plan as approved by this Commission and, therefore, its actions are found to be reasonable and prudent.</w:t>
      </w:r>
    </w:p>
    <w:p w:rsidR="0058234A" w:rsidRDefault="0058234A" w:rsidP="0058234A">
      <w:pPr>
        <w:pStyle w:val="OrderBody"/>
        <w:ind w:left="1440" w:hanging="1440"/>
      </w:pPr>
    </w:p>
    <w:p w:rsidR="0058234A" w:rsidRDefault="0058234A" w:rsidP="0058234A">
      <w:pPr>
        <w:autoSpaceDE w:val="0"/>
        <w:autoSpaceDN w:val="0"/>
        <w:adjustRightInd w:val="0"/>
        <w:ind w:left="1440" w:hanging="1440"/>
        <w:jc w:val="both"/>
      </w:pPr>
      <w:r>
        <w:rPr>
          <w:b/>
          <w:bCs/>
          <w:u w:val="single"/>
        </w:rPr>
        <w:t>ISSUE 5A</w:t>
      </w:r>
      <w:r>
        <w:rPr>
          <w:b/>
          <w:bCs/>
        </w:rPr>
        <w:t>:</w:t>
      </w:r>
      <w:r>
        <w:tab/>
      </w:r>
      <w:r w:rsidRPr="005D4105">
        <w:rPr>
          <w:b/>
        </w:rPr>
        <w:t xml:space="preserve">Should the Commission approve as prudent TECO’s actions to mitigate the volatility of natural gas, residual oil, and purchased power prices, as reported in TECO’s April 2018 and August 2018 hedging reports? </w:t>
      </w:r>
    </w:p>
    <w:p w:rsidR="0058234A" w:rsidRDefault="0058234A" w:rsidP="0058234A">
      <w:pPr>
        <w:autoSpaceDE w:val="0"/>
        <w:autoSpaceDN w:val="0"/>
        <w:adjustRightInd w:val="0"/>
        <w:ind w:left="1440" w:hanging="1440"/>
        <w:jc w:val="both"/>
      </w:pPr>
    </w:p>
    <w:p w:rsidR="0058234A" w:rsidRDefault="0058234A" w:rsidP="0058234A">
      <w:pPr>
        <w:pStyle w:val="OrderBody"/>
        <w:ind w:left="1440" w:hanging="1440"/>
        <w:rPr>
          <w:b/>
          <w:bCs/>
          <w:u w:val="single"/>
        </w:rPr>
      </w:pPr>
      <w:r w:rsidRPr="0058397E">
        <w:rPr>
          <w:b/>
          <w:bCs/>
          <w:u w:val="single"/>
        </w:rPr>
        <w:t>S</w:t>
      </w:r>
      <w:r>
        <w:rPr>
          <w:b/>
          <w:bCs/>
          <w:u w:val="single"/>
        </w:rPr>
        <w:t>TIPULATION:</w:t>
      </w:r>
    </w:p>
    <w:p w:rsidR="0058234A" w:rsidRDefault="0058234A" w:rsidP="0058234A">
      <w:pPr>
        <w:pStyle w:val="OrderBody"/>
        <w:ind w:left="1440" w:hanging="1440"/>
        <w:rPr>
          <w:b/>
          <w:bCs/>
          <w:u w:val="single"/>
        </w:rPr>
      </w:pPr>
    </w:p>
    <w:p w:rsidR="0058234A" w:rsidRPr="0058234A" w:rsidRDefault="0058234A" w:rsidP="0058234A">
      <w:pPr>
        <w:pStyle w:val="OrderBody"/>
        <w:ind w:left="1440" w:hanging="1440"/>
      </w:pPr>
      <w:r>
        <w:tab/>
        <w:t xml:space="preserve">Yes, the Commission should approve Tampa Electric’s actions to mitigate fuel price volatility because those activities were taken pursuant to, and were consistent with, previously approved risk management plans.  </w:t>
      </w:r>
      <w:r w:rsidRPr="00956D47">
        <w:t>Pursuant to</w:t>
      </w:r>
      <w:r>
        <w:t xml:space="preserve"> the 2017 Amended and Restated Stipulation and Settlement Agreement, Tampa Electric has agreed not to enter into any additional hedges during the term of the Agreement, however, the hedges at issue in this docket were entered prior to the hedging moratorium.  Over the period of August 2017 through July 2018, Tampa Electric’s hedging activities resulted in a cost of approximately $0.58 million.    Upon review of these filings, Tampa Electric has complied with its Risk Management Plan as approved by this Commission and, therefore, its actions are found to be reasonable and prudent.  As indicated in Tampa Electric’s unopposed Motion to Close Docket No. 20170057-EI, the generic hedging docket, Tampa Electric believes that docket should be closed.</w:t>
      </w:r>
    </w:p>
    <w:sectPr w:rsidR="0058234A" w:rsidRPr="0058234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E0E" w:rsidRDefault="00DF0E0E">
      <w:r>
        <w:separator/>
      </w:r>
    </w:p>
  </w:endnote>
  <w:endnote w:type="continuationSeparator" w:id="0">
    <w:p w:rsidR="00DF0E0E" w:rsidRDefault="00DF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0E" w:rsidRDefault="00DF0E0E">
    <w:pPr>
      <w:pStyle w:val="Footer"/>
    </w:pPr>
  </w:p>
  <w:p w:rsidR="00DF0E0E" w:rsidRDefault="00DF0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E0E" w:rsidRDefault="00DF0E0E">
      <w:r>
        <w:separator/>
      </w:r>
    </w:p>
  </w:footnote>
  <w:footnote w:type="continuationSeparator" w:id="0">
    <w:p w:rsidR="00DF0E0E" w:rsidRDefault="00DF0E0E">
      <w:r>
        <w:continuationSeparator/>
      </w:r>
    </w:p>
  </w:footnote>
  <w:footnote w:id="1">
    <w:p w:rsidR="00DF0E0E" w:rsidRDefault="00DF0E0E">
      <w:pPr>
        <w:pStyle w:val="FootnoteText"/>
      </w:pPr>
      <w:r>
        <w:rPr>
          <w:rStyle w:val="FootnoteReference"/>
        </w:rPr>
        <w:footnoteRef/>
      </w:r>
      <w:r>
        <w:t>DEF’s witness Jeffrey Swartz testified on the first day of the hearing on Issue No. 1B, the February 2017 forced outage at DEF’s Bartow plant.  However, on the second day of the hearing OPC and PCS Phosphate were able to reach a stipulation with DEF, approved by the Commission, which defers consideration of this issue until next year.</w:t>
      </w:r>
    </w:p>
  </w:footnote>
  <w:footnote w:id="2">
    <w:p w:rsidR="00DF0E0E" w:rsidRDefault="00DF0E0E">
      <w:pPr>
        <w:pStyle w:val="FootnoteText"/>
      </w:pPr>
      <w:r>
        <w:rPr>
          <w:rStyle w:val="FootnoteReference"/>
        </w:rPr>
        <w:footnoteRef/>
      </w:r>
      <w:r>
        <w:t xml:space="preserve">Although FIPUG filed a corrected position for Issue 2O, this issue had been previously voted on at the final hearing. </w:t>
      </w:r>
    </w:p>
  </w:footnote>
  <w:footnote w:id="3">
    <w:p w:rsidR="00DF0E0E" w:rsidRDefault="00DF0E0E" w:rsidP="00097C97">
      <w:pPr>
        <w:pStyle w:val="FootnoteText"/>
      </w:pPr>
      <w:r>
        <w:rPr>
          <w:rStyle w:val="FootnoteReference"/>
          <w:rFonts w:eastAsiaTheme="minorHAnsi"/>
        </w:rPr>
        <w:footnoteRef/>
      </w:r>
      <w:r>
        <w:t xml:space="preserve">Order No. PSC-2016-0560-AS-EI, issued on December 15, 2016, in Docket No. 20160021-EI, </w:t>
      </w:r>
      <w:r w:rsidRPr="00097C97">
        <w:rPr>
          <w:u w:val="single"/>
        </w:rPr>
        <w:t>In re: Petition for rate increase by Florida Power &amp; Light Company.</w:t>
      </w:r>
    </w:p>
  </w:footnote>
  <w:footnote w:id="4">
    <w:p w:rsidR="00DF0E0E" w:rsidRDefault="00DF0E0E" w:rsidP="00097C97">
      <w:pPr>
        <w:pStyle w:val="FootnoteText"/>
      </w:pPr>
      <w:r>
        <w:rPr>
          <w:rStyle w:val="FootnoteReference"/>
          <w:rFonts w:eastAsiaTheme="minorHAnsi"/>
        </w:rPr>
        <w:footnoteRef/>
      </w:r>
      <w:r>
        <w:t>Issue A: “Are FPL’s proposed solar projects prudent?” and Issue B: “Are FPL’s proposed solar projects needed?”</w:t>
      </w:r>
    </w:p>
  </w:footnote>
  <w:footnote w:id="5">
    <w:p w:rsidR="00DF0E0E" w:rsidRPr="00F804F6" w:rsidRDefault="00DF0E0E" w:rsidP="00097C97">
      <w:pPr>
        <w:pStyle w:val="FootnoteText"/>
        <w:rPr>
          <w:i/>
        </w:rPr>
      </w:pPr>
      <w:r>
        <w:rPr>
          <w:rStyle w:val="FootnoteReference"/>
          <w:rFonts w:eastAsiaTheme="minorHAnsi"/>
        </w:rPr>
        <w:footnoteRef/>
      </w:r>
      <w:r>
        <w:t xml:space="preserve">Order No. PSC-16-0560-AS-EI, issued December 15, 2016, in Docket No. 20160021, </w:t>
      </w:r>
      <w:r w:rsidRPr="00AA0B3C">
        <w:rPr>
          <w:u w:val="single"/>
        </w:rPr>
        <w:t xml:space="preserve">In re: Petition for rate increase by Florida Power &amp; Light Company. </w:t>
      </w:r>
      <w:r w:rsidRPr="00F804F6">
        <w:rPr>
          <w:i/>
        </w:rPr>
        <w:t xml:space="preserve"> </w:t>
      </w:r>
    </w:p>
  </w:footnote>
  <w:footnote w:id="6">
    <w:p w:rsidR="00DF0E0E" w:rsidRPr="00631837" w:rsidRDefault="00DF0E0E" w:rsidP="00097C97">
      <w:pPr>
        <w:pStyle w:val="FootnoteText"/>
      </w:pPr>
      <w:r>
        <w:rPr>
          <w:rStyle w:val="FootnoteReference"/>
          <w:rFonts w:eastAsiaTheme="minorHAnsi"/>
        </w:rPr>
        <w:footnoteRef/>
      </w:r>
      <w:r>
        <w:t xml:space="preserve">Order No. PSC-2018-0520-PHO-EI, issued November 1, 2018, in Docket No. 20180001-EI, </w:t>
      </w:r>
      <w:r w:rsidRPr="00AA0B3C">
        <w:rPr>
          <w:u w:val="single"/>
        </w:rPr>
        <w:t>In re: Fuel and purchased power cost recovery clause with generating performance incentive factor,</w:t>
      </w:r>
      <w:r>
        <w:t xml:space="preserve"> at 65-66.</w:t>
      </w:r>
    </w:p>
  </w:footnote>
  <w:footnote w:id="7">
    <w:p w:rsidR="00DF0E0E" w:rsidRDefault="00DF0E0E" w:rsidP="00097C97">
      <w:pPr>
        <w:pStyle w:val="FootnoteText"/>
      </w:pPr>
      <w:r>
        <w:rPr>
          <w:rStyle w:val="FootnoteReference"/>
          <w:rFonts w:eastAsiaTheme="minorHAnsi"/>
        </w:rPr>
        <w:footnoteRef/>
      </w:r>
      <w:r>
        <w:t xml:space="preserve">2016 Agreement at </w:t>
      </w:r>
      <w:r>
        <w:rPr>
          <w:rFonts w:ascii="Lao UI" w:hAnsi="Lao UI" w:cs="Lao UI"/>
        </w:rPr>
        <w:t>¶¶</w:t>
      </w:r>
      <w:r>
        <w:t xml:space="preserve"> 10(c), 10(e), 10(i).</w:t>
      </w:r>
    </w:p>
  </w:footnote>
  <w:footnote w:id="8">
    <w:p w:rsidR="00DF0E0E" w:rsidRPr="00CC0982" w:rsidRDefault="00DF0E0E" w:rsidP="00CC335C">
      <w:pPr>
        <w:pStyle w:val="FootnoteText"/>
        <w:rPr>
          <w:i/>
        </w:rPr>
      </w:pPr>
      <w:r>
        <w:rPr>
          <w:rStyle w:val="FootnoteReference"/>
          <w:rFonts w:eastAsiaTheme="minorHAnsi"/>
        </w:rPr>
        <w:footnoteRef/>
      </w:r>
      <w:r>
        <w:t>Order No. PSC-16-0560-AS-EI, issued December 15, 2016, in Docket No. 20160021-EI,</w:t>
      </w:r>
      <w:r w:rsidRPr="00CC0982">
        <w:rPr>
          <w:i/>
        </w:rPr>
        <w:t xml:space="preserve"> </w:t>
      </w:r>
      <w:r w:rsidRPr="00C579AE">
        <w:rPr>
          <w:u w:val="single"/>
        </w:rPr>
        <w:t>In re: Petition for rate increase by Florida Power &amp; Light Company</w:t>
      </w:r>
      <w:r w:rsidRPr="00B85ACE">
        <w:rPr>
          <w:i/>
        </w:rPr>
        <w:t>.</w:t>
      </w:r>
    </w:p>
  </w:footnote>
  <w:footnote w:id="9">
    <w:p w:rsidR="00DF0E0E" w:rsidRDefault="00DF0E0E" w:rsidP="00CC335C">
      <w:pPr>
        <w:pStyle w:val="FootnoteText"/>
      </w:pPr>
      <w:r>
        <w:rPr>
          <w:rStyle w:val="FootnoteReference"/>
          <w:rFonts w:eastAsiaTheme="minorHAnsi"/>
        </w:rPr>
        <w:footnoteRef/>
      </w:r>
      <w:r>
        <w:t xml:space="preserve">2016 Agreement at </w:t>
      </w:r>
      <w:r>
        <w:rPr>
          <w:rFonts w:ascii="Lao UI" w:hAnsi="Lao UI" w:cs="Lao UI"/>
        </w:rPr>
        <w:t>¶</w:t>
      </w:r>
      <w:r>
        <w:t xml:space="preserve"> 10(a). </w:t>
      </w:r>
    </w:p>
  </w:footnote>
  <w:footnote w:id="10">
    <w:p w:rsidR="00DF0E0E" w:rsidRDefault="00DF0E0E" w:rsidP="00CC335C">
      <w:pPr>
        <w:pStyle w:val="FootnoteText"/>
      </w:pPr>
      <w:r>
        <w:rPr>
          <w:rStyle w:val="FootnoteReference"/>
          <w:rFonts w:eastAsiaTheme="minorHAnsi"/>
        </w:rPr>
        <w:footnoteRef/>
      </w:r>
      <w:r>
        <w:t xml:space="preserve">2016 Agreement at </w:t>
      </w:r>
      <w:r>
        <w:rPr>
          <w:rFonts w:ascii="Lao UI" w:hAnsi="Lao UI" w:cs="Lao UI"/>
        </w:rPr>
        <w:t>¶</w:t>
      </w:r>
      <w:r>
        <w:t xml:space="preserve"> 10(c). </w:t>
      </w:r>
    </w:p>
  </w:footnote>
  <w:footnote w:id="11">
    <w:p w:rsidR="00DF0E0E" w:rsidRDefault="00DF0E0E" w:rsidP="00CC335C">
      <w:pPr>
        <w:pStyle w:val="FootnoteText"/>
      </w:pPr>
      <w:r>
        <w:rPr>
          <w:rStyle w:val="FootnoteReference"/>
          <w:rFonts w:eastAsiaTheme="minorHAnsi"/>
        </w:rPr>
        <w:footnoteRef/>
      </w:r>
      <w:r>
        <w:t>DN 06651-2018.</w:t>
      </w:r>
    </w:p>
  </w:footnote>
  <w:footnote w:id="12">
    <w:p w:rsidR="00DF0E0E" w:rsidRPr="006B05E0" w:rsidRDefault="00DF0E0E" w:rsidP="00CC335C">
      <w:pPr>
        <w:pStyle w:val="FootnoteText"/>
        <w:rPr>
          <w:i/>
        </w:rPr>
      </w:pPr>
      <w:r>
        <w:rPr>
          <w:rStyle w:val="FootnoteReference"/>
          <w:rFonts w:eastAsiaTheme="minorHAnsi"/>
        </w:rPr>
        <w:footnoteRef/>
      </w:r>
      <w:r>
        <w:t xml:space="preserve">Order No. PSC-2018-0520-PHO-EI, issued November 1, 2018, in Docket No. 20180001-EI, </w:t>
      </w:r>
      <w:r w:rsidRPr="000425D0">
        <w:rPr>
          <w:u w:val="single"/>
        </w:rPr>
        <w:t>In re: Fuel and purchased power cost recovery clause with generating performance incentive factor</w:t>
      </w:r>
      <w:r w:rsidRPr="006B05E0">
        <w:rPr>
          <w:i/>
        </w:rPr>
        <w:t xml:space="preserve">. </w:t>
      </w:r>
    </w:p>
  </w:footnote>
  <w:footnote w:id="13">
    <w:p w:rsidR="00DF0E0E" w:rsidRPr="00DE4130" w:rsidRDefault="00DF0E0E" w:rsidP="007F1B23">
      <w:pPr>
        <w:pStyle w:val="FootnoteText"/>
        <w:rPr>
          <w:highlight w:val="yellow"/>
        </w:rPr>
      </w:pPr>
      <w:r w:rsidRPr="00DE4130">
        <w:rPr>
          <w:rStyle w:val="FootnoteReference"/>
          <w:rFonts w:eastAsiaTheme="minorHAnsi"/>
        </w:rPr>
        <w:footnoteRef/>
      </w:r>
      <w:r w:rsidRPr="00DE4130">
        <w:t>Order No. PSC-</w:t>
      </w:r>
      <w:r>
        <w:t>20</w:t>
      </w:r>
      <w:r w:rsidRPr="00DE4130">
        <w:t xml:space="preserve">05-0902-S-EI,  issued September 14, 2005, in Docket No. 20050045-EI, </w:t>
      </w:r>
      <w:r w:rsidRPr="00E17056">
        <w:rPr>
          <w:u w:val="single"/>
        </w:rPr>
        <w:t>In re: Petition for rate increase by Florida Power &amp; Light Company, and in Docket No. 20050188-EI, In re: 2005 comprehensive depreciation study by Florida Power &amp; Light Company</w:t>
      </w:r>
      <w:r w:rsidRPr="00DE4130">
        <w:t>.</w:t>
      </w:r>
    </w:p>
  </w:footnote>
  <w:footnote w:id="14">
    <w:p w:rsidR="00DF0E0E" w:rsidRPr="00DE4130" w:rsidRDefault="00DF0E0E" w:rsidP="007F1B23">
      <w:pPr>
        <w:pStyle w:val="FootnoteText"/>
        <w:rPr>
          <w:highlight w:val="yellow"/>
        </w:rPr>
      </w:pPr>
      <w:r w:rsidRPr="00DE4130">
        <w:rPr>
          <w:rStyle w:val="FootnoteReference"/>
          <w:rFonts w:eastAsiaTheme="minorHAnsi"/>
        </w:rPr>
        <w:footnoteRef/>
      </w:r>
      <w:r w:rsidRPr="00DE4130">
        <w:t>Order No. PSC-</w:t>
      </w:r>
      <w:r>
        <w:t>20</w:t>
      </w:r>
      <w:r w:rsidRPr="00DE4130">
        <w:t xml:space="preserve">11-0089-S-EI, issued </w:t>
      </w:r>
      <w:r w:rsidRPr="00DE4130">
        <w:rPr>
          <w:color w:val="000000"/>
        </w:rPr>
        <w:t>February 1,</w:t>
      </w:r>
      <w:r w:rsidRPr="00DE4130">
        <w:t xml:space="preserve"> 2011, in Docket No. 20</w:t>
      </w:r>
      <w:r w:rsidRPr="00DE4130">
        <w:rPr>
          <w:color w:val="000000"/>
        </w:rPr>
        <w:t>080677-EI</w:t>
      </w:r>
      <w:r w:rsidRPr="00DE4130">
        <w:t xml:space="preserve">, </w:t>
      </w:r>
      <w:r w:rsidRPr="00E17056">
        <w:rPr>
          <w:color w:val="000000"/>
          <w:u w:val="single"/>
        </w:rPr>
        <w:t xml:space="preserve">In re: Petition for increase in rates by Florida Power &amp; </w:t>
      </w:r>
      <w:r w:rsidRPr="00E17056">
        <w:rPr>
          <w:u w:val="single"/>
        </w:rPr>
        <w:t>Light Company, and in Docket No. 20</w:t>
      </w:r>
      <w:r w:rsidRPr="00E17056">
        <w:rPr>
          <w:color w:val="000000"/>
          <w:u w:val="single"/>
        </w:rPr>
        <w:t>090130-EI</w:t>
      </w:r>
      <w:r w:rsidRPr="00E17056">
        <w:rPr>
          <w:u w:val="single"/>
        </w:rPr>
        <w:t xml:space="preserve">, </w:t>
      </w:r>
      <w:r w:rsidRPr="00E17056">
        <w:rPr>
          <w:color w:val="000000"/>
          <w:u w:val="single"/>
        </w:rPr>
        <w:t>In re: 2009 depreciation and dismantlement study by Florida Power &amp; Light Company</w:t>
      </w:r>
      <w:r w:rsidRPr="00E17056">
        <w:rPr>
          <w:u w:val="single"/>
        </w:rPr>
        <w:t>.</w:t>
      </w:r>
    </w:p>
  </w:footnote>
  <w:footnote w:id="15">
    <w:p w:rsidR="00DF0E0E" w:rsidRPr="00DE4130" w:rsidRDefault="00DF0E0E" w:rsidP="007F1B23">
      <w:pPr>
        <w:pStyle w:val="FootnoteText"/>
      </w:pPr>
      <w:r w:rsidRPr="00DE4130">
        <w:rPr>
          <w:rStyle w:val="FootnoteReference"/>
          <w:rFonts w:eastAsiaTheme="minorHAnsi"/>
        </w:rPr>
        <w:footnoteRef/>
      </w:r>
      <w:r w:rsidRPr="00DE4130">
        <w:t>Order No. PSC-</w:t>
      </w:r>
      <w:r>
        <w:t>20</w:t>
      </w:r>
      <w:r w:rsidRPr="00DE4130">
        <w:t>13-0023-S-EI, issued January 14, 2013, in Docket No. 20120015-EI,</w:t>
      </w:r>
      <w:r>
        <w:t xml:space="preserve"> </w:t>
      </w:r>
      <w:r w:rsidRPr="00E17056">
        <w:rPr>
          <w:u w:val="single"/>
        </w:rPr>
        <w:t>In re: Petition for increase in rates by Florida Power &amp; Light Company.</w:t>
      </w:r>
    </w:p>
  </w:footnote>
  <w:footnote w:id="16">
    <w:p w:rsidR="00DF0E0E" w:rsidRDefault="00DF0E0E" w:rsidP="00E17056">
      <w:pPr>
        <w:pStyle w:val="FootnoteText"/>
      </w:pPr>
      <w:r>
        <w:rPr>
          <w:rStyle w:val="FootnoteReference"/>
          <w:rFonts w:eastAsiaTheme="minorHAnsi"/>
        </w:rPr>
        <w:footnoteRef/>
      </w:r>
      <w:r>
        <w:rPr>
          <w:bCs/>
        </w:rPr>
        <w:t>Paragraph 9 of the 2016 Agreement describes the Okeechobee Unit and the Limited Scope Adjustment for FPL’s generating station now known as the Okeechobee Clean Energy Center.</w:t>
      </w:r>
    </w:p>
  </w:footnote>
  <w:footnote w:id="17">
    <w:p w:rsidR="00DF0E0E" w:rsidRDefault="00DF0E0E">
      <w:pPr>
        <w:pStyle w:val="FootnoteText"/>
      </w:pPr>
      <w:r>
        <w:rPr>
          <w:rStyle w:val="FootnoteReference"/>
        </w:rPr>
        <w:footnoteRef/>
      </w:r>
      <w:r>
        <w:t xml:space="preserve">A Type 2 Stipulation is one in which all parties either agree with, do not object to, or take no position on, the stipulation presented.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0E" w:rsidRDefault="00DF0E0E">
    <w:pPr>
      <w:pStyle w:val="OrderHeader"/>
    </w:pPr>
    <w:r>
      <w:t xml:space="preserve">ORDER NO. </w:t>
    </w:r>
    <w:fldSimple w:instr=" REF OrderNo0610 ">
      <w:r w:rsidR="001E55B1">
        <w:t>PSC-2018-0610-FOF-EI</w:t>
      </w:r>
    </w:fldSimple>
  </w:p>
  <w:p w:rsidR="00DF0E0E" w:rsidRDefault="00DF0E0E">
    <w:pPr>
      <w:pStyle w:val="OrderHeader"/>
    </w:pPr>
    <w:bookmarkStart w:id="8" w:name="HeaderDocketNo"/>
    <w:bookmarkEnd w:id="8"/>
    <w:r>
      <w:t>DOCKET NO. 20180001-EI</w:t>
    </w:r>
  </w:p>
  <w:p w:rsidR="00DF0E0E" w:rsidRDefault="00DF0E0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5B1">
      <w:rPr>
        <w:rStyle w:val="PageNumber"/>
        <w:noProof/>
      </w:rPr>
      <w:t>52</w:t>
    </w:r>
    <w:r>
      <w:rPr>
        <w:rStyle w:val="PageNumber"/>
      </w:rPr>
      <w:fldChar w:fldCharType="end"/>
    </w:r>
  </w:p>
  <w:p w:rsidR="00DF0E0E" w:rsidRDefault="00DF0E0E">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E3659D"/>
    <w:multiLevelType w:val="hybridMultilevel"/>
    <w:tmpl w:val="884AF9EE"/>
    <w:lvl w:ilvl="0" w:tplc="1F60170C">
      <w:start w:val="1"/>
      <w:numFmt w:val="lowerLetter"/>
      <w:pStyle w:val="Heading1"/>
      <w:lvlText w:val="(%1)"/>
      <w:lvlJc w:val="left"/>
      <w:pPr>
        <w:ind w:left="1800" w:hanging="360"/>
      </w:pPr>
      <w:rPr>
        <w:rFonts w:hint="default"/>
      </w:rPr>
    </w:lvl>
    <w:lvl w:ilvl="1" w:tplc="04090019" w:tentative="1">
      <w:start w:val="1"/>
      <w:numFmt w:val="lowerLetter"/>
      <w:pStyle w:val="Heading2"/>
      <w:lvlText w:val="%2."/>
      <w:lvlJc w:val="left"/>
      <w:pPr>
        <w:ind w:left="2520" w:hanging="360"/>
      </w:pPr>
    </w:lvl>
    <w:lvl w:ilvl="2" w:tplc="0409001B" w:tentative="1">
      <w:start w:val="1"/>
      <w:numFmt w:val="lowerRoman"/>
      <w:pStyle w:val="Heading3"/>
      <w:lvlText w:val="%3."/>
      <w:lvlJc w:val="right"/>
      <w:pPr>
        <w:ind w:left="3240" w:hanging="180"/>
      </w:pPr>
    </w:lvl>
    <w:lvl w:ilvl="3" w:tplc="0409000F" w:tentative="1">
      <w:start w:val="1"/>
      <w:numFmt w:val="decimal"/>
      <w:pStyle w:val="Heading4"/>
      <w:lvlText w:val="%4."/>
      <w:lvlJc w:val="left"/>
      <w:pPr>
        <w:ind w:left="3960" w:hanging="360"/>
      </w:pPr>
    </w:lvl>
    <w:lvl w:ilvl="4" w:tplc="04090019" w:tentative="1">
      <w:start w:val="1"/>
      <w:numFmt w:val="lowerLetter"/>
      <w:pStyle w:val="Heading5"/>
      <w:lvlText w:val="%5."/>
      <w:lvlJc w:val="left"/>
      <w:pPr>
        <w:ind w:left="4680" w:hanging="360"/>
      </w:pPr>
    </w:lvl>
    <w:lvl w:ilvl="5" w:tplc="0409001B" w:tentative="1">
      <w:start w:val="1"/>
      <w:numFmt w:val="lowerRoman"/>
      <w:pStyle w:val="Heading6"/>
      <w:lvlText w:val="%6."/>
      <w:lvlJc w:val="right"/>
      <w:pPr>
        <w:ind w:left="5400" w:hanging="180"/>
      </w:pPr>
    </w:lvl>
    <w:lvl w:ilvl="6" w:tplc="0409000F" w:tentative="1">
      <w:start w:val="1"/>
      <w:numFmt w:val="decimal"/>
      <w:pStyle w:val="Heading7"/>
      <w:lvlText w:val="%7."/>
      <w:lvlJc w:val="left"/>
      <w:pPr>
        <w:ind w:left="6120" w:hanging="360"/>
      </w:pPr>
    </w:lvl>
    <w:lvl w:ilvl="7" w:tplc="04090019" w:tentative="1">
      <w:start w:val="1"/>
      <w:numFmt w:val="lowerLetter"/>
      <w:pStyle w:val="Heading8"/>
      <w:lvlText w:val="%8."/>
      <w:lvlJc w:val="left"/>
      <w:pPr>
        <w:ind w:left="6840" w:hanging="360"/>
      </w:pPr>
    </w:lvl>
    <w:lvl w:ilvl="8" w:tplc="0409001B" w:tentative="1">
      <w:start w:val="1"/>
      <w:numFmt w:val="lowerRoman"/>
      <w:pStyle w:val="Heading9"/>
      <w:lvlText w:val="%9."/>
      <w:lvlJc w:val="right"/>
      <w:pPr>
        <w:ind w:left="7560" w:hanging="180"/>
      </w:pPr>
    </w:lvl>
  </w:abstractNum>
  <w:abstractNum w:abstractNumId="12">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07BED"/>
    <w:multiLevelType w:val="hybridMultilevel"/>
    <w:tmpl w:val="3D44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3BC06F14"/>
    <w:multiLevelType w:val="hybridMultilevel"/>
    <w:tmpl w:val="2544032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75B90"/>
    <w:multiLevelType w:val="multilevel"/>
    <w:tmpl w:val="9E26B4E8"/>
    <w:numStyleLink w:val="ArticleSection"/>
  </w:abstractNum>
  <w:abstractNum w:abstractNumId="19">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60E42"/>
    <w:multiLevelType w:val="multilevel"/>
    <w:tmpl w:val="9E26B4E8"/>
    <w:numStyleLink w:val="ArticleSection"/>
  </w:abstractNum>
  <w:abstractNum w:abstractNumId="2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23"/>
  </w:num>
  <w:num w:numId="3">
    <w:abstractNumId w:val="11"/>
  </w:num>
  <w:num w:numId="4">
    <w:abstractNumId w:val="16"/>
  </w:num>
  <w:num w:numId="5">
    <w:abstractNumId w:val="25"/>
  </w:num>
  <w:num w:numId="6">
    <w:abstractNumId w:val="24"/>
  </w:num>
  <w:num w:numId="7">
    <w:abstractNumId w:val="19"/>
  </w:num>
  <w:num w:numId="8">
    <w:abstractNumId w:val="10"/>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22"/>
  </w:num>
  <w:num w:numId="22">
    <w:abstractNumId w:val="17"/>
  </w:num>
  <w:num w:numId="23">
    <w:abstractNumId w:val="21"/>
  </w:num>
  <w:num w:numId="24">
    <w:abstractNumId w:val="12"/>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CD23A2"/>
    <w:rsid w:val="000022B8"/>
    <w:rsid w:val="00005D0F"/>
    <w:rsid w:val="0001240D"/>
    <w:rsid w:val="00035A8C"/>
    <w:rsid w:val="000425D0"/>
    <w:rsid w:val="00053AB9"/>
    <w:rsid w:val="00056229"/>
    <w:rsid w:val="00057AF1"/>
    <w:rsid w:val="00064659"/>
    <w:rsid w:val="00065FC2"/>
    <w:rsid w:val="00067685"/>
    <w:rsid w:val="00076E6B"/>
    <w:rsid w:val="0008247D"/>
    <w:rsid w:val="00082DFA"/>
    <w:rsid w:val="00090AFC"/>
    <w:rsid w:val="00097C97"/>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3DE"/>
    <w:rsid w:val="00121957"/>
    <w:rsid w:val="0012387E"/>
    <w:rsid w:val="00126593"/>
    <w:rsid w:val="00142A96"/>
    <w:rsid w:val="001513DE"/>
    <w:rsid w:val="00154A71"/>
    <w:rsid w:val="00187E32"/>
    <w:rsid w:val="0019210A"/>
    <w:rsid w:val="00193D97"/>
    <w:rsid w:val="00194E81"/>
    <w:rsid w:val="001A15E7"/>
    <w:rsid w:val="001A33C9"/>
    <w:rsid w:val="001A58F3"/>
    <w:rsid w:val="001C2847"/>
    <w:rsid w:val="001C3F8C"/>
    <w:rsid w:val="001C6097"/>
    <w:rsid w:val="001D008A"/>
    <w:rsid w:val="001E0152"/>
    <w:rsid w:val="001E0FF5"/>
    <w:rsid w:val="001E55B1"/>
    <w:rsid w:val="002002ED"/>
    <w:rsid w:val="00200E33"/>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642F"/>
    <w:rsid w:val="00303FDE"/>
    <w:rsid w:val="003140E8"/>
    <w:rsid w:val="003231C7"/>
    <w:rsid w:val="003270C4"/>
    <w:rsid w:val="00331ED0"/>
    <w:rsid w:val="00332B0A"/>
    <w:rsid w:val="00333A41"/>
    <w:rsid w:val="00337073"/>
    <w:rsid w:val="00345434"/>
    <w:rsid w:val="0035495B"/>
    <w:rsid w:val="00355A93"/>
    <w:rsid w:val="00361522"/>
    <w:rsid w:val="0037196E"/>
    <w:rsid w:val="0037228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A4511"/>
    <w:rsid w:val="004A7644"/>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40CD"/>
    <w:rsid w:val="0055595D"/>
    <w:rsid w:val="00556A10"/>
    <w:rsid w:val="00557F50"/>
    <w:rsid w:val="00560924"/>
    <w:rsid w:val="00571B18"/>
    <w:rsid w:val="00571D3D"/>
    <w:rsid w:val="0058234A"/>
    <w:rsid w:val="0058264B"/>
    <w:rsid w:val="005868AA"/>
    <w:rsid w:val="00590845"/>
    <w:rsid w:val="005963C2"/>
    <w:rsid w:val="005A0D69"/>
    <w:rsid w:val="005A31F4"/>
    <w:rsid w:val="005A73EA"/>
    <w:rsid w:val="005B45F7"/>
    <w:rsid w:val="005B63EA"/>
    <w:rsid w:val="005C1A88"/>
    <w:rsid w:val="005C341C"/>
    <w:rsid w:val="005C5033"/>
    <w:rsid w:val="005E1449"/>
    <w:rsid w:val="005E751B"/>
    <w:rsid w:val="005F3354"/>
    <w:rsid w:val="005F47DE"/>
    <w:rsid w:val="005F727A"/>
    <w:rsid w:val="0060005E"/>
    <w:rsid w:val="0060095B"/>
    <w:rsid w:val="00601266"/>
    <w:rsid w:val="00610E73"/>
    <w:rsid w:val="00616DF2"/>
    <w:rsid w:val="0063168D"/>
    <w:rsid w:val="006339AD"/>
    <w:rsid w:val="006435AB"/>
    <w:rsid w:val="006531A4"/>
    <w:rsid w:val="00660774"/>
    <w:rsid w:val="0066389A"/>
    <w:rsid w:val="0066495C"/>
    <w:rsid w:val="00665CC7"/>
    <w:rsid w:val="006700B5"/>
    <w:rsid w:val="00670188"/>
    <w:rsid w:val="00672612"/>
    <w:rsid w:val="00674511"/>
    <w:rsid w:val="00677F18"/>
    <w:rsid w:val="00693483"/>
    <w:rsid w:val="006A0BF3"/>
    <w:rsid w:val="006A2F47"/>
    <w:rsid w:val="006B0DA6"/>
    <w:rsid w:val="006C547E"/>
    <w:rsid w:val="006D2B51"/>
    <w:rsid w:val="006D5575"/>
    <w:rsid w:val="006E42BE"/>
    <w:rsid w:val="006E6771"/>
    <w:rsid w:val="00704C5D"/>
    <w:rsid w:val="007072BC"/>
    <w:rsid w:val="00715275"/>
    <w:rsid w:val="00721B44"/>
    <w:rsid w:val="007232A2"/>
    <w:rsid w:val="00726366"/>
    <w:rsid w:val="007268E2"/>
    <w:rsid w:val="00733B6B"/>
    <w:rsid w:val="00740808"/>
    <w:rsid w:val="007467C4"/>
    <w:rsid w:val="0076170F"/>
    <w:rsid w:val="0076669C"/>
    <w:rsid w:val="00766E46"/>
    <w:rsid w:val="00777727"/>
    <w:rsid w:val="00782B79"/>
    <w:rsid w:val="007865E9"/>
    <w:rsid w:val="00787261"/>
    <w:rsid w:val="00792383"/>
    <w:rsid w:val="00794D5A"/>
    <w:rsid w:val="00794DD9"/>
    <w:rsid w:val="007A060F"/>
    <w:rsid w:val="007C0FBC"/>
    <w:rsid w:val="007C36E3"/>
    <w:rsid w:val="007C5862"/>
    <w:rsid w:val="007C6834"/>
    <w:rsid w:val="007C7134"/>
    <w:rsid w:val="007D3D20"/>
    <w:rsid w:val="007D742E"/>
    <w:rsid w:val="007E3AFD"/>
    <w:rsid w:val="007F1B23"/>
    <w:rsid w:val="00801DAD"/>
    <w:rsid w:val="00803189"/>
    <w:rsid w:val="00804E7A"/>
    <w:rsid w:val="00805FBB"/>
    <w:rsid w:val="008169A4"/>
    <w:rsid w:val="008278FE"/>
    <w:rsid w:val="00832598"/>
    <w:rsid w:val="00833314"/>
    <w:rsid w:val="0083397E"/>
    <w:rsid w:val="0083534B"/>
    <w:rsid w:val="00842602"/>
    <w:rsid w:val="00847B45"/>
    <w:rsid w:val="00863A66"/>
    <w:rsid w:val="008703D7"/>
    <w:rsid w:val="00874429"/>
    <w:rsid w:val="00883D9A"/>
    <w:rsid w:val="008919EF"/>
    <w:rsid w:val="00892B20"/>
    <w:rsid w:val="008A12EC"/>
    <w:rsid w:val="008A56AD"/>
    <w:rsid w:val="008C21C8"/>
    <w:rsid w:val="008C6375"/>
    <w:rsid w:val="008C6A5B"/>
    <w:rsid w:val="008E26A5"/>
    <w:rsid w:val="008E42D2"/>
    <w:rsid w:val="008E6328"/>
    <w:rsid w:val="008E7827"/>
    <w:rsid w:val="009040EE"/>
    <w:rsid w:val="009057FD"/>
    <w:rsid w:val="00906FBA"/>
    <w:rsid w:val="009163E8"/>
    <w:rsid w:val="009228C7"/>
    <w:rsid w:val="00922A7F"/>
    <w:rsid w:val="00923A5E"/>
    <w:rsid w:val="00924FE7"/>
    <w:rsid w:val="00926E27"/>
    <w:rsid w:val="00931C8C"/>
    <w:rsid w:val="0094504B"/>
    <w:rsid w:val="009570AF"/>
    <w:rsid w:val="00964A38"/>
    <w:rsid w:val="00966A9D"/>
    <w:rsid w:val="0096742B"/>
    <w:rsid w:val="009924CF"/>
    <w:rsid w:val="00994100"/>
    <w:rsid w:val="009A6B17"/>
    <w:rsid w:val="009D1D28"/>
    <w:rsid w:val="009D4C29"/>
    <w:rsid w:val="009F6AD2"/>
    <w:rsid w:val="00A00D8D"/>
    <w:rsid w:val="00A01BB6"/>
    <w:rsid w:val="00A16EB4"/>
    <w:rsid w:val="00A4303C"/>
    <w:rsid w:val="00A470FD"/>
    <w:rsid w:val="00A62DAB"/>
    <w:rsid w:val="00A66B99"/>
    <w:rsid w:val="00A6757A"/>
    <w:rsid w:val="00A726A6"/>
    <w:rsid w:val="00A74842"/>
    <w:rsid w:val="00A97535"/>
    <w:rsid w:val="00AA0B3C"/>
    <w:rsid w:val="00AA2BAA"/>
    <w:rsid w:val="00AA59B4"/>
    <w:rsid w:val="00AA73F1"/>
    <w:rsid w:val="00AB0E1A"/>
    <w:rsid w:val="00AB1A30"/>
    <w:rsid w:val="00AB3C36"/>
    <w:rsid w:val="00AC1C74"/>
    <w:rsid w:val="00AD10EB"/>
    <w:rsid w:val="00AD1ED3"/>
    <w:rsid w:val="00B02001"/>
    <w:rsid w:val="00B03C50"/>
    <w:rsid w:val="00B0777D"/>
    <w:rsid w:val="00B11576"/>
    <w:rsid w:val="00B1195F"/>
    <w:rsid w:val="00B14D10"/>
    <w:rsid w:val="00B209C7"/>
    <w:rsid w:val="00B34F72"/>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579AE"/>
    <w:rsid w:val="00C66692"/>
    <w:rsid w:val="00C673B5"/>
    <w:rsid w:val="00C7063D"/>
    <w:rsid w:val="00C830BC"/>
    <w:rsid w:val="00C8524D"/>
    <w:rsid w:val="00C91123"/>
    <w:rsid w:val="00CA3DD5"/>
    <w:rsid w:val="00CA71FF"/>
    <w:rsid w:val="00CB5276"/>
    <w:rsid w:val="00CB5BFC"/>
    <w:rsid w:val="00CB68D7"/>
    <w:rsid w:val="00CC335C"/>
    <w:rsid w:val="00CC7E68"/>
    <w:rsid w:val="00CD23A2"/>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2D11"/>
    <w:rsid w:val="00D80E2D"/>
    <w:rsid w:val="00D84D5E"/>
    <w:rsid w:val="00D8560E"/>
    <w:rsid w:val="00D8758F"/>
    <w:rsid w:val="00DA4EDD"/>
    <w:rsid w:val="00DA6B78"/>
    <w:rsid w:val="00DC1D94"/>
    <w:rsid w:val="00DC42CF"/>
    <w:rsid w:val="00DE057F"/>
    <w:rsid w:val="00DE2082"/>
    <w:rsid w:val="00DE2289"/>
    <w:rsid w:val="00DF09A7"/>
    <w:rsid w:val="00DF0E0E"/>
    <w:rsid w:val="00E001D6"/>
    <w:rsid w:val="00E03A76"/>
    <w:rsid w:val="00E04410"/>
    <w:rsid w:val="00E07484"/>
    <w:rsid w:val="00E11351"/>
    <w:rsid w:val="00E17056"/>
    <w:rsid w:val="00E4225C"/>
    <w:rsid w:val="00E44879"/>
    <w:rsid w:val="00E72914"/>
    <w:rsid w:val="00E75ADE"/>
    <w:rsid w:val="00E75AE0"/>
    <w:rsid w:val="00E83C1F"/>
    <w:rsid w:val="00E87CED"/>
    <w:rsid w:val="00EA172C"/>
    <w:rsid w:val="00EA259B"/>
    <w:rsid w:val="00EA35A3"/>
    <w:rsid w:val="00EA3E6A"/>
    <w:rsid w:val="00EB18EF"/>
    <w:rsid w:val="00EB7951"/>
    <w:rsid w:val="00ED6A79"/>
    <w:rsid w:val="00EE17DF"/>
    <w:rsid w:val="00EF4621"/>
    <w:rsid w:val="00EF4D52"/>
    <w:rsid w:val="00EF6312"/>
    <w:rsid w:val="00F038B0"/>
    <w:rsid w:val="00F14D82"/>
    <w:rsid w:val="00F22B27"/>
    <w:rsid w:val="00F234A7"/>
    <w:rsid w:val="00F277B6"/>
    <w:rsid w:val="00F27DA5"/>
    <w:rsid w:val="00F329C0"/>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0"/>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787261"/>
    <w:pPr>
      <w:autoSpaceDE w:val="0"/>
      <w:autoSpaceDN w:val="0"/>
      <w:adjustRightInd w:val="0"/>
      <w:ind w:left="1440"/>
    </w:pPr>
    <w:rPr>
      <w:sz w:val="24"/>
      <w:szCs w:val="24"/>
    </w:rPr>
  </w:style>
  <w:style w:type="paragraph" w:styleId="ListParagraph">
    <w:name w:val="List Paragraph"/>
    <w:basedOn w:val="Normal"/>
    <w:uiPriority w:val="34"/>
    <w:qFormat/>
    <w:rsid w:val="00787261"/>
    <w:pPr>
      <w:ind w:left="720"/>
      <w:contextualSpacing/>
    </w:pPr>
  </w:style>
  <w:style w:type="paragraph" w:styleId="Date">
    <w:name w:val="Date"/>
    <w:basedOn w:val="Normal"/>
    <w:next w:val="Normal"/>
    <w:link w:val="DateChar"/>
    <w:uiPriority w:val="99"/>
    <w:unhideWhenUsed/>
    <w:rsid w:val="00787261"/>
    <w:rPr>
      <w:rFonts w:ascii="Calibri" w:eastAsia="Calibri" w:hAnsi="Calibri"/>
    </w:rPr>
  </w:style>
  <w:style w:type="character" w:customStyle="1" w:styleId="DateChar">
    <w:name w:val="Date Char"/>
    <w:basedOn w:val="DefaultParagraphFont"/>
    <w:link w:val="Date"/>
    <w:uiPriority w:val="99"/>
    <w:rsid w:val="00787261"/>
    <w:rPr>
      <w:rFonts w:ascii="Calibri" w:eastAsia="Calibri" w:hAnsi="Calibri"/>
      <w:sz w:val="24"/>
      <w:szCs w:val="24"/>
    </w:rPr>
  </w:style>
  <w:style w:type="paragraph" w:styleId="BodyText2">
    <w:name w:val="Body Text 2"/>
    <w:basedOn w:val="Normal"/>
    <w:link w:val="BodyText2Char"/>
    <w:uiPriority w:val="99"/>
    <w:rsid w:val="00787261"/>
    <w:pPr>
      <w:spacing w:line="480" w:lineRule="auto"/>
      <w:ind w:firstLine="720"/>
      <w:jc w:val="both"/>
    </w:pPr>
  </w:style>
  <w:style w:type="character" w:customStyle="1" w:styleId="BodyText2Char">
    <w:name w:val="Body Text 2 Char"/>
    <w:basedOn w:val="DefaultParagraphFont"/>
    <w:link w:val="BodyText2"/>
    <w:rsid w:val="00787261"/>
    <w:rPr>
      <w:sz w:val="24"/>
      <w:szCs w:val="24"/>
    </w:rPr>
  </w:style>
  <w:style w:type="character" w:customStyle="1" w:styleId="WitnessandExhibitTableHeader">
    <w:name w:val="Witness and Exhibit Table Header"/>
    <w:rsid w:val="00787261"/>
    <w:rPr>
      <w:u w:val="single"/>
    </w:rPr>
  </w:style>
  <w:style w:type="paragraph" w:customStyle="1" w:styleId="PrehearingBody">
    <w:name w:val="Prehearing Body"/>
    <w:basedOn w:val="Normal"/>
    <w:link w:val="PrehearingBodyCharChar"/>
    <w:rsid w:val="00787261"/>
    <w:pPr>
      <w:spacing w:after="240"/>
      <w:ind w:firstLine="720"/>
      <w:jc w:val="both"/>
    </w:pPr>
    <w:rPr>
      <w:lang w:val="x-none" w:eastAsia="x-none"/>
    </w:rPr>
  </w:style>
  <w:style w:type="character" w:customStyle="1" w:styleId="PrehearingBodyCharChar">
    <w:name w:val="Prehearing Body Char Char"/>
    <w:link w:val="PrehearingBody"/>
    <w:rsid w:val="00787261"/>
    <w:rPr>
      <w:sz w:val="24"/>
      <w:szCs w:val="24"/>
      <w:lang w:val="x-none" w:eastAsia="x-none"/>
    </w:rPr>
  </w:style>
  <w:style w:type="paragraph" w:styleId="BalloonText">
    <w:name w:val="Balloon Text"/>
    <w:basedOn w:val="Normal"/>
    <w:link w:val="BalloonTextChar"/>
    <w:uiPriority w:val="99"/>
    <w:rsid w:val="00787261"/>
    <w:rPr>
      <w:rFonts w:ascii="Tahoma" w:hAnsi="Tahoma" w:cs="Tahoma"/>
      <w:sz w:val="16"/>
      <w:szCs w:val="16"/>
    </w:rPr>
  </w:style>
  <w:style w:type="character" w:customStyle="1" w:styleId="BalloonTextChar">
    <w:name w:val="Balloon Text Char"/>
    <w:basedOn w:val="DefaultParagraphFont"/>
    <w:link w:val="BalloonText"/>
    <w:rsid w:val="00787261"/>
    <w:rPr>
      <w:rFonts w:ascii="Tahoma" w:hAnsi="Tahoma" w:cs="Tahoma"/>
      <w:sz w:val="16"/>
      <w:szCs w:val="16"/>
    </w:rPr>
  </w:style>
  <w:style w:type="character" w:customStyle="1" w:styleId="FooterChar">
    <w:name w:val="Footer Char"/>
    <w:link w:val="Footer"/>
    <w:uiPriority w:val="99"/>
    <w:rsid w:val="00787261"/>
    <w:rPr>
      <w:sz w:val="24"/>
      <w:szCs w:val="24"/>
    </w:rPr>
  </w:style>
  <w:style w:type="paragraph" w:styleId="NoSpacing">
    <w:name w:val="No Spacing"/>
    <w:uiPriority w:val="1"/>
    <w:qFormat/>
    <w:rsid w:val="00787261"/>
    <w:rPr>
      <w:rFonts w:eastAsiaTheme="minorHAnsi" w:cstheme="minorBidi"/>
      <w:sz w:val="24"/>
      <w:szCs w:val="22"/>
    </w:rPr>
  </w:style>
  <w:style w:type="character" w:customStyle="1" w:styleId="HeaderChar">
    <w:name w:val="Header Char"/>
    <w:basedOn w:val="DefaultParagraphFont"/>
    <w:link w:val="Header"/>
    <w:uiPriority w:val="99"/>
    <w:rsid w:val="00787261"/>
    <w:rPr>
      <w:sz w:val="24"/>
      <w:szCs w:val="24"/>
    </w:rPr>
  </w:style>
  <w:style w:type="numbering" w:styleId="111111">
    <w:name w:val="Outline List 2"/>
    <w:basedOn w:val="NoList"/>
    <w:rsid w:val="00787261"/>
    <w:pPr>
      <w:numPr>
        <w:numId w:val="5"/>
      </w:numPr>
    </w:pPr>
  </w:style>
  <w:style w:type="numbering" w:styleId="1ai">
    <w:name w:val="Outline List 1"/>
    <w:basedOn w:val="NoList"/>
    <w:rsid w:val="00787261"/>
    <w:pPr>
      <w:numPr>
        <w:numId w:val="7"/>
      </w:numPr>
    </w:pPr>
  </w:style>
  <w:style w:type="numbering" w:styleId="ArticleSection">
    <w:name w:val="Outline List 3"/>
    <w:basedOn w:val="NoList"/>
    <w:rsid w:val="00787261"/>
    <w:pPr>
      <w:numPr>
        <w:numId w:val="8"/>
      </w:numPr>
    </w:pPr>
  </w:style>
  <w:style w:type="paragraph" w:styleId="BlockText">
    <w:name w:val="Block Text"/>
    <w:basedOn w:val="Normal"/>
    <w:uiPriority w:val="99"/>
    <w:unhideWhenUsed/>
    <w:rsid w:val="00787261"/>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787261"/>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787261"/>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787261"/>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787261"/>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787261"/>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787261"/>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787261"/>
    <w:pPr>
      <w:ind w:firstLine="210"/>
    </w:pPr>
  </w:style>
  <w:style w:type="character" w:customStyle="1" w:styleId="BodyTextFirstIndent2Char">
    <w:name w:val="Body Text First Indent 2 Char"/>
    <w:basedOn w:val="BodyTextIndentChar"/>
    <w:link w:val="BodyTextFirstIndent2"/>
    <w:uiPriority w:val="99"/>
    <w:rsid w:val="00787261"/>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787261"/>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787261"/>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787261"/>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787261"/>
    <w:rPr>
      <w:rFonts w:asciiTheme="minorHAnsi" w:eastAsiaTheme="minorHAnsi" w:hAnsiTheme="minorHAnsi"/>
      <w:sz w:val="16"/>
      <w:szCs w:val="16"/>
    </w:rPr>
  </w:style>
  <w:style w:type="paragraph" w:styleId="Closing">
    <w:name w:val="Closing"/>
    <w:basedOn w:val="Normal"/>
    <w:link w:val="ClosingChar"/>
    <w:uiPriority w:val="99"/>
    <w:unhideWhenUsed/>
    <w:rsid w:val="00787261"/>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787261"/>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787261"/>
    <w:rPr>
      <w:rFonts w:asciiTheme="minorHAnsi" w:eastAsiaTheme="minorHAnsi" w:hAnsiTheme="minorHAnsi"/>
    </w:rPr>
  </w:style>
  <w:style w:type="character" w:customStyle="1" w:styleId="E-mailSignatureChar">
    <w:name w:val="E-mail Signature Char"/>
    <w:basedOn w:val="DefaultParagraphFont"/>
    <w:link w:val="E-mailSignature"/>
    <w:uiPriority w:val="99"/>
    <w:rsid w:val="00787261"/>
    <w:rPr>
      <w:rFonts w:asciiTheme="minorHAnsi" w:eastAsiaTheme="minorHAnsi" w:hAnsiTheme="minorHAnsi"/>
      <w:sz w:val="24"/>
      <w:szCs w:val="24"/>
    </w:rPr>
  </w:style>
  <w:style w:type="character" w:styleId="Emphasis">
    <w:name w:val="Emphasis"/>
    <w:basedOn w:val="DefaultParagraphFont"/>
    <w:uiPriority w:val="20"/>
    <w:qFormat/>
    <w:rsid w:val="00787261"/>
    <w:rPr>
      <w:rFonts w:asciiTheme="minorHAnsi" w:hAnsiTheme="minorHAnsi"/>
      <w:b/>
      <w:i/>
      <w:iCs/>
    </w:rPr>
  </w:style>
  <w:style w:type="paragraph" w:styleId="EnvelopeAddress">
    <w:name w:val="envelope address"/>
    <w:basedOn w:val="Normal"/>
    <w:uiPriority w:val="99"/>
    <w:unhideWhenUsed/>
    <w:rsid w:val="00787261"/>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787261"/>
    <w:rPr>
      <w:rFonts w:ascii="Arial" w:eastAsiaTheme="minorHAnsi" w:hAnsi="Arial" w:cs="Arial"/>
      <w:sz w:val="20"/>
      <w:szCs w:val="20"/>
    </w:rPr>
  </w:style>
  <w:style w:type="character" w:styleId="FollowedHyperlink">
    <w:name w:val="FollowedHyperlink"/>
    <w:basedOn w:val="DefaultParagraphFont"/>
    <w:uiPriority w:val="99"/>
    <w:unhideWhenUsed/>
    <w:rsid w:val="00787261"/>
    <w:rPr>
      <w:color w:val="800080"/>
      <w:u w:val="single"/>
    </w:rPr>
  </w:style>
  <w:style w:type="character" w:styleId="HTMLAcronym">
    <w:name w:val="HTML Acronym"/>
    <w:basedOn w:val="DefaultParagraphFont"/>
    <w:uiPriority w:val="99"/>
    <w:unhideWhenUsed/>
    <w:rsid w:val="00787261"/>
  </w:style>
  <w:style w:type="paragraph" w:styleId="HTMLAddress">
    <w:name w:val="HTML Address"/>
    <w:basedOn w:val="Normal"/>
    <w:link w:val="HTMLAddressChar"/>
    <w:uiPriority w:val="99"/>
    <w:unhideWhenUsed/>
    <w:rsid w:val="00787261"/>
    <w:rPr>
      <w:rFonts w:asciiTheme="minorHAnsi" w:eastAsiaTheme="minorHAnsi" w:hAnsiTheme="minorHAnsi"/>
      <w:i/>
      <w:iCs/>
    </w:rPr>
  </w:style>
  <w:style w:type="character" w:customStyle="1" w:styleId="HTMLAddressChar">
    <w:name w:val="HTML Address Char"/>
    <w:basedOn w:val="DefaultParagraphFont"/>
    <w:link w:val="HTMLAddress"/>
    <w:uiPriority w:val="99"/>
    <w:rsid w:val="00787261"/>
    <w:rPr>
      <w:rFonts w:asciiTheme="minorHAnsi" w:eastAsiaTheme="minorHAnsi" w:hAnsiTheme="minorHAnsi"/>
      <w:i/>
      <w:iCs/>
      <w:sz w:val="24"/>
      <w:szCs w:val="24"/>
    </w:rPr>
  </w:style>
  <w:style w:type="character" w:styleId="HTMLCite">
    <w:name w:val="HTML Cite"/>
    <w:basedOn w:val="DefaultParagraphFont"/>
    <w:uiPriority w:val="99"/>
    <w:unhideWhenUsed/>
    <w:rsid w:val="00787261"/>
    <w:rPr>
      <w:i/>
      <w:iCs/>
    </w:rPr>
  </w:style>
  <w:style w:type="character" w:styleId="HTMLCode">
    <w:name w:val="HTML Code"/>
    <w:basedOn w:val="DefaultParagraphFont"/>
    <w:uiPriority w:val="99"/>
    <w:unhideWhenUsed/>
    <w:rsid w:val="00787261"/>
    <w:rPr>
      <w:rFonts w:ascii="Courier New" w:hAnsi="Courier New" w:cs="Courier New"/>
      <w:sz w:val="20"/>
      <w:szCs w:val="20"/>
    </w:rPr>
  </w:style>
  <w:style w:type="character" w:styleId="HTMLDefinition">
    <w:name w:val="HTML Definition"/>
    <w:basedOn w:val="DefaultParagraphFont"/>
    <w:uiPriority w:val="99"/>
    <w:unhideWhenUsed/>
    <w:rsid w:val="00787261"/>
    <w:rPr>
      <w:i/>
      <w:iCs/>
    </w:rPr>
  </w:style>
  <w:style w:type="character" w:styleId="HTMLKeyboard">
    <w:name w:val="HTML Keyboard"/>
    <w:basedOn w:val="DefaultParagraphFont"/>
    <w:uiPriority w:val="99"/>
    <w:unhideWhenUsed/>
    <w:rsid w:val="00787261"/>
    <w:rPr>
      <w:rFonts w:ascii="Courier New" w:hAnsi="Courier New" w:cs="Courier New"/>
      <w:sz w:val="20"/>
      <w:szCs w:val="20"/>
    </w:rPr>
  </w:style>
  <w:style w:type="paragraph" w:styleId="HTMLPreformatted">
    <w:name w:val="HTML Preformatted"/>
    <w:basedOn w:val="Normal"/>
    <w:link w:val="HTMLPreformattedChar"/>
    <w:uiPriority w:val="99"/>
    <w:unhideWhenUsed/>
    <w:rsid w:val="00787261"/>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787261"/>
    <w:rPr>
      <w:rFonts w:ascii="Courier New" w:eastAsiaTheme="minorHAnsi" w:hAnsi="Courier New" w:cs="Courier New"/>
    </w:rPr>
  </w:style>
  <w:style w:type="character" w:styleId="HTMLSample">
    <w:name w:val="HTML Sample"/>
    <w:basedOn w:val="DefaultParagraphFont"/>
    <w:uiPriority w:val="99"/>
    <w:unhideWhenUsed/>
    <w:rsid w:val="00787261"/>
    <w:rPr>
      <w:rFonts w:ascii="Courier New" w:hAnsi="Courier New" w:cs="Courier New"/>
    </w:rPr>
  </w:style>
  <w:style w:type="character" w:styleId="HTMLTypewriter">
    <w:name w:val="HTML Typewriter"/>
    <w:basedOn w:val="DefaultParagraphFont"/>
    <w:uiPriority w:val="99"/>
    <w:unhideWhenUsed/>
    <w:rsid w:val="00787261"/>
    <w:rPr>
      <w:rFonts w:ascii="Courier New" w:hAnsi="Courier New" w:cs="Courier New"/>
      <w:sz w:val="20"/>
      <w:szCs w:val="20"/>
    </w:rPr>
  </w:style>
  <w:style w:type="character" w:styleId="HTMLVariable">
    <w:name w:val="HTML Variable"/>
    <w:basedOn w:val="DefaultParagraphFont"/>
    <w:uiPriority w:val="99"/>
    <w:unhideWhenUsed/>
    <w:rsid w:val="00787261"/>
    <w:rPr>
      <w:i/>
      <w:iCs/>
    </w:rPr>
  </w:style>
  <w:style w:type="character" w:styleId="Hyperlink">
    <w:name w:val="Hyperlink"/>
    <w:basedOn w:val="DefaultParagraphFont"/>
    <w:uiPriority w:val="99"/>
    <w:unhideWhenUsed/>
    <w:rsid w:val="00787261"/>
    <w:rPr>
      <w:color w:val="0000FF"/>
      <w:u w:val="single"/>
    </w:rPr>
  </w:style>
  <w:style w:type="character" w:styleId="LineNumber">
    <w:name w:val="line number"/>
    <w:basedOn w:val="DefaultParagraphFont"/>
    <w:uiPriority w:val="99"/>
    <w:unhideWhenUsed/>
    <w:rsid w:val="00787261"/>
  </w:style>
  <w:style w:type="paragraph" w:styleId="List">
    <w:name w:val="List"/>
    <w:basedOn w:val="Normal"/>
    <w:uiPriority w:val="99"/>
    <w:unhideWhenUsed/>
    <w:rsid w:val="00787261"/>
    <w:pPr>
      <w:ind w:left="360" w:hanging="360"/>
    </w:pPr>
    <w:rPr>
      <w:rFonts w:asciiTheme="minorHAnsi" w:eastAsiaTheme="minorHAnsi" w:hAnsiTheme="minorHAnsi"/>
    </w:rPr>
  </w:style>
  <w:style w:type="paragraph" w:styleId="List2">
    <w:name w:val="List 2"/>
    <w:basedOn w:val="Normal"/>
    <w:uiPriority w:val="99"/>
    <w:unhideWhenUsed/>
    <w:rsid w:val="00787261"/>
    <w:pPr>
      <w:ind w:left="720" w:hanging="360"/>
    </w:pPr>
    <w:rPr>
      <w:rFonts w:asciiTheme="minorHAnsi" w:eastAsiaTheme="minorHAnsi" w:hAnsiTheme="minorHAnsi"/>
    </w:rPr>
  </w:style>
  <w:style w:type="paragraph" w:styleId="List3">
    <w:name w:val="List 3"/>
    <w:basedOn w:val="Normal"/>
    <w:uiPriority w:val="99"/>
    <w:unhideWhenUsed/>
    <w:rsid w:val="00787261"/>
    <w:pPr>
      <w:ind w:left="1080" w:hanging="360"/>
    </w:pPr>
    <w:rPr>
      <w:rFonts w:asciiTheme="minorHAnsi" w:eastAsiaTheme="minorHAnsi" w:hAnsiTheme="minorHAnsi"/>
    </w:rPr>
  </w:style>
  <w:style w:type="paragraph" w:styleId="List4">
    <w:name w:val="List 4"/>
    <w:basedOn w:val="Normal"/>
    <w:uiPriority w:val="99"/>
    <w:unhideWhenUsed/>
    <w:rsid w:val="00787261"/>
    <w:pPr>
      <w:ind w:left="1440" w:hanging="360"/>
    </w:pPr>
    <w:rPr>
      <w:rFonts w:asciiTheme="minorHAnsi" w:eastAsiaTheme="minorHAnsi" w:hAnsiTheme="minorHAnsi"/>
    </w:rPr>
  </w:style>
  <w:style w:type="paragraph" w:styleId="List5">
    <w:name w:val="List 5"/>
    <w:basedOn w:val="Normal"/>
    <w:uiPriority w:val="99"/>
    <w:unhideWhenUsed/>
    <w:rsid w:val="00787261"/>
    <w:pPr>
      <w:ind w:left="1800" w:hanging="360"/>
    </w:pPr>
    <w:rPr>
      <w:rFonts w:asciiTheme="minorHAnsi" w:eastAsiaTheme="minorHAnsi" w:hAnsiTheme="minorHAnsi"/>
    </w:rPr>
  </w:style>
  <w:style w:type="paragraph" w:styleId="ListBullet">
    <w:name w:val="List Bullet"/>
    <w:basedOn w:val="Normal"/>
    <w:uiPriority w:val="99"/>
    <w:unhideWhenUsed/>
    <w:rsid w:val="00787261"/>
    <w:pPr>
      <w:numPr>
        <w:numId w:val="10"/>
      </w:numPr>
    </w:pPr>
    <w:rPr>
      <w:rFonts w:asciiTheme="minorHAnsi" w:eastAsiaTheme="minorHAnsi" w:hAnsiTheme="minorHAnsi"/>
    </w:rPr>
  </w:style>
  <w:style w:type="paragraph" w:styleId="ListBullet2">
    <w:name w:val="List Bullet 2"/>
    <w:basedOn w:val="Normal"/>
    <w:uiPriority w:val="99"/>
    <w:unhideWhenUsed/>
    <w:rsid w:val="00787261"/>
    <w:pPr>
      <w:numPr>
        <w:numId w:val="11"/>
      </w:numPr>
    </w:pPr>
    <w:rPr>
      <w:rFonts w:asciiTheme="minorHAnsi" w:eastAsiaTheme="minorHAnsi" w:hAnsiTheme="minorHAnsi"/>
    </w:rPr>
  </w:style>
  <w:style w:type="paragraph" w:styleId="ListBullet3">
    <w:name w:val="List Bullet 3"/>
    <w:basedOn w:val="Normal"/>
    <w:uiPriority w:val="99"/>
    <w:unhideWhenUsed/>
    <w:rsid w:val="00787261"/>
    <w:pPr>
      <w:numPr>
        <w:numId w:val="12"/>
      </w:numPr>
    </w:pPr>
    <w:rPr>
      <w:rFonts w:asciiTheme="minorHAnsi" w:eastAsiaTheme="minorHAnsi" w:hAnsiTheme="minorHAnsi"/>
    </w:rPr>
  </w:style>
  <w:style w:type="paragraph" w:styleId="ListBullet4">
    <w:name w:val="List Bullet 4"/>
    <w:basedOn w:val="Normal"/>
    <w:uiPriority w:val="99"/>
    <w:unhideWhenUsed/>
    <w:rsid w:val="00787261"/>
    <w:pPr>
      <w:numPr>
        <w:numId w:val="13"/>
      </w:numPr>
    </w:pPr>
    <w:rPr>
      <w:rFonts w:asciiTheme="minorHAnsi" w:eastAsiaTheme="minorHAnsi" w:hAnsiTheme="minorHAnsi"/>
    </w:rPr>
  </w:style>
  <w:style w:type="paragraph" w:styleId="ListBullet5">
    <w:name w:val="List Bullet 5"/>
    <w:basedOn w:val="Normal"/>
    <w:uiPriority w:val="99"/>
    <w:unhideWhenUsed/>
    <w:rsid w:val="00787261"/>
    <w:pPr>
      <w:numPr>
        <w:numId w:val="14"/>
      </w:numPr>
    </w:pPr>
    <w:rPr>
      <w:rFonts w:asciiTheme="minorHAnsi" w:eastAsiaTheme="minorHAnsi" w:hAnsiTheme="minorHAnsi"/>
    </w:rPr>
  </w:style>
  <w:style w:type="paragraph" w:styleId="ListContinue">
    <w:name w:val="List Continue"/>
    <w:basedOn w:val="Normal"/>
    <w:uiPriority w:val="99"/>
    <w:unhideWhenUsed/>
    <w:rsid w:val="00787261"/>
    <w:pPr>
      <w:spacing w:after="120"/>
      <w:ind w:left="360"/>
    </w:pPr>
    <w:rPr>
      <w:rFonts w:asciiTheme="minorHAnsi" w:eastAsiaTheme="minorHAnsi" w:hAnsiTheme="minorHAnsi"/>
    </w:rPr>
  </w:style>
  <w:style w:type="paragraph" w:styleId="ListContinue2">
    <w:name w:val="List Continue 2"/>
    <w:basedOn w:val="Normal"/>
    <w:uiPriority w:val="99"/>
    <w:unhideWhenUsed/>
    <w:rsid w:val="00787261"/>
    <w:pPr>
      <w:spacing w:after="120"/>
      <w:ind w:left="720"/>
    </w:pPr>
    <w:rPr>
      <w:rFonts w:asciiTheme="minorHAnsi" w:eastAsiaTheme="minorHAnsi" w:hAnsiTheme="minorHAnsi"/>
    </w:rPr>
  </w:style>
  <w:style w:type="paragraph" w:styleId="ListContinue3">
    <w:name w:val="List Continue 3"/>
    <w:basedOn w:val="Normal"/>
    <w:uiPriority w:val="99"/>
    <w:unhideWhenUsed/>
    <w:rsid w:val="00787261"/>
    <w:pPr>
      <w:spacing w:after="120"/>
      <w:ind w:left="1080"/>
    </w:pPr>
    <w:rPr>
      <w:rFonts w:asciiTheme="minorHAnsi" w:eastAsiaTheme="minorHAnsi" w:hAnsiTheme="minorHAnsi"/>
    </w:rPr>
  </w:style>
  <w:style w:type="paragraph" w:styleId="ListContinue4">
    <w:name w:val="List Continue 4"/>
    <w:basedOn w:val="Normal"/>
    <w:uiPriority w:val="99"/>
    <w:unhideWhenUsed/>
    <w:rsid w:val="00787261"/>
    <w:pPr>
      <w:spacing w:after="120"/>
      <w:ind w:left="1440"/>
    </w:pPr>
    <w:rPr>
      <w:rFonts w:asciiTheme="minorHAnsi" w:eastAsiaTheme="minorHAnsi" w:hAnsiTheme="minorHAnsi"/>
    </w:rPr>
  </w:style>
  <w:style w:type="paragraph" w:styleId="ListContinue5">
    <w:name w:val="List Continue 5"/>
    <w:basedOn w:val="Normal"/>
    <w:uiPriority w:val="99"/>
    <w:unhideWhenUsed/>
    <w:rsid w:val="00787261"/>
    <w:pPr>
      <w:spacing w:after="120"/>
      <w:ind w:left="1800"/>
    </w:pPr>
    <w:rPr>
      <w:rFonts w:asciiTheme="minorHAnsi" w:eastAsiaTheme="minorHAnsi" w:hAnsiTheme="minorHAnsi"/>
    </w:rPr>
  </w:style>
  <w:style w:type="paragraph" w:styleId="ListNumber">
    <w:name w:val="List Number"/>
    <w:basedOn w:val="Normal"/>
    <w:uiPriority w:val="99"/>
    <w:unhideWhenUsed/>
    <w:rsid w:val="00787261"/>
    <w:pPr>
      <w:numPr>
        <w:numId w:val="15"/>
      </w:numPr>
    </w:pPr>
    <w:rPr>
      <w:rFonts w:asciiTheme="minorHAnsi" w:eastAsiaTheme="minorHAnsi" w:hAnsiTheme="minorHAnsi"/>
    </w:rPr>
  </w:style>
  <w:style w:type="paragraph" w:styleId="ListNumber2">
    <w:name w:val="List Number 2"/>
    <w:basedOn w:val="Normal"/>
    <w:uiPriority w:val="99"/>
    <w:unhideWhenUsed/>
    <w:rsid w:val="00787261"/>
    <w:pPr>
      <w:numPr>
        <w:numId w:val="16"/>
      </w:numPr>
    </w:pPr>
    <w:rPr>
      <w:rFonts w:asciiTheme="minorHAnsi" w:eastAsiaTheme="minorHAnsi" w:hAnsiTheme="minorHAnsi"/>
    </w:rPr>
  </w:style>
  <w:style w:type="paragraph" w:styleId="ListNumber3">
    <w:name w:val="List Number 3"/>
    <w:basedOn w:val="Normal"/>
    <w:uiPriority w:val="99"/>
    <w:unhideWhenUsed/>
    <w:rsid w:val="00787261"/>
    <w:pPr>
      <w:numPr>
        <w:numId w:val="17"/>
      </w:numPr>
    </w:pPr>
    <w:rPr>
      <w:rFonts w:asciiTheme="minorHAnsi" w:eastAsiaTheme="minorHAnsi" w:hAnsiTheme="minorHAnsi"/>
    </w:rPr>
  </w:style>
  <w:style w:type="paragraph" w:styleId="ListNumber4">
    <w:name w:val="List Number 4"/>
    <w:basedOn w:val="Normal"/>
    <w:uiPriority w:val="99"/>
    <w:unhideWhenUsed/>
    <w:rsid w:val="00787261"/>
    <w:pPr>
      <w:numPr>
        <w:numId w:val="18"/>
      </w:numPr>
    </w:pPr>
    <w:rPr>
      <w:rFonts w:asciiTheme="minorHAnsi" w:eastAsiaTheme="minorHAnsi" w:hAnsiTheme="minorHAnsi"/>
    </w:rPr>
  </w:style>
  <w:style w:type="paragraph" w:styleId="ListNumber5">
    <w:name w:val="List Number 5"/>
    <w:basedOn w:val="Normal"/>
    <w:uiPriority w:val="99"/>
    <w:unhideWhenUsed/>
    <w:rsid w:val="00787261"/>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7872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787261"/>
    <w:rPr>
      <w:rFonts w:ascii="Arial" w:eastAsiaTheme="minorHAnsi" w:hAnsi="Arial" w:cs="Arial"/>
      <w:sz w:val="24"/>
      <w:szCs w:val="24"/>
      <w:shd w:val="pct20" w:color="auto" w:fill="auto"/>
    </w:rPr>
  </w:style>
  <w:style w:type="paragraph" w:styleId="NormalWeb">
    <w:name w:val="Normal (Web)"/>
    <w:basedOn w:val="Normal"/>
    <w:uiPriority w:val="99"/>
    <w:unhideWhenUsed/>
    <w:rsid w:val="00787261"/>
    <w:rPr>
      <w:rFonts w:asciiTheme="minorHAnsi" w:eastAsiaTheme="minorHAnsi" w:hAnsiTheme="minorHAnsi"/>
    </w:rPr>
  </w:style>
  <w:style w:type="paragraph" w:styleId="NormalIndent">
    <w:name w:val="Normal Indent"/>
    <w:basedOn w:val="Normal"/>
    <w:uiPriority w:val="99"/>
    <w:unhideWhenUsed/>
    <w:rsid w:val="00787261"/>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787261"/>
    <w:rPr>
      <w:rFonts w:asciiTheme="minorHAnsi" w:eastAsiaTheme="minorHAnsi" w:hAnsiTheme="minorHAnsi"/>
    </w:rPr>
  </w:style>
  <w:style w:type="character" w:customStyle="1" w:styleId="NoteHeadingChar">
    <w:name w:val="Note Heading Char"/>
    <w:basedOn w:val="DefaultParagraphFont"/>
    <w:link w:val="NoteHeading"/>
    <w:uiPriority w:val="99"/>
    <w:rsid w:val="00787261"/>
    <w:rPr>
      <w:rFonts w:asciiTheme="minorHAnsi" w:eastAsiaTheme="minorHAnsi" w:hAnsiTheme="minorHAnsi"/>
      <w:sz w:val="24"/>
      <w:szCs w:val="24"/>
    </w:rPr>
  </w:style>
  <w:style w:type="paragraph" w:styleId="PlainText">
    <w:name w:val="Plain Text"/>
    <w:basedOn w:val="Normal"/>
    <w:link w:val="PlainTextChar"/>
    <w:uiPriority w:val="99"/>
    <w:unhideWhenUsed/>
    <w:rsid w:val="00787261"/>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787261"/>
    <w:rPr>
      <w:rFonts w:ascii="Courier New" w:eastAsiaTheme="minorHAnsi" w:hAnsi="Courier New" w:cs="Courier New"/>
    </w:rPr>
  </w:style>
  <w:style w:type="paragraph" w:styleId="Salutation">
    <w:name w:val="Salutation"/>
    <w:basedOn w:val="Normal"/>
    <w:next w:val="Normal"/>
    <w:link w:val="SalutationChar"/>
    <w:uiPriority w:val="99"/>
    <w:unhideWhenUsed/>
    <w:rsid w:val="00787261"/>
    <w:rPr>
      <w:rFonts w:asciiTheme="minorHAnsi" w:eastAsiaTheme="minorHAnsi" w:hAnsiTheme="minorHAnsi"/>
    </w:rPr>
  </w:style>
  <w:style w:type="character" w:customStyle="1" w:styleId="SalutationChar">
    <w:name w:val="Salutation Char"/>
    <w:basedOn w:val="DefaultParagraphFont"/>
    <w:link w:val="Salutation"/>
    <w:uiPriority w:val="99"/>
    <w:rsid w:val="00787261"/>
    <w:rPr>
      <w:rFonts w:asciiTheme="minorHAnsi" w:eastAsiaTheme="minorHAnsi" w:hAnsiTheme="minorHAnsi"/>
      <w:sz w:val="24"/>
      <w:szCs w:val="24"/>
    </w:rPr>
  </w:style>
  <w:style w:type="paragraph" w:styleId="Signature">
    <w:name w:val="Signature"/>
    <w:basedOn w:val="Normal"/>
    <w:link w:val="SignatureChar"/>
    <w:uiPriority w:val="99"/>
    <w:unhideWhenUsed/>
    <w:rsid w:val="00787261"/>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787261"/>
    <w:rPr>
      <w:rFonts w:asciiTheme="minorHAnsi" w:eastAsiaTheme="minorHAnsi" w:hAnsiTheme="minorHAnsi"/>
      <w:sz w:val="24"/>
      <w:szCs w:val="24"/>
    </w:rPr>
  </w:style>
  <w:style w:type="character" w:styleId="Strong">
    <w:name w:val="Strong"/>
    <w:basedOn w:val="DefaultParagraphFont"/>
    <w:uiPriority w:val="22"/>
    <w:qFormat/>
    <w:rsid w:val="00787261"/>
    <w:rPr>
      <w:b/>
      <w:bCs/>
    </w:rPr>
  </w:style>
  <w:style w:type="paragraph" w:styleId="Subtitle">
    <w:name w:val="Subtitle"/>
    <w:basedOn w:val="Normal"/>
    <w:next w:val="Normal"/>
    <w:link w:val="SubtitleChar"/>
    <w:uiPriority w:val="11"/>
    <w:qFormat/>
    <w:rsid w:val="00787261"/>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787261"/>
    <w:rPr>
      <w:rFonts w:asciiTheme="majorHAnsi" w:eastAsiaTheme="majorEastAsia" w:hAnsiTheme="majorHAnsi" w:cs="Arial"/>
      <w:sz w:val="24"/>
      <w:szCs w:val="24"/>
    </w:rPr>
  </w:style>
  <w:style w:type="table" w:styleId="Table3Deffects1">
    <w:name w:val="Table 3D effects 1"/>
    <w:basedOn w:val="TableNormal"/>
    <w:rsid w:val="00787261"/>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87261"/>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87261"/>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726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8726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87261"/>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87261"/>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87261"/>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87261"/>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87261"/>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87261"/>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87261"/>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87261"/>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87261"/>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87261"/>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87261"/>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87261"/>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8726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87261"/>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87261"/>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87261"/>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87261"/>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87261"/>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87261"/>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87261"/>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87261"/>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8726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8726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87261"/>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8726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8726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87261"/>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87261"/>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87261"/>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87261"/>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87261"/>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87261"/>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87261"/>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87261"/>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87261"/>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787261"/>
    <w:rPr>
      <w:rFonts w:asciiTheme="majorHAnsi" w:eastAsiaTheme="majorEastAsia" w:hAnsiTheme="majorHAnsi" w:cs="Arial"/>
      <w:b/>
      <w:bCs/>
      <w:kern w:val="28"/>
      <w:sz w:val="32"/>
      <w:szCs w:val="32"/>
    </w:rPr>
  </w:style>
  <w:style w:type="paragraph" w:styleId="Caption">
    <w:name w:val="caption"/>
    <w:basedOn w:val="Normal"/>
    <w:next w:val="Normal"/>
    <w:uiPriority w:val="35"/>
    <w:rsid w:val="00787261"/>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787261"/>
    <w:rPr>
      <w:sz w:val="16"/>
      <w:szCs w:val="16"/>
    </w:rPr>
  </w:style>
  <w:style w:type="paragraph" w:styleId="CommentText">
    <w:name w:val="annotation text"/>
    <w:basedOn w:val="Normal"/>
    <w:link w:val="CommentTextChar"/>
    <w:uiPriority w:val="99"/>
    <w:unhideWhenUsed/>
    <w:rsid w:val="00787261"/>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787261"/>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787261"/>
    <w:rPr>
      <w:b/>
      <w:bCs/>
    </w:rPr>
  </w:style>
  <w:style w:type="character" w:customStyle="1" w:styleId="CommentSubjectChar">
    <w:name w:val="Comment Subject Char"/>
    <w:basedOn w:val="CommentTextChar"/>
    <w:link w:val="CommentSubject"/>
    <w:uiPriority w:val="99"/>
    <w:rsid w:val="00787261"/>
    <w:rPr>
      <w:rFonts w:asciiTheme="minorHAnsi" w:eastAsiaTheme="minorHAnsi" w:hAnsiTheme="minorHAnsi"/>
      <w:b/>
      <w:bCs/>
    </w:rPr>
  </w:style>
  <w:style w:type="paragraph" w:styleId="DocumentMap">
    <w:name w:val="Document Map"/>
    <w:basedOn w:val="Normal"/>
    <w:link w:val="DocumentMapChar"/>
    <w:uiPriority w:val="99"/>
    <w:unhideWhenUsed/>
    <w:rsid w:val="00787261"/>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787261"/>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787261"/>
    <w:rPr>
      <w:vertAlign w:val="superscript"/>
    </w:rPr>
  </w:style>
  <w:style w:type="paragraph" w:styleId="EndnoteText">
    <w:name w:val="endnote text"/>
    <w:basedOn w:val="Normal"/>
    <w:link w:val="EndnoteTextChar"/>
    <w:uiPriority w:val="99"/>
    <w:unhideWhenUsed/>
    <w:rsid w:val="00787261"/>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787261"/>
    <w:rPr>
      <w:rFonts w:asciiTheme="minorHAnsi" w:eastAsiaTheme="minorHAnsi" w:hAnsiTheme="minorHAnsi"/>
    </w:rPr>
  </w:style>
  <w:style w:type="paragraph" w:styleId="Index1">
    <w:name w:val="index 1"/>
    <w:basedOn w:val="Normal"/>
    <w:next w:val="Normal"/>
    <w:autoRedefine/>
    <w:uiPriority w:val="99"/>
    <w:unhideWhenUsed/>
    <w:rsid w:val="00787261"/>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787261"/>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787261"/>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787261"/>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787261"/>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787261"/>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787261"/>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787261"/>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787261"/>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787261"/>
    <w:rPr>
      <w:rFonts w:ascii="Arial" w:eastAsiaTheme="minorHAnsi" w:hAnsi="Arial" w:cs="Arial"/>
      <w:b/>
      <w:bCs/>
    </w:rPr>
  </w:style>
  <w:style w:type="paragraph" w:styleId="MacroText">
    <w:name w:val="macro"/>
    <w:link w:val="MacroTextChar"/>
    <w:uiPriority w:val="99"/>
    <w:unhideWhenUsed/>
    <w:rsid w:val="00787261"/>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787261"/>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787261"/>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787261"/>
    <w:rPr>
      <w:rFonts w:asciiTheme="minorHAnsi" w:eastAsiaTheme="minorHAnsi" w:hAnsiTheme="minorHAnsi"/>
    </w:rPr>
  </w:style>
  <w:style w:type="paragraph" w:styleId="TOAHeading">
    <w:name w:val="toa heading"/>
    <w:basedOn w:val="Normal"/>
    <w:next w:val="Normal"/>
    <w:uiPriority w:val="99"/>
    <w:unhideWhenUsed/>
    <w:rsid w:val="00787261"/>
    <w:pPr>
      <w:spacing w:before="120"/>
    </w:pPr>
    <w:rPr>
      <w:rFonts w:ascii="Arial" w:eastAsiaTheme="minorHAnsi" w:hAnsi="Arial" w:cs="Arial"/>
      <w:b/>
      <w:bCs/>
    </w:rPr>
  </w:style>
  <w:style w:type="paragraph" w:styleId="TOC1">
    <w:name w:val="toc 1"/>
    <w:basedOn w:val="Normal"/>
    <w:next w:val="Normal"/>
    <w:autoRedefine/>
    <w:uiPriority w:val="99"/>
    <w:unhideWhenUsed/>
    <w:rsid w:val="00787261"/>
    <w:rPr>
      <w:rFonts w:asciiTheme="minorHAnsi" w:eastAsiaTheme="minorHAnsi" w:hAnsiTheme="minorHAnsi"/>
    </w:rPr>
  </w:style>
  <w:style w:type="paragraph" w:styleId="TOC2">
    <w:name w:val="toc 2"/>
    <w:basedOn w:val="Normal"/>
    <w:next w:val="Normal"/>
    <w:autoRedefine/>
    <w:uiPriority w:val="99"/>
    <w:unhideWhenUsed/>
    <w:rsid w:val="00787261"/>
    <w:pPr>
      <w:ind w:left="240"/>
    </w:pPr>
    <w:rPr>
      <w:rFonts w:asciiTheme="minorHAnsi" w:eastAsiaTheme="minorHAnsi" w:hAnsiTheme="minorHAnsi"/>
    </w:rPr>
  </w:style>
  <w:style w:type="paragraph" w:styleId="TOC3">
    <w:name w:val="toc 3"/>
    <w:basedOn w:val="Normal"/>
    <w:next w:val="Normal"/>
    <w:autoRedefine/>
    <w:uiPriority w:val="99"/>
    <w:unhideWhenUsed/>
    <w:rsid w:val="00787261"/>
    <w:pPr>
      <w:ind w:left="480"/>
    </w:pPr>
    <w:rPr>
      <w:rFonts w:asciiTheme="minorHAnsi" w:eastAsiaTheme="minorHAnsi" w:hAnsiTheme="minorHAnsi"/>
    </w:rPr>
  </w:style>
  <w:style w:type="paragraph" w:styleId="TOC4">
    <w:name w:val="toc 4"/>
    <w:basedOn w:val="Normal"/>
    <w:next w:val="Normal"/>
    <w:autoRedefine/>
    <w:uiPriority w:val="99"/>
    <w:unhideWhenUsed/>
    <w:rsid w:val="00787261"/>
    <w:pPr>
      <w:ind w:left="720"/>
    </w:pPr>
    <w:rPr>
      <w:rFonts w:asciiTheme="minorHAnsi" w:eastAsiaTheme="minorHAnsi" w:hAnsiTheme="minorHAnsi"/>
    </w:rPr>
  </w:style>
  <w:style w:type="paragraph" w:styleId="TOC5">
    <w:name w:val="toc 5"/>
    <w:basedOn w:val="Normal"/>
    <w:next w:val="Normal"/>
    <w:autoRedefine/>
    <w:uiPriority w:val="99"/>
    <w:unhideWhenUsed/>
    <w:rsid w:val="00787261"/>
    <w:pPr>
      <w:ind w:left="960"/>
    </w:pPr>
    <w:rPr>
      <w:rFonts w:asciiTheme="minorHAnsi" w:eastAsiaTheme="minorHAnsi" w:hAnsiTheme="minorHAnsi"/>
    </w:rPr>
  </w:style>
  <w:style w:type="paragraph" w:styleId="TOC6">
    <w:name w:val="toc 6"/>
    <w:basedOn w:val="Normal"/>
    <w:next w:val="Normal"/>
    <w:autoRedefine/>
    <w:uiPriority w:val="99"/>
    <w:unhideWhenUsed/>
    <w:rsid w:val="00787261"/>
    <w:pPr>
      <w:ind w:left="1200"/>
    </w:pPr>
    <w:rPr>
      <w:rFonts w:asciiTheme="minorHAnsi" w:eastAsiaTheme="minorHAnsi" w:hAnsiTheme="minorHAnsi"/>
    </w:rPr>
  </w:style>
  <w:style w:type="paragraph" w:styleId="TOC7">
    <w:name w:val="toc 7"/>
    <w:basedOn w:val="Normal"/>
    <w:next w:val="Normal"/>
    <w:autoRedefine/>
    <w:uiPriority w:val="99"/>
    <w:unhideWhenUsed/>
    <w:rsid w:val="00787261"/>
    <w:pPr>
      <w:ind w:left="1440"/>
    </w:pPr>
    <w:rPr>
      <w:rFonts w:asciiTheme="minorHAnsi" w:eastAsiaTheme="minorHAnsi" w:hAnsiTheme="minorHAnsi"/>
    </w:rPr>
  </w:style>
  <w:style w:type="paragraph" w:styleId="TOC8">
    <w:name w:val="toc 8"/>
    <w:basedOn w:val="Normal"/>
    <w:next w:val="Normal"/>
    <w:autoRedefine/>
    <w:uiPriority w:val="99"/>
    <w:unhideWhenUsed/>
    <w:rsid w:val="00787261"/>
    <w:pPr>
      <w:ind w:left="1680"/>
    </w:pPr>
    <w:rPr>
      <w:rFonts w:asciiTheme="minorHAnsi" w:eastAsiaTheme="minorHAnsi" w:hAnsiTheme="minorHAnsi"/>
    </w:rPr>
  </w:style>
  <w:style w:type="paragraph" w:styleId="TOC9">
    <w:name w:val="toc 9"/>
    <w:basedOn w:val="Normal"/>
    <w:next w:val="Normal"/>
    <w:autoRedefine/>
    <w:uiPriority w:val="99"/>
    <w:unhideWhenUsed/>
    <w:rsid w:val="00787261"/>
    <w:pPr>
      <w:ind w:left="1920"/>
    </w:pPr>
    <w:rPr>
      <w:rFonts w:asciiTheme="minorHAnsi" w:eastAsiaTheme="minorHAnsi" w:hAnsiTheme="minorHAnsi"/>
    </w:rPr>
  </w:style>
  <w:style w:type="paragraph" w:styleId="Quote">
    <w:name w:val="Quote"/>
    <w:basedOn w:val="Normal"/>
    <w:next w:val="Normal"/>
    <w:link w:val="QuoteChar"/>
    <w:uiPriority w:val="29"/>
    <w:qFormat/>
    <w:rsid w:val="00787261"/>
    <w:rPr>
      <w:rFonts w:asciiTheme="minorHAnsi" w:eastAsiaTheme="minorHAnsi" w:hAnsiTheme="minorHAnsi"/>
      <w:i/>
    </w:rPr>
  </w:style>
  <w:style w:type="character" w:customStyle="1" w:styleId="QuoteChar">
    <w:name w:val="Quote Char"/>
    <w:basedOn w:val="DefaultParagraphFont"/>
    <w:link w:val="Quote"/>
    <w:uiPriority w:val="29"/>
    <w:rsid w:val="00787261"/>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78726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787261"/>
    <w:rPr>
      <w:rFonts w:asciiTheme="minorHAnsi" w:eastAsiaTheme="minorHAnsi" w:hAnsiTheme="minorHAnsi"/>
      <w:b/>
      <w:i/>
      <w:sz w:val="24"/>
      <w:szCs w:val="22"/>
    </w:rPr>
  </w:style>
  <w:style w:type="character" w:styleId="SubtleEmphasis">
    <w:name w:val="Subtle Emphasis"/>
    <w:uiPriority w:val="19"/>
    <w:qFormat/>
    <w:rsid w:val="00787261"/>
    <w:rPr>
      <w:i/>
      <w:color w:val="5A5A5A" w:themeColor="text1" w:themeTint="A5"/>
    </w:rPr>
  </w:style>
  <w:style w:type="character" w:styleId="IntenseEmphasis">
    <w:name w:val="Intense Emphasis"/>
    <w:basedOn w:val="DefaultParagraphFont"/>
    <w:uiPriority w:val="21"/>
    <w:qFormat/>
    <w:rsid w:val="00787261"/>
    <w:rPr>
      <w:b/>
      <w:i/>
      <w:sz w:val="24"/>
      <w:szCs w:val="24"/>
      <w:u w:val="single"/>
    </w:rPr>
  </w:style>
  <w:style w:type="character" w:styleId="SubtleReference">
    <w:name w:val="Subtle Reference"/>
    <w:basedOn w:val="DefaultParagraphFont"/>
    <w:uiPriority w:val="31"/>
    <w:qFormat/>
    <w:rsid w:val="00787261"/>
    <w:rPr>
      <w:sz w:val="24"/>
      <w:szCs w:val="24"/>
      <w:u w:val="single"/>
    </w:rPr>
  </w:style>
  <w:style w:type="character" w:styleId="IntenseReference">
    <w:name w:val="Intense Reference"/>
    <w:basedOn w:val="DefaultParagraphFont"/>
    <w:uiPriority w:val="32"/>
    <w:qFormat/>
    <w:rsid w:val="00787261"/>
    <w:rPr>
      <w:b/>
      <w:sz w:val="24"/>
      <w:u w:val="single"/>
    </w:rPr>
  </w:style>
  <w:style w:type="character" w:styleId="BookTitle">
    <w:name w:val="Book Title"/>
    <w:basedOn w:val="DefaultParagraphFont"/>
    <w:uiPriority w:val="33"/>
    <w:qFormat/>
    <w:rsid w:val="007872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7261"/>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787261"/>
  </w:style>
  <w:style w:type="paragraph" w:customStyle="1" w:styleId="RecommendationMajorSectionHeading">
    <w:name w:val="Recommendation Major Section Heading"/>
    <w:basedOn w:val="Heading1"/>
    <w:next w:val="BodyText"/>
    <w:rsid w:val="00CC335C"/>
    <w:pPr>
      <w:numPr>
        <w:numId w:val="0"/>
      </w:numPr>
      <w:jc w:val="center"/>
    </w:pPr>
    <w:rPr>
      <w:rFonts w:ascii="Arial" w:hAnsi="Arial"/>
      <w:b/>
    </w:rPr>
  </w:style>
  <w:style w:type="paragraph" w:customStyle="1" w:styleId="Second-LevelSubheading">
    <w:name w:val="Second-Level Subheading"/>
    <w:basedOn w:val="Normal"/>
    <w:next w:val="BodyText"/>
    <w:qFormat/>
    <w:rsid w:val="00CC335C"/>
    <w:pPr>
      <w:ind w:left="720"/>
      <w:jc w:val="both"/>
      <w:outlineLvl w:val="3"/>
    </w:pPr>
    <w:rPr>
      <w:rFonts w:ascii="Arial" w:hAnsi="Arial" w:cs="Arial"/>
      <w:b/>
      <w:bCs/>
      <w:i/>
      <w:iCs/>
      <w:szCs w:val="28"/>
    </w:rPr>
  </w:style>
  <w:style w:type="paragraph" w:customStyle="1" w:styleId="First-LevelSubheading">
    <w:name w:val="First-Level Subheading"/>
    <w:basedOn w:val="Normal"/>
    <w:next w:val="BodyText"/>
    <w:qFormat/>
    <w:rsid w:val="00CC335C"/>
    <w:pPr>
      <w:jc w:val="both"/>
      <w:outlineLvl w:val="2"/>
    </w:pPr>
    <w:rPr>
      <w:rFonts w:ascii="Arial" w:hAnsi="Arial" w:cs="Arial"/>
      <w:b/>
      <w:bCs/>
      <w:iCs/>
      <w:szCs w:val="28"/>
    </w:rPr>
  </w:style>
  <w:style w:type="paragraph" w:customStyle="1" w:styleId="TableNumber">
    <w:name w:val="Table Number"/>
    <w:basedOn w:val="BodyText"/>
    <w:next w:val="BodyText"/>
    <w:qFormat/>
    <w:rsid w:val="00CC335C"/>
    <w:pPr>
      <w:spacing w:before="480" w:after="0"/>
      <w:jc w:val="center"/>
    </w:pPr>
    <w:rPr>
      <w:rFonts w:ascii="Arial" w:hAnsi="Arial"/>
      <w:b/>
    </w:rPr>
  </w:style>
  <w:style w:type="paragraph" w:customStyle="1" w:styleId="TableTitle">
    <w:name w:val="Table Title"/>
    <w:basedOn w:val="BodyText"/>
    <w:next w:val="BodyText"/>
    <w:qFormat/>
    <w:rsid w:val="00CC335C"/>
    <w:pPr>
      <w:spacing w:after="0"/>
      <w:jc w:val="center"/>
    </w:pPr>
    <w:rPr>
      <w:rFonts w:ascii="Arial" w:hAnsi="Arial"/>
      <w:b/>
    </w:rPr>
  </w:style>
  <w:style w:type="paragraph" w:customStyle="1" w:styleId="TableSource">
    <w:name w:val="Table Source"/>
    <w:basedOn w:val="BodyText"/>
    <w:next w:val="BodyText"/>
    <w:qFormat/>
    <w:rsid w:val="00CC335C"/>
    <w:pPr>
      <w:spacing w:after="480"/>
      <w:jc w:val="both"/>
    </w:pPr>
  </w:style>
  <w:style w:type="paragraph" w:customStyle="1" w:styleId="MemoAddresses">
    <w:name w:val="Memo Addresses"/>
    <w:basedOn w:val="Normal"/>
    <w:next w:val="Normal"/>
    <w:rsid w:val="0037228E"/>
    <w:pPr>
      <w:spacing w:before="120"/>
      <w:ind w:left="1008" w:hanging="100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0"/>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787261"/>
    <w:pPr>
      <w:autoSpaceDE w:val="0"/>
      <w:autoSpaceDN w:val="0"/>
      <w:adjustRightInd w:val="0"/>
      <w:ind w:left="1440"/>
    </w:pPr>
    <w:rPr>
      <w:sz w:val="24"/>
      <w:szCs w:val="24"/>
    </w:rPr>
  </w:style>
  <w:style w:type="paragraph" w:styleId="ListParagraph">
    <w:name w:val="List Paragraph"/>
    <w:basedOn w:val="Normal"/>
    <w:uiPriority w:val="34"/>
    <w:qFormat/>
    <w:rsid w:val="00787261"/>
    <w:pPr>
      <w:ind w:left="720"/>
      <w:contextualSpacing/>
    </w:pPr>
  </w:style>
  <w:style w:type="paragraph" w:styleId="Date">
    <w:name w:val="Date"/>
    <w:basedOn w:val="Normal"/>
    <w:next w:val="Normal"/>
    <w:link w:val="DateChar"/>
    <w:uiPriority w:val="99"/>
    <w:unhideWhenUsed/>
    <w:rsid w:val="00787261"/>
    <w:rPr>
      <w:rFonts w:ascii="Calibri" w:eastAsia="Calibri" w:hAnsi="Calibri"/>
    </w:rPr>
  </w:style>
  <w:style w:type="character" w:customStyle="1" w:styleId="DateChar">
    <w:name w:val="Date Char"/>
    <w:basedOn w:val="DefaultParagraphFont"/>
    <w:link w:val="Date"/>
    <w:uiPriority w:val="99"/>
    <w:rsid w:val="00787261"/>
    <w:rPr>
      <w:rFonts w:ascii="Calibri" w:eastAsia="Calibri" w:hAnsi="Calibri"/>
      <w:sz w:val="24"/>
      <w:szCs w:val="24"/>
    </w:rPr>
  </w:style>
  <w:style w:type="paragraph" w:styleId="BodyText2">
    <w:name w:val="Body Text 2"/>
    <w:basedOn w:val="Normal"/>
    <w:link w:val="BodyText2Char"/>
    <w:uiPriority w:val="99"/>
    <w:rsid w:val="00787261"/>
    <w:pPr>
      <w:spacing w:line="480" w:lineRule="auto"/>
      <w:ind w:firstLine="720"/>
      <w:jc w:val="both"/>
    </w:pPr>
  </w:style>
  <w:style w:type="character" w:customStyle="1" w:styleId="BodyText2Char">
    <w:name w:val="Body Text 2 Char"/>
    <w:basedOn w:val="DefaultParagraphFont"/>
    <w:link w:val="BodyText2"/>
    <w:rsid w:val="00787261"/>
    <w:rPr>
      <w:sz w:val="24"/>
      <w:szCs w:val="24"/>
    </w:rPr>
  </w:style>
  <w:style w:type="character" w:customStyle="1" w:styleId="WitnessandExhibitTableHeader">
    <w:name w:val="Witness and Exhibit Table Header"/>
    <w:rsid w:val="00787261"/>
    <w:rPr>
      <w:u w:val="single"/>
    </w:rPr>
  </w:style>
  <w:style w:type="paragraph" w:customStyle="1" w:styleId="PrehearingBody">
    <w:name w:val="Prehearing Body"/>
    <w:basedOn w:val="Normal"/>
    <w:link w:val="PrehearingBodyCharChar"/>
    <w:rsid w:val="00787261"/>
    <w:pPr>
      <w:spacing w:after="240"/>
      <w:ind w:firstLine="720"/>
      <w:jc w:val="both"/>
    </w:pPr>
    <w:rPr>
      <w:lang w:val="x-none" w:eastAsia="x-none"/>
    </w:rPr>
  </w:style>
  <w:style w:type="character" w:customStyle="1" w:styleId="PrehearingBodyCharChar">
    <w:name w:val="Prehearing Body Char Char"/>
    <w:link w:val="PrehearingBody"/>
    <w:rsid w:val="00787261"/>
    <w:rPr>
      <w:sz w:val="24"/>
      <w:szCs w:val="24"/>
      <w:lang w:val="x-none" w:eastAsia="x-none"/>
    </w:rPr>
  </w:style>
  <w:style w:type="paragraph" w:styleId="BalloonText">
    <w:name w:val="Balloon Text"/>
    <w:basedOn w:val="Normal"/>
    <w:link w:val="BalloonTextChar"/>
    <w:uiPriority w:val="99"/>
    <w:rsid w:val="00787261"/>
    <w:rPr>
      <w:rFonts w:ascii="Tahoma" w:hAnsi="Tahoma" w:cs="Tahoma"/>
      <w:sz w:val="16"/>
      <w:szCs w:val="16"/>
    </w:rPr>
  </w:style>
  <w:style w:type="character" w:customStyle="1" w:styleId="BalloonTextChar">
    <w:name w:val="Balloon Text Char"/>
    <w:basedOn w:val="DefaultParagraphFont"/>
    <w:link w:val="BalloonText"/>
    <w:rsid w:val="00787261"/>
    <w:rPr>
      <w:rFonts w:ascii="Tahoma" w:hAnsi="Tahoma" w:cs="Tahoma"/>
      <w:sz w:val="16"/>
      <w:szCs w:val="16"/>
    </w:rPr>
  </w:style>
  <w:style w:type="character" w:customStyle="1" w:styleId="FooterChar">
    <w:name w:val="Footer Char"/>
    <w:link w:val="Footer"/>
    <w:uiPriority w:val="99"/>
    <w:rsid w:val="00787261"/>
    <w:rPr>
      <w:sz w:val="24"/>
      <w:szCs w:val="24"/>
    </w:rPr>
  </w:style>
  <w:style w:type="paragraph" w:styleId="NoSpacing">
    <w:name w:val="No Spacing"/>
    <w:uiPriority w:val="1"/>
    <w:qFormat/>
    <w:rsid w:val="00787261"/>
    <w:rPr>
      <w:rFonts w:eastAsiaTheme="minorHAnsi" w:cstheme="minorBidi"/>
      <w:sz w:val="24"/>
      <w:szCs w:val="22"/>
    </w:rPr>
  </w:style>
  <w:style w:type="character" w:customStyle="1" w:styleId="HeaderChar">
    <w:name w:val="Header Char"/>
    <w:basedOn w:val="DefaultParagraphFont"/>
    <w:link w:val="Header"/>
    <w:uiPriority w:val="99"/>
    <w:rsid w:val="00787261"/>
    <w:rPr>
      <w:sz w:val="24"/>
      <w:szCs w:val="24"/>
    </w:rPr>
  </w:style>
  <w:style w:type="numbering" w:styleId="111111">
    <w:name w:val="Outline List 2"/>
    <w:basedOn w:val="NoList"/>
    <w:rsid w:val="00787261"/>
    <w:pPr>
      <w:numPr>
        <w:numId w:val="5"/>
      </w:numPr>
    </w:pPr>
  </w:style>
  <w:style w:type="numbering" w:styleId="1ai">
    <w:name w:val="Outline List 1"/>
    <w:basedOn w:val="NoList"/>
    <w:rsid w:val="00787261"/>
    <w:pPr>
      <w:numPr>
        <w:numId w:val="7"/>
      </w:numPr>
    </w:pPr>
  </w:style>
  <w:style w:type="numbering" w:styleId="ArticleSection">
    <w:name w:val="Outline List 3"/>
    <w:basedOn w:val="NoList"/>
    <w:rsid w:val="00787261"/>
    <w:pPr>
      <w:numPr>
        <w:numId w:val="8"/>
      </w:numPr>
    </w:pPr>
  </w:style>
  <w:style w:type="paragraph" w:styleId="BlockText">
    <w:name w:val="Block Text"/>
    <w:basedOn w:val="Normal"/>
    <w:uiPriority w:val="99"/>
    <w:unhideWhenUsed/>
    <w:rsid w:val="00787261"/>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787261"/>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787261"/>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787261"/>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787261"/>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787261"/>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787261"/>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787261"/>
    <w:pPr>
      <w:ind w:firstLine="210"/>
    </w:pPr>
  </w:style>
  <w:style w:type="character" w:customStyle="1" w:styleId="BodyTextFirstIndent2Char">
    <w:name w:val="Body Text First Indent 2 Char"/>
    <w:basedOn w:val="BodyTextIndentChar"/>
    <w:link w:val="BodyTextFirstIndent2"/>
    <w:uiPriority w:val="99"/>
    <w:rsid w:val="00787261"/>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787261"/>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787261"/>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787261"/>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787261"/>
    <w:rPr>
      <w:rFonts w:asciiTheme="minorHAnsi" w:eastAsiaTheme="minorHAnsi" w:hAnsiTheme="minorHAnsi"/>
      <w:sz w:val="16"/>
      <w:szCs w:val="16"/>
    </w:rPr>
  </w:style>
  <w:style w:type="paragraph" w:styleId="Closing">
    <w:name w:val="Closing"/>
    <w:basedOn w:val="Normal"/>
    <w:link w:val="ClosingChar"/>
    <w:uiPriority w:val="99"/>
    <w:unhideWhenUsed/>
    <w:rsid w:val="00787261"/>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787261"/>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787261"/>
    <w:rPr>
      <w:rFonts w:asciiTheme="minorHAnsi" w:eastAsiaTheme="minorHAnsi" w:hAnsiTheme="minorHAnsi"/>
    </w:rPr>
  </w:style>
  <w:style w:type="character" w:customStyle="1" w:styleId="E-mailSignatureChar">
    <w:name w:val="E-mail Signature Char"/>
    <w:basedOn w:val="DefaultParagraphFont"/>
    <w:link w:val="E-mailSignature"/>
    <w:uiPriority w:val="99"/>
    <w:rsid w:val="00787261"/>
    <w:rPr>
      <w:rFonts w:asciiTheme="minorHAnsi" w:eastAsiaTheme="minorHAnsi" w:hAnsiTheme="minorHAnsi"/>
      <w:sz w:val="24"/>
      <w:szCs w:val="24"/>
    </w:rPr>
  </w:style>
  <w:style w:type="character" w:styleId="Emphasis">
    <w:name w:val="Emphasis"/>
    <w:basedOn w:val="DefaultParagraphFont"/>
    <w:uiPriority w:val="20"/>
    <w:qFormat/>
    <w:rsid w:val="00787261"/>
    <w:rPr>
      <w:rFonts w:asciiTheme="minorHAnsi" w:hAnsiTheme="minorHAnsi"/>
      <w:b/>
      <w:i/>
      <w:iCs/>
    </w:rPr>
  </w:style>
  <w:style w:type="paragraph" w:styleId="EnvelopeAddress">
    <w:name w:val="envelope address"/>
    <w:basedOn w:val="Normal"/>
    <w:uiPriority w:val="99"/>
    <w:unhideWhenUsed/>
    <w:rsid w:val="00787261"/>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787261"/>
    <w:rPr>
      <w:rFonts w:ascii="Arial" w:eastAsiaTheme="minorHAnsi" w:hAnsi="Arial" w:cs="Arial"/>
      <w:sz w:val="20"/>
      <w:szCs w:val="20"/>
    </w:rPr>
  </w:style>
  <w:style w:type="character" w:styleId="FollowedHyperlink">
    <w:name w:val="FollowedHyperlink"/>
    <w:basedOn w:val="DefaultParagraphFont"/>
    <w:uiPriority w:val="99"/>
    <w:unhideWhenUsed/>
    <w:rsid w:val="00787261"/>
    <w:rPr>
      <w:color w:val="800080"/>
      <w:u w:val="single"/>
    </w:rPr>
  </w:style>
  <w:style w:type="character" w:styleId="HTMLAcronym">
    <w:name w:val="HTML Acronym"/>
    <w:basedOn w:val="DefaultParagraphFont"/>
    <w:uiPriority w:val="99"/>
    <w:unhideWhenUsed/>
    <w:rsid w:val="00787261"/>
  </w:style>
  <w:style w:type="paragraph" w:styleId="HTMLAddress">
    <w:name w:val="HTML Address"/>
    <w:basedOn w:val="Normal"/>
    <w:link w:val="HTMLAddressChar"/>
    <w:uiPriority w:val="99"/>
    <w:unhideWhenUsed/>
    <w:rsid w:val="00787261"/>
    <w:rPr>
      <w:rFonts w:asciiTheme="minorHAnsi" w:eastAsiaTheme="minorHAnsi" w:hAnsiTheme="minorHAnsi"/>
      <w:i/>
      <w:iCs/>
    </w:rPr>
  </w:style>
  <w:style w:type="character" w:customStyle="1" w:styleId="HTMLAddressChar">
    <w:name w:val="HTML Address Char"/>
    <w:basedOn w:val="DefaultParagraphFont"/>
    <w:link w:val="HTMLAddress"/>
    <w:uiPriority w:val="99"/>
    <w:rsid w:val="00787261"/>
    <w:rPr>
      <w:rFonts w:asciiTheme="minorHAnsi" w:eastAsiaTheme="minorHAnsi" w:hAnsiTheme="minorHAnsi"/>
      <w:i/>
      <w:iCs/>
      <w:sz w:val="24"/>
      <w:szCs w:val="24"/>
    </w:rPr>
  </w:style>
  <w:style w:type="character" w:styleId="HTMLCite">
    <w:name w:val="HTML Cite"/>
    <w:basedOn w:val="DefaultParagraphFont"/>
    <w:uiPriority w:val="99"/>
    <w:unhideWhenUsed/>
    <w:rsid w:val="00787261"/>
    <w:rPr>
      <w:i/>
      <w:iCs/>
    </w:rPr>
  </w:style>
  <w:style w:type="character" w:styleId="HTMLCode">
    <w:name w:val="HTML Code"/>
    <w:basedOn w:val="DefaultParagraphFont"/>
    <w:uiPriority w:val="99"/>
    <w:unhideWhenUsed/>
    <w:rsid w:val="00787261"/>
    <w:rPr>
      <w:rFonts w:ascii="Courier New" w:hAnsi="Courier New" w:cs="Courier New"/>
      <w:sz w:val="20"/>
      <w:szCs w:val="20"/>
    </w:rPr>
  </w:style>
  <w:style w:type="character" w:styleId="HTMLDefinition">
    <w:name w:val="HTML Definition"/>
    <w:basedOn w:val="DefaultParagraphFont"/>
    <w:uiPriority w:val="99"/>
    <w:unhideWhenUsed/>
    <w:rsid w:val="00787261"/>
    <w:rPr>
      <w:i/>
      <w:iCs/>
    </w:rPr>
  </w:style>
  <w:style w:type="character" w:styleId="HTMLKeyboard">
    <w:name w:val="HTML Keyboard"/>
    <w:basedOn w:val="DefaultParagraphFont"/>
    <w:uiPriority w:val="99"/>
    <w:unhideWhenUsed/>
    <w:rsid w:val="00787261"/>
    <w:rPr>
      <w:rFonts w:ascii="Courier New" w:hAnsi="Courier New" w:cs="Courier New"/>
      <w:sz w:val="20"/>
      <w:szCs w:val="20"/>
    </w:rPr>
  </w:style>
  <w:style w:type="paragraph" w:styleId="HTMLPreformatted">
    <w:name w:val="HTML Preformatted"/>
    <w:basedOn w:val="Normal"/>
    <w:link w:val="HTMLPreformattedChar"/>
    <w:uiPriority w:val="99"/>
    <w:unhideWhenUsed/>
    <w:rsid w:val="00787261"/>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787261"/>
    <w:rPr>
      <w:rFonts w:ascii="Courier New" w:eastAsiaTheme="minorHAnsi" w:hAnsi="Courier New" w:cs="Courier New"/>
    </w:rPr>
  </w:style>
  <w:style w:type="character" w:styleId="HTMLSample">
    <w:name w:val="HTML Sample"/>
    <w:basedOn w:val="DefaultParagraphFont"/>
    <w:uiPriority w:val="99"/>
    <w:unhideWhenUsed/>
    <w:rsid w:val="00787261"/>
    <w:rPr>
      <w:rFonts w:ascii="Courier New" w:hAnsi="Courier New" w:cs="Courier New"/>
    </w:rPr>
  </w:style>
  <w:style w:type="character" w:styleId="HTMLTypewriter">
    <w:name w:val="HTML Typewriter"/>
    <w:basedOn w:val="DefaultParagraphFont"/>
    <w:uiPriority w:val="99"/>
    <w:unhideWhenUsed/>
    <w:rsid w:val="00787261"/>
    <w:rPr>
      <w:rFonts w:ascii="Courier New" w:hAnsi="Courier New" w:cs="Courier New"/>
      <w:sz w:val="20"/>
      <w:szCs w:val="20"/>
    </w:rPr>
  </w:style>
  <w:style w:type="character" w:styleId="HTMLVariable">
    <w:name w:val="HTML Variable"/>
    <w:basedOn w:val="DefaultParagraphFont"/>
    <w:uiPriority w:val="99"/>
    <w:unhideWhenUsed/>
    <w:rsid w:val="00787261"/>
    <w:rPr>
      <w:i/>
      <w:iCs/>
    </w:rPr>
  </w:style>
  <w:style w:type="character" w:styleId="Hyperlink">
    <w:name w:val="Hyperlink"/>
    <w:basedOn w:val="DefaultParagraphFont"/>
    <w:uiPriority w:val="99"/>
    <w:unhideWhenUsed/>
    <w:rsid w:val="00787261"/>
    <w:rPr>
      <w:color w:val="0000FF"/>
      <w:u w:val="single"/>
    </w:rPr>
  </w:style>
  <w:style w:type="character" w:styleId="LineNumber">
    <w:name w:val="line number"/>
    <w:basedOn w:val="DefaultParagraphFont"/>
    <w:uiPriority w:val="99"/>
    <w:unhideWhenUsed/>
    <w:rsid w:val="00787261"/>
  </w:style>
  <w:style w:type="paragraph" w:styleId="List">
    <w:name w:val="List"/>
    <w:basedOn w:val="Normal"/>
    <w:uiPriority w:val="99"/>
    <w:unhideWhenUsed/>
    <w:rsid w:val="00787261"/>
    <w:pPr>
      <w:ind w:left="360" w:hanging="360"/>
    </w:pPr>
    <w:rPr>
      <w:rFonts w:asciiTheme="minorHAnsi" w:eastAsiaTheme="minorHAnsi" w:hAnsiTheme="minorHAnsi"/>
    </w:rPr>
  </w:style>
  <w:style w:type="paragraph" w:styleId="List2">
    <w:name w:val="List 2"/>
    <w:basedOn w:val="Normal"/>
    <w:uiPriority w:val="99"/>
    <w:unhideWhenUsed/>
    <w:rsid w:val="00787261"/>
    <w:pPr>
      <w:ind w:left="720" w:hanging="360"/>
    </w:pPr>
    <w:rPr>
      <w:rFonts w:asciiTheme="minorHAnsi" w:eastAsiaTheme="minorHAnsi" w:hAnsiTheme="minorHAnsi"/>
    </w:rPr>
  </w:style>
  <w:style w:type="paragraph" w:styleId="List3">
    <w:name w:val="List 3"/>
    <w:basedOn w:val="Normal"/>
    <w:uiPriority w:val="99"/>
    <w:unhideWhenUsed/>
    <w:rsid w:val="00787261"/>
    <w:pPr>
      <w:ind w:left="1080" w:hanging="360"/>
    </w:pPr>
    <w:rPr>
      <w:rFonts w:asciiTheme="minorHAnsi" w:eastAsiaTheme="minorHAnsi" w:hAnsiTheme="minorHAnsi"/>
    </w:rPr>
  </w:style>
  <w:style w:type="paragraph" w:styleId="List4">
    <w:name w:val="List 4"/>
    <w:basedOn w:val="Normal"/>
    <w:uiPriority w:val="99"/>
    <w:unhideWhenUsed/>
    <w:rsid w:val="00787261"/>
    <w:pPr>
      <w:ind w:left="1440" w:hanging="360"/>
    </w:pPr>
    <w:rPr>
      <w:rFonts w:asciiTheme="minorHAnsi" w:eastAsiaTheme="minorHAnsi" w:hAnsiTheme="minorHAnsi"/>
    </w:rPr>
  </w:style>
  <w:style w:type="paragraph" w:styleId="List5">
    <w:name w:val="List 5"/>
    <w:basedOn w:val="Normal"/>
    <w:uiPriority w:val="99"/>
    <w:unhideWhenUsed/>
    <w:rsid w:val="00787261"/>
    <w:pPr>
      <w:ind w:left="1800" w:hanging="360"/>
    </w:pPr>
    <w:rPr>
      <w:rFonts w:asciiTheme="minorHAnsi" w:eastAsiaTheme="minorHAnsi" w:hAnsiTheme="minorHAnsi"/>
    </w:rPr>
  </w:style>
  <w:style w:type="paragraph" w:styleId="ListBullet">
    <w:name w:val="List Bullet"/>
    <w:basedOn w:val="Normal"/>
    <w:uiPriority w:val="99"/>
    <w:unhideWhenUsed/>
    <w:rsid w:val="00787261"/>
    <w:pPr>
      <w:numPr>
        <w:numId w:val="10"/>
      </w:numPr>
    </w:pPr>
    <w:rPr>
      <w:rFonts w:asciiTheme="minorHAnsi" w:eastAsiaTheme="minorHAnsi" w:hAnsiTheme="minorHAnsi"/>
    </w:rPr>
  </w:style>
  <w:style w:type="paragraph" w:styleId="ListBullet2">
    <w:name w:val="List Bullet 2"/>
    <w:basedOn w:val="Normal"/>
    <w:uiPriority w:val="99"/>
    <w:unhideWhenUsed/>
    <w:rsid w:val="00787261"/>
    <w:pPr>
      <w:numPr>
        <w:numId w:val="11"/>
      </w:numPr>
    </w:pPr>
    <w:rPr>
      <w:rFonts w:asciiTheme="minorHAnsi" w:eastAsiaTheme="minorHAnsi" w:hAnsiTheme="minorHAnsi"/>
    </w:rPr>
  </w:style>
  <w:style w:type="paragraph" w:styleId="ListBullet3">
    <w:name w:val="List Bullet 3"/>
    <w:basedOn w:val="Normal"/>
    <w:uiPriority w:val="99"/>
    <w:unhideWhenUsed/>
    <w:rsid w:val="00787261"/>
    <w:pPr>
      <w:numPr>
        <w:numId w:val="12"/>
      </w:numPr>
    </w:pPr>
    <w:rPr>
      <w:rFonts w:asciiTheme="minorHAnsi" w:eastAsiaTheme="minorHAnsi" w:hAnsiTheme="minorHAnsi"/>
    </w:rPr>
  </w:style>
  <w:style w:type="paragraph" w:styleId="ListBullet4">
    <w:name w:val="List Bullet 4"/>
    <w:basedOn w:val="Normal"/>
    <w:uiPriority w:val="99"/>
    <w:unhideWhenUsed/>
    <w:rsid w:val="00787261"/>
    <w:pPr>
      <w:numPr>
        <w:numId w:val="13"/>
      </w:numPr>
    </w:pPr>
    <w:rPr>
      <w:rFonts w:asciiTheme="minorHAnsi" w:eastAsiaTheme="minorHAnsi" w:hAnsiTheme="minorHAnsi"/>
    </w:rPr>
  </w:style>
  <w:style w:type="paragraph" w:styleId="ListBullet5">
    <w:name w:val="List Bullet 5"/>
    <w:basedOn w:val="Normal"/>
    <w:uiPriority w:val="99"/>
    <w:unhideWhenUsed/>
    <w:rsid w:val="00787261"/>
    <w:pPr>
      <w:numPr>
        <w:numId w:val="14"/>
      </w:numPr>
    </w:pPr>
    <w:rPr>
      <w:rFonts w:asciiTheme="minorHAnsi" w:eastAsiaTheme="minorHAnsi" w:hAnsiTheme="minorHAnsi"/>
    </w:rPr>
  </w:style>
  <w:style w:type="paragraph" w:styleId="ListContinue">
    <w:name w:val="List Continue"/>
    <w:basedOn w:val="Normal"/>
    <w:uiPriority w:val="99"/>
    <w:unhideWhenUsed/>
    <w:rsid w:val="00787261"/>
    <w:pPr>
      <w:spacing w:after="120"/>
      <w:ind w:left="360"/>
    </w:pPr>
    <w:rPr>
      <w:rFonts w:asciiTheme="minorHAnsi" w:eastAsiaTheme="minorHAnsi" w:hAnsiTheme="minorHAnsi"/>
    </w:rPr>
  </w:style>
  <w:style w:type="paragraph" w:styleId="ListContinue2">
    <w:name w:val="List Continue 2"/>
    <w:basedOn w:val="Normal"/>
    <w:uiPriority w:val="99"/>
    <w:unhideWhenUsed/>
    <w:rsid w:val="00787261"/>
    <w:pPr>
      <w:spacing w:after="120"/>
      <w:ind w:left="720"/>
    </w:pPr>
    <w:rPr>
      <w:rFonts w:asciiTheme="minorHAnsi" w:eastAsiaTheme="minorHAnsi" w:hAnsiTheme="minorHAnsi"/>
    </w:rPr>
  </w:style>
  <w:style w:type="paragraph" w:styleId="ListContinue3">
    <w:name w:val="List Continue 3"/>
    <w:basedOn w:val="Normal"/>
    <w:uiPriority w:val="99"/>
    <w:unhideWhenUsed/>
    <w:rsid w:val="00787261"/>
    <w:pPr>
      <w:spacing w:after="120"/>
      <w:ind w:left="1080"/>
    </w:pPr>
    <w:rPr>
      <w:rFonts w:asciiTheme="minorHAnsi" w:eastAsiaTheme="minorHAnsi" w:hAnsiTheme="minorHAnsi"/>
    </w:rPr>
  </w:style>
  <w:style w:type="paragraph" w:styleId="ListContinue4">
    <w:name w:val="List Continue 4"/>
    <w:basedOn w:val="Normal"/>
    <w:uiPriority w:val="99"/>
    <w:unhideWhenUsed/>
    <w:rsid w:val="00787261"/>
    <w:pPr>
      <w:spacing w:after="120"/>
      <w:ind w:left="1440"/>
    </w:pPr>
    <w:rPr>
      <w:rFonts w:asciiTheme="minorHAnsi" w:eastAsiaTheme="minorHAnsi" w:hAnsiTheme="minorHAnsi"/>
    </w:rPr>
  </w:style>
  <w:style w:type="paragraph" w:styleId="ListContinue5">
    <w:name w:val="List Continue 5"/>
    <w:basedOn w:val="Normal"/>
    <w:uiPriority w:val="99"/>
    <w:unhideWhenUsed/>
    <w:rsid w:val="00787261"/>
    <w:pPr>
      <w:spacing w:after="120"/>
      <w:ind w:left="1800"/>
    </w:pPr>
    <w:rPr>
      <w:rFonts w:asciiTheme="minorHAnsi" w:eastAsiaTheme="minorHAnsi" w:hAnsiTheme="minorHAnsi"/>
    </w:rPr>
  </w:style>
  <w:style w:type="paragraph" w:styleId="ListNumber">
    <w:name w:val="List Number"/>
    <w:basedOn w:val="Normal"/>
    <w:uiPriority w:val="99"/>
    <w:unhideWhenUsed/>
    <w:rsid w:val="00787261"/>
    <w:pPr>
      <w:numPr>
        <w:numId w:val="15"/>
      </w:numPr>
    </w:pPr>
    <w:rPr>
      <w:rFonts w:asciiTheme="minorHAnsi" w:eastAsiaTheme="minorHAnsi" w:hAnsiTheme="minorHAnsi"/>
    </w:rPr>
  </w:style>
  <w:style w:type="paragraph" w:styleId="ListNumber2">
    <w:name w:val="List Number 2"/>
    <w:basedOn w:val="Normal"/>
    <w:uiPriority w:val="99"/>
    <w:unhideWhenUsed/>
    <w:rsid w:val="00787261"/>
    <w:pPr>
      <w:numPr>
        <w:numId w:val="16"/>
      </w:numPr>
    </w:pPr>
    <w:rPr>
      <w:rFonts w:asciiTheme="minorHAnsi" w:eastAsiaTheme="minorHAnsi" w:hAnsiTheme="minorHAnsi"/>
    </w:rPr>
  </w:style>
  <w:style w:type="paragraph" w:styleId="ListNumber3">
    <w:name w:val="List Number 3"/>
    <w:basedOn w:val="Normal"/>
    <w:uiPriority w:val="99"/>
    <w:unhideWhenUsed/>
    <w:rsid w:val="00787261"/>
    <w:pPr>
      <w:numPr>
        <w:numId w:val="17"/>
      </w:numPr>
    </w:pPr>
    <w:rPr>
      <w:rFonts w:asciiTheme="minorHAnsi" w:eastAsiaTheme="minorHAnsi" w:hAnsiTheme="minorHAnsi"/>
    </w:rPr>
  </w:style>
  <w:style w:type="paragraph" w:styleId="ListNumber4">
    <w:name w:val="List Number 4"/>
    <w:basedOn w:val="Normal"/>
    <w:uiPriority w:val="99"/>
    <w:unhideWhenUsed/>
    <w:rsid w:val="00787261"/>
    <w:pPr>
      <w:numPr>
        <w:numId w:val="18"/>
      </w:numPr>
    </w:pPr>
    <w:rPr>
      <w:rFonts w:asciiTheme="minorHAnsi" w:eastAsiaTheme="minorHAnsi" w:hAnsiTheme="minorHAnsi"/>
    </w:rPr>
  </w:style>
  <w:style w:type="paragraph" w:styleId="ListNumber5">
    <w:name w:val="List Number 5"/>
    <w:basedOn w:val="Normal"/>
    <w:uiPriority w:val="99"/>
    <w:unhideWhenUsed/>
    <w:rsid w:val="00787261"/>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7872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787261"/>
    <w:rPr>
      <w:rFonts w:ascii="Arial" w:eastAsiaTheme="minorHAnsi" w:hAnsi="Arial" w:cs="Arial"/>
      <w:sz w:val="24"/>
      <w:szCs w:val="24"/>
      <w:shd w:val="pct20" w:color="auto" w:fill="auto"/>
    </w:rPr>
  </w:style>
  <w:style w:type="paragraph" w:styleId="NormalWeb">
    <w:name w:val="Normal (Web)"/>
    <w:basedOn w:val="Normal"/>
    <w:uiPriority w:val="99"/>
    <w:unhideWhenUsed/>
    <w:rsid w:val="00787261"/>
    <w:rPr>
      <w:rFonts w:asciiTheme="minorHAnsi" w:eastAsiaTheme="minorHAnsi" w:hAnsiTheme="minorHAnsi"/>
    </w:rPr>
  </w:style>
  <w:style w:type="paragraph" w:styleId="NormalIndent">
    <w:name w:val="Normal Indent"/>
    <w:basedOn w:val="Normal"/>
    <w:uiPriority w:val="99"/>
    <w:unhideWhenUsed/>
    <w:rsid w:val="00787261"/>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787261"/>
    <w:rPr>
      <w:rFonts w:asciiTheme="minorHAnsi" w:eastAsiaTheme="minorHAnsi" w:hAnsiTheme="minorHAnsi"/>
    </w:rPr>
  </w:style>
  <w:style w:type="character" w:customStyle="1" w:styleId="NoteHeadingChar">
    <w:name w:val="Note Heading Char"/>
    <w:basedOn w:val="DefaultParagraphFont"/>
    <w:link w:val="NoteHeading"/>
    <w:uiPriority w:val="99"/>
    <w:rsid w:val="00787261"/>
    <w:rPr>
      <w:rFonts w:asciiTheme="minorHAnsi" w:eastAsiaTheme="minorHAnsi" w:hAnsiTheme="minorHAnsi"/>
      <w:sz w:val="24"/>
      <w:szCs w:val="24"/>
    </w:rPr>
  </w:style>
  <w:style w:type="paragraph" w:styleId="PlainText">
    <w:name w:val="Plain Text"/>
    <w:basedOn w:val="Normal"/>
    <w:link w:val="PlainTextChar"/>
    <w:uiPriority w:val="99"/>
    <w:unhideWhenUsed/>
    <w:rsid w:val="00787261"/>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787261"/>
    <w:rPr>
      <w:rFonts w:ascii="Courier New" w:eastAsiaTheme="minorHAnsi" w:hAnsi="Courier New" w:cs="Courier New"/>
    </w:rPr>
  </w:style>
  <w:style w:type="paragraph" w:styleId="Salutation">
    <w:name w:val="Salutation"/>
    <w:basedOn w:val="Normal"/>
    <w:next w:val="Normal"/>
    <w:link w:val="SalutationChar"/>
    <w:uiPriority w:val="99"/>
    <w:unhideWhenUsed/>
    <w:rsid w:val="00787261"/>
    <w:rPr>
      <w:rFonts w:asciiTheme="minorHAnsi" w:eastAsiaTheme="minorHAnsi" w:hAnsiTheme="minorHAnsi"/>
    </w:rPr>
  </w:style>
  <w:style w:type="character" w:customStyle="1" w:styleId="SalutationChar">
    <w:name w:val="Salutation Char"/>
    <w:basedOn w:val="DefaultParagraphFont"/>
    <w:link w:val="Salutation"/>
    <w:uiPriority w:val="99"/>
    <w:rsid w:val="00787261"/>
    <w:rPr>
      <w:rFonts w:asciiTheme="minorHAnsi" w:eastAsiaTheme="minorHAnsi" w:hAnsiTheme="minorHAnsi"/>
      <w:sz w:val="24"/>
      <w:szCs w:val="24"/>
    </w:rPr>
  </w:style>
  <w:style w:type="paragraph" w:styleId="Signature">
    <w:name w:val="Signature"/>
    <w:basedOn w:val="Normal"/>
    <w:link w:val="SignatureChar"/>
    <w:uiPriority w:val="99"/>
    <w:unhideWhenUsed/>
    <w:rsid w:val="00787261"/>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787261"/>
    <w:rPr>
      <w:rFonts w:asciiTheme="minorHAnsi" w:eastAsiaTheme="minorHAnsi" w:hAnsiTheme="minorHAnsi"/>
      <w:sz w:val="24"/>
      <w:szCs w:val="24"/>
    </w:rPr>
  </w:style>
  <w:style w:type="character" w:styleId="Strong">
    <w:name w:val="Strong"/>
    <w:basedOn w:val="DefaultParagraphFont"/>
    <w:uiPriority w:val="22"/>
    <w:qFormat/>
    <w:rsid w:val="00787261"/>
    <w:rPr>
      <w:b/>
      <w:bCs/>
    </w:rPr>
  </w:style>
  <w:style w:type="paragraph" w:styleId="Subtitle">
    <w:name w:val="Subtitle"/>
    <w:basedOn w:val="Normal"/>
    <w:next w:val="Normal"/>
    <w:link w:val="SubtitleChar"/>
    <w:uiPriority w:val="11"/>
    <w:qFormat/>
    <w:rsid w:val="00787261"/>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787261"/>
    <w:rPr>
      <w:rFonts w:asciiTheme="majorHAnsi" w:eastAsiaTheme="majorEastAsia" w:hAnsiTheme="majorHAnsi" w:cs="Arial"/>
      <w:sz w:val="24"/>
      <w:szCs w:val="24"/>
    </w:rPr>
  </w:style>
  <w:style w:type="table" w:styleId="Table3Deffects1">
    <w:name w:val="Table 3D effects 1"/>
    <w:basedOn w:val="TableNormal"/>
    <w:rsid w:val="00787261"/>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87261"/>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87261"/>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726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8726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87261"/>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87261"/>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87261"/>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87261"/>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87261"/>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87261"/>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87261"/>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87261"/>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87261"/>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87261"/>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87261"/>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87261"/>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8726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87261"/>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87261"/>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87261"/>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87261"/>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87261"/>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87261"/>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87261"/>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87261"/>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8726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8726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87261"/>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8726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8726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87261"/>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87261"/>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8726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87261"/>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87261"/>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87261"/>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87261"/>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87261"/>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87261"/>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87261"/>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787261"/>
    <w:rPr>
      <w:rFonts w:asciiTheme="majorHAnsi" w:eastAsiaTheme="majorEastAsia" w:hAnsiTheme="majorHAnsi" w:cs="Arial"/>
      <w:b/>
      <w:bCs/>
      <w:kern w:val="28"/>
      <w:sz w:val="32"/>
      <w:szCs w:val="32"/>
    </w:rPr>
  </w:style>
  <w:style w:type="paragraph" w:styleId="Caption">
    <w:name w:val="caption"/>
    <w:basedOn w:val="Normal"/>
    <w:next w:val="Normal"/>
    <w:uiPriority w:val="35"/>
    <w:rsid w:val="00787261"/>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787261"/>
    <w:rPr>
      <w:sz w:val="16"/>
      <w:szCs w:val="16"/>
    </w:rPr>
  </w:style>
  <w:style w:type="paragraph" w:styleId="CommentText">
    <w:name w:val="annotation text"/>
    <w:basedOn w:val="Normal"/>
    <w:link w:val="CommentTextChar"/>
    <w:uiPriority w:val="99"/>
    <w:unhideWhenUsed/>
    <w:rsid w:val="00787261"/>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787261"/>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787261"/>
    <w:rPr>
      <w:b/>
      <w:bCs/>
    </w:rPr>
  </w:style>
  <w:style w:type="character" w:customStyle="1" w:styleId="CommentSubjectChar">
    <w:name w:val="Comment Subject Char"/>
    <w:basedOn w:val="CommentTextChar"/>
    <w:link w:val="CommentSubject"/>
    <w:uiPriority w:val="99"/>
    <w:rsid w:val="00787261"/>
    <w:rPr>
      <w:rFonts w:asciiTheme="minorHAnsi" w:eastAsiaTheme="minorHAnsi" w:hAnsiTheme="minorHAnsi"/>
      <w:b/>
      <w:bCs/>
    </w:rPr>
  </w:style>
  <w:style w:type="paragraph" w:styleId="DocumentMap">
    <w:name w:val="Document Map"/>
    <w:basedOn w:val="Normal"/>
    <w:link w:val="DocumentMapChar"/>
    <w:uiPriority w:val="99"/>
    <w:unhideWhenUsed/>
    <w:rsid w:val="00787261"/>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787261"/>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787261"/>
    <w:rPr>
      <w:vertAlign w:val="superscript"/>
    </w:rPr>
  </w:style>
  <w:style w:type="paragraph" w:styleId="EndnoteText">
    <w:name w:val="endnote text"/>
    <w:basedOn w:val="Normal"/>
    <w:link w:val="EndnoteTextChar"/>
    <w:uiPriority w:val="99"/>
    <w:unhideWhenUsed/>
    <w:rsid w:val="00787261"/>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787261"/>
    <w:rPr>
      <w:rFonts w:asciiTheme="minorHAnsi" w:eastAsiaTheme="minorHAnsi" w:hAnsiTheme="minorHAnsi"/>
    </w:rPr>
  </w:style>
  <w:style w:type="paragraph" w:styleId="Index1">
    <w:name w:val="index 1"/>
    <w:basedOn w:val="Normal"/>
    <w:next w:val="Normal"/>
    <w:autoRedefine/>
    <w:uiPriority w:val="99"/>
    <w:unhideWhenUsed/>
    <w:rsid w:val="00787261"/>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787261"/>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787261"/>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787261"/>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787261"/>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787261"/>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787261"/>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787261"/>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787261"/>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787261"/>
    <w:rPr>
      <w:rFonts w:ascii="Arial" w:eastAsiaTheme="minorHAnsi" w:hAnsi="Arial" w:cs="Arial"/>
      <w:b/>
      <w:bCs/>
    </w:rPr>
  </w:style>
  <w:style w:type="paragraph" w:styleId="MacroText">
    <w:name w:val="macro"/>
    <w:link w:val="MacroTextChar"/>
    <w:uiPriority w:val="99"/>
    <w:unhideWhenUsed/>
    <w:rsid w:val="00787261"/>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787261"/>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787261"/>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787261"/>
    <w:rPr>
      <w:rFonts w:asciiTheme="minorHAnsi" w:eastAsiaTheme="minorHAnsi" w:hAnsiTheme="minorHAnsi"/>
    </w:rPr>
  </w:style>
  <w:style w:type="paragraph" w:styleId="TOAHeading">
    <w:name w:val="toa heading"/>
    <w:basedOn w:val="Normal"/>
    <w:next w:val="Normal"/>
    <w:uiPriority w:val="99"/>
    <w:unhideWhenUsed/>
    <w:rsid w:val="00787261"/>
    <w:pPr>
      <w:spacing w:before="120"/>
    </w:pPr>
    <w:rPr>
      <w:rFonts w:ascii="Arial" w:eastAsiaTheme="minorHAnsi" w:hAnsi="Arial" w:cs="Arial"/>
      <w:b/>
      <w:bCs/>
    </w:rPr>
  </w:style>
  <w:style w:type="paragraph" w:styleId="TOC1">
    <w:name w:val="toc 1"/>
    <w:basedOn w:val="Normal"/>
    <w:next w:val="Normal"/>
    <w:autoRedefine/>
    <w:uiPriority w:val="99"/>
    <w:unhideWhenUsed/>
    <w:rsid w:val="00787261"/>
    <w:rPr>
      <w:rFonts w:asciiTheme="minorHAnsi" w:eastAsiaTheme="minorHAnsi" w:hAnsiTheme="minorHAnsi"/>
    </w:rPr>
  </w:style>
  <w:style w:type="paragraph" w:styleId="TOC2">
    <w:name w:val="toc 2"/>
    <w:basedOn w:val="Normal"/>
    <w:next w:val="Normal"/>
    <w:autoRedefine/>
    <w:uiPriority w:val="99"/>
    <w:unhideWhenUsed/>
    <w:rsid w:val="00787261"/>
    <w:pPr>
      <w:ind w:left="240"/>
    </w:pPr>
    <w:rPr>
      <w:rFonts w:asciiTheme="minorHAnsi" w:eastAsiaTheme="minorHAnsi" w:hAnsiTheme="minorHAnsi"/>
    </w:rPr>
  </w:style>
  <w:style w:type="paragraph" w:styleId="TOC3">
    <w:name w:val="toc 3"/>
    <w:basedOn w:val="Normal"/>
    <w:next w:val="Normal"/>
    <w:autoRedefine/>
    <w:uiPriority w:val="99"/>
    <w:unhideWhenUsed/>
    <w:rsid w:val="00787261"/>
    <w:pPr>
      <w:ind w:left="480"/>
    </w:pPr>
    <w:rPr>
      <w:rFonts w:asciiTheme="minorHAnsi" w:eastAsiaTheme="minorHAnsi" w:hAnsiTheme="minorHAnsi"/>
    </w:rPr>
  </w:style>
  <w:style w:type="paragraph" w:styleId="TOC4">
    <w:name w:val="toc 4"/>
    <w:basedOn w:val="Normal"/>
    <w:next w:val="Normal"/>
    <w:autoRedefine/>
    <w:uiPriority w:val="99"/>
    <w:unhideWhenUsed/>
    <w:rsid w:val="00787261"/>
    <w:pPr>
      <w:ind w:left="720"/>
    </w:pPr>
    <w:rPr>
      <w:rFonts w:asciiTheme="minorHAnsi" w:eastAsiaTheme="minorHAnsi" w:hAnsiTheme="minorHAnsi"/>
    </w:rPr>
  </w:style>
  <w:style w:type="paragraph" w:styleId="TOC5">
    <w:name w:val="toc 5"/>
    <w:basedOn w:val="Normal"/>
    <w:next w:val="Normal"/>
    <w:autoRedefine/>
    <w:uiPriority w:val="99"/>
    <w:unhideWhenUsed/>
    <w:rsid w:val="00787261"/>
    <w:pPr>
      <w:ind w:left="960"/>
    </w:pPr>
    <w:rPr>
      <w:rFonts w:asciiTheme="minorHAnsi" w:eastAsiaTheme="minorHAnsi" w:hAnsiTheme="minorHAnsi"/>
    </w:rPr>
  </w:style>
  <w:style w:type="paragraph" w:styleId="TOC6">
    <w:name w:val="toc 6"/>
    <w:basedOn w:val="Normal"/>
    <w:next w:val="Normal"/>
    <w:autoRedefine/>
    <w:uiPriority w:val="99"/>
    <w:unhideWhenUsed/>
    <w:rsid w:val="00787261"/>
    <w:pPr>
      <w:ind w:left="1200"/>
    </w:pPr>
    <w:rPr>
      <w:rFonts w:asciiTheme="minorHAnsi" w:eastAsiaTheme="minorHAnsi" w:hAnsiTheme="minorHAnsi"/>
    </w:rPr>
  </w:style>
  <w:style w:type="paragraph" w:styleId="TOC7">
    <w:name w:val="toc 7"/>
    <w:basedOn w:val="Normal"/>
    <w:next w:val="Normal"/>
    <w:autoRedefine/>
    <w:uiPriority w:val="99"/>
    <w:unhideWhenUsed/>
    <w:rsid w:val="00787261"/>
    <w:pPr>
      <w:ind w:left="1440"/>
    </w:pPr>
    <w:rPr>
      <w:rFonts w:asciiTheme="minorHAnsi" w:eastAsiaTheme="minorHAnsi" w:hAnsiTheme="minorHAnsi"/>
    </w:rPr>
  </w:style>
  <w:style w:type="paragraph" w:styleId="TOC8">
    <w:name w:val="toc 8"/>
    <w:basedOn w:val="Normal"/>
    <w:next w:val="Normal"/>
    <w:autoRedefine/>
    <w:uiPriority w:val="99"/>
    <w:unhideWhenUsed/>
    <w:rsid w:val="00787261"/>
    <w:pPr>
      <w:ind w:left="1680"/>
    </w:pPr>
    <w:rPr>
      <w:rFonts w:asciiTheme="minorHAnsi" w:eastAsiaTheme="minorHAnsi" w:hAnsiTheme="minorHAnsi"/>
    </w:rPr>
  </w:style>
  <w:style w:type="paragraph" w:styleId="TOC9">
    <w:name w:val="toc 9"/>
    <w:basedOn w:val="Normal"/>
    <w:next w:val="Normal"/>
    <w:autoRedefine/>
    <w:uiPriority w:val="99"/>
    <w:unhideWhenUsed/>
    <w:rsid w:val="00787261"/>
    <w:pPr>
      <w:ind w:left="1920"/>
    </w:pPr>
    <w:rPr>
      <w:rFonts w:asciiTheme="minorHAnsi" w:eastAsiaTheme="minorHAnsi" w:hAnsiTheme="minorHAnsi"/>
    </w:rPr>
  </w:style>
  <w:style w:type="paragraph" w:styleId="Quote">
    <w:name w:val="Quote"/>
    <w:basedOn w:val="Normal"/>
    <w:next w:val="Normal"/>
    <w:link w:val="QuoteChar"/>
    <w:uiPriority w:val="29"/>
    <w:qFormat/>
    <w:rsid w:val="00787261"/>
    <w:rPr>
      <w:rFonts w:asciiTheme="minorHAnsi" w:eastAsiaTheme="minorHAnsi" w:hAnsiTheme="minorHAnsi"/>
      <w:i/>
    </w:rPr>
  </w:style>
  <w:style w:type="character" w:customStyle="1" w:styleId="QuoteChar">
    <w:name w:val="Quote Char"/>
    <w:basedOn w:val="DefaultParagraphFont"/>
    <w:link w:val="Quote"/>
    <w:uiPriority w:val="29"/>
    <w:rsid w:val="00787261"/>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78726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787261"/>
    <w:rPr>
      <w:rFonts w:asciiTheme="minorHAnsi" w:eastAsiaTheme="minorHAnsi" w:hAnsiTheme="minorHAnsi"/>
      <w:b/>
      <w:i/>
      <w:sz w:val="24"/>
      <w:szCs w:val="22"/>
    </w:rPr>
  </w:style>
  <w:style w:type="character" w:styleId="SubtleEmphasis">
    <w:name w:val="Subtle Emphasis"/>
    <w:uiPriority w:val="19"/>
    <w:qFormat/>
    <w:rsid w:val="00787261"/>
    <w:rPr>
      <w:i/>
      <w:color w:val="5A5A5A" w:themeColor="text1" w:themeTint="A5"/>
    </w:rPr>
  </w:style>
  <w:style w:type="character" w:styleId="IntenseEmphasis">
    <w:name w:val="Intense Emphasis"/>
    <w:basedOn w:val="DefaultParagraphFont"/>
    <w:uiPriority w:val="21"/>
    <w:qFormat/>
    <w:rsid w:val="00787261"/>
    <w:rPr>
      <w:b/>
      <w:i/>
      <w:sz w:val="24"/>
      <w:szCs w:val="24"/>
      <w:u w:val="single"/>
    </w:rPr>
  </w:style>
  <w:style w:type="character" w:styleId="SubtleReference">
    <w:name w:val="Subtle Reference"/>
    <w:basedOn w:val="DefaultParagraphFont"/>
    <w:uiPriority w:val="31"/>
    <w:qFormat/>
    <w:rsid w:val="00787261"/>
    <w:rPr>
      <w:sz w:val="24"/>
      <w:szCs w:val="24"/>
      <w:u w:val="single"/>
    </w:rPr>
  </w:style>
  <w:style w:type="character" w:styleId="IntenseReference">
    <w:name w:val="Intense Reference"/>
    <w:basedOn w:val="DefaultParagraphFont"/>
    <w:uiPriority w:val="32"/>
    <w:qFormat/>
    <w:rsid w:val="00787261"/>
    <w:rPr>
      <w:b/>
      <w:sz w:val="24"/>
      <w:u w:val="single"/>
    </w:rPr>
  </w:style>
  <w:style w:type="character" w:styleId="BookTitle">
    <w:name w:val="Book Title"/>
    <w:basedOn w:val="DefaultParagraphFont"/>
    <w:uiPriority w:val="33"/>
    <w:qFormat/>
    <w:rsid w:val="007872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7261"/>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787261"/>
  </w:style>
  <w:style w:type="paragraph" w:customStyle="1" w:styleId="RecommendationMajorSectionHeading">
    <w:name w:val="Recommendation Major Section Heading"/>
    <w:basedOn w:val="Heading1"/>
    <w:next w:val="BodyText"/>
    <w:rsid w:val="00CC335C"/>
    <w:pPr>
      <w:numPr>
        <w:numId w:val="0"/>
      </w:numPr>
      <w:jc w:val="center"/>
    </w:pPr>
    <w:rPr>
      <w:rFonts w:ascii="Arial" w:hAnsi="Arial"/>
      <w:b/>
    </w:rPr>
  </w:style>
  <w:style w:type="paragraph" w:customStyle="1" w:styleId="Second-LevelSubheading">
    <w:name w:val="Second-Level Subheading"/>
    <w:basedOn w:val="Normal"/>
    <w:next w:val="BodyText"/>
    <w:qFormat/>
    <w:rsid w:val="00CC335C"/>
    <w:pPr>
      <w:ind w:left="720"/>
      <w:jc w:val="both"/>
      <w:outlineLvl w:val="3"/>
    </w:pPr>
    <w:rPr>
      <w:rFonts w:ascii="Arial" w:hAnsi="Arial" w:cs="Arial"/>
      <w:b/>
      <w:bCs/>
      <w:i/>
      <w:iCs/>
      <w:szCs w:val="28"/>
    </w:rPr>
  </w:style>
  <w:style w:type="paragraph" w:customStyle="1" w:styleId="First-LevelSubheading">
    <w:name w:val="First-Level Subheading"/>
    <w:basedOn w:val="Normal"/>
    <w:next w:val="BodyText"/>
    <w:qFormat/>
    <w:rsid w:val="00CC335C"/>
    <w:pPr>
      <w:jc w:val="both"/>
      <w:outlineLvl w:val="2"/>
    </w:pPr>
    <w:rPr>
      <w:rFonts w:ascii="Arial" w:hAnsi="Arial" w:cs="Arial"/>
      <w:b/>
      <w:bCs/>
      <w:iCs/>
      <w:szCs w:val="28"/>
    </w:rPr>
  </w:style>
  <w:style w:type="paragraph" w:customStyle="1" w:styleId="TableNumber">
    <w:name w:val="Table Number"/>
    <w:basedOn w:val="BodyText"/>
    <w:next w:val="BodyText"/>
    <w:qFormat/>
    <w:rsid w:val="00CC335C"/>
    <w:pPr>
      <w:spacing w:before="480" w:after="0"/>
      <w:jc w:val="center"/>
    </w:pPr>
    <w:rPr>
      <w:rFonts w:ascii="Arial" w:hAnsi="Arial"/>
      <w:b/>
    </w:rPr>
  </w:style>
  <w:style w:type="paragraph" w:customStyle="1" w:styleId="TableTitle">
    <w:name w:val="Table Title"/>
    <w:basedOn w:val="BodyText"/>
    <w:next w:val="BodyText"/>
    <w:qFormat/>
    <w:rsid w:val="00CC335C"/>
    <w:pPr>
      <w:spacing w:after="0"/>
      <w:jc w:val="center"/>
    </w:pPr>
    <w:rPr>
      <w:rFonts w:ascii="Arial" w:hAnsi="Arial"/>
      <w:b/>
    </w:rPr>
  </w:style>
  <w:style w:type="paragraph" w:customStyle="1" w:styleId="TableSource">
    <w:name w:val="Table Source"/>
    <w:basedOn w:val="BodyText"/>
    <w:next w:val="BodyText"/>
    <w:qFormat/>
    <w:rsid w:val="00CC335C"/>
    <w:pPr>
      <w:spacing w:after="480"/>
      <w:jc w:val="both"/>
    </w:pPr>
  </w:style>
  <w:style w:type="paragraph" w:customStyle="1" w:styleId="MemoAddresses">
    <w:name w:val="Memo Addresses"/>
    <w:basedOn w:val="Normal"/>
    <w:next w:val="Normal"/>
    <w:rsid w:val="0037228E"/>
    <w:pPr>
      <w:spacing w:before="120"/>
      <w:ind w:left="1008" w:hanging="10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EB8A-3D8D-49ED-9C72-EBEE2903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52</Pages>
  <Words>15250</Words>
  <Characters>85345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2018-12-21T21:44:00Z</dcterms:created>
  <dcterms:modified xsi:type="dcterms:W3CDTF">2018-12-26T13:46:00Z</dcterms:modified>
</cp:coreProperties>
</file>