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D218E" w:rsidP="00BD218E">
      <w:pPr>
        <w:pStyle w:val="OrderHeading"/>
      </w:pPr>
      <w:r>
        <w:t>BEFORE THE FLORIDA PUBLIC SERVICE COMMISSION</w:t>
      </w:r>
    </w:p>
    <w:p w:rsidR="00BD218E" w:rsidRDefault="00BD218E" w:rsidP="00BD218E">
      <w:pPr>
        <w:pStyle w:val="OrderBody"/>
      </w:pPr>
    </w:p>
    <w:p w:rsidR="00BD218E" w:rsidRDefault="00BD218E" w:rsidP="00BD21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D218E" w:rsidRPr="00C63FCF" w:rsidTr="00C63FCF">
        <w:trPr>
          <w:trHeight w:val="828"/>
        </w:trPr>
        <w:tc>
          <w:tcPr>
            <w:tcW w:w="4788" w:type="dxa"/>
            <w:tcBorders>
              <w:bottom w:val="single" w:sz="8" w:space="0" w:color="auto"/>
              <w:right w:val="double" w:sz="6" w:space="0" w:color="auto"/>
            </w:tcBorders>
            <w:shd w:val="clear" w:color="auto" w:fill="auto"/>
          </w:tcPr>
          <w:p w:rsidR="00BD218E" w:rsidRDefault="00BD218E" w:rsidP="00C63FCF">
            <w:pPr>
              <w:pStyle w:val="OrderBody"/>
              <w:tabs>
                <w:tab w:val="center" w:pos="4320"/>
                <w:tab w:val="right" w:pos="8640"/>
              </w:tabs>
              <w:jc w:val="left"/>
            </w:pPr>
            <w:r>
              <w:t xml:space="preserve">In re: </w:t>
            </w:r>
            <w:bookmarkStart w:id="0" w:name="SSInRe"/>
            <w:bookmarkEnd w:id="0"/>
            <w:r>
              <w:t>Petition for declaratory statement regarding PURPA solar qualifying facility power purchase agreements, by Duke Energy Florida, LLC.</w:t>
            </w:r>
          </w:p>
        </w:tc>
        <w:tc>
          <w:tcPr>
            <w:tcW w:w="4788" w:type="dxa"/>
            <w:tcBorders>
              <w:left w:val="double" w:sz="6" w:space="0" w:color="auto"/>
            </w:tcBorders>
            <w:shd w:val="clear" w:color="auto" w:fill="auto"/>
          </w:tcPr>
          <w:p w:rsidR="00BD218E" w:rsidRDefault="00BD218E" w:rsidP="00BD218E">
            <w:pPr>
              <w:pStyle w:val="OrderBody"/>
            </w:pPr>
            <w:r>
              <w:t xml:space="preserve">DOCKET NO. </w:t>
            </w:r>
            <w:bookmarkStart w:id="1" w:name="SSDocketNo"/>
            <w:bookmarkEnd w:id="1"/>
            <w:r>
              <w:t>20180169-EQ</w:t>
            </w:r>
          </w:p>
          <w:p w:rsidR="00BD218E" w:rsidRDefault="00BD218E" w:rsidP="00C63FCF">
            <w:pPr>
              <w:pStyle w:val="OrderBody"/>
              <w:tabs>
                <w:tab w:val="center" w:pos="4320"/>
                <w:tab w:val="right" w:pos="8640"/>
              </w:tabs>
              <w:jc w:val="left"/>
            </w:pPr>
            <w:r>
              <w:t xml:space="preserve">ORDER NO. </w:t>
            </w:r>
            <w:bookmarkStart w:id="2" w:name="OrderNo0037"/>
            <w:r w:rsidR="00CA50C3">
              <w:t>PSC-2019-0037-PCO-EQ</w:t>
            </w:r>
            <w:bookmarkEnd w:id="2"/>
          </w:p>
          <w:p w:rsidR="00BD218E" w:rsidRDefault="00BD218E" w:rsidP="00C63FCF">
            <w:pPr>
              <w:pStyle w:val="OrderBody"/>
              <w:tabs>
                <w:tab w:val="center" w:pos="4320"/>
                <w:tab w:val="right" w:pos="8640"/>
              </w:tabs>
              <w:jc w:val="left"/>
            </w:pPr>
            <w:r>
              <w:t xml:space="preserve">ISSUED: </w:t>
            </w:r>
            <w:r w:rsidR="00CA50C3">
              <w:t>January 14, 2019</w:t>
            </w:r>
          </w:p>
        </w:tc>
      </w:tr>
    </w:tbl>
    <w:p w:rsidR="00BD218E" w:rsidRDefault="00BD218E" w:rsidP="00BD218E"/>
    <w:p w:rsidR="00BD218E" w:rsidRDefault="00BD218E" w:rsidP="00BD218E"/>
    <w:p w:rsidR="0046249A" w:rsidRDefault="00BD218E" w:rsidP="00BD218E">
      <w:pPr>
        <w:pStyle w:val="CenterUnderline"/>
      </w:pPr>
      <w:bookmarkStart w:id="3" w:name="Commissioners"/>
      <w:bookmarkEnd w:id="3"/>
      <w:r>
        <w:t>ORDER</w:t>
      </w:r>
      <w:bookmarkStart w:id="4" w:name="OrderTitle"/>
      <w:r>
        <w:t xml:space="preserve"> </w:t>
      </w:r>
      <w:r w:rsidR="0046249A">
        <w:t>GRANTING SOLAR ENERGY INDUSTRIES ASSOCIATION’S</w:t>
      </w:r>
    </w:p>
    <w:p w:rsidR="00CB5276" w:rsidRDefault="0046249A" w:rsidP="00BD218E">
      <w:pPr>
        <w:pStyle w:val="CenterUnderline"/>
      </w:pPr>
      <w:r>
        <w:t>PETITION TO INTERVENE</w:t>
      </w:r>
      <w:r w:rsidR="00BD218E">
        <w:t xml:space="preserve"> </w:t>
      </w:r>
      <w:bookmarkEnd w:id="4"/>
    </w:p>
    <w:p w:rsidR="00BD218E" w:rsidRDefault="00BD218E" w:rsidP="00BD218E">
      <w:pPr>
        <w:pStyle w:val="CenterUnderline"/>
      </w:pPr>
    </w:p>
    <w:p w:rsidR="00BD218E" w:rsidRDefault="0046249A" w:rsidP="00BD218E">
      <w:pPr>
        <w:pStyle w:val="OrderBody"/>
      </w:pPr>
      <w:r>
        <w:tab/>
        <w:t>On September 7, 2018, Duke Energy Florida, LLC (“DEF”) filed a Petition for Declaratory Statement.  DEF requests the Commission to declare that a negotiated term of two years is an appropriate contract length for a 100 percent levelized or fixed price in a Public Utility Regulatory Policies Act of 1978 (“PURPA”) solar qualifying facility (“QF”) power purchase agreement.</w:t>
      </w:r>
    </w:p>
    <w:p w:rsidR="0046249A" w:rsidRDefault="0046249A" w:rsidP="00BD218E">
      <w:pPr>
        <w:pStyle w:val="OrderBody"/>
      </w:pPr>
    </w:p>
    <w:p w:rsidR="0046249A" w:rsidRPr="0046249A" w:rsidRDefault="0046249A" w:rsidP="00BD218E">
      <w:pPr>
        <w:pStyle w:val="OrderBody"/>
        <w:rPr>
          <w:u w:val="single"/>
        </w:rPr>
      </w:pPr>
      <w:r w:rsidRPr="0046249A">
        <w:rPr>
          <w:u w:val="single"/>
        </w:rPr>
        <w:t>Petition to Intervene</w:t>
      </w:r>
    </w:p>
    <w:p w:rsidR="00BD218E" w:rsidRDefault="00BD218E" w:rsidP="00BD218E">
      <w:pPr>
        <w:pStyle w:val="OrderBody"/>
      </w:pPr>
    </w:p>
    <w:p w:rsidR="00CB5276" w:rsidRDefault="0046249A">
      <w:pPr>
        <w:pStyle w:val="OrderBody"/>
      </w:pPr>
      <w:bookmarkStart w:id="5" w:name="OrderText"/>
      <w:bookmarkEnd w:id="5"/>
      <w:r>
        <w:tab/>
        <w:t>On October 2, 2018, the Solar Energy Industries Association (“SEIA”), the national trade association of the U.S. solar energy industry, filed a Petition to Intervene in this proceeding.</w:t>
      </w:r>
      <w:r w:rsidR="001466AB">
        <w:t xml:space="preserve">  SEIA states that its members include dozens of stakeholders of the solar energy industry that have headquarters or locations in Florida, among them installers, manufacturers, contractors, developers, financiers and service providers doing business within the state, including within DEF’s service area.</w:t>
      </w:r>
      <w:r w:rsidR="00335A22">
        <w:t xml:space="preserve">  SEIA’s member companies are actively working to develop QFs throughout the state in accordance with the applicable state and federal regulations implementing PURPA.</w:t>
      </w:r>
    </w:p>
    <w:p w:rsidR="00335A22" w:rsidRDefault="00335A22">
      <w:pPr>
        <w:pStyle w:val="OrderBody"/>
      </w:pPr>
    </w:p>
    <w:p w:rsidR="00335A22" w:rsidRDefault="00335A22">
      <w:pPr>
        <w:pStyle w:val="OrderBody"/>
      </w:pPr>
      <w:r>
        <w:tab/>
        <w:t>SEIA further states that the issues presented in this proceeding are directly related to its defense of its members’ rights to obtain a financeable power purchase agreement from a purchasing utility.  According to SEIA, if the Commission approves DEF’s request, its members will almost certainly find that their QF projects are no longer financially feasible, as they would be unable to attract financing at reasonable terms and conditions.</w:t>
      </w:r>
    </w:p>
    <w:p w:rsidR="00335A22" w:rsidRDefault="00335A22">
      <w:pPr>
        <w:pStyle w:val="OrderBody"/>
      </w:pPr>
    </w:p>
    <w:p w:rsidR="004111A6" w:rsidRDefault="00335A22">
      <w:pPr>
        <w:pStyle w:val="OrderBody"/>
      </w:pPr>
      <w:r>
        <w:tab/>
      </w:r>
      <w:r w:rsidR="004111A6">
        <w:t>DEF attempted to timely file its response to the Petition to Intervene on October 9, 2018.  The response was filed in the docket on October 15, 2018, upon the reopening of the Commission’s offices after Hurricane Michael.  Thus, the response was timely filed. DEF states that it does not oppose SEIA’s Petition provided that SEIA be required to prove the facts and allegations upon which it claims to meet the Commission standard for intervention.  Moreover, DEF disagrees with SEIA’s assertion that granting DEF’s Petition for Declaratory Statement would prevent companies from developing solar projects in Florida or that it will create economic harm to SEIA’s members.</w:t>
      </w:r>
      <w:r w:rsidR="00DE5EE5">
        <w:t xml:space="preserve">  According to DEF, the Florida QF avoided cost methodology for PURPA power purchase agreements is not related to open-market competition because a specific utility must purchase any and all power produced by that solar QF at the utility’s full QF avoided cost.</w:t>
      </w:r>
    </w:p>
    <w:p w:rsidR="004111A6" w:rsidRDefault="004111A6">
      <w:pPr>
        <w:pStyle w:val="OrderBody"/>
      </w:pPr>
    </w:p>
    <w:p w:rsidR="004111A6" w:rsidRDefault="004111A6">
      <w:pPr>
        <w:pStyle w:val="OrderBody"/>
      </w:pPr>
      <w:r>
        <w:rPr>
          <w:u w:val="single"/>
        </w:rPr>
        <w:lastRenderedPageBreak/>
        <w:t>Standards for Intervention</w:t>
      </w:r>
    </w:p>
    <w:p w:rsidR="004111A6" w:rsidRDefault="004111A6">
      <w:pPr>
        <w:pStyle w:val="OrderBody"/>
      </w:pPr>
    </w:p>
    <w:p w:rsidR="00C93D28" w:rsidRDefault="00C93D28" w:rsidP="00C93D28">
      <w:pPr>
        <w:pStyle w:val="OrderBody"/>
      </w:pPr>
      <w:r>
        <w:tab/>
        <w:t>Rule 28-105.0027(1), F.A.C., sets forth the standards for the filing of a petition for leave to intervene in a declaratory statement proceeding.  The rule states that:</w:t>
      </w:r>
    </w:p>
    <w:p w:rsidR="00C93D28" w:rsidRDefault="00C93D28" w:rsidP="00C93D28">
      <w:pPr>
        <w:pStyle w:val="OrderBody"/>
      </w:pPr>
    </w:p>
    <w:p w:rsidR="00C93D28" w:rsidRDefault="00C93D28" w:rsidP="00C93D28">
      <w:pPr>
        <w:pStyle w:val="OrderBody"/>
        <w:ind w:left="720" w:right="720"/>
      </w:pPr>
      <w:r>
        <w:t>[p]ersons other than original parties to a pending proceeding whose substantial interests will be affected by the disposition of the declaratory statement and who desire to become parties may move the presiding officer for leave to intervene.  The presiding officer shall allow for intervention of persons meeting the requirements for intervention of this rule.</w:t>
      </w:r>
    </w:p>
    <w:p w:rsidR="00C93D28" w:rsidRDefault="00C93D28" w:rsidP="00C93D28">
      <w:pPr>
        <w:pStyle w:val="OrderBody"/>
        <w:ind w:left="720"/>
      </w:pPr>
    </w:p>
    <w:p w:rsidR="00C93D28" w:rsidRDefault="00C93D28" w:rsidP="00C93D28">
      <w:pPr>
        <w:pStyle w:val="OrderBody"/>
      </w:pPr>
      <w:r>
        <w:t>Subparagraph (2)(c) of Rule 28-105.0027, F.A.C., states that the motion to intervene shall include “[a]llegations sufficient to demonstrate that the intervenor is entitled to participate in the proceeding as a matter of constitutional or statutory right or pursuant to agency rule, or that the substantial interests of the intervenor are subject to determination or will be affected by the declaratory statement.” Intervenors take the case as they find it.</w:t>
      </w:r>
    </w:p>
    <w:p w:rsidR="00DE5EE5" w:rsidRDefault="00DE5EE5" w:rsidP="00DE5EE5">
      <w:pPr>
        <w:ind w:firstLine="720"/>
        <w:jc w:val="both"/>
      </w:pPr>
    </w:p>
    <w:p w:rsidR="00DE5EE5" w:rsidRDefault="00DE5EE5" w:rsidP="00DE5EE5">
      <w:pPr>
        <w:ind w:firstLine="720"/>
        <w:jc w:val="both"/>
      </w:pPr>
      <w:r>
        <w:t xml:space="preserve">To have standing, the intervenor must meet the three-prong standing test set forth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based on the basic standing principles established in </w:t>
      </w:r>
      <w:r>
        <w:rPr>
          <w:u w:val="single"/>
        </w:rPr>
        <w:t>Agrico Chemical Co. v. Department of Environmental Regulation</w:t>
      </w:r>
      <w:r>
        <w:t>, 406 So. 2d 478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DE5EE5" w:rsidRDefault="00DE5EE5" w:rsidP="00DE5EE5">
      <w:pPr>
        <w:ind w:firstLine="720"/>
        <w:jc w:val="both"/>
      </w:pPr>
    </w:p>
    <w:p w:rsidR="00DE5EE5" w:rsidRDefault="00DE5EE5" w:rsidP="00DE5EE5">
      <w:pPr>
        <w:jc w:val="both"/>
      </w:pPr>
      <w:r>
        <w:rPr>
          <w:u w:val="single"/>
        </w:rPr>
        <w:t>Analysis and Ruling</w:t>
      </w:r>
    </w:p>
    <w:p w:rsidR="00DE5EE5" w:rsidRPr="00F118DC" w:rsidRDefault="00DE5EE5" w:rsidP="00DE5EE5">
      <w:pPr>
        <w:jc w:val="both"/>
      </w:pPr>
    </w:p>
    <w:p w:rsidR="00DE5EE5" w:rsidRDefault="00DE5EE5" w:rsidP="00C93D28">
      <w:pPr>
        <w:ind w:firstLine="720"/>
        <w:jc w:val="both"/>
      </w:pPr>
      <w:r>
        <w:t xml:space="preserve">I find that SEIA’s Petition to Intervene complies with Rule 28-106.204(3), F.A.C., and that SEIA has met the three-prong standing test set forth in </w:t>
      </w:r>
      <w:r>
        <w:rPr>
          <w:u w:val="single"/>
        </w:rPr>
        <w:t>Florida Home Builders</w:t>
      </w:r>
      <w:r>
        <w:t>.  The Petition includes allegations sufficient to demonstrate that it is entitled to participate because its substantial interests, and the substantial interests of its members who are DEF customers, may be substantially affected by the Commission’s decision</w:t>
      </w:r>
      <w:r w:rsidR="0093315B">
        <w:t xml:space="preserve">. SEIA alleges that the issues presented by DEF in this proceeding are directly related to SEIA’s defense of its members’ rights to obtain a financeable power purchase agreement from a purchasing utility.  According to SEIA, if the </w:t>
      </w:r>
      <w:r w:rsidR="0093315B">
        <w:lastRenderedPageBreak/>
        <w:t>Commission approves DEF’s request, its members will almost certainly find that their QF projects are no longer financially feasible, as they would be unable to attract financing at reasonable terms and conditions.  T</w:t>
      </w:r>
      <w:r>
        <w:t>he subject matter of the proceeding is within SEIA’s general scope of interest and activity, and SEIA’s request to intervene in this proceeding is a type of relief appropriate for SEIA to receive on behalf of its members. Therefore, the Petition to Intervene is granted.</w:t>
      </w:r>
    </w:p>
    <w:p w:rsidR="00C93D28" w:rsidRDefault="00C93D28" w:rsidP="00C93D28">
      <w:pPr>
        <w:ind w:firstLine="720"/>
        <w:jc w:val="both"/>
        <w:rPr>
          <w:u w:val="single"/>
        </w:rPr>
      </w:pPr>
    </w:p>
    <w:p w:rsidR="00DE5EE5" w:rsidRPr="00826D5E" w:rsidRDefault="00DE5EE5" w:rsidP="00DE5EE5">
      <w:pPr>
        <w:jc w:val="both"/>
      </w:pPr>
      <w:r>
        <w:tab/>
        <w:t>Based on the above representations,</w:t>
      </w:r>
      <w:r w:rsidRPr="00826D5E">
        <w:t xml:space="preserve"> it is</w:t>
      </w:r>
    </w:p>
    <w:p w:rsidR="00DE5EE5" w:rsidRPr="00826D5E" w:rsidRDefault="00DE5EE5" w:rsidP="00DE5EE5">
      <w:pPr>
        <w:jc w:val="both"/>
      </w:pPr>
    </w:p>
    <w:p w:rsidR="00DE5EE5" w:rsidRDefault="00DE5EE5" w:rsidP="00DE5EE5">
      <w:pPr>
        <w:ind w:firstLine="720"/>
        <w:jc w:val="both"/>
      </w:pPr>
      <w:r>
        <w:t>ORDERED by Commissioner Gary F. Clark, as Prehearing Officer, that the Petition to Intervene filed by the Solar Energy Industries Association is hereby granted as set forth in the  body of this Order. It is further</w:t>
      </w:r>
    </w:p>
    <w:p w:rsidR="00DE5EE5" w:rsidRDefault="00DE5EE5" w:rsidP="00DE5EE5">
      <w:pPr>
        <w:ind w:firstLine="720"/>
        <w:jc w:val="both"/>
      </w:pPr>
    </w:p>
    <w:p w:rsidR="00DE5EE5" w:rsidRDefault="00DE5EE5" w:rsidP="00DE5EE5">
      <w:pPr>
        <w:ind w:firstLine="720"/>
        <w:jc w:val="both"/>
      </w:pPr>
      <w:r>
        <w:t xml:space="preserve">ORDERED that the Solar Energy Industries Association takes the case as it finds it. It is further </w:t>
      </w:r>
    </w:p>
    <w:p w:rsidR="00DE5EE5" w:rsidRDefault="00DE5EE5" w:rsidP="00DE5EE5">
      <w:pPr>
        <w:ind w:firstLine="720"/>
        <w:jc w:val="both"/>
      </w:pPr>
    </w:p>
    <w:p w:rsidR="00DE5EE5" w:rsidRDefault="00DE5EE5" w:rsidP="00DE5EE5">
      <w:pPr>
        <w:ind w:firstLine="720"/>
        <w:jc w:val="both"/>
      </w:pPr>
      <w:r>
        <w:t>ORDERED that all parties to this proceeding shall furnish copies of all testimony, exhibits, pleadings, and other documents which may hereinafter be filed in this proceeding to:</w:t>
      </w:r>
    </w:p>
    <w:p w:rsidR="00DE5EE5" w:rsidRDefault="00DE5EE5" w:rsidP="00DE5EE5">
      <w:pPr>
        <w:ind w:firstLine="720"/>
        <w:jc w:val="both"/>
      </w:pPr>
    </w:p>
    <w:p w:rsidR="004111A6" w:rsidRDefault="00DE5EE5">
      <w:pPr>
        <w:pStyle w:val="OrderBody"/>
      </w:pPr>
      <w:r>
        <w:t>Heather Curlee</w:t>
      </w:r>
    </w:p>
    <w:p w:rsidR="00DE5EE5" w:rsidRDefault="00DE5EE5">
      <w:pPr>
        <w:pStyle w:val="OrderBody"/>
      </w:pPr>
      <w:r>
        <w:t>Wilson Sonsini Goodrich &amp; Rosati, P.C.</w:t>
      </w:r>
    </w:p>
    <w:p w:rsidR="00DE5EE5" w:rsidRDefault="00DE5EE5">
      <w:pPr>
        <w:pStyle w:val="OrderBody"/>
      </w:pPr>
      <w:r>
        <w:t>701 Fifth Ave., Suite 5100</w:t>
      </w:r>
    </w:p>
    <w:p w:rsidR="00DE5EE5" w:rsidRDefault="00DE5EE5">
      <w:pPr>
        <w:pStyle w:val="OrderBody"/>
      </w:pPr>
      <w:r>
        <w:t>Seattle, WA 98104</w:t>
      </w:r>
    </w:p>
    <w:p w:rsidR="00DE5EE5" w:rsidRDefault="00DE5EE5">
      <w:pPr>
        <w:pStyle w:val="OrderBody"/>
      </w:pPr>
      <w:r>
        <w:t>Telephone (206) 883-2522</w:t>
      </w:r>
    </w:p>
    <w:p w:rsidR="00DE5EE5" w:rsidRDefault="00CA50C3">
      <w:pPr>
        <w:pStyle w:val="OrderBody"/>
      </w:pPr>
      <w:hyperlink r:id="rId7" w:history="1">
        <w:r w:rsidR="00DE5EE5" w:rsidRPr="002C0910">
          <w:rPr>
            <w:rStyle w:val="Hyperlink"/>
          </w:rPr>
          <w:t>hcurlee@wsgr.com</w:t>
        </w:r>
      </w:hyperlink>
      <w:r w:rsidR="00DE5EE5">
        <w:t xml:space="preserve"> </w:t>
      </w:r>
    </w:p>
    <w:p w:rsidR="00DE5EE5" w:rsidRDefault="00DE5EE5">
      <w:pPr>
        <w:pStyle w:val="OrderBody"/>
      </w:pPr>
    </w:p>
    <w:p w:rsidR="00DE5EE5" w:rsidRDefault="00DE5EE5">
      <w:pPr>
        <w:pStyle w:val="OrderBody"/>
      </w:pPr>
      <w:r>
        <w:t>Rich Zambo</w:t>
      </w:r>
    </w:p>
    <w:p w:rsidR="00DE5EE5" w:rsidRDefault="00DE5EE5">
      <w:pPr>
        <w:pStyle w:val="OrderBody"/>
      </w:pPr>
      <w:r>
        <w:t>Richard A. Zambo, P.A.</w:t>
      </w:r>
    </w:p>
    <w:p w:rsidR="00DE5EE5" w:rsidRDefault="00DE5EE5">
      <w:pPr>
        <w:pStyle w:val="OrderBody"/>
      </w:pPr>
      <w:r>
        <w:t>2336 S.E. Ocean Blvd., #309</w:t>
      </w:r>
    </w:p>
    <w:p w:rsidR="00DE5EE5" w:rsidRDefault="00DE5EE5">
      <w:pPr>
        <w:pStyle w:val="OrderBody"/>
      </w:pPr>
      <w:r>
        <w:t>Stuart, FL 34966</w:t>
      </w:r>
    </w:p>
    <w:p w:rsidR="00DE5EE5" w:rsidRDefault="00DE5EE5">
      <w:pPr>
        <w:pStyle w:val="OrderBody"/>
      </w:pPr>
      <w:r>
        <w:t>Telephone (772) 225-5400</w:t>
      </w:r>
    </w:p>
    <w:p w:rsidR="00DE5EE5" w:rsidRDefault="00CA50C3">
      <w:pPr>
        <w:pStyle w:val="OrderBody"/>
      </w:pPr>
      <w:hyperlink r:id="rId8" w:history="1">
        <w:r w:rsidR="00AD06E7" w:rsidRPr="002C0910">
          <w:rPr>
            <w:rStyle w:val="Hyperlink"/>
          </w:rPr>
          <w:t>richzambo@aol.com</w:t>
        </w:r>
      </w:hyperlink>
      <w:r w:rsidR="00AD06E7">
        <w:t xml:space="preserve"> </w:t>
      </w:r>
    </w:p>
    <w:p w:rsidR="00AD06E7" w:rsidRDefault="00AD06E7">
      <w:pPr>
        <w:pStyle w:val="OrderBody"/>
      </w:pPr>
    </w:p>
    <w:p w:rsidR="00AD06E7" w:rsidRDefault="00AD06E7">
      <w:pPr>
        <w:pStyle w:val="OrderBody"/>
      </w:pPr>
      <w:r>
        <w:t>Marsha E. Rule</w:t>
      </w:r>
    </w:p>
    <w:p w:rsidR="00AD06E7" w:rsidRDefault="00AD06E7">
      <w:pPr>
        <w:pStyle w:val="OrderBody"/>
      </w:pPr>
      <w:r>
        <w:t>Rutledge Ecenia, P.A.</w:t>
      </w:r>
    </w:p>
    <w:p w:rsidR="00AD06E7" w:rsidRDefault="00AD06E7">
      <w:pPr>
        <w:pStyle w:val="OrderBody"/>
      </w:pPr>
      <w:r>
        <w:t>119 South Monroe St., Suite 202</w:t>
      </w:r>
    </w:p>
    <w:p w:rsidR="00AD06E7" w:rsidRDefault="00AD06E7">
      <w:pPr>
        <w:pStyle w:val="OrderBody"/>
      </w:pPr>
      <w:r>
        <w:t>Tallahassee, FL 32301</w:t>
      </w:r>
    </w:p>
    <w:p w:rsidR="00AD06E7" w:rsidRDefault="00AD06E7">
      <w:pPr>
        <w:pStyle w:val="OrderBody"/>
      </w:pPr>
      <w:r>
        <w:t>Telephone (850) 681-6788</w:t>
      </w:r>
    </w:p>
    <w:p w:rsidR="00AD06E7" w:rsidRDefault="00CA50C3">
      <w:pPr>
        <w:pStyle w:val="OrderBody"/>
      </w:pPr>
      <w:hyperlink r:id="rId9" w:history="1">
        <w:r w:rsidR="00AD06E7" w:rsidRPr="002C0910">
          <w:rPr>
            <w:rStyle w:val="Hyperlink"/>
          </w:rPr>
          <w:t>marsha@rutledge-ecenia.com</w:t>
        </w:r>
      </w:hyperlink>
      <w:r w:rsidR="00AD06E7">
        <w:t xml:space="preserve"> </w:t>
      </w:r>
    </w:p>
    <w:p w:rsidR="00AD06E7" w:rsidRDefault="00AD06E7">
      <w:pPr>
        <w:pStyle w:val="OrderBody"/>
      </w:pPr>
    </w:p>
    <w:p w:rsidR="00AD06E7" w:rsidRDefault="00AD06E7">
      <w:pPr>
        <w:pStyle w:val="OrderBody"/>
      </w:pPr>
    </w:p>
    <w:p w:rsidR="00335A22" w:rsidRDefault="004111A6">
      <w:pPr>
        <w:pStyle w:val="OrderBody"/>
      </w:pPr>
      <w:r>
        <w:t xml:space="preserve"> </w:t>
      </w:r>
    </w:p>
    <w:p w:rsidR="00D57E57" w:rsidRDefault="00D57E57" w:rsidP="00D57E57"/>
    <w:p w:rsidR="00B41039" w:rsidRDefault="00BD218E" w:rsidP="00B41039">
      <w:r>
        <w:br w:type="page"/>
      </w:r>
    </w:p>
    <w:p w:rsidR="00BD218E" w:rsidRDefault="00BD218E" w:rsidP="00BD218E">
      <w:pPr>
        <w:keepNext/>
        <w:keepLines/>
      </w:pPr>
      <w:r>
        <w:lastRenderedPageBreak/>
        <w:tab/>
        <w:t xml:space="preserve">By ORDER of Commissioner Gary F. Clark, as Prehearing Officer, this </w:t>
      </w:r>
      <w:bookmarkStart w:id="6" w:name="replaceDate"/>
      <w:bookmarkEnd w:id="6"/>
      <w:r w:rsidR="00CA50C3">
        <w:rPr>
          <w:u w:val="single"/>
        </w:rPr>
        <w:t>14th</w:t>
      </w:r>
      <w:r w:rsidR="00CA50C3">
        <w:t xml:space="preserve"> day of </w:t>
      </w:r>
      <w:r w:rsidR="00CA50C3">
        <w:rPr>
          <w:u w:val="single"/>
        </w:rPr>
        <w:t>January</w:t>
      </w:r>
      <w:r w:rsidR="00CA50C3">
        <w:t xml:space="preserve">, </w:t>
      </w:r>
      <w:r w:rsidR="00CA50C3">
        <w:rPr>
          <w:u w:val="single"/>
        </w:rPr>
        <w:t>2019</w:t>
      </w:r>
      <w:r w:rsidR="00CA50C3">
        <w:t>.</w:t>
      </w:r>
    </w:p>
    <w:p w:rsidR="00CA50C3" w:rsidRPr="00CA50C3" w:rsidRDefault="00CA50C3" w:rsidP="00BD218E">
      <w:pPr>
        <w:keepNext/>
        <w:keepLines/>
      </w:pPr>
    </w:p>
    <w:p w:rsidR="00BD218E" w:rsidRDefault="00BD218E" w:rsidP="00BD218E">
      <w:pPr>
        <w:keepNext/>
        <w:keepLines/>
      </w:pPr>
    </w:p>
    <w:p w:rsidR="00BD218E" w:rsidRDefault="00BD218E" w:rsidP="00BD218E">
      <w:pPr>
        <w:keepNext/>
        <w:keepLines/>
      </w:pPr>
    </w:p>
    <w:tbl>
      <w:tblPr>
        <w:tblW w:w="4720" w:type="dxa"/>
        <w:tblInd w:w="3800" w:type="dxa"/>
        <w:tblLayout w:type="fixed"/>
        <w:tblLook w:val="0000" w:firstRow="0" w:lastRow="0" w:firstColumn="0" w:lastColumn="0" w:noHBand="0" w:noVBand="0"/>
      </w:tblPr>
      <w:tblGrid>
        <w:gridCol w:w="686"/>
        <w:gridCol w:w="4034"/>
      </w:tblGrid>
      <w:tr w:rsidR="00BD218E" w:rsidTr="00BD218E">
        <w:tc>
          <w:tcPr>
            <w:tcW w:w="720" w:type="dxa"/>
            <w:shd w:val="clear" w:color="auto" w:fill="auto"/>
          </w:tcPr>
          <w:p w:rsidR="00BD218E" w:rsidRDefault="00BD218E" w:rsidP="00BD218E">
            <w:pPr>
              <w:keepNext/>
              <w:keepLines/>
            </w:pPr>
            <w:bookmarkStart w:id="7" w:name="bkmrkSignature" w:colFirst="0" w:colLast="0"/>
          </w:p>
        </w:tc>
        <w:tc>
          <w:tcPr>
            <w:tcW w:w="4320" w:type="dxa"/>
            <w:tcBorders>
              <w:bottom w:val="single" w:sz="4" w:space="0" w:color="auto"/>
            </w:tcBorders>
            <w:shd w:val="clear" w:color="auto" w:fill="auto"/>
          </w:tcPr>
          <w:p w:rsidR="00BD218E" w:rsidRDefault="00CA50C3" w:rsidP="00BD218E">
            <w:pPr>
              <w:keepNext/>
              <w:keepLines/>
            </w:pPr>
            <w:r>
              <w:t>/s/ Gary F. Clark</w:t>
            </w:r>
            <w:bookmarkStart w:id="8" w:name="_GoBack"/>
            <w:bookmarkEnd w:id="8"/>
          </w:p>
        </w:tc>
      </w:tr>
      <w:bookmarkEnd w:id="7"/>
      <w:tr w:rsidR="00BD218E" w:rsidTr="00BD218E">
        <w:tc>
          <w:tcPr>
            <w:tcW w:w="720" w:type="dxa"/>
            <w:shd w:val="clear" w:color="auto" w:fill="auto"/>
          </w:tcPr>
          <w:p w:rsidR="00BD218E" w:rsidRDefault="00BD218E" w:rsidP="00BD218E">
            <w:pPr>
              <w:keepNext/>
              <w:keepLines/>
            </w:pPr>
          </w:p>
        </w:tc>
        <w:tc>
          <w:tcPr>
            <w:tcW w:w="4320" w:type="dxa"/>
            <w:tcBorders>
              <w:top w:val="single" w:sz="4" w:space="0" w:color="auto"/>
            </w:tcBorders>
            <w:shd w:val="clear" w:color="auto" w:fill="auto"/>
          </w:tcPr>
          <w:p w:rsidR="00BD218E" w:rsidRDefault="00BD218E" w:rsidP="00BD218E">
            <w:pPr>
              <w:keepNext/>
              <w:keepLines/>
            </w:pPr>
            <w:r>
              <w:t>GARY F. CLARK</w:t>
            </w:r>
          </w:p>
          <w:p w:rsidR="00BD218E" w:rsidRDefault="00BD218E" w:rsidP="00BD218E">
            <w:pPr>
              <w:keepNext/>
              <w:keepLines/>
            </w:pPr>
            <w:r>
              <w:t>Commissioner and Prehearing Officer</w:t>
            </w:r>
          </w:p>
        </w:tc>
      </w:tr>
    </w:tbl>
    <w:p w:rsidR="00BD218E" w:rsidRDefault="00BD218E" w:rsidP="00BD218E">
      <w:pPr>
        <w:pStyle w:val="OrderSigInfo"/>
        <w:keepNext/>
        <w:keepLines/>
      </w:pPr>
      <w:r>
        <w:t>Florida Public Service Commission</w:t>
      </w:r>
    </w:p>
    <w:p w:rsidR="00BD218E" w:rsidRDefault="00BD218E" w:rsidP="00BD218E">
      <w:pPr>
        <w:pStyle w:val="OrderSigInfo"/>
        <w:keepNext/>
        <w:keepLines/>
      </w:pPr>
      <w:r>
        <w:t>2540 Shumard Oak Boulevard</w:t>
      </w:r>
    </w:p>
    <w:p w:rsidR="00BD218E" w:rsidRDefault="00BD218E" w:rsidP="00BD218E">
      <w:pPr>
        <w:pStyle w:val="OrderSigInfo"/>
        <w:keepNext/>
        <w:keepLines/>
      </w:pPr>
      <w:r>
        <w:t>Tallahassee, Florida 32399</w:t>
      </w:r>
    </w:p>
    <w:p w:rsidR="00BD218E" w:rsidRDefault="00BD218E" w:rsidP="00BD218E">
      <w:pPr>
        <w:pStyle w:val="OrderSigInfo"/>
        <w:keepNext/>
        <w:keepLines/>
      </w:pPr>
      <w:r>
        <w:t>(850) 413</w:t>
      </w:r>
      <w:r>
        <w:noBreakHyphen/>
        <w:t>6770</w:t>
      </w:r>
    </w:p>
    <w:p w:rsidR="00BD218E" w:rsidRDefault="00BD218E" w:rsidP="00BD218E">
      <w:pPr>
        <w:pStyle w:val="OrderSigInfo"/>
        <w:keepNext/>
        <w:keepLines/>
      </w:pPr>
      <w:r>
        <w:t>www.floridapsc.com</w:t>
      </w:r>
    </w:p>
    <w:p w:rsidR="00BD218E" w:rsidRDefault="00BD218E" w:rsidP="00BD218E">
      <w:pPr>
        <w:pStyle w:val="OrderSigInfo"/>
        <w:keepNext/>
        <w:keepLines/>
      </w:pPr>
    </w:p>
    <w:p w:rsidR="00BD218E" w:rsidRDefault="00BD218E" w:rsidP="00BD218E">
      <w:pPr>
        <w:pStyle w:val="OrderSigInfo"/>
        <w:keepNext/>
        <w:keepLines/>
      </w:pPr>
      <w:r>
        <w:t>Copies furnished:  A copy of this document is provided to the parties of record at the time of issuance and, if applicable, interested persons.</w:t>
      </w:r>
    </w:p>
    <w:p w:rsidR="00BD218E" w:rsidRDefault="00BD218E" w:rsidP="00BD218E">
      <w:pPr>
        <w:pStyle w:val="OrderBody"/>
        <w:keepNext/>
        <w:keepLines/>
      </w:pPr>
    </w:p>
    <w:p w:rsidR="00BD218E" w:rsidRDefault="00BD218E" w:rsidP="00BD218E">
      <w:pPr>
        <w:keepNext/>
        <w:keepLines/>
      </w:pPr>
    </w:p>
    <w:p w:rsidR="00BD218E" w:rsidRDefault="00BD218E" w:rsidP="00BD218E">
      <w:pPr>
        <w:keepNext/>
        <w:keepLines/>
      </w:pPr>
      <w:r>
        <w:t>RG</w:t>
      </w:r>
    </w:p>
    <w:p w:rsidR="00BD218E" w:rsidRDefault="00BD218E" w:rsidP="00B41039"/>
    <w:p w:rsidR="00BD218E" w:rsidRDefault="00BD218E" w:rsidP="00B41039"/>
    <w:p w:rsidR="00BD218E" w:rsidRDefault="00BD218E" w:rsidP="00BD218E">
      <w:pPr>
        <w:pStyle w:val="CenterUnderline"/>
      </w:pPr>
      <w:r>
        <w:t>NOTICE OF FURTHER PROCEEDINGS OR JUDICIAL REVIEW</w:t>
      </w:r>
    </w:p>
    <w:p w:rsidR="00BD218E" w:rsidRDefault="00BD218E" w:rsidP="00BD218E">
      <w:pPr>
        <w:pStyle w:val="CenterUnderline"/>
        <w:rPr>
          <w:u w:val="none"/>
        </w:rPr>
      </w:pPr>
    </w:p>
    <w:p w:rsidR="00BD218E" w:rsidRDefault="00BD218E" w:rsidP="00BD218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D218E" w:rsidRDefault="00BD218E" w:rsidP="00BD218E">
      <w:pPr>
        <w:pStyle w:val="OrderBody"/>
      </w:pPr>
    </w:p>
    <w:p w:rsidR="00BD218E" w:rsidRDefault="00BD218E" w:rsidP="00BD218E">
      <w:pPr>
        <w:pStyle w:val="OrderBody"/>
      </w:pPr>
      <w:r>
        <w:tab/>
        <w:t>Mediation may be available on a case-by-case basis.  If mediation is conducted, it does not affect a substantially interested person's right to a hearing.</w:t>
      </w:r>
    </w:p>
    <w:p w:rsidR="00BD218E" w:rsidRDefault="00BD218E" w:rsidP="00BD218E">
      <w:pPr>
        <w:pStyle w:val="OrderBody"/>
      </w:pPr>
    </w:p>
    <w:p w:rsidR="00BD218E" w:rsidRPr="00BD218E" w:rsidRDefault="00BD218E" w:rsidP="00BD218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D218E" w:rsidRPr="00BD218E">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18E" w:rsidRDefault="00BD218E">
      <w:r>
        <w:separator/>
      </w:r>
    </w:p>
  </w:endnote>
  <w:endnote w:type="continuationSeparator" w:id="0">
    <w:p w:rsidR="00BD218E" w:rsidRDefault="00BD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18E" w:rsidRDefault="00BD218E">
      <w:r>
        <w:separator/>
      </w:r>
    </w:p>
  </w:footnote>
  <w:footnote w:type="continuationSeparator" w:id="0">
    <w:p w:rsidR="00BD218E" w:rsidRDefault="00BD218E">
      <w:r>
        <w:continuationSeparator/>
      </w:r>
    </w:p>
  </w:footnote>
  <w:footnote w:id="1">
    <w:p w:rsidR="00DE5EE5" w:rsidRDefault="00DE5EE5" w:rsidP="00DE5EE5">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sidR="00450F7C" w:rsidRPr="00450F7C">
        <w:t xml:space="preserve"> </w:t>
      </w:r>
      <w:r>
        <w:rPr>
          <w:u w:val="single"/>
        </w:rPr>
        <w:t>Village Park Mobile Home Assn., Inc. v. State Dept. of Business Regulation</w:t>
      </w:r>
      <w:r>
        <w:t xml:space="preserve">, 506 So. 2d 426, 434 (Fla. 1st DCA 1987), </w:t>
      </w:r>
      <w:r>
        <w:rPr>
          <w:u w:val="single"/>
        </w:rPr>
        <w:t>rev. den.</w:t>
      </w:r>
      <w:r>
        <w:t>, 513 So. 2d 1063 (Fla. 1987) (finding that speculation on the possible occurrence of injurious events is too remote).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7 ">
      <w:r w:rsidR="00CA50C3">
        <w:t>PSC-2019-0037-PCO-EQ</w:t>
      </w:r>
    </w:fldSimple>
  </w:p>
  <w:p w:rsidR="00FA6EFD" w:rsidRDefault="00BD218E">
    <w:pPr>
      <w:pStyle w:val="OrderHeader"/>
    </w:pPr>
    <w:bookmarkStart w:id="9" w:name="HeaderDocketNo"/>
    <w:bookmarkEnd w:id="9"/>
    <w:r>
      <w:t>DOCKET NO. 20180169-EQ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50C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9-EQ"/>
  </w:docVars>
  <w:rsids>
    <w:rsidRoot w:val="00BD218E"/>
    <w:rsid w:val="000022B8"/>
    <w:rsid w:val="00035A8C"/>
    <w:rsid w:val="00053AB9"/>
    <w:rsid w:val="00056229"/>
    <w:rsid w:val="00057AF1"/>
    <w:rsid w:val="00065FC2"/>
    <w:rsid w:val="00067685"/>
    <w:rsid w:val="00076E6B"/>
    <w:rsid w:val="0008247D"/>
    <w:rsid w:val="00085989"/>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66AB"/>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6EDE"/>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35A22"/>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1A6"/>
    <w:rsid w:val="00411DF2"/>
    <w:rsid w:val="00411E8F"/>
    <w:rsid w:val="0042527B"/>
    <w:rsid w:val="00450F7C"/>
    <w:rsid w:val="0045537F"/>
    <w:rsid w:val="00457DC7"/>
    <w:rsid w:val="0046249A"/>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315B"/>
    <w:rsid w:val="0094504B"/>
    <w:rsid w:val="00964A38"/>
    <w:rsid w:val="00966A9D"/>
    <w:rsid w:val="0096742B"/>
    <w:rsid w:val="009924CF"/>
    <w:rsid w:val="00994100"/>
    <w:rsid w:val="009A6B17"/>
    <w:rsid w:val="009B7902"/>
    <w:rsid w:val="009D4C29"/>
    <w:rsid w:val="009F4B36"/>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06E7"/>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218E"/>
    <w:rsid w:val="00BF6691"/>
    <w:rsid w:val="00C028FC"/>
    <w:rsid w:val="00C030BD"/>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3D28"/>
    <w:rsid w:val="00CA50C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5EE5"/>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E5EE5"/>
  </w:style>
  <w:style w:type="character" w:styleId="Hyperlink">
    <w:name w:val="Hyperlink"/>
    <w:basedOn w:val="DefaultParagraphFont"/>
    <w:rsid w:val="00DE5E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E5EE5"/>
  </w:style>
  <w:style w:type="character" w:styleId="Hyperlink">
    <w:name w:val="Hyperlink"/>
    <w:basedOn w:val="DefaultParagraphFont"/>
    <w:rsid w:val="00DE5E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zambo@a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curlee@wsgr.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sha@rutledge-ecen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1332</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2019-01-14T15:59:00Z</dcterms:created>
  <dcterms:modified xsi:type="dcterms:W3CDTF">2019-01-14T17:25:00Z</dcterms:modified>
</cp:coreProperties>
</file>