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37C46">
            <w:pPr>
              <w:pStyle w:val="MemoHeading"/>
            </w:pPr>
            <w:bookmarkStart w:id="1" w:name="FilingDate"/>
            <w:r>
              <w:t>January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4E34BE">
            <w:pPr>
              <w:pStyle w:val="MemoHeading"/>
            </w:pPr>
            <w:r>
              <w:t>Office of Commission Clerk (</w:t>
            </w:r>
            <w:r w:rsidR="004E34BE">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37C46" w:rsidRDefault="00037C46">
            <w:pPr>
              <w:pStyle w:val="MemoHeading"/>
            </w:pPr>
            <w:bookmarkStart w:id="2" w:name="From"/>
            <w:r>
              <w:t>Division of Accounting and Finance (Cicchetti</w:t>
            </w:r>
            <w:r w:rsidR="004E34BE">
              <w:t>, D.</w:t>
            </w:r>
            <w:r>
              <w:t xml:space="preserve"> Buys, </w:t>
            </w:r>
            <w:r w:rsidR="004E34BE">
              <w:t>Hightower</w:t>
            </w:r>
            <w:r>
              <w:t>)</w:t>
            </w:r>
          </w:p>
          <w:p w:rsidR="00037C46" w:rsidRDefault="00037C46">
            <w:pPr>
              <w:pStyle w:val="MemoHeading"/>
            </w:pPr>
            <w:r>
              <w:t>Division of Economics (</w:t>
            </w:r>
            <w:proofErr w:type="spellStart"/>
            <w:r>
              <w:t>Guffey</w:t>
            </w:r>
            <w:proofErr w:type="spellEnd"/>
            <w:r>
              <w:t>)</w:t>
            </w:r>
          </w:p>
          <w:p w:rsidR="00037C46" w:rsidRDefault="00037C46">
            <w:pPr>
              <w:pStyle w:val="MemoHeading"/>
            </w:pPr>
            <w:r>
              <w:t>Division of Engineering (Ellis)</w:t>
            </w:r>
          </w:p>
          <w:p w:rsidR="007C0528" w:rsidRDefault="00037C46">
            <w:pPr>
              <w:pStyle w:val="MemoHeading"/>
            </w:pPr>
            <w:r>
              <w:t>Office of the General Cou</w:t>
            </w:r>
            <w:r w:rsidR="00DA298A">
              <w:t>nsel (</w:t>
            </w:r>
            <w:proofErr w:type="spellStart"/>
            <w:r w:rsidR="00DA298A">
              <w:t>Dziechciarz</w:t>
            </w:r>
            <w:proofErr w:type="spellEnd"/>
            <w:r w:rsidR="00DA298A">
              <w:t xml:space="preserve">, </w:t>
            </w:r>
            <w:proofErr w:type="spellStart"/>
            <w:r w:rsidR="00DA298A">
              <w:t>DuVal</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37C46">
            <w:pPr>
              <w:pStyle w:val="MemoHeadingRe"/>
            </w:pPr>
            <w:bookmarkStart w:id="3" w:name="Re"/>
            <w:r>
              <w:t>Docket No. 20180051-GU – Consideration of the tax impacts associated with Tax Cuts and Jobs Act of 2017 Florida Public Utilities Company -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37C46">
            <w:pPr>
              <w:pStyle w:val="MemoHeading"/>
            </w:pPr>
            <w:bookmarkStart w:id="4" w:name="AgendaDate"/>
            <w:r>
              <w:t>02/05/19</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37C46">
            <w:pPr>
              <w:pStyle w:val="MemoHeading"/>
            </w:pPr>
            <w:bookmarkStart w:id="6" w:name="CommissionersAssigned"/>
            <w:r>
              <w:t>Brown, Clark, Fay</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37C46">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37C4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37C46">
            <w:pPr>
              <w:pStyle w:val="MemoHeading"/>
            </w:pPr>
            <w:bookmarkStart w:id="10" w:name="SpecialInstructions"/>
            <w:r>
              <w:t>None</w:t>
            </w:r>
            <w:bookmarkEnd w:id="10"/>
          </w:p>
        </w:tc>
      </w:tr>
    </w:tbl>
    <w:p w:rsidR="007C0528" w:rsidRDefault="007C0528">
      <w:pPr>
        <w:pStyle w:val="BodyText"/>
      </w:pPr>
    </w:p>
    <w:p w:rsidR="000E190A" w:rsidRDefault="000E190A" w:rsidP="000E190A">
      <w:pPr>
        <w:pStyle w:val="RecommendationMajorSectionHeading"/>
      </w:pPr>
      <w:bookmarkStart w:id="11" w:name="RecToC"/>
      <w:bookmarkEnd w:id="11"/>
      <w:r>
        <w:br w:type="page"/>
      </w:r>
      <w:r>
        <w:lastRenderedPageBreak/>
        <w:t>Table of Contents</w:t>
      </w:r>
    </w:p>
    <w:p w:rsidR="000E190A" w:rsidRDefault="000E190A">
      <w:pPr>
        <w:pStyle w:val="TOCColumnHeadings"/>
      </w:pPr>
      <w:r>
        <w:t>Issue</w:t>
      </w:r>
      <w:r>
        <w:tab/>
        <w:t>Description</w:t>
      </w:r>
      <w:r>
        <w:tab/>
        <w:t>Page</w:t>
      </w:r>
    </w:p>
    <w:p w:rsidR="00DA5A4C" w:rsidRDefault="000E190A">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35242564" w:history="1">
        <w:r w:rsidR="00DA5A4C" w:rsidRPr="00904CE4">
          <w:rPr>
            <w:rStyle w:val="Hyperlink"/>
            <w:noProof/>
          </w:rPr>
          <w:tab/>
          <w:t>Case Background</w:t>
        </w:r>
        <w:r w:rsidR="00DA5A4C">
          <w:rPr>
            <w:noProof/>
            <w:webHidden/>
          </w:rPr>
          <w:tab/>
        </w:r>
        <w:r w:rsidR="00DA5A4C">
          <w:rPr>
            <w:noProof/>
            <w:webHidden/>
          </w:rPr>
          <w:fldChar w:fldCharType="begin"/>
        </w:r>
        <w:r w:rsidR="00DA5A4C">
          <w:rPr>
            <w:noProof/>
            <w:webHidden/>
          </w:rPr>
          <w:instrText xml:space="preserve"> PAGEREF _Toc535242564 \h </w:instrText>
        </w:r>
        <w:r w:rsidR="00DA5A4C">
          <w:rPr>
            <w:noProof/>
            <w:webHidden/>
          </w:rPr>
        </w:r>
        <w:r w:rsidR="00DA5A4C">
          <w:rPr>
            <w:noProof/>
            <w:webHidden/>
          </w:rPr>
          <w:fldChar w:fldCharType="separate"/>
        </w:r>
        <w:r w:rsidR="009308E1">
          <w:rPr>
            <w:noProof/>
            <w:webHidden/>
          </w:rPr>
          <w:t>3</w:t>
        </w:r>
        <w:r w:rsidR="00DA5A4C">
          <w:rPr>
            <w:noProof/>
            <w:webHidden/>
          </w:rPr>
          <w:fldChar w:fldCharType="end"/>
        </w:r>
      </w:hyperlink>
    </w:p>
    <w:p w:rsidR="00DA5A4C" w:rsidRDefault="00AD56A9">
      <w:pPr>
        <w:pStyle w:val="TOC1"/>
        <w:rPr>
          <w:rFonts w:asciiTheme="minorHAnsi" w:eastAsiaTheme="minorEastAsia" w:hAnsiTheme="minorHAnsi" w:cstheme="minorBidi"/>
          <w:noProof/>
          <w:sz w:val="22"/>
          <w:szCs w:val="22"/>
        </w:rPr>
      </w:pPr>
      <w:hyperlink w:anchor="_Toc535242565" w:history="1">
        <w:r w:rsidR="00DA5A4C" w:rsidRPr="00904CE4">
          <w:rPr>
            <w:rStyle w:val="Hyperlink"/>
            <w:noProof/>
          </w:rPr>
          <w:t>4B</w:t>
        </w:r>
        <w:r w:rsidR="00DA5A4C" w:rsidRPr="00904CE4">
          <w:rPr>
            <w:rStyle w:val="Hyperlink"/>
            <w:noProof/>
          </w:rPr>
          <w:tab/>
          <w:t>Appropriate disposition of the protected excess deferred taxes.</w:t>
        </w:r>
        <w:r w:rsidR="00DA5A4C">
          <w:rPr>
            <w:noProof/>
            <w:webHidden/>
          </w:rPr>
          <w:tab/>
        </w:r>
        <w:r w:rsidR="00DA5A4C">
          <w:rPr>
            <w:noProof/>
            <w:webHidden/>
          </w:rPr>
          <w:fldChar w:fldCharType="begin"/>
        </w:r>
        <w:r w:rsidR="00DA5A4C">
          <w:rPr>
            <w:noProof/>
            <w:webHidden/>
          </w:rPr>
          <w:instrText xml:space="preserve"> PAGEREF _Toc535242565 \h </w:instrText>
        </w:r>
        <w:r w:rsidR="00DA5A4C">
          <w:rPr>
            <w:noProof/>
            <w:webHidden/>
          </w:rPr>
        </w:r>
        <w:r w:rsidR="00DA5A4C">
          <w:rPr>
            <w:noProof/>
            <w:webHidden/>
          </w:rPr>
          <w:fldChar w:fldCharType="separate"/>
        </w:r>
        <w:r w:rsidR="009308E1">
          <w:rPr>
            <w:noProof/>
            <w:webHidden/>
          </w:rPr>
          <w:t>4</w:t>
        </w:r>
        <w:r w:rsidR="00DA5A4C">
          <w:rPr>
            <w:noProof/>
            <w:webHidden/>
          </w:rPr>
          <w:fldChar w:fldCharType="end"/>
        </w:r>
      </w:hyperlink>
    </w:p>
    <w:p w:rsidR="00DA5A4C" w:rsidRDefault="00AD56A9">
      <w:pPr>
        <w:pStyle w:val="TOC1"/>
        <w:rPr>
          <w:rFonts w:asciiTheme="minorHAnsi" w:eastAsiaTheme="minorEastAsia" w:hAnsiTheme="minorHAnsi" w:cstheme="minorBidi"/>
          <w:noProof/>
          <w:sz w:val="22"/>
          <w:szCs w:val="22"/>
        </w:rPr>
      </w:pPr>
      <w:hyperlink w:anchor="_Toc535242566" w:history="1">
        <w:r w:rsidR="00DA5A4C" w:rsidRPr="00904CE4">
          <w:rPr>
            <w:rStyle w:val="Hyperlink"/>
            <w:noProof/>
          </w:rPr>
          <w:t>5B</w:t>
        </w:r>
        <w:r w:rsidR="00DA5A4C" w:rsidRPr="00904CE4">
          <w:rPr>
            <w:rStyle w:val="Hyperlink"/>
            <w:noProof/>
          </w:rPr>
          <w:tab/>
          <w:t>Appropriate disposition of the unprotected excess deferred taxes.</w:t>
        </w:r>
        <w:r w:rsidR="00DA5A4C">
          <w:rPr>
            <w:noProof/>
            <w:webHidden/>
          </w:rPr>
          <w:tab/>
        </w:r>
        <w:r w:rsidR="00DA5A4C">
          <w:rPr>
            <w:noProof/>
            <w:webHidden/>
          </w:rPr>
          <w:fldChar w:fldCharType="begin"/>
        </w:r>
        <w:r w:rsidR="00DA5A4C">
          <w:rPr>
            <w:noProof/>
            <w:webHidden/>
          </w:rPr>
          <w:instrText xml:space="preserve"> PAGEREF _Toc535242566 \h </w:instrText>
        </w:r>
        <w:r w:rsidR="00DA5A4C">
          <w:rPr>
            <w:noProof/>
            <w:webHidden/>
          </w:rPr>
        </w:r>
        <w:r w:rsidR="00DA5A4C">
          <w:rPr>
            <w:noProof/>
            <w:webHidden/>
          </w:rPr>
          <w:fldChar w:fldCharType="separate"/>
        </w:r>
        <w:r w:rsidR="009308E1">
          <w:rPr>
            <w:noProof/>
            <w:webHidden/>
          </w:rPr>
          <w:t>7</w:t>
        </w:r>
        <w:r w:rsidR="00DA5A4C">
          <w:rPr>
            <w:noProof/>
            <w:webHidden/>
          </w:rPr>
          <w:fldChar w:fldCharType="end"/>
        </w:r>
      </w:hyperlink>
    </w:p>
    <w:p w:rsidR="00DA5A4C" w:rsidRDefault="00AD56A9">
      <w:pPr>
        <w:pStyle w:val="TOC1"/>
        <w:rPr>
          <w:rFonts w:asciiTheme="minorHAnsi" w:eastAsiaTheme="minorEastAsia" w:hAnsiTheme="minorHAnsi" w:cstheme="minorBidi"/>
          <w:noProof/>
          <w:sz w:val="22"/>
          <w:szCs w:val="22"/>
        </w:rPr>
      </w:pPr>
      <w:hyperlink w:anchor="_Toc535242567" w:history="1">
        <w:r w:rsidR="00DA5A4C" w:rsidRPr="00904CE4">
          <w:rPr>
            <w:rStyle w:val="Hyperlink"/>
            <w:noProof/>
          </w:rPr>
          <w:t>21</w:t>
        </w:r>
        <w:r w:rsidR="00DA5A4C" w:rsidRPr="00904CE4">
          <w:rPr>
            <w:rStyle w:val="Hyperlink"/>
            <w:noProof/>
          </w:rPr>
          <w:tab/>
          <w:t>Should FPUC be allowed to retain the tax benefits arising from the TCJA rate reduction.</w:t>
        </w:r>
        <w:r w:rsidR="00DA5A4C">
          <w:rPr>
            <w:noProof/>
            <w:webHidden/>
          </w:rPr>
          <w:tab/>
        </w:r>
        <w:r w:rsidR="00DA5A4C">
          <w:rPr>
            <w:noProof/>
            <w:webHidden/>
          </w:rPr>
          <w:fldChar w:fldCharType="begin"/>
        </w:r>
        <w:r w:rsidR="00DA5A4C">
          <w:rPr>
            <w:noProof/>
            <w:webHidden/>
          </w:rPr>
          <w:instrText xml:space="preserve"> PAGEREF _Toc535242567 \h </w:instrText>
        </w:r>
        <w:r w:rsidR="00DA5A4C">
          <w:rPr>
            <w:noProof/>
            <w:webHidden/>
          </w:rPr>
        </w:r>
        <w:r w:rsidR="00DA5A4C">
          <w:rPr>
            <w:noProof/>
            <w:webHidden/>
          </w:rPr>
          <w:fldChar w:fldCharType="separate"/>
        </w:r>
        <w:r w:rsidR="009308E1">
          <w:rPr>
            <w:noProof/>
            <w:webHidden/>
          </w:rPr>
          <w:t>10</w:t>
        </w:r>
        <w:r w:rsidR="00DA5A4C">
          <w:rPr>
            <w:noProof/>
            <w:webHidden/>
          </w:rPr>
          <w:fldChar w:fldCharType="end"/>
        </w:r>
      </w:hyperlink>
    </w:p>
    <w:p w:rsidR="00DA5A4C" w:rsidRDefault="00AD56A9">
      <w:pPr>
        <w:pStyle w:val="TOC1"/>
        <w:rPr>
          <w:rFonts w:asciiTheme="minorHAnsi" w:eastAsiaTheme="minorEastAsia" w:hAnsiTheme="minorHAnsi" w:cstheme="minorBidi"/>
          <w:noProof/>
          <w:sz w:val="22"/>
          <w:szCs w:val="22"/>
        </w:rPr>
      </w:pPr>
      <w:hyperlink w:anchor="_Toc535242568" w:history="1">
        <w:r w:rsidR="00DA5A4C" w:rsidRPr="00904CE4">
          <w:rPr>
            <w:rStyle w:val="Hyperlink"/>
            <w:noProof/>
          </w:rPr>
          <w:t>24</w:t>
        </w:r>
        <w:r w:rsidR="00DA5A4C" w:rsidRPr="00904CE4">
          <w:rPr>
            <w:rStyle w:val="Hyperlink"/>
            <w:noProof/>
          </w:rPr>
          <w:tab/>
          <w:t>Should this docket be closed.</w:t>
        </w:r>
        <w:r w:rsidR="00DA5A4C">
          <w:rPr>
            <w:noProof/>
            <w:webHidden/>
          </w:rPr>
          <w:tab/>
        </w:r>
        <w:r w:rsidR="00DA5A4C">
          <w:rPr>
            <w:noProof/>
            <w:webHidden/>
          </w:rPr>
          <w:fldChar w:fldCharType="begin"/>
        </w:r>
        <w:r w:rsidR="00DA5A4C">
          <w:rPr>
            <w:noProof/>
            <w:webHidden/>
          </w:rPr>
          <w:instrText xml:space="preserve"> PAGEREF _Toc535242568 \h </w:instrText>
        </w:r>
        <w:r w:rsidR="00DA5A4C">
          <w:rPr>
            <w:noProof/>
            <w:webHidden/>
          </w:rPr>
        </w:r>
        <w:r w:rsidR="00DA5A4C">
          <w:rPr>
            <w:noProof/>
            <w:webHidden/>
          </w:rPr>
          <w:fldChar w:fldCharType="separate"/>
        </w:r>
        <w:r w:rsidR="009308E1">
          <w:rPr>
            <w:noProof/>
            <w:webHidden/>
          </w:rPr>
          <w:t>12</w:t>
        </w:r>
        <w:r w:rsidR="00DA5A4C">
          <w:rPr>
            <w:noProof/>
            <w:webHidden/>
          </w:rPr>
          <w:fldChar w:fldCharType="end"/>
        </w:r>
      </w:hyperlink>
    </w:p>
    <w:p w:rsidR="000E190A" w:rsidRDefault="000E190A">
      <w:pPr>
        <w:pStyle w:val="TOCColumnHeadings"/>
      </w:pPr>
      <w:r>
        <w:fldChar w:fldCharType="end"/>
      </w:r>
    </w:p>
    <w:p w:rsidR="007C0528" w:rsidRDefault="000E190A">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535242564"/>
      <w:r w:rsidR="007C0528">
        <w:tab/>
        <w:instrText>Case Background</w:instrText>
      </w:r>
      <w:bookmarkEnd w:id="13"/>
      <w:r w:rsidR="007C0528">
        <w:instrText xml:space="preserve">" \l 1 </w:instrText>
      </w:r>
      <w:r w:rsidR="007C0528">
        <w:fldChar w:fldCharType="end"/>
      </w:r>
    </w:p>
    <w:p w:rsidR="003C4CFC" w:rsidRPr="00272034" w:rsidRDefault="00037C46" w:rsidP="00E73474">
      <w:pPr>
        <w:jc w:val="both"/>
      </w:pPr>
      <w:r w:rsidRPr="00037C46">
        <w:t>The Florida Public Service Commission opened Docket No. 20180051-GU on February 23, 2018, to consider the tax impacts affecting</w:t>
      </w:r>
      <w:r w:rsidR="00E34F5C">
        <w:t xml:space="preserve"> </w:t>
      </w:r>
      <w:r w:rsidRPr="00037C46">
        <w:t xml:space="preserve">Florida Public Utilities Company – Gas, </w:t>
      </w:r>
      <w:r w:rsidR="00E73474">
        <w:t>(FPUC or Company) r</w:t>
      </w:r>
      <w:r w:rsidRPr="00037C46">
        <w:t>esult</w:t>
      </w:r>
      <w:r w:rsidR="00E73474">
        <w:t>ing</w:t>
      </w:r>
      <w:r w:rsidRPr="00037C46">
        <w:t xml:space="preserve"> </w:t>
      </w:r>
      <w:r w:rsidR="00E73474">
        <w:t xml:space="preserve">from </w:t>
      </w:r>
      <w:r w:rsidRPr="00037C46">
        <w:t>the passage of the Tax Cuts and Jobs Act of 2017</w:t>
      </w:r>
      <w:r w:rsidR="00190A00">
        <w:t xml:space="preserve"> (TCJA)</w:t>
      </w:r>
      <w:r w:rsidRPr="00037C46">
        <w:t xml:space="preserve">. </w:t>
      </w:r>
      <w:r w:rsidR="002B3344">
        <w:t>FPUC</w:t>
      </w:r>
      <w:r w:rsidR="00E73474">
        <w:t xml:space="preserve"> is a wholly owned subsidiary of Chesapeake Utilities Corporation</w:t>
      </w:r>
      <w:r w:rsidR="00162D60">
        <w:t xml:space="preserve"> (CUC)</w:t>
      </w:r>
      <w:r w:rsidR="00E73474">
        <w:t xml:space="preserve">. </w:t>
      </w:r>
      <w:r w:rsidR="00162D60">
        <w:t>CUC</w:t>
      </w:r>
      <w:r w:rsidR="00E73474">
        <w:t xml:space="preserve"> is</w:t>
      </w:r>
      <w:r w:rsidR="002B3344">
        <w:t xml:space="preserve"> also</w:t>
      </w:r>
      <w:r w:rsidR="00E73474">
        <w:t xml:space="preserve"> the parent of </w:t>
      </w:r>
      <w:r w:rsidR="00162D60">
        <w:t>CUC</w:t>
      </w:r>
      <w:r w:rsidR="00E73474">
        <w:t xml:space="preserve"> – Florida</w:t>
      </w:r>
      <w:r w:rsidR="002B3344">
        <w:t xml:space="preserve"> (Chesapeake)</w:t>
      </w:r>
      <w:r w:rsidR="00E73474">
        <w:t xml:space="preserve">. FPUC – </w:t>
      </w:r>
      <w:r w:rsidR="00DA5A4C">
        <w:t>I</w:t>
      </w:r>
      <w:r w:rsidR="00E73474">
        <w:t xml:space="preserve">ndiantown and FPUC – Fort Meade are separate divisions of </w:t>
      </w:r>
      <w:r w:rsidR="00BB6A7B">
        <w:t>FPUC</w:t>
      </w:r>
      <w:r w:rsidR="00E73474">
        <w:t>. Docket</w:t>
      </w:r>
      <w:r w:rsidR="002B3344">
        <w:t xml:space="preserve"> Nos.</w:t>
      </w:r>
      <w:r w:rsidR="00E73474">
        <w:t xml:space="preserve"> 20180052-GU, 20180053-GU and 20180054-GU were opened to address the tax impacts affecting Indiantown, Fort Meade and Chesapeake. </w:t>
      </w:r>
      <w:r w:rsidR="003C4CFC">
        <w:t xml:space="preserve"> </w:t>
      </w:r>
    </w:p>
    <w:p w:rsidR="00012EE8" w:rsidRDefault="00037C46" w:rsidP="003C4CFC">
      <w:pPr>
        <w:pStyle w:val="BodyText"/>
        <w:spacing w:before="240"/>
      </w:pPr>
      <w:r w:rsidRPr="00037C46">
        <w:t xml:space="preserve">On April 25, 2018, an Order Establishing Procedure for the </w:t>
      </w:r>
      <w:r w:rsidR="00C721C3">
        <w:t>d</w:t>
      </w:r>
      <w:r w:rsidRPr="00037C46">
        <w:t>ocket was issued, in which controlling dates were set for filing testimony, exhibits, and discovery. On May 31, 2018, the discovery procedures and controlling dates were modified. Order No. PSC-2018-0412-PCO-GU, issued on August 20, 2018, was the second order</w:t>
      </w:r>
      <w:r w:rsidR="00897232">
        <w:t xml:space="preserve"> revising </w:t>
      </w:r>
      <w:r w:rsidRPr="00037C46">
        <w:t>the o</w:t>
      </w:r>
      <w:r w:rsidR="00E73474">
        <w:t xml:space="preserve">rder establishing procedure </w:t>
      </w:r>
      <w:r w:rsidR="00897232">
        <w:t>that</w:t>
      </w:r>
      <w:r w:rsidRPr="00037C46">
        <w:t xml:space="preserve"> allow</w:t>
      </w:r>
      <w:r w:rsidR="00897232">
        <w:t>ed</w:t>
      </w:r>
      <w:r w:rsidRPr="00037C46">
        <w:t xml:space="preserve"> the </w:t>
      </w:r>
      <w:r w:rsidR="00DA5A4C">
        <w:t>Company</w:t>
      </w:r>
      <w:r w:rsidRPr="00037C46">
        <w:t xml:space="preserve"> to file </w:t>
      </w:r>
      <w:r w:rsidR="00897232">
        <w:t xml:space="preserve">revised and </w:t>
      </w:r>
      <w:r w:rsidRPr="00037C46">
        <w:t>supplemental testimony</w:t>
      </w:r>
      <w:r w:rsidR="00692E9B">
        <w:t>,</w:t>
      </w:r>
      <w:r w:rsidRPr="00037C46">
        <w:t xml:space="preserve"> and </w:t>
      </w:r>
      <w:r w:rsidR="00897232">
        <w:t>extended</w:t>
      </w:r>
      <w:r w:rsidRPr="00037C46">
        <w:t xml:space="preserve"> testimony filing dates for Commission staff and the Office of Public Counsel (OPC). OPC is the only intervenor in </w:t>
      </w:r>
      <w:r w:rsidR="00FB0485" w:rsidRPr="00037C46">
        <w:t>t</w:t>
      </w:r>
      <w:r w:rsidR="00FB0485">
        <w:t xml:space="preserve">his </w:t>
      </w:r>
      <w:r w:rsidR="00FB0485" w:rsidRPr="00037C46">
        <w:t>docket</w:t>
      </w:r>
      <w:r w:rsidRPr="00037C46">
        <w:t xml:space="preserve">. </w:t>
      </w:r>
    </w:p>
    <w:p w:rsidR="003B3B97" w:rsidRPr="00553BC2" w:rsidRDefault="00037C46" w:rsidP="003B3B97">
      <w:pPr>
        <w:pStyle w:val="BodyText"/>
      </w:pPr>
      <w:r w:rsidRPr="00037C46">
        <w:t>The prehearing conference was held on November 5, 2018. On Monday, November 9, 2018, OPC filed a</w:t>
      </w:r>
      <w:r w:rsidR="002B3344">
        <w:t xml:space="preserve">n </w:t>
      </w:r>
      <w:r w:rsidR="00E77B68">
        <w:t>A</w:t>
      </w:r>
      <w:r w:rsidR="002B3344">
        <w:t>greed</w:t>
      </w:r>
      <w:r w:rsidRPr="00037C46">
        <w:t xml:space="preserve"> Motion to Consolidate for Purposes of Hearing </w:t>
      </w:r>
      <w:r w:rsidR="002B3344">
        <w:t>Docket Nos.</w:t>
      </w:r>
      <w:r w:rsidRPr="00037C46">
        <w:t xml:space="preserve"> 20180051-GU, 20180</w:t>
      </w:r>
      <w:r w:rsidR="007E7D76">
        <w:t>0</w:t>
      </w:r>
      <w:r w:rsidRPr="00037C46">
        <w:t>52-GU, 20180053-GU and 20180054-GU. On November 16, 2018</w:t>
      </w:r>
      <w:r w:rsidR="000E7938" w:rsidRPr="00037C46">
        <w:t>,</w:t>
      </w:r>
      <w:r w:rsidR="00E73474">
        <w:t xml:space="preserve"> </w:t>
      </w:r>
      <w:r w:rsidRPr="00037C46">
        <w:t xml:space="preserve">Prehearing Order </w:t>
      </w:r>
      <w:r w:rsidR="008C1587">
        <w:t xml:space="preserve">No. PSC-2018-0535-PHO-GU </w:t>
      </w:r>
      <w:r w:rsidR="00E73474">
        <w:t>was issued</w:t>
      </w:r>
      <w:r w:rsidR="00897232">
        <w:t xml:space="preserve"> and</w:t>
      </w:r>
      <w:r w:rsidR="00E73474">
        <w:t xml:space="preserve"> reflect</w:t>
      </w:r>
      <w:r w:rsidR="00897232">
        <w:t>ed proposed</w:t>
      </w:r>
      <w:r w:rsidR="00E73474">
        <w:t xml:space="preserve"> stipulations between FPUC and OPC on most of the issues</w:t>
      </w:r>
      <w:r w:rsidRPr="00037C46">
        <w:t>. Order No. PSC-2018-0555-PCO-GU</w:t>
      </w:r>
      <w:r w:rsidR="00897232">
        <w:t>,</w:t>
      </w:r>
      <w:r w:rsidRPr="00037C46">
        <w:t xml:space="preserve"> issued on Novemb</w:t>
      </w:r>
      <w:r w:rsidR="00E73474">
        <w:t>er 20, 2018, consolidat</w:t>
      </w:r>
      <w:r w:rsidR="00897232">
        <w:t>ed</w:t>
      </w:r>
      <w:r w:rsidR="00E73474">
        <w:t xml:space="preserve"> the four d</w:t>
      </w:r>
      <w:r w:rsidRPr="00037C46">
        <w:t>ockets for the purpose of the hearing. The hearing was held on November 27, 2018.</w:t>
      </w:r>
      <w:r w:rsidR="003B3B97" w:rsidRPr="003B3B97">
        <w:t xml:space="preserve"> </w:t>
      </w:r>
      <w:r w:rsidR="00897232">
        <w:t xml:space="preserve">At that time, the Commission voted to accept and approve the parties’ proposed stipulations. This recommendation addresses the remaining contested issues. </w:t>
      </w:r>
      <w:r w:rsidR="003B3B97" w:rsidRPr="00553BC2">
        <w:t xml:space="preserve">The Commission has jurisdiction pursuant to Sections </w:t>
      </w:r>
      <w:r w:rsidR="00897232">
        <w:t>366.04</w:t>
      </w:r>
      <w:r w:rsidR="003B3B97">
        <w:t>, 366.041, 366.06</w:t>
      </w:r>
      <w:r w:rsidR="008C1587">
        <w:t>,</w:t>
      </w:r>
      <w:r w:rsidR="003B3B97">
        <w:t xml:space="preserve"> and</w:t>
      </w:r>
      <w:r w:rsidR="003B3B97" w:rsidRPr="00553BC2">
        <w:t xml:space="preserve"> 366.07, Florida Statutes.</w:t>
      </w:r>
      <w:r w:rsidR="002B3344">
        <w:t xml:space="preserve"> </w:t>
      </w:r>
    </w:p>
    <w:p w:rsidR="0068481F" w:rsidRDefault="0068481F" w:rsidP="00C23868">
      <w:pPr>
        <w:pStyle w:val="BodyText"/>
      </w:pPr>
    </w:p>
    <w:p w:rsidR="007C0528" w:rsidRDefault="007C0528" w:rsidP="00C23868"/>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37C46" w:rsidRDefault="00037C46">
      <w:pPr>
        <w:pStyle w:val="IssueHeading"/>
        <w:rPr>
          <w:vanish/>
          <w:specVanish/>
        </w:rPr>
      </w:pPr>
      <w:r w:rsidRPr="004C3641">
        <w:t xml:space="preserve">Issue </w:t>
      </w:r>
      <w:r w:rsidR="00A87747">
        <w:t>4B</w:t>
      </w:r>
      <w:r w:rsidRPr="004C3641">
        <w:t>:</w:t>
      </w:r>
      <w:r>
        <w:fldChar w:fldCharType="begin"/>
      </w:r>
      <w:r>
        <w:instrText xml:space="preserve"> TC "</w:instrText>
      </w:r>
      <w:bookmarkStart w:id="17" w:name="_Toc535242565"/>
      <w:r w:rsidR="00F00D16">
        <w:instrText>4B</w:instrText>
      </w:r>
      <w:r>
        <w:tab/>
      </w:r>
      <w:r w:rsidR="00DA5A4C">
        <w:instrText>Appropriate disposition of the protected excess deferred taxes.</w:instrText>
      </w:r>
      <w:bookmarkEnd w:id="17"/>
      <w:r>
        <w:instrText xml:space="preserve">" \l 1 </w:instrText>
      </w:r>
      <w:r>
        <w:fldChar w:fldCharType="end"/>
      </w:r>
      <w:r>
        <w:t> </w:t>
      </w:r>
    </w:p>
    <w:p w:rsidR="00037C46" w:rsidRDefault="00037C46">
      <w:pPr>
        <w:pStyle w:val="BodyText"/>
      </w:pPr>
      <w:r>
        <w:t> What is the appropriate disposition of the protected excess deferred taxes?</w:t>
      </w:r>
    </w:p>
    <w:p w:rsidR="00037C46" w:rsidRPr="004C3641" w:rsidRDefault="00037C46">
      <w:pPr>
        <w:pStyle w:val="IssueSubsectionHeading"/>
        <w:rPr>
          <w:vanish/>
          <w:specVanish/>
        </w:rPr>
      </w:pPr>
      <w:r w:rsidRPr="004C3641">
        <w:t>Recommendation: </w:t>
      </w:r>
    </w:p>
    <w:p w:rsidR="00037C46" w:rsidRDefault="00037C46">
      <w:pPr>
        <w:pStyle w:val="BodyText"/>
      </w:pPr>
      <w:r>
        <w:t> </w:t>
      </w:r>
      <w:r w:rsidR="0039432E" w:rsidRPr="007C473E">
        <w:t>FPUC</w:t>
      </w:r>
      <w:r w:rsidR="0039432E">
        <w:t xml:space="preserve"> </w:t>
      </w:r>
      <w:r w:rsidR="0039432E" w:rsidRPr="00A935FF">
        <w:t xml:space="preserve">should be allowed to retain the </w:t>
      </w:r>
      <w:r w:rsidR="00E73474">
        <w:t>annual</w:t>
      </w:r>
      <w:r w:rsidR="0039432E" w:rsidRPr="00A935FF">
        <w:t xml:space="preserve"> amortized</w:t>
      </w:r>
      <w:r w:rsidR="00E73474">
        <w:t xml:space="preserve"> amount of the</w:t>
      </w:r>
      <w:r w:rsidR="0039432E" w:rsidRPr="00A935FF">
        <w:t xml:space="preserve"> </w:t>
      </w:r>
      <w:r w:rsidR="0039432E">
        <w:t xml:space="preserve">protected </w:t>
      </w:r>
      <w:r w:rsidR="00B04E5D">
        <w:t xml:space="preserve">excess </w:t>
      </w:r>
      <w:r w:rsidR="0039432E" w:rsidRPr="00A935FF">
        <w:t xml:space="preserve">deferred tax balance less the unprotected </w:t>
      </w:r>
      <w:r w:rsidR="00B04E5D">
        <w:t xml:space="preserve">excess </w:t>
      </w:r>
      <w:r w:rsidR="0039432E" w:rsidRPr="00A935FF">
        <w:t xml:space="preserve">deferred tax amortization, </w:t>
      </w:r>
      <w:r w:rsidR="002B3344">
        <w:t xml:space="preserve">for an </w:t>
      </w:r>
      <w:r w:rsidR="00190A00">
        <w:t xml:space="preserve">annual net </w:t>
      </w:r>
      <w:r w:rsidR="00C22B5F">
        <w:t xml:space="preserve">amount </w:t>
      </w:r>
      <w:r w:rsidR="00190A00">
        <w:t xml:space="preserve">of $537,174. </w:t>
      </w:r>
      <w:r w:rsidR="00127DA6">
        <w:t>(Hightower, D. Buys, Cicchetti)</w:t>
      </w:r>
    </w:p>
    <w:p w:rsidR="00037C46" w:rsidRPr="004C3641" w:rsidRDefault="00037C46">
      <w:pPr>
        <w:pStyle w:val="IssueSubsectionHeading"/>
        <w:keepNext/>
        <w:rPr>
          <w:iCs w:val="0"/>
        </w:rPr>
      </w:pPr>
      <w:r w:rsidRPr="004C3641">
        <w:rPr>
          <w:iCs w:val="0"/>
        </w:rPr>
        <w:t>Position of the Parties</w:t>
      </w:r>
    </w:p>
    <w:p w:rsidR="00037C46" w:rsidRDefault="0039432E" w:rsidP="008F555D">
      <w:pPr>
        <w:pStyle w:val="PartyName"/>
        <w:rPr>
          <w:vanish/>
          <w:specVanish/>
        </w:rPr>
      </w:pPr>
      <w:bookmarkStart w:id="18" w:name="Parties"/>
      <w:r>
        <w:t>FPUC</w:t>
      </w:r>
      <w:r w:rsidR="00037C46">
        <w:t>: </w:t>
      </w:r>
    </w:p>
    <w:p w:rsidR="00037C46" w:rsidRDefault="00037C46">
      <w:pPr>
        <w:pStyle w:val="BodyText"/>
      </w:pPr>
      <w:r>
        <w:t> </w:t>
      </w:r>
      <w:r w:rsidR="005D052C" w:rsidRPr="005D052C">
        <w:t>FPUC should be allowed to reta</w:t>
      </w:r>
      <w:r w:rsidR="00915B53">
        <w:t>in the estimated amortized deferr</w:t>
      </w:r>
      <w:r w:rsidR="005D052C" w:rsidRPr="005D052C">
        <w:t>ed balance less the unprotected deferred tax amortization, thereby fulfilling the purpose of the TCJA by allowing FPUC to continue making capital improvements and potentially delaying a rate proceeding.</w:t>
      </w:r>
    </w:p>
    <w:p w:rsidR="00037C46" w:rsidRDefault="0039432E" w:rsidP="008F555D">
      <w:pPr>
        <w:pStyle w:val="PartyName"/>
        <w:rPr>
          <w:vanish/>
          <w:specVanish/>
        </w:rPr>
      </w:pPr>
      <w:r>
        <w:t>OPC</w:t>
      </w:r>
      <w:r w:rsidR="00037C46">
        <w:t>: </w:t>
      </w:r>
    </w:p>
    <w:p w:rsidR="00037C46" w:rsidRDefault="00037C46" w:rsidP="005D052C">
      <w:pPr>
        <w:pStyle w:val="BodyText"/>
      </w:pPr>
      <w:r>
        <w:t> </w:t>
      </w:r>
      <w:r w:rsidR="005D052C" w:rsidRPr="005D052C">
        <w:t xml:space="preserve">The Company should not be allowed to retain the </w:t>
      </w:r>
      <w:r w:rsidR="00FA7440">
        <w:t>amount</w:t>
      </w:r>
      <w:r w:rsidR="005D052C" w:rsidRPr="005D052C">
        <w:t xml:space="preserve"> of the protected excess </w:t>
      </w:r>
      <w:r w:rsidR="00692E9B">
        <w:t>accumulated deferred income tax (</w:t>
      </w:r>
      <w:r w:rsidR="005D052C" w:rsidRPr="005D052C">
        <w:t>ADIT</w:t>
      </w:r>
      <w:r w:rsidR="00692E9B">
        <w:t>)</w:t>
      </w:r>
      <w:r w:rsidR="005D052C" w:rsidRPr="005D052C">
        <w:t>. The protected excess ADIT should be reversed using an Average Rate Assumption Method (“ARAM”) if the utility has the available information to calculate the ARAM, or via another appropriate method that complies with normalization requirements, if the Company does not have the information to compute the ARAM.</w:t>
      </w:r>
    </w:p>
    <w:bookmarkEnd w:id="18"/>
    <w:p w:rsidR="00037C46" w:rsidRPr="004C3641" w:rsidRDefault="00037C46">
      <w:pPr>
        <w:pStyle w:val="IssueSubsectionHeading"/>
        <w:rPr>
          <w:vanish/>
          <w:specVanish/>
        </w:rPr>
      </w:pPr>
      <w:r w:rsidRPr="004C3641">
        <w:t>Staff Analysis: </w:t>
      </w:r>
    </w:p>
    <w:p w:rsidR="00037C46" w:rsidRDefault="00037C46">
      <w:pPr>
        <w:pStyle w:val="BodyText"/>
      </w:pPr>
      <w:r>
        <w:t> </w:t>
      </w:r>
    </w:p>
    <w:p w:rsidR="00834801" w:rsidRDefault="00834801" w:rsidP="00834801">
      <w:pPr>
        <w:pStyle w:val="First-LevelSubheading"/>
        <w:jc w:val="center"/>
      </w:pPr>
      <w:r>
        <w:t>PARTIES’ ARGUMENTS</w:t>
      </w:r>
    </w:p>
    <w:p w:rsidR="00834801" w:rsidRDefault="00834801" w:rsidP="00834801">
      <w:pPr>
        <w:pStyle w:val="First-LevelSubheading"/>
      </w:pPr>
      <w:r>
        <w:t>FPUC</w:t>
      </w:r>
    </w:p>
    <w:p w:rsidR="00834801" w:rsidRPr="006F685A" w:rsidRDefault="003A1F40" w:rsidP="00834801">
      <w:pPr>
        <w:pStyle w:val="BodyText"/>
      </w:pPr>
      <w:r>
        <w:t>FPUC ar</w:t>
      </w:r>
      <w:r w:rsidR="003D7F1F">
        <w:t>gued that the Company is projected to be earning at the bottom of its allowable range of return on equity.</w:t>
      </w:r>
      <w:r w:rsidR="008C1587">
        <w:rPr>
          <w:rStyle w:val="FootnoteReference"/>
        </w:rPr>
        <w:footnoteReference w:id="1"/>
      </w:r>
      <w:r w:rsidR="003D7F1F">
        <w:t xml:space="preserve"> (</w:t>
      </w:r>
      <w:r w:rsidR="002A6710">
        <w:t xml:space="preserve">FPUC </w:t>
      </w:r>
      <w:r w:rsidR="003D7F1F">
        <w:t>BR 9</w:t>
      </w:r>
      <w:r w:rsidR="00B04E5D">
        <w:t xml:space="preserve">; </w:t>
      </w:r>
      <w:r w:rsidR="003D7F1F">
        <w:t xml:space="preserve">TR </w:t>
      </w:r>
      <w:r w:rsidR="00047D1B">
        <w:t>98</w:t>
      </w:r>
      <w:r w:rsidR="00127DA6">
        <w:t xml:space="preserve">) </w:t>
      </w:r>
      <w:r>
        <w:t>In light of the Company’s earning posture, FPUC argued that it should be allowed to retain the estimated annual amortized amount of the protected excess accumulated deferred</w:t>
      </w:r>
      <w:r w:rsidR="00190A00">
        <w:t xml:space="preserve"> income</w:t>
      </w:r>
      <w:r>
        <w:t xml:space="preserve"> tax </w:t>
      </w:r>
      <w:r w:rsidR="00BB6A7B">
        <w:t xml:space="preserve">(ADIT) </w:t>
      </w:r>
      <w:r>
        <w:t>balance of approximately $844,461, less the unprotected deferred tax amortization annual amount of $307,287, for a</w:t>
      </w:r>
      <w:r w:rsidR="00B42F42">
        <w:t>n annual</w:t>
      </w:r>
      <w:r>
        <w:t xml:space="preserve"> net </w:t>
      </w:r>
      <w:r w:rsidR="00C22B5F">
        <w:t>amount</w:t>
      </w:r>
      <w:r>
        <w:t xml:space="preserve"> of $537,174. (</w:t>
      </w:r>
      <w:r w:rsidR="002A6710">
        <w:t xml:space="preserve">FPUC </w:t>
      </w:r>
      <w:r>
        <w:t>BR 10</w:t>
      </w:r>
      <w:r w:rsidR="00463CF2">
        <w:t>;</w:t>
      </w:r>
      <w:r>
        <w:t xml:space="preserve"> TR 100) FPUC argued that the ability to retain the net</w:t>
      </w:r>
      <w:r w:rsidR="00B42F42">
        <w:t xml:space="preserve"> tax</w:t>
      </w:r>
      <w:r>
        <w:t xml:space="preserve"> </w:t>
      </w:r>
      <w:r w:rsidR="00C22B5F">
        <w:t>amount</w:t>
      </w:r>
      <w:r>
        <w:t xml:space="preserve"> will provide the Company with further opportunity to earn within its authorized range of </w:t>
      </w:r>
      <w:r w:rsidR="007961C3">
        <w:t>return on equity (</w:t>
      </w:r>
      <w:r w:rsidR="00162D60">
        <w:t>ROE</w:t>
      </w:r>
      <w:r w:rsidR="007961C3">
        <w:t>)</w:t>
      </w:r>
      <w:r w:rsidR="00B42F42">
        <w:t xml:space="preserve">, while also enabling the Company to </w:t>
      </w:r>
      <w:r w:rsidR="00190A00">
        <w:t>provide</w:t>
      </w:r>
      <w:r w:rsidR="00B42F42">
        <w:t xml:space="preserve"> service at present rates for a longer period, to continue making necessary capital investments, and </w:t>
      </w:r>
      <w:r w:rsidR="00A5590C">
        <w:t xml:space="preserve">to </w:t>
      </w:r>
      <w:r w:rsidR="00B42F42">
        <w:t xml:space="preserve">delay a costly rate </w:t>
      </w:r>
      <w:r w:rsidR="00127DA6">
        <w:t>proceeding</w:t>
      </w:r>
      <w:r w:rsidR="00B42F42">
        <w:t>. (</w:t>
      </w:r>
      <w:r w:rsidR="002A6710">
        <w:t xml:space="preserve">FPUC </w:t>
      </w:r>
      <w:r w:rsidR="00B42F42">
        <w:t>BR 10</w:t>
      </w:r>
      <w:r w:rsidR="00B04E5D">
        <w:t>;</w:t>
      </w:r>
      <w:r w:rsidR="00B42F42">
        <w:t xml:space="preserve"> TR 100) FPUC argued that if it is allowed to retain</w:t>
      </w:r>
      <w:r w:rsidR="0033335A">
        <w:t xml:space="preserve"> all of t</w:t>
      </w:r>
      <w:r w:rsidR="00B42F42">
        <w:t xml:space="preserve">he tax </w:t>
      </w:r>
      <w:r w:rsidR="00C22B5F">
        <w:t>amount</w:t>
      </w:r>
      <w:r w:rsidR="00B42F42">
        <w:t>s as proposed, the Company’s return on equity for 2019 is projected to be 8.67 percent</w:t>
      </w:r>
      <w:r w:rsidR="007961C3">
        <w:t>,</w:t>
      </w:r>
      <w:r w:rsidR="00A5590C">
        <w:t xml:space="preserve"> which is below FPUC</w:t>
      </w:r>
      <w:r w:rsidR="00B04E5D">
        <w:t>’</w:t>
      </w:r>
      <w:r w:rsidR="00A5590C">
        <w:t>s allowed range of return on equity of 9.</w:t>
      </w:r>
      <w:r w:rsidR="00DA5A4C">
        <w:t>85</w:t>
      </w:r>
      <w:r w:rsidR="00A5590C">
        <w:t xml:space="preserve"> to 11.85 percent</w:t>
      </w:r>
      <w:r w:rsidR="00B42F42">
        <w:t>.</w:t>
      </w:r>
      <w:r w:rsidR="007961C3">
        <w:rPr>
          <w:rStyle w:val="FootnoteReference"/>
        </w:rPr>
        <w:footnoteReference w:id="2"/>
      </w:r>
      <w:r w:rsidR="00B42F42">
        <w:t xml:space="preserve"> (</w:t>
      </w:r>
      <w:r w:rsidR="002A6710">
        <w:t xml:space="preserve">FPUC </w:t>
      </w:r>
      <w:r w:rsidR="00DA5A4C">
        <w:t>BR 12</w:t>
      </w:r>
      <w:r w:rsidR="00B04E5D">
        <w:t>;</w:t>
      </w:r>
      <w:r w:rsidR="00DA5A4C">
        <w:t xml:space="preserve"> EXH 10</w:t>
      </w:r>
      <w:r w:rsidR="00B04E5D">
        <w:t>,</w:t>
      </w:r>
      <w:r w:rsidR="00DA5A4C">
        <w:t xml:space="preserve"> BSP 00043</w:t>
      </w:r>
      <w:r w:rsidR="00E015A9">
        <w:t>; EXH 12, BSP 00067</w:t>
      </w:r>
      <w:r w:rsidR="00B42F42">
        <w:t xml:space="preserve">) </w:t>
      </w:r>
      <w:r w:rsidR="00F920DB">
        <w:t xml:space="preserve">FPUC also argued that if it is required to reduce its base rates by $537,174 for the net excess deferred tax </w:t>
      </w:r>
      <w:r w:rsidR="00C22B5F">
        <w:t>amount</w:t>
      </w:r>
      <w:r w:rsidR="00F920DB">
        <w:t xml:space="preserve">, its projected ROE would </w:t>
      </w:r>
      <w:r w:rsidR="00B04E5D">
        <w:t xml:space="preserve">be </w:t>
      </w:r>
      <w:r w:rsidR="00F920DB">
        <w:t xml:space="preserve">even lower, at 8.29 percent. </w:t>
      </w:r>
      <w:r w:rsidR="0033335A">
        <w:t>(</w:t>
      </w:r>
      <w:r w:rsidR="002A6710">
        <w:t xml:space="preserve">FPUC </w:t>
      </w:r>
      <w:r w:rsidR="0033335A">
        <w:t>BR 12, EXH 12</w:t>
      </w:r>
      <w:r w:rsidR="00047D1B">
        <w:t>, BSP 00064</w:t>
      </w:r>
      <w:r w:rsidR="0033335A">
        <w:t>)</w:t>
      </w:r>
      <w:r w:rsidR="00B42F42">
        <w:t xml:space="preserve"> </w:t>
      </w:r>
    </w:p>
    <w:p w:rsidR="00834801" w:rsidRDefault="00834801" w:rsidP="00834801">
      <w:pPr>
        <w:pStyle w:val="First-LevelSubheading"/>
      </w:pPr>
      <w:r>
        <w:t>OPC</w:t>
      </w:r>
    </w:p>
    <w:p w:rsidR="00834801" w:rsidRDefault="002A6710" w:rsidP="00834801">
      <w:pPr>
        <w:pStyle w:val="First-LevelSubheading"/>
        <w:rPr>
          <w:rFonts w:ascii="Times New Roman" w:hAnsi="Times New Roman" w:cs="Times New Roman"/>
          <w:b w:val="0"/>
        </w:rPr>
      </w:pPr>
      <w:r>
        <w:rPr>
          <w:rFonts w:ascii="Times New Roman" w:hAnsi="Times New Roman" w:cs="Times New Roman"/>
          <w:b w:val="0"/>
        </w:rPr>
        <w:t xml:space="preserve">OPC argued that the Commission should reject FPUC’s </w:t>
      </w:r>
      <w:r w:rsidR="00127DA6">
        <w:rPr>
          <w:rFonts w:ascii="Times New Roman" w:hAnsi="Times New Roman" w:cs="Times New Roman"/>
          <w:b w:val="0"/>
        </w:rPr>
        <w:t>proposal</w:t>
      </w:r>
      <w:r w:rsidR="008E4CB4">
        <w:rPr>
          <w:rFonts w:ascii="Times New Roman" w:hAnsi="Times New Roman" w:cs="Times New Roman"/>
          <w:b w:val="0"/>
        </w:rPr>
        <w:t xml:space="preserve"> to retain the tax </w:t>
      </w:r>
      <w:r w:rsidR="00FA7440">
        <w:rPr>
          <w:rFonts w:ascii="Times New Roman" w:hAnsi="Times New Roman" w:cs="Times New Roman"/>
          <w:b w:val="0"/>
        </w:rPr>
        <w:t>amount</w:t>
      </w:r>
      <w:r w:rsidR="008E4CB4">
        <w:rPr>
          <w:rFonts w:ascii="Times New Roman" w:hAnsi="Times New Roman" w:cs="Times New Roman"/>
          <w:b w:val="0"/>
        </w:rPr>
        <w:t xml:space="preserve"> associated with the protected deferred taxes</w:t>
      </w:r>
      <w:r>
        <w:rPr>
          <w:rFonts w:ascii="Times New Roman" w:hAnsi="Times New Roman" w:cs="Times New Roman"/>
          <w:b w:val="0"/>
        </w:rPr>
        <w:t xml:space="preserve"> as being unjust, unfair and unreasonable, and should </w:t>
      </w:r>
      <w:r>
        <w:rPr>
          <w:rFonts w:ascii="Times New Roman" w:hAnsi="Times New Roman" w:cs="Times New Roman"/>
          <w:b w:val="0"/>
        </w:rPr>
        <w:lastRenderedPageBreak/>
        <w:t xml:space="preserve">apply the estimated annual tax </w:t>
      </w:r>
      <w:r w:rsidR="00FA7440">
        <w:rPr>
          <w:rFonts w:ascii="Times New Roman" w:hAnsi="Times New Roman" w:cs="Times New Roman"/>
          <w:b w:val="0"/>
        </w:rPr>
        <w:t>savings</w:t>
      </w:r>
      <w:r>
        <w:rPr>
          <w:rFonts w:ascii="Times New Roman" w:hAnsi="Times New Roman" w:cs="Times New Roman"/>
          <w:b w:val="0"/>
        </w:rPr>
        <w:t xml:space="preserve"> of $537,174 for the benefit of customers in the form</w:t>
      </w:r>
      <w:r w:rsidR="00B04E5D">
        <w:rPr>
          <w:rFonts w:ascii="Times New Roman" w:hAnsi="Times New Roman" w:cs="Times New Roman"/>
          <w:b w:val="0"/>
        </w:rPr>
        <w:t xml:space="preserve"> of a rate reduction. (OPC BR 1;</w:t>
      </w:r>
      <w:r>
        <w:rPr>
          <w:rFonts w:ascii="Times New Roman" w:hAnsi="Times New Roman" w:cs="Times New Roman"/>
          <w:b w:val="0"/>
        </w:rPr>
        <w:t xml:space="preserve"> TR </w:t>
      </w:r>
      <w:r w:rsidR="00542BC8">
        <w:rPr>
          <w:rFonts w:ascii="Times New Roman" w:hAnsi="Times New Roman" w:cs="Times New Roman"/>
          <w:b w:val="0"/>
        </w:rPr>
        <w:t>23</w:t>
      </w:r>
      <w:r w:rsidR="00047D1B">
        <w:rPr>
          <w:rFonts w:ascii="Times New Roman" w:hAnsi="Times New Roman" w:cs="Times New Roman"/>
          <w:b w:val="0"/>
        </w:rPr>
        <w:t>2, 241</w:t>
      </w:r>
      <w:r>
        <w:rPr>
          <w:rFonts w:ascii="Times New Roman" w:hAnsi="Times New Roman" w:cs="Times New Roman"/>
          <w:b w:val="0"/>
        </w:rPr>
        <w:t>)</w:t>
      </w:r>
      <w:r w:rsidR="00194A00">
        <w:rPr>
          <w:rFonts w:ascii="Times New Roman" w:hAnsi="Times New Roman" w:cs="Times New Roman"/>
          <w:b w:val="0"/>
        </w:rPr>
        <w:t xml:space="preserve"> </w:t>
      </w:r>
      <w:r w:rsidR="00127DA6">
        <w:rPr>
          <w:rFonts w:ascii="Times New Roman" w:hAnsi="Times New Roman" w:cs="Times New Roman"/>
          <w:b w:val="0"/>
        </w:rPr>
        <w:t xml:space="preserve">OPC also argued that the tax </w:t>
      </w:r>
      <w:r w:rsidR="00FA7440">
        <w:rPr>
          <w:rFonts w:ascii="Times New Roman" w:hAnsi="Times New Roman" w:cs="Times New Roman"/>
          <w:b w:val="0"/>
        </w:rPr>
        <w:t>savings</w:t>
      </w:r>
      <w:r w:rsidR="00127DA6">
        <w:rPr>
          <w:rFonts w:ascii="Times New Roman" w:hAnsi="Times New Roman" w:cs="Times New Roman"/>
          <w:b w:val="0"/>
        </w:rPr>
        <w:t xml:space="preserve"> represents money that was previously paid by FPUC’s customers, </w:t>
      </w:r>
      <w:r w:rsidR="00B04E5D">
        <w:rPr>
          <w:rFonts w:ascii="Times New Roman" w:hAnsi="Times New Roman" w:cs="Times New Roman"/>
          <w:b w:val="0"/>
        </w:rPr>
        <w:t xml:space="preserve">and that the money therefore </w:t>
      </w:r>
      <w:r w:rsidR="00127DA6">
        <w:rPr>
          <w:rFonts w:ascii="Times New Roman" w:hAnsi="Times New Roman" w:cs="Times New Roman"/>
          <w:b w:val="0"/>
        </w:rPr>
        <w:t xml:space="preserve">belongs to </w:t>
      </w:r>
      <w:r w:rsidR="00A315C9">
        <w:rPr>
          <w:rFonts w:ascii="Times New Roman" w:hAnsi="Times New Roman" w:cs="Times New Roman"/>
          <w:b w:val="0"/>
        </w:rPr>
        <w:t>those customers</w:t>
      </w:r>
      <w:r w:rsidR="00127DA6">
        <w:rPr>
          <w:rFonts w:ascii="Times New Roman" w:hAnsi="Times New Roman" w:cs="Times New Roman"/>
          <w:b w:val="0"/>
        </w:rPr>
        <w:t xml:space="preserve"> and should be returned to them. (OPC BR 5) </w:t>
      </w:r>
      <w:r w:rsidR="00194A00">
        <w:rPr>
          <w:rFonts w:ascii="Times New Roman" w:hAnsi="Times New Roman" w:cs="Times New Roman"/>
          <w:b w:val="0"/>
        </w:rPr>
        <w:t xml:space="preserve">Finally, OPC argued that the TCJA did not contain any language, express or otherwise, that suggests an intended goal of the </w:t>
      </w:r>
      <w:r w:rsidR="00A315C9">
        <w:rPr>
          <w:rFonts w:ascii="Times New Roman" w:hAnsi="Times New Roman" w:cs="Times New Roman"/>
          <w:b w:val="0"/>
        </w:rPr>
        <w:t>TCJA</w:t>
      </w:r>
      <w:r w:rsidR="00194A00">
        <w:rPr>
          <w:rFonts w:ascii="Times New Roman" w:hAnsi="Times New Roman" w:cs="Times New Roman"/>
          <w:b w:val="0"/>
        </w:rPr>
        <w:t xml:space="preserve"> was to allow a utility to keep tax savings so as to continue making capital investments</w:t>
      </w:r>
      <w:r w:rsidR="00A315C9">
        <w:rPr>
          <w:rFonts w:ascii="Times New Roman" w:hAnsi="Times New Roman" w:cs="Times New Roman"/>
          <w:b w:val="0"/>
        </w:rPr>
        <w:t>,</w:t>
      </w:r>
      <w:r w:rsidR="00194A00">
        <w:rPr>
          <w:rFonts w:ascii="Times New Roman" w:hAnsi="Times New Roman" w:cs="Times New Roman"/>
          <w:b w:val="0"/>
        </w:rPr>
        <w:t xml:space="preserve"> while potentially delaying the need for a rate proceeding. (OPC BR 5</w:t>
      </w:r>
      <w:r w:rsidR="00A315C9">
        <w:rPr>
          <w:rFonts w:ascii="Times New Roman" w:hAnsi="Times New Roman" w:cs="Times New Roman"/>
          <w:b w:val="0"/>
        </w:rPr>
        <w:t>;</w:t>
      </w:r>
      <w:r w:rsidR="00194A00">
        <w:rPr>
          <w:rFonts w:ascii="Times New Roman" w:hAnsi="Times New Roman" w:cs="Times New Roman"/>
          <w:b w:val="0"/>
        </w:rPr>
        <w:t xml:space="preserve"> TR 184)</w:t>
      </w:r>
    </w:p>
    <w:p w:rsidR="008E4CB4" w:rsidRPr="008E4CB4" w:rsidRDefault="008E4CB4" w:rsidP="008E4CB4">
      <w:pPr>
        <w:pStyle w:val="BodyText"/>
      </w:pPr>
    </w:p>
    <w:p w:rsidR="00834801" w:rsidRDefault="00834801" w:rsidP="00411E6A">
      <w:pPr>
        <w:pStyle w:val="First-LevelSubheading"/>
        <w:spacing w:after="240"/>
        <w:jc w:val="center"/>
      </w:pPr>
      <w:r>
        <w:t>ANALYSIS</w:t>
      </w:r>
    </w:p>
    <w:p w:rsidR="00FE4766" w:rsidRDefault="000E7EB9">
      <w:pPr>
        <w:pStyle w:val="BodyText"/>
      </w:pPr>
      <w:r>
        <w:t>FPUC</w:t>
      </w:r>
      <w:r w:rsidR="005D1A5D">
        <w:t xml:space="preserve"> and OPC agree</w:t>
      </w:r>
      <w:r w:rsidR="009321E6">
        <w:t xml:space="preserve"> on the amount of the </w:t>
      </w:r>
      <w:r w:rsidR="009F0BF2">
        <w:t>protected excess deferred tax of $21,955,992, amortized over 26 years, resulting in an annual t</w:t>
      </w:r>
      <w:r w:rsidR="00F55B62">
        <w:t xml:space="preserve">ax </w:t>
      </w:r>
      <w:r w:rsidR="00C22B5F">
        <w:t>amount</w:t>
      </w:r>
      <w:r w:rsidR="00F55B62">
        <w:t xml:space="preserve"> of $844,461. (TR 100, 232</w:t>
      </w:r>
      <w:r w:rsidR="009F0BF2">
        <w:t>)</w:t>
      </w:r>
      <w:r w:rsidR="00FE4766">
        <w:t xml:space="preserve"> </w:t>
      </w:r>
      <w:r w:rsidR="00B32BF9">
        <w:t xml:space="preserve">Where the parties differ is how the disposition of the </w:t>
      </w:r>
      <w:r w:rsidR="00A74348">
        <w:t xml:space="preserve">tax </w:t>
      </w:r>
      <w:r w:rsidR="00FA7440">
        <w:t>savings</w:t>
      </w:r>
      <w:r w:rsidR="00A74348">
        <w:t xml:space="preserve"> </w:t>
      </w:r>
      <w:r w:rsidR="00A5590C">
        <w:t>should</w:t>
      </w:r>
      <w:r w:rsidR="00B32BF9">
        <w:t xml:space="preserve"> be resolved. OPC argued that the tax </w:t>
      </w:r>
      <w:r w:rsidR="00FA7440">
        <w:t>savings</w:t>
      </w:r>
      <w:r w:rsidR="00B32BF9">
        <w:t xml:space="preserve"> should be returned to FPUC’s customers regardless of the Company’s earnings posture to satisfy the intent of the TCJA. (OPC </w:t>
      </w:r>
      <w:r w:rsidR="00162D60">
        <w:t xml:space="preserve">BR </w:t>
      </w:r>
      <w:r w:rsidR="00047D1B">
        <w:t>10</w:t>
      </w:r>
      <w:r w:rsidR="00127DA6">
        <w:t>)</w:t>
      </w:r>
      <w:r w:rsidR="00F55B62">
        <w:t xml:space="preserve"> </w:t>
      </w:r>
      <w:r w:rsidR="00B32BF9">
        <w:t>FPUC propose</w:t>
      </w:r>
      <w:r w:rsidR="00A74348">
        <w:t>d</w:t>
      </w:r>
      <w:r w:rsidR="00F55B62">
        <w:t xml:space="preserve"> to retain the tax </w:t>
      </w:r>
      <w:r w:rsidR="00FA7440">
        <w:t>savings</w:t>
      </w:r>
      <w:r w:rsidR="00F55B62">
        <w:t xml:space="preserve"> </w:t>
      </w:r>
      <w:r w:rsidR="00A74348">
        <w:t>which</w:t>
      </w:r>
      <w:r w:rsidR="00FA7440">
        <w:t>, it argued,</w:t>
      </w:r>
      <w:r w:rsidR="00A74348">
        <w:t xml:space="preserve"> will benefit its customers by enabling the Company to delay a rate case and place downward pressure on the requested rate increase in its next rate case</w:t>
      </w:r>
      <w:r w:rsidR="005B5170">
        <w:t>. (FPUC BR 1</w:t>
      </w:r>
      <w:r w:rsidR="00A74348">
        <w:t>1</w:t>
      </w:r>
      <w:r w:rsidR="005B5170">
        <w:t xml:space="preserve">) </w:t>
      </w:r>
      <w:r w:rsidR="00F55B62">
        <w:t xml:space="preserve"> </w:t>
      </w:r>
    </w:p>
    <w:p w:rsidR="00CE55C2" w:rsidRDefault="005B5170" w:rsidP="00084927">
      <w:pPr>
        <w:pStyle w:val="BodyText"/>
      </w:pPr>
      <w:r>
        <w:t xml:space="preserve">OPC </w:t>
      </w:r>
      <w:r w:rsidR="00FE4766">
        <w:t>w</w:t>
      </w:r>
      <w:r w:rsidR="00FE4766" w:rsidRPr="00FE4766">
        <w:t xml:space="preserve">itness Smith </w:t>
      </w:r>
      <w:r>
        <w:t xml:space="preserve">relied on a 1982 Florida Supreme </w:t>
      </w:r>
      <w:r w:rsidR="00127DA6">
        <w:t>Court</w:t>
      </w:r>
      <w:r>
        <w:t xml:space="preserve"> decision in </w:t>
      </w:r>
      <w:r w:rsidR="00A315C9" w:rsidRPr="00A315C9">
        <w:rPr>
          <w:u w:val="single"/>
        </w:rPr>
        <w:t>Reedy Creek</w:t>
      </w:r>
      <w:r w:rsidR="00FE4766" w:rsidRPr="005B5170">
        <w:rPr>
          <w:u w:val="single"/>
        </w:rPr>
        <w:t xml:space="preserve"> </w:t>
      </w:r>
      <w:proofErr w:type="spellStart"/>
      <w:r w:rsidR="00A306DE">
        <w:rPr>
          <w:u w:val="single"/>
        </w:rPr>
        <w:t>Utils</w:t>
      </w:r>
      <w:proofErr w:type="spellEnd"/>
      <w:r w:rsidR="00A306DE">
        <w:rPr>
          <w:u w:val="single"/>
        </w:rPr>
        <w:t xml:space="preserve">. </w:t>
      </w:r>
      <w:r w:rsidR="00FE4766" w:rsidRPr="005B5170">
        <w:rPr>
          <w:u w:val="single"/>
        </w:rPr>
        <w:t>Co. v. Fla. Public Serv. Comm.</w:t>
      </w:r>
      <w:r w:rsidR="00FE4766" w:rsidRPr="00FE4766">
        <w:t>, 41</w:t>
      </w:r>
      <w:r w:rsidR="00A306DE">
        <w:t>8 So. 2d</w:t>
      </w:r>
      <w:r>
        <w:t xml:space="preserve"> 249, 254 (Fla. 1982), which stated, </w:t>
      </w:r>
      <w:r w:rsidR="00FE4766" w:rsidRPr="00FE4766">
        <w:t>“</w:t>
      </w:r>
      <w:r w:rsidR="007961C3">
        <w:t>[</w:t>
      </w:r>
      <w:r w:rsidR="00A306DE">
        <w:t>a</w:t>
      </w:r>
      <w:r w:rsidR="007961C3">
        <w:t>]</w:t>
      </w:r>
      <w:r>
        <w:t xml:space="preserve"> </w:t>
      </w:r>
      <w:r w:rsidR="00FE4766" w:rsidRPr="00FE4766">
        <w:t>chan</w:t>
      </w:r>
      <w:r w:rsidR="00353D6B">
        <w:t>ge in a tax law should no</w:t>
      </w:r>
      <w:r w:rsidR="00A306DE">
        <w:t xml:space="preserve"> [sic]</w:t>
      </w:r>
      <w:r w:rsidR="00FE4766" w:rsidRPr="00FE4766">
        <w:t xml:space="preserve"> result in a ‘windfall’ to a utility, but in a refund to the customer who paid the revenue that translated into the</w:t>
      </w:r>
      <w:r w:rsidR="00621678">
        <w:t xml:space="preserve"> tax saving.” </w:t>
      </w:r>
      <w:r w:rsidR="00127DA6">
        <w:t xml:space="preserve">(OPC BR 6; TR 235; </w:t>
      </w:r>
      <w:r w:rsidR="00047D1B">
        <w:t>EXH</w:t>
      </w:r>
      <w:r w:rsidR="00127DA6">
        <w:t xml:space="preserve"> </w:t>
      </w:r>
      <w:r w:rsidR="00047D1B">
        <w:t>17</w:t>
      </w:r>
      <w:r w:rsidR="00127DA6">
        <w:t>)</w:t>
      </w:r>
      <w:r w:rsidR="00190A00">
        <w:t xml:space="preserve"> OPC argued that, by definition,</w:t>
      </w:r>
      <w:r w:rsidR="00FE4766" w:rsidRPr="00FE4766">
        <w:t xml:space="preserve"> the</w:t>
      </w:r>
      <w:r w:rsidR="00621678">
        <w:t xml:space="preserve"> excess tax monies in FPUC</w:t>
      </w:r>
      <w:r w:rsidR="00FE4766" w:rsidRPr="00FE4766">
        <w:t>’s possession are a windfall</w:t>
      </w:r>
      <w:r w:rsidR="00A73188">
        <w:t xml:space="preserve"> to the Company that should be flowed back to the customers who paid the taxes in rates</w:t>
      </w:r>
      <w:r w:rsidR="00B32BF9">
        <w:t>.</w:t>
      </w:r>
      <w:r w:rsidR="00FE4766" w:rsidRPr="00FE4766">
        <w:t xml:space="preserve"> (OPC BR </w:t>
      </w:r>
      <w:r w:rsidR="00A315C9">
        <w:t xml:space="preserve">7, </w:t>
      </w:r>
      <w:r w:rsidR="00A73188">
        <w:t>10</w:t>
      </w:r>
      <w:r w:rsidR="00FE4766" w:rsidRPr="00FE4766">
        <w:t>)</w:t>
      </w:r>
      <w:r w:rsidR="00A73188">
        <w:t xml:space="preserve"> OPC pointed out </w:t>
      </w:r>
      <w:r w:rsidR="00DA0368">
        <w:t>du</w:t>
      </w:r>
      <w:r w:rsidR="00A306DE">
        <w:t>ring cross-</w:t>
      </w:r>
      <w:r w:rsidR="00A73188">
        <w:t xml:space="preserve">examination </w:t>
      </w:r>
      <w:r w:rsidR="00DA0368">
        <w:t xml:space="preserve">of </w:t>
      </w:r>
      <w:r w:rsidR="00A73188">
        <w:t>FPUC witness Cassel that he</w:t>
      </w:r>
      <w:r w:rsidR="00DA0368">
        <w:t xml:space="preserve"> admitted he did not </w:t>
      </w:r>
      <w:r w:rsidR="00A73188">
        <w:t>provide</w:t>
      </w:r>
      <w:r w:rsidR="00DA0368">
        <w:t xml:space="preserve"> in his testimony</w:t>
      </w:r>
      <w:r w:rsidR="00A73188">
        <w:t xml:space="preserve"> any calculations or evidence to demonstrate what the Company’s projected earnings would be if the tax </w:t>
      </w:r>
      <w:r w:rsidR="006B424B">
        <w:t>savings</w:t>
      </w:r>
      <w:r w:rsidR="00A73188">
        <w:t xml:space="preserve"> were retained by the Company. (OPC BR </w:t>
      </w:r>
      <w:r w:rsidR="007961C3">
        <w:t>8-9</w:t>
      </w:r>
      <w:r w:rsidR="00A315C9">
        <w:t>;</w:t>
      </w:r>
      <w:r w:rsidR="00A73188">
        <w:t xml:space="preserve"> TR 182)</w:t>
      </w:r>
      <w:r w:rsidR="00CE55C2">
        <w:t xml:space="preserve"> </w:t>
      </w:r>
      <w:r w:rsidR="00A315C9">
        <w:t>However, i</w:t>
      </w:r>
      <w:r w:rsidR="00CE55C2">
        <w:t xml:space="preserve">n response to a staff </w:t>
      </w:r>
      <w:r w:rsidR="000E7EB9">
        <w:t>interrogatory</w:t>
      </w:r>
      <w:r w:rsidR="00CE55C2">
        <w:t>, FPUC indic</w:t>
      </w:r>
      <w:r w:rsidR="00A315C9">
        <w:t>a</w:t>
      </w:r>
      <w:r w:rsidR="00CE55C2">
        <w:t xml:space="preserve">ted that its forecasted ROE for 2018 and 2019 would be 9.10 and 8.67 percent, respectively, if it were to retain all the tax </w:t>
      </w:r>
      <w:r w:rsidR="006B424B">
        <w:t>savings</w:t>
      </w:r>
      <w:r w:rsidR="00CE55C2">
        <w:t xml:space="preserve"> resulting from the TCJA. (EXH 12</w:t>
      </w:r>
      <w:r w:rsidR="00E015A9">
        <w:t xml:space="preserve">, BSP </w:t>
      </w:r>
      <w:r w:rsidR="00A315C9">
        <w:t xml:space="preserve">00062, </w:t>
      </w:r>
      <w:r w:rsidR="00E015A9">
        <w:t>00067</w:t>
      </w:r>
      <w:r w:rsidR="00CE55C2">
        <w:t>)</w:t>
      </w:r>
    </w:p>
    <w:p w:rsidR="00740265" w:rsidRDefault="00B8149A" w:rsidP="00084927">
      <w:pPr>
        <w:pStyle w:val="BodyText"/>
      </w:pPr>
      <w:r>
        <w:t>FPUC</w:t>
      </w:r>
      <w:r w:rsidR="00163B26">
        <w:t xml:space="preserve"> noted</w:t>
      </w:r>
      <w:r w:rsidR="004E0E1D">
        <w:t xml:space="preserve"> that OPC w</w:t>
      </w:r>
      <w:r w:rsidR="00B32BF9" w:rsidRPr="00DA0368">
        <w:t xml:space="preserve">itness Smith </w:t>
      </w:r>
      <w:r w:rsidR="004E0E1D">
        <w:t xml:space="preserve">acknowledged that </w:t>
      </w:r>
      <w:r w:rsidR="00A315C9" w:rsidRPr="00190A00">
        <w:t>Reedy Creek</w:t>
      </w:r>
      <w:r w:rsidR="00B32BF9" w:rsidRPr="00DA0368">
        <w:t xml:space="preserve"> </w:t>
      </w:r>
      <w:r w:rsidR="00163B26">
        <w:t xml:space="preserve">utility </w:t>
      </w:r>
      <w:r w:rsidR="00B32BF9" w:rsidRPr="00DA0368">
        <w:t xml:space="preserve">was in an over-earnings position at the time of the 1978 </w:t>
      </w:r>
      <w:r w:rsidR="004E0E1D">
        <w:t xml:space="preserve">Tax </w:t>
      </w:r>
      <w:r w:rsidR="00B32BF9" w:rsidRPr="00DA0368">
        <w:t>Reform; thus, the issue that ultimat</w:t>
      </w:r>
      <w:r w:rsidR="004E0E1D">
        <w:t>ely came before the</w:t>
      </w:r>
      <w:r w:rsidR="001D3223">
        <w:t xml:space="preserve"> </w:t>
      </w:r>
      <w:r w:rsidR="00FB0485">
        <w:t>Florida Supreme</w:t>
      </w:r>
      <w:r w:rsidR="004E0E1D">
        <w:t xml:space="preserve"> Court</w:t>
      </w:r>
      <w:r w:rsidR="00B32BF9" w:rsidRPr="00DA0368">
        <w:t xml:space="preserve"> in the </w:t>
      </w:r>
      <w:r w:rsidR="00A315C9" w:rsidRPr="00A315C9">
        <w:rPr>
          <w:u w:val="single"/>
        </w:rPr>
        <w:t>Reedy Creek</w:t>
      </w:r>
      <w:r w:rsidR="004E0E1D">
        <w:t xml:space="preserve"> </w:t>
      </w:r>
      <w:r w:rsidR="00B32BF9" w:rsidRPr="00DA0368">
        <w:t xml:space="preserve">case was a question of how much </w:t>
      </w:r>
      <w:r w:rsidR="00163B26">
        <w:t>the utility</w:t>
      </w:r>
      <w:r w:rsidR="00B32BF9" w:rsidRPr="00DA0368">
        <w:t xml:space="preserve"> would be required to refund. </w:t>
      </w:r>
      <w:r w:rsidR="004E0E1D">
        <w:t xml:space="preserve">(FPUC BR 14) </w:t>
      </w:r>
      <w:r w:rsidR="00B32BF9" w:rsidRPr="00DA0368">
        <w:t xml:space="preserve">The Commission had already determined that </w:t>
      </w:r>
      <w:r w:rsidR="00A315C9" w:rsidRPr="00190A00">
        <w:t>Reedy Creek</w:t>
      </w:r>
      <w:r w:rsidR="00B32BF9" w:rsidRPr="00DA0368">
        <w:t xml:space="preserve"> would have to </w:t>
      </w:r>
      <w:r w:rsidR="001D3223">
        <w:t>provide</w:t>
      </w:r>
      <w:r w:rsidR="00163B26">
        <w:t xml:space="preserve"> a refund </w:t>
      </w:r>
      <w:r w:rsidR="00B32BF9" w:rsidRPr="00DA0368">
        <w:t xml:space="preserve">because it was over-earning. </w:t>
      </w:r>
      <w:r w:rsidR="004E0E1D">
        <w:t>(FPUC BR</w:t>
      </w:r>
      <w:r w:rsidR="00047D1B">
        <w:t xml:space="preserve"> 14</w:t>
      </w:r>
      <w:r w:rsidR="004E0E1D">
        <w:t>, TR 308</w:t>
      </w:r>
      <w:r w:rsidR="007E7D76">
        <w:t>)</w:t>
      </w:r>
      <w:r w:rsidR="00B32BF9" w:rsidRPr="00DA0368">
        <w:t xml:space="preserve"> </w:t>
      </w:r>
    </w:p>
    <w:p w:rsidR="009830E2" w:rsidRDefault="009830E2" w:rsidP="009830E2">
      <w:pPr>
        <w:pStyle w:val="BodyText"/>
      </w:pPr>
      <w:r>
        <w:t xml:space="preserve">In </w:t>
      </w:r>
      <w:r w:rsidR="00771309">
        <w:t xml:space="preserve">the </w:t>
      </w:r>
      <w:r w:rsidRPr="009830E2">
        <w:rPr>
          <w:u w:val="single"/>
        </w:rPr>
        <w:t>Reedy Creek</w:t>
      </w:r>
      <w:r w:rsidR="00771309">
        <w:t xml:space="preserve"> decision, the Florida Supreme Court acknowledged</w:t>
      </w:r>
      <w:r w:rsidR="005D1A5D">
        <w:t xml:space="preserve"> the Commission’s decision where</w:t>
      </w:r>
      <w:r w:rsidR="00771309">
        <w:t>in the Commission stated its position regarding a company’s over-earnings position</w:t>
      </w:r>
      <w:r w:rsidRPr="009830E2">
        <w:t>:</w:t>
      </w:r>
      <w:r>
        <w:t xml:space="preserve"> </w:t>
      </w:r>
    </w:p>
    <w:p w:rsidR="00740265" w:rsidRDefault="00740265" w:rsidP="009830E2">
      <w:pPr>
        <w:pStyle w:val="BodyText"/>
        <w:ind w:left="720" w:right="720"/>
      </w:pPr>
      <w:r>
        <w:t xml:space="preserve">Viewing the documents together with the testimony in the record, it is clear that a utility would be required to refund revenues if and only if it were earning in excess </w:t>
      </w:r>
      <w:r w:rsidR="001B61E0">
        <w:t>o</w:t>
      </w:r>
      <w:r>
        <w:t>f the range of its authorized rate of return.</w:t>
      </w:r>
      <w:r w:rsidR="001B61E0">
        <w:t xml:space="preserve"> </w:t>
      </w:r>
      <w:r w:rsidR="00452DE9">
        <w:t>(EXH 17)</w:t>
      </w:r>
    </w:p>
    <w:p w:rsidR="00B32BF9" w:rsidRPr="00DA0368" w:rsidRDefault="004E0E1D" w:rsidP="00084927">
      <w:pPr>
        <w:pStyle w:val="BodyText"/>
      </w:pPr>
      <w:r>
        <w:lastRenderedPageBreak/>
        <w:t xml:space="preserve">FPUC argued that </w:t>
      </w:r>
      <w:r w:rsidR="00163B26">
        <w:t xml:space="preserve">OPC </w:t>
      </w:r>
      <w:r w:rsidR="00C546D7">
        <w:t>w</w:t>
      </w:r>
      <w:r w:rsidR="00B32BF9" w:rsidRPr="00DA0368">
        <w:t xml:space="preserve">itness Smith's refusal to consider FPUC's earnings posture in rendering his opinion </w:t>
      </w:r>
      <w:r w:rsidR="001D3223">
        <w:t>of</w:t>
      </w:r>
      <w:r w:rsidR="00B32BF9" w:rsidRPr="00DA0368">
        <w:t xml:space="preserve"> FPUC’s proposals to retain some of the TCJA </w:t>
      </w:r>
      <w:r w:rsidR="00FA7440">
        <w:t>tax savings</w:t>
      </w:r>
      <w:r w:rsidR="00B32BF9" w:rsidRPr="00DA0368">
        <w:t xml:space="preserve"> is contrary to prior Commission policy as reflected in Order Nos. 8624 and 8624A</w:t>
      </w:r>
      <w:r w:rsidR="001D3223">
        <w:t>,</w:t>
      </w:r>
      <w:r w:rsidR="00B32BF9" w:rsidRPr="00DA0368">
        <w:t xml:space="preserve"> and overstates the applicability of the Court's conclusions in the </w:t>
      </w:r>
      <w:r w:rsidR="00A315C9" w:rsidRPr="00A315C9">
        <w:rPr>
          <w:u w:val="single"/>
        </w:rPr>
        <w:t>Reedy Creek</w:t>
      </w:r>
      <w:r w:rsidR="00B32BF9" w:rsidRPr="00DA0368">
        <w:t xml:space="preserve"> case. </w:t>
      </w:r>
      <w:r>
        <w:t xml:space="preserve">(FPUC BR 14) </w:t>
      </w:r>
      <w:r w:rsidR="00B32BF9" w:rsidRPr="00DA0368">
        <w:t xml:space="preserve">As such, </w:t>
      </w:r>
      <w:r w:rsidR="00A5590C">
        <w:t xml:space="preserve">FPCU contends OPC’s </w:t>
      </w:r>
      <w:r w:rsidR="00B32BF9" w:rsidRPr="00DA0368">
        <w:t>arguments on this point should be rejected</w:t>
      </w:r>
      <w:r w:rsidR="001D3223">
        <w:t xml:space="preserve"> and staff agrees with the Company’s interpretation</w:t>
      </w:r>
      <w:r w:rsidR="00B32BF9" w:rsidRPr="00DA0368">
        <w:t>.</w:t>
      </w:r>
      <w:r>
        <w:t xml:space="preserve"> (FPUC BR 14)</w:t>
      </w:r>
    </w:p>
    <w:p w:rsidR="003E3FC8" w:rsidRDefault="003E3FC8" w:rsidP="00084927">
      <w:pPr>
        <w:pStyle w:val="BodyText"/>
      </w:pPr>
      <w:r w:rsidRPr="003E3FC8">
        <w:t xml:space="preserve">OPC maintained that </w:t>
      </w:r>
      <w:r>
        <w:t>FPUC</w:t>
      </w:r>
      <w:r w:rsidRPr="003E3FC8">
        <w:t xml:space="preserve"> witness Cassel’s interpretation of the </w:t>
      </w:r>
      <w:r w:rsidRPr="003E3FC8">
        <w:rPr>
          <w:u w:val="single"/>
        </w:rPr>
        <w:t>Reedy Creek</w:t>
      </w:r>
      <w:r w:rsidRPr="003E3FC8">
        <w:t xml:space="preserve"> decision mistakenly links the over-earnings posture of the company in that case with the Court’s use of the term “windfall.” (OPC BR </w:t>
      </w:r>
      <w:r>
        <w:t>9</w:t>
      </w:r>
      <w:r w:rsidRPr="003E3FC8">
        <w:t xml:space="preserve">) Staff disagrees with OPC’s argument. It is staff’s opinion that in the </w:t>
      </w:r>
      <w:r w:rsidRPr="003E3FC8">
        <w:rPr>
          <w:u w:val="single"/>
        </w:rPr>
        <w:t>Reedy Creek</w:t>
      </w:r>
      <w:r w:rsidRPr="003E3FC8">
        <w:t xml:space="preserve"> case, the utility was ordered to make a refund to its customers because regulated utilities are not allowed to earn above the Commission authorized range of ROE regardless of the cause, and therefore, any over-earnings should be refunded to the customers. In Order No. 8624 the Commission asserted, “It is the Commission’s responsibility to ensure they do not earn in excess of a fair and reasonable return upon their investment.”</w:t>
      </w:r>
      <w:r>
        <w:rPr>
          <w:rStyle w:val="FootnoteReference"/>
        </w:rPr>
        <w:footnoteReference w:id="3"/>
      </w:r>
      <w:r w:rsidRPr="003E3FC8">
        <w:t xml:space="preserve">  </w:t>
      </w:r>
    </w:p>
    <w:p w:rsidR="00084927" w:rsidRDefault="003E3FC8" w:rsidP="00084927">
      <w:pPr>
        <w:pStyle w:val="BodyText"/>
      </w:pPr>
      <w:r>
        <w:t xml:space="preserve">The </w:t>
      </w:r>
      <w:r w:rsidR="00897232">
        <w:t>r</w:t>
      </w:r>
      <w:r w:rsidR="00AC0A8E">
        <w:t>ecord evidence demonstrates that FPUC is earning below its allowed range of ROE. (FPUC BR 12</w:t>
      </w:r>
      <w:r w:rsidR="009B24DA">
        <w:t>;</w:t>
      </w:r>
      <w:r w:rsidR="00AC0A8E">
        <w:t xml:space="preserve"> TR 102</w:t>
      </w:r>
      <w:r w:rsidR="009B24DA">
        <w:t>;</w:t>
      </w:r>
      <w:r w:rsidR="00AC0A8E">
        <w:t xml:space="preserve"> EXH 15</w:t>
      </w:r>
      <w:r w:rsidR="009B24DA">
        <w:t>, BSP 000</w:t>
      </w:r>
      <w:r>
        <w:t>518</w:t>
      </w:r>
      <w:r w:rsidR="00AC0A8E">
        <w:t xml:space="preserve">) </w:t>
      </w:r>
      <w:r w:rsidR="00127DA6">
        <w:t xml:space="preserve">The record also indicates that even with FPUC retaining all of the tax </w:t>
      </w:r>
      <w:r w:rsidR="00FA7440">
        <w:t>savings</w:t>
      </w:r>
      <w:r w:rsidR="00127DA6">
        <w:t xml:space="preserve"> it has requested</w:t>
      </w:r>
      <w:r w:rsidR="00A5590C">
        <w:t>,</w:t>
      </w:r>
      <w:r w:rsidR="00127DA6">
        <w:t xml:space="preserve"> the Company will not earn above its authorized range of ROE.</w:t>
      </w:r>
      <w:r w:rsidR="009B24DA">
        <w:t xml:space="preserve"> (EXH 12, BSP 00062, 00067)</w:t>
      </w:r>
      <w:r w:rsidR="00897232">
        <w:t xml:space="preserve"> Staff agrees with FPUC that a key factor in the </w:t>
      </w:r>
      <w:r w:rsidR="00897232" w:rsidRPr="00190A00">
        <w:rPr>
          <w:u w:val="single"/>
        </w:rPr>
        <w:t>Reedy Creek</w:t>
      </w:r>
      <w:r w:rsidR="00897232">
        <w:t xml:space="preserve"> case pertained to the utility’s earning posture whereby the utility was required to make a refund because it was over-earning. </w:t>
      </w:r>
      <w:r w:rsidR="00127DA6">
        <w:t xml:space="preserve"> </w:t>
      </w:r>
    </w:p>
    <w:p w:rsidR="00B8149A" w:rsidRDefault="00B8149A" w:rsidP="00084927">
      <w:pPr>
        <w:pStyle w:val="BodyText"/>
      </w:pPr>
      <w:r>
        <w:t>Staff agree</w:t>
      </w:r>
      <w:r w:rsidR="005D1A5D">
        <w:t>s</w:t>
      </w:r>
      <w:r>
        <w:t xml:space="preserve"> with FPUC’s argument</w:t>
      </w:r>
      <w:r w:rsidRPr="00DA0368">
        <w:t xml:space="preserve"> that OPC's reliance upon the </w:t>
      </w:r>
      <w:r w:rsidRPr="00A315C9">
        <w:rPr>
          <w:u w:val="single"/>
        </w:rPr>
        <w:t>Reedy Creek</w:t>
      </w:r>
      <w:r w:rsidRPr="00DA0368">
        <w:t xml:space="preserve"> case is misplaced</w:t>
      </w:r>
      <w:r>
        <w:t>, and staff agrees with the Company’s analysis</w:t>
      </w:r>
      <w:r w:rsidRPr="00DA0368">
        <w:t>.</w:t>
      </w:r>
      <w:r>
        <w:t xml:space="preserve"> (FPUC BR 14)</w:t>
      </w:r>
      <w:r w:rsidRPr="00DA0368">
        <w:t xml:space="preserve"> On cross-examination,</w:t>
      </w:r>
      <w:r>
        <w:t xml:space="preserve"> OPC </w:t>
      </w:r>
      <w:r w:rsidRPr="00DA0368">
        <w:t xml:space="preserve">witness Smith conceded that the Commission's orders underlying the </w:t>
      </w:r>
      <w:r w:rsidRPr="00A315C9">
        <w:rPr>
          <w:u w:val="single"/>
        </w:rPr>
        <w:t>Reedy Creek</w:t>
      </w:r>
      <w:r w:rsidRPr="00DA0368">
        <w:t xml:space="preserve"> case, Order Nos. 8624 and 8624A, reflect that, in addressing the 1978</w:t>
      </w:r>
      <w:r>
        <w:t xml:space="preserve"> Tax</w:t>
      </w:r>
      <w:r w:rsidRPr="00DA0368">
        <w:t xml:space="preserve"> Reform, the Commission considered the circumstances of the utilities on a case-by-case basis</w:t>
      </w:r>
      <w:r>
        <w:t>,</w:t>
      </w:r>
      <w:r w:rsidRPr="00DA0368">
        <w:t xml:space="preserve"> and only required those utilities that were earning above the ceiling of their Commission-a</w:t>
      </w:r>
      <w:r>
        <w:t>uthorized</w:t>
      </w:r>
      <w:r w:rsidRPr="00DA0368">
        <w:t xml:space="preserve"> ROE range to refund the tax </w:t>
      </w:r>
      <w:r>
        <w:t>savings</w:t>
      </w:r>
      <w:r w:rsidRPr="00DA0368">
        <w:t xml:space="preserve"> arising under the 1978</w:t>
      </w:r>
      <w:r>
        <w:t xml:space="preserve"> Tax</w:t>
      </w:r>
      <w:r w:rsidRPr="00DA0368">
        <w:t xml:space="preserve"> Reform. </w:t>
      </w:r>
      <w:r>
        <w:t xml:space="preserve">(FPUC BR 14; </w:t>
      </w:r>
      <w:r w:rsidRPr="00DA0368">
        <w:t>TR 311-315</w:t>
      </w:r>
      <w:r>
        <w:t>)</w:t>
      </w:r>
    </w:p>
    <w:p w:rsidR="00012EE8" w:rsidRDefault="00012EE8" w:rsidP="00411E6A">
      <w:pPr>
        <w:pStyle w:val="First-LevelSubheading"/>
        <w:spacing w:after="240"/>
        <w:jc w:val="center"/>
      </w:pPr>
      <w:r>
        <w:t>CONCLUSION</w:t>
      </w:r>
    </w:p>
    <w:p w:rsidR="00012EE8" w:rsidRDefault="0037557D" w:rsidP="00084927">
      <w:pPr>
        <w:pStyle w:val="BodyText"/>
      </w:pPr>
      <w:r>
        <w:t xml:space="preserve">Staff </w:t>
      </w:r>
      <w:r w:rsidR="00B8149A">
        <w:t>recommends</w:t>
      </w:r>
      <w:r w:rsidR="003200C6">
        <w:t xml:space="preserve"> </w:t>
      </w:r>
      <w:r w:rsidR="00DE4D57">
        <w:t xml:space="preserve">that </w:t>
      </w:r>
      <w:r w:rsidR="00353D6B">
        <w:t>it is</w:t>
      </w:r>
      <w:r>
        <w:t xml:space="preserve"> fair, just, and </w:t>
      </w:r>
      <w:r w:rsidR="00127DA6">
        <w:t>reasonable</w:t>
      </w:r>
      <w:r>
        <w:t xml:space="preserve"> </w:t>
      </w:r>
      <w:r w:rsidR="00353D6B">
        <w:t>for the Commission to</w:t>
      </w:r>
      <w:r w:rsidR="003200C6">
        <w:t xml:space="preserve"> </w:t>
      </w:r>
      <w:r>
        <w:t xml:space="preserve">consider the earnings position of the </w:t>
      </w:r>
      <w:r w:rsidR="003200C6">
        <w:t>Company</w:t>
      </w:r>
      <w:r>
        <w:t xml:space="preserve"> in its decision. Reducing the base rates as recommended by OPC would result in a cash flow reduction to the Company</w:t>
      </w:r>
      <w:r w:rsidR="00353D6B">
        <w:t>,</w:t>
      </w:r>
      <w:r>
        <w:t xml:space="preserve"> put downward pressure on FPUC’s earnings</w:t>
      </w:r>
      <w:r w:rsidR="00353D6B">
        <w:t>, and</w:t>
      </w:r>
      <w:r w:rsidR="00A5590C">
        <w:t xml:space="preserve"> would accelerate the need for a full rate case sooner than i</w:t>
      </w:r>
      <w:r w:rsidR="009B24DA">
        <w:t>t</w:t>
      </w:r>
      <w:r w:rsidR="00A5590C">
        <w:t xml:space="preserve"> would otherwise</w:t>
      </w:r>
      <w:r w:rsidR="00353D6B">
        <w:t xml:space="preserve"> due to FPUC earning below its authorized </w:t>
      </w:r>
      <w:r w:rsidR="00A5590C" w:rsidRPr="00A5590C">
        <w:t xml:space="preserve">range </w:t>
      </w:r>
      <w:r w:rsidR="00A5590C">
        <w:t xml:space="preserve">of </w:t>
      </w:r>
      <w:r w:rsidR="003E3FC8">
        <w:t>ROE</w:t>
      </w:r>
      <w:r>
        <w:t xml:space="preserve">. Therefore, staff recommends that FPUC </w:t>
      </w:r>
      <w:r w:rsidRPr="00A935FF">
        <w:t xml:space="preserve">be allowed to retain the estimated amortized </w:t>
      </w:r>
      <w:r>
        <w:t xml:space="preserve">protected </w:t>
      </w:r>
      <w:r w:rsidRPr="00A935FF">
        <w:t>deferred tax balance</w:t>
      </w:r>
      <w:r w:rsidR="003E3FC8">
        <w:t>,</w:t>
      </w:r>
      <w:r w:rsidRPr="00A935FF">
        <w:t xml:space="preserve"> less the unprotected deferred tax amortization</w:t>
      </w:r>
      <w:r w:rsidRPr="00616B39">
        <w:t xml:space="preserve"> attributed to the TCJA</w:t>
      </w:r>
      <w:r w:rsidRPr="00A935FF">
        <w:t xml:space="preserve">, </w:t>
      </w:r>
      <w:r w:rsidR="009B24DA">
        <w:t xml:space="preserve">for an annual </w:t>
      </w:r>
      <w:r w:rsidR="00FA7440">
        <w:t>savings</w:t>
      </w:r>
      <w:r w:rsidR="009B24DA">
        <w:t xml:space="preserve"> of $537,174, </w:t>
      </w:r>
      <w:r w:rsidR="00692E9B">
        <w:t>because</w:t>
      </w:r>
      <w:r w:rsidR="00353D6B">
        <w:t xml:space="preserve"> </w:t>
      </w:r>
      <w:r w:rsidRPr="00A935FF">
        <w:t>F</w:t>
      </w:r>
      <w:r>
        <w:t>PUC</w:t>
      </w:r>
      <w:r w:rsidRPr="00A935FF">
        <w:t xml:space="preserve"> </w:t>
      </w:r>
      <w:r w:rsidR="009B24DA">
        <w:t>will</w:t>
      </w:r>
      <w:r w:rsidRPr="00A935FF">
        <w:t xml:space="preserve"> not exceed its authorized </w:t>
      </w:r>
      <w:r w:rsidR="00A5590C">
        <w:t xml:space="preserve">range of </w:t>
      </w:r>
      <w:r w:rsidRPr="00A935FF">
        <w:t>ROE.</w:t>
      </w:r>
    </w:p>
    <w:p w:rsidR="00012EE8" w:rsidRPr="00084927" w:rsidRDefault="00012EE8" w:rsidP="00084927">
      <w:pPr>
        <w:pStyle w:val="BodyText"/>
        <w:sectPr w:rsidR="00012EE8" w:rsidRPr="00084927" w:rsidSect="00A87747">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37C46" w:rsidRDefault="00037C46">
      <w:pPr>
        <w:pStyle w:val="IssueHeading"/>
        <w:rPr>
          <w:vanish/>
          <w:specVanish/>
        </w:rPr>
      </w:pPr>
      <w:r w:rsidRPr="004C3641">
        <w:lastRenderedPageBreak/>
        <w:t xml:space="preserve">Issue </w:t>
      </w:r>
      <w:r w:rsidR="00A87747">
        <w:t>5B</w:t>
      </w:r>
      <w:r w:rsidRPr="004C3641">
        <w:t>:</w:t>
      </w:r>
      <w:r>
        <w:fldChar w:fldCharType="begin"/>
      </w:r>
      <w:r>
        <w:instrText xml:space="preserve"> TC "</w:instrText>
      </w:r>
      <w:bookmarkStart w:id="19" w:name="_Toc535242566"/>
      <w:r w:rsidR="00F00D16">
        <w:instrText>5B</w:instrText>
      </w:r>
      <w:r>
        <w:tab/>
      </w:r>
      <w:r w:rsidR="00DA5A4C">
        <w:instrText>Appropriate disposition of the unprotected excess deferred taxes.</w:instrText>
      </w:r>
      <w:bookmarkEnd w:id="19"/>
      <w:r w:rsidR="00DA5A4C">
        <w:instrText xml:space="preserve"> </w:instrText>
      </w:r>
      <w:r>
        <w:instrText xml:space="preserve">" \l 1 </w:instrText>
      </w:r>
      <w:r>
        <w:fldChar w:fldCharType="end"/>
      </w:r>
      <w:r>
        <w:t> </w:t>
      </w:r>
    </w:p>
    <w:p w:rsidR="00037C46" w:rsidRDefault="00037C46">
      <w:pPr>
        <w:pStyle w:val="BodyText"/>
      </w:pPr>
      <w:r>
        <w:t> What is the appropriate disposition of the unprotected excess deferred taxes?</w:t>
      </w:r>
    </w:p>
    <w:p w:rsidR="00037C46" w:rsidRPr="004C3641" w:rsidRDefault="00037C46">
      <w:pPr>
        <w:pStyle w:val="IssueSubsectionHeading"/>
        <w:rPr>
          <w:vanish/>
          <w:specVanish/>
        </w:rPr>
      </w:pPr>
      <w:r w:rsidRPr="004C3641">
        <w:t>Recommendation: </w:t>
      </w:r>
    </w:p>
    <w:p w:rsidR="00037C46" w:rsidRDefault="00037C46">
      <w:pPr>
        <w:pStyle w:val="BodyText"/>
      </w:pPr>
      <w:r>
        <w:t> </w:t>
      </w:r>
      <w:r w:rsidR="000E7938">
        <w:t xml:space="preserve">FPUC </w:t>
      </w:r>
      <w:r w:rsidR="000E7938" w:rsidRPr="00A935FF">
        <w:t xml:space="preserve">should be allowed to retain the </w:t>
      </w:r>
      <w:r w:rsidR="009B24DA">
        <w:t xml:space="preserve">excess </w:t>
      </w:r>
      <w:r w:rsidR="00723299">
        <w:t xml:space="preserve">deferred tax </w:t>
      </w:r>
      <w:r w:rsidR="004316E7">
        <w:t xml:space="preserve">amount </w:t>
      </w:r>
      <w:r w:rsidR="000E7938" w:rsidRPr="00A935FF">
        <w:t xml:space="preserve">associated with the net acquisition adjustment </w:t>
      </w:r>
      <w:r w:rsidR="00723299">
        <w:t xml:space="preserve">of $6,518,569 </w:t>
      </w:r>
      <w:r w:rsidR="000E7938" w:rsidRPr="00A935FF">
        <w:t>amortized over the life of the acquisition adjustment</w:t>
      </w:r>
      <w:r w:rsidR="00A5590C">
        <w:t>. Further, the</w:t>
      </w:r>
      <w:r w:rsidR="000E7938" w:rsidRPr="00A935FF">
        <w:t xml:space="preserve"> unprotected deferred tax </w:t>
      </w:r>
      <w:r w:rsidR="004316E7">
        <w:t>amount</w:t>
      </w:r>
      <w:r w:rsidR="000E7938" w:rsidRPr="00A935FF">
        <w:t xml:space="preserve"> </w:t>
      </w:r>
      <w:r w:rsidR="009B24DA">
        <w:t xml:space="preserve">of $3,072,874 </w:t>
      </w:r>
      <w:r w:rsidR="00A5590C">
        <w:t xml:space="preserve">should be </w:t>
      </w:r>
      <w:r w:rsidR="000E7938" w:rsidRPr="00A935FF">
        <w:t xml:space="preserve">amortized over 10 years </w:t>
      </w:r>
      <w:r w:rsidR="00A5590C">
        <w:t xml:space="preserve">and </w:t>
      </w:r>
      <w:r w:rsidR="000E7938" w:rsidRPr="00A935FF">
        <w:t>netted against the protected excess deferred taxes</w:t>
      </w:r>
      <w:r w:rsidR="009B24DA">
        <w:t xml:space="preserve"> of $21,955,922</w:t>
      </w:r>
      <w:r w:rsidR="00190A00">
        <w:t xml:space="preserve">. </w:t>
      </w:r>
      <w:r w:rsidR="000E7938">
        <w:t xml:space="preserve">(Hightower, </w:t>
      </w:r>
      <w:r w:rsidR="00127DA6">
        <w:t>D. Buys</w:t>
      </w:r>
      <w:r w:rsidR="000E7938">
        <w:t>, Cicchetti)</w:t>
      </w:r>
    </w:p>
    <w:p w:rsidR="00037C46" w:rsidRPr="004C3641" w:rsidRDefault="00037C46">
      <w:pPr>
        <w:pStyle w:val="IssueSubsectionHeading"/>
        <w:keepNext/>
        <w:rPr>
          <w:iCs w:val="0"/>
        </w:rPr>
      </w:pPr>
      <w:r w:rsidRPr="004C3641">
        <w:rPr>
          <w:iCs w:val="0"/>
        </w:rPr>
        <w:t>Position of the Parties</w:t>
      </w:r>
    </w:p>
    <w:p w:rsidR="00037C46" w:rsidRDefault="00834801" w:rsidP="00037C46">
      <w:pPr>
        <w:pStyle w:val="PartyName"/>
        <w:rPr>
          <w:vanish/>
          <w:specVanish/>
        </w:rPr>
      </w:pPr>
      <w:r>
        <w:t>FPUC</w:t>
      </w:r>
      <w:r w:rsidR="00037C46">
        <w:t>: </w:t>
      </w:r>
    </w:p>
    <w:p w:rsidR="005D052C" w:rsidRPr="00037E09" w:rsidRDefault="00037C46" w:rsidP="005D052C">
      <w:pPr>
        <w:autoSpaceDE w:val="0"/>
        <w:autoSpaceDN w:val="0"/>
        <w:adjustRightInd w:val="0"/>
        <w:jc w:val="both"/>
      </w:pPr>
      <w:r>
        <w:t>  </w:t>
      </w:r>
      <w:r w:rsidR="005D052C" w:rsidRPr="00037E09">
        <w:t>FPUC should be allowed to retain the deferred tax liability associated with the net acquisition adjustment amortized over the life of the acquisition adjustment and unprotected deferred tax asset amortized over 10 years, netted against the protected excess deferred taxes.</w:t>
      </w:r>
    </w:p>
    <w:p w:rsidR="005D052C" w:rsidRDefault="005D052C" w:rsidP="005D052C">
      <w:pPr>
        <w:pStyle w:val="PartyName"/>
        <w:spacing w:after="0"/>
      </w:pPr>
    </w:p>
    <w:p w:rsidR="00037C46" w:rsidRDefault="00834801" w:rsidP="00037C46">
      <w:pPr>
        <w:pStyle w:val="PartyName"/>
        <w:rPr>
          <w:vanish/>
          <w:specVanish/>
        </w:rPr>
      </w:pPr>
      <w:r>
        <w:t>OPC</w:t>
      </w:r>
      <w:r w:rsidR="00037C46">
        <w:t>: </w:t>
      </w:r>
    </w:p>
    <w:p w:rsidR="00037C46" w:rsidRDefault="00037C46" w:rsidP="00037C46">
      <w:pPr>
        <w:pStyle w:val="BodyText"/>
      </w:pPr>
      <w:r>
        <w:t>  </w:t>
      </w:r>
      <w:r w:rsidR="005D052C" w:rsidRPr="005D052C">
        <w:t xml:space="preserve">The Company should not be allowed to retain the </w:t>
      </w:r>
      <w:r w:rsidR="00FA7440">
        <w:t>tax savings from</w:t>
      </w:r>
      <w:r w:rsidR="005D052C" w:rsidRPr="005D052C">
        <w:t xml:space="preserve"> the unprotected excess ADIT. The Unprotected excess ADIT net asset of $3,072,874 should be amortized over 10 years at $307,287 per year.</w:t>
      </w:r>
    </w:p>
    <w:p w:rsidR="00037C46" w:rsidRPr="004C3641" w:rsidRDefault="00037C46">
      <w:pPr>
        <w:pStyle w:val="IssueSubsectionHeading"/>
        <w:rPr>
          <w:vanish/>
          <w:specVanish/>
        </w:rPr>
      </w:pPr>
      <w:r w:rsidRPr="004C3641">
        <w:t>Staff Analysis: </w:t>
      </w:r>
    </w:p>
    <w:p w:rsidR="00037C46" w:rsidRDefault="00037C46">
      <w:pPr>
        <w:pStyle w:val="BodyText"/>
      </w:pPr>
      <w:r>
        <w:t> </w:t>
      </w:r>
    </w:p>
    <w:p w:rsidR="00834801" w:rsidRDefault="00834801" w:rsidP="00834801">
      <w:pPr>
        <w:pStyle w:val="First-LevelSubheading"/>
        <w:jc w:val="center"/>
      </w:pPr>
      <w:r>
        <w:t>PARTIES’ ARGUMENTS</w:t>
      </w:r>
    </w:p>
    <w:p w:rsidR="00834801" w:rsidRDefault="00834801" w:rsidP="00834801">
      <w:pPr>
        <w:pStyle w:val="First-LevelSubheading"/>
      </w:pPr>
      <w:r>
        <w:t>FPUC</w:t>
      </w:r>
    </w:p>
    <w:p w:rsidR="00834801" w:rsidRPr="006F685A" w:rsidRDefault="00CF5FC4" w:rsidP="00834801">
      <w:pPr>
        <w:pStyle w:val="BodyText"/>
      </w:pPr>
      <w:r w:rsidRPr="00CF5FC4">
        <w:t xml:space="preserve">FPUC argued that the Company is projected to be earning at the bottom of its </w:t>
      </w:r>
      <w:r w:rsidR="00190A00">
        <w:t>authorized</w:t>
      </w:r>
      <w:r w:rsidRPr="00CF5FC4">
        <w:t xml:space="preserve"> range of return on equity.</w:t>
      </w:r>
      <w:r w:rsidR="000844AE">
        <w:rPr>
          <w:rStyle w:val="FootnoteReference"/>
        </w:rPr>
        <w:footnoteReference w:id="4"/>
      </w:r>
      <w:r w:rsidRPr="00CF5FC4">
        <w:t xml:space="preserve"> (FPUC BR 9, TR </w:t>
      </w:r>
      <w:r w:rsidR="00047D1B">
        <w:t>98</w:t>
      </w:r>
      <w:r w:rsidR="00127DA6" w:rsidRPr="00CF5FC4">
        <w:t xml:space="preserve">) </w:t>
      </w:r>
      <w:r w:rsidRPr="00CF5FC4">
        <w:t xml:space="preserve">In light of the Company’s earning posture, FPUC argued that it should be allowed to retain the estimated annual amortized amount of the protected excess accumulated deferred tax balance of approximately $844,461, less the unprotected deferred tax amortization annual amount of $307,287, for an annual net </w:t>
      </w:r>
      <w:r w:rsidR="00FA7440">
        <w:t>amount</w:t>
      </w:r>
      <w:r w:rsidRPr="00CF5FC4">
        <w:t xml:space="preserve"> of $537,174. (FPUC BR 10</w:t>
      </w:r>
      <w:r w:rsidR="00723299">
        <w:t>;</w:t>
      </w:r>
      <w:r w:rsidRPr="00CF5FC4">
        <w:t xml:space="preserve"> TR 100) </w:t>
      </w:r>
      <w:r w:rsidR="000D213E">
        <w:t>FPUC also</w:t>
      </w:r>
      <w:r w:rsidR="000D213E" w:rsidRPr="000D213E">
        <w:t xml:space="preserve"> argued that the</w:t>
      </w:r>
      <w:r w:rsidR="00B90624">
        <w:t xml:space="preserve"> annual</w:t>
      </w:r>
      <w:r w:rsidR="000D213E" w:rsidRPr="000D213E">
        <w:t xml:space="preserve"> unprotected excess deferred </w:t>
      </w:r>
      <w:r w:rsidR="006B424B" w:rsidRPr="000D213E">
        <w:t xml:space="preserve">tax </w:t>
      </w:r>
      <w:r w:rsidR="006B424B">
        <w:t>of</w:t>
      </w:r>
      <w:r w:rsidR="00B90624">
        <w:t xml:space="preserve"> $298,560 </w:t>
      </w:r>
      <w:r w:rsidR="000D213E" w:rsidRPr="000D213E">
        <w:t xml:space="preserve">associated with the acquisition adjustment should be applied </w:t>
      </w:r>
      <w:r w:rsidR="00723299">
        <w:t xml:space="preserve">to reduce the remaining </w:t>
      </w:r>
      <w:r w:rsidR="002C3481">
        <w:t xml:space="preserve">grossed up </w:t>
      </w:r>
      <w:r w:rsidR="00723299">
        <w:t>balance</w:t>
      </w:r>
      <w:r w:rsidR="000D213E" w:rsidRPr="000D213E">
        <w:t xml:space="preserve"> of the </w:t>
      </w:r>
      <w:r w:rsidR="00723299">
        <w:t xml:space="preserve">unamortized </w:t>
      </w:r>
      <w:r w:rsidR="000D213E" w:rsidRPr="000D213E">
        <w:t>acquisition adjustment</w:t>
      </w:r>
      <w:r w:rsidR="002C3481">
        <w:t xml:space="preserve"> of $6,518,569</w:t>
      </w:r>
      <w:r w:rsidR="000D213E" w:rsidRPr="000D213E">
        <w:t>. (FPUC BR 11</w:t>
      </w:r>
      <w:r w:rsidR="00B90624">
        <w:t>; TR 99</w:t>
      </w:r>
      <w:r w:rsidR="000D213E" w:rsidRPr="000D213E">
        <w:t>) FPUC contend</w:t>
      </w:r>
      <w:r w:rsidR="00692E9B">
        <w:t>ed</w:t>
      </w:r>
      <w:r w:rsidR="000D213E" w:rsidRPr="000D213E">
        <w:t xml:space="preserve"> that this accounting treatment will facilitate a more expeditious reduction of the acquisition adjustment balance. (FPUC BR 11</w:t>
      </w:r>
      <w:r w:rsidR="00723299">
        <w:t>;</w:t>
      </w:r>
      <w:r w:rsidR="000D213E" w:rsidRPr="000D213E">
        <w:t xml:space="preserve"> TR 99)</w:t>
      </w:r>
      <w:r w:rsidR="000D213E">
        <w:t xml:space="preserve"> </w:t>
      </w:r>
      <w:r w:rsidR="00127DA6" w:rsidRPr="00CF5FC4">
        <w:t xml:space="preserve">FPUC argued that the ability to retain the net tax </w:t>
      </w:r>
      <w:r w:rsidR="00FA7440">
        <w:t>savings</w:t>
      </w:r>
      <w:r w:rsidR="00127DA6" w:rsidRPr="00CF5FC4">
        <w:t xml:space="preserve"> will provide the Company with further opportunity to earn within its authorized range of </w:t>
      </w:r>
      <w:r w:rsidR="00723299">
        <w:t>ROE</w:t>
      </w:r>
      <w:r w:rsidR="00127DA6" w:rsidRPr="00CF5FC4">
        <w:t xml:space="preserve">, while also enabling the Company to </w:t>
      </w:r>
      <w:r w:rsidR="004316E7">
        <w:t>charge current</w:t>
      </w:r>
      <w:r w:rsidR="00127DA6" w:rsidRPr="00CF5FC4">
        <w:t xml:space="preserve"> rates for a longer period, continue making necessary capital investments,</w:t>
      </w:r>
      <w:r w:rsidR="00127DA6">
        <w:t xml:space="preserve"> and delay a costly rate pro</w:t>
      </w:r>
      <w:r w:rsidR="00127DA6" w:rsidRPr="00CF5FC4">
        <w:t>ceeding</w:t>
      </w:r>
      <w:r w:rsidR="00E57E82">
        <w:t>.</w:t>
      </w:r>
      <w:r w:rsidR="00127DA6" w:rsidRPr="00CF5FC4">
        <w:t xml:space="preserve"> </w:t>
      </w:r>
      <w:r w:rsidR="00E57E82">
        <w:t>(</w:t>
      </w:r>
      <w:r w:rsidR="00047D1B">
        <w:t xml:space="preserve">FPUC </w:t>
      </w:r>
      <w:r w:rsidR="00127DA6" w:rsidRPr="00CF5FC4">
        <w:t>BR 10</w:t>
      </w:r>
      <w:r w:rsidR="00723299">
        <w:t>;</w:t>
      </w:r>
      <w:r w:rsidR="00127DA6" w:rsidRPr="00CF5FC4">
        <w:t xml:space="preserve"> TR 100) FPUC argued that if it is allowed to retain all of the tax </w:t>
      </w:r>
      <w:r w:rsidR="006B424B">
        <w:t>savings</w:t>
      </w:r>
      <w:r w:rsidR="00127DA6" w:rsidRPr="00CF5FC4">
        <w:t xml:space="preserve"> as proposed, the Company’s return on equity for 2019 is projected to be 8.67 percent. </w:t>
      </w:r>
      <w:r w:rsidRPr="00CF5FC4">
        <w:t>(FPUC BR 12</w:t>
      </w:r>
      <w:r w:rsidR="00723299">
        <w:t>;</w:t>
      </w:r>
      <w:r w:rsidRPr="00CF5FC4">
        <w:t xml:space="preserve"> EXH 12</w:t>
      </w:r>
      <w:r w:rsidR="00E015A9">
        <w:t>, BSP 00067</w:t>
      </w:r>
      <w:r w:rsidRPr="00CF5FC4">
        <w:t xml:space="preserve">) FPUC also argued that if it is required to reduce its base rates by $537,174 for the net excess deferred tax </w:t>
      </w:r>
      <w:r w:rsidR="00FA7440">
        <w:t>amount</w:t>
      </w:r>
      <w:r w:rsidRPr="00CF5FC4">
        <w:t>, its projected ROE would be 8.29 percent. (FPUC BR 12</w:t>
      </w:r>
      <w:r w:rsidR="00723299">
        <w:t>;</w:t>
      </w:r>
      <w:r w:rsidRPr="00CF5FC4">
        <w:t xml:space="preserve"> EXH 12</w:t>
      </w:r>
      <w:r w:rsidR="004F753A">
        <w:t>, BSP 00064</w:t>
      </w:r>
      <w:r w:rsidRPr="00CF5FC4">
        <w:t>)</w:t>
      </w:r>
      <w:r w:rsidR="000D213E">
        <w:t xml:space="preserve"> </w:t>
      </w:r>
      <w:r w:rsidR="00A5590C">
        <w:t>F</w:t>
      </w:r>
      <w:r w:rsidR="00DA5A4C">
        <w:t xml:space="preserve">PUC’s </w:t>
      </w:r>
      <w:r w:rsidR="00A5590C">
        <w:t>authorized range of ROE is 9.</w:t>
      </w:r>
      <w:r w:rsidR="00DA5A4C">
        <w:t xml:space="preserve">85 </w:t>
      </w:r>
      <w:r w:rsidR="00A5590C">
        <w:t>to 11.85 percent.</w:t>
      </w:r>
      <w:r w:rsidR="000844AE">
        <w:rPr>
          <w:rStyle w:val="FootnoteReference"/>
        </w:rPr>
        <w:footnoteReference w:id="5"/>
      </w:r>
      <w:r w:rsidR="00A5590C">
        <w:t xml:space="preserve"> (FPUC </w:t>
      </w:r>
      <w:r w:rsidR="00DA5A4C">
        <w:t>BR 12</w:t>
      </w:r>
      <w:r w:rsidR="00723299">
        <w:t>;</w:t>
      </w:r>
      <w:r w:rsidR="00DA5A4C">
        <w:t xml:space="preserve"> EXH 10, BSP 00043</w:t>
      </w:r>
      <w:r w:rsidR="00A5590C">
        <w:t>)</w:t>
      </w:r>
    </w:p>
    <w:p w:rsidR="00834801" w:rsidRDefault="00834801" w:rsidP="00834801">
      <w:pPr>
        <w:pStyle w:val="First-LevelSubheading"/>
      </w:pPr>
      <w:r>
        <w:lastRenderedPageBreak/>
        <w:t>OPC</w:t>
      </w:r>
    </w:p>
    <w:p w:rsidR="00834801" w:rsidRDefault="008E4CB4" w:rsidP="00834801">
      <w:pPr>
        <w:pStyle w:val="First-LevelSubheading"/>
        <w:rPr>
          <w:rFonts w:ascii="Times New Roman" w:hAnsi="Times New Roman" w:cs="Times New Roman"/>
          <w:b w:val="0"/>
        </w:rPr>
      </w:pPr>
      <w:r w:rsidRPr="008E4CB4">
        <w:rPr>
          <w:rFonts w:ascii="Times New Roman" w:hAnsi="Times New Roman" w:cs="Times New Roman"/>
          <w:b w:val="0"/>
        </w:rPr>
        <w:t xml:space="preserve">OPC </w:t>
      </w:r>
      <w:r>
        <w:rPr>
          <w:rFonts w:ascii="Times New Roman" w:hAnsi="Times New Roman" w:cs="Times New Roman"/>
          <w:b w:val="0"/>
        </w:rPr>
        <w:t>agreed with FPUC</w:t>
      </w:r>
      <w:r w:rsidRPr="008E4CB4">
        <w:rPr>
          <w:rFonts w:ascii="Times New Roman" w:hAnsi="Times New Roman" w:cs="Times New Roman"/>
          <w:b w:val="0"/>
        </w:rPr>
        <w:t xml:space="preserve"> that the estimated annual </w:t>
      </w:r>
      <w:r w:rsidR="00190A00">
        <w:rPr>
          <w:rFonts w:ascii="Times New Roman" w:hAnsi="Times New Roman" w:cs="Times New Roman"/>
          <w:b w:val="0"/>
        </w:rPr>
        <w:t>p</w:t>
      </w:r>
      <w:r w:rsidRPr="008E4CB4">
        <w:rPr>
          <w:rFonts w:ascii="Times New Roman" w:hAnsi="Times New Roman" w:cs="Times New Roman"/>
          <w:b w:val="0"/>
        </w:rPr>
        <w:t xml:space="preserve">rotected </w:t>
      </w:r>
      <w:r w:rsidR="00190A00">
        <w:rPr>
          <w:rFonts w:ascii="Times New Roman" w:hAnsi="Times New Roman" w:cs="Times New Roman"/>
          <w:b w:val="0"/>
        </w:rPr>
        <w:t>e</w:t>
      </w:r>
      <w:r w:rsidR="00F32BC4">
        <w:rPr>
          <w:rFonts w:ascii="Times New Roman" w:hAnsi="Times New Roman" w:cs="Times New Roman"/>
          <w:b w:val="0"/>
        </w:rPr>
        <w:t xml:space="preserve">xcess </w:t>
      </w:r>
      <w:r w:rsidRPr="008E4CB4">
        <w:rPr>
          <w:rFonts w:ascii="Times New Roman" w:hAnsi="Times New Roman" w:cs="Times New Roman"/>
          <w:b w:val="0"/>
        </w:rPr>
        <w:t xml:space="preserve">ADIT </w:t>
      </w:r>
      <w:r w:rsidR="004316E7">
        <w:rPr>
          <w:rFonts w:ascii="Times New Roman" w:hAnsi="Times New Roman" w:cs="Times New Roman"/>
          <w:b w:val="0"/>
        </w:rPr>
        <w:t>amount</w:t>
      </w:r>
      <w:r w:rsidRPr="008E4CB4">
        <w:rPr>
          <w:rFonts w:ascii="Times New Roman" w:hAnsi="Times New Roman" w:cs="Times New Roman"/>
          <w:b w:val="0"/>
        </w:rPr>
        <w:t xml:space="preserve"> amortization of $844,461</w:t>
      </w:r>
      <w:r w:rsidR="00E57E82">
        <w:rPr>
          <w:rFonts w:ascii="Times New Roman" w:hAnsi="Times New Roman" w:cs="Times New Roman"/>
          <w:b w:val="0"/>
        </w:rPr>
        <w:t>,</w:t>
      </w:r>
      <w:r w:rsidRPr="008E4CB4">
        <w:rPr>
          <w:rFonts w:ascii="Times New Roman" w:hAnsi="Times New Roman" w:cs="Times New Roman"/>
          <w:b w:val="0"/>
        </w:rPr>
        <w:t xml:space="preserve"> less the estimated annual </w:t>
      </w:r>
      <w:r w:rsidR="004F753A">
        <w:rPr>
          <w:rFonts w:ascii="Times New Roman" w:hAnsi="Times New Roman" w:cs="Times New Roman"/>
          <w:b w:val="0"/>
        </w:rPr>
        <w:t>u</w:t>
      </w:r>
      <w:r w:rsidRPr="008E4CB4">
        <w:rPr>
          <w:rFonts w:ascii="Times New Roman" w:hAnsi="Times New Roman" w:cs="Times New Roman"/>
          <w:b w:val="0"/>
        </w:rPr>
        <w:t xml:space="preserve">nprotected </w:t>
      </w:r>
      <w:r w:rsidR="004F753A">
        <w:rPr>
          <w:rFonts w:ascii="Times New Roman" w:hAnsi="Times New Roman" w:cs="Times New Roman"/>
          <w:b w:val="0"/>
        </w:rPr>
        <w:t>e</w:t>
      </w:r>
      <w:r w:rsidR="00F32BC4">
        <w:rPr>
          <w:rFonts w:ascii="Times New Roman" w:hAnsi="Times New Roman" w:cs="Times New Roman"/>
          <w:b w:val="0"/>
        </w:rPr>
        <w:t xml:space="preserve">xcess </w:t>
      </w:r>
      <w:r w:rsidRPr="008E4CB4">
        <w:rPr>
          <w:rFonts w:ascii="Times New Roman" w:hAnsi="Times New Roman" w:cs="Times New Roman"/>
          <w:b w:val="0"/>
        </w:rPr>
        <w:t>ADIT amortization of $307,287</w:t>
      </w:r>
      <w:r w:rsidR="004F753A">
        <w:rPr>
          <w:rFonts w:ascii="Times New Roman" w:hAnsi="Times New Roman" w:cs="Times New Roman"/>
          <w:b w:val="0"/>
        </w:rPr>
        <w:t>,</w:t>
      </w:r>
      <w:r w:rsidRPr="008E4CB4">
        <w:rPr>
          <w:rFonts w:ascii="Times New Roman" w:hAnsi="Times New Roman" w:cs="Times New Roman"/>
          <w:b w:val="0"/>
        </w:rPr>
        <w:t xml:space="preserve"> produces an estimate</w:t>
      </w:r>
      <w:r w:rsidR="00E57E82">
        <w:rPr>
          <w:rFonts w:ascii="Times New Roman" w:hAnsi="Times New Roman" w:cs="Times New Roman"/>
          <w:b w:val="0"/>
        </w:rPr>
        <w:t>d annual</w:t>
      </w:r>
      <w:r w:rsidRPr="008E4CB4">
        <w:rPr>
          <w:rFonts w:ascii="Times New Roman" w:hAnsi="Times New Roman" w:cs="Times New Roman"/>
          <w:b w:val="0"/>
        </w:rPr>
        <w:t xml:space="preserve"> net </w:t>
      </w:r>
      <w:r w:rsidR="00E57E82">
        <w:rPr>
          <w:rFonts w:ascii="Times New Roman" w:hAnsi="Times New Roman" w:cs="Times New Roman"/>
          <w:b w:val="0"/>
        </w:rPr>
        <w:t>a</w:t>
      </w:r>
      <w:r w:rsidRPr="008E4CB4">
        <w:rPr>
          <w:rFonts w:ascii="Times New Roman" w:hAnsi="Times New Roman" w:cs="Times New Roman"/>
          <w:b w:val="0"/>
        </w:rPr>
        <w:t>mount of $537,174. (</w:t>
      </w:r>
      <w:r>
        <w:rPr>
          <w:rFonts w:ascii="Times New Roman" w:hAnsi="Times New Roman" w:cs="Times New Roman"/>
          <w:b w:val="0"/>
        </w:rPr>
        <w:t>OPC BR 6</w:t>
      </w:r>
      <w:r w:rsidR="004F753A">
        <w:rPr>
          <w:rFonts w:ascii="Times New Roman" w:hAnsi="Times New Roman" w:cs="Times New Roman"/>
          <w:b w:val="0"/>
        </w:rPr>
        <w:t>;</w:t>
      </w:r>
      <w:r>
        <w:rPr>
          <w:rFonts w:ascii="Times New Roman" w:hAnsi="Times New Roman" w:cs="Times New Roman"/>
          <w:b w:val="0"/>
        </w:rPr>
        <w:t xml:space="preserve"> </w:t>
      </w:r>
      <w:r w:rsidRPr="008E4CB4">
        <w:rPr>
          <w:rFonts w:ascii="Times New Roman" w:hAnsi="Times New Roman" w:cs="Times New Roman"/>
          <w:b w:val="0"/>
        </w:rPr>
        <w:t xml:space="preserve">TR 234) However, </w:t>
      </w:r>
      <w:r w:rsidR="00F32BC4">
        <w:rPr>
          <w:rFonts w:ascii="Times New Roman" w:hAnsi="Times New Roman" w:cs="Times New Roman"/>
          <w:b w:val="0"/>
        </w:rPr>
        <w:t xml:space="preserve">OPC argued </w:t>
      </w:r>
      <w:r w:rsidRPr="008E4CB4">
        <w:rPr>
          <w:rFonts w:ascii="Times New Roman" w:hAnsi="Times New Roman" w:cs="Times New Roman"/>
          <w:b w:val="0"/>
        </w:rPr>
        <w:t>this net amount of $537,174 should be returned to customers via a base rate reduction</w:t>
      </w:r>
      <w:r w:rsidR="004F753A">
        <w:rPr>
          <w:rFonts w:ascii="Times New Roman" w:hAnsi="Times New Roman" w:cs="Times New Roman"/>
          <w:b w:val="0"/>
        </w:rPr>
        <w:t>,</w:t>
      </w:r>
      <w:r w:rsidR="00F32BC4">
        <w:rPr>
          <w:rFonts w:ascii="Times New Roman" w:hAnsi="Times New Roman" w:cs="Times New Roman"/>
          <w:b w:val="0"/>
        </w:rPr>
        <w:t xml:space="preserve"> and not retained by the Company</w:t>
      </w:r>
      <w:r w:rsidRPr="008E4CB4">
        <w:rPr>
          <w:rFonts w:ascii="Times New Roman" w:hAnsi="Times New Roman" w:cs="Times New Roman"/>
          <w:b w:val="0"/>
        </w:rPr>
        <w:t>. (</w:t>
      </w:r>
      <w:r w:rsidR="00F32BC4">
        <w:rPr>
          <w:rFonts w:ascii="Times New Roman" w:hAnsi="Times New Roman" w:cs="Times New Roman"/>
          <w:b w:val="0"/>
        </w:rPr>
        <w:t>OPC BR 6</w:t>
      </w:r>
      <w:r w:rsidR="004F753A">
        <w:rPr>
          <w:rFonts w:ascii="Times New Roman" w:hAnsi="Times New Roman" w:cs="Times New Roman"/>
          <w:b w:val="0"/>
        </w:rPr>
        <w:t>;</w:t>
      </w:r>
      <w:r w:rsidR="00F32BC4">
        <w:rPr>
          <w:rFonts w:ascii="Times New Roman" w:hAnsi="Times New Roman" w:cs="Times New Roman"/>
          <w:b w:val="0"/>
        </w:rPr>
        <w:t xml:space="preserve"> </w:t>
      </w:r>
      <w:r w:rsidRPr="008E4CB4">
        <w:rPr>
          <w:rFonts w:ascii="Times New Roman" w:hAnsi="Times New Roman" w:cs="Times New Roman"/>
          <w:b w:val="0"/>
        </w:rPr>
        <w:t>TR 234</w:t>
      </w:r>
      <w:r w:rsidR="00F32BC4">
        <w:rPr>
          <w:rFonts w:ascii="Times New Roman" w:hAnsi="Times New Roman" w:cs="Times New Roman"/>
          <w:b w:val="0"/>
        </w:rPr>
        <w:t>) OPC argued that i</w:t>
      </w:r>
      <w:r w:rsidR="00F32BC4" w:rsidRPr="00F32BC4">
        <w:rPr>
          <w:rFonts w:ascii="Times New Roman" w:hAnsi="Times New Roman" w:cs="Times New Roman"/>
          <w:b w:val="0"/>
        </w:rPr>
        <w:t>n the recent cases before the Commission that address the tax savings</w:t>
      </w:r>
      <w:r w:rsidR="004F753A">
        <w:rPr>
          <w:rFonts w:ascii="Times New Roman" w:hAnsi="Times New Roman" w:cs="Times New Roman"/>
          <w:b w:val="0"/>
        </w:rPr>
        <w:t xml:space="preserve"> due to the TCJA</w:t>
      </w:r>
      <w:r w:rsidR="00F32BC4" w:rsidRPr="00F32BC4">
        <w:rPr>
          <w:rFonts w:ascii="Times New Roman" w:hAnsi="Times New Roman" w:cs="Times New Roman"/>
          <w:b w:val="0"/>
        </w:rPr>
        <w:t>, the electric and gas utilities have agreed to refund the monies to their customers</w:t>
      </w:r>
      <w:r w:rsidR="000844AE">
        <w:rPr>
          <w:rFonts w:ascii="Times New Roman" w:hAnsi="Times New Roman" w:cs="Times New Roman"/>
          <w:b w:val="0"/>
        </w:rPr>
        <w:t>,</w:t>
      </w:r>
      <w:r w:rsidR="00F32BC4" w:rsidRPr="00F32BC4">
        <w:rPr>
          <w:rFonts w:ascii="Times New Roman" w:hAnsi="Times New Roman" w:cs="Times New Roman"/>
          <w:b w:val="0"/>
        </w:rPr>
        <w:t xml:space="preserve"> or to apply them in a manner that directly benefits their customers (e.g., pay off storm costs in lieu of utilizing a storm surcharge). (</w:t>
      </w:r>
      <w:r w:rsidR="00F32BC4">
        <w:rPr>
          <w:rFonts w:ascii="Times New Roman" w:hAnsi="Times New Roman" w:cs="Times New Roman"/>
          <w:b w:val="0"/>
        </w:rPr>
        <w:t>OPC BR 7</w:t>
      </w:r>
      <w:r w:rsidR="004F753A">
        <w:rPr>
          <w:rFonts w:ascii="Times New Roman" w:hAnsi="Times New Roman" w:cs="Times New Roman"/>
          <w:b w:val="0"/>
        </w:rPr>
        <w:t>;</w:t>
      </w:r>
      <w:r w:rsidR="00F32BC4">
        <w:rPr>
          <w:rFonts w:ascii="Times New Roman" w:hAnsi="Times New Roman" w:cs="Times New Roman"/>
          <w:b w:val="0"/>
        </w:rPr>
        <w:t xml:space="preserve"> </w:t>
      </w:r>
      <w:r w:rsidR="00F32BC4" w:rsidRPr="00F32BC4">
        <w:rPr>
          <w:rFonts w:ascii="Times New Roman" w:hAnsi="Times New Roman" w:cs="Times New Roman"/>
          <w:b w:val="0"/>
        </w:rPr>
        <w:t xml:space="preserve">TR 318) </w:t>
      </w:r>
      <w:r w:rsidR="00F32BC4">
        <w:rPr>
          <w:rFonts w:ascii="Times New Roman" w:hAnsi="Times New Roman" w:cs="Times New Roman"/>
          <w:b w:val="0"/>
        </w:rPr>
        <w:t xml:space="preserve">OPC </w:t>
      </w:r>
      <w:r w:rsidR="004F753A">
        <w:rPr>
          <w:rFonts w:ascii="Times New Roman" w:hAnsi="Times New Roman" w:cs="Times New Roman"/>
          <w:b w:val="0"/>
        </w:rPr>
        <w:t>further contended</w:t>
      </w:r>
      <w:r w:rsidR="00F32BC4">
        <w:rPr>
          <w:rFonts w:ascii="Times New Roman" w:hAnsi="Times New Roman" w:cs="Times New Roman"/>
          <w:b w:val="0"/>
        </w:rPr>
        <w:t xml:space="preserve"> that </w:t>
      </w:r>
      <w:r w:rsidR="00F32BC4" w:rsidRPr="00F32BC4">
        <w:rPr>
          <w:rFonts w:ascii="Times New Roman" w:hAnsi="Times New Roman" w:cs="Times New Roman"/>
          <w:b w:val="0"/>
        </w:rPr>
        <w:t>FPUC is</w:t>
      </w:r>
      <w:r w:rsidR="00F32BC4">
        <w:rPr>
          <w:rFonts w:ascii="Times New Roman" w:hAnsi="Times New Roman" w:cs="Times New Roman"/>
          <w:b w:val="0"/>
        </w:rPr>
        <w:t xml:space="preserve"> currently</w:t>
      </w:r>
      <w:r w:rsidR="00F32BC4" w:rsidRPr="00F32BC4">
        <w:rPr>
          <w:rFonts w:ascii="Times New Roman" w:hAnsi="Times New Roman" w:cs="Times New Roman"/>
          <w:b w:val="0"/>
        </w:rPr>
        <w:t xml:space="preserve"> earning a positive return, and </w:t>
      </w:r>
      <w:r w:rsidR="00F32BC4">
        <w:rPr>
          <w:rFonts w:ascii="Times New Roman" w:hAnsi="Times New Roman" w:cs="Times New Roman"/>
          <w:b w:val="0"/>
        </w:rPr>
        <w:t>that FPUC will</w:t>
      </w:r>
      <w:r w:rsidR="00F32BC4" w:rsidRPr="00F32BC4">
        <w:rPr>
          <w:rFonts w:ascii="Times New Roman" w:hAnsi="Times New Roman" w:cs="Times New Roman"/>
          <w:b w:val="0"/>
        </w:rPr>
        <w:t xml:space="preserve"> continue to earn within i</w:t>
      </w:r>
      <w:r w:rsidR="00190A00">
        <w:rPr>
          <w:rFonts w:ascii="Times New Roman" w:hAnsi="Times New Roman" w:cs="Times New Roman"/>
          <w:b w:val="0"/>
        </w:rPr>
        <w:t>ts authorized range without the</w:t>
      </w:r>
      <w:r w:rsidR="00F32BC4" w:rsidRPr="00F32BC4">
        <w:rPr>
          <w:rFonts w:ascii="Times New Roman" w:hAnsi="Times New Roman" w:cs="Times New Roman"/>
          <w:b w:val="0"/>
        </w:rPr>
        <w:t xml:space="preserve"> tax savings being retained by the Company. (</w:t>
      </w:r>
      <w:r w:rsidR="00F32BC4">
        <w:rPr>
          <w:rFonts w:ascii="Times New Roman" w:hAnsi="Times New Roman" w:cs="Times New Roman"/>
          <w:b w:val="0"/>
        </w:rPr>
        <w:t>OPC BR 7</w:t>
      </w:r>
      <w:r w:rsidR="004F753A">
        <w:rPr>
          <w:rFonts w:ascii="Times New Roman" w:hAnsi="Times New Roman" w:cs="Times New Roman"/>
          <w:b w:val="0"/>
        </w:rPr>
        <w:t>;</w:t>
      </w:r>
      <w:r w:rsidR="00F32BC4">
        <w:rPr>
          <w:rFonts w:ascii="Times New Roman" w:hAnsi="Times New Roman" w:cs="Times New Roman"/>
          <w:b w:val="0"/>
        </w:rPr>
        <w:t xml:space="preserve"> </w:t>
      </w:r>
      <w:r w:rsidR="00F32BC4" w:rsidRPr="00F32BC4">
        <w:rPr>
          <w:rFonts w:ascii="Times New Roman" w:hAnsi="Times New Roman" w:cs="Times New Roman"/>
          <w:b w:val="0"/>
        </w:rPr>
        <w:t xml:space="preserve">TR 98) </w:t>
      </w:r>
      <w:r w:rsidR="00F32BC4">
        <w:rPr>
          <w:rFonts w:ascii="Times New Roman" w:hAnsi="Times New Roman" w:cs="Times New Roman"/>
          <w:b w:val="0"/>
        </w:rPr>
        <w:t xml:space="preserve">OPC argued that although FPUC claims </w:t>
      </w:r>
      <w:r w:rsidR="00F32BC4" w:rsidRPr="00F32BC4">
        <w:rPr>
          <w:rFonts w:ascii="Times New Roman" w:hAnsi="Times New Roman" w:cs="Times New Roman"/>
          <w:b w:val="0"/>
        </w:rPr>
        <w:t>that retaining the ta</w:t>
      </w:r>
      <w:r w:rsidR="00F32BC4">
        <w:rPr>
          <w:rFonts w:ascii="Times New Roman" w:hAnsi="Times New Roman" w:cs="Times New Roman"/>
          <w:b w:val="0"/>
        </w:rPr>
        <w:t xml:space="preserve">x </w:t>
      </w:r>
      <w:r w:rsidR="00FA7440">
        <w:rPr>
          <w:rFonts w:ascii="Times New Roman" w:hAnsi="Times New Roman" w:cs="Times New Roman"/>
          <w:b w:val="0"/>
        </w:rPr>
        <w:t>savings</w:t>
      </w:r>
      <w:r w:rsidR="00F32BC4" w:rsidRPr="00F32BC4">
        <w:rPr>
          <w:rFonts w:ascii="Times New Roman" w:hAnsi="Times New Roman" w:cs="Times New Roman"/>
          <w:b w:val="0"/>
        </w:rPr>
        <w:t xml:space="preserve"> would not put </w:t>
      </w:r>
      <w:r w:rsidR="00F32BC4">
        <w:rPr>
          <w:rFonts w:ascii="Times New Roman" w:hAnsi="Times New Roman" w:cs="Times New Roman"/>
          <w:b w:val="0"/>
        </w:rPr>
        <w:t>the Company</w:t>
      </w:r>
      <w:r w:rsidR="00F32BC4" w:rsidRPr="00F32BC4">
        <w:rPr>
          <w:rFonts w:ascii="Times New Roman" w:hAnsi="Times New Roman" w:cs="Times New Roman"/>
          <w:b w:val="0"/>
        </w:rPr>
        <w:t xml:space="preserve"> in an over-earning position, </w:t>
      </w:r>
      <w:r w:rsidR="00C546D7">
        <w:rPr>
          <w:rFonts w:ascii="Times New Roman" w:hAnsi="Times New Roman" w:cs="Times New Roman"/>
          <w:b w:val="0"/>
        </w:rPr>
        <w:t>FPUC w</w:t>
      </w:r>
      <w:r w:rsidR="00F32BC4" w:rsidRPr="00F32BC4">
        <w:rPr>
          <w:rFonts w:ascii="Times New Roman" w:hAnsi="Times New Roman" w:cs="Times New Roman"/>
          <w:b w:val="0"/>
        </w:rPr>
        <w:t>itness Cassel could not point to any calculations or evidence that was offered by FPUC to demonstrate where FPUC’s projected earnings level would be if the</w:t>
      </w:r>
      <w:r w:rsidR="00F32BC4">
        <w:rPr>
          <w:rFonts w:ascii="Times New Roman" w:hAnsi="Times New Roman" w:cs="Times New Roman"/>
          <w:b w:val="0"/>
        </w:rPr>
        <w:t xml:space="preserve"> </w:t>
      </w:r>
      <w:r w:rsidR="00F32BC4" w:rsidRPr="00F32BC4">
        <w:rPr>
          <w:rFonts w:ascii="Times New Roman" w:hAnsi="Times New Roman" w:cs="Times New Roman"/>
          <w:b w:val="0"/>
        </w:rPr>
        <w:t xml:space="preserve">tax </w:t>
      </w:r>
      <w:r w:rsidR="00FA7440">
        <w:rPr>
          <w:rFonts w:ascii="Times New Roman" w:hAnsi="Times New Roman" w:cs="Times New Roman"/>
          <w:b w:val="0"/>
        </w:rPr>
        <w:t>savings were</w:t>
      </w:r>
      <w:r w:rsidR="00F32BC4" w:rsidRPr="00F32BC4">
        <w:rPr>
          <w:rFonts w:ascii="Times New Roman" w:hAnsi="Times New Roman" w:cs="Times New Roman"/>
          <w:b w:val="0"/>
        </w:rPr>
        <w:t xml:space="preserve"> retained. (</w:t>
      </w:r>
      <w:r w:rsidR="00F32BC4">
        <w:rPr>
          <w:rFonts w:ascii="Times New Roman" w:hAnsi="Times New Roman" w:cs="Times New Roman"/>
          <w:b w:val="0"/>
        </w:rPr>
        <w:t xml:space="preserve">OPC BR 7, </w:t>
      </w:r>
      <w:r w:rsidR="00F32BC4" w:rsidRPr="00F32BC4">
        <w:rPr>
          <w:rFonts w:ascii="Times New Roman" w:hAnsi="Times New Roman" w:cs="Times New Roman"/>
          <w:b w:val="0"/>
        </w:rPr>
        <w:t>TR 103, 182</w:t>
      </w:r>
      <w:r w:rsidR="00F32BC4">
        <w:rPr>
          <w:rFonts w:ascii="Times New Roman" w:hAnsi="Times New Roman" w:cs="Times New Roman"/>
          <w:b w:val="0"/>
        </w:rPr>
        <w:t>) OPC contend</w:t>
      </w:r>
      <w:r w:rsidR="004F753A">
        <w:rPr>
          <w:rFonts w:ascii="Times New Roman" w:hAnsi="Times New Roman" w:cs="Times New Roman"/>
          <w:b w:val="0"/>
        </w:rPr>
        <w:t>ed</w:t>
      </w:r>
      <w:r w:rsidR="00F32BC4">
        <w:rPr>
          <w:rFonts w:ascii="Times New Roman" w:hAnsi="Times New Roman" w:cs="Times New Roman"/>
          <w:b w:val="0"/>
        </w:rPr>
        <w:t xml:space="preserve"> that </w:t>
      </w:r>
      <w:r w:rsidR="00F32BC4" w:rsidRPr="00F32BC4">
        <w:rPr>
          <w:rFonts w:ascii="Times New Roman" w:hAnsi="Times New Roman" w:cs="Times New Roman"/>
          <w:b w:val="0"/>
        </w:rPr>
        <w:t>the net amount of</w:t>
      </w:r>
      <w:r w:rsidR="00A5590C">
        <w:rPr>
          <w:rFonts w:ascii="Times New Roman" w:hAnsi="Times New Roman" w:cs="Times New Roman"/>
          <w:b w:val="0"/>
        </w:rPr>
        <w:t xml:space="preserve"> the </w:t>
      </w:r>
      <w:r w:rsidR="004F753A">
        <w:rPr>
          <w:rFonts w:ascii="Times New Roman" w:hAnsi="Times New Roman" w:cs="Times New Roman"/>
          <w:b w:val="0"/>
        </w:rPr>
        <w:t>p</w:t>
      </w:r>
      <w:r w:rsidR="00A5590C">
        <w:rPr>
          <w:rFonts w:ascii="Times New Roman" w:hAnsi="Times New Roman" w:cs="Times New Roman"/>
          <w:b w:val="0"/>
        </w:rPr>
        <w:t xml:space="preserve">rotected and </w:t>
      </w:r>
      <w:r w:rsidR="004F753A">
        <w:rPr>
          <w:rFonts w:ascii="Times New Roman" w:hAnsi="Times New Roman" w:cs="Times New Roman"/>
          <w:b w:val="0"/>
        </w:rPr>
        <w:t>u</w:t>
      </w:r>
      <w:r w:rsidR="00A5590C">
        <w:rPr>
          <w:rFonts w:ascii="Times New Roman" w:hAnsi="Times New Roman" w:cs="Times New Roman"/>
          <w:b w:val="0"/>
        </w:rPr>
        <w:t xml:space="preserve">nprotected excess </w:t>
      </w:r>
      <w:r w:rsidR="00F32BC4" w:rsidRPr="00F32BC4">
        <w:rPr>
          <w:rFonts w:ascii="Times New Roman" w:hAnsi="Times New Roman" w:cs="Times New Roman"/>
          <w:b w:val="0"/>
        </w:rPr>
        <w:t xml:space="preserve">ADIT </w:t>
      </w:r>
      <w:r w:rsidR="004F753A">
        <w:rPr>
          <w:rFonts w:ascii="Times New Roman" w:hAnsi="Times New Roman" w:cs="Times New Roman"/>
          <w:b w:val="0"/>
        </w:rPr>
        <w:t xml:space="preserve">that is </w:t>
      </w:r>
      <w:r w:rsidR="00F32BC4" w:rsidRPr="00F32BC4">
        <w:rPr>
          <w:rFonts w:ascii="Times New Roman" w:hAnsi="Times New Roman" w:cs="Times New Roman"/>
          <w:b w:val="0"/>
        </w:rPr>
        <w:t>not related to the acquisition adjustment</w:t>
      </w:r>
      <w:r w:rsidR="004F753A">
        <w:rPr>
          <w:rFonts w:ascii="Times New Roman" w:hAnsi="Times New Roman" w:cs="Times New Roman"/>
          <w:b w:val="0"/>
        </w:rPr>
        <w:t xml:space="preserve"> </w:t>
      </w:r>
      <w:r w:rsidR="00FB0485">
        <w:rPr>
          <w:rFonts w:ascii="Times New Roman" w:hAnsi="Times New Roman" w:cs="Times New Roman"/>
          <w:b w:val="0"/>
        </w:rPr>
        <w:t xml:space="preserve">of </w:t>
      </w:r>
      <w:r w:rsidR="00FB0485" w:rsidRPr="00F32BC4">
        <w:rPr>
          <w:rFonts w:ascii="Times New Roman" w:hAnsi="Times New Roman" w:cs="Times New Roman"/>
          <w:b w:val="0"/>
        </w:rPr>
        <w:t>$</w:t>
      </w:r>
      <w:r w:rsidR="004F753A" w:rsidRPr="00F32BC4">
        <w:rPr>
          <w:rFonts w:ascii="Times New Roman" w:hAnsi="Times New Roman" w:cs="Times New Roman"/>
          <w:b w:val="0"/>
        </w:rPr>
        <w:t>5</w:t>
      </w:r>
      <w:r w:rsidR="004F753A">
        <w:rPr>
          <w:rFonts w:ascii="Times New Roman" w:hAnsi="Times New Roman" w:cs="Times New Roman"/>
          <w:b w:val="0"/>
        </w:rPr>
        <w:t>3</w:t>
      </w:r>
      <w:r w:rsidR="004F753A" w:rsidRPr="00F32BC4">
        <w:rPr>
          <w:rFonts w:ascii="Times New Roman" w:hAnsi="Times New Roman" w:cs="Times New Roman"/>
          <w:b w:val="0"/>
        </w:rPr>
        <w:t>7,174</w:t>
      </w:r>
      <w:r w:rsidR="00F32BC4" w:rsidRPr="00F32BC4">
        <w:rPr>
          <w:rFonts w:ascii="Times New Roman" w:hAnsi="Times New Roman" w:cs="Times New Roman"/>
          <w:b w:val="0"/>
        </w:rPr>
        <w:t xml:space="preserve"> should be applied for the benefit of the customers as a rate reduction. (</w:t>
      </w:r>
      <w:r w:rsidR="00F32BC4">
        <w:rPr>
          <w:rFonts w:ascii="Times New Roman" w:hAnsi="Times New Roman" w:cs="Times New Roman"/>
          <w:b w:val="0"/>
        </w:rPr>
        <w:t xml:space="preserve">OPC BR 7, </w:t>
      </w:r>
      <w:r w:rsidR="00F32BC4" w:rsidRPr="00F32BC4">
        <w:rPr>
          <w:rFonts w:ascii="Times New Roman" w:hAnsi="Times New Roman" w:cs="Times New Roman"/>
          <w:b w:val="0"/>
        </w:rPr>
        <w:t xml:space="preserve">TR 241) </w:t>
      </w:r>
      <w:r w:rsidR="004F753A">
        <w:rPr>
          <w:rFonts w:ascii="Times New Roman" w:hAnsi="Times New Roman" w:cs="Times New Roman"/>
          <w:b w:val="0"/>
        </w:rPr>
        <w:t>OPC argued that t</w:t>
      </w:r>
      <w:r w:rsidR="00F32BC4" w:rsidRPr="00F32BC4">
        <w:rPr>
          <w:rFonts w:ascii="Times New Roman" w:hAnsi="Times New Roman" w:cs="Times New Roman"/>
          <w:b w:val="0"/>
        </w:rPr>
        <w:t>o do otherwise would be unjust, unfair</w:t>
      </w:r>
      <w:r w:rsidR="00E57E82">
        <w:rPr>
          <w:rFonts w:ascii="Times New Roman" w:hAnsi="Times New Roman" w:cs="Times New Roman"/>
          <w:b w:val="0"/>
        </w:rPr>
        <w:t>,</w:t>
      </w:r>
      <w:r w:rsidR="00F32BC4" w:rsidRPr="00F32BC4">
        <w:rPr>
          <w:rFonts w:ascii="Times New Roman" w:hAnsi="Times New Roman" w:cs="Times New Roman"/>
          <w:b w:val="0"/>
        </w:rPr>
        <w:t xml:space="preserve"> and unreasonable to FPUC’s customers</w:t>
      </w:r>
      <w:r w:rsidR="00F32BC4">
        <w:rPr>
          <w:rFonts w:ascii="Times New Roman" w:hAnsi="Times New Roman" w:cs="Times New Roman"/>
          <w:b w:val="0"/>
        </w:rPr>
        <w:t>.</w:t>
      </w:r>
      <w:r w:rsidR="008D3777">
        <w:rPr>
          <w:rFonts w:ascii="Times New Roman" w:hAnsi="Times New Roman" w:cs="Times New Roman"/>
          <w:b w:val="0"/>
        </w:rPr>
        <w:t xml:space="preserve"> (OPC BR 7)</w:t>
      </w:r>
    </w:p>
    <w:p w:rsidR="008D3777" w:rsidRDefault="008D3777" w:rsidP="00834801">
      <w:pPr>
        <w:pStyle w:val="First-LevelSubheading"/>
        <w:jc w:val="center"/>
      </w:pPr>
    </w:p>
    <w:p w:rsidR="00834801" w:rsidRDefault="00834801" w:rsidP="00411E6A">
      <w:pPr>
        <w:pStyle w:val="First-LevelSubheading"/>
        <w:spacing w:after="240"/>
        <w:jc w:val="center"/>
      </w:pPr>
      <w:r>
        <w:t>ANALYSIS</w:t>
      </w:r>
    </w:p>
    <w:p w:rsidR="003F40BB" w:rsidRDefault="00C546D7">
      <w:pPr>
        <w:pStyle w:val="IssueHeading"/>
        <w:rPr>
          <w:rFonts w:ascii="Times New Roman" w:hAnsi="Times New Roman" w:cs="Times New Roman"/>
          <w:b w:val="0"/>
          <w:i w:val="0"/>
        </w:rPr>
      </w:pPr>
      <w:r>
        <w:rPr>
          <w:rFonts w:ascii="Times New Roman" w:hAnsi="Times New Roman" w:cs="Times New Roman"/>
          <w:b w:val="0"/>
          <w:i w:val="0"/>
        </w:rPr>
        <w:t>FPUC w</w:t>
      </w:r>
      <w:r w:rsidR="009932EE">
        <w:rPr>
          <w:rFonts w:ascii="Times New Roman" w:hAnsi="Times New Roman" w:cs="Times New Roman"/>
          <w:b w:val="0"/>
          <w:i w:val="0"/>
        </w:rPr>
        <w:t xml:space="preserve">itness Cassel </w:t>
      </w:r>
      <w:r w:rsidR="00127DA6">
        <w:rPr>
          <w:rFonts w:ascii="Times New Roman" w:hAnsi="Times New Roman" w:cs="Times New Roman"/>
          <w:b w:val="0"/>
          <w:i w:val="0"/>
        </w:rPr>
        <w:t>testified</w:t>
      </w:r>
      <w:r w:rsidR="009932EE">
        <w:rPr>
          <w:rFonts w:ascii="Times New Roman" w:hAnsi="Times New Roman" w:cs="Times New Roman"/>
          <w:b w:val="0"/>
          <w:i w:val="0"/>
        </w:rPr>
        <w:t xml:space="preserve"> that t</w:t>
      </w:r>
      <w:r w:rsidR="009932EE" w:rsidRPr="009932EE">
        <w:rPr>
          <w:rFonts w:ascii="Times New Roman" w:hAnsi="Times New Roman" w:cs="Times New Roman"/>
          <w:b w:val="0"/>
          <w:i w:val="0"/>
        </w:rPr>
        <w:t xml:space="preserve">here are two distinct components of the </w:t>
      </w:r>
      <w:r w:rsidR="004F753A">
        <w:rPr>
          <w:rFonts w:ascii="Times New Roman" w:hAnsi="Times New Roman" w:cs="Times New Roman"/>
          <w:b w:val="0"/>
          <w:i w:val="0"/>
        </w:rPr>
        <w:t>u</w:t>
      </w:r>
      <w:r w:rsidR="009932EE" w:rsidRPr="009932EE">
        <w:rPr>
          <w:rFonts w:ascii="Times New Roman" w:hAnsi="Times New Roman" w:cs="Times New Roman"/>
          <w:b w:val="0"/>
          <w:i w:val="0"/>
        </w:rPr>
        <w:t xml:space="preserve">nprotected </w:t>
      </w:r>
      <w:r w:rsidR="004F753A">
        <w:rPr>
          <w:rFonts w:ascii="Times New Roman" w:hAnsi="Times New Roman" w:cs="Times New Roman"/>
          <w:b w:val="0"/>
          <w:i w:val="0"/>
        </w:rPr>
        <w:t>excess d</w:t>
      </w:r>
      <w:r w:rsidR="009932EE" w:rsidRPr="009932EE">
        <w:rPr>
          <w:rFonts w:ascii="Times New Roman" w:hAnsi="Times New Roman" w:cs="Times New Roman"/>
          <w:b w:val="0"/>
          <w:i w:val="0"/>
        </w:rPr>
        <w:t xml:space="preserve">eferred </w:t>
      </w:r>
      <w:r w:rsidR="004F753A">
        <w:rPr>
          <w:rFonts w:ascii="Times New Roman" w:hAnsi="Times New Roman" w:cs="Times New Roman"/>
          <w:b w:val="0"/>
          <w:i w:val="0"/>
        </w:rPr>
        <w:t>t</w:t>
      </w:r>
      <w:r w:rsidR="009932EE" w:rsidRPr="009932EE">
        <w:rPr>
          <w:rFonts w:ascii="Times New Roman" w:hAnsi="Times New Roman" w:cs="Times New Roman"/>
          <w:b w:val="0"/>
          <w:i w:val="0"/>
        </w:rPr>
        <w:t xml:space="preserve">ax balance. </w:t>
      </w:r>
      <w:r w:rsidR="009932EE">
        <w:rPr>
          <w:rFonts w:ascii="Times New Roman" w:hAnsi="Times New Roman" w:cs="Times New Roman"/>
          <w:b w:val="0"/>
          <w:i w:val="0"/>
        </w:rPr>
        <w:t xml:space="preserve">(TR 99) </w:t>
      </w:r>
      <w:r w:rsidR="009932EE" w:rsidRPr="009932EE">
        <w:rPr>
          <w:rFonts w:ascii="Times New Roman" w:hAnsi="Times New Roman" w:cs="Times New Roman"/>
          <w:b w:val="0"/>
          <w:i w:val="0"/>
        </w:rPr>
        <w:t xml:space="preserve">The first component is a deferred tax </w:t>
      </w:r>
      <w:r w:rsidR="004316E7">
        <w:rPr>
          <w:rFonts w:ascii="Times New Roman" w:hAnsi="Times New Roman" w:cs="Times New Roman"/>
          <w:b w:val="0"/>
          <w:i w:val="0"/>
        </w:rPr>
        <w:t>amount</w:t>
      </w:r>
      <w:r w:rsidR="009932EE" w:rsidRPr="009932EE">
        <w:rPr>
          <w:rFonts w:ascii="Times New Roman" w:hAnsi="Times New Roman" w:cs="Times New Roman"/>
          <w:b w:val="0"/>
          <w:i w:val="0"/>
        </w:rPr>
        <w:t xml:space="preserve"> associated with the acquisition adjustment. </w:t>
      </w:r>
      <w:r w:rsidR="009932EE">
        <w:rPr>
          <w:rFonts w:ascii="Times New Roman" w:hAnsi="Times New Roman" w:cs="Times New Roman"/>
          <w:b w:val="0"/>
          <w:i w:val="0"/>
        </w:rPr>
        <w:t xml:space="preserve">(TR 99) </w:t>
      </w:r>
      <w:r w:rsidR="009932EE" w:rsidRPr="009932EE">
        <w:rPr>
          <w:rFonts w:ascii="Times New Roman" w:hAnsi="Times New Roman" w:cs="Times New Roman"/>
          <w:b w:val="0"/>
          <w:i w:val="0"/>
        </w:rPr>
        <w:t>This grossed up balance is $6,518,569</w:t>
      </w:r>
      <w:r w:rsidR="00A5590C">
        <w:rPr>
          <w:rFonts w:ascii="Times New Roman" w:hAnsi="Times New Roman" w:cs="Times New Roman"/>
          <w:b w:val="0"/>
          <w:i w:val="0"/>
        </w:rPr>
        <w:t>, which</w:t>
      </w:r>
      <w:r w:rsidR="009932EE" w:rsidRPr="009932EE">
        <w:rPr>
          <w:rFonts w:ascii="Times New Roman" w:hAnsi="Times New Roman" w:cs="Times New Roman"/>
          <w:b w:val="0"/>
          <w:i w:val="0"/>
        </w:rPr>
        <w:t xml:space="preserve"> the Company request</w:t>
      </w:r>
      <w:r w:rsidR="00A5590C">
        <w:rPr>
          <w:rFonts w:ascii="Times New Roman" w:hAnsi="Times New Roman" w:cs="Times New Roman"/>
          <w:b w:val="0"/>
          <w:i w:val="0"/>
        </w:rPr>
        <w:t>ed</w:t>
      </w:r>
      <w:r w:rsidR="009932EE" w:rsidRPr="009932EE">
        <w:rPr>
          <w:rFonts w:ascii="Times New Roman" w:hAnsi="Times New Roman" w:cs="Times New Roman"/>
          <w:b w:val="0"/>
          <w:i w:val="0"/>
        </w:rPr>
        <w:t xml:space="preserve"> be included with the net acquisition adjustment and amortized at $298,560 per year</w:t>
      </w:r>
      <w:r w:rsidR="000844AE">
        <w:rPr>
          <w:rFonts w:ascii="Times New Roman" w:hAnsi="Times New Roman" w:cs="Times New Roman"/>
          <w:b w:val="0"/>
          <w:i w:val="0"/>
        </w:rPr>
        <w:t>,</w:t>
      </w:r>
      <w:r w:rsidR="009932EE" w:rsidRPr="009932EE">
        <w:rPr>
          <w:rFonts w:ascii="Times New Roman" w:hAnsi="Times New Roman" w:cs="Times New Roman"/>
          <w:b w:val="0"/>
          <w:i w:val="0"/>
        </w:rPr>
        <w:t xml:space="preserve"> based on the remaining months </w:t>
      </w:r>
      <w:r w:rsidR="00E57E82">
        <w:rPr>
          <w:rFonts w:ascii="Times New Roman" w:hAnsi="Times New Roman" w:cs="Times New Roman"/>
          <w:b w:val="0"/>
          <w:i w:val="0"/>
        </w:rPr>
        <w:t xml:space="preserve">of </w:t>
      </w:r>
      <w:r w:rsidR="00E57E82" w:rsidRPr="009932EE">
        <w:rPr>
          <w:rFonts w:ascii="Times New Roman" w:hAnsi="Times New Roman" w:cs="Times New Roman"/>
          <w:b w:val="0"/>
          <w:i w:val="0"/>
        </w:rPr>
        <w:t xml:space="preserve">amortization </w:t>
      </w:r>
      <w:r w:rsidR="009932EE" w:rsidRPr="009932EE">
        <w:rPr>
          <w:rFonts w:ascii="Times New Roman" w:hAnsi="Times New Roman" w:cs="Times New Roman"/>
          <w:b w:val="0"/>
          <w:i w:val="0"/>
        </w:rPr>
        <w:t>of the acquisition adjustment</w:t>
      </w:r>
      <w:r w:rsidR="009932EE">
        <w:rPr>
          <w:rFonts w:ascii="Times New Roman" w:hAnsi="Times New Roman" w:cs="Times New Roman"/>
          <w:b w:val="0"/>
          <w:i w:val="0"/>
        </w:rPr>
        <w:t xml:space="preserve">. (TR 99) </w:t>
      </w:r>
      <w:r w:rsidR="009932EE" w:rsidRPr="009932EE">
        <w:rPr>
          <w:rFonts w:ascii="Times New Roman" w:hAnsi="Times New Roman" w:cs="Times New Roman"/>
          <w:b w:val="0"/>
          <w:i w:val="0"/>
        </w:rPr>
        <w:t xml:space="preserve">The second component is a net </w:t>
      </w:r>
      <w:r w:rsidR="004F753A">
        <w:rPr>
          <w:rFonts w:ascii="Times New Roman" w:hAnsi="Times New Roman" w:cs="Times New Roman"/>
          <w:b w:val="0"/>
          <w:i w:val="0"/>
        </w:rPr>
        <w:t>u</w:t>
      </w:r>
      <w:r w:rsidR="009932EE" w:rsidRPr="009932EE">
        <w:rPr>
          <w:rFonts w:ascii="Times New Roman" w:hAnsi="Times New Roman" w:cs="Times New Roman"/>
          <w:b w:val="0"/>
          <w:i w:val="0"/>
        </w:rPr>
        <w:t xml:space="preserve">nprotected </w:t>
      </w:r>
      <w:r w:rsidR="004F753A">
        <w:rPr>
          <w:rFonts w:ascii="Times New Roman" w:hAnsi="Times New Roman" w:cs="Times New Roman"/>
          <w:b w:val="0"/>
          <w:i w:val="0"/>
        </w:rPr>
        <w:t>excess d</w:t>
      </w:r>
      <w:r w:rsidR="009932EE" w:rsidRPr="009932EE">
        <w:rPr>
          <w:rFonts w:ascii="Times New Roman" w:hAnsi="Times New Roman" w:cs="Times New Roman"/>
          <w:b w:val="0"/>
          <w:i w:val="0"/>
        </w:rPr>
        <w:t xml:space="preserve">eferred </w:t>
      </w:r>
      <w:r w:rsidR="004F753A">
        <w:rPr>
          <w:rFonts w:ascii="Times New Roman" w:hAnsi="Times New Roman" w:cs="Times New Roman"/>
          <w:b w:val="0"/>
          <w:i w:val="0"/>
        </w:rPr>
        <w:t>t</w:t>
      </w:r>
      <w:r w:rsidR="009932EE" w:rsidRPr="009932EE">
        <w:rPr>
          <w:rFonts w:ascii="Times New Roman" w:hAnsi="Times New Roman" w:cs="Times New Roman"/>
          <w:b w:val="0"/>
          <w:i w:val="0"/>
        </w:rPr>
        <w:t>ax</w:t>
      </w:r>
      <w:r w:rsidR="00190A00">
        <w:rPr>
          <w:rFonts w:ascii="Times New Roman" w:hAnsi="Times New Roman" w:cs="Times New Roman"/>
          <w:b w:val="0"/>
          <w:i w:val="0"/>
        </w:rPr>
        <w:t xml:space="preserve"> </w:t>
      </w:r>
      <w:r w:rsidR="004316E7">
        <w:rPr>
          <w:rFonts w:ascii="Times New Roman" w:hAnsi="Times New Roman" w:cs="Times New Roman"/>
          <w:b w:val="0"/>
          <w:i w:val="0"/>
        </w:rPr>
        <w:t>amount</w:t>
      </w:r>
      <w:r w:rsidR="009932EE" w:rsidRPr="009932EE">
        <w:rPr>
          <w:rFonts w:ascii="Times New Roman" w:hAnsi="Times New Roman" w:cs="Times New Roman"/>
          <w:b w:val="0"/>
          <w:i w:val="0"/>
        </w:rPr>
        <w:t xml:space="preserve"> of $3,072,874. </w:t>
      </w:r>
      <w:r w:rsidR="009932EE">
        <w:rPr>
          <w:rFonts w:ascii="Times New Roman" w:hAnsi="Times New Roman" w:cs="Times New Roman"/>
          <w:b w:val="0"/>
          <w:i w:val="0"/>
        </w:rPr>
        <w:t xml:space="preserve">(TR 99) </w:t>
      </w:r>
      <w:r w:rsidR="009932EE" w:rsidRPr="009932EE">
        <w:rPr>
          <w:rFonts w:ascii="Times New Roman" w:hAnsi="Times New Roman" w:cs="Times New Roman"/>
          <w:b w:val="0"/>
          <w:i w:val="0"/>
        </w:rPr>
        <w:t>The Company request</w:t>
      </w:r>
      <w:r w:rsidR="00DA5A4C">
        <w:rPr>
          <w:rFonts w:ascii="Times New Roman" w:hAnsi="Times New Roman" w:cs="Times New Roman"/>
          <w:b w:val="0"/>
          <w:i w:val="0"/>
        </w:rPr>
        <w:t>ed</w:t>
      </w:r>
      <w:r w:rsidR="009932EE" w:rsidRPr="009932EE">
        <w:rPr>
          <w:rFonts w:ascii="Times New Roman" w:hAnsi="Times New Roman" w:cs="Times New Roman"/>
          <w:b w:val="0"/>
          <w:i w:val="0"/>
        </w:rPr>
        <w:t xml:space="preserve"> this </w:t>
      </w:r>
      <w:r w:rsidR="004F753A">
        <w:rPr>
          <w:rFonts w:ascii="Times New Roman" w:hAnsi="Times New Roman" w:cs="Times New Roman"/>
          <w:b w:val="0"/>
          <w:i w:val="0"/>
        </w:rPr>
        <w:t>excess d</w:t>
      </w:r>
      <w:r w:rsidR="009932EE" w:rsidRPr="009932EE">
        <w:rPr>
          <w:rFonts w:ascii="Times New Roman" w:hAnsi="Times New Roman" w:cs="Times New Roman"/>
          <w:b w:val="0"/>
          <w:i w:val="0"/>
        </w:rPr>
        <w:t xml:space="preserve">eferred </w:t>
      </w:r>
      <w:r w:rsidR="004F753A">
        <w:rPr>
          <w:rFonts w:ascii="Times New Roman" w:hAnsi="Times New Roman" w:cs="Times New Roman"/>
          <w:b w:val="0"/>
          <w:i w:val="0"/>
        </w:rPr>
        <w:t>t</w:t>
      </w:r>
      <w:r w:rsidR="009932EE" w:rsidRPr="009932EE">
        <w:rPr>
          <w:rFonts w:ascii="Times New Roman" w:hAnsi="Times New Roman" w:cs="Times New Roman"/>
          <w:b w:val="0"/>
          <w:i w:val="0"/>
        </w:rPr>
        <w:t>ax</w:t>
      </w:r>
      <w:r w:rsidR="004316E7">
        <w:rPr>
          <w:rFonts w:ascii="Times New Roman" w:hAnsi="Times New Roman" w:cs="Times New Roman"/>
          <w:b w:val="0"/>
          <w:i w:val="0"/>
        </w:rPr>
        <w:t xml:space="preserve"> amount</w:t>
      </w:r>
      <w:r w:rsidR="009932EE" w:rsidRPr="009932EE">
        <w:rPr>
          <w:rFonts w:ascii="Times New Roman" w:hAnsi="Times New Roman" w:cs="Times New Roman"/>
          <w:b w:val="0"/>
          <w:i w:val="0"/>
        </w:rPr>
        <w:t xml:space="preserve"> be amortized over 10 years at $307,287 per year. </w:t>
      </w:r>
      <w:r w:rsidR="009932EE">
        <w:rPr>
          <w:rFonts w:ascii="Times New Roman" w:hAnsi="Times New Roman" w:cs="Times New Roman"/>
          <w:b w:val="0"/>
          <w:i w:val="0"/>
        </w:rPr>
        <w:t xml:space="preserve">(TR 99) </w:t>
      </w:r>
      <w:r w:rsidR="009932EE" w:rsidRPr="009932EE">
        <w:rPr>
          <w:rFonts w:ascii="Times New Roman" w:hAnsi="Times New Roman" w:cs="Times New Roman"/>
          <w:b w:val="0"/>
          <w:i w:val="0"/>
        </w:rPr>
        <w:t>Th</w:t>
      </w:r>
      <w:r w:rsidR="00A5590C">
        <w:rPr>
          <w:rFonts w:ascii="Times New Roman" w:hAnsi="Times New Roman" w:cs="Times New Roman"/>
          <w:b w:val="0"/>
          <w:i w:val="0"/>
        </w:rPr>
        <w:t xml:space="preserve">e Company requested that the </w:t>
      </w:r>
      <w:r w:rsidR="009932EE" w:rsidRPr="009932EE">
        <w:rPr>
          <w:rFonts w:ascii="Times New Roman" w:hAnsi="Times New Roman" w:cs="Times New Roman"/>
          <w:b w:val="0"/>
          <w:i w:val="0"/>
        </w:rPr>
        <w:t>amortization detrimen</w:t>
      </w:r>
      <w:r w:rsidR="00F920DB">
        <w:rPr>
          <w:rFonts w:ascii="Times New Roman" w:hAnsi="Times New Roman" w:cs="Times New Roman"/>
          <w:b w:val="0"/>
          <w:i w:val="0"/>
        </w:rPr>
        <w:t>t</w:t>
      </w:r>
      <w:r w:rsidR="009932EE" w:rsidRPr="009932EE">
        <w:rPr>
          <w:rFonts w:ascii="Times New Roman" w:hAnsi="Times New Roman" w:cs="Times New Roman"/>
          <w:b w:val="0"/>
          <w:i w:val="0"/>
        </w:rPr>
        <w:t xml:space="preserve"> be netted against the annual </w:t>
      </w:r>
      <w:r w:rsidRPr="009932EE">
        <w:rPr>
          <w:rFonts w:ascii="Times New Roman" w:hAnsi="Times New Roman" w:cs="Times New Roman"/>
          <w:b w:val="0"/>
          <w:i w:val="0"/>
        </w:rPr>
        <w:t>protected</w:t>
      </w:r>
      <w:r w:rsidR="00E57E82">
        <w:rPr>
          <w:rFonts w:ascii="Times New Roman" w:hAnsi="Times New Roman" w:cs="Times New Roman"/>
          <w:b w:val="0"/>
          <w:i w:val="0"/>
        </w:rPr>
        <w:t xml:space="preserve"> </w:t>
      </w:r>
      <w:r w:rsidR="00FA7440">
        <w:rPr>
          <w:rFonts w:ascii="Times New Roman" w:hAnsi="Times New Roman" w:cs="Times New Roman"/>
          <w:b w:val="0"/>
          <w:i w:val="0"/>
        </w:rPr>
        <w:t>tax amount</w:t>
      </w:r>
      <w:r w:rsidR="009932EE" w:rsidRPr="009932EE">
        <w:rPr>
          <w:rFonts w:ascii="Times New Roman" w:hAnsi="Times New Roman" w:cs="Times New Roman"/>
          <w:b w:val="0"/>
          <w:i w:val="0"/>
        </w:rPr>
        <w:t xml:space="preserve"> and retained by the Company</w:t>
      </w:r>
      <w:r w:rsidR="009932EE">
        <w:rPr>
          <w:rFonts w:ascii="Times New Roman" w:hAnsi="Times New Roman" w:cs="Times New Roman"/>
          <w:b w:val="0"/>
          <w:i w:val="0"/>
        </w:rPr>
        <w:t>. (TR 99)</w:t>
      </w:r>
    </w:p>
    <w:p w:rsidR="009932EE" w:rsidRPr="009932EE" w:rsidRDefault="00411E6A" w:rsidP="009932EE">
      <w:pPr>
        <w:pStyle w:val="BodyText"/>
      </w:pPr>
      <w:r>
        <w:t xml:space="preserve">Staff recommends that this treatment is appropriate </w:t>
      </w:r>
      <w:r w:rsidR="00692E9B">
        <w:t>because</w:t>
      </w:r>
      <w:r>
        <w:t xml:space="preserve"> the Company is not earning above its authorized range of ROE. </w:t>
      </w:r>
      <w:r w:rsidR="00C546D7">
        <w:t>OPC w</w:t>
      </w:r>
      <w:r w:rsidR="00995C57">
        <w:t xml:space="preserve">itness Smith agreed that </w:t>
      </w:r>
      <w:r w:rsidR="00995C57" w:rsidRPr="00995C57">
        <w:t xml:space="preserve">the net annual amortization of the </w:t>
      </w:r>
      <w:r w:rsidR="004F753A">
        <w:t>p</w:t>
      </w:r>
      <w:r w:rsidR="00995C57" w:rsidRPr="00995C57">
        <w:t xml:space="preserve">rotected and </w:t>
      </w:r>
      <w:r w:rsidR="004F753A">
        <w:t>u</w:t>
      </w:r>
      <w:r w:rsidR="00995C57" w:rsidRPr="00995C57">
        <w:t xml:space="preserve">nprotected </w:t>
      </w:r>
      <w:r w:rsidR="004F753A">
        <w:t>e</w:t>
      </w:r>
      <w:r w:rsidR="00127DA6">
        <w:t>xcess</w:t>
      </w:r>
      <w:r w:rsidR="00995C57">
        <w:t xml:space="preserve"> </w:t>
      </w:r>
      <w:r w:rsidR="00995C57" w:rsidRPr="00995C57">
        <w:t>ADIT that is not associated with the acquisition adjustment estimated by the Company</w:t>
      </w:r>
      <w:r w:rsidR="00995C57">
        <w:t xml:space="preserve"> is</w:t>
      </w:r>
      <w:r w:rsidR="00995C57" w:rsidRPr="00995C57">
        <w:t xml:space="preserve"> approximately $537,174 annually</w:t>
      </w:r>
      <w:r w:rsidR="00C546D7">
        <w:t xml:space="preserve">. (TR 241) </w:t>
      </w:r>
      <w:r w:rsidR="00A5590C">
        <w:t>W</w:t>
      </w:r>
      <w:r w:rsidR="00995C57">
        <w:t xml:space="preserve">itness Smith further </w:t>
      </w:r>
      <w:r w:rsidR="00127DA6">
        <w:t>testified</w:t>
      </w:r>
      <w:r w:rsidR="00995C57">
        <w:t xml:space="preserve"> that t</w:t>
      </w:r>
      <w:r w:rsidR="00995C57" w:rsidRPr="00995C57">
        <w:t xml:space="preserve">he TCJA savings should be applied for the benefit of customers as a </w:t>
      </w:r>
      <w:r w:rsidR="00127DA6">
        <w:t>perm</w:t>
      </w:r>
      <w:r w:rsidR="00127DA6" w:rsidRPr="00995C57">
        <w:t>anent</w:t>
      </w:r>
      <w:r w:rsidR="00995C57" w:rsidRPr="00995C57">
        <w:t xml:space="preserve"> base rate reduction</w:t>
      </w:r>
      <w:r w:rsidR="000844AE">
        <w:t>,</w:t>
      </w:r>
      <w:r w:rsidR="003D4D19">
        <w:t xml:space="preserve"> rather than being retained by FPUC</w:t>
      </w:r>
      <w:r w:rsidR="00995C57" w:rsidRPr="00995C57">
        <w:t xml:space="preserve">. </w:t>
      </w:r>
      <w:r w:rsidR="00995C57">
        <w:t>(TR 241)</w:t>
      </w:r>
      <w:r w:rsidR="003D4D19">
        <w:t xml:space="preserve"> </w:t>
      </w:r>
      <w:r>
        <w:t>Staff d</w:t>
      </w:r>
      <w:r w:rsidR="00B90624">
        <w:t>isagrees</w:t>
      </w:r>
      <w:r>
        <w:t xml:space="preserve"> with OPC witness Smith </w:t>
      </w:r>
      <w:r w:rsidR="00190A00">
        <w:t>because</w:t>
      </w:r>
      <w:r>
        <w:t xml:space="preserve"> the </w:t>
      </w:r>
      <w:r w:rsidR="00326B9E">
        <w:t xml:space="preserve">record demonstrates that the </w:t>
      </w:r>
      <w:r>
        <w:t xml:space="preserve">Company is not </w:t>
      </w:r>
      <w:r w:rsidR="00326B9E">
        <w:t xml:space="preserve">projected to be </w:t>
      </w:r>
      <w:r>
        <w:t>in an over-earning</w:t>
      </w:r>
      <w:r w:rsidR="00326B9E">
        <w:t>s</w:t>
      </w:r>
      <w:r>
        <w:t xml:space="preserve"> position</w:t>
      </w:r>
      <w:r w:rsidR="00326B9E">
        <w:t xml:space="preserve"> even if it is allowed to retain all the tax savings</w:t>
      </w:r>
      <w:r>
        <w:t>.</w:t>
      </w:r>
      <w:r w:rsidR="00326B9E">
        <w:t xml:space="preserve"> (EXH 12, BSP 00067)</w:t>
      </w:r>
      <w:r>
        <w:t xml:space="preserve"> Staff </w:t>
      </w:r>
      <w:r w:rsidR="00FB0485">
        <w:t>additionally</w:t>
      </w:r>
      <w:r>
        <w:t xml:space="preserve"> finds the Company’s proposal appropriate </w:t>
      </w:r>
      <w:r w:rsidR="00190A00">
        <w:t>because</w:t>
      </w:r>
      <w:r>
        <w:t xml:space="preserve"> t</w:t>
      </w:r>
      <w:r w:rsidR="003D4D19">
        <w:t xml:space="preserve">he record shows that OPC did not take issue with FPUC’s proposed disposition of the unprotected deferred tax </w:t>
      </w:r>
      <w:r w:rsidR="004316E7">
        <w:t>amount</w:t>
      </w:r>
      <w:r w:rsidR="003D4D19">
        <w:t xml:space="preserve"> </w:t>
      </w:r>
      <w:r w:rsidR="00127DA6">
        <w:t>associated</w:t>
      </w:r>
      <w:r w:rsidR="003D4D19">
        <w:t xml:space="preserve"> with the acquisition adjustment. </w:t>
      </w:r>
      <w:r w:rsidR="00326B9E">
        <w:t>(TR 233-234)</w:t>
      </w:r>
    </w:p>
    <w:p w:rsidR="00012EE8" w:rsidRDefault="00012EE8" w:rsidP="00012EE8">
      <w:pPr>
        <w:pStyle w:val="First-LevelSubheading"/>
      </w:pPr>
    </w:p>
    <w:p w:rsidR="00326B9E" w:rsidRDefault="00326B9E" w:rsidP="00012EE8">
      <w:pPr>
        <w:pStyle w:val="First-LevelSubheading"/>
        <w:spacing w:after="240"/>
        <w:jc w:val="center"/>
      </w:pPr>
    </w:p>
    <w:p w:rsidR="00012EE8" w:rsidRDefault="00012EE8" w:rsidP="00012EE8">
      <w:pPr>
        <w:pStyle w:val="First-LevelSubheading"/>
        <w:spacing w:after="240"/>
        <w:jc w:val="center"/>
      </w:pPr>
      <w:r>
        <w:lastRenderedPageBreak/>
        <w:t>CONCLUSION</w:t>
      </w:r>
    </w:p>
    <w:p w:rsidR="000844AE" w:rsidRDefault="00DE4D57" w:rsidP="00012EE8">
      <w:pPr>
        <w:pStyle w:val="BodyText"/>
      </w:pPr>
      <w:r w:rsidRPr="00DE4D57">
        <w:t>Staff recommends that it is fair, just, and reasonable for the Commission to consider the earnings position of the Company in its decision.</w:t>
      </w:r>
      <w:r>
        <w:t xml:space="preserve"> </w:t>
      </w:r>
      <w:r w:rsidR="00771309">
        <w:t>Therefore, f</w:t>
      </w:r>
      <w:r w:rsidR="00411E6A">
        <w:t xml:space="preserve">or the reasons discussed in Issue 4B and the aforementioned </w:t>
      </w:r>
      <w:r w:rsidR="00FB0485">
        <w:t>analysis</w:t>
      </w:r>
      <w:r w:rsidR="000844AE">
        <w:t>,</w:t>
      </w:r>
      <w:r w:rsidR="00771309">
        <w:t xml:space="preserve"> staff recommends </w:t>
      </w:r>
      <w:r w:rsidR="003D4D19" w:rsidRPr="003D4D19">
        <w:t>FPUC</w:t>
      </w:r>
      <w:r w:rsidR="000844AE" w:rsidRPr="002C3481">
        <w:t xml:space="preserve"> be allowed to retain the excess deferred tax amount associated with the net acquisition adjustment of $6,518,569 amortized over the life of the acquisition adjustment. Further, the unprotected deferred tax amount of $3,072,874 should be amortized over 10 years and netted against the protected excess deferred taxes of $21,955,922</w:t>
      </w:r>
      <w:r w:rsidR="002C3481">
        <w:t>.</w:t>
      </w:r>
    </w:p>
    <w:p w:rsidR="00012EE8" w:rsidRPr="00012EE8" w:rsidRDefault="00012EE8" w:rsidP="00012EE8">
      <w:pPr>
        <w:pStyle w:val="BodyText"/>
        <w:sectPr w:rsidR="00012EE8" w:rsidRPr="00012EE8" w:rsidSect="00A87747">
          <w:headerReference w:type="default" r:id="rId15"/>
          <w:pgSz w:w="12240" w:h="15840" w:code="1"/>
          <w:pgMar w:top="1584" w:right="1440" w:bottom="1440" w:left="1440" w:header="720" w:footer="720" w:gutter="0"/>
          <w:cols w:space="720"/>
          <w:formProt w:val="0"/>
          <w:docGrid w:linePitch="360"/>
        </w:sectPr>
      </w:pPr>
    </w:p>
    <w:p w:rsidR="00037C46" w:rsidRDefault="00037C46">
      <w:pPr>
        <w:pStyle w:val="IssueHeading"/>
        <w:rPr>
          <w:vanish/>
          <w:specVanish/>
        </w:rPr>
      </w:pPr>
      <w:r w:rsidRPr="004C3641">
        <w:lastRenderedPageBreak/>
        <w:t xml:space="preserve">Issue </w:t>
      </w:r>
      <w:r w:rsidR="00A87747">
        <w:t>21</w:t>
      </w:r>
      <w:r w:rsidRPr="004C3641">
        <w:t>:</w:t>
      </w:r>
      <w:r>
        <w:fldChar w:fldCharType="begin"/>
      </w:r>
      <w:r>
        <w:instrText xml:space="preserve"> TC "</w:instrText>
      </w:r>
      <w:bookmarkStart w:id="20" w:name="_Toc535242567"/>
      <w:r w:rsidR="00F00D16">
        <w:instrText>21</w:instrText>
      </w:r>
      <w:r>
        <w:tab/>
      </w:r>
      <w:r w:rsidR="00DA5A4C">
        <w:instrText>Should FPUC be allowed to retain the tax benefits arising from the TCJA rate reduction.</w:instrText>
      </w:r>
      <w:bookmarkEnd w:id="20"/>
      <w:r>
        <w:instrText xml:space="preserve">" \l 1 </w:instrText>
      </w:r>
      <w:r>
        <w:fldChar w:fldCharType="end"/>
      </w:r>
      <w:r>
        <w:t> </w:t>
      </w:r>
    </w:p>
    <w:p w:rsidR="00037C46" w:rsidRDefault="00037C46">
      <w:pPr>
        <w:pStyle w:val="BodyText"/>
      </w:pPr>
      <w:r>
        <w:t> Should FPUC be allowed to retain the tax benefits arising from the TCJA rate reduction, excluding the 2018 GRIP savings, as well as the estimated Deferred Tax portion of the Protected and estimated Unprotected Deferred Tax regulatory asset that are not associated with the acquisition adjustment?</w:t>
      </w:r>
    </w:p>
    <w:p w:rsidR="00037C46" w:rsidRPr="004C3641" w:rsidRDefault="00037C46">
      <w:pPr>
        <w:pStyle w:val="IssueSubsectionHeading"/>
        <w:rPr>
          <w:vanish/>
          <w:specVanish/>
        </w:rPr>
      </w:pPr>
      <w:r w:rsidRPr="004C3641">
        <w:t>Recommendation: </w:t>
      </w:r>
    </w:p>
    <w:p w:rsidR="00037C46" w:rsidRDefault="00037C46">
      <w:pPr>
        <w:pStyle w:val="BodyText"/>
      </w:pPr>
      <w:r>
        <w:t xml:space="preserve">  </w:t>
      </w:r>
      <w:r w:rsidR="00E57E82">
        <w:t xml:space="preserve">Yes, </w:t>
      </w:r>
      <w:r w:rsidR="000A15F4" w:rsidRPr="000A15F4">
        <w:t xml:space="preserve">FPUC should be allowed to retain the tax </w:t>
      </w:r>
      <w:r w:rsidR="006B424B">
        <w:t>savings</w:t>
      </w:r>
      <w:r w:rsidR="000A15F4" w:rsidRPr="000A15F4">
        <w:t xml:space="preserve"> arising from the TCJA rate reduction, excluding the 2018 GRIP savings, as well as the estimated net deferred tax saving</w:t>
      </w:r>
      <w:r w:rsidR="000844AE">
        <w:t>s</w:t>
      </w:r>
      <w:r w:rsidR="000A15F4" w:rsidRPr="000A15F4">
        <w:t xml:space="preserve"> of the protected and unprotected deferred tax regulatory </w:t>
      </w:r>
      <w:r w:rsidR="004316E7">
        <w:t>amount</w:t>
      </w:r>
      <w:r w:rsidR="000A15F4" w:rsidRPr="000A15F4">
        <w:t xml:space="preserve"> </w:t>
      </w:r>
      <w:r w:rsidR="00F920DB">
        <w:t xml:space="preserve">not </w:t>
      </w:r>
      <w:r w:rsidR="000A15F4" w:rsidRPr="000A15F4">
        <w:t xml:space="preserve">associated with the acquisition adjustment </w:t>
      </w:r>
      <w:r>
        <w:t>(</w:t>
      </w:r>
      <w:r w:rsidR="00834801">
        <w:t>Hightower</w:t>
      </w:r>
      <w:r w:rsidR="00127DA6">
        <w:t>,</w:t>
      </w:r>
      <w:r w:rsidR="00834801">
        <w:t xml:space="preserve"> </w:t>
      </w:r>
      <w:r w:rsidR="007E7D76">
        <w:t xml:space="preserve">D. Buys, </w:t>
      </w:r>
      <w:r w:rsidR="00834801">
        <w:t>Cicchetti</w:t>
      </w:r>
      <w:r>
        <w:t>)</w:t>
      </w:r>
    </w:p>
    <w:p w:rsidR="00037C46" w:rsidRPr="004C3641" w:rsidRDefault="00037C46">
      <w:pPr>
        <w:pStyle w:val="IssueSubsectionHeading"/>
        <w:keepNext/>
        <w:rPr>
          <w:iCs w:val="0"/>
        </w:rPr>
      </w:pPr>
      <w:r w:rsidRPr="004C3641">
        <w:rPr>
          <w:iCs w:val="0"/>
        </w:rPr>
        <w:t>Position of the Parties</w:t>
      </w:r>
    </w:p>
    <w:p w:rsidR="00037C46" w:rsidRDefault="00834801" w:rsidP="00037C46">
      <w:pPr>
        <w:pStyle w:val="PartyName"/>
        <w:rPr>
          <w:vanish/>
          <w:specVanish/>
        </w:rPr>
      </w:pPr>
      <w:r>
        <w:t>FPUC</w:t>
      </w:r>
      <w:r w:rsidR="00037C46">
        <w:t>: </w:t>
      </w:r>
    </w:p>
    <w:p w:rsidR="00037C46" w:rsidRDefault="00037C46" w:rsidP="00037C46">
      <w:pPr>
        <w:pStyle w:val="BodyText"/>
      </w:pPr>
      <w:r>
        <w:t>  </w:t>
      </w:r>
      <w:r w:rsidR="005D052C" w:rsidRPr="005D052C">
        <w:t>Yes, FPUC should be allowed to retain the tax benefits arising from the TCJA rate reduction, excluding the 2018 GRIP savings, as well as the estimated Deferred Tax portion of the Protected and estimated Unprotected Deferred Tax regulatory asset including those that are associated with the acquisition adjustment.</w:t>
      </w:r>
    </w:p>
    <w:p w:rsidR="00037C46" w:rsidRDefault="00834801" w:rsidP="00037C46">
      <w:pPr>
        <w:pStyle w:val="PartyName"/>
        <w:rPr>
          <w:vanish/>
          <w:specVanish/>
        </w:rPr>
      </w:pPr>
      <w:r>
        <w:t>OPC</w:t>
      </w:r>
      <w:r w:rsidR="00037C46">
        <w:t>: </w:t>
      </w:r>
    </w:p>
    <w:p w:rsidR="00834801" w:rsidRDefault="00037C46" w:rsidP="00394BAB">
      <w:pPr>
        <w:autoSpaceDE w:val="0"/>
        <w:autoSpaceDN w:val="0"/>
        <w:adjustRightInd w:val="0"/>
        <w:jc w:val="both"/>
      </w:pPr>
      <w:r>
        <w:t>  </w:t>
      </w:r>
      <w:r w:rsidR="005D052C" w:rsidRPr="005D052C">
        <w:t xml:space="preserve">No, FPUC should not be allowed to retain the tax </w:t>
      </w:r>
      <w:r w:rsidR="006B424B">
        <w:t>savings</w:t>
      </w:r>
      <w:r w:rsidR="005D052C" w:rsidRPr="005D052C">
        <w:t xml:space="preserve"> arising from the TCJA rate reduction.</w:t>
      </w:r>
    </w:p>
    <w:p w:rsidR="00834801" w:rsidRPr="00834801" w:rsidRDefault="00834801" w:rsidP="00135C55">
      <w:pPr>
        <w:pStyle w:val="IssueSubsectionHeading"/>
        <w:spacing w:after="0"/>
        <w:rPr>
          <w:i w:val="0"/>
        </w:rPr>
      </w:pPr>
    </w:p>
    <w:p w:rsidR="00037C46" w:rsidRPr="004C3641" w:rsidRDefault="00037C46">
      <w:pPr>
        <w:pStyle w:val="IssueSubsectionHeading"/>
        <w:rPr>
          <w:vanish/>
          <w:specVanish/>
        </w:rPr>
      </w:pPr>
      <w:r w:rsidRPr="004C3641">
        <w:t>Staff Analysis: </w:t>
      </w:r>
    </w:p>
    <w:p w:rsidR="00A87747" w:rsidRDefault="00037C46">
      <w:pPr>
        <w:pStyle w:val="BodyText"/>
      </w:pPr>
      <w:r>
        <w:t> </w:t>
      </w:r>
    </w:p>
    <w:p w:rsidR="00834801" w:rsidRDefault="00834801" w:rsidP="00834801">
      <w:pPr>
        <w:pStyle w:val="First-LevelSubheading"/>
        <w:jc w:val="center"/>
      </w:pPr>
      <w:r>
        <w:t>PARTIES’ ARGUMENTS</w:t>
      </w:r>
    </w:p>
    <w:p w:rsidR="00834801" w:rsidRPr="001403BB" w:rsidRDefault="00834801" w:rsidP="00135C55">
      <w:pPr>
        <w:pStyle w:val="BodyText"/>
        <w:spacing w:after="0"/>
      </w:pPr>
    </w:p>
    <w:p w:rsidR="00834801" w:rsidRDefault="00834801" w:rsidP="00834801">
      <w:pPr>
        <w:pStyle w:val="First-LevelSubheading"/>
      </w:pPr>
      <w:r>
        <w:t>FPUC</w:t>
      </w:r>
    </w:p>
    <w:p w:rsidR="00162D60" w:rsidRDefault="00723ED4" w:rsidP="00162D60">
      <w:pPr>
        <w:pStyle w:val="BodyText"/>
        <w:spacing w:after="0"/>
      </w:pPr>
      <w:r w:rsidRPr="00723ED4">
        <w:t>FPUC</w:t>
      </w:r>
      <w:r>
        <w:t xml:space="preserve"> argued that even if the Company</w:t>
      </w:r>
      <w:r w:rsidRPr="00723ED4">
        <w:t xml:space="preserve"> is allowed to retain the tax </w:t>
      </w:r>
      <w:r w:rsidR="006B424B">
        <w:t>savings</w:t>
      </w:r>
      <w:r w:rsidRPr="00723ED4">
        <w:t xml:space="preserve"> </w:t>
      </w:r>
      <w:r w:rsidR="00E57E82">
        <w:t xml:space="preserve">as it has requested, </w:t>
      </w:r>
      <w:r>
        <w:t>FPUC</w:t>
      </w:r>
      <w:r w:rsidRPr="00723ED4">
        <w:t>'s</w:t>
      </w:r>
      <w:r>
        <w:t xml:space="preserve"> </w:t>
      </w:r>
      <w:r w:rsidRPr="00723ED4">
        <w:t>ROE for 2019</w:t>
      </w:r>
      <w:r>
        <w:t xml:space="preserve"> is projected to be only 8.67 percent</w:t>
      </w:r>
      <w:r w:rsidR="000844AE">
        <w:t>,</w:t>
      </w:r>
      <w:r w:rsidR="00E57E82">
        <w:t xml:space="preserve"> which is below its a</w:t>
      </w:r>
      <w:r w:rsidR="00190A00">
        <w:t>uthorized</w:t>
      </w:r>
      <w:r w:rsidR="00E57E82">
        <w:t xml:space="preserve"> range of 9.</w:t>
      </w:r>
      <w:r w:rsidR="008A5CB2">
        <w:t>85</w:t>
      </w:r>
      <w:r w:rsidR="00E57E82">
        <w:t xml:space="preserve"> percent to 11.85 percent</w:t>
      </w:r>
      <w:r>
        <w:t>. (FPUC BR 12</w:t>
      </w:r>
      <w:r w:rsidR="008A5CB2">
        <w:t>;</w:t>
      </w:r>
      <w:r>
        <w:t xml:space="preserve"> EXH </w:t>
      </w:r>
      <w:r w:rsidRPr="00723ED4">
        <w:t>12</w:t>
      </w:r>
      <w:r w:rsidR="00047D1B">
        <w:t>, BSP 00067</w:t>
      </w:r>
      <w:r>
        <w:t>)</w:t>
      </w:r>
      <w:r w:rsidRPr="00723ED4">
        <w:t xml:space="preserve"> </w:t>
      </w:r>
      <w:r w:rsidR="00132398">
        <w:t>The Company also contend</w:t>
      </w:r>
      <w:r w:rsidR="008A5CB2">
        <w:t>ed</w:t>
      </w:r>
      <w:r w:rsidR="00132398">
        <w:t xml:space="preserve"> that if it</w:t>
      </w:r>
      <w:r w:rsidRPr="00723ED4">
        <w:t xml:space="preserve"> is required to reduce its base rates in 2019 by $537,174 </w:t>
      </w:r>
      <w:r w:rsidR="00FA7440">
        <w:t>for the net excess deferred tax amount</w:t>
      </w:r>
      <w:r w:rsidRPr="00723ED4">
        <w:t>, its projected ROE will be only 8.29</w:t>
      </w:r>
      <w:r>
        <w:t xml:space="preserve"> percent</w:t>
      </w:r>
      <w:r w:rsidRPr="00723ED4">
        <w:t>.</w:t>
      </w:r>
      <w:r w:rsidR="00132398" w:rsidRPr="00132398">
        <w:t xml:space="preserve"> (FPUC BR 12</w:t>
      </w:r>
      <w:r w:rsidR="00E015A9">
        <w:t>;</w:t>
      </w:r>
      <w:r w:rsidR="00132398" w:rsidRPr="00132398">
        <w:t xml:space="preserve"> EXH 12</w:t>
      </w:r>
      <w:r w:rsidR="000844AE">
        <w:t>, BSP 00064)</w:t>
      </w:r>
      <w:r w:rsidR="00127DA6" w:rsidRPr="00723ED4">
        <w:t xml:space="preserve"> </w:t>
      </w:r>
      <w:r>
        <w:t>FPUC</w:t>
      </w:r>
      <w:r w:rsidR="00132398">
        <w:t xml:space="preserve"> also argued that </w:t>
      </w:r>
      <w:r w:rsidR="008A5CB2">
        <w:t>if it is</w:t>
      </w:r>
      <w:r>
        <w:t xml:space="preserve"> required to refund </w:t>
      </w:r>
      <w:r w:rsidRPr="00723ED4">
        <w:t xml:space="preserve">the $1,141,134 in annual tax savings, along with the </w:t>
      </w:r>
      <w:r w:rsidR="00EA46E7">
        <w:t>gas reliability infrastructure program (</w:t>
      </w:r>
      <w:r w:rsidRPr="00723ED4">
        <w:t>GRIP</w:t>
      </w:r>
      <w:r w:rsidR="00EA46E7">
        <w:t>)</w:t>
      </w:r>
      <w:r w:rsidRPr="00723ED4">
        <w:t xml:space="preserve"> tax savings it has already proposed to refund</w:t>
      </w:r>
      <w:r>
        <w:t>, i</w:t>
      </w:r>
      <w:r w:rsidRPr="00723ED4">
        <w:t>ts ROE is projected to be even lower at only 7.85</w:t>
      </w:r>
      <w:r>
        <w:t xml:space="preserve"> percent.</w:t>
      </w:r>
      <w:r w:rsidRPr="00723ED4">
        <w:t xml:space="preserve"> </w:t>
      </w:r>
      <w:r w:rsidR="00132398" w:rsidRPr="00132398">
        <w:t>(FPUC BR 12</w:t>
      </w:r>
      <w:r w:rsidR="008A5CB2">
        <w:t>;</w:t>
      </w:r>
      <w:r w:rsidR="00132398" w:rsidRPr="00132398">
        <w:t xml:space="preserve"> EXH 12</w:t>
      </w:r>
      <w:r w:rsidR="008A5CB2">
        <w:t>, BSP 00065</w:t>
      </w:r>
      <w:r w:rsidR="00132398" w:rsidRPr="00132398">
        <w:t>)</w:t>
      </w:r>
      <w:r w:rsidR="00132398">
        <w:t xml:space="preserve"> </w:t>
      </w:r>
      <w:r w:rsidR="00E57E82">
        <w:t>Also, i</w:t>
      </w:r>
      <w:r w:rsidRPr="00723ED4">
        <w:t>f FPUC</w:t>
      </w:r>
      <w:r>
        <w:t xml:space="preserve"> is not allowed to retain</w:t>
      </w:r>
      <w:r w:rsidRPr="00723ED4">
        <w:t xml:space="preserve"> any of the tax </w:t>
      </w:r>
      <w:r w:rsidR="00FA7440">
        <w:t>savings</w:t>
      </w:r>
      <w:r w:rsidRPr="00723ED4">
        <w:t>, FPUC project</w:t>
      </w:r>
      <w:r w:rsidR="008A5CB2">
        <w:t>ed</w:t>
      </w:r>
      <w:r w:rsidRPr="00723ED4">
        <w:t xml:space="preserve"> that its 2019 ROE would be 7.74</w:t>
      </w:r>
      <w:r>
        <w:t xml:space="preserve"> percent. </w:t>
      </w:r>
      <w:r w:rsidR="00132398" w:rsidRPr="00132398">
        <w:t>(FPUC BR 12</w:t>
      </w:r>
      <w:r w:rsidR="00E015A9">
        <w:t>;</w:t>
      </w:r>
      <w:r w:rsidR="00132398" w:rsidRPr="00132398">
        <w:t xml:space="preserve"> EXH 12</w:t>
      </w:r>
      <w:r w:rsidR="00047D1B">
        <w:t>, BSP 00064</w:t>
      </w:r>
      <w:r w:rsidR="00132398" w:rsidRPr="00132398">
        <w:t>)</w:t>
      </w:r>
      <w:r w:rsidRPr="00723ED4">
        <w:t xml:space="preserve">. </w:t>
      </w:r>
    </w:p>
    <w:p w:rsidR="00162D60" w:rsidRDefault="00162D60" w:rsidP="00162D60">
      <w:pPr>
        <w:pStyle w:val="BodyText"/>
        <w:spacing w:after="0"/>
      </w:pPr>
    </w:p>
    <w:p w:rsidR="00834801" w:rsidRPr="006F685A" w:rsidRDefault="00723ED4" w:rsidP="00834801">
      <w:pPr>
        <w:pStyle w:val="BodyText"/>
      </w:pPr>
      <w:r w:rsidRPr="00723ED4">
        <w:t>FPUC</w:t>
      </w:r>
      <w:r>
        <w:t xml:space="preserve"> contend</w:t>
      </w:r>
      <w:r w:rsidR="008A5CB2">
        <w:t>ed</w:t>
      </w:r>
      <w:r w:rsidRPr="00723ED4">
        <w:t xml:space="preserve"> that the Company is currently </w:t>
      </w:r>
      <w:r w:rsidR="00B8149A">
        <w:t>under-</w:t>
      </w:r>
      <w:r w:rsidR="00B55640">
        <w:t>earning. (</w:t>
      </w:r>
      <w:r w:rsidR="008A5CB2">
        <w:t>T</w:t>
      </w:r>
      <w:r w:rsidR="00B55640">
        <w:t>R 102; EXH</w:t>
      </w:r>
      <w:r w:rsidRPr="00723ED4">
        <w:t xml:space="preserve"> 15</w:t>
      </w:r>
      <w:r w:rsidR="00047D1B">
        <w:t>, BSP 000</w:t>
      </w:r>
      <w:r w:rsidR="000844AE">
        <w:t>518</w:t>
      </w:r>
      <w:r w:rsidR="00B55640">
        <w:t xml:space="preserve">) </w:t>
      </w:r>
      <w:r w:rsidR="00132398">
        <w:t xml:space="preserve">FPUC argued that </w:t>
      </w:r>
      <w:r w:rsidR="00E57E82">
        <w:t>earning below its authorized range</w:t>
      </w:r>
      <w:r w:rsidR="00E57E82" w:rsidRPr="00723ED4">
        <w:t xml:space="preserve"> </w:t>
      </w:r>
      <w:r w:rsidR="008A5CB2">
        <w:t xml:space="preserve">would </w:t>
      </w:r>
      <w:r w:rsidRPr="00723ED4">
        <w:t>drives the Company into a rate case or force it to deal with severe financial duress.</w:t>
      </w:r>
      <w:r w:rsidR="00132398">
        <w:t xml:space="preserve"> (FPUC BR 12)</w:t>
      </w:r>
      <w:r w:rsidRPr="00723ED4">
        <w:t xml:space="preserve"> </w:t>
      </w:r>
      <w:r w:rsidR="00132398">
        <w:t>The Company opined that s</w:t>
      </w:r>
      <w:r w:rsidRPr="00723ED4">
        <w:t xml:space="preserve">uch </w:t>
      </w:r>
      <w:r w:rsidR="00F920DB">
        <w:t xml:space="preserve">a </w:t>
      </w:r>
      <w:r w:rsidRPr="00723ED4">
        <w:t>result would be contrary to the stated intent of those that sponsored the TCJA.</w:t>
      </w:r>
      <w:r w:rsidR="00132398">
        <w:t xml:space="preserve"> (FPUC BR 13)</w:t>
      </w:r>
      <w:r w:rsidRPr="00723ED4">
        <w:t xml:space="preserve"> </w:t>
      </w:r>
      <w:r w:rsidR="00162D60">
        <w:t xml:space="preserve">Although </w:t>
      </w:r>
      <w:r w:rsidRPr="00E114AC">
        <w:t>retention of</w:t>
      </w:r>
      <w:r w:rsidR="00B55640" w:rsidRPr="00E114AC">
        <w:t xml:space="preserve"> </w:t>
      </w:r>
      <w:r w:rsidRPr="00E114AC">
        <w:t xml:space="preserve">the </w:t>
      </w:r>
      <w:r w:rsidR="006B424B">
        <w:t>savings</w:t>
      </w:r>
      <w:r w:rsidRPr="00E114AC">
        <w:t xml:space="preserve"> as proposed by </w:t>
      </w:r>
      <w:r w:rsidR="00162D60">
        <w:t>the Company</w:t>
      </w:r>
      <w:r w:rsidRPr="00E114AC">
        <w:t xml:space="preserve"> will not enable the Company to earn </w:t>
      </w:r>
      <w:r w:rsidR="00E114AC" w:rsidRPr="00E114AC">
        <w:t>above</w:t>
      </w:r>
      <w:r w:rsidRPr="00E114AC">
        <w:t xml:space="preserve"> its authorized range, it will allow it to earn much closer to its </w:t>
      </w:r>
      <w:r w:rsidR="00E114AC" w:rsidRPr="00E114AC">
        <w:t>ROE</w:t>
      </w:r>
      <w:r w:rsidRPr="00E114AC">
        <w:t xml:space="preserve">. </w:t>
      </w:r>
      <w:r w:rsidR="00132398" w:rsidRPr="00E114AC">
        <w:t xml:space="preserve">(TR 102) </w:t>
      </w:r>
      <w:r w:rsidRPr="00E114AC">
        <w:t xml:space="preserve">This will ensure that the Company remains well-positioned financially pending its next rate case so that it can continue to provide safe </w:t>
      </w:r>
      <w:r w:rsidR="00190A00">
        <w:t xml:space="preserve">and </w:t>
      </w:r>
      <w:r w:rsidRPr="00E114AC">
        <w:t xml:space="preserve">reliable service </w:t>
      </w:r>
      <w:r w:rsidR="00132398" w:rsidRPr="00E114AC">
        <w:t>to its customers. (</w:t>
      </w:r>
      <w:r w:rsidR="00E114AC">
        <w:t>FPUC BR 1</w:t>
      </w:r>
      <w:r w:rsidR="000844AE">
        <w:t>3</w:t>
      </w:r>
      <w:r w:rsidR="00132398" w:rsidRPr="00E114AC">
        <w:t>)</w:t>
      </w:r>
    </w:p>
    <w:p w:rsidR="00162D60" w:rsidRDefault="00162D60" w:rsidP="00834801">
      <w:pPr>
        <w:pStyle w:val="First-LevelSubheading"/>
      </w:pPr>
    </w:p>
    <w:p w:rsidR="00162D60" w:rsidRDefault="00162D60" w:rsidP="00834801">
      <w:pPr>
        <w:pStyle w:val="First-LevelSubheading"/>
      </w:pPr>
    </w:p>
    <w:p w:rsidR="00834801" w:rsidRDefault="00834801" w:rsidP="00834801">
      <w:pPr>
        <w:pStyle w:val="First-LevelSubheading"/>
      </w:pPr>
      <w:r>
        <w:lastRenderedPageBreak/>
        <w:t>OPC</w:t>
      </w:r>
    </w:p>
    <w:p w:rsidR="00834801" w:rsidRPr="006F685A" w:rsidRDefault="00BE66C8" w:rsidP="007B2685">
      <w:pPr>
        <w:pStyle w:val="First-LevelSubheading"/>
        <w:spacing w:after="240"/>
        <w:rPr>
          <w:rFonts w:ascii="Times New Roman" w:hAnsi="Times New Roman" w:cs="Times New Roman"/>
          <w:b w:val="0"/>
        </w:rPr>
      </w:pPr>
      <w:r>
        <w:rPr>
          <w:rFonts w:ascii="Times New Roman" w:hAnsi="Times New Roman" w:cs="Times New Roman"/>
          <w:b w:val="0"/>
        </w:rPr>
        <w:t>OPC argued that FPUC</w:t>
      </w:r>
      <w:r w:rsidR="00EF1516">
        <w:rPr>
          <w:rFonts w:ascii="Times New Roman" w:hAnsi="Times New Roman" w:cs="Times New Roman"/>
          <w:b w:val="0"/>
        </w:rPr>
        <w:t xml:space="preserve"> </w:t>
      </w:r>
      <w:r w:rsidRPr="00BE66C8">
        <w:rPr>
          <w:rFonts w:ascii="Times New Roman" w:hAnsi="Times New Roman" w:cs="Times New Roman"/>
          <w:b w:val="0"/>
        </w:rPr>
        <w:t>is not currently under-earning</w:t>
      </w:r>
      <w:r w:rsidR="00E114AC">
        <w:rPr>
          <w:rFonts w:ascii="Times New Roman" w:hAnsi="Times New Roman" w:cs="Times New Roman"/>
          <w:b w:val="0"/>
        </w:rPr>
        <w:t>,</w:t>
      </w:r>
      <w:r w:rsidRPr="00BE66C8">
        <w:rPr>
          <w:rFonts w:ascii="Times New Roman" w:hAnsi="Times New Roman" w:cs="Times New Roman"/>
          <w:b w:val="0"/>
        </w:rPr>
        <w:t xml:space="preserve"> and is projected to </w:t>
      </w:r>
      <w:r w:rsidR="00E114AC">
        <w:rPr>
          <w:rFonts w:ascii="Times New Roman" w:hAnsi="Times New Roman" w:cs="Times New Roman"/>
          <w:b w:val="0"/>
        </w:rPr>
        <w:t>earn</w:t>
      </w:r>
      <w:r w:rsidRPr="00BE66C8">
        <w:rPr>
          <w:rFonts w:ascii="Times New Roman" w:hAnsi="Times New Roman" w:cs="Times New Roman"/>
          <w:b w:val="0"/>
        </w:rPr>
        <w:t xml:space="preserve"> within its authorized range - albeit at the lower end of the range for the foreseeable future. (</w:t>
      </w:r>
      <w:r w:rsidR="00EF1516">
        <w:rPr>
          <w:rFonts w:ascii="Times New Roman" w:hAnsi="Times New Roman" w:cs="Times New Roman"/>
          <w:b w:val="0"/>
        </w:rPr>
        <w:t xml:space="preserve">OPC BR 8; </w:t>
      </w:r>
      <w:r w:rsidRPr="00BE66C8">
        <w:rPr>
          <w:rFonts w:ascii="Times New Roman" w:hAnsi="Times New Roman" w:cs="Times New Roman"/>
          <w:b w:val="0"/>
        </w:rPr>
        <w:t>TR 98</w:t>
      </w:r>
      <w:r w:rsidR="004316E7">
        <w:rPr>
          <w:rFonts w:ascii="Times New Roman" w:hAnsi="Times New Roman" w:cs="Times New Roman"/>
          <w:b w:val="0"/>
        </w:rPr>
        <w:t>)</w:t>
      </w:r>
      <w:r w:rsidRPr="00BE66C8">
        <w:rPr>
          <w:rFonts w:ascii="Times New Roman" w:hAnsi="Times New Roman" w:cs="Times New Roman"/>
          <w:b w:val="0"/>
        </w:rPr>
        <w:t xml:space="preserve"> </w:t>
      </w:r>
      <w:r w:rsidR="00EF1516">
        <w:rPr>
          <w:rFonts w:ascii="Times New Roman" w:hAnsi="Times New Roman" w:cs="Times New Roman"/>
          <w:b w:val="0"/>
        </w:rPr>
        <w:t xml:space="preserve">OPC further argued that </w:t>
      </w:r>
      <w:r w:rsidRPr="00BE66C8">
        <w:rPr>
          <w:rFonts w:ascii="Times New Roman" w:hAnsi="Times New Roman" w:cs="Times New Roman"/>
          <w:b w:val="0"/>
        </w:rPr>
        <w:t>FPUC did not offer any evidence or provide any calculations indicating where FPUC would be earning relative to its authorized earnings range if the Commission were to allow the Company to keep the tax savings. (</w:t>
      </w:r>
      <w:r w:rsidR="00EF1516">
        <w:rPr>
          <w:rFonts w:ascii="Times New Roman" w:hAnsi="Times New Roman" w:cs="Times New Roman"/>
          <w:b w:val="0"/>
        </w:rPr>
        <w:t xml:space="preserve">OPC BR 8; </w:t>
      </w:r>
      <w:r w:rsidRPr="00BE66C8">
        <w:rPr>
          <w:rFonts w:ascii="Times New Roman" w:hAnsi="Times New Roman" w:cs="Times New Roman"/>
          <w:b w:val="0"/>
        </w:rPr>
        <w:t>TR 182)</w:t>
      </w:r>
      <w:r w:rsidR="00EF1516">
        <w:rPr>
          <w:rFonts w:ascii="Times New Roman" w:hAnsi="Times New Roman" w:cs="Times New Roman"/>
          <w:b w:val="0"/>
        </w:rPr>
        <w:t xml:space="preserve"> OPC contend</w:t>
      </w:r>
      <w:r w:rsidR="00E114AC">
        <w:rPr>
          <w:rFonts w:ascii="Times New Roman" w:hAnsi="Times New Roman" w:cs="Times New Roman"/>
          <w:b w:val="0"/>
        </w:rPr>
        <w:t>ed</w:t>
      </w:r>
      <w:r w:rsidR="00EF1516">
        <w:rPr>
          <w:rFonts w:ascii="Times New Roman" w:hAnsi="Times New Roman" w:cs="Times New Roman"/>
          <w:b w:val="0"/>
        </w:rPr>
        <w:t xml:space="preserve"> that </w:t>
      </w:r>
      <w:r w:rsidR="00127DA6">
        <w:rPr>
          <w:rFonts w:ascii="Times New Roman" w:hAnsi="Times New Roman" w:cs="Times New Roman"/>
          <w:b w:val="0"/>
        </w:rPr>
        <w:t>even though</w:t>
      </w:r>
      <w:r w:rsidRPr="00BE66C8">
        <w:rPr>
          <w:rFonts w:ascii="Times New Roman" w:hAnsi="Times New Roman" w:cs="Times New Roman"/>
          <w:b w:val="0"/>
        </w:rPr>
        <w:t xml:space="preserve"> the Company asserts that it could avoid a potential rate case</w:t>
      </w:r>
      <w:r w:rsidR="00E114AC">
        <w:rPr>
          <w:rFonts w:ascii="Times New Roman" w:hAnsi="Times New Roman" w:cs="Times New Roman"/>
          <w:b w:val="0"/>
        </w:rPr>
        <w:t xml:space="preserve"> if the tax </w:t>
      </w:r>
      <w:r w:rsidR="00FA7440">
        <w:rPr>
          <w:rFonts w:ascii="Times New Roman" w:hAnsi="Times New Roman" w:cs="Times New Roman"/>
          <w:b w:val="0"/>
        </w:rPr>
        <w:t>savings</w:t>
      </w:r>
      <w:r w:rsidR="00E114AC">
        <w:rPr>
          <w:rFonts w:ascii="Times New Roman" w:hAnsi="Times New Roman" w:cs="Times New Roman"/>
          <w:b w:val="0"/>
        </w:rPr>
        <w:t xml:space="preserve"> was retained</w:t>
      </w:r>
      <w:r w:rsidRPr="00BE66C8">
        <w:rPr>
          <w:rFonts w:ascii="Times New Roman" w:hAnsi="Times New Roman" w:cs="Times New Roman"/>
          <w:b w:val="0"/>
        </w:rPr>
        <w:t xml:space="preserve">, a close examination of </w:t>
      </w:r>
      <w:r w:rsidR="00162A3B">
        <w:rPr>
          <w:rFonts w:ascii="Times New Roman" w:hAnsi="Times New Roman" w:cs="Times New Roman"/>
          <w:b w:val="0"/>
        </w:rPr>
        <w:t>witness</w:t>
      </w:r>
      <w:r w:rsidRPr="00BE66C8">
        <w:rPr>
          <w:rFonts w:ascii="Times New Roman" w:hAnsi="Times New Roman" w:cs="Times New Roman"/>
          <w:b w:val="0"/>
        </w:rPr>
        <w:t xml:space="preserve"> Cassel’s testimony demonstrates no rate case </w:t>
      </w:r>
      <w:r w:rsidR="000844AE">
        <w:rPr>
          <w:rFonts w:ascii="Times New Roman" w:hAnsi="Times New Roman" w:cs="Times New Roman"/>
          <w:b w:val="0"/>
        </w:rPr>
        <w:t>will be</w:t>
      </w:r>
      <w:r w:rsidR="007B2685">
        <w:rPr>
          <w:rFonts w:ascii="Times New Roman" w:hAnsi="Times New Roman" w:cs="Times New Roman"/>
          <w:b w:val="0"/>
        </w:rPr>
        <w:t xml:space="preserve"> </w:t>
      </w:r>
      <w:r w:rsidRPr="00BE66C8">
        <w:rPr>
          <w:rFonts w:ascii="Times New Roman" w:hAnsi="Times New Roman" w:cs="Times New Roman"/>
          <w:b w:val="0"/>
        </w:rPr>
        <w:t xml:space="preserve">avoided. </w:t>
      </w:r>
      <w:r w:rsidR="00EF1516">
        <w:rPr>
          <w:rFonts w:ascii="Times New Roman" w:hAnsi="Times New Roman" w:cs="Times New Roman"/>
          <w:b w:val="0"/>
        </w:rPr>
        <w:t xml:space="preserve">(OPC BR 9) </w:t>
      </w:r>
      <w:r w:rsidR="007B2685">
        <w:rPr>
          <w:rFonts w:ascii="Times New Roman" w:hAnsi="Times New Roman" w:cs="Times New Roman"/>
          <w:b w:val="0"/>
        </w:rPr>
        <w:t>W</w:t>
      </w:r>
      <w:r w:rsidR="00162A3B">
        <w:rPr>
          <w:rFonts w:ascii="Times New Roman" w:hAnsi="Times New Roman" w:cs="Times New Roman"/>
          <w:b w:val="0"/>
        </w:rPr>
        <w:t>itness</w:t>
      </w:r>
      <w:r w:rsidR="00EF1516">
        <w:rPr>
          <w:rFonts w:ascii="Times New Roman" w:hAnsi="Times New Roman" w:cs="Times New Roman"/>
          <w:b w:val="0"/>
        </w:rPr>
        <w:t xml:space="preserve"> Cassel</w:t>
      </w:r>
      <w:r w:rsidRPr="00BE66C8">
        <w:rPr>
          <w:rFonts w:ascii="Times New Roman" w:hAnsi="Times New Roman" w:cs="Times New Roman"/>
          <w:b w:val="0"/>
        </w:rPr>
        <w:t xml:space="preserve"> acknowledged that FPUC was </w:t>
      </w:r>
      <w:r w:rsidR="007B2685">
        <w:rPr>
          <w:rFonts w:ascii="Times New Roman" w:hAnsi="Times New Roman" w:cs="Times New Roman"/>
          <w:b w:val="0"/>
        </w:rPr>
        <w:t xml:space="preserve">already </w:t>
      </w:r>
      <w:r w:rsidRPr="00BE66C8">
        <w:rPr>
          <w:rFonts w:ascii="Times New Roman" w:hAnsi="Times New Roman" w:cs="Times New Roman"/>
          <w:b w:val="0"/>
        </w:rPr>
        <w:t>earning within its authorized earnings range. (TR 98) Furthermore</w:t>
      </w:r>
      <w:r w:rsidR="007B2685">
        <w:rPr>
          <w:rFonts w:ascii="Times New Roman" w:hAnsi="Times New Roman" w:cs="Times New Roman"/>
          <w:b w:val="0"/>
        </w:rPr>
        <w:t>,</w:t>
      </w:r>
      <w:r w:rsidR="00EF1516">
        <w:rPr>
          <w:rFonts w:ascii="Times New Roman" w:hAnsi="Times New Roman" w:cs="Times New Roman"/>
          <w:b w:val="0"/>
        </w:rPr>
        <w:t xml:space="preserve"> OPC </w:t>
      </w:r>
      <w:r w:rsidR="00127DA6">
        <w:rPr>
          <w:rFonts w:ascii="Times New Roman" w:hAnsi="Times New Roman" w:cs="Times New Roman"/>
          <w:b w:val="0"/>
        </w:rPr>
        <w:t>argued</w:t>
      </w:r>
      <w:r w:rsidRPr="00BE66C8">
        <w:rPr>
          <w:rFonts w:ascii="Times New Roman" w:hAnsi="Times New Roman" w:cs="Times New Roman"/>
          <w:b w:val="0"/>
        </w:rPr>
        <w:t xml:space="preserve"> </w:t>
      </w:r>
      <w:r w:rsidR="007B2685">
        <w:rPr>
          <w:rFonts w:ascii="Times New Roman" w:hAnsi="Times New Roman" w:cs="Times New Roman"/>
          <w:b w:val="0"/>
        </w:rPr>
        <w:t xml:space="preserve">that </w:t>
      </w:r>
      <w:r w:rsidRPr="00BE66C8">
        <w:rPr>
          <w:rFonts w:ascii="Times New Roman" w:hAnsi="Times New Roman" w:cs="Times New Roman"/>
          <w:b w:val="0"/>
        </w:rPr>
        <w:t>none of the testimony or exhibits submitted by FPUC included any evidence indicating a rate case by the Company was pending. (</w:t>
      </w:r>
      <w:r w:rsidR="007B2685">
        <w:rPr>
          <w:rFonts w:ascii="Times New Roman" w:hAnsi="Times New Roman" w:cs="Times New Roman"/>
          <w:b w:val="0"/>
        </w:rPr>
        <w:t>OPC BR 9</w:t>
      </w:r>
      <w:r w:rsidR="00EF1516">
        <w:rPr>
          <w:rFonts w:ascii="Times New Roman" w:hAnsi="Times New Roman" w:cs="Times New Roman"/>
          <w:b w:val="0"/>
        </w:rPr>
        <w:t>)</w:t>
      </w:r>
      <w:r w:rsidR="00EE21A3">
        <w:rPr>
          <w:rFonts w:ascii="Times New Roman" w:hAnsi="Times New Roman" w:cs="Times New Roman"/>
          <w:b w:val="0"/>
        </w:rPr>
        <w:t xml:space="preserve"> Finally, OPC argued that the</w:t>
      </w:r>
      <w:r w:rsidR="00EE21A3" w:rsidRPr="00EE21A3">
        <w:rPr>
          <w:rFonts w:ascii="Times New Roman" w:hAnsi="Times New Roman" w:cs="Times New Roman"/>
          <w:b w:val="0"/>
        </w:rPr>
        <w:t xml:space="preserve"> tax savings</w:t>
      </w:r>
      <w:r w:rsidR="00EE21A3">
        <w:rPr>
          <w:rFonts w:ascii="Times New Roman" w:hAnsi="Times New Roman" w:cs="Times New Roman"/>
          <w:b w:val="0"/>
        </w:rPr>
        <w:t xml:space="preserve"> resulting from the TCJA</w:t>
      </w:r>
      <w:r w:rsidR="00EE21A3" w:rsidRPr="00EE21A3">
        <w:rPr>
          <w:rFonts w:ascii="Times New Roman" w:hAnsi="Times New Roman" w:cs="Times New Roman"/>
          <w:b w:val="0"/>
        </w:rPr>
        <w:t xml:space="preserve"> is money </w:t>
      </w:r>
      <w:r w:rsidR="00EE21A3">
        <w:rPr>
          <w:rFonts w:ascii="Times New Roman" w:hAnsi="Times New Roman" w:cs="Times New Roman"/>
          <w:b w:val="0"/>
        </w:rPr>
        <w:t xml:space="preserve">that </w:t>
      </w:r>
      <w:r w:rsidR="00EE21A3" w:rsidRPr="00EE21A3">
        <w:rPr>
          <w:rFonts w:ascii="Times New Roman" w:hAnsi="Times New Roman" w:cs="Times New Roman"/>
          <w:b w:val="0"/>
        </w:rPr>
        <w:t>belongs to the Company’s customers and should be returned to them as a permanent base rate reduction. (</w:t>
      </w:r>
      <w:r w:rsidR="00EE21A3">
        <w:rPr>
          <w:rFonts w:ascii="Times New Roman" w:hAnsi="Times New Roman" w:cs="Times New Roman"/>
          <w:b w:val="0"/>
        </w:rPr>
        <w:t xml:space="preserve">OPC BR 10; </w:t>
      </w:r>
      <w:r w:rsidR="00EE21A3" w:rsidRPr="00EE21A3">
        <w:rPr>
          <w:rFonts w:ascii="Times New Roman" w:hAnsi="Times New Roman" w:cs="Times New Roman"/>
          <w:b w:val="0"/>
        </w:rPr>
        <w:t>TR 241</w:t>
      </w:r>
      <w:r w:rsidR="00EE21A3">
        <w:rPr>
          <w:rFonts w:ascii="Times New Roman" w:hAnsi="Times New Roman" w:cs="Times New Roman"/>
          <w:b w:val="0"/>
        </w:rPr>
        <w:t>)</w:t>
      </w:r>
    </w:p>
    <w:p w:rsidR="00834801" w:rsidRDefault="00834801" w:rsidP="00411E6A">
      <w:pPr>
        <w:pStyle w:val="First-LevelSubheading"/>
        <w:spacing w:after="240"/>
        <w:jc w:val="center"/>
      </w:pPr>
      <w:r>
        <w:t>ANALYSIS</w:t>
      </w:r>
    </w:p>
    <w:p w:rsidR="00037C46" w:rsidRPr="00A87747" w:rsidRDefault="00343113" w:rsidP="006C0A85">
      <w:pPr>
        <w:jc w:val="both"/>
      </w:pPr>
      <w:r w:rsidRPr="003740BE">
        <w:t xml:space="preserve">FPUC </w:t>
      </w:r>
      <w:r w:rsidR="00162A3B" w:rsidRPr="003740BE">
        <w:t>witness</w:t>
      </w:r>
      <w:r w:rsidRPr="003740BE">
        <w:t xml:space="preserve"> Cassel testified that the estimated impact of the </w:t>
      </w:r>
      <w:r w:rsidR="006C0A85" w:rsidRPr="003740BE">
        <w:t>federal income tax rate change from 35 percent to 21 percent for</w:t>
      </w:r>
      <w:r w:rsidRPr="003740BE">
        <w:t xml:space="preserve"> FPUC is approximately $2,181,275</w:t>
      </w:r>
      <w:r w:rsidR="006C0A85" w:rsidRPr="003740BE">
        <w:t>.</w:t>
      </w:r>
      <w:r w:rsidRPr="003740BE">
        <w:t xml:space="preserve"> (TR 98, 180)</w:t>
      </w:r>
      <w:r w:rsidR="006C0A85" w:rsidRPr="003740BE">
        <w:t xml:space="preserve"> Excluding $1,040,141 of tax savings related to FPUC’s GRIP, the incremental amount of tax savings is $1,141,134. (TR 98</w:t>
      </w:r>
      <w:r w:rsidR="00FB0485">
        <w:t>;</w:t>
      </w:r>
      <w:r w:rsidR="003740BE">
        <w:t xml:space="preserve"> EXH 10, BSP 00047</w:t>
      </w:r>
      <w:r w:rsidR="006C0A85" w:rsidRPr="003740BE">
        <w:t>)</w:t>
      </w:r>
      <w:r w:rsidR="006C0A85">
        <w:t xml:space="preserve"> In Is</w:t>
      </w:r>
      <w:r w:rsidR="003740BE">
        <w:t>sues 9 and 22, FPUC and OPC stipulated</w:t>
      </w:r>
      <w:r w:rsidR="006C0A85">
        <w:t xml:space="preserve"> to return the tax savings related to GRIP back to the customers.</w:t>
      </w:r>
      <w:r w:rsidR="00162D60">
        <w:t xml:space="preserve"> (FPUC BR 3, 6)</w:t>
      </w:r>
      <w:r w:rsidR="006C0A85">
        <w:t xml:space="preserve"> </w:t>
      </w:r>
      <w:r w:rsidR="006E211A">
        <w:t>Further, FPUC propose</w:t>
      </w:r>
      <w:r w:rsidR="00692E9B">
        <w:t>d</w:t>
      </w:r>
      <w:r w:rsidR="006E211A">
        <w:t xml:space="preserve"> to </w:t>
      </w:r>
      <w:r w:rsidR="00E12092">
        <w:t xml:space="preserve">retain the net </w:t>
      </w:r>
      <w:r w:rsidR="00FA7440">
        <w:t>savings</w:t>
      </w:r>
      <w:r w:rsidR="00E12092">
        <w:t xml:space="preserve"> annual amount of $537,174 related to the protected and unprotected excess deferred tax saving ($8</w:t>
      </w:r>
      <w:r w:rsidR="003740BE">
        <w:t>44,461</w:t>
      </w:r>
      <w:r w:rsidR="00E12092">
        <w:t xml:space="preserve"> for the protected </w:t>
      </w:r>
      <w:r w:rsidR="00F920DB">
        <w:t xml:space="preserve">excess </w:t>
      </w:r>
      <w:r w:rsidR="00E12092">
        <w:t>ADIT les</w:t>
      </w:r>
      <w:r w:rsidR="00F920DB">
        <w:t>s $3</w:t>
      </w:r>
      <w:r w:rsidR="00047D1B">
        <w:t>0</w:t>
      </w:r>
      <w:r w:rsidR="00F920DB">
        <w:t xml:space="preserve">7,287 for the unprotected excess </w:t>
      </w:r>
      <w:r w:rsidR="00E12092">
        <w:t xml:space="preserve">ADIT). </w:t>
      </w:r>
      <w:r w:rsidR="00127DA6">
        <w:t xml:space="preserve">(TR </w:t>
      </w:r>
      <w:r w:rsidR="003740BE">
        <w:t>100</w:t>
      </w:r>
      <w:r w:rsidR="00127DA6">
        <w:t xml:space="preserve">) </w:t>
      </w:r>
      <w:r w:rsidR="004C6C3D">
        <w:t xml:space="preserve">A second component of the </w:t>
      </w:r>
      <w:r w:rsidR="004316E7">
        <w:t>un</w:t>
      </w:r>
      <w:r w:rsidR="004C6C3D">
        <w:t>protected</w:t>
      </w:r>
      <w:r w:rsidR="00E12092">
        <w:t xml:space="preserve"> deferred tax </w:t>
      </w:r>
      <w:r w:rsidR="004316E7">
        <w:t>amount</w:t>
      </w:r>
      <w:r w:rsidR="00E12092">
        <w:t xml:space="preserve"> </w:t>
      </w:r>
      <w:r w:rsidR="004C6C3D">
        <w:t xml:space="preserve">is </w:t>
      </w:r>
      <w:r w:rsidR="00E12092">
        <w:t>associated with the acquisition adjustment</w:t>
      </w:r>
      <w:r w:rsidR="004C6C3D">
        <w:t>. (TR 99</w:t>
      </w:r>
      <w:r w:rsidR="00E12092">
        <w:t>) FPUC propose</w:t>
      </w:r>
      <w:r w:rsidR="00692E9B">
        <w:t>d</w:t>
      </w:r>
      <w:r w:rsidR="00E12092">
        <w:t xml:space="preserve"> to reduce the amortization amount for the remaining life of the acquisition adjustment</w:t>
      </w:r>
      <w:r w:rsidR="004C6C3D" w:rsidRPr="004C6C3D">
        <w:t xml:space="preserve"> </w:t>
      </w:r>
      <w:r w:rsidR="004C6C3D">
        <w:t xml:space="preserve">to </w:t>
      </w:r>
      <w:r w:rsidR="004C6C3D" w:rsidRPr="004C6C3D">
        <w:t>$298,560 per year</w:t>
      </w:r>
      <w:r w:rsidR="00E12092">
        <w:t xml:space="preserve">. </w:t>
      </w:r>
      <w:r w:rsidR="00127DA6">
        <w:t>(FPUC BR 9</w:t>
      </w:r>
      <w:r w:rsidR="003740BE">
        <w:t>;</w:t>
      </w:r>
      <w:r w:rsidR="00127DA6">
        <w:t xml:space="preserve"> TR 99) </w:t>
      </w:r>
      <w:r w:rsidR="00E12092">
        <w:t xml:space="preserve">OPC </w:t>
      </w:r>
      <w:r w:rsidR="00162A3B">
        <w:t>witness</w:t>
      </w:r>
      <w:r w:rsidR="00E12092">
        <w:t xml:space="preserve"> Smith </w:t>
      </w:r>
      <w:r w:rsidR="004C6C3D">
        <w:t xml:space="preserve">did not object to FPUC’s proposal for disposition of the tax </w:t>
      </w:r>
      <w:r w:rsidR="00FA7440">
        <w:t>savings</w:t>
      </w:r>
      <w:r w:rsidR="004C6C3D">
        <w:t xml:space="preserve"> associated with the acquisition adju</w:t>
      </w:r>
      <w:r w:rsidR="003740BE">
        <w:t xml:space="preserve">stment. (OPC BR 6; TR </w:t>
      </w:r>
      <w:r w:rsidR="00047D1B">
        <w:t>23</w:t>
      </w:r>
      <w:r w:rsidR="004C6C3D">
        <w:t>3)</w:t>
      </w:r>
      <w:r w:rsidR="00394BAB">
        <w:t xml:space="preserve"> </w:t>
      </w:r>
      <w:r w:rsidR="00692E9B">
        <w:t>It is staff’s opinion</w:t>
      </w:r>
      <w:r w:rsidR="00394BAB">
        <w:t xml:space="preserve"> that the r</w:t>
      </w:r>
      <w:r w:rsidR="00394BAB" w:rsidRPr="00394BAB">
        <w:t>ecord evidence de</w:t>
      </w:r>
      <w:r w:rsidR="003740BE">
        <w:t xml:space="preserve">monstrates that FPUC is earning </w:t>
      </w:r>
      <w:r w:rsidR="004316E7">
        <w:t>below</w:t>
      </w:r>
      <w:r w:rsidR="003740BE">
        <w:t xml:space="preserve"> the</w:t>
      </w:r>
      <w:r w:rsidR="00394BAB" w:rsidRPr="00394BAB">
        <w:t xml:space="preserve"> bottom of its </w:t>
      </w:r>
      <w:r w:rsidR="0008189D">
        <w:t>authorized</w:t>
      </w:r>
      <w:r w:rsidR="003740BE">
        <w:t xml:space="preserve"> ROE. (TR 98;</w:t>
      </w:r>
      <w:r w:rsidR="00394BAB" w:rsidRPr="00394BAB">
        <w:t xml:space="preserve"> EXH 15</w:t>
      </w:r>
      <w:r w:rsidR="00047D1B">
        <w:t>, BSP 000</w:t>
      </w:r>
      <w:r w:rsidR="0024441B">
        <w:t>518</w:t>
      </w:r>
      <w:r w:rsidR="00394BAB" w:rsidRPr="00394BAB">
        <w:t xml:space="preserve">) </w:t>
      </w:r>
      <w:r w:rsidR="00127DA6" w:rsidRPr="00394BAB">
        <w:t>The record also indicates that even with FPUC retaining all of t</w:t>
      </w:r>
      <w:r w:rsidR="00127DA6">
        <w:t xml:space="preserve">he tax </w:t>
      </w:r>
      <w:r w:rsidR="00FA7440">
        <w:t>savings</w:t>
      </w:r>
      <w:r w:rsidR="00127DA6">
        <w:t xml:space="preserve"> it has requested</w:t>
      </w:r>
      <w:r w:rsidR="00F920DB">
        <w:t>,</w:t>
      </w:r>
      <w:r w:rsidR="00127DA6" w:rsidRPr="00394BAB">
        <w:t xml:space="preserve"> the Company will not earn above its authorized range of ROE.</w:t>
      </w:r>
      <w:r w:rsidR="00127DA6">
        <w:t xml:space="preserve"> </w:t>
      </w:r>
      <w:r w:rsidR="00394BAB">
        <w:t>(EXH 12</w:t>
      </w:r>
      <w:r w:rsidR="00047D1B">
        <w:t>, BSP 00062</w:t>
      </w:r>
      <w:r w:rsidR="006B424B">
        <w:t xml:space="preserve">) </w:t>
      </w:r>
      <w:r w:rsidR="00FB0485">
        <w:t xml:space="preserve">Therefore, </w:t>
      </w:r>
      <w:r w:rsidR="00692E9B">
        <w:t>it is staff’</w:t>
      </w:r>
      <w:r w:rsidR="00692E9B" w:rsidRPr="00692E9B">
        <w:t>s opinion</w:t>
      </w:r>
      <w:r w:rsidR="00394BAB">
        <w:t xml:space="preserve"> </w:t>
      </w:r>
      <w:r w:rsidR="0024441B">
        <w:t xml:space="preserve">that </w:t>
      </w:r>
      <w:r w:rsidR="00394BAB">
        <w:t>FPUC should</w:t>
      </w:r>
      <w:r w:rsidR="00F920DB">
        <w:t xml:space="preserve"> be allowed to</w:t>
      </w:r>
      <w:r w:rsidR="00394BAB">
        <w:t xml:space="preserve"> retain the tax </w:t>
      </w:r>
      <w:r w:rsidR="00FA7440">
        <w:t>savings</w:t>
      </w:r>
      <w:r w:rsidR="00190A00">
        <w:t>.</w:t>
      </w:r>
    </w:p>
    <w:p w:rsidR="00012EE8" w:rsidRDefault="00012EE8" w:rsidP="00A87747">
      <w:pPr>
        <w:pStyle w:val="IssueHeading"/>
        <w:tabs>
          <w:tab w:val="left" w:pos="5700"/>
        </w:tabs>
        <w:rPr>
          <w:rFonts w:ascii="Times New Roman" w:hAnsi="Times New Roman" w:cs="Times New Roman"/>
          <w:b w:val="0"/>
          <w:i w:val="0"/>
        </w:rPr>
      </w:pPr>
    </w:p>
    <w:p w:rsidR="00012EE8" w:rsidRDefault="00012EE8" w:rsidP="00012EE8">
      <w:pPr>
        <w:pStyle w:val="First-LevelSubheading"/>
        <w:jc w:val="center"/>
      </w:pPr>
      <w:r>
        <w:t>CONCLUSION</w:t>
      </w:r>
    </w:p>
    <w:p w:rsidR="00012EE8" w:rsidRDefault="00012EE8" w:rsidP="00012EE8"/>
    <w:p w:rsidR="00394BAB" w:rsidRPr="00012EE8" w:rsidRDefault="00394BAB" w:rsidP="00394BAB">
      <w:pPr>
        <w:jc w:val="both"/>
        <w:sectPr w:rsidR="00394BAB" w:rsidRPr="00012EE8" w:rsidSect="00A87747">
          <w:headerReference w:type="default" r:id="rId16"/>
          <w:pgSz w:w="12240" w:h="15840" w:code="1"/>
          <w:pgMar w:top="1584" w:right="1440" w:bottom="1440" w:left="1440" w:header="720" w:footer="720" w:gutter="0"/>
          <w:cols w:space="720"/>
          <w:formProt w:val="0"/>
          <w:docGrid w:linePitch="360"/>
        </w:sectPr>
      </w:pPr>
      <w:r>
        <w:t>Staff agrees with FPUC that the Company</w:t>
      </w:r>
      <w:r w:rsidRPr="00394BAB">
        <w:t xml:space="preserve"> should be allowed to retain the tax </w:t>
      </w:r>
      <w:r w:rsidR="006B424B">
        <w:t>savings</w:t>
      </w:r>
      <w:r w:rsidRPr="00394BAB">
        <w:t xml:space="preserve"> arising from the TCJA rate reduction, excluding the 2018 GRIP savings, as well as the estimated </w:t>
      </w:r>
      <w:r>
        <w:t>net deferred tax saving of the protected and unprotected deferred t</w:t>
      </w:r>
      <w:r w:rsidRPr="00394BAB">
        <w:t xml:space="preserve">ax </w:t>
      </w:r>
      <w:r w:rsidR="004316E7">
        <w:t>amount</w:t>
      </w:r>
      <w:r w:rsidRPr="00394BAB">
        <w:t xml:space="preserve"> </w:t>
      </w:r>
      <w:r w:rsidR="00F920DB">
        <w:t>not</w:t>
      </w:r>
      <w:r w:rsidRPr="00394BAB">
        <w:t xml:space="preserve"> associated with the acquisition adjustment</w:t>
      </w:r>
      <w:r>
        <w:t>.</w:t>
      </w:r>
    </w:p>
    <w:p w:rsidR="00037C46" w:rsidRDefault="00037C46">
      <w:pPr>
        <w:pStyle w:val="IssueHeading"/>
        <w:rPr>
          <w:vanish/>
          <w:specVanish/>
        </w:rPr>
      </w:pPr>
      <w:r w:rsidRPr="004C3641">
        <w:lastRenderedPageBreak/>
        <w:t xml:space="preserve">Issue </w:t>
      </w:r>
      <w:r w:rsidR="00A87747">
        <w:t>24</w:t>
      </w:r>
      <w:r w:rsidRPr="004C3641">
        <w:t>:</w:t>
      </w:r>
      <w:r>
        <w:fldChar w:fldCharType="begin"/>
      </w:r>
      <w:r>
        <w:instrText xml:space="preserve"> TC "</w:instrText>
      </w:r>
      <w:bookmarkStart w:id="21" w:name="_Toc535242568"/>
      <w:r w:rsidR="00F00D16">
        <w:instrText>24</w:instrText>
      </w:r>
      <w:r>
        <w:tab/>
      </w:r>
      <w:r w:rsidR="00DA5A4C">
        <w:instrText>Should this docket be closed.</w:instrText>
      </w:r>
      <w:bookmarkEnd w:id="21"/>
      <w:r>
        <w:instrText xml:space="preserve">" \l 1 </w:instrText>
      </w:r>
      <w:r>
        <w:fldChar w:fldCharType="end"/>
      </w:r>
      <w:r>
        <w:t> </w:t>
      </w:r>
    </w:p>
    <w:p w:rsidR="00037C46" w:rsidRDefault="00037C46">
      <w:pPr>
        <w:pStyle w:val="BodyText"/>
      </w:pPr>
      <w:r>
        <w:t> Should this docket be closed?</w:t>
      </w:r>
    </w:p>
    <w:p w:rsidR="00037C46" w:rsidRPr="004C3641" w:rsidRDefault="00037C46">
      <w:pPr>
        <w:pStyle w:val="IssueSubsectionHeading"/>
        <w:rPr>
          <w:vanish/>
          <w:specVanish/>
        </w:rPr>
      </w:pPr>
      <w:r w:rsidRPr="004C3641">
        <w:t>Recommendation: </w:t>
      </w:r>
    </w:p>
    <w:p w:rsidR="00037C46" w:rsidRDefault="00037C46">
      <w:pPr>
        <w:pStyle w:val="BodyText"/>
      </w:pPr>
      <w:r>
        <w:t> </w:t>
      </w:r>
      <w:r w:rsidR="001A5963" w:rsidRPr="001A5963">
        <w:t>Yes, this docket should be closed after the time for filing an appeal has run</w:t>
      </w:r>
      <w:r w:rsidR="001A5963">
        <w:t>.</w:t>
      </w:r>
      <w:r w:rsidR="001A5963" w:rsidRPr="001A5963">
        <w:t xml:space="preserve"> (</w:t>
      </w:r>
      <w:proofErr w:type="spellStart"/>
      <w:r w:rsidR="001A5963" w:rsidRPr="001A5963">
        <w:t>Dziechciarz</w:t>
      </w:r>
      <w:proofErr w:type="spellEnd"/>
      <w:r w:rsidR="001A5963" w:rsidRPr="001A5963">
        <w:t xml:space="preserve">, </w:t>
      </w:r>
      <w:proofErr w:type="spellStart"/>
      <w:r w:rsidR="001A5963" w:rsidRPr="001A5963">
        <w:t>DuVal</w:t>
      </w:r>
      <w:proofErr w:type="spellEnd"/>
      <w:r w:rsidR="001A5963" w:rsidRPr="001A5963">
        <w:t xml:space="preserve">) </w:t>
      </w:r>
    </w:p>
    <w:p w:rsidR="00037C46" w:rsidRPr="004C3641" w:rsidRDefault="00037C46">
      <w:pPr>
        <w:pStyle w:val="IssueSubsectionHeading"/>
        <w:keepNext/>
        <w:rPr>
          <w:iCs w:val="0"/>
        </w:rPr>
      </w:pPr>
      <w:r w:rsidRPr="004C3641">
        <w:rPr>
          <w:iCs w:val="0"/>
        </w:rPr>
        <w:t>Position of the Parties</w:t>
      </w:r>
    </w:p>
    <w:p w:rsidR="00037C46" w:rsidRDefault="0039432E" w:rsidP="00037C46">
      <w:pPr>
        <w:pStyle w:val="PartyName"/>
        <w:rPr>
          <w:vanish/>
          <w:specVanish/>
        </w:rPr>
      </w:pPr>
      <w:r>
        <w:t>FPUC</w:t>
      </w:r>
      <w:r w:rsidR="00037C46">
        <w:t>: </w:t>
      </w:r>
    </w:p>
    <w:p w:rsidR="00037C46" w:rsidRDefault="00037C46" w:rsidP="00037C46">
      <w:pPr>
        <w:pStyle w:val="BodyText"/>
      </w:pPr>
      <w:r>
        <w:t> </w:t>
      </w:r>
      <w:r w:rsidR="000E7938">
        <w:t xml:space="preserve"> Yes</w:t>
      </w:r>
      <w:r w:rsidR="0024441B">
        <w:t>.</w:t>
      </w:r>
    </w:p>
    <w:p w:rsidR="00037C46" w:rsidRDefault="0039432E" w:rsidP="00037C46">
      <w:pPr>
        <w:pStyle w:val="PartyName"/>
        <w:rPr>
          <w:vanish/>
          <w:specVanish/>
        </w:rPr>
      </w:pPr>
      <w:r>
        <w:t>OPC</w:t>
      </w:r>
      <w:r w:rsidR="00037C46">
        <w:t>: </w:t>
      </w:r>
    </w:p>
    <w:p w:rsidR="00037C46" w:rsidRDefault="00037C46" w:rsidP="00037C46">
      <w:pPr>
        <w:pStyle w:val="BodyText"/>
      </w:pPr>
      <w:r>
        <w:t>  </w:t>
      </w:r>
      <w:r w:rsidR="000E7938">
        <w:t>No</w:t>
      </w:r>
      <w:r w:rsidR="0024441B">
        <w:t>.</w:t>
      </w:r>
    </w:p>
    <w:p w:rsidR="00037C46" w:rsidRPr="004C3641" w:rsidRDefault="00037C46">
      <w:pPr>
        <w:pStyle w:val="IssueSubsectionHeading"/>
        <w:rPr>
          <w:vanish/>
          <w:specVanish/>
        </w:rPr>
      </w:pPr>
      <w:r w:rsidRPr="004C3641">
        <w:t>Staff Analysis: </w:t>
      </w:r>
    </w:p>
    <w:p w:rsidR="00037C46" w:rsidRDefault="00037C46">
      <w:pPr>
        <w:pStyle w:val="BodyText"/>
      </w:pPr>
      <w:r>
        <w:t> </w:t>
      </w:r>
    </w:p>
    <w:p w:rsidR="00834801" w:rsidRDefault="00834801" w:rsidP="00834801">
      <w:pPr>
        <w:pStyle w:val="First-LevelSubheading"/>
        <w:jc w:val="center"/>
      </w:pPr>
      <w:r>
        <w:t>PARTIES’ ARGUMENTS</w:t>
      </w:r>
    </w:p>
    <w:p w:rsidR="00834801" w:rsidRDefault="00834801" w:rsidP="00834801">
      <w:pPr>
        <w:pStyle w:val="First-LevelSubheading"/>
      </w:pPr>
      <w:r>
        <w:t>FPUC</w:t>
      </w:r>
    </w:p>
    <w:p w:rsidR="00834801" w:rsidRPr="006F685A" w:rsidRDefault="00334FF2" w:rsidP="00834801">
      <w:pPr>
        <w:pStyle w:val="BodyText"/>
      </w:pPr>
      <w:r>
        <w:t>None provided.</w:t>
      </w:r>
    </w:p>
    <w:p w:rsidR="00834801" w:rsidRDefault="00834801" w:rsidP="00834801">
      <w:pPr>
        <w:pStyle w:val="First-LevelSubheading"/>
      </w:pPr>
      <w:r>
        <w:t>OPC</w:t>
      </w:r>
    </w:p>
    <w:p w:rsidR="00834801" w:rsidRPr="006F685A" w:rsidRDefault="00334FF2" w:rsidP="00834801">
      <w:pPr>
        <w:pStyle w:val="First-LevelSubheading"/>
        <w:rPr>
          <w:rFonts w:ascii="Times New Roman" w:hAnsi="Times New Roman" w:cs="Times New Roman"/>
          <w:b w:val="0"/>
        </w:rPr>
      </w:pPr>
      <w:r>
        <w:rPr>
          <w:rFonts w:ascii="Times New Roman" w:hAnsi="Times New Roman" w:cs="Times New Roman"/>
          <w:b w:val="0"/>
        </w:rPr>
        <w:t>None Provided.</w:t>
      </w:r>
    </w:p>
    <w:p w:rsidR="00834801" w:rsidRDefault="00834801" w:rsidP="00834801">
      <w:pPr>
        <w:pStyle w:val="First-LevelSubheading"/>
        <w:jc w:val="center"/>
      </w:pPr>
      <w:r>
        <w:t>ANALYSIS</w:t>
      </w:r>
    </w:p>
    <w:p w:rsidR="00B8149A" w:rsidRPr="00B8149A" w:rsidRDefault="00B8149A" w:rsidP="00B8149A">
      <w:pPr>
        <w:pStyle w:val="BodyText"/>
        <w:spacing w:after="0"/>
      </w:pPr>
    </w:p>
    <w:p w:rsidR="00012EE8" w:rsidRPr="00012EE8" w:rsidRDefault="001A5963" w:rsidP="00012EE8">
      <w:pPr>
        <w:pStyle w:val="BodyText"/>
      </w:pPr>
      <w:r w:rsidRPr="001A5963">
        <w:t xml:space="preserve">Upon issuance of an order </w:t>
      </w:r>
      <w:r w:rsidR="00127DA6" w:rsidRPr="001A5963">
        <w:t>determining the</w:t>
      </w:r>
      <w:r w:rsidRPr="001A5963">
        <w:t xml:space="preserve"> tax impacts associated with the Tax Cuts and Jobs Act of 2017 for Florida Public Utilities Company, this docket should be closed after the time for filing an appeal has run. </w:t>
      </w:r>
    </w:p>
    <w:p w:rsidR="00E06484" w:rsidRDefault="00E06484" w:rsidP="00E275D8">
      <w:pPr>
        <w:pStyle w:val="BodyText"/>
      </w:pPr>
    </w:p>
    <w:sectPr w:rsidR="00E06484" w:rsidSect="00A87747">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46" w:rsidRDefault="00037C46">
      <w:r>
        <w:separator/>
      </w:r>
    </w:p>
  </w:endnote>
  <w:endnote w:type="continuationSeparator" w:id="0">
    <w:p w:rsidR="00037C46" w:rsidRDefault="0003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14EC0">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46" w:rsidRDefault="00037C46">
      <w:r>
        <w:separator/>
      </w:r>
    </w:p>
  </w:footnote>
  <w:footnote w:type="continuationSeparator" w:id="0">
    <w:p w:rsidR="00037C46" w:rsidRDefault="00037C46">
      <w:r>
        <w:continuationSeparator/>
      </w:r>
    </w:p>
  </w:footnote>
  <w:footnote w:id="1">
    <w:p w:rsidR="008C1587" w:rsidRDefault="008C1587">
      <w:pPr>
        <w:pStyle w:val="FootnoteText"/>
      </w:pPr>
      <w:r>
        <w:rPr>
          <w:rStyle w:val="FootnoteReference"/>
        </w:rPr>
        <w:footnoteRef/>
      </w:r>
      <w:r>
        <w:t xml:space="preserve"> </w:t>
      </w:r>
      <w:r w:rsidR="006B424B">
        <w:t>Although</w:t>
      </w:r>
      <w:r>
        <w:t xml:space="preserve"> FPUC witness Cassel’s </w:t>
      </w:r>
      <w:r w:rsidR="007961C3">
        <w:t xml:space="preserve">testimony stated that the Company expects to be earning </w:t>
      </w:r>
      <w:r w:rsidR="007961C3" w:rsidRPr="007961C3">
        <w:rPr>
          <w:i/>
        </w:rPr>
        <w:t>at</w:t>
      </w:r>
      <w:r w:rsidR="007961C3">
        <w:t xml:space="preserve"> the bottom of its </w:t>
      </w:r>
      <w:r w:rsidR="006B424B">
        <w:t>allowable</w:t>
      </w:r>
      <w:r w:rsidR="007961C3">
        <w:t xml:space="preserve"> range of return on equity, the record indicates that its projected return on equity is 8.38 percent, which is </w:t>
      </w:r>
      <w:r w:rsidR="007961C3" w:rsidRPr="007961C3">
        <w:rPr>
          <w:i/>
        </w:rPr>
        <w:t>below</w:t>
      </w:r>
      <w:r w:rsidR="007961C3">
        <w:t xml:space="preserve"> its allowable range. (ESH 10, BSP 00043; EXH 15, BSP 000518)</w:t>
      </w:r>
    </w:p>
  </w:footnote>
  <w:footnote w:id="2">
    <w:p w:rsidR="007961C3" w:rsidRDefault="007961C3">
      <w:pPr>
        <w:pStyle w:val="FootnoteText"/>
      </w:pPr>
      <w:r>
        <w:rPr>
          <w:rStyle w:val="FootnoteReference"/>
        </w:rPr>
        <w:footnoteRef/>
      </w:r>
      <w:r>
        <w:t xml:space="preserve"> FPUC incorrectly referenced a range of 9.50 percent to 11.85 percent in its post-hearing brief.</w:t>
      </w:r>
    </w:p>
  </w:footnote>
  <w:footnote w:id="3">
    <w:p w:rsidR="003E3FC8" w:rsidRDefault="003E3FC8">
      <w:pPr>
        <w:pStyle w:val="FootnoteText"/>
      </w:pPr>
      <w:r>
        <w:rPr>
          <w:rStyle w:val="FootnoteReference"/>
        </w:rPr>
        <w:footnoteRef/>
      </w:r>
      <w:r>
        <w:t xml:space="preserve"> Order No. 8624, issued December 29, 1978, in Docket No. 780921-PU (CI), </w:t>
      </w:r>
      <w:r w:rsidRPr="00DB7B69">
        <w:rPr>
          <w:i/>
        </w:rPr>
        <w:t>In Re: Disposition of Federal Tax Savings Realized under the Revenue Act of 1978</w:t>
      </w:r>
      <w:r>
        <w:rPr>
          <w:i/>
        </w:rPr>
        <w:t>, p. 4.</w:t>
      </w:r>
    </w:p>
  </w:footnote>
  <w:footnote w:id="4">
    <w:p w:rsidR="000844AE" w:rsidRDefault="000844AE">
      <w:pPr>
        <w:pStyle w:val="FootnoteText"/>
      </w:pPr>
      <w:r>
        <w:rPr>
          <w:rStyle w:val="FootnoteReference"/>
        </w:rPr>
        <w:footnoteRef/>
      </w:r>
      <w:r>
        <w:t xml:space="preserve"> </w:t>
      </w:r>
      <w:r w:rsidR="006B424B" w:rsidRPr="000844AE">
        <w:t>Although</w:t>
      </w:r>
      <w:r w:rsidRPr="000844AE">
        <w:t xml:space="preserve"> FPUC witness Cassel’s testimony stated that the Company expects to be earning at the bottom of its </w:t>
      </w:r>
      <w:r w:rsidR="006B424B" w:rsidRPr="000844AE">
        <w:t>allowable</w:t>
      </w:r>
      <w:r w:rsidRPr="000844AE">
        <w:t xml:space="preserve"> range of return on equity, the record indicates that its projected return on equity is 8.38 percent, which is below its allowable range. (ESH 10, BSP 00043; EXH 15, BSP 000518)</w:t>
      </w:r>
    </w:p>
  </w:footnote>
  <w:footnote w:id="5">
    <w:p w:rsidR="000844AE" w:rsidRDefault="000844AE">
      <w:pPr>
        <w:pStyle w:val="FootnoteText"/>
      </w:pPr>
      <w:r>
        <w:rPr>
          <w:rStyle w:val="FootnoteReference"/>
        </w:rPr>
        <w:footnoteRef/>
      </w:r>
      <w:r>
        <w:t xml:space="preserve"> </w:t>
      </w:r>
      <w:r w:rsidRPr="000844AE">
        <w:t>FPUC incorrectly referenced a range of 9.50 percent to 11.85 percent in its post-hearing brief.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37C4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20180051-GU</w:t>
    </w:r>
    <w:bookmarkEnd w:id="15"/>
  </w:p>
  <w:p w:rsidR="00BC402E" w:rsidRDefault="00BC402E">
    <w:pPr>
      <w:pStyle w:val="Header"/>
    </w:pPr>
    <w:r>
      <w:t xml:space="preserve">Date: </w:t>
    </w:r>
    <w:fldSimple w:instr=" REF FilingDate ">
      <w:r w:rsidR="009308E1">
        <w:t>January 24,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308E1">
      <w:t>Docket No.</w:t>
    </w:r>
    <w:r>
      <w:fldChar w:fldCharType="end"/>
    </w:r>
    <w:r>
      <w:t xml:space="preserve"> </w:t>
    </w:r>
    <w:r>
      <w:fldChar w:fldCharType="begin"/>
    </w:r>
    <w:r>
      <w:instrText xml:space="preserve"> REF DocketList</w:instrText>
    </w:r>
    <w:r>
      <w:fldChar w:fldCharType="separate"/>
    </w:r>
    <w:r w:rsidR="009308E1">
      <w:t>20180051-GU</w:t>
    </w:r>
    <w:r>
      <w:fldChar w:fldCharType="end"/>
    </w:r>
    <w:r>
      <w:tab/>
      <w:t xml:space="preserve">Issue </w:t>
    </w:r>
    <w:r w:rsidR="00A87747">
      <w:t>4B</w:t>
    </w:r>
  </w:p>
  <w:p w:rsidR="00BC402E" w:rsidRDefault="00BC402E">
    <w:pPr>
      <w:pStyle w:val="Header"/>
    </w:pPr>
    <w:r>
      <w:t xml:space="preserve">Date: </w:t>
    </w:r>
    <w:fldSimple w:instr=" REF FilingDate ">
      <w:r w:rsidR="009308E1">
        <w:t>January 24,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47" w:rsidRDefault="00A87747" w:rsidP="00220732">
    <w:pPr>
      <w:pStyle w:val="Header"/>
      <w:tabs>
        <w:tab w:val="clear" w:pos="4320"/>
        <w:tab w:val="clear" w:pos="8640"/>
        <w:tab w:val="right" w:pos="9360"/>
      </w:tabs>
    </w:pPr>
    <w:r>
      <w:fldChar w:fldCharType="begin"/>
    </w:r>
    <w:r>
      <w:instrText xml:space="preserve"> REF DocketLabel</w:instrText>
    </w:r>
    <w:r>
      <w:fldChar w:fldCharType="separate"/>
    </w:r>
    <w:r w:rsidR="009308E1">
      <w:t>Docket No.</w:t>
    </w:r>
    <w:r>
      <w:fldChar w:fldCharType="end"/>
    </w:r>
    <w:r>
      <w:t xml:space="preserve"> </w:t>
    </w:r>
    <w:r>
      <w:fldChar w:fldCharType="begin"/>
    </w:r>
    <w:r>
      <w:instrText xml:space="preserve"> REF DocketList</w:instrText>
    </w:r>
    <w:r>
      <w:fldChar w:fldCharType="separate"/>
    </w:r>
    <w:r w:rsidR="009308E1">
      <w:t>20180051-GU</w:t>
    </w:r>
    <w:r>
      <w:fldChar w:fldCharType="end"/>
    </w:r>
    <w:r>
      <w:tab/>
      <w:t>Issue 5B</w:t>
    </w:r>
  </w:p>
  <w:p w:rsidR="00A87747" w:rsidRDefault="00A87747">
    <w:pPr>
      <w:pStyle w:val="Header"/>
    </w:pPr>
    <w:r>
      <w:t xml:space="preserve">Date: </w:t>
    </w:r>
    <w:fldSimple w:instr=" REF FilingDate ">
      <w:r w:rsidR="009308E1">
        <w:t>January 24, 2019</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47" w:rsidRDefault="00A87747" w:rsidP="00220732">
    <w:pPr>
      <w:pStyle w:val="Header"/>
      <w:tabs>
        <w:tab w:val="clear" w:pos="4320"/>
        <w:tab w:val="clear" w:pos="8640"/>
        <w:tab w:val="right" w:pos="9360"/>
      </w:tabs>
    </w:pPr>
    <w:r>
      <w:fldChar w:fldCharType="begin"/>
    </w:r>
    <w:r>
      <w:instrText xml:space="preserve"> REF DocketLabel</w:instrText>
    </w:r>
    <w:r>
      <w:fldChar w:fldCharType="separate"/>
    </w:r>
    <w:r w:rsidR="009308E1">
      <w:t>Docket No.</w:t>
    </w:r>
    <w:r>
      <w:fldChar w:fldCharType="end"/>
    </w:r>
    <w:r>
      <w:t xml:space="preserve"> </w:t>
    </w:r>
    <w:r>
      <w:fldChar w:fldCharType="begin"/>
    </w:r>
    <w:r>
      <w:instrText xml:space="preserve"> REF DocketList</w:instrText>
    </w:r>
    <w:r>
      <w:fldChar w:fldCharType="separate"/>
    </w:r>
    <w:r w:rsidR="009308E1">
      <w:t>20180051-GU</w:t>
    </w:r>
    <w:r>
      <w:fldChar w:fldCharType="end"/>
    </w:r>
    <w:r>
      <w:tab/>
      <w:t>Issue 21</w:t>
    </w:r>
  </w:p>
  <w:p w:rsidR="00A87747" w:rsidRDefault="00A87747">
    <w:pPr>
      <w:pStyle w:val="Header"/>
    </w:pPr>
    <w:r>
      <w:t xml:space="preserve">Date: </w:t>
    </w:r>
    <w:fldSimple w:instr=" REF FilingDate ">
      <w:r w:rsidR="009308E1">
        <w:t>January 24, 2019</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47" w:rsidRDefault="00A87747" w:rsidP="00220732">
    <w:pPr>
      <w:pStyle w:val="Header"/>
      <w:tabs>
        <w:tab w:val="clear" w:pos="4320"/>
        <w:tab w:val="clear" w:pos="8640"/>
        <w:tab w:val="right" w:pos="9360"/>
      </w:tabs>
    </w:pPr>
    <w:r>
      <w:fldChar w:fldCharType="begin"/>
    </w:r>
    <w:r>
      <w:instrText xml:space="preserve"> REF DocketLabel</w:instrText>
    </w:r>
    <w:r>
      <w:fldChar w:fldCharType="separate"/>
    </w:r>
    <w:r w:rsidR="009308E1">
      <w:t>Docket No.</w:t>
    </w:r>
    <w:r>
      <w:fldChar w:fldCharType="end"/>
    </w:r>
    <w:r>
      <w:t xml:space="preserve"> </w:t>
    </w:r>
    <w:r>
      <w:fldChar w:fldCharType="begin"/>
    </w:r>
    <w:r>
      <w:instrText xml:space="preserve"> REF DocketList</w:instrText>
    </w:r>
    <w:r>
      <w:fldChar w:fldCharType="separate"/>
    </w:r>
    <w:r w:rsidR="009308E1">
      <w:t>20180051-GU</w:t>
    </w:r>
    <w:r>
      <w:fldChar w:fldCharType="end"/>
    </w:r>
    <w:r>
      <w:tab/>
      <w:t>Issue 24</w:t>
    </w:r>
  </w:p>
  <w:p w:rsidR="00A87747" w:rsidRDefault="00A87747">
    <w:pPr>
      <w:pStyle w:val="Header"/>
    </w:pPr>
    <w:r>
      <w:t xml:space="preserve">Date: </w:t>
    </w:r>
    <w:fldSimple w:instr=" REF FilingDate ">
      <w:r w:rsidR="009308E1">
        <w:t>January 24,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37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037C46"/>
    <w:rsid w:val="000043D5"/>
    <w:rsid w:val="00006170"/>
    <w:rsid w:val="00010E37"/>
    <w:rsid w:val="00012EE8"/>
    <w:rsid w:val="000172DA"/>
    <w:rsid w:val="000247C5"/>
    <w:rsid w:val="000277C2"/>
    <w:rsid w:val="00030EA8"/>
    <w:rsid w:val="00035B48"/>
    <w:rsid w:val="00036CE2"/>
    <w:rsid w:val="00037C46"/>
    <w:rsid w:val="00043316"/>
    <w:rsid w:val="000437FE"/>
    <w:rsid w:val="00047D1B"/>
    <w:rsid w:val="000513BE"/>
    <w:rsid w:val="00065A06"/>
    <w:rsid w:val="000666F3"/>
    <w:rsid w:val="00067C4E"/>
    <w:rsid w:val="00070DCB"/>
    <w:rsid w:val="00072CCA"/>
    <w:rsid w:val="00073120"/>
    <w:rsid w:val="000764D0"/>
    <w:rsid w:val="0008189D"/>
    <w:rsid w:val="000828D3"/>
    <w:rsid w:val="000844AE"/>
    <w:rsid w:val="00084927"/>
    <w:rsid w:val="00090623"/>
    <w:rsid w:val="000A159B"/>
    <w:rsid w:val="000A15F4"/>
    <w:rsid w:val="000A2B57"/>
    <w:rsid w:val="000A418B"/>
    <w:rsid w:val="000C4431"/>
    <w:rsid w:val="000D1C06"/>
    <w:rsid w:val="000D213E"/>
    <w:rsid w:val="000D4319"/>
    <w:rsid w:val="000E190A"/>
    <w:rsid w:val="000E7938"/>
    <w:rsid w:val="000E7EB9"/>
    <w:rsid w:val="000F374A"/>
    <w:rsid w:val="00107281"/>
    <w:rsid w:val="001076AF"/>
    <w:rsid w:val="00117C8C"/>
    <w:rsid w:val="00124BC0"/>
    <w:rsid w:val="00124E2E"/>
    <w:rsid w:val="00125ED4"/>
    <w:rsid w:val="00127DA6"/>
    <w:rsid w:val="001305E9"/>
    <w:rsid w:val="001307AF"/>
    <w:rsid w:val="00132398"/>
    <w:rsid w:val="00135687"/>
    <w:rsid w:val="00135C55"/>
    <w:rsid w:val="0015506E"/>
    <w:rsid w:val="00156BBF"/>
    <w:rsid w:val="00162A3B"/>
    <w:rsid w:val="00162D60"/>
    <w:rsid w:val="00163031"/>
    <w:rsid w:val="00163B26"/>
    <w:rsid w:val="00171A90"/>
    <w:rsid w:val="00180254"/>
    <w:rsid w:val="00190A00"/>
    <w:rsid w:val="0019158D"/>
    <w:rsid w:val="00191E1F"/>
    <w:rsid w:val="00192943"/>
    <w:rsid w:val="00194A00"/>
    <w:rsid w:val="001A15EB"/>
    <w:rsid w:val="001A5963"/>
    <w:rsid w:val="001A7406"/>
    <w:rsid w:val="001B4FEE"/>
    <w:rsid w:val="001B51C5"/>
    <w:rsid w:val="001B61E0"/>
    <w:rsid w:val="001B6F3F"/>
    <w:rsid w:val="001C52B5"/>
    <w:rsid w:val="001D0D3E"/>
    <w:rsid w:val="001D3223"/>
    <w:rsid w:val="001F2245"/>
    <w:rsid w:val="001F2C63"/>
    <w:rsid w:val="001F48C7"/>
    <w:rsid w:val="001F6DA1"/>
    <w:rsid w:val="0020301E"/>
    <w:rsid w:val="002044E6"/>
    <w:rsid w:val="00205C82"/>
    <w:rsid w:val="00205DC2"/>
    <w:rsid w:val="00212B17"/>
    <w:rsid w:val="002163B6"/>
    <w:rsid w:val="00220732"/>
    <w:rsid w:val="00221D32"/>
    <w:rsid w:val="00225C3F"/>
    <w:rsid w:val="0024441B"/>
    <w:rsid w:val="00246AF5"/>
    <w:rsid w:val="0025483B"/>
    <w:rsid w:val="00263D44"/>
    <w:rsid w:val="002702AD"/>
    <w:rsid w:val="00276DAE"/>
    <w:rsid w:val="00292D82"/>
    <w:rsid w:val="002963CB"/>
    <w:rsid w:val="002A6710"/>
    <w:rsid w:val="002B3344"/>
    <w:rsid w:val="002C3481"/>
    <w:rsid w:val="002D226D"/>
    <w:rsid w:val="002F6030"/>
    <w:rsid w:val="003032E9"/>
    <w:rsid w:val="003037E1"/>
    <w:rsid w:val="00307E51"/>
    <w:rsid w:val="003103EC"/>
    <w:rsid w:val="003144EF"/>
    <w:rsid w:val="003200C6"/>
    <w:rsid w:val="00322F74"/>
    <w:rsid w:val="00326B9E"/>
    <w:rsid w:val="0033335A"/>
    <w:rsid w:val="00334FF2"/>
    <w:rsid w:val="00340073"/>
    <w:rsid w:val="00343113"/>
    <w:rsid w:val="00353D6B"/>
    <w:rsid w:val="003632FD"/>
    <w:rsid w:val="00372805"/>
    <w:rsid w:val="00373180"/>
    <w:rsid w:val="003740BE"/>
    <w:rsid w:val="0037557D"/>
    <w:rsid w:val="00375AB9"/>
    <w:rsid w:val="003821A0"/>
    <w:rsid w:val="00385B04"/>
    <w:rsid w:val="003864CF"/>
    <w:rsid w:val="0039432E"/>
    <w:rsid w:val="00394BAB"/>
    <w:rsid w:val="003A1F40"/>
    <w:rsid w:val="003A22A6"/>
    <w:rsid w:val="003A5494"/>
    <w:rsid w:val="003B2510"/>
    <w:rsid w:val="003B2BDB"/>
    <w:rsid w:val="003B3B97"/>
    <w:rsid w:val="003C2CC4"/>
    <w:rsid w:val="003C3710"/>
    <w:rsid w:val="003C4CFC"/>
    <w:rsid w:val="003D4D19"/>
    <w:rsid w:val="003D7F1F"/>
    <w:rsid w:val="003E0EFC"/>
    <w:rsid w:val="003E3FC8"/>
    <w:rsid w:val="003E4A2B"/>
    <w:rsid w:val="003E76C2"/>
    <w:rsid w:val="003F1679"/>
    <w:rsid w:val="003F21EB"/>
    <w:rsid w:val="003F40BB"/>
    <w:rsid w:val="003F4A35"/>
    <w:rsid w:val="003F7B6A"/>
    <w:rsid w:val="003F7FDD"/>
    <w:rsid w:val="00402481"/>
    <w:rsid w:val="004042B4"/>
    <w:rsid w:val="00410DC4"/>
    <w:rsid w:val="00411E6A"/>
    <w:rsid w:val="00412DAE"/>
    <w:rsid w:val="004242E6"/>
    <w:rsid w:val="00431598"/>
    <w:rsid w:val="004316E7"/>
    <w:rsid w:val="004319AD"/>
    <w:rsid w:val="004426B8"/>
    <w:rsid w:val="00444432"/>
    <w:rsid w:val="00452DE9"/>
    <w:rsid w:val="00463CF2"/>
    <w:rsid w:val="00471860"/>
    <w:rsid w:val="0049694D"/>
    <w:rsid w:val="004A744D"/>
    <w:rsid w:val="004B60BD"/>
    <w:rsid w:val="004C3150"/>
    <w:rsid w:val="004C3641"/>
    <w:rsid w:val="004C4390"/>
    <w:rsid w:val="004C4AF7"/>
    <w:rsid w:val="004C68A9"/>
    <w:rsid w:val="004C6C3D"/>
    <w:rsid w:val="004D2881"/>
    <w:rsid w:val="004D385F"/>
    <w:rsid w:val="004D5B39"/>
    <w:rsid w:val="004E0E1D"/>
    <w:rsid w:val="004E330D"/>
    <w:rsid w:val="004E34BE"/>
    <w:rsid w:val="004E5147"/>
    <w:rsid w:val="004F5C43"/>
    <w:rsid w:val="004F753A"/>
    <w:rsid w:val="0050652D"/>
    <w:rsid w:val="00506C03"/>
    <w:rsid w:val="00511A11"/>
    <w:rsid w:val="00516496"/>
    <w:rsid w:val="00523B11"/>
    <w:rsid w:val="0052572A"/>
    <w:rsid w:val="005266F7"/>
    <w:rsid w:val="00540F09"/>
    <w:rsid w:val="00542BC8"/>
    <w:rsid w:val="00543CB3"/>
    <w:rsid w:val="005442E4"/>
    <w:rsid w:val="0055529B"/>
    <w:rsid w:val="00560FF0"/>
    <w:rsid w:val="005614BD"/>
    <w:rsid w:val="0057154F"/>
    <w:rsid w:val="00580F69"/>
    <w:rsid w:val="00581CA3"/>
    <w:rsid w:val="00587A44"/>
    <w:rsid w:val="005900F7"/>
    <w:rsid w:val="00597730"/>
    <w:rsid w:val="005977EC"/>
    <w:rsid w:val="00597DE7"/>
    <w:rsid w:val="005A4AA2"/>
    <w:rsid w:val="005B34B6"/>
    <w:rsid w:val="005B5170"/>
    <w:rsid w:val="005B6C8F"/>
    <w:rsid w:val="005B6EC3"/>
    <w:rsid w:val="005D052C"/>
    <w:rsid w:val="005D0F74"/>
    <w:rsid w:val="005D1A5D"/>
    <w:rsid w:val="005D2E7D"/>
    <w:rsid w:val="005D42FF"/>
    <w:rsid w:val="005D4A8F"/>
    <w:rsid w:val="005D561B"/>
    <w:rsid w:val="005D5ECF"/>
    <w:rsid w:val="005F1882"/>
    <w:rsid w:val="005F468D"/>
    <w:rsid w:val="005F69A3"/>
    <w:rsid w:val="005F69FC"/>
    <w:rsid w:val="00604CC7"/>
    <w:rsid w:val="00615423"/>
    <w:rsid w:val="006165B2"/>
    <w:rsid w:val="00617276"/>
    <w:rsid w:val="00621678"/>
    <w:rsid w:val="0062527B"/>
    <w:rsid w:val="00625D97"/>
    <w:rsid w:val="00625F1C"/>
    <w:rsid w:val="006279E1"/>
    <w:rsid w:val="00630CEB"/>
    <w:rsid w:val="00632264"/>
    <w:rsid w:val="0063335E"/>
    <w:rsid w:val="006470BC"/>
    <w:rsid w:val="006554D3"/>
    <w:rsid w:val="00667036"/>
    <w:rsid w:val="00673BDB"/>
    <w:rsid w:val="00674341"/>
    <w:rsid w:val="006771B8"/>
    <w:rsid w:val="006843B6"/>
    <w:rsid w:val="0068481F"/>
    <w:rsid w:val="00692E9B"/>
    <w:rsid w:val="00696F5D"/>
    <w:rsid w:val="00697249"/>
    <w:rsid w:val="006B3947"/>
    <w:rsid w:val="006B424B"/>
    <w:rsid w:val="006B4293"/>
    <w:rsid w:val="006B624F"/>
    <w:rsid w:val="006B6AAE"/>
    <w:rsid w:val="006C0A85"/>
    <w:rsid w:val="006C0C95"/>
    <w:rsid w:val="006C31E3"/>
    <w:rsid w:val="006C4121"/>
    <w:rsid w:val="006D18D3"/>
    <w:rsid w:val="006E08CB"/>
    <w:rsid w:val="006E211A"/>
    <w:rsid w:val="006E598D"/>
    <w:rsid w:val="006F3AB2"/>
    <w:rsid w:val="006F6DB2"/>
    <w:rsid w:val="0070437D"/>
    <w:rsid w:val="00704CF1"/>
    <w:rsid w:val="00705B04"/>
    <w:rsid w:val="0071032C"/>
    <w:rsid w:val="00715AED"/>
    <w:rsid w:val="00723299"/>
    <w:rsid w:val="00723ED4"/>
    <w:rsid w:val="00724992"/>
    <w:rsid w:val="00734820"/>
    <w:rsid w:val="007349DC"/>
    <w:rsid w:val="00740265"/>
    <w:rsid w:val="0074365E"/>
    <w:rsid w:val="00744B55"/>
    <w:rsid w:val="00747EBE"/>
    <w:rsid w:val="007515FD"/>
    <w:rsid w:val="00760D80"/>
    <w:rsid w:val="00766F9F"/>
    <w:rsid w:val="00771309"/>
    <w:rsid w:val="00772717"/>
    <w:rsid w:val="00780C09"/>
    <w:rsid w:val="00780DDF"/>
    <w:rsid w:val="007834E9"/>
    <w:rsid w:val="00783970"/>
    <w:rsid w:val="00787DBC"/>
    <w:rsid w:val="0079019A"/>
    <w:rsid w:val="00792935"/>
    <w:rsid w:val="007961C3"/>
    <w:rsid w:val="007A04A1"/>
    <w:rsid w:val="007A1840"/>
    <w:rsid w:val="007B2685"/>
    <w:rsid w:val="007C0528"/>
    <w:rsid w:val="007C3D38"/>
    <w:rsid w:val="007D0F35"/>
    <w:rsid w:val="007D4FEB"/>
    <w:rsid w:val="007D6146"/>
    <w:rsid w:val="007E0CE7"/>
    <w:rsid w:val="007E7D76"/>
    <w:rsid w:val="007F1193"/>
    <w:rsid w:val="007F417F"/>
    <w:rsid w:val="007F7644"/>
    <w:rsid w:val="00800A2D"/>
    <w:rsid w:val="008042BD"/>
    <w:rsid w:val="00813222"/>
    <w:rsid w:val="00816624"/>
    <w:rsid w:val="00822427"/>
    <w:rsid w:val="00822562"/>
    <w:rsid w:val="00823663"/>
    <w:rsid w:val="0082719C"/>
    <w:rsid w:val="00832DDC"/>
    <w:rsid w:val="00834801"/>
    <w:rsid w:val="00842870"/>
    <w:rsid w:val="00850BAC"/>
    <w:rsid w:val="00854A3E"/>
    <w:rsid w:val="00855D08"/>
    <w:rsid w:val="00871AFA"/>
    <w:rsid w:val="00874344"/>
    <w:rsid w:val="00882155"/>
    <w:rsid w:val="0088233B"/>
    <w:rsid w:val="0088599E"/>
    <w:rsid w:val="00886C37"/>
    <w:rsid w:val="00892D99"/>
    <w:rsid w:val="00893315"/>
    <w:rsid w:val="00897232"/>
    <w:rsid w:val="008A584B"/>
    <w:rsid w:val="008A5CB2"/>
    <w:rsid w:val="008B62AE"/>
    <w:rsid w:val="008C04B5"/>
    <w:rsid w:val="008C14FA"/>
    <w:rsid w:val="008C1587"/>
    <w:rsid w:val="008C7B0B"/>
    <w:rsid w:val="008C7E79"/>
    <w:rsid w:val="008D242C"/>
    <w:rsid w:val="008D3777"/>
    <w:rsid w:val="008D4057"/>
    <w:rsid w:val="008E1F19"/>
    <w:rsid w:val="008E4CB4"/>
    <w:rsid w:val="008E58D0"/>
    <w:rsid w:val="008F2262"/>
    <w:rsid w:val="008F4D2B"/>
    <w:rsid w:val="008F7736"/>
    <w:rsid w:val="0090019E"/>
    <w:rsid w:val="00901086"/>
    <w:rsid w:val="00901C8A"/>
    <w:rsid w:val="00905886"/>
    <w:rsid w:val="009070D6"/>
    <w:rsid w:val="009076C6"/>
    <w:rsid w:val="0091019E"/>
    <w:rsid w:val="009106F1"/>
    <w:rsid w:val="00912404"/>
    <w:rsid w:val="009145D6"/>
    <w:rsid w:val="00915B53"/>
    <w:rsid w:val="00915EE0"/>
    <w:rsid w:val="00920E64"/>
    <w:rsid w:val="00922002"/>
    <w:rsid w:val="00924020"/>
    <w:rsid w:val="009271A7"/>
    <w:rsid w:val="009308E1"/>
    <w:rsid w:val="009321E6"/>
    <w:rsid w:val="0093658B"/>
    <w:rsid w:val="009429FF"/>
    <w:rsid w:val="00945BD6"/>
    <w:rsid w:val="009479FB"/>
    <w:rsid w:val="00951C45"/>
    <w:rsid w:val="009656F2"/>
    <w:rsid w:val="00966A08"/>
    <w:rsid w:val="00971207"/>
    <w:rsid w:val="00973102"/>
    <w:rsid w:val="00975207"/>
    <w:rsid w:val="00975CB4"/>
    <w:rsid w:val="009830E2"/>
    <w:rsid w:val="009863B0"/>
    <w:rsid w:val="00987DE1"/>
    <w:rsid w:val="00990571"/>
    <w:rsid w:val="009932EE"/>
    <w:rsid w:val="00995C57"/>
    <w:rsid w:val="0099673A"/>
    <w:rsid w:val="009A3330"/>
    <w:rsid w:val="009A7C96"/>
    <w:rsid w:val="009B24DA"/>
    <w:rsid w:val="009C114C"/>
    <w:rsid w:val="009C3DB9"/>
    <w:rsid w:val="009C4AB3"/>
    <w:rsid w:val="009D46E5"/>
    <w:rsid w:val="009D568A"/>
    <w:rsid w:val="009D5E7C"/>
    <w:rsid w:val="009F04EC"/>
    <w:rsid w:val="009F0BF2"/>
    <w:rsid w:val="009F2A7C"/>
    <w:rsid w:val="009F3B36"/>
    <w:rsid w:val="00A019B9"/>
    <w:rsid w:val="00A12508"/>
    <w:rsid w:val="00A1282B"/>
    <w:rsid w:val="00A13A27"/>
    <w:rsid w:val="00A175B6"/>
    <w:rsid w:val="00A21835"/>
    <w:rsid w:val="00A2374B"/>
    <w:rsid w:val="00A27082"/>
    <w:rsid w:val="00A27D6E"/>
    <w:rsid w:val="00A27E2C"/>
    <w:rsid w:val="00A306DE"/>
    <w:rsid w:val="00A315C9"/>
    <w:rsid w:val="00A328EC"/>
    <w:rsid w:val="00A33A51"/>
    <w:rsid w:val="00A41CA6"/>
    <w:rsid w:val="00A47927"/>
    <w:rsid w:val="00A47FFC"/>
    <w:rsid w:val="00A5442F"/>
    <w:rsid w:val="00A54FF9"/>
    <w:rsid w:val="00A5590C"/>
    <w:rsid w:val="00A56765"/>
    <w:rsid w:val="00A669A6"/>
    <w:rsid w:val="00A675AC"/>
    <w:rsid w:val="00A73188"/>
    <w:rsid w:val="00A74348"/>
    <w:rsid w:val="00A7581F"/>
    <w:rsid w:val="00A87747"/>
    <w:rsid w:val="00A90F92"/>
    <w:rsid w:val="00A92FB1"/>
    <w:rsid w:val="00A95A0C"/>
    <w:rsid w:val="00AA2765"/>
    <w:rsid w:val="00AA77B5"/>
    <w:rsid w:val="00AB6C5D"/>
    <w:rsid w:val="00AC0A8E"/>
    <w:rsid w:val="00AC3401"/>
    <w:rsid w:val="00AC51A7"/>
    <w:rsid w:val="00AD444B"/>
    <w:rsid w:val="00AD5614"/>
    <w:rsid w:val="00AD6C78"/>
    <w:rsid w:val="00AE2EAB"/>
    <w:rsid w:val="00AF5F89"/>
    <w:rsid w:val="00AF73CB"/>
    <w:rsid w:val="00B002D6"/>
    <w:rsid w:val="00B03379"/>
    <w:rsid w:val="00B04E5D"/>
    <w:rsid w:val="00B05B51"/>
    <w:rsid w:val="00B0730D"/>
    <w:rsid w:val="00B14407"/>
    <w:rsid w:val="00B14E5A"/>
    <w:rsid w:val="00B14EC0"/>
    <w:rsid w:val="00B15370"/>
    <w:rsid w:val="00B16DA4"/>
    <w:rsid w:val="00B17BEB"/>
    <w:rsid w:val="00B21A3C"/>
    <w:rsid w:val="00B223C0"/>
    <w:rsid w:val="00B234ED"/>
    <w:rsid w:val="00B249B2"/>
    <w:rsid w:val="00B25CA3"/>
    <w:rsid w:val="00B2765A"/>
    <w:rsid w:val="00B3109A"/>
    <w:rsid w:val="00B32BF9"/>
    <w:rsid w:val="00B42F42"/>
    <w:rsid w:val="00B45BF2"/>
    <w:rsid w:val="00B516ED"/>
    <w:rsid w:val="00B55640"/>
    <w:rsid w:val="00B57A6A"/>
    <w:rsid w:val="00B760F1"/>
    <w:rsid w:val="00B7669E"/>
    <w:rsid w:val="00B77DA1"/>
    <w:rsid w:val="00B8149A"/>
    <w:rsid w:val="00B822A0"/>
    <w:rsid w:val="00B8587F"/>
    <w:rsid w:val="00B858AE"/>
    <w:rsid w:val="00B85964"/>
    <w:rsid w:val="00B90624"/>
    <w:rsid w:val="00B96250"/>
    <w:rsid w:val="00BA0D55"/>
    <w:rsid w:val="00BA37B3"/>
    <w:rsid w:val="00BA4CC6"/>
    <w:rsid w:val="00BB3493"/>
    <w:rsid w:val="00BB6A7B"/>
    <w:rsid w:val="00BB7468"/>
    <w:rsid w:val="00BC188A"/>
    <w:rsid w:val="00BC31C4"/>
    <w:rsid w:val="00BC402E"/>
    <w:rsid w:val="00BD0F48"/>
    <w:rsid w:val="00BE66C8"/>
    <w:rsid w:val="00BE6DDB"/>
    <w:rsid w:val="00BF4FFA"/>
    <w:rsid w:val="00BF5010"/>
    <w:rsid w:val="00C03D5F"/>
    <w:rsid w:val="00C05752"/>
    <w:rsid w:val="00C13791"/>
    <w:rsid w:val="00C22B5F"/>
    <w:rsid w:val="00C23868"/>
    <w:rsid w:val="00C31BB3"/>
    <w:rsid w:val="00C36977"/>
    <w:rsid w:val="00C467DA"/>
    <w:rsid w:val="00C477D9"/>
    <w:rsid w:val="00C546D7"/>
    <w:rsid w:val="00C60BA3"/>
    <w:rsid w:val="00C623F7"/>
    <w:rsid w:val="00C721C3"/>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0119"/>
    <w:rsid w:val="00CB1777"/>
    <w:rsid w:val="00CB33E9"/>
    <w:rsid w:val="00CC10A9"/>
    <w:rsid w:val="00CD0A20"/>
    <w:rsid w:val="00CE2BF8"/>
    <w:rsid w:val="00CE484E"/>
    <w:rsid w:val="00CE55C2"/>
    <w:rsid w:val="00CE656F"/>
    <w:rsid w:val="00CF0DA8"/>
    <w:rsid w:val="00CF2E25"/>
    <w:rsid w:val="00CF4453"/>
    <w:rsid w:val="00CF5D94"/>
    <w:rsid w:val="00CF5FC4"/>
    <w:rsid w:val="00CF7E0F"/>
    <w:rsid w:val="00D034D7"/>
    <w:rsid w:val="00D04BE4"/>
    <w:rsid w:val="00D06FC7"/>
    <w:rsid w:val="00D10EFD"/>
    <w:rsid w:val="00D12565"/>
    <w:rsid w:val="00D14127"/>
    <w:rsid w:val="00D152CE"/>
    <w:rsid w:val="00D60B16"/>
    <w:rsid w:val="00D60F02"/>
    <w:rsid w:val="00D66E49"/>
    <w:rsid w:val="00D70D71"/>
    <w:rsid w:val="00D72F74"/>
    <w:rsid w:val="00D81563"/>
    <w:rsid w:val="00D815C3"/>
    <w:rsid w:val="00D85907"/>
    <w:rsid w:val="00D85EFB"/>
    <w:rsid w:val="00D9073E"/>
    <w:rsid w:val="00D9221D"/>
    <w:rsid w:val="00D935F2"/>
    <w:rsid w:val="00D958DF"/>
    <w:rsid w:val="00D96DA1"/>
    <w:rsid w:val="00DA0368"/>
    <w:rsid w:val="00DA1223"/>
    <w:rsid w:val="00DA298A"/>
    <w:rsid w:val="00DA51E7"/>
    <w:rsid w:val="00DA5A4C"/>
    <w:rsid w:val="00DB0260"/>
    <w:rsid w:val="00DB1C78"/>
    <w:rsid w:val="00DB7D96"/>
    <w:rsid w:val="00DC23FE"/>
    <w:rsid w:val="00DC59E6"/>
    <w:rsid w:val="00DD150B"/>
    <w:rsid w:val="00DD5025"/>
    <w:rsid w:val="00DE4D57"/>
    <w:rsid w:val="00DF1510"/>
    <w:rsid w:val="00E015A9"/>
    <w:rsid w:val="00E02F1F"/>
    <w:rsid w:val="00E06484"/>
    <w:rsid w:val="00E114AC"/>
    <w:rsid w:val="00E12092"/>
    <w:rsid w:val="00E20A7D"/>
    <w:rsid w:val="00E275D8"/>
    <w:rsid w:val="00E30F6A"/>
    <w:rsid w:val="00E3117C"/>
    <w:rsid w:val="00E311BA"/>
    <w:rsid w:val="00E34F5C"/>
    <w:rsid w:val="00E375CA"/>
    <w:rsid w:val="00E567E8"/>
    <w:rsid w:val="00E57E82"/>
    <w:rsid w:val="00E64679"/>
    <w:rsid w:val="00E65EBC"/>
    <w:rsid w:val="00E677FE"/>
    <w:rsid w:val="00E73017"/>
    <w:rsid w:val="00E73432"/>
    <w:rsid w:val="00E73474"/>
    <w:rsid w:val="00E77B0C"/>
    <w:rsid w:val="00E77B68"/>
    <w:rsid w:val="00E77FB8"/>
    <w:rsid w:val="00E838B0"/>
    <w:rsid w:val="00E86A7C"/>
    <w:rsid w:val="00E878E1"/>
    <w:rsid w:val="00E87F2C"/>
    <w:rsid w:val="00E95278"/>
    <w:rsid w:val="00EA2273"/>
    <w:rsid w:val="00EA46E7"/>
    <w:rsid w:val="00EA4A5A"/>
    <w:rsid w:val="00EA7C3C"/>
    <w:rsid w:val="00EB2DB3"/>
    <w:rsid w:val="00EC3FBB"/>
    <w:rsid w:val="00EC5C74"/>
    <w:rsid w:val="00EC6B7A"/>
    <w:rsid w:val="00ED3A87"/>
    <w:rsid w:val="00ED46FE"/>
    <w:rsid w:val="00ED5B67"/>
    <w:rsid w:val="00EE21A3"/>
    <w:rsid w:val="00EF0A97"/>
    <w:rsid w:val="00EF1516"/>
    <w:rsid w:val="00EF264C"/>
    <w:rsid w:val="00EF3FB2"/>
    <w:rsid w:val="00EF3FEE"/>
    <w:rsid w:val="00F00D16"/>
    <w:rsid w:val="00F04B59"/>
    <w:rsid w:val="00F0608F"/>
    <w:rsid w:val="00F11741"/>
    <w:rsid w:val="00F12B1C"/>
    <w:rsid w:val="00F13CF8"/>
    <w:rsid w:val="00F15855"/>
    <w:rsid w:val="00F32978"/>
    <w:rsid w:val="00F32BC4"/>
    <w:rsid w:val="00F340D5"/>
    <w:rsid w:val="00F45CB2"/>
    <w:rsid w:val="00F544C0"/>
    <w:rsid w:val="00F55332"/>
    <w:rsid w:val="00F55B62"/>
    <w:rsid w:val="00F636E7"/>
    <w:rsid w:val="00F6504A"/>
    <w:rsid w:val="00F65519"/>
    <w:rsid w:val="00F713C0"/>
    <w:rsid w:val="00F75DDC"/>
    <w:rsid w:val="00F7792F"/>
    <w:rsid w:val="00F842AA"/>
    <w:rsid w:val="00F8476F"/>
    <w:rsid w:val="00F853E1"/>
    <w:rsid w:val="00F85604"/>
    <w:rsid w:val="00F920DB"/>
    <w:rsid w:val="00F94B7A"/>
    <w:rsid w:val="00FA17AC"/>
    <w:rsid w:val="00FA32DE"/>
    <w:rsid w:val="00FA3382"/>
    <w:rsid w:val="00FA59CD"/>
    <w:rsid w:val="00FA7440"/>
    <w:rsid w:val="00FB0485"/>
    <w:rsid w:val="00FB1740"/>
    <w:rsid w:val="00FB21DF"/>
    <w:rsid w:val="00FB5B90"/>
    <w:rsid w:val="00FC5469"/>
    <w:rsid w:val="00FC6D7D"/>
    <w:rsid w:val="00FD16B0"/>
    <w:rsid w:val="00FD4FED"/>
    <w:rsid w:val="00FE0577"/>
    <w:rsid w:val="00FE4766"/>
    <w:rsid w:val="00FE59EC"/>
    <w:rsid w:val="00FE5B67"/>
    <w:rsid w:val="00FE60D6"/>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mphasis">
    <w:name w:val="Emphasis"/>
    <w:basedOn w:val="DefaultParagraphFont"/>
    <w:qFormat/>
    <w:rsid w:val="00C23868"/>
    <w:rPr>
      <w:i/>
      <w:iCs/>
    </w:rPr>
  </w:style>
  <w:style w:type="character" w:styleId="FootnoteReference">
    <w:name w:val="footnote reference"/>
    <w:basedOn w:val="DefaultParagraphFont"/>
    <w:rsid w:val="008C15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mphasis">
    <w:name w:val="Emphasis"/>
    <w:basedOn w:val="DefaultParagraphFont"/>
    <w:qFormat/>
    <w:rsid w:val="00C23868"/>
    <w:rPr>
      <w:i/>
      <w:iCs/>
    </w:rPr>
  </w:style>
  <w:style w:type="character" w:styleId="FootnoteReference">
    <w:name w:val="footnote reference"/>
    <w:basedOn w:val="DefaultParagraphFont"/>
    <w:rsid w:val="008C1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DB056-4602-4731-91C1-7E7F69EF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4097</Words>
  <Characters>21711</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Kim Starling</cp:lastModifiedBy>
  <cp:revision>2</cp:revision>
  <cp:lastPrinted>2019-01-28T18:44:00Z</cp:lastPrinted>
  <dcterms:created xsi:type="dcterms:W3CDTF">2019-01-28T19:12:00Z</dcterms:created>
  <dcterms:modified xsi:type="dcterms:W3CDTF">2019-01-28T19:12:00Z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20180051-GU</vt:lpwstr>
  </property>
  <property fmtid="{D5CDD505-2E9C-101B-9397-08002B2CF9AE}" pid="3" name="MasterDocument">
    <vt:bool>false</vt:bool>
  </property>
</Properties>
</file>