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D2C28">
            <w:pPr>
              <w:pStyle w:val="MemoHeading"/>
            </w:pPr>
            <w:bookmarkStart w:id="1" w:name="FilingDate"/>
            <w:r>
              <w:t>March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D2C28" w:rsidRDefault="005D2C28">
            <w:pPr>
              <w:pStyle w:val="MemoHeading"/>
            </w:pPr>
            <w:bookmarkStart w:id="2" w:name="From"/>
            <w:r>
              <w:t>Division of Engineering (Lewis, King)</w:t>
            </w:r>
          </w:p>
          <w:p w:rsidR="005D2C28" w:rsidRDefault="005D2C28">
            <w:pPr>
              <w:pStyle w:val="MemoHeading"/>
            </w:pPr>
            <w:r>
              <w:t>Division of Accoun</w:t>
            </w:r>
            <w:r w:rsidR="00A25FE2">
              <w:t>ting and Finance (</w:t>
            </w:r>
            <w:r>
              <w:t xml:space="preserve">Fletcher, Mouring, </w:t>
            </w:r>
            <w:r w:rsidR="00BF4B7D">
              <w:t xml:space="preserve">L. </w:t>
            </w:r>
            <w:r>
              <w:t>Smith)</w:t>
            </w:r>
          </w:p>
          <w:p w:rsidR="005D2C28" w:rsidRDefault="005D2C28">
            <w:pPr>
              <w:pStyle w:val="MemoHeading"/>
            </w:pPr>
            <w:r>
              <w:t>Division of Economics (Bruce)</w:t>
            </w:r>
          </w:p>
          <w:p w:rsidR="007C0528" w:rsidRDefault="005D2C28">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D2C28">
            <w:pPr>
              <w:pStyle w:val="MemoHeadingRe"/>
            </w:pPr>
            <w:bookmarkStart w:id="3" w:name="Re"/>
            <w:r>
              <w:t>Docket No. 20150010-WS – Application for staff-assisted rate case in Brevard County by Aquarina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532C9" w:rsidP="001532C9">
            <w:pPr>
              <w:pStyle w:val="MemoHeading"/>
            </w:pPr>
            <w:r>
              <w:t>04/02/18</w:t>
            </w:r>
            <w:r w:rsidRPr="001532C9">
              <w:t xml:space="preserve"> – </w:t>
            </w:r>
            <w:r w:rsidRPr="007F7A90">
              <w:t>Proposed Agency Action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D2C28">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D2C28">
            <w:pPr>
              <w:pStyle w:val="MemoHeading"/>
            </w:pPr>
            <w:bookmarkStart w:id="5" w:name="PrehearingOfficer"/>
            <w:r>
              <w:t>Brown</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5D2C28">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D2C28">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363C88" w:rsidRDefault="00363C88" w:rsidP="00363C88">
      <w:pPr>
        <w:jc w:val="both"/>
      </w:pPr>
      <w:r w:rsidRPr="00363C88">
        <w:t xml:space="preserve">Aquarina Utilities, Inc., (Aquarina or Utility) is a Class B utility providing service to approximately 296 water and 311 wastewater customers in Brevard County. Aquarina also provides non-potable water for irrigation to approximately 107 customers. </w:t>
      </w:r>
    </w:p>
    <w:p w:rsidR="00363C88" w:rsidRPr="00363C88" w:rsidRDefault="00363C88" w:rsidP="00363C88">
      <w:pPr>
        <w:jc w:val="both"/>
      </w:pPr>
    </w:p>
    <w:p w:rsidR="00363C88" w:rsidRDefault="00363C88" w:rsidP="00363C88">
      <w:pPr>
        <w:jc w:val="both"/>
      </w:pPr>
      <w:r w:rsidRPr="00363C88">
        <w:t>The Utility filed its application for a staff-assisted rate case (SARC) on January 2, 2015. By Order No. PSC-16-0583-PAA-WS (SARC Order) issued December 29, 2016, the Florida Public Service Commission (Commission) approved Phase I revenue requirement</w:t>
      </w:r>
      <w:r w:rsidR="00F50DCA">
        <w:t>s</w:t>
      </w:r>
      <w:r w:rsidRPr="00363C88">
        <w:t xml:space="preserve"> and rates. The SARC Order further stated that implementation of Phase II rates </w:t>
      </w:r>
      <w:r w:rsidR="00E8462A">
        <w:t>was</w:t>
      </w:r>
      <w:r w:rsidRPr="00363C88">
        <w:t xml:space="preserve"> conditioned upon </w:t>
      </w:r>
      <w:proofErr w:type="spellStart"/>
      <w:r w:rsidRPr="00363C88">
        <w:t>Aquarina</w:t>
      </w:r>
      <w:proofErr w:type="spellEnd"/>
      <w:r w:rsidRPr="00363C88">
        <w:t xml:space="preserve"> completing certain pro forma items within 12 months of the issuance of a consummating order in this docket. A Consummating Order (Order No. PSC-17-0031-CO-WS) was issued on January 23, 2017. Therefore, the pro forma items were to be completed before January 23, 2018.</w:t>
      </w:r>
    </w:p>
    <w:p w:rsidR="00363C88" w:rsidRDefault="00363C88" w:rsidP="00363C88">
      <w:pPr>
        <w:jc w:val="both"/>
      </w:pPr>
      <w:r w:rsidRPr="00363C88">
        <w:lastRenderedPageBreak/>
        <w:t xml:space="preserve">The pro forma items consisted of the replacement of the water treatment plant’s reverse osmosis </w:t>
      </w:r>
      <w:r>
        <w:t xml:space="preserve">(R/O) </w:t>
      </w:r>
      <w:r w:rsidRPr="00363C88">
        <w:t>skid; the wastewater treatment plant’s</w:t>
      </w:r>
      <w:r w:rsidR="00E83749">
        <w:t xml:space="preserve"> (WWTP)</w:t>
      </w:r>
      <w:r w:rsidRPr="00363C88">
        <w:t xml:space="preserve"> catwalks, </w:t>
      </w:r>
      <w:r w:rsidR="00A34CCE">
        <w:t xml:space="preserve">WWTP </w:t>
      </w:r>
      <w:r w:rsidRPr="00363C88">
        <w:t>blowers, and sand filters; along with the acquisition of a plant map by use of a Geographical I</w:t>
      </w:r>
      <w:r w:rsidR="00F1137F">
        <w:t>nformation System (GIS)</w:t>
      </w:r>
      <w:r w:rsidRPr="00363C88">
        <w:t>. The SARC Order also provided that if Aquarina encountered any unforeseen events that would impede the completion of the pro forma items, it shall immediately notify the Commission in writing. On November 9, 2017, the Utility notified staff that it would not be able to meet the deadline for completing the pro forma items. The</w:t>
      </w:r>
      <w:r w:rsidR="00E8462A">
        <w:t xml:space="preserve"> Utility requested an extension within the timeframe required </w:t>
      </w:r>
      <w:r w:rsidRPr="00363C88">
        <w:t>until</w:t>
      </w:r>
      <w:r w:rsidR="00E83749">
        <w:t xml:space="preserve"> March 1, 2018, to complete the </w:t>
      </w:r>
      <w:r w:rsidR="00E20FE9">
        <w:t>pro forma items</w:t>
      </w:r>
      <w:r w:rsidR="00F1137F">
        <w:t>,</w:t>
      </w:r>
      <w:r w:rsidR="00E20FE9">
        <w:t xml:space="preserve"> which </w:t>
      </w:r>
      <w:r w:rsidR="00F1137F">
        <w:t>was</w:t>
      </w:r>
      <w:r w:rsidR="00E20FE9">
        <w:t xml:space="preserve"> granted</w:t>
      </w:r>
      <w:r w:rsidRPr="00363C88">
        <w:t xml:space="preserve"> </w:t>
      </w:r>
      <w:r w:rsidR="00E20FE9">
        <w:t>b</w:t>
      </w:r>
      <w:r w:rsidRPr="00363C88">
        <w:t>y Order No. PSC-2017-0485-FOF-WS</w:t>
      </w:r>
      <w:r w:rsidR="00E20FE9">
        <w:t>.</w:t>
      </w:r>
    </w:p>
    <w:p w:rsidR="00363C88" w:rsidRPr="00363C88" w:rsidRDefault="00363C88" w:rsidP="00363C88">
      <w:pPr>
        <w:jc w:val="both"/>
      </w:pPr>
    </w:p>
    <w:p w:rsidR="00363C88" w:rsidRPr="00363C88" w:rsidRDefault="00363C88" w:rsidP="00363C88">
      <w:pPr>
        <w:spacing w:after="240"/>
        <w:jc w:val="both"/>
      </w:pPr>
      <w:r w:rsidRPr="00363C88">
        <w:t xml:space="preserve">On February 5, 2018, the Utility informed staff that it could not meet the March 1, 2018, </w:t>
      </w:r>
      <w:r w:rsidR="00E024F6">
        <w:t>deadline</w:t>
      </w:r>
      <w:r w:rsidRPr="00363C88">
        <w:t xml:space="preserve"> and requested another extension. By Order No. PSC-2018-0218-FOF-WS, the Commission granted Aquarina an extension until November 30, 2018, to complete the pro forma items. On February 1, 2019, the Utility provided documentation for consideration in determining Phase II rates. On February 20, 2019, Aquarina filed a motion requesting </w:t>
      </w:r>
      <w:r w:rsidR="00AE7712">
        <w:t xml:space="preserve">that </w:t>
      </w:r>
      <w:r w:rsidRPr="00363C88">
        <w:t xml:space="preserve">the Commission restructure its rates in connection with the establishment and implementation </w:t>
      </w:r>
      <w:r w:rsidR="00802376">
        <w:t>of Phase II r</w:t>
      </w:r>
      <w:r w:rsidRPr="00363C88">
        <w:t xml:space="preserve">ates. The Utility withdrew the motion on March 11, 2019.  </w:t>
      </w:r>
    </w:p>
    <w:p w:rsidR="00363C88" w:rsidRPr="00363C88" w:rsidRDefault="00363C88" w:rsidP="00363C88">
      <w:pPr>
        <w:spacing w:after="240"/>
        <w:jc w:val="both"/>
      </w:pPr>
      <w:r w:rsidRPr="00363C88">
        <w:t>This recommendation addresses the appropriate Phase II rates. The Commission has jurisdiction pursuant to Sections 367.081, 367.0814, and 367.121, Florida Statutes.</w:t>
      </w:r>
    </w:p>
    <w:p w:rsidR="0068481F" w:rsidRDefault="0068481F" w:rsidP="001045C2">
      <w:pPr>
        <w:pStyle w:val="BodyText"/>
      </w:pP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A82038" w:rsidRDefault="00A82038">
      <w:pPr>
        <w:pStyle w:val="IssueHeading"/>
        <w:rPr>
          <w:vanish/>
          <w:specVanish/>
        </w:rPr>
      </w:pPr>
      <w:r w:rsidRPr="004C3641">
        <w:t xml:space="preserve">Issue </w:t>
      </w:r>
      <w:fldSimple w:instr=" SEQ Issue \* MERGEFORMAT ">
        <w:r w:rsidR="00C443B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443BE">
        <w:rPr>
          <w:noProof/>
        </w:rPr>
        <w:instrText>1</w:instrText>
      </w:r>
      <w:r>
        <w:fldChar w:fldCharType="end"/>
      </w:r>
      <w:r>
        <w:tab/>
        <w:instrText xml:space="preserve">" \l 1 </w:instrText>
      </w:r>
      <w:r>
        <w:fldChar w:fldCharType="end"/>
      </w:r>
      <w:r>
        <w:t> </w:t>
      </w:r>
    </w:p>
    <w:p w:rsidR="00A82038" w:rsidRDefault="00D33D1D">
      <w:pPr>
        <w:pStyle w:val="BodyText"/>
      </w:pPr>
      <w:r>
        <w:t> What are</w:t>
      </w:r>
      <w:r w:rsidR="00A82038">
        <w:t xml:space="preserve"> the appropriate Phase II revenue requirement</w:t>
      </w:r>
      <w:r>
        <w:t>s</w:t>
      </w:r>
      <w:r w:rsidR="00A82038">
        <w:t xml:space="preserve"> for Aquarina?</w:t>
      </w:r>
    </w:p>
    <w:p w:rsidR="00CB4C26" w:rsidRPr="00F50DCA" w:rsidRDefault="00A82038" w:rsidP="00F50DCA">
      <w:pPr>
        <w:pStyle w:val="IssueSubsectionHeading"/>
        <w:rPr>
          <w:rFonts w:ascii="Times New Roman" w:hAnsi="Times New Roman" w:cs="Times New Roman"/>
          <w:b w:val="0"/>
          <w:bCs w:val="0"/>
          <w:i w:val="0"/>
          <w:iCs w:val="0"/>
          <w:szCs w:val="24"/>
        </w:rPr>
      </w:pPr>
      <w:r w:rsidRPr="004C3641">
        <w:t>Recommendation: </w:t>
      </w:r>
      <w:r w:rsidR="00F50DCA" w:rsidRPr="00F50DCA">
        <w:rPr>
          <w:rFonts w:ascii="Times New Roman" w:hAnsi="Times New Roman" w:cs="Times New Roman"/>
          <w:b w:val="0"/>
          <w:bCs w:val="0"/>
          <w:i w:val="0"/>
          <w:iCs w:val="0"/>
          <w:szCs w:val="24"/>
        </w:rPr>
        <w:t>The appropriate revised Phase II revenue increases are $7,55</w:t>
      </w:r>
      <w:r w:rsidR="00582443">
        <w:rPr>
          <w:rFonts w:ascii="Times New Roman" w:hAnsi="Times New Roman" w:cs="Times New Roman"/>
          <w:b w:val="0"/>
          <w:bCs w:val="0"/>
          <w:i w:val="0"/>
          <w:iCs w:val="0"/>
          <w:szCs w:val="24"/>
        </w:rPr>
        <w:t>0</w:t>
      </w:r>
      <w:r w:rsidR="00F50DCA" w:rsidRPr="00F50DCA">
        <w:rPr>
          <w:rFonts w:ascii="Times New Roman" w:hAnsi="Times New Roman" w:cs="Times New Roman"/>
          <w:b w:val="0"/>
          <w:bCs w:val="0"/>
          <w:i w:val="0"/>
          <w:iCs w:val="0"/>
          <w:szCs w:val="24"/>
        </w:rPr>
        <w:t xml:space="preserve"> for potable water, no increase for n</w:t>
      </w:r>
      <w:r w:rsidR="008A5AD9">
        <w:rPr>
          <w:rFonts w:ascii="Times New Roman" w:hAnsi="Times New Roman" w:cs="Times New Roman"/>
          <w:b w:val="0"/>
          <w:bCs w:val="0"/>
          <w:i w:val="0"/>
          <w:iCs w:val="0"/>
          <w:szCs w:val="24"/>
        </w:rPr>
        <w:t>on-potable water, and $965</w:t>
      </w:r>
      <w:r w:rsidR="00F50DCA" w:rsidRPr="00F50DCA">
        <w:rPr>
          <w:rFonts w:ascii="Times New Roman" w:hAnsi="Times New Roman" w:cs="Times New Roman"/>
          <w:b w:val="0"/>
          <w:bCs w:val="0"/>
          <w:i w:val="0"/>
          <w:iCs w:val="0"/>
          <w:szCs w:val="24"/>
        </w:rPr>
        <w:t xml:space="preserve"> for wastewater, which equate to increases of 4.77 percent for potable water and 0.54 percent for wastewater, over Phase I revenue requirements</w:t>
      </w:r>
      <w:r w:rsidR="00CB4C26" w:rsidRPr="00F50DCA">
        <w:rPr>
          <w:rFonts w:ascii="Times New Roman" w:hAnsi="Times New Roman" w:cs="Times New Roman"/>
          <w:b w:val="0"/>
          <w:bCs w:val="0"/>
          <w:i w:val="0"/>
          <w:iCs w:val="0"/>
          <w:szCs w:val="24"/>
        </w:rPr>
        <w:t>.</w:t>
      </w:r>
      <w:r w:rsidR="00CB4C26" w:rsidRPr="0007427D">
        <w:rPr>
          <w:rFonts w:ascii="Times New Roman" w:hAnsi="Times New Roman" w:cs="Times New Roman"/>
          <w:b w:val="0"/>
          <w:bCs w:val="0"/>
          <w:i w:val="0"/>
          <w:iCs w:val="0"/>
          <w:szCs w:val="24"/>
        </w:rPr>
        <w:t xml:space="preserve"> </w:t>
      </w:r>
      <w:r w:rsidR="0007427D" w:rsidRPr="0007427D">
        <w:rPr>
          <w:rFonts w:ascii="Times New Roman" w:hAnsi="Times New Roman" w:cs="Times New Roman"/>
          <w:b w:val="0"/>
          <w:i w:val="0"/>
        </w:rPr>
        <w:t>Phase II rate base is shown on Schedule Nos. 1-A through 1-D. The operating income for Phase II is shown on Schedule Nos. 2-A through 2-D.</w:t>
      </w:r>
      <w:r w:rsidR="0007427D" w:rsidRPr="0007427D">
        <w:rPr>
          <w:rFonts w:ascii="Times New Roman" w:hAnsi="Times New Roman" w:cs="Times New Roman"/>
          <w:b w:val="0"/>
          <w:bCs w:val="0"/>
          <w:i w:val="0"/>
          <w:iCs w:val="0"/>
          <w:szCs w:val="24"/>
        </w:rPr>
        <w:t xml:space="preserve"> </w:t>
      </w:r>
      <w:r w:rsidR="00CB4C26" w:rsidRPr="0007427D">
        <w:rPr>
          <w:rFonts w:ascii="Times New Roman" w:hAnsi="Times New Roman" w:cs="Times New Roman"/>
          <w:b w:val="0"/>
          <w:bCs w:val="0"/>
          <w:i w:val="0"/>
          <w:iCs w:val="0"/>
          <w:szCs w:val="24"/>
        </w:rPr>
        <w:t>(L</w:t>
      </w:r>
      <w:r w:rsidR="00CB4C26" w:rsidRPr="00F50DCA">
        <w:rPr>
          <w:rFonts w:ascii="Times New Roman" w:hAnsi="Times New Roman" w:cs="Times New Roman"/>
          <w:b w:val="0"/>
          <w:bCs w:val="0"/>
          <w:i w:val="0"/>
          <w:iCs w:val="0"/>
          <w:szCs w:val="24"/>
        </w:rPr>
        <w:t xml:space="preserve">ewis, </w:t>
      </w:r>
      <w:r w:rsidR="00BF4B7D">
        <w:rPr>
          <w:rFonts w:ascii="Times New Roman" w:hAnsi="Times New Roman" w:cs="Times New Roman"/>
          <w:b w:val="0"/>
          <w:bCs w:val="0"/>
          <w:i w:val="0"/>
          <w:iCs w:val="0"/>
          <w:szCs w:val="24"/>
        </w:rPr>
        <w:t xml:space="preserve">L. </w:t>
      </w:r>
      <w:r w:rsidR="00CB4C26" w:rsidRPr="00F50DCA">
        <w:rPr>
          <w:rFonts w:ascii="Times New Roman" w:hAnsi="Times New Roman" w:cs="Times New Roman"/>
          <w:b w:val="0"/>
          <w:bCs w:val="0"/>
          <w:i w:val="0"/>
          <w:iCs w:val="0"/>
          <w:szCs w:val="24"/>
        </w:rPr>
        <w:t>Smith)</w:t>
      </w:r>
    </w:p>
    <w:p w:rsidR="00A82038" w:rsidRPr="004C3641" w:rsidRDefault="00A82038">
      <w:pPr>
        <w:pStyle w:val="IssueSubsectionHeading"/>
        <w:rPr>
          <w:vanish/>
          <w:specVanish/>
        </w:rPr>
      </w:pPr>
      <w:r w:rsidRPr="004C3641">
        <w:t>Staff Analysis: </w:t>
      </w:r>
    </w:p>
    <w:p w:rsidR="00A82038" w:rsidRDefault="00A82038" w:rsidP="00363C88">
      <w:pPr>
        <w:pStyle w:val="BodyText"/>
        <w:spacing w:after="0"/>
      </w:pPr>
      <w:r>
        <w:t> </w:t>
      </w:r>
      <w:r w:rsidR="00377DD6">
        <w:t>By Order No. PSC-16-0583-PAA-WS</w:t>
      </w:r>
      <w:r w:rsidR="00377DD6" w:rsidRPr="00F35DD6">
        <w:t>, the Commis</w:t>
      </w:r>
      <w:r w:rsidR="00377DD6">
        <w:t>sion approved five</w:t>
      </w:r>
      <w:r w:rsidR="00377DD6" w:rsidRPr="00F35DD6">
        <w:t xml:space="preserve"> pro forma</w:t>
      </w:r>
      <w:r w:rsidR="00377DD6">
        <w:t xml:space="preserve"> </w:t>
      </w:r>
      <w:r w:rsidR="00C2605B">
        <w:t>item</w:t>
      </w:r>
      <w:r w:rsidR="00377DD6">
        <w:t xml:space="preserve">s in this docket. In </w:t>
      </w:r>
      <w:r w:rsidR="00BF4B7D">
        <w:t>the SARC</w:t>
      </w:r>
      <w:r w:rsidR="00377DD6">
        <w:t xml:space="preserve"> Order</w:t>
      </w:r>
      <w:r w:rsidR="00E8462A">
        <w:t>,</w:t>
      </w:r>
      <w:r w:rsidR="00377DD6">
        <w:t xml:space="preserve"> the Commission approved </w:t>
      </w:r>
      <w:r w:rsidR="00377DD6" w:rsidRPr="00F35DD6">
        <w:t xml:space="preserve">Phase II rates conditioned upon </w:t>
      </w:r>
      <w:proofErr w:type="spellStart"/>
      <w:r w:rsidR="00377DD6" w:rsidRPr="00F35DD6">
        <w:t>Aquarina</w:t>
      </w:r>
      <w:r w:rsidR="00C2605B">
        <w:t>’s</w:t>
      </w:r>
      <w:proofErr w:type="spellEnd"/>
      <w:r w:rsidR="00C2605B">
        <w:t xml:space="preserve"> completion of the item</w:t>
      </w:r>
      <w:r w:rsidR="00377DD6">
        <w:t xml:space="preserve">s. </w:t>
      </w:r>
      <w:r w:rsidR="00FB4DF4">
        <w:t>T</w:t>
      </w:r>
      <w:r w:rsidR="00377DD6">
        <w:t>he Utility has provided documentation (invoices) demonstrati</w:t>
      </w:r>
      <w:r w:rsidR="00C2605B">
        <w:t>ng that four of the five item</w:t>
      </w:r>
      <w:r w:rsidR="00377DD6">
        <w:t xml:space="preserve">s have been completed. </w:t>
      </w:r>
      <w:r w:rsidR="00C2605B" w:rsidRPr="00DE15F2">
        <w:t>For comparison purposes</w:t>
      </w:r>
      <w:r w:rsidR="00C2605B">
        <w:t>, staff provides a summary of the costs approved in the SARC Order and the costs being recommended</w:t>
      </w:r>
      <w:r w:rsidR="00D230FE">
        <w:t xml:space="preserve"> in Table 1-1</w:t>
      </w:r>
      <w:r w:rsidR="00C2605B">
        <w:t xml:space="preserve">. </w:t>
      </w:r>
      <w:r w:rsidR="00377DD6">
        <w:t xml:space="preserve"> </w:t>
      </w:r>
    </w:p>
    <w:p w:rsidR="00E566C2" w:rsidRDefault="00E566C2" w:rsidP="00363C88">
      <w:pPr>
        <w:pStyle w:val="BodyText"/>
        <w:spacing w:after="0"/>
      </w:pPr>
    </w:p>
    <w:p w:rsidR="009B215B" w:rsidRDefault="00296A81" w:rsidP="00363C88">
      <w:pPr>
        <w:pStyle w:val="Caption"/>
        <w:keepNext/>
        <w:spacing w:before="0" w:after="0"/>
        <w:jc w:val="center"/>
        <w:rPr>
          <w:rFonts w:ascii="Arial" w:hAnsi="Arial" w:cs="Arial"/>
          <w:color w:val="000000" w:themeColor="text1"/>
          <w:sz w:val="24"/>
          <w:szCs w:val="24"/>
        </w:rPr>
      </w:pPr>
      <w:r w:rsidRPr="005C50F5">
        <w:rPr>
          <w:rFonts w:ascii="Arial" w:hAnsi="Arial" w:cs="Arial"/>
          <w:color w:val="000000" w:themeColor="text1"/>
          <w:sz w:val="24"/>
          <w:szCs w:val="24"/>
        </w:rPr>
        <w:t>Table 1</w:t>
      </w:r>
      <w:r w:rsidR="00BA639E" w:rsidRPr="005C50F5">
        <w:rPr>
          <w:rFonts w:ascii="Arial" w:hAnsi="Arial" w:cs="Arial"/>
          <w:color w:val="000000" w:themeColor="text1"/>
          <w:sz w:val="24"/>
          <w:szCs w:val="24"/>
        </w:rPr>
        <w:t>-1</w:t>
      </w:r>
      <w:r w:rsidR="00BA639E" w:rsidRPr="00C96FEC">
        <w:rPr>
          <w:rFonts w:ascii="Arial" w:hAnsi="Arial" w:cs="Arial"/>
          <w:color w:val="000000" w:themeColor="text1"/>
          <w:sz w:val="24"/>
          <w:szCs w:val="24"/>
        </w:rPr>
        <w:t xml:space="preserve"> </w:t>
      </w:r>
    </w:p>
    <w:p w:rsidR="00BA639E" w:rsidRPr="00C96FEC" w:rsidRDefault="00BA639E" w:rsidP="00363C88">
      <w:pPr>
        <w:pStyle w:val="Caption"/>
        <w:keepNext/>
        <w:spacing w:before="0" w:after="0"/>
        <w:jc w:val="center"/>
        <w:rPr>
          <w:rFonts w:ascii="Arial" w:hAnsi="Arial" w:cs="Arial"/>
          <w:color w:val="000000" w:themeColor="text1"/>
          <w:sz w:val="24"/>
          <w:szCs w:val="24"/>
        </w:rPr>
      </w:pPr>
      <w:r w:rsidRPr="00C96FEC">
        <w:rPr>
          <w:rFonts w:ascii="Arial" w:hAnsi="Arial" w:cs="Arial"/>
          <w:color w:val="000000" w:themeColor="text1"/>
          <w:sz w:val="24"/>
          <w:szCs w:val="24"/>
        </w:rPr>
        <w:t>Summary of Phase II Costs</w:t>
      </w:r>
    </w:p>
    <w:tbl>
      <w:tblPr>
        <w:tblW w:w="8089" w:type="dxa"/>
        <w:jc w:val="center"/>
        <w:tblLook w:val="04A0" w:firstRow="1" w:lastRow="0" w:firstColumn="1" w:lastColumn="0" w:noHBand="0" w:noVBand="1"/>
      </w:tblPr>
      <w:tblGrid>
        <w:gridCol w:w="2340"/>
        <w:gridCol w:w="1890"/>
        <w:gridCol w:w="1879"/>
        <w:gridCol w:w="1980"/>
      </w:tblGrid>
      <w:tr w:rsidR="00BA639E" w:rsidRPr="00DE15F2" w:rsidTr="00363C88">
        <w:trPr>
          <w:trHeight w:val="585"/>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jc w:val="center"/>
              <w:rPr>
                <w:bCs/>
                <w:color w:val="000000"/>
                <w:sz w:val="22"/>
                <w:szCs w:val="22"/>
              </w:rPr>
            </w:pPr>
            <w:r w:rsidRPr="00534D93">
              <w:rPr>
                <w:bCs/>
                <w:color w:val="000000"/>
                <w:sz w:val="22"/>
                <w:szCs w:val="22"/>
              </w:rPr>
              <w:t>Item</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BA639E" w:rsidRPr="00534D93" w:rsidRDefault="00BA639E" w:rsidP="00FA30AF">
            <w:pPr>
              <w:jc w:val="center"/>
              <w:rPr>
                <w:bCs/>
                <w:color w:val="000000"/>
                <w:sz w:val="22"/>
                <w:szCs w:val="22"/>
              </w:rPr>
            </w:pPr>
            <w:r w:rsidRPr="00534D93">
              <w:rPr>
                <w:bCs/>
                <w:color w:val="000000"/>
                <w:sz w:val="22"/>
                <w:szCs w:val="22"/>
              </w:rPr>
              <w:t>Approved</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rsidR="00BA639E" w:rsidRPr="00534D93" w:rsidRDefault="00BA639E" w:rsidP="00FA30AF">
            <w:pPr>
              <w:jc w:val="center"/>
              <w:rPr>
                <w:bCs/>
                <w:color w:val="000000"/>
                <w:sz w:val="22"/>
                <w:szCs w:val="22"/>
              </w:rPr>
            </w:pPr>
            <w:r w:rsidRPr="00534D93">
              <w:rPr>
                <w:bCs/>
                <w:color w:val="000000"/>
                <w:sz w:val="22"/>
                <w:szCs w:val="22"/>
              </w:rPr>
              <w:t>Recommended</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BA639E" w:rsidRPr="00534D93" w:rsidRDefault="00BA639E" w:rsidP="00FA30AF">
            <w:pPr>
              <w:jc w:val="center"/>
              <w:rPr>
                <w:bCs/>
                <w:color w:val="000000"/>
                <w:sz w:val="22"/>
                <w:szCs w:val="22"/>
              </w:rPr>
            </w:pPr>
            <w:r w:rsidRPr="00534D93">
              <w:rPr>
                <w:bCs/>
                <w:color w:val="000000"/>
                <w:sz w:val="22"/>
                <w:szCs w:val="22"/>
              </w:rPr>
              <w:t>Difference</w:t>
            </w:r>
          </w:p>
        </w:tc>
      </w:tr>
      <w:tr w:rsidR="00BA639E"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rPr>
                <w:color w:val="000000"/>
                <w:sz w:val="22"/>
                <w:szCs w:val="22"/>
              </w:rPr>
            </w:pPr>
            <w:r w:rsidRPr="00534D93">
              <w:rPr>
                <w:color w:val="000000"/>
                <w:sz w:val="22"/>
                <w:szCs w:val="22"/>
              </w:rPr>
              <w:t xml:space="preserve">R/O Skid* </w:t>
            </w:r>
          </w:p>
        </w:tc>
        <w:tc>
          <w:tcPr>
            <w:tcW w:w="1890" w:type="dxa"/>
            <w:tcBorders>
              <w:top w:val="nil"/>
              <w:left w:val="nil"/>
              <w:bottom w:val="single" w:sz="8" w:space="0" w:color="auto"/>
              <w:right w:val="single" w:sz="8" w:space="0" w:color="auto"/>
            </w:tcBorders>
            <w:shd w:val="clear" w:color="auto" w:fill="auto"/>
            <w:vAlign w:val="center"/>
            <w:hideMark/>
          </w:tcPr>
          <w:p w:rsidR="00BA639E" w:rsidRPr="00534D93" w:rsidRDefault="00E8462A" w:rsidP="00363C88">
            <w:pPr>
              <w:jc w:val="right"/>
              <w:rPr>
                <w:color w:val="000000"/>
                <w:sz w:val="22"/>
                <w:szCs w:val="22"/>
              </w:rPr>
            </w:pPr>
            <w:r>
              <w:rPr>
                <w:color w:val="000000"/>
                <w:sz w:val="22"/>
                <w:szCs w:val="22"/>
              </w:rPr>
              <w:t>$</w:t>
            </w:r>
            <w:r w:rsidR="00BA639E" w:rsidRPr="00534D93">
              <w:rPr>
                <w:color w:val="000000"/>
                <w:sz w:val="22"/>
                <w:szCs w:val="22"/>
              </w:rPr>
              <w:t>52,232</w:t>
            </w:r>
          </w:p>
        </w:tc>
        <w:tc>
          <w:tcPr>
            <w:tcW w:w="1879" w:type="dxa"/>
            <w:tcBorders>
              <w:top w:val="nil"/>
              <w:left w:val="nil"/>
              <w:bottom w:val="single" w:sz="8" w:space="0" w:color="auto"/>
              <w:right w:val="single" w:sz="8" w:space="0" w:color="auto"/>
            </w:tcBorders>
            <w:shd w:val="clear" w:color="auto" w:fill="auto"/>
            <w:vAlign w:val="center"/>
            <w:hideMark/>
          </w:tcPr>
          <w:p w:rsidR="00BA639E" w:rsidRPr="00534D93" w:rsidRDefault="00E8462A" w:rsidP="00363C88">
            <w:pPr>
              <w:jc w:val="right"/>
              <w:rPr>
                <w:color w:val="000000"/>
                <w:sz w:val="22"/>
                <w:szCs w:val="22"/>
              </w:rPr>
            </w:pPr>
            <w:r>
              <w:rPr>
                <w:color w:val="000000"/>
                <w:sz w:val="22"/>
                <w:szCs w:val="22"/>
              </w:rPr>
              <w:t>$</w:t>
            </w:r>
            <w:r w:rsidR="00BA639E" w:rsidRPr="00534D93">
              <w:rPr>
                <w:color w:val="000000"/>
                <w:sz w:val="22"/>
                <w:szCs w:val="22"/>
              </w:rPr>
              <w:t>49,602</w:t>
            </w:r>
          </w:p>
        </w:tc>
        <w:tc>
          <w:tcPr>
            <w:tcW w:w="1980"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w:t>
            </w:r>
            <w:r w:rsidR="00E8462A">
              <w:rPr>
                <w:color w:val="000000"/>
                <w:sz w:val="22"/>
                <w:szCs w:val="22"/>
              </w:rPr>
              <w:t>$</w:t>
            </w:r>
            <w:r w:rsidRPr="00534D93">
              <w:rPr>
                <w:color w:val="000000"/>
                <w:sz w:val="22"/>
                <w:szCs w:val="22"/>
              </w:rPr>
              <w:t>2,630)</w:t>
            </w:r>
          </w:p>
        </w:tc>
      </w:tr>
      <w:tr w:rsidR="000D51FF"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D51FF" w:rsidRPr="00534D93" w:rsidRDefault="000D51FF" w:rsidP="009D7F8C">
            <w:pPr>
              <w:rPr>
                <w:color w:val="000000"/>
                <w:sz w:val="22"/>
                <w:szCs w:val="22"/>
              </w:rPr>
            </w:pPr>
            <w:r w:rsidRPr="00534D93">
              <w:rPr>
                <w:color w:val="000000"/>
                <w:sz w:val="22"/>
                <w:szCs w:val="22"/>
              </w:rPr>
              <w:t>WWTP Blower**</w:t>
            </w:r>
          </w:p>
        </w:tc>
        <w:tc>
          <w:tcPr>
            <w:tcW w:w="1890" w:type="dxa"/>
            <w:tcBorders>
              <w:top w:val="nil"/>
              <w:left w:val="nil"/>
              <w:bottom w:val="single" w:sz="8" w:space="0" w:color="auto"/>
              <w:right w:val="single" w:sz="8" w:space="0" w:color="auto"/>
            </w:tcBorders>
            <w:shd w:val="clear" w:color="auto" w:fill="auto"/>
            <w:vAlign w:val="center"/>
          </w:tcPr>
          <w:p w:rsidR="000D51FF" w:rsidRPr="00534D93" w:rsidRDefault="000D51FF" w:rsidP="009D7F8C">
            <w:pPr>
              <w:jc w:val="right"/>
              <w:rPr>
                <w:color w:val="000000"/>
                <w:sz w:val="22"/>
                <w:szCs w:val="22"/>
              </w:rPr>
            </w:pPr>
            <w:r w:rsidRPr="00534D93">
              <w:rPr>
                <w:color w:val="000000"/>
                <w:sz w:val="22"/>
                <w:szCs w:val="22"/>
              </w:rPr>
              <w:t>28,716</w:t>
            </w:r>
          </w:p>
        </w:tc>
        <w:tc>
          <w:tcPr>
            <w:tcW w:w="1879" w:type="dxa"/>
            <w:tcBorders>
              <w:top w:val="nil"/>
              <w:left w:val="nil"/>
              <w:bottom w:val="single" w:sz="8" w:space="0" w:color="auto"/>
              <w:right w:val="single" w:sz="8" w:space="0" w:color="auto"/>
            </w:tcBorders>
            <w:shd w:val="clear" w:color="auto" w:fill="auto"/>
            <w:vAlign w:val="center"/>
          </w:tcPr>
          <w:p w:rsidR="000D51FF" w:rsidRPr="00534D93" w:rsidRDefault="000D51FF" w:rsidP="009D7F8C">
            <w:pPr>
              <w:jc w:val="right"/>
              <w:rPr>
                <w:color w:val="000000"/>
                <w:sz w:val="22"/>
                <w:szCs w:val="22"/>
              </w:rPr>
            </w:pPr>
            <w:r w:rsidRPr="00534D93">
              <w:rPr>
                <w:color w:val="000000"/>
                <w:sz w:val="22"/>
                <w:szCs w:val="22"/>
              </w:rPr>
              <w:t>24,569</w:t>
            </w:r>
          </w:p>
        </w:tc>
        <w:tc>
          <w:tcPr>
            <w:tcW w:w="1980" w:type="dxa"/>
            <w:tcBorders>
              <w:top w:val="nil"/>
              <w:left w:val="nil"/>
              <w:bottom w:val="single" w:sz="8" w:space="0" w:color="auto"/>
              <w:right w:val="single" w:sz="8" w:space="0" w:color="auto"/>
            </w:tcBorders>
            <w:shd w:val="clear" w:color="auto" w:fill="auto"/>
            <w:vAlign w:val="center"/>
          </w:tcPr>
          <w:p w:rsidR="000D51FF" w:rsidRPr="00534D93" w:rsidRDefault="000D51FF" w:rsidP="00F91C25">
            <w:pPr>
              <w:jc w:val="right"/>
              <w:rPr>
                <w:color w:val="000000"/>
                <w:sz w:val="22"/>
                <w:szCs w:val="22"/>
              </w:rPr>
            </w:pPr>
            <w:r w:rsidRPr="00534D93">
              <w:rPr>
                <w:color w:val="000000"/>
                <w:sz w:val="22"/>
                <w:szCs w:val="22"/>
              </w:rPr>
              <w:t>(4,147)</w:t>
            </w:r>
          </w:p>
        </w:tc>
      </w:tr>
      <w:tr w:rsidR="00BA639E"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rPr>
                <w:color w:val="000000"/>
                <w:sz w:val="22"/>
                <w:szCs w:val="22"/>
              </w:rPr>
            </w:pPr>
            <w:r w:rsidRPr="00534D93">
              <w:rPr>
                <w:color w:val="000000"/>
                <w:sz w:val="22"/>
                <w:szCs w:val="22"/>
              </w:rPr>
              <w:t>Catwalks**</w:t>
            </w:r>
          </w:p>
        </w:tc>
        <w:tc>
          <w:tcPr>
            <w:tcW w:w="1890"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9,703</w:t>
            </w:r>
          </w:p>
        </w:tc>
        <w:tc>
          <w:tcPr>
            <w:tcW w:w="1879"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20,954</w:t>
            </w:r>
          </w:p>
        </w:tc>
        <w:tc>
          <w:tcPr>
            <w:tcW w:w="1980"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 xml:space="preserve">11,251 </w:t>
            </w:r>
          </w:p>
        </w:tc>
      </w:tr>
      <w:tr w:rsidR="00BA639E"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rPr>
                <w:color w:val="000000"/>
                <w:sz w:val="22"/>
                <w:szCs w:val="22"/>
              </w:rPr>
            </w:pPr>
            <w:r w:rsidRPr="00534D93">
              <w:rPr>
                <w:color w:val="000000"/>
                <w:sz w:val="22"/>
                <w:szCs w:val="22"/>
              </w:rPr>
              <w:t>Sand Filter Blowers**</w:t>
            </w:r>
          </w:p>
        </w:tc>
        <w:tc>
          <w:tcPr>
            <w:tcW w:w="1890"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5,603</w:t>
            </w:r>
          </w:p>
        </w:tc>
        <w:tc>
          <w:tcPr>
            <w:tcW w:w="1879" w:type="dxa"/>
            <w:tcBorders>
              <w:top w:val="nil"/>
              <w:left w:val="nil"/>
              <w:bottom w:val="single" w:sz="8" w:space="0" w:color="auto"/>
              <w:right w:val="single" w:sz="8" w:space="0" w:color="auto"/>
            </w:tcBorders>
            <w:shd w:val="clear" w:color="auto" w:fill="auto"/>
            <w:vAlign w:val="center"/>
            <w:hideMark/>
          </w:tcPr>
          <w:p w:rsidR="00BA639E" w:rsidRPr="00534D93" w:rsidRDefault="00BA639E" w:rsidP="00363C88">
            <w:pPr>
              <w:jc w:val="right"/>
              <w:rPr>
                <w:color w:val="000000"/>
                <w:sz w:val="22"/>
                <w:szCs w:val="22"/>
              </w:rPr>
            </w:pPr>
            <w:r w:rsidRPr="00534D93">
              <w:rPr>
                <w:color w:val="000000"/>
                <w:sz w:val="22"/>
                <w:szCs w:val="22"/>
              </w:rPr>
              <w:t>7,502</w:t>
            </w:r>
          </w:p>
        </w:tc>
        <w:tc>
          <w:tcPr>
            <w:tcW w:w="1980" w:type="dxa"/>
            <w:tcBorders>
              <w:top w:val="nil"/>
              <w:left w:val="nil"/>
              <w:bottom w:val="single" w:sz="8" w:space="0" w:color="auto"/>
              <w:right w:val="single" w:sz="8" w:space="0" w:color="auto"/>
            </w:tcBorders>
            <w:shd w:val="clear" w:color="auto" w:fill="auto"/>
            <w:vAlign w:val="center"/>
            <w:hideMark/>
          </w:tcPr>
          <w:p w:rsidR="00BA639E" w:rsidRPr="00534D93" w:rsidRDefault="00E8462A" w:rsidP="00F91C25">
            <w:pPr>
              <w:jc w:val="right"/>
              <w:rPr>
                <w:color w:val="000000"/>
                <w:sz w:val="22"/>
                <w:szCs w:val="22"/>
              </w:rPr>
            </w:pPr>
            <w:r>
              <w:rPr>
                <w:color w:val="000000"/>
                <w:sz w:val="22"/>
                <w:szCs w:val="22"/>
              </w:rPr>
              <w:t>$</w:t>
            </w:r>
            <w:r w:rsidR="00BA639E" w:rsidRPr="00534D93">
              <w:rPr>
                <w:color w:val="000000"/>
                <w:sz w:val="22"/>
                <w:szCs w:val="22"/>
              </w:rPr>
              <w:t xml:space="preserve">,899 </w:t>
            </w:r>
          </w:p>
        </w:tc>
      </w:tr>
      <w:tr w:rsidR="00BA639E"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rPr>
                <w:color w:val="000000"/>
                <w:sz w:val="22"/>
                <w:szCs w:val="22"/>
              </w:rPr>
            </w:pPr>
            <w:r w:rsidRPr="00534D93">
              <w:rPr>
                <w:color w:val="000000"/>
                <w:sz w:val="22"/>
                <w:szCs w:val="22"/>
              </w:rPr>
              <w:t>GIS Mapping***</w:t>
            </w:r>
          </w:p>
        </w:tc>
        <w:tc>
          <w:tcPr>
            <w:tcW w:w="1890" w:type="dxa"/>
            <w:tcBorders>
              <w:top w:val="nil"/>
              <w:left w:val="nil"/>
              <w:bottom w:val="single" w:sz="8" w:space="0" w:color="auto"/>
              <w:right w:val="single" w:sz="8" w:space="0" w:color="auto"/>
            </w:tcBorders>
            <w:shd w:val="clear" w:color="auto" w:fill="auto"/>
            <w:vAlign w:val="center"/>
            <w:hideMark/>
          </w:tcPr>
          <w:p w:rsidR="00BA639E" w:rsidRPr="00BF4B7D" w:rsidRDefault="00BA639E" w:rsidP="00363C88">
            <w:pPr>
              <w:jc w:val="right"/>
              <w:rPr>
                <w:color w:val="000000"/>
                <w:sz w:val="22"/>
                <w:szCs w:val="22"/>
                <w:u w:val="single"/>
              </w:rPr>
            </w:pPr>
            <w:r w:rsidRPr="00BF4B7D">
              <w:rPr>
                <w:color w:val="000000"/>
                <w:sz w:val="22"/>
                <w:szCs w:val="22"/>
                <w:u w:val="single"/>
              </w:rPr>
              <w:t>76,768</w:t>
            </w:r>
          </w:p>
        </w:tc>
        <w:tc>
          <w:tcPr>
            <w:tcW w:w="1879" w:type="dxa"/>
            <w:tcBorders>
              <w:top w:val="nil"/>
              <w:left w:val="nil"/>
              <w:bottom w:val="single" w:sz="8" w:space="0" w:color="auto"/>
              <w:right w:val="single" w:sz="8" w:space="0" w:color="auto"/>
            </w:tcBorders>
            <w:shd w:val="clear" w:color="auto" w:fill="auto"/>
            <w:vAlign w:val="center"/>
            <w:hideMark/>
          </w:tcPr>
          <w:p w:rsidR="00BA639E" w:rsidRPr="00BF4B7D" w:rsidRDefault="00BA639E" w:rsidP="00363C88">
            <w:pPr>
              <w:jc w:val="right"/>
              <w:rPr>
                <w:color w:val="000000"/>
                <w:sz w:val="22"/>
                <w:szCs w:val="22"/>
                <w:u w:val="single"/>
              </w:rPr>
            </w:pPr>
            <w:r w:rsidRPr="00BF4B7D">
              <w:rPr>
                <w:color w:val="000000"/>
                <w:sz w:val="22"/>
                <w:szCs w:val="22"/>
                <w:u w:val="single"/>
              </w:rPr>
              <w:t>0</w:t>
            </w:r>
          </w:p>
        </w:tc>
        <w:tc>
          <w:tcPr>
            <w:tcW w:w="1980" w:type="dxa"/>
            <w:tcBorders>
              <w:top w:val="nil"/>
              <w:left w:val="nil"/>
              <w:bottom w:val="single" w:sz="8" w:space="0" w:color="auto"/>
              <w:right w:val="single" w:sz="8" w:space="0" w:color="auto"/>
            </w:tcBorders>
            <w:shd w:val="clear" w:color="auto" w:fill="auto"/>
            <w:vAlign w:val="center"/>
            <w:hideMark/>
          </w:tcPr>
          <w:p w:rsidR="00BA639E" w:rsidRPr="00BF4B7D" w:rsidRDefault="00BA639E" w:rsidP="00363C88">
            <w:pPr>
              <w:jc w:val="right"/>
              <w:rPr>
                <w:color w:val="000000"/>
                <w:sz w:val="22"/>
                <w:szCs w:val="22"/>
                <w:u w:val="single"/>
              </w:rPr>
            </w:pPr>
            <w:r w:rsidRPr="00BF4B7D">
              <w:rPr>
                <w:color w:val="000000"/>
                <w:sz w:val="22"/>
                <w:szCs w:val="22"/>
                <w:u w:val="single"/>
              </w:rPr>
              <w:t>(76,768)</w:t>
            </w:r>
          </w:p>
        </w:tc>
      </w:tr>
      <w:tr w:rsidR="00BA639E" w:rsidRPr="00DE15F2" w:rsidTr="00363C88">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BA639E" w:rsidRPr="00534D93" w:rsidRDefault="00BA639E" w:rsidP="00FA30AF">
            <w:pPr>
              <w:rPr>
                <w:bCs/>
                <w:color w:val="000000"/>
                <w:sz w:val="22"/>
                <w:szCs w:val="22"/>
              </w:rPr>
            </w:pPr>
            <w:r w:rsidRPr="00534D93">
              <w:rPr>
                <w:bCs/>
                <w:color w:val="000000"/>
                <w:sz w:val="22"/>
                <w:szCs w:val="22"/>
              </w:rPr>
              <w:t>Total</w:t>
            </w:r>
          </w:p>
        </w:tc>
        <w:tc>
          <w:tcPr>
            <w:tcW w:w="1890" w:type="dxa"/>
            <w:tcBorders>
              <w:top w:val="nil"/>
              <w:left w:val="nil"/>
              <w:bottom w:val="single" w:sz="8" w:space="0" w:color="auto"/>
              <w:right w:val="single" w:sz="8" w:space="0" w:color="auto"/>
            </w:tcBorders>
            <w:shd w:val="clear" w:color="auto" w:fill="auto"/>
            <w:vAlign w:val="center"/>
            <w:hideMark/>
          </w:tcPr>
          <w:p w:rsidR="00BA639E" w:rsidRPr="00BF4B7D" w:rsidRDefault="00E8462A" w:rsidP="00363C88">
            <w:pPr>
              <w:jc w:val="right"/>
              <w:rPr>
                <w:bCs/>
                <w:color w:val="000000"/>
                <w:sz w:val="22"/>
                <w:szCs w:val="22"/>
                <w:u w:val="double"/>
                <w14:textOutline w14:w="0" w14:cap="rnd" w14:cmpd="dbl" w14:algn="ctr">
                  <w14:noFill/>
                  <w14:prstDash w14:val="solid"/>
                  <w14:bevel/>
                </w14:textOutline>
              </w:rPr>
            </w:pPr>
            <w:r w:rsidRPr="00BF4B7D">
              <w:rPr>
                <w:color w:val="000000"/>
                <w:sz w:val="22"/>
                <w:szCs w:val="22"/>
                <w:u w:val="double"/>
                <w14:textOutline w14:w="0" w14:cap="rnd" w14:cmpd="dbl" w14:algn="ctr">
                  <w14:noFill/>
                  <w14:prstDash w14:val="solid"/>
                  <w14:bevel/>
                </w14:textOutline>
              </w:rPr>
              <w:t>$</w:t>
            </w:r>
            <w:r w:rsidR="00BA639E" w:rsidRPr="00BF4B7D">
              <w:rPr>
                <w:bCs/>
                <w:color w:val="000000"/>
                <w:sz w:val="22"/>
                <w:szCs w:val="22"/>
                <w:u w:val="double"/>
                <w14:textOutline w14:w="0" w14:cap="rnd" w14:cmpd="dbl" w14:algn="ctr">
                  <w14:noFill/>
                  <w14:prstDash w14:val="solid"/>
                  <w14:bevel/>
                </w14:textOutline>
              </w:rPr>
              <w:t>173,022</w:t>
            </w:r>
          </w:p>
        </w:tc>
        <w:tc>
          <w:tcPr>
            <w:tcW w:w="1879" w:type="dxa"/>
            <w:tcBorders>
              <w:top w:val="nil"/>
              <w:left w:val="nil"/>
              <w:bottom w:val="single" w:sz="8" w:space="0" w:color="auto"/>
              <w:right w:val="single" w:sz="8" w:space="0" w:color="auto"/>
            </w:tcBorders>
            <w:shd w:val="clear" w:color="auto" w:fill="auto"/>
            <w:vAlign w:val="center"/>
            <w:hideMark/>
          </w:tcPr>
          <w:p w:rsidR="00BA639E" w:rsidRPr="00BF4B7D" w:rsidRDefault="00E8462A" w:rsidP="00363C88">
            <w:pPr>
              <w:jc w:val="right"/>
              <w:rPr>
                <w:bCs/>
                <w:color w:val="000000"/>
                <w:sz w:val="22"/>
                <w:szCs w:val="22"/>
                <w:u w:val="double"/>
                <w14:textOutline w14:w="0" w14:cap="rnd" w14:cmpd="dbl" w14:algn="ctr">
                  <w14:noFill/>
                  <w14:prstDash w14:val="solid"/>
                  <w14:bevel/>
                </w14:textOutline>
              </w:rPr>
            </w:pPr>
            <w:r w:rsidRPr="00BF4B7D">
              <w:rPr>
                <w:color w:val="000000"/>
                <w:sz w:val="22"/>
                <w:szCs w:val="22"/>
                <w:u w:val="double"/>
                <w14:textOutline w14:w="0" w14:cap="rnd" w14:cmpd="dbl" w14:algn="ctr">
                  <w14:noFill/>
                  <w14:prstDash w14:val="solid"/>
                  <w14:bevel/>
                </w14:textOutline>
              </w:rPr>
              <w:t>$</w:t>
            </w:r>
            <w:r w:rsidR="00BA639E" w:rsidRPr="00BF4B7D">
              <w:rPr>
                <w:bCs/>
                <w:color w:val="000000"/>
                <w:sz w:val="22"/>
                <w:szCs w:val="22"/>
                <w:u w:val="double"/>
                <w14:textOutline w14:w="0" w14:cap="rnd" w14:cmpd="dbl" w14:algn="ctr">
                  <w14:noFill/>
                  <w14:prstDash w14:val="solid"/>
                  <w14:bevel/>
                </w14:textOutline>
              </w:rPr>
              <w:t>102,627</w:t>
            </w:r>
          </w:p>
        </w:tc>
        <w:tc>
          <w:tcPr>
            <w:tcW w:w="1980" w:type="dxa"/>
            <w:tcBorders>
              <w:top w:val="nil"/>
              <w:left w:val="nil"/>
              <w:bottom w:val="single" w:sz="8" w:space="0" w:color="auto"/>
              <w:right w:val="single" w:sz="8" w:space="0" w:color="auto"/>
            </w:tcBorders>
            <w:shd w:val="clear" w:color="auto" w:fill="auto"/>
            <w:vAlign w:val="center"/>
            <w:hideMark/>
          </w:tcPr>
          <w:p w:rsidR="00BA639E" w:rsidRPr="00BF4B7D" w:rsidRDefault="00BA639E" w:rsidP="00363C88">
            <w:pPr>
              <w:jc w:val="right"/>
              <w:rPr>
                <w:bCs/>
                <w:color w:val="000000"/>
                <w:sz w:val="22"/>
                <w:szCs w:val="22"/>
                <w:u w:val="double"/>
                <w14:textOutline w14:w="0" w14:cap="rnd" w14:cmpd="dbl" w14:algn="ctr">
                  <w14:noFill/>
                  <w14:prstDash w14:val="solid"/>
                  <w14:bevel/>
                </w14:textOutline>
              </w:rPr>
            </w:pPr>
            <w:r w:rsidRPr="00BF4B7D">
              <w:rPr>
                <w:bCs/>
                <w:color w:val="000000"/>
                <w:sz w:val="22"/>
                <w:szCs w:val="22"/>
                <w:u w:val="double"/>
                <w14:textOutline w14:w="0" w14:cap="rnd" w14:cmpd="dbl" w14:algn="ctr">
                  <w14:noFill/>
                  <w14:prstDash w14:val="solid"/>
                  <w14:bevel/>
                </w14:textOutline>
              </w:rPr>
              <w:t>(</w:t>
            </w:r>
            <w:r w:rsidR="00E8462A" w:rsidRPr="00BF4B7D">
              <w:rPr>
                <w:color w:val="000000"/>
                <w:sz w:val="22"/>
                <w:szCs w:val="22"/>
                <w:u w:val="double"/>
                <w14:textOutline w14:w="0" w14:cap="rnd" w14:cmpd="dbl" w14:algn="ctr">
                  <w14:noFill/>
                  <w14:prstDash w14:val="solid"/>
                  <w14:bevel/>
                </w14:textOutline>
              </w:rPr>
              <w:t>$</w:t>
            </w:r>
            <w:r w:rsidRPr="00BF4B7D">
              <w:rPr>
                <w:bCs/>
                <w:color w:val="000000"/>
                <w:sz w:val="22"/>
                <w:szCs w:val="22"/>
                <w:u w:val="double"/>
                <w14:textOutline w14:w="0" w14:cap="rnd" w14:cmpd="dbl" w14:algn="ctr">
                  <w14:noFill/>
                  <w14:prstDash w14:val="solid"/>
                  <w14:bevel/>
                </w14:textOutline>
              </w:rPr>
              <w:t>69,603)</w:t>
            </w:r>
          </w:p>
        </w:tc>
      </w:tr>
    </w:tbl>
    <w:p w:rsidR="00BA639E" w:rsidRPr="00A2210F" w:rsidRDefault="00BA639E" w:rsidP="00363C88">
      <w:pPr>
        <w:ind w:left="630"/>
        <w:rPr>
          <w:sz w:val="20"/>
          <w:szCs w:val="20"/>
        </w:rPr>
      </w:pPr>
      <w:r w:rsidRPr="00A2210F">
        <w:rPr>
          <w:sz w:val="20"/>
          <w:szCs w:val="20"/>
        </w:rPr>
        <w:t>*Potable Water Plant in Service</w:t>
      </w:r>
    </w:p>
    <w:p w:rsidR="00BA639E" w:rsidRPr="00A2210F" w:rsidRDefault="00BA639E" w:rsidP="00363C88">
      <w:pPr>
        <w:ind w:left="630"/>
        <w:rPr>
          <w:sz w:val="20"/>
          <w:szCs w:val="20"/>
        </w:rPr>
      </w:pPr>
      <w:r w:rsidRPr="00A2210F">
        <w:rPr>
          <w:sz w:val="20"/>
          <w:szCs w:val="20"/>
        </w:rPr>
        <w:t>**Wastewater Plant in Service</w:t>
      </w:r>
    </w:p>
    <w:p w:rsidR="00BA639E" w:rsidRDefault="00BA639E" w:rsidP="00363C88">
      <w:pPr>
        <w:ind w:left="630"/>
        <w:rPr>
          <w:sz w:val="20"/>
          <w:szCs w:val="20"/>
        </w:rPr>
      </w:pPr>
      <w:r w:rsidRPr="00A2210F">
        <w:rPr>
          <w:sz w:val="20"/>
          <w:szCs w:val="20"/>
        </w:rPr>
        <w:t>***Operation and Maintenance</w:t>
      </w:r>
    </w:p>
    <w:p w:rsidR="00E566C2" w:rsidRDefault="00E566C2" w:rsidP="00363C88">
      <w:pPr>
        <w:pStyle w:val="BodyText"/>
        <w:spacing w:after="0"/>
      </w:pPr>
    </w:p>
    <w:p w:rsidR="00BA639E" w:rsidRPr="003E574B" w:rsidRDefault="00BA639E" w:rsidP="00363C88">
      <w:pPr>
        <w:rPr>
          <w:rFonts w:ascii="Arial" w:hAnsi="Arial" w:cs="Arial"/>
          <w:b/>
        </w:rPr>
      </w:pPr>
      <w:r>
        <w:rPr>
          <w:rFonts w:ascii="Arial" w:hAnsi="Arial" w:cs="Arial"/>
          <w:b/>
        </w:rPr>
        <w:t>Phase II Documentation</w:t>
      </w:r>
    </w:p>
    <w:p w:rsidR="000D51FF" w:rsidRDefault="00BA639E" w:rsidP="00BA639E">
      <w:pPr>
        <w:pStyle w:val="BodyText"/>
        <w:rPr>
          <w:bCs/>
          <w:iCs/>
        </w:rPr>
      </w:pPr>
      <w:proofErr w:type="spellStart"/>
      <w:r>
        <w:t>Aquarina</w:t>
      </w:r>
      <w:proofErr w:type="spellEnd"/>
      <w:r>
        <w:t xml:space="preserve"> provided documentation for Phase II rates</w:t>
      </w:r>
      <w:r w:rsidR="000D51FF">
        <w:t xml:space="preserve"> on February, 1, 2019</w:t>
      </w:r>
      <w:r>
        <w:t xml:space="preserve">. </w:t>
      </w:r>
      <w:r w:rsidR="00AF011F">
        <w:t>Prior to providing its documentation, the</w:t>
      </w:r>
      <w:r w:rsidR="00733C09">
        <w:t xml:space="preserve"> Utility provided multiple updates regarding the </w:t>
      </w:r>
      <w:r w:rsidR="00AF011F">
        <w:t xml:space="preserve">status of its </w:t>
      </w:r>
      <w:r w:rsidR="00733C09">
        <w:t>pro forma items. S</w:t>
      </w:r>
      <w:r w:rsidR="000D51FF">
        <w:rPr>
          <w:bCs/>
          <w:iCs/>
        </w:rPr>
        <w:t>taff believes that the documentation provided by the Utility should be considered for establishing Phase II rates.</w:t>
      </w:r>
    </w:p>
    <w:p w:rsidR="00BA639E" w:rsidRDefault="000D51FF" w:rsidP="00BA639E">
      <w:pPr>
        <w:pStyle w:val="BodyText"/>
      </w:pPr>
      <w:r>
        <w:t>Based on the documentation t</w:t>
      </w:r>
      <w:r w:rsidR="00A77A84">
        <w:t>he</w:t>
      </w:r>
      <w:r w:rsidR="002458BE">
        <w:t xml:space="preserve"> actual costs</w:t>
      </w:r>
      <w:r w:rsidR="00A77A84">
        <w:t xml:space="preserve"> associated with the replacement of the R/O skid </w:t>
      </w:r>
      <w:r w:rsidR="005170B0">
        <w:t xml:space="preserve">and the WWTP blower </w:t>
      </w:r>
      <w:r w:rsidR="00A77A84">
        <w:t>were below the amount</w:t>
      </w:r>
      <w:r w:rsidR="002458BE">
        <w:t>s</w:t>
      </w:r>
      <w:r w:rsidR="00A77A84">
        <w:t xml:space="preserve"> approved</w:t>
      </w:r>
      <w:r w:rsidR="00A34CCE">
        <w:t xml:space="preserve"> by the Commission</w:t>
      </w:r>
      <w:r w:rsidR="00A77A84">
        <w:t xml:space="preserve">. </w:t>
      </w:r>
      <w:r w:rsidR="00BA639E">
        <w:t xml:space="preserve">Recognizing the increase of more than 100 percent in the cost to replace the catwalks, the Utility indicated that the original contractor could not perform the job and a new quote was obtained. </w:t>
      </w:r>
      <w:proofErr w:type="spellStart"/>
      <w:r w:rsidR="00BA639E">
        <w:t>Aquarina</w:t>
      </w:r>
      <w:proofErr w:type="spellEnd"/>
      <w:r w:rsidR="00BA639E">
        <w:t xml:space="preserve"> explained that when the plant fixtures and catwalks were evaluated it was determined the steel frames for the catwalks were not going to work</w:t>
      </w:r>
      <w:r w:rsidR="001F7C34">
        <w:t xml:space="preserve"> because </w:t>
      </w:r>
      <w:r w:rsidR="00BA639E">
        <w:t>the extent of deterioration was greater than originally understood.</w:t>
      </w:r>
    </w:p>
    <w:p w:rsidR="00F170A7" w:rsidRDefault="00F170A7" w:rsidP="00F170A7">
      <w:pPr>
        <w:pStyle w:val="BodyText"/>
      </w:pPr>
      <w:r>
        <w:lastRenderedPageBreak/>
        <w:t>Staff also notes that the cost of the sand filter blowers increased by more than 30 percent. Based on staff’s review of the original quote and the actual invoices provided by the Utility, the difference in cost appears to be related to the installation charges on the sand filter blowers which w</w:t>
      </w:r>
      <w:r w:rsidR="00C2605B">
        <w:t xml:space="preserve">ere </w:t>
      </w:r>
      <w:r>
        <w:t xml:space="preserve">not included in the originally approved amount. </w:t>
      </w:r>
    </w:p>
    <w:p w:rsidR="001F7C34" w:rsidRDefault="001F7C34" w:rsidP="001F7C34">
      <w:pPr>
        <w:pStyle w:val="BodyText"/>
      </w:pPr>
      <w:r>
        <w:t>Because the Utility did not have accurate and up to date plant maps for it</w:t>
      </w:r>
      <w:r w:rsidR="00E566C2">
        <w:t>s</w:t>
      </w:r>
      <w:r>
        <w:t xml:space="preserve"> distribution and collection systems, the Commission authorized $76,768 to obtain the services to create the maps. Aquarina provided an unsigned contract, dated September 1, 2018, with the Florida Rural Water Association (FRWA) to rent the necessary equipment to conduct the plant surveys at a cost of $792. As stated, </w:t>
      </w:r>
      <w:r w:rsidR="00C2605B">
        <w:t>the contract was</w:t>
      </w:r>
      <w:r>
        <w:t xml:space="preserve"> not signed by the FRWA</w:t>
      </w:r>
      <w:r w:rsidR="00C2605B">
        <w:t>, furthermore, t</w:t>
      </w:r>
      <w:r w:rsidR="001B6772">
        <w:t>he mapping has not been completed to date</w:t>
      </w:r>
      <w:r>
        <w:t>; therefore, staff does not believe the costs should be included in Phase II revenue requirements.</w:t>
      </w:r>
      <w:r w:rsidR="00F170A7">
        <w:t xml:space="preserve"> Based on the above, staff believes </w:t>
      </w:r>
      <w:proofErr w:type="spellStart"/>
      <w:r w:rsidR="00F170A7">
        <w:t>Aquarina</w:t>
      </w:r>
      <w:proofErr w:type="spellEnd"/>
      <w:r w:rsidR="00F170A7">
        <w:t xml:space="preserve"> has provided sufficient explanation and docu</w:t>
      </w:r>
      <w:r w:rsidR="000D51FF">
        <w:t xml:space="preserve">mentation to support a total amount of </w:t>
      </w:r>
      <w:r w:rsidR="00F170A7">
        <w:t>$102,627 in Phase II</w:t>
      </w:r>
      <w:r w:rsidR="000D51FF">
        <w:t xml:space="preserve"> items</w:t>
      </w:r>
      <w:r w:rsidR="00F170A7">
        <w:t>.</w:t>
      </w:r>
    </w:p>
    <w:p w:rsidR="00D23673" w:rsidRDefault="00D23673" w:rsidP="00C73395">
      <w:pPr>
        <w:pStyle w:val="BodyText"/>
        <w:spacing w:after="0"/>
      </w:pPr>
      <w:r>
        <w:t xml:space="preserve">In addition to providing documentation and invoices associated with the approved </w:t>
      </w:r>
      <w:r w:rsidR="00D33D1D">
        <w:t xml:space="preserve">Phase II </w:t>
      </w:r>
      <w:r>
        <w:t>pro forma</w:t>
      </w:r>
      <w:r w:rsidR="00775625">
        <w:t xml:space="preserve"> items</w:t>
      </w:r>
      <w:r>
        <w:t xml:space="preserve">, the Utility also provided invoices totaling $3,640 for maintenance and repair of its old R/O skid as well as a bid of $14,985 for the installation of a new control panel. The Utility indicated that the new control panel is needed to allow switching between the new R/O skid and the old R/O skid. </w:t>
      </w:r>
      <w:r w:rsidRPr="004C364D">
        <w:t xml:space="preserve">In the SARC Order, the Commission found replacement of the old R/O skid to be prudent based on </w:t>
      </w:r>
      <w:r w:rsidR="00250B86">
        <w:t xml:space="preserve">its </w:t>
      </w:r>
      <w:r w:rsidRPr="004C364D">
        <w:t xml:space="preserve">age and scarcity of </w:t>
      </w:r>
      <w:r w:rsidR="000D51FF">
        <w:t>replacement</w:t>
      </w:r>
      <w:r w:rsidRPr="004C364D">
        <w:t xml:space="preserve"> parts. Therefore,</w:t>
      </w:r>
      <w:r>
        <w:t xml:space="preserve"> </w:t>
      </w:r>
      <w:r w:rsidR="00686097">
        <w:t xml:space="preserve">the </w:t>
      </w:r>
      <w:r>
        <w:t>continued operation and maintenance of the old R/O skid was not contemplated by the Commission during the SARC. Staff does not believe that the costs associated with the old R/O skid should be included in Phase II revenue requirements as they were not contemplated in the SARC.</w:t>
      </w:r>
    </w:p>
    <w:p w:rsidR="00F07BA9" w:rsidRDefault="00F07BA9" w:rsidP="00C73395">
      <w:pPr>
        <w:pStyle w:val="BodyText"/>
        <w:spacing w:after="0"/>
      </w:pPr>
    </w:p>
    <w:p w:rsidR="00C73395" w:rsidRDefault="00F07BA9" w:rsidP="00C73395">
      <w:pPr>
        <w:pStyle w:val="BodyText"/>
        <w:spacing w:after="0"/>
      </w:pPr>
      <w:r w:rsidRPr="00D878F8">
        <w:t xml:space="preserve">As discussed </w:t>
      </w:r>
      <w:r>
        <w:t>above, staff has revised the Phase II pro forma amounts. These revi</w:t>
      </w:r>
      <w:r w:rsidR="00296A81">
        <w:t>sed amounts are shown in Table 1</w:t>
      </w:r>
      <w:r>
        <w:t>-2.</w:t>
      </w:r>
    </w:p>
    <w:p w:rsidR="00322344" w:rsidRDefault="00322344" w:rsidP="008145ED">
      <w:pPr>
        <w:pStyle w:val="BodyText"/>
        <w:spacing w:after="0"/>
      </w:pPr>
    </w:p>
    <w:p w:rsidR="008145ED" w:rsidRDefault="00296A81" w:rsidP="008145ED">
      <w:pPr>
        <w:pStyle w:val="BodyText"/>
        <w:spacing w:after="0"/>
        <w:jc w:val="center"/>
        <w:rPr>
          <w:rFonts w:ascii="Arial" w:hAnsi="Arial" w:cs="Arial"/>
          <w:b/>
          <w:color w:val="000000" w:themeColor="text1"/>
          <w:szCs w:val="22"/>
        </w:rPr>
      </w:pPr>
      <w:r w:rsidRPr="005C50F5">
        <w:rPr>
          <w:rFonts w:ascii="Arial" w:hAnsi="Arial" w:cs="Arial"/>
          <w:b/>
          <w:color w:val="000000" w:themeColor="text1"/>
          <w:szCs w:val="22"/>
        </w:rPr>
        <w:t>Table 1</w:t>
      </w:r>
      <w:r w:rsidR="00635484" w:rsidRPr="005C50F5">
        <w:rPr>
          <w:rFonts w:ascii="Arial" w:hAnsi="Arial" w:cs="Arial"/>
          <w:b/>
          <w:color w:val="000000" w:themeColor="text1"/>
          <w:szCs w:val="22"/>
        </w:rPr>
        <w:t>-2</w:t>
      </w:r>
    </w:p>
    <w:p w:rsidR="00037CF8" w:rsidRPr="0046592F" w:rsidRDefault="00037CF8" w:rsidP="008145ED">
      <w:pPr>
        <w:pStyle w:val="BodyText"/>
        <w:spacing w:after="0"/>
        <w:jc w:val="center"/>
        <w:rPr>
          <w:b/>
          <w:szCs w:val="22"/>
        </w:rPr>
      </w:pPr>
      <w:r>
        <w:rPr>
          <w:rFonts w:ascii="Arial" w:hAnsi="Arial" w:cs="Arial"/>
          <w:b/>
          <w:color w:val="000000" w:themeColor="text1"/>
          <w:szCs w:val="22"/>
        </w:rPr>
        <w:t>Revised Phase II Pro Forma Adjustments</w:t>
      </w:r>
    </w:p>
    <w:tbl>
      <w:tblPr>
        <w:tblW w:w="6100" w:type="dxa"/>
        <w:jc w:val="center"/>
        <w:tblLook w:val="04A0" w:firstRow="1" w:lastRow="0" w:firstColumn="1" w:lastColumn="0" w:noHBand="0" w:noVBand="1"/>
      </w:tblPr>
      <w:tblGrid>
        <w:gridCol w:w="2822"/>
        <w:gridCol w:w="1095"/>
        <w:gridCol w:w="1095"/>
        <w:gridCol w:w="1088"/>
      </w:tblGrid>
      <w:tr w:rsidR="00DC5FF4" w:rsidRPr="00037CF8" w:rsidTr="00DF1F6E">
        <w:trPr>
          <w:trHeight w:val="253"/>
          <w:jc w:val="center"/>
        </w:trPr>
        <w:tc>
          <w:tcPr>
            <w:tcW w:w="2822" w:type="dxa"/>
            <w:tcBorders>
              <w:top w:val="single" w:sz="4" w:space="0" w:color="auto"/>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w:t>
            </w:r>
          </w:p>
        </w:tc>
        <w:tc>
          <w:tcPr>
            <w:tcW w:w="1095" w:type="dxa"/>
            <w:tcBorders>
              <w:top w:val="single" w:sz="4" w:space="0" w:color="auto"/>
              <w:left w:val="nil"/>
              <w:bottom w:val="nil"/>
              <w:right w:val="nil"/>
            </w:tcBorders>
            <w:shd w:val="clear" w:color="auto" w:fill="auto"/>
            <w:noWrap/>
            <w:vAlign w:val="bottom"/>
            <w:hideMark/>
          </w:tcPr>
          <w:p w:rsidR="00DC5FF4" w:rsidRPr="00037CF8" w:rsidRDefault="00DC5FF4" w:rsidP="00FA30AF">
            <w:pPr>
              <w:jc w:val="center"/>
              <w:rPr>
                <w:sz w:val="22"/>
                <w:szCs w:val="22"/>
              </w:rPr>
            </w:pPr>
            <w:r w:rsidRPr="00037CF8">
              <w:rPr>
                <w:sz w:val="22"/>
                <w:szCs w:val="22"/>
              </w:rPr>
              <w:t> </w:t>
            </w:r>
          </w:p>
        </w:tc>
        <w:tc>
          <w:tcPr>
            <w:tcW w:w="1095" w:type="dxa"/>
            <w:tcBorders>
              <w:top w:val="single" w:sz="4" w:space="0" w:color="auto"/>
              <w:left w:val="nil"/>
              <w:bottom w:val="nil"/>
              <w:right w:val="nil"/>
            </w:tcBorders>
            <w:shd w:val="clear" w:color="auto" w:fill="auto"/>
            <w:noWrap/>
            <w:vAlign w:val="bottom"/>
            <w:hideMark/>
          </w:tcPr>
          <w:p w:rsidR="00DC5FF4" w:rsidRPr="00037CF8" w:rsidRDefault="00DC5FF4" w:rsidP="00FA30AF">
            <w:pPr>
              <w:jc w:val="center"/>
              <w:rPr>
                <w:sz w:val="22"/>
                <w:szCs w:val="22"/>
              </w:rPr>
            </w:pPr>
            <w:proofErr w:type="spellStart"/>
            <w:r w:rsidRPr="00037CF8">
              <w:rPr>
                <w:sz w:val="22"/>
                <w:szCs w:val="22"/>
              </w:rPr>
              <w:t>Accum</w:t>
            </w:r>
            <w:proofErr w:type="spellEnd"/>
          </w:p>
        </w:tc>
        <w:tc>
          <w:tcPr>
            <w:tcW w:w="1088" w:type="dxa"/>
            <w:tcBorders>
              <w:top w:val="single" w:sz="4" w:space="0" w:color="auto"/>
              <w:left w:val="nil"/>
              <w:bottom w:val="nil"/>
              <w:right w:val="single" w:sz="4" w:space="0" w:color="auto"/>
            </w:tcBorders>
            <w:shd w:val="clear" w:color="auto" w:fill="auto"/>
            <w:noWrap/>
            <w:vAlign w:val="bottom"/>
            <w:hideMark/>
          </w:tcPr>
          <w:p w:rsidR="00DC5FF4" w:rsidRPr="00037CF8" w:rsidRDefault="00DC5FF4" w:rsidP="00FA30AF">
            <w:pPr>
              <w:jc w:val="center"/>
              <w:rPr>
                <w:sz w:val="22"/>
                <w:szCs w:val="22"/>
              </w:rPr>
            </w:pPr>
            <w:proofErr w:type="spellStart"/>
            <w:r w:rsidRPr="00037CF8">
              <w:rPr>
                <w:sz w:val="22"/>
                <w:szCs w:val="22"/>
              </w:rPr>
              <w:t>Depr</w:t>
            </w:r>
            <w:proofErr w:type="spellEnd"/>
            <w:r w:rsidRPr="00037CF8">
              <w:rPr>
                <w:sz w:val="22"/>
                <w:szCs w:val="22"/>
              </w:rPr>
              <w:t>.</w:t>
            </w:r>
          </w:p>
        </w:tc>
      </w:tr>
      <w:tr w:rsidR="00DC5FF4" w:rsidRPr="00037CF8" w:rsidTr="00DF1F6E">
        <w:trPr>
          <w:trHeight w:val="253"/>
          <w:jc w:val="center"/>
        </w:trPr>
        <w:tc>
          <w:tcPr>
            <w:tcW w:w="2822" w:type="dxa"/>
            <w:tcBorders>
              <w:top w:val="nil"/>
              <w:left w:val="single" w:sz="4" w:space="0" w:color="auto"/>
              <w:bottom w:val="single" w:sz="4" w:space="0" w:color="auto"/>
              <w:right w:val="nil"/>
            </w:tcBorders>
            <w:shd w:val="clear" w:color="auto" w:fill="auto"/>
            <w:noWrap/>
            <w:vAlign w:val="bottom"/>
            <w:hideMark/>
          </w:tcPr>
          <w:p w:rsidR="00DC5FF4" w:rsidRPr="00037CF8" w:rsidRDefault="00DC5FF4" w:rsidP="00FA30AF">
            <w:pPr>
              <w:rPr>
                <w:sz w:val="22"/>
                <w:szCs w:val="22"/>
              </w:rPr>
            </w:pPr>
            <w:r w:rsidRPr="00037CF8">
              <w:rPr>
                <w:sz w:val="22"/>
                <w:szCs w:val="22"/>
              </w:rPr>
              <w:t>Description</w:t>
            </w:r>
          </w:p>
        </w:tc>
        <w:tc>
          <w:tcPr>
            <w:tcW w:w="1095" w:type="dxa"/>
            <w:tcBorders>
              <w:top w:val="nil"/>
              <w:left w:val="nil"/>
              <w:bottom w:val="single" w:sz="4" w:space="0" w:color="auto"/>
              <w:right w:val="nil"/>
            </w:tcBorders>
            <w:shd w:val="clear" w:color="auto" w:fill="auto"/>
            <w:noWrap/>
            <w:vAlign w:val="bottom"/>
            <w:hideMark/>
          </w:tcPr>
          <w:p w:rsidR="00DC5FF4" w:rsidRPr="00037CF8" w:rsidRDefault="00DC5FF4" w:rsidP="00FA30AF">
            <w:pPr>
              <w:jc w:val="center"/>
              <w:rPr>
                <w:sz w:val="22"/>
                <w:szCs w:val="22"/>
              </w:rPr>
            </w:pPr>
            <w:r w:rsidRPr="00037CF8">
              <w:rPr>
                <w:sz w:val="22"/>
                <w:szCs w:val="22"/>
              </w:rPr>
              <w:t>UPIS</w:t>
            </w:r>
          </w:p>
        </w:tc>
        <w:tc>
          <w:tcPr>
            <w:tcW w:w="1095" w:type="dxa"/>
            <w:tcBorders>
              <w:top w:val="nil"/>
              <w:left w:val="nil"/>
              <w:bottom w:val="single" w:sz="4" w:space="0" w:color="auto"/>
              <w:right w:val="nil"/>
            </w:tcBorders>
            <w:shd w:val="clear" w:color="auto" w:fill="auto"/>
            <w:noWrap/>
            <w:vAlign w:val="bottom"/>
            <w:hideMark/>
          </w:tcPr>
          <w:p w:rsidR="00DC5FF4" w:rsidRPr="00037CF8" w:rsidRDefault="00DC5FF4" w:rsidP="00FA30AF">
            <w:pPr>
              <w:jc w:val="center"/>
              <w:rPr>
                <w:sz w:val="22"/>
                <w:szCs w:val="22"/>
              </w:rPr>
            </w:pPr>
            <w:proofErr w:type="spellStart"/>
            <w:r w:rsidRPr="00037CF8">
              <w:rPr>
                <w:sz w:val="22"/>
                <w:szCs w:val="22"/>
              </w:rPr>
              <w:t>Depr</w:t>
            </w:r>
            <w:proofErr w:type="spellEnd"/>
            <w:r w:rsidRPr="00037CF8">
              <w:rPr>
                <w:sz w:val="22"/>
                <w:szCs w:val="22"/>
              </w:rPr>
              <w:t>.</w:t>
            </w:r>
          </w:p>
        </w:tc>
        <w:tc>
          <w:tcPr>
            <w:tcW w:w="1088" w:type="dxa"/>
            <w:tcBorders>
              <w:top w:val="nil"/>
              <w:left w:val="nil"/>
              <w:bottom w:val="single" w:sz="4" w:space="0" w:color="auto"/>
              <w:right w:val="single" w:sz="4" w:space="0" w:color="auto"/>
            </w:tcBorders>
            <w:shd w:val="clear" w:color="auto" w:fill="auto"/>
            <w:noWrap/>
            <w:vAlign w:val="bottom"/>
            <w:hideMark/>
          </w:tcPr>
          <w:p w:rsidR="00DC5FF4" w:rsidRPr="00037CF8" w:rsidRDefault="00DC5FF4" w:rsidP="00FA30AF">
            <w:pPr>
              <w:jc w:val="center"/>
              <w:rPr>
                <w:sz w:val="22"/>
                <w:szCs w:val="22"/>
              </w:rPr>
            </w:pPr>
            <w:r w:rsidRPr="00037CF8">
              <w:rPr>
                <w:sz w:val="22"/>
                <w:szCs w:val="22"/>
              </w:rPr>
              <w:t>Expense</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u w:val="single"/>
              </w:rPr>
            </w:pPr>
            <w:r w:rsidRPr="00037CF8">
              <w:rPr>
                <w:sz w:val="22"/>
                <w:szCs w:val="22"/>
                <w:u w:val="single"/>
              </w:rPr>
              <w:t>Potable Water</w:t>
            </w:r>
          </w:p>
        </w:tc>
        <w:tc>
          <w:tcPr>
            <w:tcW w:w="1095" w:type="dxa"/>
            <w:tcBorders>
              <w:top w:val="nil"/>
              <w:left w:val="nil"/>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w:t>
            </w:r>
          </w:p>
        </w:tc>
        <w:tc>
          <w:tcPr>
            <w:tcW w:w="1095" w:type="dxa"/>
            <w:tcBorders>
              <w:top w:val="nil"/>
              <w:left w:val="nil"/>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FA30AF">
            <w:pPr>
              <w:rPr>
                <w:sz w:val="22"/>
                <w:szCs w:val="22"/>
              </w:rPr>
            </w:pPr>
            <w:r w:rsidRPr="00037CF8">
              <w:rPr>
                <w:sz w:val="22"/>
                <w:szCs w:val="22"/>
              </w:rPr>
              <w:t>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Reverse Osmosis Skid</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$49,602 </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($2,255)</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$2,255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Retirement</w:t>
            </w:r>
          </w:p>
        </w:tc>
        <w:tc>
          <w:tcPr>
            <w:tcW w:w="1095" w:type="dxa"/>
            <w:tcBorders>
              <w:top w:val="nil"/>
              <w:left w:val="nil"/>
              <w:bottom w:val="nil"/>
              <w:right w:val="nil"/>
            </w:tcBorders>
            <w:shd w:val="clear" w:color="auto" w:fill="auto"/>
            <w:noWrap/>
            <w:vAlign w:val="bottom"/>
            <w:hideMark/>
          </w:tcPr>
          <w:p w:rsidR="00DC5FF4" w:rsidRPr="00037CF8" w:rsidRDefault="00DC5FF4" w:rsidP="00F91C25">
            <w:pPr>
              <w:jc w:val="right"/>
              <w:rPr>
                <w:sz w:val="22"/>
                <w:szCs w:val="22"/>
                <w:u w:val="single"/>
              </w:rPr>
            </w:pPr>
            <w:r w:rsidRPr="00037CF8">
              <w:rPr>
                <w:sz w:val="22"/>
                <w:szCs w:val="22"/>
                <w:u w:val="single"/>
              </w:rPr>
              <w:t>(37,202)</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37,202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F91C25">
            <w:pPr>
              <w:jc w:val="right"/>
              <w:rPr>
                <w:sz w:val="22"/>
                <w:szCs w:val="22"/>
                <w:u w:val="single"/>
              </w:rPr>
            </w:pPr>
            <w:r w:rsidRPr="00037CF8">
              <w:rPr>
                <w:sz w:val="22"/>
                <w:szCs w:val="22"/>
                <w:u w:val="single"/>
              </w:rPr>
              <w:t>(1,691)</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Revised Total</w:t>
            </w:r>
          </w:p>
        </w:tc>
        <w:tc>
          <w:tcPr>
            <w:tcW w:w="1095" w:type="dxa"/>
            <w:tcBorders>
              <w:top w:val="nil"/>
              <w:left w:val="nil"/>
              <w:bottom w:val="nil"/>
              <w:right w:val="nil"/>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12,401 </w:t>
            </w:r>
          </w:p>
        </w:tc>
        <w:tc>
          <w:tcPr>
            <w:tcW w:w="1095" w:type="dxa"/>
            <w:tcBorders>
              <w:top w:val="nil"/>
              <w:left w:val="nil"/>
              <w:bottom w:val="nil"/>
              <w:right w:val="nil"/>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34,947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564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Previous Total</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13,434 </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37,859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611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Difference</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double"/>
              </w:rPr>
            </w:pPr>
            <w:r w:rsidRPr="00037CF8">
              <w:rPr>
                <w:sz w:val="22"/>
                <w:szCs w:val="22"/>
                <w:u w:val="double"/>
              </w:rPr>
              <w:t>($1,033)</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double"/>
              </w:rPr>
            </w:pPr>
            <w:r w:rsidRPr="00037CF8">
              <w:rPr>
                <w:sz w:val="22"/>
                <w:szCs w:val="22"/>
                <w:u w:val="double"/>
              </w:rPr>
              <w:t>($2,912)</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u w:val="double"/>
              </w:rPr>
            </w:pPr>
            <w:r w:rsidRPr="00037CF8">
              <w:rPr>
                <w:sz w:val="22"/>
                <w:szCs w:val="22"/>
                <w:u w:val="double"/>
              </w:rPr>
              <w:t>($47)</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u w:val="single"/>
              </w:rPr>
            </w:pPr>
            <w:r w:rsidRPr="00037CF8">
              <w:rPr>
                <w:sz w:val="22"/>
                <w:szCs w:val="22"/>
                <w:u w:val="single"/>
              </w:rPr>
              <w:t>Wastewater</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Catwalks at Plant</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$20,954 </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($776)</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$776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Blower</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24,569 </w:t>
            </w:r>
          </w:p>
        </w:tc>
        <w:tc>
          <w:tcPr>
            <w:tcW w:w="1095" w:type="dxa"/>
            <w:tcBorders>
              <w:top w:val="nil"/>
              <w:left w:val="nil"/>
              <w:bottom w:val="nil"/>
              <w:right w:val="nil"/>
            </w:tcBorders>
            <w:shd w:val="clear" w:color="auto" w:fill="auto"/>
            <w:noWrap/>
            <w:vAlign w:val="bottom"/>
            <w:hideMark/>
          </w:tcPr>
          <w:p w:rsidR="00DC5FF4" w:rsidRPr="00037CF8" w:rsidRDefault="00DC5FF4" w:rsidP="00F91C25">
            <w:pPr>
              <w:jc w:val="right"/>
              <w:rPr>
                <w:sz w:val="22"/>
                <w:szCs w:val="22"/>
              </w:rPr>
            </w:pPr>
            <w:r w:rsidRPr="00037CF8">
              <w:rPr>
                <w:sz w:val="22"/>
                <w:szCs w:val="22"/>
              </w:rPr>
              <w:t>(1,638)</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1,638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Sand Filters</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7,502 </w:t>
            </w:r>
          </w:p>
        </w:tc>
        <w:tc>
          <w:tcPr>
            <w:tcW w:w="1095" w:type="dxa"/>
            <w:tcBorders>
              <w:top w:val="nil"/>
              <w:left w:val="nil"/>
              <w:bottom w:val="nil"/>
              <w:right w:val="nil"/>
            </w:tcBorders>
            <w:shd w:val="clear" w:color="auto" w:fill="auto"/>
            <w:noWrap/>
            <w:vAlign w:val="bottom"/>
            <w:hideMark/>
          </w:tcPr>
          <w:p w:rsidR="00DC5FF4" w:rsidRPr="00037CF8" w:rsidRDefault="00DC5FF4" w:rsidP="00F91C25">
            <w:pPr>
              <w:jc w:val="right"/>
              <w:rPr>
                <w:sz w:val="22"/>
                <w:szCs w:val="22"/>
              </w:rPr>
            </w:pPr>
            <w:r w:rsidRPr="00037CF8">
              <w:rPr>
                <w:sz w:val="22"/>
                <w:szCs w:val="22"/>
              </w:rPr>
              <w:t>(417)</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rPr>
            </w:pPr>
            <w:r w:rsidRPr="00037CF8">
              <w:rPr>
                <w:sz w:val="22"/>
                <w:szCs w:val="22"/>
              </w:rPr>
              <w:t xml:space="preserve">417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Retirements</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(39,769)</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39,769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686097" w:rsidP="00037CF8">
            <w:pPr>
              <w:jc w:val="right"/>
              <w:rPr>
                <w:sz w:val="22"/>
                <w:szCs w:val="22"/>
                <w:u w:val="single"/>
              </w:rPr>
            </w:pPr>
            <w:r w:rsidRPr="00037CF8">
              <w:rPr>
                <w:sz w:val="22"/>
                <w:szCs w:val="22"/>
                <w:u w:val="single"/>
              </w:rPr>
              <w:t xml:space="preserve"> </w:t>
            </w:r>
            <w:r w:rsidR="00DC5FF4" w:rsidRPr="00037CF8">
              <w:rPr>
                <w:sz w:val="22"/>
                <w:szCs w:val="22"/>
                <w:u w:val="single"/>
              </w:rPr>
              <w:t>(1,918)</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Revised Total</w:t>
            </w:r>
          </w:p>
        </w:tc>
        <w:tc>
          <w:tcPr>
            <w:tcW w:w="1095" w:type="dxa"/>
            <w:tcBorders>
              <w:top w:val="nil"/>
              <w:left w:val="nil"/>
              <w:bottom w:val="nil"/>
              <w:right w:val="nil"/>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13,256 </w:t>
            </w:r>
          </w:p>
        </w:tc>
        <w:tc>
          <w:tcPr>
            <w:tcW w:w="1095" w:type="dxa"/>
            <w:tcBorders>
              <w:top w:val="nil"/>
              <w:left w:val="nil"/>
              <w:bottom w:val="nil"/>
              <w:right w:val="nil"/>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36,938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F91C25" w:rsidP="00037CF8">
            <w:pPr>
              <w:jc w:val="right"/>
              <w:rPr>
                <w:sz w:val="22"/>
                <w:szCs w:val="22"/>
              </w:rPr>
            </w:pPr>
            <w:r w:rsidRPr="00037CF8">
              <w:rPr>
                <w:sz w:val="22"/>
                <w:szCs w:val="22"/>
              </w:rPr>
              <w:t>$</w:t>
            </w:r>
            <w:r w:rsidR="00DC5FF4" w:rsidRPr="00037CF8">
              <w:rPr>
                <w:sz w:val="22"/>
                <w:szCs w:val="22"/>
              </w:rPr>
              <w:t xml:space="preserve">912 </w:t>
            </w:r>
          </w:p>
        </w:tc>
      </w:tr>
      <w:tr w:rsidR="00DC5FF4" w:rsidRPr="00037CF8" w:rsidTr="00DF1F6E">
        <w:trPr>
          <w:trHeight w:val="253"/>
          <w:jc w:val="center"/>
        </w:trPr>
        <w:tc>
          <w:tcPr>
            <w:tcW w:w="2822" w:type="dxa"/>
            <w:tcBorders>
              <w:top w:val="nil"/>
              <w:left w:val="single" w:sz="4" w:space="0" w:color="auto"/>
              <w:bottom w:val="nil"/>
              <w:right w:val="nil"/>
            </w:tcBorders>
            <w:shd w:val="clear" w:color="auto" w:fill="auto"/>
            <w:noWrap/>
            <w:vAlign w:val="bottom"/>
            <w:hideMark/>
          </w:tcPr>
          <w:p w:rsidR="00DC5FF4" w:rsidRPr="00037CF8" w:rsidRDefault="00DC5FF4" w:rsidP="00FA30AF">
            <w:pPr>
              <w:rPr>
                <w:sz w:val="22"/>
                <w:szCs w:val="22"/>
              </w:rPr>
            </w:pPr>
            <w:r w:rsidRPr="00037CF8">
              <w:rPr>
                <w:sz w:val="22"/>
                <w:szCs w:val="22"/>
              </w:rPr>
              <w:t>Previous Total</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11,005 </w:t>
            </w:r>
          </w:p>
        </w:tc>
        <w:tc>
          <w:tcPr>
            <w:tcW w:w="1095" w:type="dxa"/>
            <w:tcBorders>
              <w:top w:val="nil"/>
              <w:left w:val="nil"/>
              <w:bottom w:val="nil"/>
              <w:right w:val="nil"/>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30,431 </w:t>
            </w:r>
          </w:p>
        </w:tc>
        <w:tc>
          <w:tcPr>
            <w:tcW w:w="1088" w:type="dxa"/>
            <w:tcBorders>
              <w:top w:val="nil"/>
              <w:left w:val="nil"/>
              <w:bottom w:val="nil"/>
              <w:right w:val="single" w:sz="4" w:space="0" w:color="auto"/>
            </w:tcBorders>
            <w:shd w:val="clear" w:color="auto" w:fill="auto"/>
            <w:noWrap/>
            <w:vAlign w:val="bottom"/>
            <w:hideMark/>
          </w:tcPr>
          <w:p w:rsidR="00DC5FF4" w:rsidRPr="00037CF8" w:rsidRDefault="00DC5FF4" w:rsidP="00037CF8">
            <w:pPr>
              <w:jc w:val="right"/>
              <w:rPr>
                <w:sz w:val="22"/>
                <w:szCs w:val="22"/>
                <w:u w:val="single"/>
              </w:rPr>
            </w:pPr>
            <w:r w:rsidRPr="00037CF8">
              <w:rPr>
                <w:sz w:val="22"/>
                <w:szCs w:val="22"/>
                <w:u w:val="single"/>
              </w:rPr>
              <w:t xml:space="preserve">646 </w:t>
            </w:r>
          </w:p>
        </w:tc>
      </w:tr>
      <w:tr w:rsidR="00DC5FF4" w:rsidRPr="00037CF8" w:rsidTr="00DF1F6E">
        <w:trPr>
          <w:trHeight w:val="253"/>
          <w:jc w:val="center"/>
        </w:trPr>
        <w:tc>
          <w:tcPr>
            <w:tcW w:w="2822" w:type="dxa"/>
            <w:tcBorders>
              <w:top w:val="nil"/>
              <w:left w:val="single" w:sz="4" w:space="0" w:color="auto"/>
              <w:bottom w:val="single" w:sz="4" w:space="0" w:color="auto"/>
              <w:right w:val="nil"/>
            </w:tcBorders>
            <w:shd w:val="clear" w:color="auto" w:fill="auto"/>
            <w:noWrap/>
            <w:vAlign w:val="bottom"/>
            <w:hideMark/>
          </w:tcPr>
          <w:p w:rsidR="00DC5FF4" w:rsidRPr="00037CF8" w:rsidRDefault="00DC5FF4" w:rsidP="00FA30AF">
            <w:pPr>
              <w:rPr>
                <w:sz w:val="22"/>
                <w:szCs w:val="22"/>
              </w:rPr>
            </w:pPr>
            <w:r w:rsidRPr="00037CF8">
              <w:rPr>
                <w:sz w:val="22"/>
                <w:szCs w:val="22"/>
              </w:rPr>
              <w:t xml:space="preserve">     Difference</w:t>
            </w:r>
          </w:p>
        </w:tc>
        <w:tc>
          <w:tcPr>
            <w:tcW w:w="1095" w:type="dxa"/>
            <w:tcBorders>
              <w:top w:val="nil"/>
              <w:left w:val="nil"/>
              <w:bottom w:val="single" w:sz="4" w:space="0" w:color="auto"/>
              <w:right w:val="nil"/>
            </w:tcBorders>
            <w:shd w:val="clear" w:color="auto" w:fill="auto"/>
            <w:noWrap/>
            <w:vAlign w:val="bottom"/>
            <w:hideMark/>
          </w:tcPr>
          <w:p w:rsidR="00DC5FF4" w:rsidRPr="00037CF8" w:rsidRDefault="00686097" w:rsidP="00037CF8">
            <w:pPr>
              <w:jc w:val="right"/>
              <w:rPr>
                <w:sz w:val="22"/>
                <w:szCs w:val="22"/>
                <w:u w:val="double"/>
              </w:rPr>
            </w:pPr>
            <w:r w:rsidRPr="00037CF8">
              <w:rPr>
                <w:sz w:val="22"/>
                <w:szCs w:val="22"/>
              </w:rPr>
              <w:t>$</w:t>
            </w:r>
            <w:r w:rsidR="00DC5FF4" w:rsidRPr="00037CF8">
              <w:rPr>
                <w:sz w:val="22"/>
                <w:szCs w:val="22"/>
                <w:u w:val="double"/>
              </w:rPr>
              <w:t xml:space="preserve">2,251 </w:t>
            </w:r>
          </w:p>
        </w:tc>
        <w:tc>
          <w:tcPr>
            <w:tcW w:w="1095" w:type="dxa"/>
            <w:tcBorders>
              <w:top w:val="nil"/>
              <w:left w:val="nil"/>
              <w:bottom w:val="single" w:sz="4" w:space="0" w:color="auto"/>
              <w:right w:val="nil"/>
            </w:tcBorders>
            <w:shd w:val="clear" w:color="auto" w:fill="auto"/>
            <w:noWrap/>
            <w:vAlign w:val="bottom"/>
            <w:hideMark/>
          </w:tcPr>
          <w:p w:rsidR="00DC5FF4" w:rsidRPr="00037CF8" w:rsidRDefault="00686097" w:rsidP="00037CF8">
            <w:pPr>
              <w:jc w:val="right"/>
              <w:rPr>
                <w:sz w:val="22"/>
                <w:szCs w:val="22"/>
                <w:u w:val="double"/>
              </w:rPr>
            </w:pPr>
            <w:r w:rsidRPr="00037CF8">
              <w:rPr>
                <w:sz w:val="22"/>
                <w:szCs w:val="22"/>
              </w:rPr>
              <w:t>$</w:t>
            </w:r>
            <w:r w:rsidR="00DC5FF4" w:rsidRPr="00037CF8">
              <w:rPr>
                <w:sz w:val="22"/>
                <w:szCs w:val="22"/>
                <w:u w:val="double"/>
              </w:rPr>
              <w:t xml:space="preserve">6,507 </w:t>
            </w:r>
          </w:p>
        </w:tc>
        <w:tc>
          <w:tcPr>
            <w:tcW w:w="1088" w:type="dxa"/>
            <w:tcBorders>
              <w:top w:val="nil"/>
              <w:left w:val="nil"/>
              <w:bottom w:val="single" w:sz="4" w:space="0" w:color="auto"/>
              <w:right w:val="single" w:sz="4" w:space="0" w:color="auto"/>
            </w:tcBorders>
            <w:shd w:val="clear" w:color="auto" w:fill="auto"/>
            <w:noWrap/>
            <w:vAlign w:val="bottom"/>
            <w:hideMark/>
          </w:tcPr>
          <w:p w:rsidR="00DC5FF4" w:rsidRPr="00037CF8" w:rsidRDefault="00686097" w:rsidP="00037CF8">
            <w:pPr>
              <w:jc w:val="right"/>
              <w:rPr>
                <w:sz w:val="22"/>
                <w:szCs w:val="22"/>
                <w:u w:val="double"/>
              </w:rPr>
            </w:pPr>
            <w:r w:rsidRPr="00037CF8">
              <w:rPr>
                <w:sz w:val="22"/>
                <w:szCs w:val="22"/>
              </w:rPr>
              <w:t>$</w:t>
            </w:r>
            <w:r w:rsidR="00DC5FF4" w:rsidRPr="00037CF8">
              <w:rPr>
                <w:sz w:val="22"/>
                <w:szCs w:val="22"/>
                <w:u w:val="double"/>
              </w:rPr>
              <w:t xml:space="preserve">266 </w:t>
            </w:r>
          </w:p>
        </w:tc>
      </w:tr>
    </w:tbl>
    <w:p w:rsidR="00322344" w:rsidRPr="0046592F" w:rsidRDefault="00DC5FF4" w:rsidP="00BA639E">
      <w:pPr>
        <w:pStyle w:val="BodyText"/>
        <w:rPr>
          <w:sz w:val="20"/>
          <w:szCs w:val="20"/>
        </w:rPr>
      </w:pPr>
      <w:r w:rsidRPr="0046592F">
        <w:rPr>
          <w:sz w:val="22"/>
          <w:szCs w:val="22"/>
        </w:rPr>
        <w:t xml:space="preserve">                           </w:t>
      </w:r>
      <w:r w:rsidR="0046592F" w:rsidRPr="0046592F">
        <w:rPr>
          <w:sz w:val="20"/>
          <w:szCs w:val="20"/>
        </w:rPr>
        <w:t>Source: Responses to S</w:t>
      </w:r>
      <w:r w:rsidRPr="0046592F">
        <w:rPr>
          <w:sz w:val="20"/>
          <w:szCs w:val="20"/>
        </w:rPr>
        <w:t>taff’s Data Requests</w:t>
      </w:r>
    </w:p>
    <w:p w:rsidR="00DC5FF4" w:rsidRDefault="00F07BA9" w:rsidP="00D23673">
      <w:pPr>
        <w:pStyle w:val="BodyText"/>
        <w:spacing w:after="0"/>
        <w:rPr>
          <w:rFonts w:ascii="Arial" w:hAnsi="Arial" w:cs="Arial"/>
          <w:b/>
          <w:bCs/>
        </w:rPr>
      </w:pPr>
      <w:r>
        <w:lastRenderedPageBreak/>
        <w:t>As a result of the revised Phase II pro forma amounts, staff has summarized the UPIS, Operating Expenses, and Rev</w:t>
      </w:r>
      <w:r w:rsidR="00296A81">
        <w:t>enue Increase amounts in Table 1</w:t>
      </w:r>
      <w:r>
        <w:t>-3.</w:t>
      </w:r>
    </w:p>
    <w:p w:rsidR="0046592F" w:rsidRDefault="0046592F" w:rsidP="00635484">
      <w:pPr>
        <w:pStyle w:val="BodyText"/>
        <w:spacing w:after="0"/>
        <w:jc w:val="center"/>
        <w:rPr>
          <w:rFonts w:ascii="Arial" w:hAnsi="Arial" w:cs="Arial"/>
          <w:b/>
          <w:bCs/>
        </w:rPr>
      </w:pPr>
    </w:p>
    <w:p w:rsidR="00DC5FF4" w:rsidRDefault="00635484" w:rsidP="00D23673">
      <w:pPr>
        <w:pStyle w:val="BodyText"/>
        <w:spacing w:after="0"/>
        <w:rPr>
          <w:rFonts w:ascii="Arial" w:hAnsi="Arial" w:cs="Arial"/>
          <w:b/>
          <w:color w:val="000000" w:themeColor="text1"/>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296A81" w:rsidRPr="008855B6">
        <w:rPr>
          <w:rFonts w:ascii="Arial" w:hAnsi="Arial" w:cs="Arial"/>
          <w:b/>
          <w:color w:val="000000" w:themeColor="text1"/>
        </w:rPr>
        <w:t>Table 1</w:t>
      </w:r>
      <w:r w:rsidRPr="008855B6">
        <w:rPr>
          <w:rFonts w:ascii="Arial" w:hAnsi="Arial" w:cs="Arial"/>
          <w:b/>
          <w:color w:val="000000" w:themeColor="text1"/>
        </w:rPr>
        <w:t>-3</w:t>
      </w:r>
    </w:p>
    <w:p w:rsidR="00037CF8" w:rsidRPr="00635484" w:rsidRDefault="00037CF8" w:rsidP="00037CF8">
      <w:pPr>
        <w:pStyle w:val="BodyText"/>
        <w:spacing w:after="0"/>
        <w:jc w:val="center"/>
        <w:rPr>
          <w:rFonts w:ascii="Arial" w:hAnsi="Arial" w:cs="Arial"/>
          <w:b/>
          <w:bCs/>
        </w:rPr>
      </w:pPr>
      <w:r>
        <w:rPr>
          <w:rFonts w:ascii="Arial" w:hAnsi="Arial" w:cs="Arial"/>
          <w:b/>
          <w:color w:val="000000" w:themeColor="text1"/>
        </w:rPr>
        <w:t>Summary of Revenue Increase Amounts</w:t>
      </w:r>
    </w:p>
    <w:tbl>
      <w:tblPr>
        <w:tblW w:w="6527" w:type="dxa"/>
        <w:jc w:val="center"/>
        <w:tblInd w:w="-219" w:type="dxa"/>
        <w:tblLook w:val="04A0" w:firstRow="1" w:lastRow="0" w:firstColumn="1" w:lastColumn="0" w:noHBand="0" w:noVBand="1"/>
      </w:tblPr>
      <w:tblGrid>
        <w:gridCol w:w="2569"/>
        <w:gridCol w:w="1296"/>
        <w:gridCol w:w="1420"/>
        <w:gridCol w:w="1242"/>
      </w:tblGrid>
      <w:tr w:rsidR="00417AD8" w:rsidRPr="00417AD8" w:rsidTr="005E0199">
        <w:trPr>
          <w:trHeight w:val="315"/>
          <w:jc w:val="center"/>
        </w:trPr>
        <w:tc>
          <w:tcPr>
            <w:tcW w:w="2569" w:type="dxa"/>
            <w:tcBorders>
              <w:top w:val="single" w:sz="4" w:space="0" w:color="auto"/>
              <w:left w:val="single" w:sz="4" w:space="0" w:color="auto"/>
              <w:bottom w:val="nil"/>
              <w:right w:val="nil"/>
            </w:tcBorders>
            <w:shd w:val="clear" w:color="auto" w:fill="auto"/>
            <w:noWrap/>
            <w:vAlign w:val="bottom"/>
            <w:hideMark/>
          </w:tcPr>
          <w:p w:rsidR="00417AD8" w:rsidRPr="00417AD8" w:rsidRDefault="00DC5FF4" w:rsidP="005E0199">
            <w:pPr>
              <w:jc w:val="center"/>
              <w:rPr>
                <w:rFonts w:ascii="Arial" w:hAnsi="Arial" w:cs="Arial"/>
                <w:sz w:val="22"/>
                <w:szCs w:val="22"/>
              </w:rPr>
            </w:pPr>
            <w:r w:rsidRPr="00417AD8">
              <w:rPr>
                <w:sz w:val="22"/>
                <w:szCs w:val="22"/>
              </w:rPr>
              <w:t xml:space="preserve"> </w:t>
            </w:r>
            <w:r w:rsidR="00417AD8" w:rsidRPr="00417AD8">
              <w:rPr>
                <w:rFonts w:ascii="Arial" w:hAnsi="Arial" w:cs="Arial"/>
                <w:sz w:val="22"/>
                <w:szCs w:val="22"/>
              </w:rPr>
              <w:t> </w:t>
            </w:r>
          </w:p>
        </w:tc>
        <w:tc>
          <w:tcPr>
            <w:tcW w:w="1296" w:type="dxa"/>
            <w:tcBorders>
              <w:top w:val="single" w:sz="4" w:space="0" w:color="auto"/>
              <w:left w:val="single" w:sz="4" w:space="0" w:color="auto"/>
              <w:bottom w:val="nil"/>
              <w:right w:val="nil"/>
            </w:tcBorders>
            <w:shd w:val="clear" w:color="auto" w:fill="auto"/>
            <w:noWrap/>
            <w:vAlign w:val="bottom"/>
            <w:hideMark/>
          </w:tcPr>
          <w:p w:rsidR="00417AD8" w:rsidRPr="00417AD8" w:rsidRDefault="00417AD8" w:rsidP="005E0199">
            <w:pPr>
              <w:jc w:val="center"/>
              <w:rPr>
                <w:sz w:val="22"/>
                <w:szCs w:val="22"/>
              </w:rPr>
            </w:pPr>
            <w:r w:rsidRPr="00417AD8">
              <w:rPr>
                <w:sz w:val="22"/>
                <w:szCs w:val="22"/>
              </w:rPr>
              <w:t>Approved</w:t>
            </w:r>
          </w:p>
        </w:tc>
        <w:tc>
          <w:tcPr>
            <w:tcW w:w="1420" w:type="dxa"/>
            <w:tcBorders>
              <w:top w:val="single" w:sz="4" w:space="0" w:color="auto"/>
              <w:left w:val="single" w:sz="4" w:space="0" w:color="auto"/>
              <w:bottom w:val="nil"/>
              <w:right w:val="nil"/>
            </w:tcBorders>
            <w:shd w:val="clear" w:color="auto" w:fill="auto"/>
            <w:noWrap/>
            <w:vAlign w:val="bottom"/>
            <w:hideMark/>
          </w:tcPr>
          <w:p w:rsidR="00417AD8" w:rsidRPr="00417AD8" w:rsidRDefault="00417AD8" w:rsidP="005E0199">
            <w:pPr>
              <w:jc w:val="center"/>
              <w:rPr>
                <w:sz w:val="22"/>
                <w:szCs w:val="22"/>
              </w:rPr>
            </w:pPr>
            <w:r w:rsidRPr="00417AD8">
              <w:rPr>
                <w:sz w:val="22"/>
                <w:szCs w:val="22"/>
              </w:rPr>
              <w:t>Revised</w:t>
            </w:r>
          </w:p>
        </w:tc>
        <w:tc>
          <w:tcPr>
            <w:tcW w:w="1242" w:type="dxa"/>
            <w:tcBorders>
              <w:top w:val="single" w:sz="4" w:space="0" w:color="auto"/>
              <w:left w:val="single" w:sz="4" w:space="0" w:color="auto"/>
              <w:bottom w:val="nil"/>
              <w:right w:val="single" w:sz="4" w:space="0" w:color="auto"/>
            </w:tcBorders>
            <w:shd w:val="clear" w:color="auto" w:fill="auto"/>
            <w:noWrap/>
            <w:vAlign w:val="bottom"/>
            <w:hideMark/>
          </w:tcPr>
          <w:p w:rsidR="00417AD8" w:rsidRPr="00417AD8" w:rsidRDefault="00417AD8" w:rsidP="005E0199">
            <w:pPr>
              <w:jc w:val="center"/>
              <w:rPr>
                <w:sz w:val="22"/>
                <w:szCs w:val="22"/>
              </w:rPr>
            </w:pPr>
            <w:r w:rsidRPr="00417AD8">
              <w:rPr>
                <w:sz w:val="22"/>
                <w:szCs w:val="22"/>
              </w:rPr>
              <w:t> </w:t>
            </w:r>
          </w:p>
        </w:tc>
      </w:tr>
      <w:tr w:rsidR="00417AD8" w:rsidRPr="00417AD8" w:rsidTr="005E0199">
        <w:trPr>
          <w:trHeight w:val="315"/>
          <w:jc w:val="center"/>
        </w:trPr>
        <w:tc>
          <w:tcPr>
            <w:tcW w:w="2569" w:type="dxa"/>
            <w:tcBorders>
              <w:top w:val="nil"/>
              <w:left w:val="single" w:sz="4" w:space="0" w:color="auto"/>
              <w:bottom w:val="single" w:sz="4" w:space="0" w:color="auto"/>
              <w:right w:val="nil"/>
            </w:tcBorders>
            <w:shd w:val="clear" w:color="auto" w:fill="auto"/>
            <w:noWrap/>
            <w:vAlign w:val="bottom"/>
            <w:hideMark/>
          </w:tcPr>
          <w:p w:rsidR="00417AD8" w:rsidRPr="00417AD8" w:rsidRDefault="00417AD8" w:rsidP="005E0199">
            <w:pPr>
              <w:jc w:val="center"/>
              <w:rPr>
                <w:sz w:val="22"/>
                <w:szCs w:val="22"/>
              </w:rPr>
            </w:pPr>
            <w:r w:rsidRPr="00417AD8">
              <w:rPr>
                <w:sz w:val="22"/>
                <w:szCs w:val="22"/>
              </w:rPr>
              <w:t>Description</w:t>
            </w:r>
          </w:p>
        </w:tc>
        <w:tc>
          <w:tcPr>
            <w:tcW w:w="1296" w:type="dxa"/>
            <w:tcBorders>
              <w:top w:val="nil"/>
              <w:left w:val="single" w:sz="4" w:space="0" w:color="auto"/>
              <w:bottom w:val="single" w:sz="4" w:space="0" w:color="auto"/>
              <w:right w:val="nil"/>
            </w:tcBorders>
            <w:shd w:val="clear" w:color="auto" w:fill="auto"/>
            <w:noWrap/>
            <w:vAlign w:val="bottom"/>
            <w:hideMark/>
          </w:tcPr>
          <w:p w:rsidR="00417AD8" w:rsidRPr="00417AD8" w:rsidRDefault="00417AD8" w:rsidP="005E0199">
            <w:pPr>
              <w:jc w:val="center"/>
              <w:rPr>
                <w:sz w:val="22"/>
                <w:szCs w:val="22"/>
              </w:rPr>
            </w:pPr>
            <w:r w:rsidRPr="00417AD8">
              <w:rPr>
                <w:sz w:val="22"/>
                <w:szCs w:val="22"/>
              </w:rPr>
              <w:t>Phase II</w:t>
            </w:r>
          </w:p>
        </w:tc>
        <w:tc>
          <w:tcPr>
            <w:tcW w:w="1420" w:type="dxa"/>
            <w:tcBorders>
              <w:top w:val="nil"/>
              <w:left w:val="single" w:sz="4" w:space="0" w:color="auto"/>
              <w:bottom w:val="single" w:sz="4" w:space="0" w:color="auto"/>
              <w:right w:val="nil"/>
            </w:tcBorders>
            <w:shd w:val="clear" w:color="auto" w:fill="auto"/>
            <w:noWrap/>
            <w:vAlign w:val="bottom"/>
            <w:hideMark/>
          </w:tcPr>
          <w:p w:rsidR="00417AD8" w:rsidRPr="00417AD8" w:rsidRDefault="00417AD8" w:rsidP="005E0199">
            <w:pPr>
              <w:jc w:val="center"/>
              <w:rPr>
                <w:sz w:val="22"/>
                <w:szCs w:val="22"/>
              </w:rPr>
            </w:pPr>
            <w:r w:rsidRPr="00417AD8">
              <w:rPr>
                <w:sz w:val="22"/>
                <w:szCs w:val="22"/>
              </w:rPr>
              <w:t>Phase II</w:t>
            </w: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417AD8" w:rsidRPr="00417AD8" w:rsidRDefault="00417AD8" w:rsidP="005E0199">
            <w:pPr>
              <w:jc w:val="center"/>
              <w:rPr>
                <w:sz w:val="22"/>
                <w:szCs w:val="22"/>
              </w:rPr>
            </w:pPr>
            <w:r w:rsidRPr="00417AD8">
              <w:rPr>
                <w:sz w:val="22"/>
                <w:szCs w:val="22"/>
              </w:rPr>
              <w:t>Difference</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Potable</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rPr>
                <w:rFonts w:ascii="Arial" w:hAnsi="Arial" w:cs="Arial"/>
                <w:sz w:val="22"/>
                <w:szCs w:val="22"/>
              </w:rPr>
            </w:pPr>
            <w:r w:rsidRPr="00417AD8">
              <w:rPr>
                <w:rFonts w:ascii="Arial" w:hAnsi="Arial" w:cs="Arial"/>
                <w:sz w:val="22"/>
                <w:szCs w:val="22"/>
              </w:rPr>
              <w:t>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rPr>
                <w:rFonts w:ascii="Arial" w:hAnsi="Arial" w:cs="Arial"/>
                <w:sz w:val="22"/>
                <w:szCs w:val="22"/>
              </w:rPr>
            </w:pPr>
            <w:r w:rsidRPr="00417AD8">
              <w:rPr>
                <w:rFonts w:ascii="Arial" w:hAnsi="Arial" w:cs="Arial"/>
                <w:sz w:val="22"/>
                <w:szCs w:val="22"/>
              </w:rPr>
              <w:t>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rPr>
                <w:rFonts w:ascii="Arial" w:hAnsi="Arial" w:cs="Arial"/>
                <w:sz w:val="22"/>
                <w:szCs w:val="22"/>
              </w:rPr>
            </w:pPr>
            <w:r w:rsidRPr="00417AD8">
              <w:rPr>
                <w:rFonts w:ascii="Arial" w:hAnsi="Arial" w:cs="Arial"/>
                <w:sz w:val="22"/>
                <w:szCs w:val="22"/>
              </w:rPr>
              <w:t> </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UPIS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$1,463,661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$1,462,628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($1,033)</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$163,201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$157,670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($5,531)</w:t>
            </w:r>
          </w:p>
        </w:tc>
      </w:tr>
      <w:tr w:rsidR="00417AD8" w:rsidRPr="00417AD8" w:rsidTr="005E0199">
        <w:trPr>
          <w:trHeight w:val="315"/>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Revenue Increase</w:t>
            </w:r>
          </w:p>
        </w:tc>
        <w:tc>
          <w:tcPr>
            <w:tcW w:w="1296"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$13,022 </w:t>
            </w:r>
          </w:p>
        </w:tc>
        <w:tc>
          <w:tcPr>
            <w:tcW w:w="1420"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$7,550 </w:t>
            </w:r>
          </w:p>
        </w:tc>
        <w:tc>
          <w:tcPr>
            <w:tcW w:w="1242"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($5,472)</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Non-Potable</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rPr>
                <w:rFonts w:ascii="Arial" w:hAnsi="Arial" w:cs="Arial"/>
                <w:sz w:val="22"/>
                <w:szCs w:val="22"/>
              </w:rPr>
            </w:pPr>
            <w:r w:rsidRPr="00417AD8">
              <w:rPr>
                <w:rFonts w:ascii="Arial" w:hAnsi="Arial" w:cs="Arial"/>
                <w:sz w:val="22"/>
                <w:szCs w:val="22"/>
              </w:rPr>
              <w:t>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rPr>
                <w:rFonts w:ascii="Arial" w:hAnsi="Arial" w:cs="Arial"/>
                <w:sz w:val="22"/>
                <w:szCs w:val="22"/>
              </w:rPr>
            </w:pPr>
            <w:r w:rsidRPr="00417AD8">
              <w:rPr>
                <w:rFonts w:ascii="Arial" w:hAnsi="Arial" w:cs="Arial"/>
                <w:sz w:val="22"/>
                <w:szCs w:val="22"/>
              </w:rPr>
              <w:t>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UPIS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$945,345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$945,345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$0 </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$245,825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$240,466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($5,359)</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Revenue Increase</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$5,382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$0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($5,382)</w:t>
            </w:r>
          </w:p>
        </w:tc>
      </w:tr>
      <w:tr w:rsidR="00417AD8" w:rsidRPr="00417AD8" w:rsidTr="005E0199">
        <w:trPr>
          <w:trHeight w:val="315"/>
          <w:jc w:val="center"/>
        </w:trPr>
        <w:tc>
          <w:tcPr>
            <w:tcW w:w="2569" w:type="dxa"/>
            <w:tcBorders>
              <w:top w:val="single" w:sz="4" w:space="0" w:color="auto"/>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Wastewater</w:t>
            </w:r>
          </w:p>
        </w:tc>
        <w:tc>
          <w:tcPr>
            <w:tcW w:w="1296" w:type="dxa"/>
            <w:tcBorders>
              <w:top w:val="single" w:sz="4" w:space="0" w:color="auto"/>
              <w:left w:val="nil"/>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w:t>
            </w:r>
          </w:p>
        </w:tc>
        <w:tc>
          <w:tcPr>
            <w:tcW w:w="1420" w:type="dxa"/>
            <w:tcBorders>
              <w:top w:val="single" w:sz="4" w:space="0" w:color="auto"/>
              <w:left w:val="nil"/>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w:t>
            </w:r>
          </w:p>
        </w:tc>
        <w:tc>
          <w:tcPr>
            <w:tcW w:w="1242" w:type="dxa"/>
            <w:tcBorders>
              <w:top w:val="single" w:sz="4" w:space="0" w:color="auto"/>
              <w:left w:val="nil"/>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UPIS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$1,623,048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$1,625,299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$2,251 </w:t>
            </w:r>
          </w:p>
        </w:tc>
      </w:tr>
      <w:tr w:rsidR="00417AD8" w:rsidRPr="00417AD8" w:rsidTr="005E0199">
        <w:trPr>
          <w:trHeight w:val="315"/>
          <w:jc w:val="center"/>
        </w:trPr>
        <w:tc>
          <w:tcPr>
            <w:tcW w:w="2569" w:type="dxa"/>
            <w:tcBorders>
              <w:top w:val="nil"/>
              <w:left w:val="single" w:sz="4" w:space="0" w:color="auto"/>
              <w:bottom w:val="nil"/>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Operating Expenses</w:t>
            </w:r>
          </w:p>
        </w:tc>
        <w:tc>
          <w:tcPr>
            <w:tcW w:w="1296"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$175,657 </w:t>
            </w:r>
          </w:p>
        </w:tc>
        <w:tc>
          <w:tcPr>
            <w:tcW w:w="1420"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$170,629 </w:t>
            </w:r>
          </w:p>
        </w:tc>
        <w:tc>
          <w:tcPr>
            <w:tcW w:w="1242" w:type="dxa"/>
            <w:tcBorders>
              <w:top w:val="nil"/>
              <w:left w:val="nil"/>
              <w:bottom w:val="nil"/>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($5,028)</w:t>
            </w:r>
          </w:p>
        </w:tc>
      </w:tr>
      <w:tr w:rsidR="00417AD8" w:rsidRPr="00417AD8" w:rsidTr="005E0199">
        <w:trPr>
          <w:trHeight w:val="315"/>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417AD8" w:rsidRPr="00417AD8" w:rsidRDefault="00417AD8" w:rsidP="005E0199">
            <w:pPr>
              <w:rPr>
                <w:sz w:val="22"/>
                <w:szCs w:val="22"/>
              </w:rPr>
            </w:pPr>
            <w:r w:rsidRPr="00417AD8">
              <w:rPr>
                <w:sz w:val="22"/>
                <w:szCs w:val="22"/>
              </w:rPr>
              <w:t xml:space="preserve">     Revenue Increase</w:t>
            </w:r>
          </w:p>
        </w:tc>
        <w:tc>
          <w:tcPr>
            <w:tcW w:w="1296"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$5,994 </w:t>
            </w:r>
          </w:p>
        </w:tc>
        <w:tc>
          <w:tcPr>
            <w:tcW w:w="1420"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 xml:space="preserve">$965 </w:t>
            </w:r>
          </w:p>
        </w:tc>
        <w:tc>
          <w:tcPr>
            <w:tcW w:w="1242" w:type="dxa"/>
            <w:tcBorders>
              <w:top w:val="nil"/>
              <w:left w:val="nil"/>
              <w:bottom w:val="single" w:sz="4" w:space="0" w:color="auto"/>
              <w:right w:val="single" w:sz="4" w:space="0" w:color="auto"/>
            </w:tcBorders>
            <w:shd w:val="clear" w:color="auto" w:fill="auto"/>
            <w:noWrap/>
            <w:vAlign w:val="bottom"/>
            <w:hideMark/>
          </w:tcPr>
          <w:p w:rsidR="00417AD8" w:rsidRPr="00417AD8" w:rsidRDefault="00417AD8" w:rsidP="005E0199">
            <w:pPr>
              <w:jc w:val="right"/>
              <w:rPr>
                <w:sz w:val="22"/>
                <w:szCs w:val="22"/>
              </w:rPr>
            </w:pPr>
            <w:r w:rsidRPr="00417AD8">
              <w:rPr>
                <w:sz w:val="22"/>
                <w:szCs w:val="22"/>
              </w:rPr>
              <w:t>($5,029)</w:t>
            </w:r>
          </w:p>
        </w:tc>
      </w:tr>
    </w:tbl>
    <w:p w:rsidR="00DC5FF4" w:rsidRDefault="00DC5FF4" w:rsidP="00D23673">
      <w:pPr>
        <w:pStyle w:val="BodyText"/>
        <w:spacing w:after="0"/>
        <w:rPr>
          <w:sz w:val="20"/>
          <w:szCs w:val="20"/>
        </w:rPr>
      </w:pPr>
      <w:r>
        <w:t xml:space="preserve">                     </w:t>
      </w:r>
      <w:r w:rsidR="00417AD8">
        <w:t xml:space="preserve">  </w:t>
      </w:r>
      <w:r w:rsidRPr="0001553D">
        <w:rPr>
          <w:sz w:val="20"/>
          <w:szCs w:val="20"/>
        </w:rPr>
        <w:t>Source: Staff’s Calculations</w:t>
      </w:r>
    </w:p>
    <w:p w:rsidR="00DC5FF4" w:rsidRDefault="00DC5FF4" w:rsidP="00D23673">
      <w:pPr>
        <w:pStyle w:val="BodyText"/>
        <w:spacing w:after="0"/>
      </w:pPr>
    </w:p>
    <w:p w:rsidR="00D23673" w:rsidRDefault="00D23673" w:rsidP="00D23673">
      <w:pPr>
        <w:pStyle w:val="BodyText"/>
        <w:spacing w:after="0"/>
        <w:rPr>
          <w:rFonts w:ascii="Arial" w:hAnsi="Arial" w:cs="Arial"/>
          <w:b/>
          <w:bCs/>
        </w:rPr>
      </w:pPr>
      <w:r>
        <w:rPr>
          <w:rFonts w:ascii="Arial" w:hAnsi="Arial" w:cs="Arial"/>
          <w:b/>
          <w:bCs/>
        </w:rPr>
        <w:t>Conclusion</w:t>
      </w:r>
    </w:p>
    <w:p w:rsidR="00D23673" w:rsidRPr="0007427D" w:rsidRDefault="003E3B68" w:rsidP="00D23673">
      <w:pPr>
        <w:pStyle w:val="BodyText"/>
      </w:pPr>
      <w:r>
        <w:t xml:space="preserve">Based on staff’s review of documentation provided by </w:t>
      </w:r>
      <w:proofErr w:type="spellStart"/>
      <w:r>
        <w:t>Aquarina</w:t>
      </w:r>
      <w:proofErr w:type="spellEnd"/>
      <w:r>
        <w:t xml:space="preserve">, </w:t>
      </w:r>
      <w:r w:rsidR="00F50DCA">
        <w:t>t</w:t>
      </w:r>
      <w:r w:rsidR="00F50DCA" w:rsidRPr="00F50DCA">
        <w:t>he appropriate revised Phase II revenue increases are $7,55</w:t>
      </w:r>
      <w:r w:rsidR="00582443">
        <w:t>0</w:t>
      </w:r>
      <w:r w:rsidR="00F50DCA" w:rsidRPr="00F50DCA">
        <w:t xml:space="preserve"> for potable water, no increase</w:t>
      </w:r>
      <w:r w:rsidR="008A5AD9">
        <w:t xml:space="preserve"> for non-potable water, and $965</w:t>
      </w:r>
      <w:r w:rsidR="00F50DCA" w:rsidRPr="00F50DCA">
        <w:t xml:space="preserve"> for wastewater, which equate to increases of 4.77 percent for potable water and 0.54 percent for wastewater, over Phase I revenue requirements</w:t>
      </w:r>
      <w:r w:rsidR="00D23673" w:rsidRPr="00F66C41">
        <w:t>.</w:t>
      </w:r>
      <w:r w:rsidR="0007427D" w:rsidRPr="0007427D">
        <w:rPr>
          <w:b/>
          <w:i/>
        </w:rPr>
        <w:t xml:space="preserve"> </w:t>
      </w:r>
      <w:r w:rsidR="0007427D" w:rsidRPr="0007427D">
        <w:t>Phase II rate base is shown on Schedule Nos. 1-A through 1-D. The operating income for Phase II is shown on Schedule Nos. 2-A through 2-D.</w:t>
      </w:r>
    </w:p>
    <w:p w:rsidR="005D2C28" w:rsidRDefault="005D2C28">
      <w:pPr>
        <w:pStyle w:val="IssueHeading"/>
        <w:rPr>
          <w:vanish/>
          <w:specVanish/>
        </w:rPr>
      </w:pPr>
      <w:r w:rsidRPr="0007427D">
        <w:rPr>
          <w:b w:val="0"/>
          <w:i w:val="0"/>
        </w:rPr>
        <w:br w:type="page"/>
      </w:r>
      <w:r w:rsidRPr="004C3641">
        <w:lastRenderedPageBreak/>
        <w:t xml:space="preserve">Issue </w:t>
      </w:r>
      <w:fldSimple w:instr=" SEQ Issue \* MERGEFORMAT ">
        <w:r w:rsidR="00C443B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443BE">
        <w:rPr>
          <w:noProof/>
        </w:rPr>
        <w:instrText>2</w:instrText>
      </w:r>
      <w:r>
        <w:fldChar w:fldCharType="end"/>
      </w:r>
      <w:r>
        <w:tab/>
        <w:instrText xml:space="preserve">" \l 1 </w:instrText>
      </w:r>
      <w:r>
        <w:fldChar w:fldCharType="end"/>
      </w:r>
      <w:r>
        <w:t> </w:t>
      </w:r>
    </w:p>
    <w:p w:rsidR="00364421" w:rsidRDefault="00364421">
      <w:pPr>
        <w:pStyle w:val="BodyText"/>
      </w:pPr>
      <w:r>
        <w:t>What are the appropriate rates for Phase II?</w:t>
      </w:r>
    </w:p>
    <w:p w:rsidR="005D2C28" w:rsidRPr="004C3641" w:rsidRDefault="005D2C28">
      <w:pPr>
        <w:pStyle w:val="IssueSubsectionHeading"/>
        <w:rPr>
          <w:vanish/>
          <w:specVanish/>
        </w:rPr>
      </w:pPr>
      <w:r w:rsidRPr="004C3641">
        <w:t>Recommendation: </w:t>
      </w:r>
    </w:p>
    <w:p w:rsidR="00A57F49" w:rsidRPr="00A57F49" w:rsidRDefault="00EC27D2" w:rsidP="00A57F49">
      <w:pPr>
        <w:jc w:val="both"/>
        <w:rPr>
          <w:rFonts w:eastAsiaTheme="minorHAnsi"/>
        </w:rPr>
      </w:pPr>
      <w:r w:rsidRPr="00EC27D2">
        <w:rPr>
          <w:rFonts w:eastAsiaTheme="minorHAnsi"/>
        </w:rPr>
        <w:t>T</w:t>
      </w:r>
      <w:r w:rsidR="00A57F49" w:rsidRPr="00A57F49">
        <w:rPr>
          <w:rFonts w:eastAsiaTheme="minorHAnsi"/>
        </w:rPr>
        <w:t>he appropriate Phase II rates are shown on Schedule Nos. 3-A and 3-B.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A57F49">
        <w:rPr>
          <w:rFonts w:eastAsiaTheme="minorHAnsi"/>
        </w:rPr>
        <w:t xml:space="preserve"> (Bruce)</w:t>
      </w:r>
    </w:p>
    <w:p w:rsidR="00A57F49" w:rsidRPr="00A57F49" w:rsidRDefault="00A57F49" w:rsidP="00A57F49">
      <w:pPr>
        <w:jc w:val="both"/>
        <w:rPr>
          <w:rFonts w:eastAsiaTheme="minorHAnsi"/>
        </w:rPr>
      </w:pPr>
    </w:p>
    <w:p w:rsidR="00A57F49" w:rsidRPr="00A57F49" w:rsidRDefault="00A57F49" w:rsidP="00A57F49">
      <w:pPr>
        <w:jc w:val="both"/>
        <w:rPr>
          <w:rFonts w:eastAsiaTheme="minorHAnsi"/>
        </w:rPr>
      </w:pPr>
      <w:r w:rsidRPr="00A57F49">
        <w:rPr>
          <w:rFonts w:ascii="Arial" w:eastAsiaTheme="minorHAnsi" w:hAnsi="Arial" w:cs="Arial"/>
          <w:b/>
          <w:i/>
        </w:rPr>
        <w:t>Staff Analysis</w:t>
      </w:r>
      <w:r w:rsidRPr="00A57F49">
        <w:rPr>
          <w:rFonts w:eastAsiaTheme="minorHAnsi"/>
        </w:rPr>
        <w:t>: By Order No. PSC-16-0583-PAA-WS, issued December 29, 2016, in the instant docket, the Commission approved Phase II revenue requirement</w:t>
      </w:r>
      <w:r w:rsidR="00686097">
        <w:rPr>
          <w:rFonts w:eastAsiaTheme="minorHAnsi"/>
        </w:rPr>
        <w:t>s</w:t>
      </w:r>
      <w:r w:rsidRPr="00A57F49">
        <w:rPr>
          <w:rFonts w:eastAsiaTheme="minorHAnsi"/>
        </w:rPr>
        <w:t xml:space="preserve"> and rates associated with </w:t>
      </w:r>
      <w:r w:rsidR="008B2933">
        <w:rPr>
          <w:rFonts w:eastAsiaTheme="minorHAnsi"/>
        </w:rPr>
        <w:t xml:space="preserve">the </w:t>
      </w:r>
      <w:r w:rsidRPr="00A57F49">
        <w:rPr>
          <w:rFonts w:eastAsiaTheme="minorHAnsi"/>
        </w:rPr>
        <w:t>pro for</w:t>
      </w:r>
      <w:r w:rsidR="009F2DAA">
        <w:rPr>
          <w:rFonts w:eastAsiaTheme="minorHAnsi"/>
        </w:rPr>
        <w:t>ma items. As discussed in Issue</w:t>
      </w:r>
      <w:r w:rsidRPr="00A57F49">
        <w:rPr>
          <w:rFonts w:eastAsiaTheme="minorHAnsi"/>
        </w:rPr>
        <w:t xml:space="preserve"> 1, staff is recommending Phase II revenue requirement</w:t>
      </w:r>
      <w:r w:rsidR="00686097">
        <w:rPr>
          <w:rFonts w:eastAsiaTheme="minorHAnsi"/>
        </w:rPr>
        <w:t>s</w:t>
      </w:r>
      <w:r w:rsidRPr="00A57F49">
        <w:rPr>
          <w:rFonts w:eastAsiaTheme="minorHAnsi"/>
        </w:rPr>
        <w:t xml:space="preserve"> be revised to reflect the actual cost incurred for the pro forma items. As a result, Phase II rates should be recalculated to reflect the staff recommended revised Phase II revenue requirement</w:t>
      </w:r>
      <w:r w:rsidR="00686097">
        <w:rPr>
          <w:rFonts w:eastAsiaTheme="minorHAnsi"/>
        </w:rPr>
        <w:t>s</w:t>
      </w:r>
      <w:r w:rsidRPr="00A57F49">
        <w:rPr>
          <w:rFonts w:eastAsiaTheme="minorHAnsi"/>
        </w:rPr>
        <w:t>.</w:t>
      </w:r>
    </w:p>
    <w:p w:rsidR="00A57F49" w:rsidRPr="00A57F49" w:rsidRDefault="00A57F49" w:rsidP="00A57F49">
      <w:pPr>
        <w:jc w:val="both"/>
        <w:rPr>
          <w:rFonts w:eastAsiaTheme="minorHAnsi"/>
        </w:rPr>
      </w:pPr>
    </w:p>
    <w:p w:rsidR="00A57F49" w:rsidRPr="00A57F49" w:rsidRDefault="00A57F49" w:rsidP="00A57F49">
      <w:pPr>
        <w:jc w:val="both"/>
        <w:rPr>
          <w:rFonts w:eastAsiaTheme="minorHAnsi"/>
        </w:rPr>
      </w:pPr>
      <w:r w:rsidRPr="00A57F49">
        <w:rPr>
          <w:rFonts w:eastAsiaTheme="minorHAnsi"/>
        </w:rPr>
        <w:t>In Phase I, the potable water system was overearning by $12,593. When there are overearnings for a water and wastewater system, it has been Commission practice to avoid decreasing water rates by netting the revenues of the water and wastewater systems if the customer bases are similar. Decreasing the potable water rates undermines conservation efforts.</w:t>
      </w:r>
      <w:r w:rsidR="001C6CB2">
        <w:rPr>
          <w:rFonts w:eastAsiaTheme="minorHAnsi"/>
        </w:rPr>
        <w:t xml:space="preserve"> T</w:t>
      </w:r>
      <w:r w:rsidRPr="00A57F49">
        <w:rPr>
          <w:rFonts w:eastAsiaTheme="minorHAnsi"/>
        </w:rPr>
        <w:t>here is a 5 percent difference in the number of water customers and wastewater customers. Due to the minimal difference between potable water and wastewater customers, the Commission approved netting the potable water overearnings with the wastewater system increase in order to avoid decreasing potable water rates. Therefore, for Phase I, the potable water rates remained unchanged.</w:t>
      </w:r>
    </w:p>
    <w:p w:rsidR="00A57F49" w:rsidRPr="00A57F49" w:rsidRDefault="00A57F49" w:rsidP="00A57F49">
      <w:pPr>
        <w:jc w:val="both"/>
        <w:rPr>
          <w:rFonts w:eastAsiaTheme="minorHAnsi"/>
        </w:rPr>
      </w:pPr>
    </w:p>
    <w:p w:rsidR="00A57F49" w:rsidRPr="00A57F49" w:rsidRDefault="00A57F49" w:rsidP="00A57F49">
      <w:pPr>
        <w:jc w:val="both"/>
        <w:rPr>
          <w:rFonts w:eastAsiaTheme="minorHAnsi"/>
        </w:rPr>
      </w:pPr>
      <w:r w:rsidRPr="00A57F49">
        <w:rPr>
          <w:rFonts w:eastAsiaTheme="minorHAnsi"/>
        </w:rPr>
        <w:t>For Phase II, the staff recommended revenue requirement of $165,805 for potable water is less than the revenues of $170,848 generated by the Phase I potable water rates. Therefore, staff recommends a continuation of the netting. However, $5,043 ($170,848 - $165,805) is required to maintain the Phase I potable water rates, which is less than the $12,593 required in Phase I. For this reason, in addition to the Phase II revenue increase of $96</w:t>
      </w:r>
      <w:r w:rsidR="00582443">
        <w:rPr>
          <w:rFonts w:eastAsiaTheme="minorHAnsi"/>
        </w:rPr>
        <w:t>5</w:t>
      </w:r>
      <w:r w:rsidRPr="00A57F49">
        <w:rPr>
          <w:rFonts w:eastAsiaTheme="minorHAnsi"/>
        </w:rPr>
        <w:t>, the wastewater system revenues of $7,550 ($12,593 - $5,043) previously included in Phase I potable water rates should be returned to the wastewater system in Phase II. As a result, the revenue increase after netting is $8,515 ($7,550 + $96</w:t>
      </w:r>
      <w:r w:rsidR="00582443">
        <w:rPr>
          <w:rFonts w:eastAsiaTheme="minorHAnsi"/>
        </w:rPr>
        <w:t>5</w:t>
      </w:r>
      <w:r w:rsidRPr="00A57F49">
        <w:rPr>
          <w:rFonts w:eastAsiaTheme="minorHAnsi"/>
        </w:rPr>
        <w:t>) for wastewater in Phase II. Table</w:t>
      </w:r>
      <w:r w:rsidR="00DB2189">
        <w:rPr>
          <w:rFonts w:eastAsiaTheme="minorHAnsi"/>
        </w:rPr>
        <w:t xml:space="preserve"> </w:t>
      </w:r>
      <w:r>
        <w:rPr>
          <w:rFonts w:eastAsiaTheme="minorHAnsi"/>
        </w:rPr>
        <w:t>2</w:t>
      </w:r>
      <w:r w:rsidRPr="00A57F49">
        <w:rPr>
          <w:rFonts w:eastAsiaTheme="minorHAnsi"/>
        </w:rPr>
        <w:t>-1 outlines the revenues used for designing rates.</w:t>
      </w:r>
    </w:p>
    <w:p w:rsidR="00A57F49" w:rsidRPr="00A57F49" w:rsidRDefault="00A57F49" w:rsidP="00A57F49">
      <w:pPr>
        <w:jc w:val="both"/>
        <w:rPr>
          <w:rFonts w:eastAsiaTheme="minorHAnsi"/>
        </w:rPr>
      </w:pPr>
    </w:p>
    <w:p w:rsidR="00E30D4B" w:rsidRDefault="00E30D4B">
      <w:pPr>
        <w:rPr>
          <w:rFonts w:eastAsiaTheme="minorHAnsi"/>
          <w:b/>
        </w:rPr>
      </w:pPr>
      <w:r>
        <w:rPr>
          <w:rFonts w:eastAsiaTheme="minorHAnsi"/>
          <w:b/>
        </w:rPr>
        <w:br w:type="page"/>
      </w:r>
    </w:p>
    <w:p w:rsidR="00E30D4B" w:rsidRDefault="00E30D4B" w:rsidP="00A57F49">
      <w:pPr>
        <w:jc w:val="center"/>
        <w:rPr>
          <w:rFonts w:eastAsiaTheme="minorHAnsi"/>
          <w:b/>
        </w:rPr>
      </w:pPr>
    </w:p>
    <w:p w:rsidR="00A57F49" w:rsidRPr="00E30D4B" w:rsidRDefault="00A57F49" w:rsidP="00A57F49">
      <w:pPr>
        <w:jc w:val="center"/>
        <w:rPr>
          <w:rFonts w:ascii="Arial" w:eastAsiaTheme="minorHAnsi" w:hAnsi="Arial" w:cs="Arial"/>
          <w:b/>
        </w:rPr>
      </w:pPr>
      <w:r w:rsidRPr="00E30D4B">
        <w:rPr>
          <w:rFonts w:ascii="Arial" w:eastAsiaTheme="minorHAnsi" w:hAnsi="Arial" w:cs="Arial"/>
          <w:b/>
        </w:rPr>
        <w:t xml:space="preserve">Table 2-1 </w:t>
      </w:r>
    </w:p>
    <w:p w:rsidR="00A57F49" w:rsidRPr="00E30D4B" w:rsidRDefault="00A57F49" w:rsidP="00A57F49">
      <w:pPr>
        <w:jc w:val="center"/>
        <w:rPr>
          <w:rFonts w:ascii="Arial" w:eastAsiaTheme="minorHAnsi" w:hAnsi="Arial" w:cs="Arial"/>
          <w:b/>
        </w:rPr>
      </w:pPr>
      <w:r w:rsidRPr="00E30D4B">
        <w:rPr>
          <w:rFonts w:ascii="Arial" w:eastAsiaTheme="minorHAnsi" w:hAnsi="Arial" w:cs="Arial"/>
          <w:b/>
        </w:rPr>
        <w:t xml:space="preserve">Commission-Approved Phase I and Staff Recommended Phase II </w:t>
      </w:r>
    </w:p>
    <w:p w:rsidR="00A57F49" w:rsidRPr="00E30D4B" w:rsidRDefault="00A57F49" w:rsidP="00A57F49">
      <w:pPr>
        <w:jc w:val="center"/>
        <w:rPr>
          <w:rFonts w:ascii="Arial" w:eastAsiaTheme="minorHAnsi" w:hAnsi="Arial" w:cs="Arial"/>
          <w:b/>
        </w:rPr>
      </w:pPr>
      <w:r w:rsidRPr="00E30D4B">
        <w:rPr>
          <w:rFonts w:ascii="Arial" w:eastAsiaTheme="minorHAnsi" w:hAnsi="Arial" w:cs="Arial"/>
          <w:b/>
        </w:rPr>
        <w:t>Revenue Requirements for Rate Setting</w:t>
      </w:r>
    </w:p>
    <w:tbl>
      <w:tblPr>
        <w:tblStyle w:val="TableGrid2"/>
        <w:tblW w:w="9450" w:type="dxa"/>
        <w:tblInd w:w="108" w:type="dxa"/>
        <w:tblLook w:val="04A0" w:firstRow="1" w:lastRow="0" w:firstColumn="1" w:lastColumn="0" w:noHBand="0" w:noVBand="1"/>
      </w:tblPr>
      <w:tblGrid>
        <w:gridCol w:w="3939"/>
        <w:gridCol w:w="1371"/>
        <w:gridCol w:w="1440"/>
        <w:gridCol w:w="1350"/>
        <w:gridCol w:w="1350"/>
      </w:tblGrid>
      <w:tr w:rsidR="00A57F49" w:rsidRPr="00A57F49" w:rsidTr="00102AEF">
        <w:trPr>
          <w:trHeight w:val="422"/>
        </w:trPr>
        <w:tc>
          <w:tcPr>
            <w:tcW w:w="3939" w:type="dxa"/>
            <w:vAlign w:val="center"/>
          </w:tcPr>
          <w:p w:rsidR="00A57F49" w:rsidRPr="00A57F49" w:rsidRDefault="00A57F49" w:rsidP="00102AEF">
            <w:pPr>
              <w:jc w:val="center"/>
              <w:rPr>
                <w:rFonts w:ascii="Times New Roman" w:hAnsi="Times New Roman" w:cs="Times New Roman"/>
                <w:sz w:val="22"/>
                <w:szCs w:val="22"/>
              </w:rPr>
            </w:pPr>
          </w:p>
        </w:tc>
        <w:tc>
          <w:tcPr>
            <w:tcW w:w="2811" w:type="dxa"/>
            <w:gridSpan w:val="2"/>
            <w:vAlign w:val="center"/>
          </w:tcPr>
          <w:p w:rsidR="00A57F49" w:rsidRPr="00BE3857" w:rsidRDefault="00A57F49" w:rsidP="00102AEF">
            <w:pPr>
              <w:jc w:val="center"/>
              <w:rPr>
                <w:rFonts w:ascii="Times New Roman" w:hAnsi="Times New Roman" w:cs="Times New Roman"/>
                <w:sz w:val="22"/>
                <w:szCs w:val="22"/>
              </w:rPr>
            </w:pPr>
            <w:r w:rsidRPr="00BE3857">
              <w:rPr>
                <w:rFonts w:ascii="Times New Roman" w:hAnsi="Times New Roman" w:cs="Times New Roman"/>
                <w:sz w:val="22"/>
                <w:szCs w:val="22"/>
              </w:rPr>
              <w:t>Phase I</w:t>
            </w:r>
          </w:p>
        </w:tc>
        <w:tc>
          <w:tcPr>
            <w:tcW w:w="2700" w:type="dxa"/>
            <w:gridSpan w:val="2"/>
            <w:vAlign w:val="center"/>
          </w:tcPr>
          <w:p w:rsidR="00A57F49" w:rsidRPr="00BE3857" w:rsidRDefault="00A57F49" w:rsidP="00102AEF">
            <w:pPr>
              <w:jc w:val="center"/>
              <w:rPr>
                <w:rFonts w:ascii="Times New Roman" w:hAnsi="Times New Roman" w:cs="Times New Roman"/>
                <w:sz w:val="22"/>
                <w:szCs w:val="22"/>
              </w:rPr>
            </w:pPr>
            <w:r w:rsidRPr="00BE3857">
              <w:rPr>
                <w:rFonts w:ascii="Times New Roman" w:hAnsi="Times New Roman" w:cs="Times New Roman"/>
                <w:sz w:val="22"/>
                <w:szCs w:val="22"/>
              </w:rPr>
              <w:t>Phase II</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p>
        </w:tc>
        <w:tc>
          <w:tcPr>
            <w:tcW w:w="1371" w:type="dxa"/>
          </w:tcPr>
          <w:p w:rsidR="00A57F49" w:rsidRPr="00A57F49" w:rsidRDefault="00A57F49" w:rsidP="00A57F49">
            <w:pPr>
              <w:jc w:val="center"/>
              <w:rPr>
                <w:rFonts w:ascii="Times New Roman" w:hAnsi="Times New Roman" w:cs="Times New Roman"/>
                <w:sz w:val="22"/>
                <w:szCs w:val="22"/>
              </w:rPr>
            </w:pPr>
            <w:r w:rsidRPr="00A57F49">
              <w:rPr>
                <w:rFonts w:ascii="Times New Roman" w:hAnsi="Times New Roman" w:cs="Times New Roman"/>
                <w:sz w:val="22"/>
                <w:szCs w:val="22"/>
              </w:rPr>
              <w:t>Potable Water</w:t>
            </w:r>
          </w:p>
        </w:tc>
        <w:tc>
          <w:tcPr>
            <w:tcW w:w="1440" w:type="dxa"/>
          </w:tcPr>
          <w:p w:rsidR="00A57F49" w:rsidRPr="00A57F49" w:rsidRDefault="00A57F49" w:rsidP="00A57F49">
            <w:pPr>
              <w:jc w:val="center"/>
              <w:rPr>
                <w:rFonts w:ascii="Times New Roman" w:hAnsi="Times New Roman" w:cs="Times New Roman"/>
                <w:sz w:val="22"/>
                <w:szCs w:val="22"/>
              </w:rPr>
            </w:pPr>
            <w:r w:rsidRPr="00A57F49">
              <w:rPr>
                <w:rFonts w:ascii="Times New Roman" w:hAnsi="Times New Roman" w:cs="Times New Roman"/>
                <w:sz w:val="22"/>
                <w:szCs w:val="22"/>
              </w:rPr>
              <w:t>Wastewater</w:t>
            </w:r>
          </w:p>
        </w:tc>
        <w:tc>
          <w:tcPr>
            <w:tcW w:w="1350" w:type="dxa"/>
          </w:tcPr>
          <w:p w:rsidR="00A57F49" w:rsidRPr="00A57F49" w:rsidRDefault="00A57F49" w:rsidP="00A57F49">
            <w:pPr>
              <w:jc w:val="center"/>
              <w:rPr>
                <w:rFonts w:ascii="Times New Roman" w:hAnsi="Times New Roman" w:cs="Times New Roman"/>
                <w:sz w:val="22"/>
                <w:szCs w:val="22"/>
              </w:rPr>
            </w:pPr>
            <w:r w:rsidRPr="00A57F49">
              <w:rPr>
                <w:rFonts w:ascii="Times New Roman" w:hAnsi="Times New Roman" w:cs="Times New Roman"/>
                <w:sz w:val="22"/>
                <w:szCs w:val="22"/>
              </w:rPr>
              <w:t>Potable Water</w:t>
            </w:r>
          </w:p>
        </w:tc>
        <w:tc>
          <w:tcPr>
            <w:tcW w:w="1350" w:type="dxa"/>
          </w:tcPr>
          <w:p w:rsidR="00A57F49" w:rsidRPr="00A57F49" w:rsidRDefault="00A57F49" w:rsidP="00A57F49">
            <w:pPr>
              <w:jc w:val="center"/>
              <w:rPr>
                <w:rFonts w:ascii="Times New Roman" w:hAnsi="Times New Roman" w:cs="Times New Roman"/>
                <w:sz w:val="22"/>
                <w:szCs w:val="22"/>
              </w:rPr>
            </w:pPr>
            <w:r w:rsidRPr="00A57F49">
              <w:rPr>
                <w:rFonts w:ascii="Times New Roman" w:hAnsi="Times New Roman" w:cs="Times New Roman"/>
                <w:sz w:val="22"/>
                <w:szCs w:val="22"/>
              </w:rPr>
              <w:t>Wastewater</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 xml:space="preserve">Commission-Approved/Staff Recommended Revenue Requirement  </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$158,255</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$179,663</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$165,805</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$180,628</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Revenue generated from rates</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$170,848</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$161,821</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$170,848</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$167,070</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Revenue Increase/Decrease</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($12,593)</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$17,842</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($5,043)</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$13,558</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 xml:space="preserve">Netting </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$12,593</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($12,593)</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$5,043</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($5,043)</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Revenue Increase</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$0</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$5,249</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$0</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$8,515</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Percent Increase to Rates</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0%</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3.24%</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0%</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5.10%</w:t>
            </w:r>
          </w:p>
        </w:tc>
      </w:tr>
      <w:tr w:rsidR="00A57F49" w:rsidRPr="00A57F49" w:rsidTr="00102AEF">
        <w:trPr>
          <w:trHeight w:val="288"/>
        </w:trPr>
        <w:tc>
          <w:tcPr>
            <w:tcW w:w="3939" w:type="dxa"/>
          </w:tcPr>
          <w:p w:rsidR="00A57F49" w:rsidRPr="00A57F49" w:rsidRDefault="00A57F49" w:rsidP="00A57F49">
            <w:pPr>
              <w:rPr>
                <w:rFonts w:ascii="Times New Roman" w:hAnsi="Times New Roman" w:cs="Times New Roman"/>
                <w:sz w:val="22"/>
                <w:szCs w:val="22"/>
              </w:rPr>
            </w:pPr>
            <w:r w:rsidRPr="00A57F49">
              <w:rPr>
                <w:rFonts w:ascii="Times New Roman" w:hAnsi="Times New Roman" w:cs="Times New Roman"/>
                <w:sz w:val="22"/>
                <w:szCs w:val="22"/>
              </w:rPr>
              <w:t>Revenue Requirement for Rate Setting</w:t>
            </w:r>
          </w:p>
        </w:tc>
        <w:tc>
          <w:tcPr>
            <w:tcW w:w="1371"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$170,848</w:t>
            </w:r>
          </w:p>
        </w:tc>
        <w:tc>
          <w:tcPr>
            <w:tcW w:w="144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$167,070</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$170,848</w:t>
            </w:r>
          </w:p>
        </w:tc>
        <w:tc>
          <w:tcPr>
            <w:tcW w:w="1350" w:type="dxa"/>
            <w:vAlign w:val="bottom"/>
          </w:tcPr>
          <w:p w:rsidR="00A57F49" w:rsidRPr="00A57F49" w:rsidRDefault="00A57F49" w:rsidP="00A57F49">
            <w:pPr>
              <w:jc w:val="right"/>
              <w:rPr>
                <w:rFonts w:ascii="Times New Roman" w:hAnsi="Times New Roman" w:cs="Times New Roman"/>
                <w:sz w:val="22"/>
                <w:szCs w:val="22"/>
              </w:rPr>
            </w:pPr>
            <w:r w:rsidRPr="00A57F49">
              <w:rPr>
                <w:rFonts w:ascii="Times New Roman" w:hAnsi="Times New Roman" w:cs="Times New Roman"/>
                <w:sz w:val="22"/>
                <w:szCs w:val="22"/>
              </w:rPr>
              <w:t>$175,585</w:t>
            </w:r>
          </w:p>
        </w:tc>
      </w:tr>
    </w:tbl>
    <w:p w:rsidR="00A57F49" w:rsidRPr="00A57F49" w:rsidRDefault="00A57F49" w:rsidP="00A57F49">
      <w:pPr>
        <w:jc w:val="both"/>
        <w:rPr>
          <w:rFonts w:eastAsiaTheme="minorHAnsi"/>
        </w:rPr>
      </w:pPr>
    </w:p>
    <w:p w:rsidR="00A57F49" w:rsidRPr="00A57F49" w:rsidRDefault="00A57F49" w:rsidP="00A57F49">
      <w:pPr>
        <w:jc w:val="both"/>
        <w:rPr>
          <w:rFonts w:eastAsiaTheme="minorHAnsi"/>
        </w:rPr>
      </w:pPr>
      <w:proofErr w:type="gramStart"/>
      <w:r w:rsidRPr="00A57F49">
        <w:rPr>
          <w:rFonts w:eastAsiaTheme="minorHAnsi"/>
        </w:rPr>
        <w:t>For Phase II, netting the potable water and wastewater systems’ revenues results in an increase of 5.10 percent for the wastewater system.</w:t>
      </w:r>
      <w:proofErr w:type="gramEnd"/>
      <w:r w:rsidRPr="00A57F49">
        <w:rPr>
          <w:rFonts w:eastAsiaTheme="minorHAnsi"/>
        </w:rPr>
        <w:t xml:space="preserve"> The revenue increase of $8,515, excluding miscellaneous revenues of $655, results in a 5.12 percent increase. The 5.12 percent increase should be applied as an across-the-board increase to the Phase I wastewater rates. Since the implementation of the Phase I rates, the Utility was approved for a price index increase effective December 7, 2018. In order to maintain the price index increase, staff recommends that the incremental difference between the Phase I and Phase II rates be added to the Utility’s current wastewater rates. Staff recommends no change to the potable water rates. There is no revenue</w:t>
      </w:r>
      <w:r w:rsidR="00686097">
        <w:rPr>
          <w:rFonts w:eastAsiaTheme="minorHAnsi"/>
        </w:rPr>
        <w:t xml:space="preserve"> or rate </w:t>
      </w:r>
      <w:r w:rsidRPr="00A57F49">
        <w:rPr>
          <w:rFonts w:eastAsiaTheme="minorHAnsi"/>
        </w:rPr>
        <w:t>change for non potable water rates.</w:t>
      </w:r>
    </w:p>
    <w:p w:rsidR="00A57F49" w:rsidRPr="00A57F49" w:rsidRDefault="00A57F49" w:rsidP="00A57F49">
      <w:pPr>
        <w:jc w:val="both"/>
        <w:rPr>
          <w:rFonts w:eastAsiaTheme="minorHAnsi"/>
        </w:rPr>
      </w:pPr>
    </w:p>
    <w:p w:rsidR="005D2C28" w:rsidRDefault="00A57F49" w:rsidP="00A57F49">
      <w:pPr>
        <w:jc w:val="both"/>
        <w:rPr>
          <w:vanish/>
          <w:specVanish/>
        </w:rPr>
      </w:pPr>
      <w:r w:rsidRPr="00A57F49">
        <w:rPr>
          <w:rFonts w:eastAsiaTheme="minorHAnsi"/>
        </w:rPr>
        <w:t>The appropriate Phase II rates are shown on Schedule Nos. 3-A and 3-B.</w:t>
      </w:r>
      <w:r>
        <w:rPr>
          <w:rFonts w:eastAsiaTheme="minorHAnsi"/>
        </w:rPr>
        <w:t xml:space="preserve"> </w:t>
      </w:r>
      <w:r w:rsidRPr="00A57F49">
        <w:rPr>
          <w:rFonts w:eastAsiaTheme="minorHAnsi"/>
        </w:rPr>
        <w:t>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EC27D2">
        <w:rPr>
          <w:rFonts w:eastAsiaTheme="minorHAnsi"/>
        </w:rPr>
        <w:t>.</w:t>
      </w:r>
      <w:r w:rsidR="005D2C28" w:rsidRPr="004C3641">
        <w:br w:type="page"/>
      </w:r>
      <w:r w:rsidR="005D2C28" w:rsidRPr="00417AD8">
        <w:rPr>
          <w:rFonts w:ascii="Arial" w:hAnsi="Arial" w:cs="Arial"/>
          <w:b/>
          <w:i/>
        </w:rPr>
        <w:lastRenderedPageBreak/>
        <w:t xml:space="preserve">Issue </w:t>
      </w:r>
      <w:r w:rsidR="00417AD8" w:rsidRPr="00417AD8">
        <w:rPr>
          <w:rFonts w:ascii="Arial" w:hAnsi="Arial" w:cs="Arial"/>
          <w:b/>
          <w:i/>
        </w:rPr>
        <w:fldChar w:fldCharType="begin"/>
      </w:r>
      <w:r w:rsidR="00417AD8" w:rsidRPr="00417AD8">
        <w:rPr>
          <w:rFonts w:ascii="Arial" w:hAnsi="Arial" w:cs="Arial"/>
          <w:b/>
          <w:i/>
        </w:rPr>
        <w:instrText xml:space="preserve"> SEQ Issue \* MERGEFORMAT </w:instrText>
      </w:r>
      <w:r w:rsidR="00417AD8" w:rsidRPr="00417AD8">
        <w:rPr>
          <w:rFonts w:ascii="Arial" w:hAnsi="Arial" w:cs="Arial"/>
          <w:b/>
          <w:i/>
        </w:rPr>
        <w:fldChar w:fldCharType="separate"/>
      </w:r>
      <w:r w:rsidR="00C443BE">
        <w:rPr>
          <w:rFonts w:ascii="Arial" w:hAnsi="Arial" w:cs="Arial"/>
          <w:b/>
          <w:i/>
          <w:noProof/>
        </w:rPr>
        <w:t>3</w:t>
      </w:r>
      <w:r w:rsidR="00417AD8" w:rsidRPr="00417AD8">
        <w:rPr>
          <w:rFonts w:ascii="Arial" w:hAnsi="Arial" w:cs="Arial"/>
          <w:b/>
          <w:i/>
          <w:noProof/>
        </w:rPr>
        <w:fldChar w:fldCharType="end"/>
      </w:r>
      <w:r w:rsidR="005D2C28" w:rsidRPr="00417AD8">
        <w:rPr>
          <w:rFonts w:ascii="Arial" w:hAnsi="Arial" w:cs="Arial"/>
          <w:b/>
          <w:i/>
        </w:rPr>
        <w:t>:</w:t>
      </w:r>
      <w:r w:rsidR="005D2C28" w:rsidRPr="00417AD8">
        <w:rPr>
          <w:rFonts w:ascii="Arial" w:hAnsi="Arial" w:cs="Arial"/>
        </w:rPr>
        <w:fldChar w:fldCharType="begin"/>
      </w:r>
      <w:r w:rsidR="005D2C28" w:rsidRPr="00417AD8">
        <w:rPr>
          <w:rFonts w:ascii="Arial" w:hAnsi="Arial" w:cs="Arial"/>
        </w:rPr>
        <w:instrText xml:space="preserve"> TC "</w:instrText>
      </w:r>
      <w:r w:rsidR="005D2C28" w:rsidRPr="00417AD8">
        <w:rPr>
          <w:rFonts w:ascii="Arial" w:hAnsi="Arial" w:cs="Arial"/>
        </w:rPr>
        <w:fldChar w:fldCharType="begin"/>
      </w:r>
      <w:r w:rsidR="005D2C28" w:rsidRPr="00417AD8">
        <w:rPr>
          <w:rFonts w:ascii="Arial" w:hAnsi="Arial" w:cs="Arial"/>
        </w:rPr>
        <w:instrText xml:space="preserve"> SEQ issue \c </w:instrText>
      </w:r>
      <w:r w:rsidR="005D2C28" w:rsidRPr="00417AD8">
        <w:rPr>
          <w:rFonts w:ascii="Arial" w:hAnsi="Arial" w:cs="Arial"/>
        </w:rPr>
        <w:fldChar w:fldCharType="separate"/>
      </w:r>
      <w:r w:rsidR="00C443BE">
        <w:rPr>
          <w:rFonts w:ascii="Arial" w:hAnsi="Arial" w:cs="Arial"/>
          <w:noProof/>
        </w:rPr>
        <w:instrText>3</w:instrText>
      </w:r>
      <w:r w:rsidR="005D2C28" w:rsidRPr="00417AD8">
        <w:rPr>
          <w:rFonts w:ascii="Arial" w:hAnsi="Arial" w:cs="Arial"/>
        </w:rPr>
        <w:fldChar w:fldCharType="end"/>
      </w:r>
      <w:r w:rsidR="005D2C28" w:rsidRPr="00417AD8">
        <w:rPr>
          <w:rFonts w:ascii="Arial" w:hAnsi="Arial" w:cs="Arial"/>
        </w:rPr>
        <w:tab/>
        <w:instrText xml:space="preserve">" \l 1 </w:instrText>
      </w:r>
      <w:r w:rsidR="005D2C28" w:rsidRPr="00417AD8">
        <w:rPr>
          <w:rFonts w:ascii="Arial" w:hAnsi="Arial" w:cs="Arial"/>
        </w:rPr>
        <w:fldChar w:fldCharType="end"/>
      </w:r>
      <w:r w:rsidR="005D2C28" w:rsidRPr="00417AD8">
        <w:rPr>
          <w:rFonts w:ascii="Arial" w:hAnsi="Arial" w:cs="Arial"/>
        </w:rPr>
        <w:t> </w:t>
      </w:r>
    </w:p>
    <w:p w:rsidR="005D2C28" w:rsidRDefault="005D2C28">
      <w:pPr>
        <w:pStyle w:val="BodyText"/>
      </w:pPr>
      <w:r>
        <w:t> Should this docket be closed?</w:t>
      </w:r>
    </w:p>
    <w:p w:rsidR="005D2C28" w:rsidRPr="004C3641" w:rsidRDefault="005D2C28">
      <w:pPr>
        <w:pStyle w:val="IssueSubsectionHeading"/>
        <w:rPr>
          <w:vanish/>
          <w:specVanish/>
        </w:rPr>
      </w:pPr>
      <w:r w:rsidRPr="004C3641">
        <w:t>Recommendation: </w:t>
      </w:r>
    </w:p>
    <w:p w:rsidR="005D2C28" w:rsidRDefault="005D2C28">
      <w:pPr>
        <w:pStyle w:val="BodyText"/>
      </w:pPr>
      <w:r>
        <w:t> </w:t>
      </w:r>
      <w:r w:rsidR="009B215B">
        <w:t xml:space="preserve">No. If no person whose substantial interests are affected by the proposed agency action files a protest within </w:t>
      </w:r>
      <w:r w:rsidR="00736A62">
        <w:t>21</w:t>
      </w:r>
      <w:r w:rsidR="009B215B">
        <w:t xml:space="preserve"> days of the issuance of the order, a consummating order will be issued. The docket should remain open for staff’s verification that the revised tariff sheets and the customer notice have been filed by the Utility and approved by staff. When the tariff and notice actions are complete, this docket may be closed </w:t>
      </w:r>
      <w:r w:rsidR="003E3B68">
        <w:t>administratively. (Murphy</w:t>
      </w:r>
      <w:r w:rsidR="009B215B">
        <w:t xml:space="preserve">) </w:t>
      </w:r>
      <w:r>
        <w:t xml:space="preserve"> </w:t>
      </w:r>
    </w:p>
    <w:p w:rsidR="005D2C28" w:rsidRPr="004C3641" w:rsidRDefault="005D2C28">
      <w:pPr>
        <w:pStyle w:val="IssueSubsectionHeading"/>
        <w:rPr>
          <w:vanish/>
          <w:specVanish/>
        </w:rPr>
      </w:pPr>
      <w:r w:rsidRPr="004C3641">
        <w:t>Staff Analysis: </w:t>
      </w:r>
    </w:p>
    <w:p w:rsidR="005D2C28" w:rsidRDefault="005D2C28">
      <w:pPr>
        <w:pStyle w:val="BodyText"/>
      </w:pPr>
      <w:r>
        <w:t> </w:t>
      </w:r>
      <w:r w:rsidR="009B215B">
        <w:t xml:space="preserve">If no person whose substantial interests are affected by the proposed agency action files a protest within </w:t>
      </w:r>
      <w:r w:rsidR="00996DE5">
        <w:t>21</w:t>
      </w:r>
      <w:r w:rsidR="009B215B">
        <w:t xml:space="preserve"> days of the issuance of the order, a consummating order will be issued. The docket should remain open for staff’s verification that the revised tariff sheets and the customer notice have been filed by the Utility and approved by staff. When the tariff and notice actions are complete, this docket may be closed administratively. </w:t>
      </w:r>
    </w:p>
    <w:p w:rsidR="00FA30AF" w:rsidRDefault="00FA30AF" w:rsidP="00E275D8">
      <w:pPr>
        <w:pStyle w:val="BodyText"/>
        <w:sectPr w:rsidR="00FA30A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A30AF" w:rsidRDefault="00FA30AF" w:rsidP="00E275D8">
      <w:pPr>
        <w:pStyle w:val="BodyText"/>
      </w:pPr>
    </w:p>
    <w:p w:rsidR="00417AD8" w:rsidRDefault="00417AD8" w:rsidP="00417AD8">
      <w:pPr>
        <w:pStyle w:val="BodyText"/>
        <w:jc w:val="center"/>
        <w:sectPr w:rsidR="00417AD8" w:rsidSect="0068481F">
          <w:headerReference w:type="default" r:id="rId15"/>
          <w:pgSz w:w="12240" w:h="15840" w:code="1"/>
          <w:pgMar w:top="1584" w:right="1440" w:bottom="1440" w:left="1440" w:header="720" w:footer="720" w:gutter="0"/>
          <w:cols w:space="720"/>
          <w:formProt w:val="0"/>
          <w:docGrid w:linePitch="360"/>
        </w:sectPr>
      </w:pPr>
      <w:r w:rsidRPr="00BB3AFA">
        <w:rPr>
          <w:noProof/>
        </w:rPr>
        <w:drawing>
          <wp:inline distT="0" distB="0" distL="0" distR="0" wp14:anchorId="60150FE5" wp14:editId="230FBBC7">
            <wp:extent cx="4953000" cy="443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4438650"/>
                    </a:xfrm>
                    <a:prstGeom prst="rect">
                      <a:avLst/>
                    </a:prstGeom>
                    <a:noFill/>
                    <a:ln>
                      <a:noFill/>
                    </a:ln>
                  </pic:spPr>
                </pic:pic>
              </a:graphicData>
            </a:graphic>
          </wp:inline>
        </w:drawing>
      </w:r>
    </w:p>
    <w:p w:rsidR="00A57F49" w:rsidRDefault="00A57F49" w:rsidP="00E566C2">
      <w:pPr>
        <w:pStyle w:val="BodyText"/>
        <w:jc w:val="center"/>
        <w:rPr>
          <w:noProof/>
        </w:rPr>
      </w:pPr>
    </w:p>
    <w:p w:rsidR="00A57F49" w:rsidRDefault="00417AD8" w:rsidP="00E566C2">
      <w:pPr>
        <w:pStyle w:val="BodyText"/>
        <w:jc w:val="center"/>
        <w:sectPr w:rsidR="00A57F49" w:rsidSect="0068481F">
          <w:headerReference w:type="default" r:id="rId17"/>
          <w:pgSz w:w="12240" w:h="15840" w:code="1"/>
          <w:pgMar w:top="1584" w:right="1440" w:bottom="1440" w:left="1440" w:header="720" w:footer="720" w:gutter="0"/>
          <w:cols w:space="720"/>
          <w:formProt w:val="0"/>
          <w:docGrid w:linePitch="360"/>
        </w:sectPr>
      </w:pPr>
      <w:r w:rsidRPr="00F679E1">
        <w:rPr>
          <w:noProof/>
        </w:rPr>
        <w:drawing>
          <wp:inline distT="0" distB="0" distL="0" distR="0" wp14:anchorId="7C2B2672" wp14:editId="1E6EDAC7">
            <wp:extent cx="5410200" cy="442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0200" cy="4429125"/>
                    </a:xfrm>
                    <a:prstGeom prst="rect">
                      <a:avLst/>
                    </a:prstGeom>
                    <a:noFill/>
                    <a:ln>
                      <a:noFill/>
                    </a:ln>
                  </pic:spPr>
                </pic:pic>
              </a:graphicData>
            </a:graphic>
          </wp:inline>
        </w:drawing>
      </w:r>
    </w:p>
    <w:p w:rsidR="00FA30AF" w:rsidRDefault="00FA30AF" w:rsidP="00E566C2">
      <w:pPr>
        <w:pStyle w:val="BodyText"/>
        <w:jc w:val="center"/>
      </w:pPr>
    </w:p>
    <w:p w:rsidR="00A57F49" w:rsidRDefault="00417AD8" w:rsidP="00E566C2">
      <w:pPr>
        <w:pStyle w:val="BodyText"/>
        <w:jc w:val="center"/>
      </w:pPr>
      <w:r w:rsidRPr="00F679E1">
        <w:rPr>
          <w:noProof/>
        </w:rPr>
        <w:drawing>
          <wp:inline distT="0" distB="0" distL="0" distR="0" wp14:anchorId="548776DE" wp14:editId="6BE7FE22">
            <wp:extent cx="5762625" cy="439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4391025"/>
                    </a:xfrm>
                    <a:prstGeom prst="rect">
                      <a:avLst/>
                    </a:prstGeom>
                    <a:noFill/>
                    <a:ln>
                      <a:noFill/>
                    </a:ln>
                  </pic:spPr>
                </pic:pic>
              </a:graphicData>
            </a:graphic>
          </wp:inline>
        </w:drawing>
      </w:r>
    </w:p>
    <w:p w:rsidR="00A57F49" w:rsidRDefault="00A57F49" w:rsidP="00E566C2">
      <w:pPr>
        <w:pStyle w:val="BodyText"/>
        <w:jc w:val="center"/>
        <w:sectPr w:rsidR="00A57F49" w:rsidSect="0068481F">
          <w:headerReference w:type="default" r:id="rId20"/>
          <w:pgSz w:w="12240" w:h="15840" w:code="1"/>
          <w:pgMar w:top="1584" w:right="1440" w:bottom="1440" w:left="1440" w:header="720" w:footer="720" w:gutter="0"/>
          <w:cols w:space="720"/>
          <w:formProt w:val="0"/>
          <w:docGrid w:linePitch="360"/>
        </w:sectPr>
      </w:pPr>
    </w:p>
    <w:p w:rsidR="00D27FD5" w:rsidRDefault="00D27FD5" w:rsidP="00E566C2">
      <w:pPr>
        <w:pStyle w:val="BodyText"/>
        <w:jc w:val="center"/>
        <w:rPr>
          <w:noProof/>
        </w:rPr>
      </w:pPr>
    </w:p>
    <w:p w:rsidR="00A57F49" w:rsidRDefault="00417AD8" w:rsidP="00E566C2">
      <w:pPr>
        <w:pStyle w:val="BodyText"/>
        <w:jc w:val="center"/>
        <w:rPr>
          <w:noProof/>
        </w:rPr>
      </w:pPr>
      <w:r w:rsidRPr="00F679E1">
        <w:rPr>
          <w:noProof/>
        </w:rPr>
        <w:drawing>
          <wp:inline distT="0" distB="0" distL="0" distR="0" wp14:anchorId="287D1841" wp14:editId="62184F73">
            <wp:extent cx="5943600" cy="32296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229610"/>
                    </a:xfrm>
                    <a:prstGeom prst="rect">
                      <a:avLst/>
                    </a:prstGeom>
                    <a:noFill/>
                    <a:ln>
                      <a:noFill/>
                    </a:ln>
                  </pic:spPr>
                </pic:pic>
              </a:graphicData>
            </a:graphic>
          </wp:inline>
        </w:drawing>
      </w:r>
    </w:p>
    <w:p w:rsidR="00A57F49" w:rsidRDefault="00A57F49" w:rsidP="00E566C2">
      <w:pPr>
        <w:pStyle w:val="BodyText"/>
        <w:jc w:val="center"/>
        <w:sectPr w:rsidR="00A57F49" w:rsidSect="00037CF8">
          <w:headerReference w:type="default" r:id="rId22"/>
          <w:pgSz w:w="12240" w:h="15840" w:code="1"/>
          <w:pgMar w:top="1584" w:right="1440" w:bottom="1440" w:left="1440" w:header="720" w:footer="720" w:gutter="0"/>
          <w:cols w:space="720"/>
          <w:formProt w:val="0"/>
          <w:docGrid w:linePitch="360"/>
        </w:sectPr>
      </w:pPr>
    </w:p>
    <w:p w:rsidR="00FA30AF" w:rsidRDefault="00FA30AF" w:rsidP="00E275D8">
      <w:pPr>
        <w:pStyle w:val="BodyText"/>
      </w:pPr>
    </w:p>
    <w:p w:rsidR="00D27FD5" w:rsidRDefault="00417AD8" w:rsidP="00E566C2">
      <w:pPr>
        <w:pStyle w:val="BodyText"/>
        <w:jc w:val="center"/>
      </w:pPr>
      <w:r w:rsidRPr="00F679E1">
        <w:rPr>
          <w:noProof/>
        </w:rPr>
        <w:drawing>
          <wp:inline distT="0" distB="0" distL="0" distR="0" wp14:anchorId="422FA698" wp14:editId="3916FECB">
            <wp:extent cx="5943600" cy="5090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090160"/>
                    </a:xfrm>
                    <a:prstGeom prst="rect">
                      <a:avLst/>
                    </a:prstGeom>
                    <a:noFill/>
                    <a:ln>
                      <a:noFill/>
                    </a:ln>
                  </pic:spPr>
                </pic:pic>
              </a:graphicData>
            </a:graphic>
          </wp:inline>
        </w:drawing>
      </w:r>
    </w:p>
    <w:p w:rsidR="00D27FD5" w:rsidRDefault="00D27FD5" w:rsidP="00E275D8">
      <w:pPr>
        <w:pStyle w:val="BodyText"/>
        <w:sectPr w:rsidR="00D27FD5" w:rsidSect="00D27FD5">
          <w:headerReference w:type="default" r:id="rId24"/>
          <w:pgSz w:w="12240" w:h="15840" w:code="1"/>
          <w:pgMar w:top="1584" w:right="1440" w:bottom="1440" w:left="1440" w:header="720" w:footer="720" w:gutter="0"/>
          <w:cols w:space="720"/>
          <w:formProt w:val="0"/>
          <w:docGrid w:linePitch="360"/>
        </w:sectPr>
      </w:pPr>
    </w:p>
    <w:p w:rsidR="00D27FD5" w:rsidRDefault="00D27FD5" w:rsidP="00E275D8">
      <w:pPr>
        <w:pStyle w:val="BodyText"/>
      </w:pPr>
    </w:p>
    <w:p w:rsidR="00D27FD5" w:rsidRDefault="00417AD8" w:rsidP="00E566C2">
      <w:pPr>
        <w:pStyle w:val="BodyText"/>
        <w:jc w:val="center"/>
      </w:pPr>
      <w:r w:rsidRPr="00BB3AFA">
        <w:rPr>
          <w:noProof/>
        </w:rPr>
        <w:drawing>
          <wp:inline distT="0" distB="0" distL="0" distR="0" wp14:anchorId="7231B27B" wp14:editId="77991A88">
            <wp:extent cx="5943600" cy="47294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729480"/>
                    </a:xfrm>
                    <a:prstGeom prst="rect">
                      <a:avLst/>
                    </a:prstGeom>
                    <a:noFill/>
                    <a:ln>
                      <a:noFill/>
                    </a:ln>
                  </pic:spPr>
                </pic:pic>
              </a:graphicData>
            </a:graphic>
          </wp:inline>
        </w:drawing>
      </w:r>
    </w:p>
    <w:p w:rsidR="00D27FD5" w:rsidRDefault="00D27FD5" w:rsidP="00E275D8">
      <w:pPr>
        <w:pStyle w:val="BodyText"/>
        <w:sectPr w:rsidR="00D27FD5" w:rsidSect="00D27FD5">
          <w:headerReference w:type="default" r:id="rId26"/>
          <w:pgSz w:w="12240" w:h="15840" w:code="1"/>
          <w:pgMar w:top="1584" w:right="1440" w:bottom="1440" w:left="1440" w:header="720" w:footer="720" w:gutter="0"/>
          <w:cols w:space="720"/>
          <w:formProt w:val="0"/>
          <w:docGrid w:linePitch="360"/>
        </w:sectPr>
      </w:pPr>
    </w:p>
    <w:p w:rsidR="00D27FD5" w:rsidRDefault="00D27FD5" w:rsidP="00E275D8">
      <w:pPr>
        <w:pStyle w:val="BodyText"/>
      </w:pPr>
    </w:p>
    <w:p w:rsidR="00D27FD5" w:rsidRDefault="00E30D4B" w:rsidP="00417AD8">
      <w:pPr>
        <w:pStyle w:val="BodyText"/>
        <w:jc w:val="center"/>
        <w:sectPr w:rsidR="00D27FD5" w:rsidSect="00D27FD5">
          <w:headerReference w:type="default" r:id="rId27"/>
          <w:pgSz w:w="12240" w:h="15840" w:code="1"/>
          <w:pgMar w:top="1584" w:right="1440" w:bottom="1440" w:left="1440" w:header="720" w:footer="720" w:gutter="0"/>
          <w:cols w:space="720"/>
          <w:formProt w:val="0"/>
          <w:docGrid w:linePitch="360"/>
        </w:sectPr>
      </w:pPr>
      <w:r w:rsidRPr="00F679E1">
        <w:rPr>
          <w:noProof/>
        </w:rPr>
        <w:drawing>
          <wp:inline distT="0" distB="0" distL="0" distR="0" wp14:anchorId="088D9DA5" wp14:editId="3BE575AB">
            <wp:extent cx="5943600" cy="47224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722495"/>
                    </a:xfrm>
                    <a:prstGeom prst="rect">
                      <a:avLst/>
                    </a:prstGeom>
                    <a:noFill/>
                    <a:ln>
                      <a:noFill/>
                    </a:ln>
                  </pic:spPr>
                </pic:pic>
              </a:graphicData>
            </a:graphic>
          </wp:inline>
        </w:drawing>
      </w:r>
    </w:p>
    <w:p w:rsidR="00E566C2" w:rsidRDefault="00E566C2" w:rsidP="00E275D8">
      <w:pPr>
        <w:pStyle w:val="BodyText"/>
      </w:pPr>
    </w:p>
    <w:p w:rsidR="00417AD8" w:rsidRDefault="00417AD8" w:rsidP="00102AEF">
      <w:pPr>
        <w:pStyle w:val="BodyText"/>
        <w:jc w:val="center"/>
        <w:sectPr w:rsidR="00417AD8" w:rsidSect="00D27FD5">
          <w:headerReference w:type="default" r:id="rId29"/>
          <w:pgSz w:w="12240" w:h="15840" w:code="1"/>
          <w:pgMar w:top="1584" w:right="1440" w:bottom="1440" w:left="1440" w:header="720" w:footer="720" w:gutter="0"/>
          <w:cols w:space="720"/>
          <w:formProt w:val="0"/>
          <w:docGrid w:linePitch="360"/>
        </w:sectPr>
      </w:pPr>
      <w:r w:rsidRPr="005B31F4">
        <w:rPr>
          <w:noProof/>
        </w:rPr>
        <w:drawing>
          <wp:inline distT="0" distB="0" distL="0" distR="0" wp14:anchorId="0887DDD7" wp14:editId="5F562BD0">
            <wp:extent cx="5943600" cy="3714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rsidR="00E566C2" w:rsidRDefault="007D26A1" w:rsidP="00A57F49">
      <w:pPr>
        <w:pStyle w:val="BodyText"/>
        <w:jc w:val="center"/>
        <w:sectPr w:rsidR="00E566C2" w:rsidSect="00D27FD5">
          <w:headerReference w:type="default" r:id="rId31"/>
          <w:pgSz w:w="12240" w:h="15840" w:code="1"/>
          <w:pgMar w:top="1584" w:right="1440" w:bottom="1440" w:left="1440" w:header="720" w:footer="720" w:gutter="0"/>
          <w:cols w:space="720"/>
          <w:formProt w:val="0"/>
          <w:docGrid w:linePitch="360"/>
        </w:sectPr>
      </w:pPr>
      <w:r w:rsidRPr="00DA3081">
        <w:rPr>
          <w:noProof/>
        </w:rPr>
        <w:lastRenderedPageBreak/>
        <w:drawing>
          <wp:inline distT="0" distB="0" distL="0" distR="0" wp14:anchorId="28409FA2" wp14:editId="5238D3F4">
            <wp:extent cx="5943600" cy="6620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6620510"/>
                    </a:xfrm>
                    <a:prstGeom prst="rect">
                      <a:avLst/>
                    </a:prstGeom>
                    <a:noFill/>
                    <a:ln>
                      <a:noFill/>
                    </a:ln>
                  </pic:spPr>
                </pic:pic>
              </a:graphicData>
            </a:graphic>
          </wp:inline>
        </w:drawing>
      </w:r>
    </w:p>
    <w:p w:rsidR="00D27FD5" w:rsidRDefault="007D26A1" w:rsidP="00E275D8">
      <w:pPr>
        <w:pStyle w:val="BodyText"/>
      </w:pPr>
      <w:r w:rsidRPr="00DA3081">
        <w:rPr>
          <w:noProof/>
        </w:rPr>
        <w:lastRenderedPageBreak/>
        <w:drawing>
          <wp:inline distT="0" distB="0" distL="0" distR="0" wp14:anchorId="4C507418" wp14:editId="4582A013">
            <wp:extent cx="5943600" cy="54089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408930"/>
                    </a:xfrm>
                    <a:prstGeom prst="rect">
                      <a:avLst/>
                    </a:prstGeom>
                    <a:noFill/>
                    <a:ln>
                      <a:noFill/>
                    </a:ln>
                  </pic:spPr>
                </pic:pic>
              </a:graphicData>
            </a:graphic>
          </wp:inline>
        </w:drawing>
      </w:r>
    </w:p>
    <w:sectPr w:rsidR="00D27FD5" w:rsidSect="00D27FD5">
      <w:headerReference w:type="default" r:id="rId3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99" w:rsidRDefault="005E0199">
      <w:r>
        <w:separator/>
      </w:r>
    </w:p>
  </w:endnote>
  <w:endnote w:type="continuationSeparator" w:id="0">
    <w:p w:rsidR="005E0199" w:rsidRDefault="005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443BE">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99" w:rsidRDefault="005E0199">
      <w:r>
        <w:separator/>
      </w:r>
    </w:p>
  </w:footnote>
  <w:footnote w:type="continuationSeparator" w:id="0">
    <w:p w:rsidR="005E0199" w:rsidRDefault="005E0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220732">
    <w:pPr>
      <w:pStyle w:val="Header"/>
      <w:tabs>
        <w:tab w:val="clear" w:pos="4320"/>
        <w:tab w:val="clear" w:pos="8640"/>
        <w:tab w:val="right" w:pos="9360"/>
      </w:tabs>
    </w:pPr>
    <w:bookmarkStart w:id="12" w:name="DocketLabel"/>
    <w:r>
      <w:t>Docket No.</w:t>
    </w:r>
    <w:bookmarkEnd w:id="12"/>
    <w:r>
      <w:t xml:space="preserve"> </w:t>
    </w:r>
    <w:bookmarkStart w:id="13" w:name="DocketList"/>
    <w:r>
      <w:t>20150010-WS</w:t>
    </w:r>
    <w:bookmarkEnd w:id="13"/>
  </w:p>
  <w:p w:rsidR="005E0199" w:rsidRDefault="005E0199">
    <w:pPr>
      <w:pStyle w:val="Header"/>
    </w:pPr>
    <w:r>
      <w:t xml:space="preserve">Date: </w:t>
    </w:r>
    <w:fldSimple w:instr=" REF FilingDate ">
      <w:r w:rsidR="00C443BE">
        <w:t>March 21, 2019</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2-C</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2-D</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3-A</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3-B</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220732">
    <w:pPr>
      <w:pStyle w:val="Header"/>
      <w:tabs>
        <w:tab w:val="clear" w:pos="4320"/>
        <w:tab w:val="clear" w:pos="8640"/>
        <w:tab w:val="right" w:pos="936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ab/>
      <w:t xml:space="preserve">Issue </w:t>
    </w:r>
    <w:fldSimple w:instr=" Seq Issue \c \* Arabic ">
      <w:r w:rsidR="00C443BE">
        <w:rPr>
          <w:noProof/>
        </w:rPr>
        <w:t>2</w:t>
      </w:r>
    </w:fldSimple>
  </w:p>
  <w:p w:rsidR="005E0199" w:rsidRDefault="005E0199">
    <w:pPr>
      <w:pStyle w:val="Header"/>
    </w:pPr>
    <w:r>
      <w:t xml:space="preserve">Date: </w:t>
    </w:r>
    <w:fldSimple w:instr=" REF FilingDate ">
      <w:r w:rsidR="00C443BE">
        <w:t>March 21,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220732">
    <w:pPr>
      <w:pStyle w:val="Header"/>
      <w:tabs>
        <w:tab w:val="clear" w:pos="4320"/>
        <w:tab w:val="clear" w:pos="8640"/>
        <w:tab w:val="right" w:pos="936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ab/>
      <w:t>Schedule No. 1-A</w:t>
    </w:r>
  </w:p>
  <w:p w:rsidR="005E0199" w:rsidRDefault="005E0199" w:rsidP="00FA30AF">
    <w:pPr>
      <w:pStyle w:val="Header"/>
      <w:tabs>
        <w:tab w:val="clear" w:pos="8640"/>
      </w:tabs>
    </w:pPr>
    <w:r>
      <w:t xml:space="preserve">Date: </w:t>
    </w:r>
    <w:fldSimple w:instr=" REF FilingDate ">
      <w:r w:rsidR="00C443BE">
        <w:t>March 21, 2019</w:t>
      </w:r>
    </w:fldSimple>
    <w:r>
      <w:tab/>
    </w:r>
    <w:r>
      <w:tab/>
    </w:r>
    <w:r>
      <w:tab/>
      <w:t xml:space="preserve">                                         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220732">
    <w:pPr>
      <w:pStyle w:val="Header"/>
      <w:tabs>
        <w:tab w:val="clear" w:pos="4320"/>
        <w:tab w:val="clear" w:pos="8640"/>
        <w:tab w:val="right" w:pos="936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ab/>
      <w:t>Schedule No. 1-B</w:t>
    </w:r>
  </w:p>
  <w:p w:rsidR="005E0199" w:rsidRDefault="005E0199" w:rsidP="00FA30AF">
    <w:pPr>
      <w:pStyle w:val="Header"/>
      <w:tabs>
        <w:tab w:val="clear" w:pos="8640"/>
      </w:tabs>
    </w:pPr>
    <w:r>
      <w:t xml:space="preserve">Date: </w:t>
    </w:r>
    <w:fldSimple w:instr=" REF FilingDate ">
      <w:r w:rsidR="00C443BE">
        <w:t>March 21, 2019</w:t>
      </w:r>
    </w:fldSimple>
    <w:r>
      <w:tab/>
    </w:r>
    <w:r>
      <w:tab/>
    </w:r>
    <w:r>
      <w:tab/>
      <w:t xml:space="preserve">                                         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220732">
    <w:pPr>
      <w:pStyle w:val="Header"/>
      <w:tabs>
        <w:tab w:val="clear" w:pos="4320"/>
        <w:tab w:val="clear" w:pos="8640"/>
        <w:tab w:val="right" w:pos="936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ab/>
      <w:t>Schedule No. 1-C</w:t>
    </w:r>
  </w:p>
  <w:p w:rsidR="005E0199" w:rsidRDefault="005E0199" w:rsidP="00FA30AF">
    <w:pPr>
      <w:pStyle w:val="Header"/>
      <w:tabs>
        <w:tab w:val="clear" w:pos="8640"/>
      </w:tabs>
    </w:pPr>
    <w:r>
      <w:t xml:space="preserve">Date: </w:t>
    </w:r>
    <w:fldSimple w:instr=" REF FilingDate ">
      <w:r w:rsidR="00C443BE">
        <w:t>March 21, 2019</w:t>
      </w:r>
    </w:fldSimple>
    <w:r>
      <w:tab/>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037CF8">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1-D</w:t>
    </w:r>
  </w:p>
  <w:p w:rsidR="005E0199" w:rsidRDefault="005E0199" w:rsidP="00FA30AF">
    <w:pPr>
      <w:pStyle w:val="Header"/>
      <w:tabs>
        <w:tab w:val="clear" w:pos="8640"/>
      </w:tabs>
    </w:pPr>
    <w:r>
      <w:t xml:space="preserve">Date: </w:t>
    </w:r>
    <w:fldSimple w:instr=" REF FilingDate ">
      <w:r w:rsidR="00C443BE">
        <w:t>March 21, 2019</w:t>
      </w:r>
    </w:fldSimple>
    <w:r>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2-A</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9" w:rsidRDefault="005E0199" w:rsidP="00D27FD5">
    <w:pPr>
      <w:pStyle w:val="Header"/>
      <w:tabs>
        <w:tab w:val="clear" w:pos="4320"/>
        <w:tab w:val="clear" w:pos="8640"/>
        <w:tab w:val="right" w:pos="10980"/>
      </w:tabs>
    </w:pPr>
    <w:r>
      <w:fldChar w:fldCharType="begin"/>
    </w:r>
    <w:r>
      <w:instrText xml:space="preserve"> REF DocketLabel</w:instrText>
    </w:r>
    <w:r>
      <w:fldChar w:fldCharType="separate"/>
    </w:r>
    <w:r w:rsidR="00C443BE">
      <w:t>Docket No.</w:t>
    </w:r>
    <w:r>
      <w:fldChar w:fldCharType="end"/>
    </w:r>
    <w:r>
      <w:t xml:space="preserve"> </w:t>
    </w:r>
    <w:r>
      <w:fldChar w:fldCharType="begin"/>
    </w:r>
    <w:r>
      <w:instrText xml:space="preserve"> REF DocketList</w:instrText>
    </w:r>
    <w:r>
      <w:fldChar w:fldCharType="separate"/>
    </w:r>
    <w:r w:rsidR="00C443BE">
      <w:t>20150010-WS</w:t>
    </w:r>
    <w:r>
      <w:fldChar w:fldCharType="end"/>
    </w:r>
    <w:r>
      <w:t xml:space="preserve">                                                                                   Schedule No. 2-B</w:t>
    </w:r>
  </w:p>
  <w:p w:rsidR="005E0199" w:rsidRDefault="005E0199" w:rsidP="00FA30AF">
    <w:pPr>
      <w:pStyle w:val="Header"/>
      <w:tabs>
        <w:tab w:val="clear" w:pos="8640"/>
      </w:tabs>
    </w:pPr>
    <w:r>
      <w:t xml:space="preserve">Date: </w:t>
    </w:r>
    <w:fldSimple w:instr=" REF FilingDate ">
      <w:r w:rsidR="00C443BE">
        <w:t>March 21, 2019</w:t>
      </w:r>
    </w:fldSimple>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11C6346"/>
    <w:multiLevelType w:val="hybridMultilevel"/>
    <w:tmpl w:val="9B885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D2C28"/>
    <w:rsid w:val="000043D5"/>
    <w:rsid w:val="00004776"/>
    <w:rsid w:val="00006170"/>
    <w:rsid w:val="00010E37"/>
    <w:rsid w:val="000172DA"/>
    <w:rsid w:val="000247C5"/>
    <w:rsid w:val="000277C2"/>
    <w:rsid w:val="00035B48"/>
    <w:rsid w:val="00036CE2"/>
    <w:rsid w:val="00037CF8"/>
    <w:rsid w:val="000437FE"/>
    <w:rsid w:val="000513BE"/>
    <w:rsid w:val="000544F5"/>
    <w:rsid w:val="00065A06"/>
    <w:rsid w:val="000666F3"/>
    <w:rsid w:val="00070DCB"/>
    <w:rsid w:val="00072CCA"/>
    <w:rsid w:val="00073120"/>
    <w:rsid w:val="0007427D"/>
    <w:rsid w:val="000764D0"/>
    <w:rsid w:val="000828D3"/>
    <w:rsid w:val="00093205"/>
    <w:rsid w:val="000A2B57"/>
    <w:rsid w:val="000A418B"/>
    <w:rsid w:val="000C07B8"/>
    <w:rsid w:val="000C4431"/>
    <w:rsid w:val="000D1C06"/>
    <w:rsid w:val="000D4319"/>
    <w:rsid w:val="000D51FF"/>
    <w:rsid w:val="000D74A3"/>
    <w:rsid w:val="000F374A"/>
    <w:rsid w:val="00102AEF"/>
    <w:rsid w:val="001045C2"/>
    <w:rsid w:val="001076AF"/>
    <w:rsid w:val="00117C8C"/>
    <w:rsid w:val="00124E2E"/>
    <w:rsid w:val="00125ED4"/>
    <w:rsid w:val="001305E9"/>
    <w:rsid w:val="001307AF"/>
    <w:rsid w:val="00133AA5"/>
    <w:rsid w:val="00135687"/>
    <w:rsid w:val="00136013"/>
    <w:rsid w:val="00136B29"/>
    <w:rsid w:val="00143362"/>
    <w:rsid w:val="001532C9"/>
    <w:rsid w:val="0015506E"/>
    <w:rsid w:val="00163031"/>
    <w:rsid w:val="001712C1"/>
    <w:rsid w:val="00171A90"/>
    <w:rsid w:val="00180254"/>
    <w:rsid w:val="00191E1F"/>
    <w:rsid w:val="00192943"/>
    <w:rsid w:val="001A7406"/>
    <w:rsid w:val="001B1DEA"/>
    <w:rsid w:val="001B4FEE"/>
    <w:rsid w:val="001B51C5"/>
    <w:rsid w:val="001B6772"/>
    <w:rsid w:val="001B6F3F"/>
    <w:rsid w:val="001C52B5"/>
    <w:rsid w:val="001C6CB2"/>
    <w:rsid w:val="001D0D3E"/>
    <w:rsid w:val="001D2351"/>
    <w:rsid w:val="001E679A"/>
    <w:rsid w:val="001F2245"/>
    <w:rsid w:val="001F2C63"/>
    <w:rsid w:val="001F48C7"/>
    <w:rsid w:val="001F6DA1"/>
    <w:rsid w:val="001F7C34"/>
    <w:rsid w:val="002044E6"/>
    <w:rsid w:val="00205C82"/>
    <w:rsid w:val="00205DC2"/>
    <w:rsid w:val="00212B17"/>
    <w:rsid w:val="002163B6"/>
    <w:rsid w:val="00220732"/>
    <w:rsid w:val="00221D32"/>
    <w:rsid w:val="00225C3F"/>
    <w:rsid w:val="00240517"/>
    <w:rsid w:val="002458BE"/>
    <w:rsid w:val="00246B26"/>
    <w:rsid w:val="00250B86"/>
    <w:rsid w:val="00255774"/>
    <w:rsid w:val="00263D44"/>
    <w:rsid w:val="002702AD"/>
    <w:rsid w:val="00292D82"/>
    <w:rsid w:val="002963CB"/>
    <w:rsid w:val="00296A81"/>
    <w:rsid w:val="002B0994"/>
    <w:rsid w:val="002D013F"/>
    <w:rsid w:val="002D226D"/>
    <w:rsid w:val="002F6030"/>
    <w:rsid w:val="003037E1"/>
    <w:rsid w:val="00307E51"/>
    <w:rsid w:val="003103EC"/>
    <w:rsid w:val="003144EF"/>
    <w:rsid w:val="00322344"/>
    <w:rsid w:val="00322F74"/>
    <w:rsid w:val="0033495F"/>
    <w:rsid w:val="00340073"/>
    <w:rsid w:val="003632FD"/>
    <w:rsid w:val="00363C88"/>
    <w:rsid w:val="00364421"/>
    <w:rsid w:val="00372805"/>
    <w:rsid w:val="00373180"/>
    <w:rsid w:val="00375AB9"/>
    <w:rsid w:val="00377DD6"/>
    <w:rsid w:val="003821A0"/>
    <w:rsid w:val="00385B04"/>
    <w:rsid w:val="003864CF"/>
    <w:rsid w:val="00387407"/>
    <w:rsid w:val="003A22A6"/>
    <w:rsid w:val="003A5494"/>
    <w:rsid w:val="003B2510"/>
    <w:rsid w:val="003B3683"/>
    <w:rsid w:val="003C2CC4"/>
    <w:rsid w:val="003C3710"/>
    <w:rsid w:val="003E0EFC"/>
    <w:rsid w:val="003E3B68"/>
    <w:rsid w:val="003E4A2B"/>
    <w:rsid w:val="003E76C2"/>
    <w:rsid w:val="003F1679"/>
    <w:rsid w:val="003F21EB"/>
    <w:rsid w:val="003F4A35"/>
    <w:rsid w:val="003F7FDD"/>
    <w:rsid w:val="00402481"/>
    <w:rsid w:val="004042B4"/>
    <w:rsid w:val="00406B46"/>
    <w:rsid w:val="00410DC4"/>
    <w:rsid w:val="00412DAE"/>
    <w:rsid w:val="0041646C"/>
    <w:rsid w:val="00417AD8"/>
    <w:rsid w:val="00420FA8"/>
    <w:rsid w:val="004242E6"/>
    <w:rsid w:val="00431598"/>
    <w:rsid w:val="004319AD"/>
    <w:rsid w:val="004426B8"/>
    <w:rsid w:val="00444432"/>
    <w:rsid w:val="0046592F"/>
    <w:rsid w:val="00471860"/>
    <w:rsid w:val="004752F0"/>
    <w:rsid w:val="00477026"/>
    <w:rsid w:val="004A744D"/>
    <w:rsid w:val="004B60BD"/>
    <w:rsid w:val="004B7226"/>
    <w:rsid w:val="004C3150"/>
    <w:rsid w:val="004C3641"/>
    <w:rsid w:val="004C4390"/>
    <w:rsid w:val="004C4AF7"/>
    <w:rsid w:val="004D2881"/>
    <w:rsid w:val="004D385F"/>
    <w:rsid w:val="004D5B39"/>
    <w:rsid w:val="004E330D"/>
    <w:rsid w:val="004E5147"/>
    <w:rsid w:val="004E69B5"/>
    <w:rsid w:val="004F22CB"/>
    <w:rsid w:val="004F5C43"/>
    <w:rsid w:val="0050652D"/>
    <w:rsid w:val="00506C03"/>
    <w:rsid w:val="00511A11"/>
    <w:rsid w:val="00516496"/>
    <w:rsid w:val="005170B0"/>
    <w:rsid w:val="00523B11"/>
    <w:rsid w:val="0052572A"/>
    <w:rsid w:val="00533F6A"/>
    <w:rsid w:val="00534D93"/>
    <w:rsid w:val="00543CB3"/>
    <w:rsid w:val="005442E4"/>
    <w:rsid w:val="0055313C"/>
    <w:rsid w:val="0055529B"/>
    <w:rsid w:val="00555D11"/>
    <w:rsid w:val="00560FF0"/>
    <w:rsid w:val="005614BD"/>
    <w:rsid w:val="00563384"/>
    <w:rsid w:val="0057154F"/>
    <w:rsid w:val="00580F69"/>
    <w:rsid w:val="00581CA3"/>
    <w:rsid w:val="00582443"/>
    <w:rsid w:val="00587A44"/>
    <w:rsid w:val="00597730"/>
    <w:rsid w:val="005977EC"/>
    <w:rsid w:val="00597DE7"/>
    <w:rsid w:val="005A4AA2"/>
    <w:rsid w:val="005B34B6"/>
    <w:rsid w:val="005B3CD3"/>
    <w:rsid w:val="005B50C1"/>
    <w:rsid w:val="005B55AB"/>
    <w:rsid w:val="005B6C8F"/>
    <w:rsid w:val="005B6EC3"/>
    <w:rsid w:val="005C50F5"/>
    <w:rsid w:val="005D0F74"/>
    <w:rsid w:val="005D2C28"/>
    <w:rsid w:val="005D2E7D"/>
    <w:rsid w:val="005D4A8F"/>
    <w:rsid w:val="005D561B"/>
    <w:rsid w:val="005D5ECF"/>
    <w:rsid w:val="005E0199"/>
    <w:rsid w:val="005F468D"/>
    <w:rsid w:val="005F69A3"/>
    <w:rsid w:val="00604CC7"/>
    <w:rsid w:val="00615423"/>
    <w:rsid w:val="006165B2"/>
    <w:rsid w:val="00617276"/>
    <w:rsid w:val="0062527B"/>
    <w:rsid w:val="00625D97"/>
    <w:rsid w:val="00625F1C"/>
    <w:rsid w:val="006279E1"/>
    <w:rsid w:val="00630CEB"/>
    <w:rsid w:val="00632264"/>
    <w:rsid w:val="00635484"/>
    <w:rsid w:val="006433E0"/>
    <w:rsid w:val="006470BC"/>
    <w:rsid w:val="006554D3"/>
    <w:rsid w:val="00667036"/>
    <w:rsid w:val="00673BDB"/>
    <w:rsid w:val="00674341"/>
    <w:rsid w:val="006771B8"/>
    <w:rsid w:val="006843B6"/>
    <w:rsid w:val="0068481F"/>
    <w:rsid w:val="00686097"/>
    <w:rsid w:val="00686C09"/>
    <w:rsid w:val="00696F5D"/>
    <w:rsid w:val="00697249"/>
    <w:rsid w:val="006B3947"/>
    <w:rsid w:val="006B4293"/>
    <w:rsid w:val="006B624F"/>
    <w:rsid w:val="006C0C95"/>
    <w:rsid w:val="006C31E3"/>
    <w:rsid w:val="006D18D3"/>
    <w:rsid w:val="006E08CB"/>
    <w:rsid w:val="006E598D"/>
    <w:rsid w:val="006E62AE"/>
    <w:rsid w:val="006F1694"/>
    <w:rsid w:val="0070437D"/>
    <w:rsid w:val="00704CF1"/>
    <w:rsid w:val="00705B04"/>
    <w:rsid w:val="00724992"/>
    <w:rsid w:val="00725EF4"/>
    <w:rsid w:val="0072794E"/>
    <w:rsid w:val="00732C52"/>
    <w:rsid w:val="00733C09"/>
    <w:rsid w:val="00734820"/>
    <w:rsid w:val="007349DC"/>
    <w:rsid w:val="00734CB5"/>
    <w:rsid w:val="00736A62"/>
    <w:rsid w:val="0074365E"/>
    <w:rsid w:val="0074386C"/>
    <w:rsid w:val="00744B55"/>
    <w:rsid w:val="00744BCB"/>
    <w:rsid w:val="00746959"/>
    <w:rsid w:val="007515FD"/>
    <w:rsid w:val="00754CD3"/>
    <w:rsid w:val="00760D80"/>
    <w:rsid w:val="0077037C"/>
    <w:rsid w:val="007746FB"/>
    <w:rsid w:val="00775625"/>
    <w:rsid w:val="00777050"/>
    <w:rsid w:val="00780C09"/>
    <w:rsid w:val="00780DDF"/>
    <w:rsid w:val="007834E9"/>
    <w:rsid w:val="00787DBC"/>
    <w:rsid w:val="0079019A"/>
    <w:rsid w:val="00792935"/>
    <w:rsid w:val="007A0078"/>
    <w:rsid w:val="007A04A1"/>
    <w:rsid w:val="007A1840"/>
    <w:rsid w:val="007C0528"/>
    <w:rsid w:val="007C3D38"/>
    <w:rsid w:val="007C56F3"/>
    <w:rsid w:val="007D0F35"/>
    <w:rsid w:val="007D26A1"/>
    <w:rsid w:val="007D4FEB"/>
    <w:rsid w:val="007D6146"/>
    <w:rsid w:val="007E0CE7"/>
    <w:rsid w:val="007F1193"/>
    <w:rsid w:val="007F417F"/>
    <w:rsid w:val="007F7644"/>
    <w:rsid w:val="007F7A90"/>
    <w:rsid w:val="00802376"/>
    <w:rsid w:val="008042BD"/>
    <w:rsid w:val="008145ED"/>
    <w:rsid w:val="00816624"/>
    <w:rsid w:val="00822427"/>
    <w:rsid w:val="00822562"/>
    <w:rsid w:val="00823663"/>
    <w:rsid w:val="00832DDC"/>
    <w:rsid w:val="00850B42"/>
    <w:rsid w:val="00850BAC"/>
    <w:rsid w:val="00850F67"/>
    <w:rsid w:val="00854A3E"/>
    <w:rsid w:val="00855D08"/>
    <w:rsid w:val="00863155"/>
    <w:rsid w:val="00874344"/>
    <w:rsid w:val="00882155"/>
    <w:rsid w:val="0088233B"/>
    <w:rsid w:val="008855B6"/>
    <w:rsid w:val="0088599E"/>
    <w:rsid w:val="00886C37"/>
    <w:rsid w:val="00892D99"/>
    <w:rsid w:val="00893315"/>
    <w:rsid w:val="008A5AD9"/>
    <w:rsid w:val="008A5F77"/>
    <w:rsid w:val="008B2933"/>
    <w:rsid w:val="008B62AE"/>
    <w:rsid w:val="008C04B5"/>
    <w:rsid w:val="008C14FA"/>
    <w:rsid w:val="008C7B0B"/>
    <w:rsid w:val="008D234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374F9"/>
    <w:rsid w:val="009429FF"/>
    <w:rsid w:val="00945BD6"/>
    <w:rsid w:val="009479FB"/>
    <w:rsid w:val="00951C45"/>
    <w:rsid w:val="009656F2"/>
    <w:rsid w:val="00966A08"/>
    <w:rsid w:val="00971207"/>
    <w:rsid w:val="00975CB4"/>
    <w:rsid w:val="009863B0"/>
    <w:rsid w:val="00987DE1"/>
    <w:rsid w:val="00990571"/>
    <w:rsid w:val="00990D5E"/>
    <w:rsid w:val="00993922"/>
    <w:rsid w:val="009966AF"/>
    <w:rsid w:val="0099673A"/>
    <w:rsid w:val="00996DE5"/>
    <w:rsid w:val="00997920"/>
    <w:rsid w:val="009A3330"/>
    <w:rsid w:val="009A7C96"/>
    <w:rsid w:val="009B215B"/>
    <w:rsid w:val="009C0CDF"/>
    <w:rsid w:val="009C3DB9"/>
    <w:rsid w:val="009C72AB"/>
    <w:rsid w:val="009D035E"/>
    <w:rsid w:val="009D46E5"/>
    <w:rsid w:val="009D568A"/>
    <w:rsid w:val="009D7F8C"/>
    <w:rsid w:val="009E554D"/>
    <w:rsid w:val="009F04EC"/>
    <w:rsid w:val="009F2A7C"/>
    <w:rsid w:val="009F2DAA"/>
    <w:rsid w:val="009F3B36"/>
    <w:rsid w:val="00A015D0"/>
    <w:rsid w:val="00A019B9"/>
    <w:rsid w:val="00A12508"/>
    <w:rsid w:val="00A1282B"/>
    <w:rsid w:val="00A13A27"/>
    <w:rsid w:val="00A175B6"/>
    <w:rsid w:val="00A21835"/>
    <w:rsid w:val="00A2374B"/>
    <w:rsid w:val="00A25FE2"/>
    <w:rsid w:val="00A27D6E"/>
    <w:rsid w:val="00A328EC"/>
    <w:rsid w:val="00A33A51"/>
    <w:rsid w:val="00A34CCE"/>
    <w:rsid w:val="00A4089B"/>
    <w:rsid w:val="00A41CA6"/>
    <w:rsid w:val="00A47927"/>
    <w:rsid w:val="00A47FFC"/>
    <w:rsid w:val="00A5442F"/>
    <w:rsid w:val="00A54FF9"/>
    <w:rsid w:val="00A56765"/>
    <w:rsid w:val="00A57F49"/>
    <w:rsid w:val="00A613DA"/>
    <w:rsid w:val="00A675AC"/>
    <w:rsid w:val="00A7581F"/>
    <w:rsid w:val="00A77A84"/>
    <w:rsid w:val="00A82038"/>
    <w:rsid w:val="00A92FB1"/>
    <w:rsid w:val="00A95A0C"/>
    <w:rsid w:val="00AA2765"/>
    <w:rsid w:val="00AA77B5"/>
    <w:rsid w:val="00AB6C5D"/>
    <w:rsid w:val="00AC0199"/>
    <w:rsid w:val="00AC3401"/>
    <w:rsid w:val="00AC4BBB"/>
    <w:rsid w:val="00AC51A7"/>
    <w:rsid w:val="00AD444B"/>
    <w:rsid w:val="00AD5614"/>
    <w:rsid w:val="00AD6C78"/>
    <w:rsid w:val="00AE2EAB"/>
    <w:rsid w:val="00AE7712"/>
    <w:rsid w:val="00AF011F"/>
    <w:rsid w:val="00AF5F89"/>
    <w:rsid w:val="00AF73CB"/>
    <w:rsid w:val="00B002D6"/>
    <w:rsid w:val="00B03379"/>
    <w:rsid w:val="00B05B51"/>
    <w:rsid w:val="00B10D57"/>
    <w:rsid w:val="00B14E5A"/>
    <w:rsid w:val="00B15370"/>
    <w:rsid w:val="00B16DA4"/>
    <w:rsid w:val="00B17BEB"/>
    <w:rsid w:val="00B21A3C"/>
    <w:rsid w:val="00B223C0"/>
    <w:rsid w:val="00B234ED"/>
    <w:rsid w:val="00B249B2"/>
    <w:rsid w:val="00B25CA3"/>
    <w:rsid w:val="00B2765A"/>
    <w:rsid w:val="00B3109A"/>
    <w:rsid w:val="00B516ED"/>
    <w:rsid w:val="00B57A6A"/>
    <w:rsid w:val="00B7543B"/>
    <w:rsid w:val="00B760F1"/>
    <w:rsid w:val="00B7669E"/>
    <w:rsid w:val="00B77DA1"/>
    <w:rsid w:val="00B822A0"/>
    <w:rsid w:val="00B858AE"/>
    <w:rsid w:val="00B85964"/>
    <w:rsid w:val="00B96250"/>
    <w:rsid w:val="00BA0D55"/>
    <w:rsid w:val="00BA37B3"/>
    <w:rsid w:val="00BA4CC6"/>
    <w:rsid w:val="00BA639E"/>
    <w:rsid w:val="00BB3493"/>
    <w:rsid w:val="00BB7468"/>
    <w:rsid w:val="00BC188A"/>
    <w:rsid w:val="00BC402E"/>
    <w:rsid w:val="00BD0F48"/>
    <w:rsid w:val="00BE3857"/>
    <w:rsid w:val="00BE6DDB"/>
    <w:rsid w:val="00BF4B7D"/>
    <w:rsid w:val="00BF5010"/>
    <w:rsid w:val="00C03D5F"/>
    <w:rsid w:val="00C13791"/>
    <w:rsid w:val="00C20BF2"/>
    <w:rsid w:val="00C2605B"/>
    <w:rsid w:val="00C31BB3"/>
    <w:rsid w:val="00C36977"/>
    <w:rsid w:val="00C443BE"/>
    <w:rsid w:val="00C467DA"/>
    <w:rsid w:val="00C477D9"/>
    <w:rsid w:val="00C551A4"/>
    <w:rsid w:val="00C60BA3"/>
    <w:rsid w:val="00C623F7"/>
    <w:rsid w:val="00C649C6"/>
    <w:rsid w:val="00C73395"/>
    <w:rsid w:val="00C75BC5"/>
    <w:rsid w:val="00C81670"/>
    <w:rsid w:val="00C81773"/>
    <w:rsid w:val="00C82861"/>
    <w:rsid w:val="00C86896"/>
    <w:rsid w:val="00C907A8"/>
    <w:rsid w:val="00C93211"/>
    <w:rsid w:val="00C942EC"/>
    <w:rsid w:val="00C96047"/>
    <w:rsid w:val="00C979D0"/>
    <w:rsid w:val="00CA0818"/>
    <w:rsid w:val="00CA15C8"/>
    <w:rsid w:val="00CA1FAE"/>
    <w:rsid w:val="00CA2C8F"/>
    <w:rsid w:val="00CA30DA"/>
    <w:rsid w:val="00CA3A24"/>
    <w:rsid w:val="00CB1777"/>
    <w:rsid w:val="00CB33E9"/>
    <w:rsid w:val="00CB4C26"/>
    <w:rsid w:val="00CB4EAD"/>
    <w:rsid w:val="00CC10A9"/>
    <w:rsid w:val="00CE2BF8"/>
    <w:rsid w:val="00CE484E"/>
    <w:rsid w:val="00CE656F"/>
    <w:rsid w:val="00CF06A7"/>
    <w:rsid w:val="00CF0DA8"/>
    <w:rsid w:val="00CF2E25"/>
    <w:rsid w:val="00CF4453"/>
    <w:rsid w:val="00CF5D94"/>
    <w:rsid w:val="00CF7E0F"/>
    <w:rsid w:val="00D034D7"/>
    <w:rsid w:val="00D04BE4"/>
    <w:rsid w:val="00D06FC7"/>
    <w:rsid w:val="00D06FE9"/>
    <w:rsid w:val="00D12565"/>
    <w:rsid w:val="00D14127"/>
    <w:rsid w:val="00D214D9"/>
    <w:rsid w:val="00D230FE"/>
    <w:rsid w:val="00D23673"/>
    <w:rsid w:val="00D27FD5"/>
    <w:rsid w:val="00D33412"/>
    <w:rsid w:val="00D33D1D"/>
    <w:rsid w:val="00D35D89"/>
    <w:rsid w:val="00D60A99"/>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2189"/>
    <w:rsid w:val="00DB7D96"/>
    <w:rsid w:val="00DC23FE"/>
    <w:rsid w:val="00DC461D"/>
    <w:rsid w:val="00DC59E6"/>
    <w:rsid w:val="00DC5FF4"/>
    <w:rsid w:val="00DD150B"/>
    <w:rsid w:val="00DD5025"/>
    <w:rsid w:val="00DF0BD5"/>
    <w:rsid w:val="00DF1510"/>
    <w:rsid w:val="00DF185F"/>
    <w:rsid w:val="00DF1F6E"/>
    <w:rsid w:val="00E024F6"/>
    <w:rsid w:val="00E02F1F"/>
    <w:rsid w:val="00E06484"/>
    <w:rsid w:val="00E15F9E"/>
    <w:rsid w:val="00E20A7D"/>
    <w:rsid w:val="00E20FE9"/>
    <w:rsid w:val="00E275D8"/>
    <w:rsid w:val="00E30D4B"/>
    <w:rsid w:val="00E30F6A"/>
    <w:rsid w:val="00E3117C"/>
    <w:rsid w:val="00E375CA"/>
    <w:rsid w:val="00E566C2"/>
    <w:rsid w:val="00E567E8"/>
    <w:rsid w:val="00E56CD9"/>
    <w:rsid w:val="00E64679"/>
    <w:rsid w:val="00E65EBC"/>
    <w:rsid w:val="00E677FE"/>
    <w:rsid w:val="00E73432"/>
    <w:rsid w:val="00E77379"/>
    <w:rsid w:val="00E77B0C"/>
    <w:rsid w:val="00E77FB8"/>
    <w:rsid w:val="00E83749"/>
    <w:rsid w:val="00E838B0"/>
    <w:rsid w:val="00E8462A"/>
    <w:rsid w:val="00E86A7C"/>
    <w:rsid w:val="00E878E1"/>
    <w:rsid w:val="00E87F2C"/>
    <w:rsid w:val="00E90009"/>
    <w:rsid w:val="00E938EA"/>
    <w:rsid w:val="00E95278"/>
    <w:rsid w:val="00EA2273"/>
    <w:rsid w:val="00EA713D"/>
    <w:rsid w:val="00EA7C3C"/>
    <w:rsid w:val="00EB2DB3"/>
    <w:rsid w:val="00EC27D2"/>
    <w:rsid w:val="00EC3FBB"/>
    <w:rsid w:val="00EC6B7A"/>
    <w:rsid w:val="00ED3A87"/>
    <w:rsid w:val="00ED5B67"/>
    <w:rsid w:val="00EF264C"/>
    <w:rsid w:val="00EF3FEE"/>
    <w:rsid w:val="00F04B59"/>
    <w:rsid w:val="00F07BA9"/>
    <w:rsid w:val="00F1137F"/>
    <w:rsid w:val="00F11741"/>
    <w:rsid w:val="00F12B1C"/>
    <w:rsid w:val="00F13CF8"/>
    <w:rsid w:val="00F15855"/>
    <w:rsid w:val="00F170A7"/>
    <w:rsid w:val="00F227DC"/>
    <w:rsid w:val="00F27456"/>
    <w:rsid w:val="00F300ED"/>
    <w:rsid w:val="00F32978"/>
    <w:rsid w:val="00F45CB2"/>
    <w:rsid w:val="00F50DCA"/>
    <w:rsid w:val="00F544C0"/>
    <w:rsid w:val="00F55332"/>
    <w:rsid w:val="00F6504A"/>
    <w:rsid w:val="00F65519"/>
    <w:rsid w:val="00F713C0"/>
    <w:rsid w:val="00F75DDC"/>
    <w:rsid w:val="00F7792F"/>
    <w:rsid w:val="00F842AA"/>
    <w:rsid w:val="00F8476F"/>
    <w:rsid w:val="00F853E1"/>
    <w:rsid w:val="00F85604"/>
    <w:rsid w:val="00F91C25"/>
    <w:rsid w:val="00F94B7A"/>
    <w:rsid w:val="00FA17AC"/>
    <w:rsid w:val="00FA30AF"/>
    <w:rsid w:val="00FA32DE"/>
    <w:rsid w:val="00FA3382"/>
    <w:rsid w:val="00FA59CD"/>
    <w:rsid w:val="00FB1740"/>
    <w:rsid w:val="00FB4DF4"/>
    <w:rsid w:val="00FB67DB"/>
    <w:rsid w:val="00FC5469"/>
    <w:rsid w:val="00FC6D7D"/>
    <w:rsid w:val="00FD16B0"/>
    <w:rsid w:val="00FD36B4"/>
    <w:rsid w:val="00FD4FED"/>
    <w:rsid w:val="00FD6D0F"/>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DC5FF4"/>
    <w:pPr>
      <w:numPr>
        <w:numId w:val="12"/>
      </w:numPr>
    </w:pPr>
  </w:style>
  <w:style w:type="table" w:customStyle="1" w:styleId="TableGrid1">
    <w:name w:val="Table Grid1"/>
    <w:basedOn w:val="TableNormal"/>
    <w:next w:val="TableGrid"/>
    <w:uiPriority w:val="59"/>
    <w:rsid w:val="00EC27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7F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DC5FF4"/>
    <w:pPr>
      <w:numPr>
        <w:numId w:val="12"/>
      </w:numPr>
    </w:pPr>
  </w:style>
  <w:style w:type="table" w:customStyle="1" w:styleId="TableGrid1">
    <w:name w:val="Table Grid1"/>
    <w:basedOn w:val="TableNormal"/>
    <w:next w:val="TableGrid"/>
    <w:uiPriority w:val="59"/>
    <w:rsid w:val="00EC27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7F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4439">
      <w:bodyDiv w:val="1"/>
      <w:marLeft w:val="0"/>
      <w:marRight w:val="0"/>
      <w:marTop w:val="0"/>
      <w:marBottom w:val="0"/>
      <w:divBdr>
        <w:top w:val="none" w:sz="0" w:space="0" w:color="auto"/>
        <w:left w:val="none" w:sz="0" w:space="0" w:color="auto"/>
        <w:bottom w:val="none" w:sz="0" w:space="0" w:color="auto"/>
        <w:right w:val="none" w:sz="0" w:space="0" w:color="auto"/>
      </w:divBdr>
    </w:div>
    <w:div w:id="821895123">
      <w:bodyDiv w:val="1"/>
      <w:marLeft w:val="0"/>
      <w:marRight w:val="0"/>
      <w:marTop w:val="0"/>
      <w:marBottom w:val="0"/>
      <w:divBdr>
        <w:top w:val="none" w:sz="0" w:space="0" w:color="auto"/>
        <w:left w:val="none" w:sz="0" w:space="0" w:color="auto"/>
        <w:bottom w:val="none" w:sz="0" w:space="0" w:color="auto"/>
        <w:right w:val="none" w:sz="0" w:space="0" w:color="auto"/>
      </w:divBdr>
    </w:div>
    <w:div w:id="974065145">
      <w:bodyDiv w:val="1"/>
      <w:marLeft w:val="0"/>
      <w:marRight w:val="0"/>
      <w:marTop w:val="0"/>
      <w:marBottom w:val="0"/>
      <w:divBdr>
        <w:top w:val="none" w:sz="0" w:space="0" w:color="auto"/>
        <w:left w:val="none" w:sz="0" w:space="0" w:color="auto"/>
        <w:bottom w:val="none" w:sz="0" w:space="0" w:color="auto"/>
        <w:right w:val="none" w:sz="0" w:space="0" w:color="auto"/>
      </w:divBdr>
    </w:div>
    <w:div w:id="1547449820">
      <w:bodyDiv w:val="1"/>
      <w:marLeft w:val="0"/>
      <w:marRight w:val="0"/>
      <w:marTop w:val="0"/>
      <w:marBottom w:val="0"/>
      <w:divBdr>
        <w:top w:val="none" w:sz="0" w:space="0" w:color="auto"/>
        <w:left w:val="none" w:sz="0" w:space="0" w:color="auto"/>
        <w:bottom w:val="none" w:sz="0" w:space="0" w:color="auto"/>
        <w:right w:val="none" w:sz="0" w:space="0" w:color="auto"/>
      </w:divBdr>
    </w:div>
    <w:div w:id="1715032799">
      <w:bodyDiv w:val="1"/>
      <w:marLeft w:val="0"/>
      <w:marRight w:val="0"/>
      <w:marTop w:val="0"/>
      <w:marBottom w:val="0"/>
      <w:divBdr>
        <w:top w:val="none" w:sz="0" w:space="0" w:color="auto"/>
        <w:left w:val="none" w:sz="0" w:space="0" w:color="auto"/>
        <w:bottom w:val="none" w:sz="0" w:space="0" w:color="auto"/>
        <w:right w:val="none" w:sz="0" w:space="0" w:color="auto"/>
      </w:divBdr>
    </w:div>
    <w:div w:id="19466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image" Target="media/image9.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CDA1-73B4-4368-A507-D8D5E99F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18</Pages>
  <Words>2289</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Patricia Zellner</cp:lastModifiedBy>
  <cp:revision>2</cp:revision>
  <cp:lastPrinted>2019-03-21T13:07:00Z</cp:lastPrinted>
  <dcterms:created xsi:type="dcterms:W3CDTF">2019-03-21T14:15:00Z</dcterms:created>
  <dcterms:modified xsi:type="dcterms:W3CDTF">2019-03-21T14:15:00Z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20150010-WS</vt:lpwstr>
  </property>
  <property fmtid="{D5CDD505-2E9C-101B-9397-08002B2CF9AE}" pid="3" name="MasterDocument">
    <vt:bool>false</vt:bool>
  </property>
</Properties>
</file>