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672D92" w:rsidP="00672D92">
            <w:pPr>
              <w:pStyle w:val="MemoHeading"/>
            </w:pPr>
            <w:bookmarkStart w:id="1" w:name="FilingDate"/>
            <w:r>
              <w:t>May 2</w:t>
            </w:r>
            <w:r w:rsidR="00287BD2">
              <w:t>, 2019</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287BD2" w:rsidRDefault="00287BD2">
            <w:pPr>
              <w:pStyle w:val="MemoHeading"/>
            </w:pPr>
            <w:bookmarkStart w:id="2" w:name="From"/>
            <w:r>
              <w:t>Division of Accounting and Finance (Smith II, Buys, Cicchetti)</w:t>
            </w:r>
          </w:p>
          <w:p w:rsidR="007C0528" w:rsidRDefault="00287BD2">
            <w:pPr>
              <w:pStyle w:val="MemoHeading"/>
            </w:pPr>
            <w:r>
              <w:t>Office of the General Counsel (Brownless)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287BD2" w:rsidP="00D14207">
            <w:pPr>
              <w:pStyle w:val="MemoHeadingRe"/>
            </w:pPr>
            <w:bookmarkStart w:id="3" w:name="Re"/>
            <w:r>
              <w:t>Docket No. 20190069-EI – Request for approval of change in rate used to capitalize allowance for funds used during construction (AFUDC) from 7.44% to 6.46%, effective January 1,</w:t>
            </w:r>
            <w:r w:rsidR="00D14207">
              <w:t xml:space="preserve"> 2019, by Duke Energy Florida, LLC </w:t>
            </w:r>
            <w:r>
              <w:t>d/b/a Duke Energy.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287BD2" w:rsidP="00BD182E">
            <w:pPr>
              <w:pStyle w:val="MemoHeading"/>
            </w:pPr>
            <w:bookmarkStart w:id="4" w:name="AgendaDate"/>
            <w:r>
              <w:t>0</w:t>
            </w:r>
            <w:r w:rsidR="00BD182E">
              <w:t>5</w:t>
            </w:r>
            <w:r>
              <w:t>/</w:t>
            </w:r>
            <w:r w:rsidR="00BD182E">
              <w:t>1</w:t>
            </w:r>
            <w:r>
              <w:t>4/19</w:t>
            </w:r>
            <w:bookmarkEnd w:id="4"/>
            <w:r w:rsidR="007C0528">
              <w:t xml:space="preserve"> – </w:t>
            </w:r>
            <w:bookmarkStart w:id="5" w:name="PermittedStatus"/>
            <w:r>
              <w:t>Regular Agenda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287BD2">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287BD2">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287BD2">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287BD2">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E01582" w:rsidRDefault="00287BD2" w:rsidP="00E01582">
      <w:pPr>
        <w:pStyle w:val="BodyText"/>
      </w:pPr>
      <w:r>
        <w:t>Duke Energy Florida</w:t>
      </w:r>
      <w:r w:rsidR="00D14207">
        <w:t xml:space="preserve"> LLC</w:t>
      </w:r>
      <w:r>
        <w:t xml:space="preserve">’s (DEF or the Company) current Allowance for Funds </w:t>
      </w:r>
      <w:r w:rsidR="00E01582">
        <w:t xml:space="preserve">Used During Construction (AFUDC) rate of 7.44 percent was approved </w:t>
      </w:r>
      <w:r w:rsidR="000459BE">
        <w:t>in</w:t>
      </w:r>
      <w:r w:rsidR="000514D5">
        <w:t xml:space="preserve"> Order No. </w:t>
      </w:r>
      <w:r w:rsidR="000514D5" w:rsidRPr="0070677A">
        <w:t>PSC-1</w:t>
      </w:r>
      <w:r w:rsidR="000514D5">
        <w:t>0</w:t>
      </w:r>
      <w:r w:rsidR="000514D5" w:rsidRPr="0070677A">
        <w:t>-0</w:t>
      </w:r>
      <w:r w:rsidR="000514D5">
        <w:t>604-PAA</w:t>
      </w:r>
      <w:r w:rsidR="000514D5" w:rsidRPr="0070677A">
        <w:t>-E</w:t>
      </w:r>
      <w:r w:rsidR="000514D5">
        <w:t>I</w:t>
      </w:r>
      <w:r w:rsidR="000514D5">
        <w:rPr>
          <w:rStyle w:val="FootnoteReference"/>
        </w:rPr>
        <w:footnoteReference w:id="1"/>
      </w:r>
      <w:r w:rsidR="000514D5">
        <w:t xml:space="preserve"> and </w:t>
      </w:r>
      <w:r w:rsidR="000459BE">
        <w:t>re</w:t>
      </w:r>
      <w:r w:rsidR="000514D5">
        <w:t>affirmed</w:t>
      </w:r>
      <w:r w:rsidR="0070677A">
        <w:t xml:space="preserve"> </w:t>
      </w:r>
      <w:r w:rsidR="000514D5">
        <w:t xml:space="preserve">in </w:t>
      </w:r>
      <w:r w:rsidR="0070677A">
        <w:t xml:space="preserve">Order No. </w:t>
      </w:r>
      <w:r w:rsidR="0070677A" w:rsidRPr="0070677A">
        <w:t>PSC-1</w:t>
      </w:r>
      <w:r w:rsidR="00D427C2">
        <w:t>3</w:t>
      </w:r>
      <w:r w:rsidR="0070677A" w:rsidRPr="0070677A">
        <w:t>-0</w:t>
      </w:r>
      <w:r w:rsidR="00D427C2">
        <w:t>598</w:t>
      </w:r>
      <w:r w:rsidR="0070677A" w:rsidRPr="0070677A">
        <w:t>-FOF-EI.</w:t>
      </w:r>
      <w:r w:rsidR="0070677A" w:rsidRPr="0070677A">
        <w:rPr>
          <w:rStyle w:val="FootnoteReference"/>
        </w:rPr>
        <w:footnoteReference w:id="2"/>
      </w:r>
      <w:r w:rsidR="0070677A">
        <w:t xml:space="preserve"> </w:t>
      </w:r>
      <w:r w:rsidR="00E01582">
        <w:t xml:space="preserve">On March 21, 2019, DEF filed a request to decrease its AFUDC rate from 7.44 percent to 6.46 percent, effective January 1, 2019. The Commission has jurisdiction over this matter pursuant to Chapter 366, Florida Statutes (F.S.), including Section 366.04, 366.05, and 366.06, F.S. </w:t>
      </w:r>
    </w:p>
    <w:bookmarkEnd w:id="12"/>
    <w:p w:rsidR="00EA2273" w:rsidRDefault="00EA2273" w:rsidP="002B4749">
      <w:pPr>
        <w:pStyle w:val="RecommendationMajorSectionHeading"/>
        <w:jc w:val="left"/>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9C5060" w:rsidRDefault="009C5060">
      <w:pPr>
        <w:pStyle w:val="IssueHeading"/>
        <w:rPr>
          <w:vanish/>
          <w:specVanish/>
        </w:rPr>
      </w:pPr>
      <w:r w:rsidRPr="004C3641">
        <w:t xml:space="preserve">Issue </w:t>
      </w:r>
      <w:fldSimple w:instr=" SEQ Issue \* MERGEFORMAT ">
        <w:r w:rsidR="00FA2CD8">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FA2CD8">
        <w:rPr>
          <w:noProof/>
        </w:rPr>
        <w:instrText>1</w:instrText>
      </w:r>
      <w:r>
        <w:fldChar w:fldCharType="end"/>
      </w:r>
      <w:r>
        <w:tab/>
        <w:instrText xml:space="preserve">(Smith II)" \l 1 </w:instrText>
      </w:r>
      <w:r>
        <w:fldChar w:fldCharType="end"/>
      </w:r>
      <w:r>
        <w:t> </w:t>
      </w:r>
    </w:p>
    <w:p w:rsidR="009C5060" w:rsidRDefault="009C5060">
      <w:pPr>
        <w:pStyle w:val="BodyText"/>
      </w:pPr>
      <w:r>
        <w:t> Should the Commission approve DEF's request to decrease its AFUDC rate from 7.44 percent to 6.46 percent?</w:t>
      </w:r>
    </w:p>
    <w:p w:rsidR="009C5060" w:rsidRPr="004C3641" w:rsidRDefault="009C5060">
      <w:pPr>
        <w:pStyle w:val="IssueSubsectionHeading"/>
        <w:rPr>
          <w:vanish/>
          <w:specVanish/>
        </w:rPr>
      </w:pPr>
      <w:r w:rsidRPr="004C3641">
        <w:t>Recommendation: </w:t>
      </w:r>
    </w:p>
    <w:p w:rsidR="009C5060" w:rsidRDefault="009C5060">
      <w:pPr>
        <w:pStyle w:val="BodyText"/>
      </w:pPr>
      <w:r>
        <w:t> Yes. The appropriate AFUDC rate for DEF is 6.46 percent based on a 13-month average capital structure for the period ended December 31, 2018. (Smith II)</w:t>
      </w:r>
    </w:p>
    <w:p w:rsidR="009C5060" w:rsidRPr="004C3641" w:rsidRDefault="009C5060">
      <w:pPr>
        <w:pStyle w:val="IssueSubsectionHeading"/>
        <w:rPr>
          <w:vanish/>
          <w:specVanish/>
        </w:rPr>
      </w:pPr>
      <w:r w:rsidRPr="004C3641">
        <w:t>Staff Analysis: </w:t>
      </w:r>
    </w:p>
    <w:p w:rsidR="009C5060" w:rsidRDefault="009C5060" w:rsidP="009C5060">
      <w:pPr>
        <w:pStyle w:val="BodyText"/>
      </w:pPr>
      <w:r>
        <w:t> DEF has requested a decrease in its AFUDC rate from 7.44 percent to 6.46 percent. Rule 25-6.0141(2), Florida Administrative Code (F.A.C.), Allowance for Funds Used During Construction, provides the following guidance:</w:t>
      </w:r>
    </w:p>
    <w:p w:rsidR="009C5060" w:rsidRDefault="009C5060" w:rsidP="009C5060">
      <w:pPr>
        <w:pStyle w:val="BodyText"/>
      </w:pPr>
      <w:r>
        <w:tab/>
        <w:t xml:space="preserve">(2) The applicable AFUDC rate shall be determined as follows: </w:t>
      </w:r>
    </w:p>
    <w:p w:rsidR="009C5060" w:rsidRDefault="009C5060" w:rsidP="009C5060">
      <w:pPr>
        <w:pStyle w:val="BodyText"/>
        <w:ind w:left="720" w:right="720"/>
      </w:pPr>
      <w:r>
        <w:t>(a) The most recent 13-month average embedded cost of capital, except as noted below, shall be derived using all sources of capital and adjusted using adjustments consistent with those used by</w:t>
      </w:r>
      <w:r w:rsidR="008A5589">
        <w:t xml:space="preserve"> the</w:t>
      </w:r>
      <w:r>
        <w:t xml:space="preserve"> Commission in the utility’s last rate case.</w:t>
      </w:r>
    </w:p>
    <w:p w:rsidR="009C5060" w:rsidRDefault="009C5060" w:rsidP="009C5060">
      <w:pPr>
        <w:pStyle w:val="BodyText"/>
        <w:ind w:left="720" w:right="720"/>
      </w:pPr>
      <w:r>
        <w:t xml:space="preserve">(b) The cost rates for the components in the capital structure shall be the midpoint of the last allowed return on common equity, the most recent 13-month average cost of short term debt and customer deposits and a zero cost rate for deferred taxes and all investment tax credits. The cost of long term debt and preferred stock shall be based on end of period cost. The annual percentage rate shall be calculated to two decimal places. </w:t>
      </w:r>
    </w:p>
    <w:p w:rsidR="009C5060" w:rsidRDefault="009C5060" w:rsidP="009C5060">
      <w:pPr>
        <w:pStyle w:val="BodyText"/>
      </w:pPr>
      <w:r>
        <w:t>In support of its requested AFUDC rate of 6.46 percent, DEF provided its calculations and capital structure as Schedules A and B attached to its request. Staff reviewed the schedules and determined that the proposed rate was calculated in accordance with Rule 25-6.0141(2), F.</w:t>
      </w:r>
      <w:r>
        <w:rPr>
          <w:caps/>
        </w:rPr>
        <w:t xml:space="preserve">A.C. </w:t>
      </w:r>
      <w:r>
        <w:t xml:space="preserve">The requested decrease in the AFUDC rate is </w:t>
      </w:r>
      <w:r w:rsidRPr="00C66E6C">
        <w:t>due principally to a</w:t>
      </w:r>
      <w:r w:rsidR="006B06EA" w:rsidRPr="00C66E6C">
        <w:t xml:space="preserve"> decrease </w:t>
      </w:r>
      <w:r w:rsidR="006B36CA">
        <w:t>of 63 basis points</w:t>
      </w:r>
      <w:r w:rsidR="006B36CA" w:rsidRPr="00C66E6C">
        <w:t xml:space="preserve"> </w:t>
      </w:r>
      <w:r w:rsidR="006B06EA" w:rsidRPr="00C66E6C">
        <w:t xml:space="preserve">in the </w:t>
      </w:r>
      <w:r w:rsidR="00672D92">
        <w:t xml:space="preserve">weighted </w:t>
      </w:r>
      <w:r w:rsidR="006B06EA" w:rsidRPr="00C66E6C">
        <w:t xml:space="preserve">cost </w:t>
      </w:r>
      <w:r w:rsidR="006B36CA">
        <w:t>of</w:t>
      </w:r>
      <w:r w:rsidR="006B06EA" w:rsidRPr="00C66E6C">
        <w:t xml:space="preserve"> long term debt</w:t>
      </w:r>
      <w:r w:rsidR="006B36CA">
        <w:t xml:space="preserve"> and a decrease of 15 basis points in the weighted cost of common equity. Customer deposits a</w:t>
      </w:r>
      <w:r w:rsidR="008A5589">
        <w:t>re</w:t>
      </w:r>
      <w:r w:rsidR="006B36CA">
        <w:t xml:space="preserve"> 13 basis points </w:t>
      </w:r>
      <w:r w:rsidR="008A5589">
        <w:t xml:space="preserve">lower </w:t>
      </w:r>
      <w:r w:rsidR="006B36CA">
        <w:t xml:space="preserve">and </w:t>
      </w:r>
      <w:r w:rsidR="00672D92">
        <w:t>short-term debt</w:t>
      </w:r>
      <w:r w:rsidR="006B36CA">
        <w:t xml:space="preserve"> is 6 basis points lower. DEF used the midpoint return on equity of</w:t>
      </w:r>
      <w:r>
        <w:t xml:space="preserve"> 10.50 percent, which was approved by the Commission in Order No. </w:t>
      </w:r>
      <w:r w:rsidR="00C66E6C" w:rsidRPr="0070677A">
        <w:t>PSC-</w:t>
      </w:r>
      <w:r w:rsidRPr="0070677A">
        <w:t>1</w:t>
      </w:r>
      <w:r w:rsidR="00C66E6C" w:rsidRPr="0070677A">
        <w:t>0</w:t>
      </w:r>
      <w:r w:rsidRPr="0070677A">
        <w:t>-0</w:t>
      </w:r>
      <w:r w:rsidR="00C66E6C" w:rsidRPr="0070677A">
        <w:t>131</w:t>
      </w:r>
      <w:r w:rsidRPr="0070677A">
        <w:t>-</w:t>
      </w:r>
      <w:r w:rsidR="00C66E6C" w:rsidRPr="0070677A">
        <w:t>FOF</w:t>
      </w:r>
      <w:r w:rsidRPr="0070677A">
        <w:t>-EI.</w:t>
      </w:r>
      <w:r w:rsidRPr="0070677A">
        <w:rPr>
          <w:rStyle w:val="FootnoteReference"/>
        </w:rPr>
        <w:footnoteReference w:id="3"/>
      </w:r>
      <w:r>
        <w:t xml:space="preserve"> </w:t>
      </w:r>
    </w:p>
    <w:p w:rsidR="009C5060" w:rsidRDefault="009C5060" w:rsidP="009C5060">
      <w:pPr>
        <w:pStyle w:val="BodyText"/>
      </w:pPr>
      <w:r>
        <w:t>Based on its review, staff believes that the requested decrease in the AFUDC rate from 7.44 percent to 6.46 percent is appropriate, consistent with Rule 25-6.</w:t>
      </w:r>
      <w:r w:rsidR="00A369A1">
        <w:t xml:space="preserve">0141, F.A.C., and recommends </w:t>
      </w:r>
      <w:r>
        <w:t xml:space="preserve">it be approved. </w:t>
      </w:r>
    </w:p>
    <w:p w:rsidR="009C5060" w:rsidRDefault="009C5060">
      <w:pPr>
        <w:pStyle w:val="IssueHeading"/>
        <w:rPr>
          <w:vanish/>
          <w:specVanish/>
        </w:rPr>
      </w:pPr>
      <w:r w:rsidRPr="004C3641">
        <w:rPr>
          <w:b w:val="0"/>
          <w:i w:val="0"/>
        </w:rPr>
        <w:br w:type="page"/>
      </w:r>
      <w:r w:rsidRPr="004C3641">
        <w:lastRenderedPageBreak/>
        <w:t xml:space="preserve">Issue </w:t>
      </w:r>
      <w:fldSimple w:instr=" SEQ Issue \* MERGEFORMAT ">
        <w:r w:rsidR="00FA2CD8">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FA2CD8">
        <w:rPr>
          <w:noProof/>
        </w:rPr>
        <w:instrText>2</w:instrText>
      </w:r>
      <w:r>
        <w:fldChar w:fldCharType="end"/>
      </w:r>
      <w:r>
        <w:tab/>
        <w:instrText xml:space="preserve">(Smith II)" \l 1 </w:instrText>
      </w:r>
      <w:r>
        <w:fldChar w:fldCharType="end"/>
      </w:r>
      <w:r>
        <w:t> </w:t>
      </w:r>
    </w:p>
    <w:p w:rsidR="009C5060" w:rsidRDefault="009C5060">
      <w:pPr>
        <w:pStyle w:val="BodyText"/>
      </w:pPr>
      <w:r>
        <w:t> What is the appropriate monthly compounding ra</w:t>
      </w:r>
      <w:r w:rsidR="004B38A2">
        <w:t>te to achieve the requested 6.46</w:t>
      </w:r>
      <w:r>
        <w:t xml:space="preserve"> percent annual AFUDC rate?</w:t>
      </w:r>
    </w:p>
    <w:p w:rsidR="009C5060" w:rsidRPr="004C3641" w:rsidRDefault="009C5060">
      <w:pPr>
        <w:pStyle w:val="IssueSubsectionHeading"/>
        <w:rPr>
          <w:vanish/>
          <w:specVanish/>
        </w:rPr>
      </w:pPr>
      <w:r w:rsidRPr="004C3641">
        <w:t>Recommendation: </w:t>
      </w:r>
    </w:p>
    <w:p w:rsidR="009C5060" w:rsidRDefault="009C5060">
      <w:pPr>
        <w:pStyle w:val="BodyText"/>
      </w:pPr>
      <w:r>
        <w:t xml:space="preserve"> The appropriate monthly compounding rate to maintain an annual rate of </w:t>
      </w:r>
      <w:r w:rsidR="00CC38FC">
        <w:t>6.46</w:t>
      </w:r>
      <w:r>
        <w:t xml:space="preserve"> percent is 0.</w:t>
      </w:r>
      <w:r w:rsidR="00EC666C">
        <w:t>52340</w:t>
      </w:r>
      <w:r w:rsidR="00417220">
        <w:t>0</w:t>
      </w:r>
      <w:r>
        <w:t xml:space="preserve"> percent. (Smith II)</w:t>
      </w:r>
    </w:p>
    <w:p w:rsidR="009C5060" w:rsidRPr="004C3641" w:rsidRDefault="009C5060">
      <w:pPr>
        <w:pStyle w:val="IssueSubsectionHeading"/>
        <w:rPr>
          <w:vanish/>
          <w:specVanish/>
        </w:rPr>
      </w:pPr>
      <w:r w:rsidRPr="004C3641">
        <w:t>Staff Analysis: </w:t>
      </w:r>
    </w:p>
    <w:p w:rsidR="009C5060" w:rsidRDefault="009C5060" w:rsidP="009C5060">
      <w:pPr>
        <w:pStyle w:val="BodyText"/>
      </w:pPr>
      <w:r>
        <w:t> </w:t>
      </w:r>
      <w:r w:rsidR="00CC38FC">
        <w:t>DEF</w:t>
      </w:r>
      <w:r>
        <w:t xml:space="preserve"> requested a </w:t>
      </w:r>
      <w:r w:rsidR="002C01CD">
        <w:t>monthly compounding rate of 0.52</w:t>
      </w:r>
      <w:r>
        <w:t>3</w:t>
      </w:r>
      <w:r w:rsidR="002C01CD">
        <w:t>40</w:t>
      </w:r>
      <w:r w:rsidR="008C2DB7">
        <w:t>0</w:t>
      </w:r>
      <w:r>
        <w:t xml:space="preserve"> percent to a</w:t>
      </w:r>
      <w:r w:rsidR="008A5589">
        <w:t>chieve an annual AFUDC rate of 6</w:t>
      </w:r>
      <w:r>
        <w:t>.</w:t>
      </w:r>
      <w:r w:rsidR="008A5589">
        <w:t>46</w:t>
      </w:r>
      <w:r>
        <w:t xml:space="preserve"> percent. In support of the requested monthly compounding rate of 0.</w:t>
      </w:r>
      <w:r w:rsidR="006B36CA">
        <w:t>52340</w:t>
      </w:r>
      <w:r w:rsidR="008C2DB7">
        <w:t>0</w:t>
      </w:r>
      <w:r>
        <w:t xml:space="preserve"> percent, </w:t>
      </w:r>
      <w:r w:rsidR="00CC38FC">
        <w:t>DE</w:t>
      </w:r>
      <w:r>
        <w:t xml:space="preserve">F provided its calculation as Schedule C attached to its request. Rule 25-6.0141(3), F.A.C., provides a formula for discounting the annual AFUDC rate to reflect monthly compounding. The rule also requires that the monthly compounding rate be calculated to six decimal places. </w:t>
      </w:r>
    </w:p>
    <w:p w:rsidR="009C5060" w:rsidRDefault="009C5060" w:rsidP="009C5060">
      <w:pPr>
        <w:pStyle w:val="BodyText"/>
      </w:pPr>
      <w:r>
        <w:t xml:space="preserve">Staff reviewed the Company’s calculations and determined that they comply with the requirements of Rule </w:t>
      </w:r>
      <w:r>
        <w:rPr>
          <w:caps/>
        </w:rPr>
        <w:t xml:space="preserve">25-6.0141(3), F.A.C. </w:t>
      </w:r>
      <w:r>
        <w:t>Therefore, staff recommends that a discounted monthly AFUDC rate of 0.</w:t>
      </w:r>
      <w:r w:rsidR="006B36CA">
        <w:t>52340</w:t>
      </w:r>
      <w:r w:rsidR="00417220">
        <w:t>0</w:t>
      </w:r>
      <w:r>
        <w:t xml:space="preserve"> percent be approved. </w:t>
      </w:r>
    </w:p>
    <w:p w:rsidR="004B38A2" w:rsidRDefault="004B38A2">
      <w:pPr>
        <w:pStyle w:val="IssueHeading"/>
        <w:rPr>
          <w:vanish/>
          <w:specVanish/>
        </w:rPr>
      </w:pPr>
      <w:r w:rsidRPr="004C3641">
        <w:rPr>
          <w:b w:val="0"/>
          <w:i w:val="0"/>
        </w:rPr>
        <w:br w:type="page"/>
      </w:r>
      <w:r w:rsidRPr="004C3641">
        <w:lastRenderedPageBreak/>
        <w:t xml:space="preserve">Issue </w:t>
      </w:r>
      <w:fldSimple w:instr=" SEQ Issue \* MERGEFORMAT ">
        <w:r w:rsidR="00FA2CD8">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FA2CD8">
        <w:rPr>
          <w:noProof/>
        </w:rPr>
        <w:instrText>3</w:instrText>
      </w:r>
      <w:r>
        <w:fldChar w:fldCharType="end"/>
      </w:r>
      <w:r>
        <w:tab/>
        <w:instrText xml:space="preserve">" \l 1 </w:instrText>
      </w:r>
      <w:r>
        <w:fldChar w:fldCharType="end"/>
      </w:r>
      <w:r>
        <w:t> </w:t>
      </w:r>
    </w:p>
    <w:p w:rsidR="004B38A2" w:rsidRDefault="004B38A2">
      <w:pPr>
        <w:pStyle w:val="BodyText"/>
      </w:pPr>
      <w:r>
        <w:t> Should the Commission approve DEF's requested effective date of January 1, 2019, for implementing the revised AFUDC rate?</w:t>
      </w:r>
    </w:p>
    <w:p w:rsidR="004B38A2" w:rsidRPr="004C3641" w:rsidRDefault="004B38A2">
      <w:pPr>
        <w:pStyle w:val="IssueSubsectionHeading"/>
        <w:rPr>
          <w:vanish/>
          <w:specVanish/>
        </w:rPr>
      </w:pPr>
      <w:r w:rsidRPr="004C3641">
        <w:t>Recommendation: </w:t>
      </w:r>
    </w:p>
    <w:p w:rsidR="004B38A2" w:rsidRDefault="004B38A2">
      <w:pPr>
        <w:pStyle w:val="BodyText"/>
      </w:pPr>
      <w:r>
        <w:t> Yes. The revised AFUDC rate should be effective as of January 1, 2019, for all purposes.</w:t>
      </w:r>
      <w:r w:rsidR="00870F0A">
        <w:t xml:space="preserve"> (Smith II)</w:t>
      </w:r>
    </w:p>
    <w:p w:rsidR="004B38A2" w:rsidRPr="004C3641" w:rsidRDefault="004B38A2">
      <w:pPr>
        <w:pStyle w:val="IssueSubsectionHeading"/>
        <w:rPr>
          <w:vanish/>
          <w:specVanish/>
        </w:rPr>
      </w:pPr>
      <w:r w:rsidRPr="004C3641">
        <w:t>Staff Analysis: </w:t>
      </w:r>
    </w:p>
    <w:p w:rsidR="004B38A2" w:rsidRDefault="004B38A2" w:rsidP="004B38A2">
      <w:pPr>
        <w:pStyle w:val="BodyText"/>
      </w:pPr>
      <w:r>
        <w:t xml:space="preserve"> DEF’s proposed AFUDC rate was calculated using a 13-month average capital structure for the period ended December 31, 2017. Rule 25-6.0141(5), F.A.C., provides that: </w:t>
      </w:r>
    </w:p>
    <w:p w:rsidR="004B38A2" w:rsidRDefault="004B38A2" w:rsidP="004B38A2">
      <w:pPr>
        <w:pStyle w:val="BodyText"/>
        <w:ind w:left="720" w:right="720"/>
      </w:pPr>
      <w:r>
        <w:t xml:space="preserve">The new AFUDC rate shall be effective the month following the end of the 12-month period used to establish that rate and may not be retroactively applied to a previous fiscal year unless authorized by the Commission. </w:t>
      </w:r>
    </w:p>
    <w:p w:rsidR="004B38A2" w:rsidRDefault="004B38A2" w:rsidP="004B38A2">
      <w:pPr>
        <w:pStyle w:val="BodyText"/>
      </w:pPr>
      <w:r>
        <w:t>The Company’s requested effective date of January 1, 2019, complies with the requirement that the effective date does not precede the period used to calculate the rate, and therefore should be approved.</w:t>
      </w:r>
    </w:p>
    <w:p w:rsidR="00A15F58" w:rsidRDefault="00A15F58">
      <w:pPr>
        <w:pStyle w:val="IssueHeading"/>
        <w:rPr>
          <w:vanish/>
          <w:specVanish/>
        </w:rPr>
      </w:pPr>
      <w:r w:rsidRPr="004C3641">
        <w:rPr>
          <w:b w:val="0"/>
          <w:i w:val="0"/>
        </w:rPr>
        <w:br w:type="page"/>
      </w:r>
      <w:r w:rsidRPr="004C3641">
        <w:lastRenderedPageBreak/>
        <w:t xml:space="preserve">Issue </w:t>
      </w:r>
      <w:fldSimple w:instr=" SEQ Issue \* MERGEFORMAT ">
        <w:r w:rsidR="00FA2CD8">
          <w:rPr>
            <w:noProof/>
          </w:rPr>
          <w:t>4</w:t>
        </w:r>
      </w:fldSimple>
      <w:r w:rsidRPr="004C3641">
        <w:t>:</w:t>
      </w:r>
      <w:r>
        <w:fldChar w:fldCharType="begin"/>
      </w:r>
      <w:r>
        <w:instrText xml:space="preserve"> TC "</w:instrText>
      </w:r>
      <w:r>
        <w:fldChar w:fldCharType="begin"/>
      </w:r>
      <w:r>
        <w:instrText xml:space="preserve"> SEQ issue \c </w:instrText>
      </w:r>
      <w:r>
        <w:fldChar w:fldCharType="separate"/>
      </w:r>
      <w:r w:rsidR="00FA2CD8">
        <w:rPr>
          <w:noProof/>
        </w:rPr>
        <w:instrText>4</w:instrText>
      </w:r>
      <w:r>
        <w:fldChar w:fldCharType="end"/>
      </w:r>
      <w:r>
        <w:tab/>
        <w:instrText xml:space="preserve">(Brownless)" \l 1 </w:instrText>
      </w:r>
      <w:r>
        <w:fldChar w:fldCharType="end"/>
      </w:r>
      <w:r>
        <w:t> </w:t>
      </w:r>
    </w:p>
    <w:p w:rsidR="00A15F58" w:rsidRDefault="00A15F58">
      <w:pPr>
        <w:pStyle w:val="BodyText"/>
      </w:pPr>
      <w:r>
        <w:t> Should this docket be closed?</w:t>
      </w:r>
    </w:p>
    <w:p w:rsidR="00A15F58" w:rsidRPr="004C3641" w:rsidRDefault="00A15F58">
      <w:pPr>
        <w:pStyle w:val="IssueSubsectionHeading"/>
        <w:rPr>
          <w:vanish/>
          <w:specVanish/>
        </w:rPr>
      </w:pPr>
      <w:r w:rsidRPr="004C3641">
        <w:t>Recommendation: </w:t>
      </w:r>
    </w:p>
    <w:p w:rsidR="00A15F58" w:rsidRDefault="00A15F58">
      <w:pPr>
        <w:pStyle w:val="BodyText"/>
      </w:pPr>
      <w:r>
        <w:t> If no person whose substantial interest</w:t>
      </w:r>
      <w:r w:rsidR="00D14207">
        <w:t>s</w:t>
      </w:r>
      <w:r>
        <w:t xml:space="preserve"> are affected by the proposed agency action files a protest within 21 days of the issuance of the order, this docket should be closed upon the issuance of a consummating order. (Brownless)</w:t>
      </w:r>
    </w:p>
    <w:p w:rsidR="00A15F58" w:rsidRPr="004C3641" w:rsidRDefault="00A15F58">
      <w:pPr>
        <w:pStyle w:val="IssueSubsectionHeading"/>
        <w:rPr>
          <w:vanish/>
          <w:specVanish/>
        </w:rPr>
      </w:pPr>
      <w:r w:rsidRPr="004C3641">
        <w:t>Staff Analysis: </w:t>
      </w:r>
    </w:p>
    <w:p w:rsidR="00A15F58" w:rsidRDefault="00A15F58">
      <w:pPr>
        <w:pStyle w:val="BodyText"/>
      </w:pPr>
      <w:r>
        <w:t> If no person whose substantial interests are affected by the proposed agency action files a protest within 21 days of the issuance of the order, this docket should be closed upon the issuance of a consummating order.</w:t>
      </w:r>
    </w:p>
    <w:p w:rsidR="00E06484" w:rsidRDefault="00E06484" w:rsidP="00E275D8">
      <w:pPr>
        <w:pStyle w:val="BodyText"/>
      </w:pPr>
    </w:p>
    <w:sectPr w:rsidR="00E0648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BD2" w:rsidRDefault="00287BD2">
      <w:r>
        <w:separator/>
      </w:r>
    </w:p>
  </w:endnote>
  <w:endnote w:type="continuationSeparator" w:id="0">
    <w:p w:rsidR="00287BD2" w:rsidRDefault="00287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AC1BF4">
      <w:rPr>
        <w:rStyle w:val="PageNumber"/>
        <w:noProof/>
      </w:rPr>
      <w:t>5</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BD2" w:rsidRDefault="00287BD2">
      <w:r>
        <w:separator/>
      </w:r>
    </w:p>
  </w:footnote>
  <w:footnote w:type="continuationSeparator" w:id="0">
    <w:p w:rsidR="00287BD2" w:rsidRDefault="00287BD2">
      <w:r>
        <w:continuationSeparator/>
      </w:r>
    </w:p>
  </w:footnote>
  <w:footnote w:id="1">
    <w:p w:rsidR="000514D5" w:rsidRDefault="000514D5">
      <w:pPr>
        <w:pStyle w:val="FootnoteText"/>
      </w:pPr>
      <w:r>
        <w:rPr>
          <w:rStyle w:val="FootnoteReference"/>
        </w:rPr>
        <w:footnoteRef/>
      </w:r>
      <w:r>
        <w:t xml:space="preserve"> Order No. PSC-10-0604-PAA-EI, issued October 4, 2010, in Docket No. 100134-EI, </w:t>
      </w:r>
      <w:r>
        <w:rPr>
          <w:i/>
        </w:rPr>
        <w:t>In re: Review of Progress Energy Florida, Inc.’s current allowance for funds used during construction.</w:t>
      </w:r>
    </w:p>
  </w:footnote>
  <w:footnote w:id="2">
    <w:p w:rsidR="0070677A" w:rsidRDefault="0070677A" w:rsidP="0070677A">
      <w:pPr>
        <w:pStyle w:val="FootnoteText"/>
      </w:pPr>
      <w:r>
        <w:rPr>
          <w:rStyle w:val="FootnoteReference"/>
        </w:rPr>
        <w:footnoteRef/>
      </w:r>
      <w:r w:rsidR="002B4749">
        <w:t xml:space="preserve"> </w:t>
      </w:r>
      <w:r>
        <w:t>Order No.</w:t>
      </w:r>
      <w:r w:rsidR="00D427C2">
        <w:t xml:space="preserve"> PSC-13</w:t>
      </w:r>
      <w:r>
        <w:t>-0</w:t>
      </w:r>
      <w:r w:rsidR="00D427C2">
        <w:t>598</w:t>
      </w:r>
      <w:r>
        <w:t xml:space="preserve">-FOF-EI, issued </w:t>
      </w:r>
      <w:r w:rsidR="00D427C2">
        <w:t>November</w:t>
      </w:r>
      <w:r>
        <w:t xml:space="preserve"> </w:t>
      </w:r>
      <w:r w:rsidR="00D427C2">
        <w:t>12</w:t>
      </w:r>
      <w:r>
        <w:t>, 201</w:t>
      </w:r>
      <w:r w:rsidR="00D427C2">
        <w:t>3</w:t>
      </w:r>
      <w:r>
        <w:t xml:space="preserve">, in Docket No. </w:t>
      </w:r>
      <w:r w:rsidR="00D427C2">
        <w:t>13</w:t>
      </w:r>
      <w:r>
        <w:t>0</w:t>
      </w:r>
      <w:r w:rsidR="00D427C2">
        <w:t>2</w:t>
      </w:r>
      <w:r>
        <w:t>0</w:t>
      </w:r>
      <w:r w:rsidR="00D427C2">
        <w:t>8</w:t>
      </w:r>
      <w:r>
        <w:t xml:space="preserve">-EI, </w:t>
      </w:r>
      <w:r w:rsidR="00D427C2">
        <w:rPr>
          <w:i/>
        </w:rPr>
        <w:t>In re: Petition for limited proceeding</w:t>
      </w:r>
      <w:r>
        <w:rPr>
          <w:i/>
        </w:rPr>
        <w:t xml:space="preserve"> </w:t>
      </w:r>
      <w:r w:rsidR="00D427C2">
        <w:rPr>
          <w:i/>
        </w:rPr>
        <w:t>to approve revised and restated stipulation and settlement agreement</w:t>
      </w:r>
      <w:r>
        <w:rPr>
          <w:i/>
        </w:rPr>
        <w:t xml:space="preserve"> by </w:t>
      </w:r>
      <w:r w:rsidR="00D427C2">
        <w:rPr>
          <w:i/>
        </w:rPr>
        <w:t>Duke Energ</w:t>
      </w:r>
      <w:r>
        <w:rPr>
          <w:i/>
        </w:rPr>
        <w:t>y Florida, Inc.</w:t>
      </w:r>
      <w:r w:rsidR="00D427C2">
        <w:rPr>
          <w:i/>
        </w:rPr>
        <w:t xml:space="preserve"> d/b/a Duke Energy</w:t>
      </w:r>
      <w:r>
        <w:rPr>
          <w:i/>
        </w:rPr>
        <w:t xml:space="preserve">. </w:t>
      </w:r>
      <w:r>
        <w:t xml:space="preserve"> </w:t>
      </w:r>
    </w:p>
  </w:footnote>
  <w:footnote w:id="3">
    <w:p w:rsidR="009C5060" w:rsidRDefault="009C5060" w:rsidP="009C5060">
      <w:pPr>
        <w:pStyle w:val="FootnoteText"/>
      </w:pPr>
      <w:r>
        <w:rPr>
          <w:rStyle w:val="FootnoteReference"/>
        </w:rPr>
        <w:footnoteRef/>
      </w:r>
      <w:r w:rsidR="002B4749">
        <w:t xml:space="preserve"> </w:t>
      </w:r>
      <w:r w:rsidR="00C66E6C">
        <w:t>Order No. PSC-</w:t>
      </w:r>
      <w:r>
        <w:t>1</w:t>
      </w:r>
      <w:r w:rsidR="00C66E6C">
        <w:t>0</w:t>
      </w:r>
      <w:r>
        <w:t>-0</w:t>
      </w:r>
      <w:r w:rsidR="00C66E6C">
        <w:t>131</w:t>
      </w:r>
      <w:r>
        <w:t>-</w:t>
      </w:r>
      <w:r w:rsidR="00C66E6C">
        <w:t>FOF</w:t>
      </w:r>
      <w:r>
        <w:t xml:space="preserve">-EI, issued </w:t>
      </w:r>
      <w:r w:rsidR="00C66E6C">
        <w:t>March 5, 2010</w:t>
      </w:r>
      <w:r>
        <w:t>, in Docket No. 0</w:t>
      </w:r>
      <w:r w:rsidR="00C66E6C">
        <w:t>9</w:t>
      </w:r>
      <w:r>
        <w:t>00</w:t>
      </w:r>
      <w:r w:rsidR="00C66E6C">
        <w:t>79</w:t>
      </w:r>
      <w:r>
        <w:t xml:space="preserve">-EI, </w:t>
      </w:r>
      <w:r>
        <w:rPr>
          <w:i/>
        </w:rPr>
        <w:t xml:space="preserve">In re: Petition for increase </w:t>
      </w:r>
      <w:r w:rsidR="00C66E6C">
        <w:rPr>
          <w:i/>
        </w:rPr>
        <w:t xml:space="preserve">in rates </w:t>
      </w:r>
      <w:r>
        <w:rPr>
          <w:i/>
        </w:rPr>
        <w:t xml:space="preserve">by </w:t>
      </w:r>
      <w:r w:rsidR="00C66E6C">
        <w:rPr>
          <w:i/>
        </w:rPr>
        <w:t xml:space="preserve">Progress Energy </w:t>
      </w:r>
      <w:r>
        <w:rPr>
          <w:i/>
        </w:rPr>
        <w:t>Florida</w:t>
      </w:r>
      <w:r w:rsidR="00C66E6C">
        <w:rPr>
          <w:i/>
        </w:rPr>
        <w:t>, Inc.</w:t>
      </w:r>
      <w:r w:rsidR="00C66E6C">
        <w:t xml:space="preserve"> &amp; Docket No. 090144-EI, </w:t>
      </w:r>
      <w:r w:rsidR="00C66E6C">
        <w:rPr>
          <w:i/>
        </w:rPr>
        <w:t>In re: Petition for limited proceeding to include Bartow repowering project in base rates, by Progress Energy Florida, Inc.</w:t>
      </w:r>
      <w:r>
        <w:rPr>
          <w:i/>
        </w:rPr>
        <w:t xml:space="preserve"> </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287BD2"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20190069-EI</w:t>
    </w:r>
    <w:bookmarkEnd w:id="15"/>
  </w:p>
  <w:p w:rsidR="00BC402E" w:rsidRDefault="00BC402E">
    <w:pPr>
      <w:pStyle w:val="Header"/>
    </w:pPr>
    <w:r>
      <w:t xml:space="preserve">Date: </w:t>
    </w:r>
    <w:fldSimple w:instr=" REF FilingDate ">
      <w:r w:rsidR="00FA2CD8">
        <w:t>May 2, 2019</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FA2CD8">
      <w:t>Docket No.</w:t>
    </w:r>
    <w:r>
      <w:fldChar w:fldCharType="end"/>
    </w:r>
    <w:r>
      <w:t xml:space="preserve"> </w:t>
    </w:r>
    <w:r>
      <w:fldChar w:fldCharType="begin"/>
    </w:r>
    <w:r>
      <w:instrText xml:space="preserve"> REF DocketList</w:instrText>
    </w:r>
    <w:r>
      <w:fldChar w:fldCharType="separate"/>
    </w:r>
    <w:r w:rsidR="00FA2CD8">
      <w:t>20190069-EI</w:t>
    </w:r>
    <w:r>
      <w:fldChar w:fldCharType="end"/>
    </w:r>
    <w:r>
      <w:tab/>
      <w:t xml:space="preserve">Issue </w:t>
    </w:r>
    <w:fldSimple w:instr=" Seq Issue \c \* Arabic ">
      <w:r w:rsidR="00AC1BF4">
        <w:rPr>
          <w:noProof/>
        </w:rPr>
        <w:t>4</w:t>
      </w:r>
    </w:fldSimple>
  </w:p>
  <w:p w:rsidR="00BC402E" w:rsidRDefault="00BC402E">
    <w:pPr>
      <w:pStyle w:val="Header"/>
    </w:pPr>
    <w:r>
      <w:t xml:space="preserve">Date: </w:t>
    </w:r>
    <w:fldSimple w:instr=" REF FilingDate ">
      <w:r w:rsidR="00FA2CD8">
        <w:t>May 2, 2019</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843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287BD2"/>
    <w:rsid w:val="000043D5"/>
    <w:rsid w:val="00006170"/>
    <w:rsid w:val="00010E37"/>
    <w:rsid w:val="000172DA"/>
    <w:rsid w:val="000247C5"/>
    <w:rsid w:val="000277C2"/>
    <w:rsid w:val="00035B48"/>
    <w:rsid w:val="00036CE2"/>
    <w:rsid w:val="000437FE"/>
    <w:rsid w:val="000459BE"/>
    <w:rsid w:val="000513BE"/>
    <w:rsid w:val="000514D5"/>
    <w:rsid w:val="00065A06"/>
    <w:rsid w:val="000666F3"/>
    <w:rsid w:val="00070DCB"/>
    <w:rsid w:val="00072CCA"/>
    <w:rsid w:val="00073120"/>
    <w:rsid w:val="000764D0"/>
    <w:rsid w:val="000828D3"/>
    <w:rsid w:val="000850DE"/>
    <w:rsid w:val="000A2B57"/>
    <w:rsid w:val="000A418B"/>
    <w:rsid w:val="000C4431"/>
    <w:rsid w:val="000D1C06"/>
    <w:rsid w:val="000D4319"/>
    <w:rsid w:val="000F374A"/>
    <w:rsid w:val="001076AF"/>
    <w:rsid w:val="00117C8C"/>
    <w:rsid w:val="00124E2E"/>
    <w:rsid w:val="00125ED4"/>
    <w:rsid w:val="001305E9"/>
    <w:rsid w:val="001307AF"/>
    <w:rsid w:val="00135687"/>
    <w:rsid w:val="0015506E"/>
    <w:rsid w:val="00163031"/>
    <w:rsid w:val="00171A90"/>
    <w:rsid w:val="00180254"/>
    <w:rsid w:val="00191E1F"/>
    <w:rsid w:val="00192943"/>
    <w:rsid w:val="001A7406"/>
    <w:rsid w:val="001B4FEE"/>
    <w:rsid w:val="001B51C5"/>
    <w:rsid w:val="001B6F3F"/>
    <w:rsid w:val="001C52B5"/>
    <w:rsid w:val="001D0D3E"/>
    <w:rsid w:val="001F2245"/>
    <w:rsid w:val="001F2C63"/>
    <w:rsid w:val="001F48C7"/>
    <w:rsid w:val="001F6DA1"/>
    <w:rsid w:val="002044E6"/>
    <w:rsid w:val="00205C82"/>
    <w:rsid w:val="00205DC2"/>
    <w:rsid w:val="00212B17"/>
    <w:rsid w:val="002163B6"/>
    <w:rsid w:val="00220732"/>
    <w:rsid w:val="00221D32"/>
    <w:rsid w:val="00225C3F"/>
    <w:rsid w:val="00263D44"/>
    <w:rsid w:val="002702AD"/>
    <w:rsid w:val="00287BD2"/>
    <w:rsid w:val="00292D82"/>
    <w:rsid w:val="002963CB"/>
    <w:rsid w:val="002B4749"/>
    <w:rsid w:val="002B5E74"/>
    <w:rsid w:val="002C01CD"/>
    <w:rsid w:val="002D226D"/>
    <w:rsid w:val="002F6030"/>
    <w:rsid w:val="003037E1"/>
    <w:rsid w:val="00307E51"/>
    <w:rsid w:val="003103EC"/>
    <w:rsid w:val="003144EF"/>
    <w:rsid w:val="00322F74"/>
    <w:rsid w:val="00340073"/>
    <w:rsid w:val="00354C81"/>
    <w:rsid w:val="003632FD"/>
    <w:rsid w:val="00372805"/>
    <w:rsid w:val="00373180"/>
    <w:rsid w:val="00375AB9"/>
    <w:rsid w:val="003821A0"/>
    <w:rsid w:val="00385B04"/>
    <w:rsid w:val="003864CF"/>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17220"/>
    <w:rsid w:val="004242E6"/>
    <w:rsid w:val="00431598"/>
    <w:rsid w:val="004319AD"/>
    <w:rsid w:val="004426B8"/>
    <w:rsid w:val="00444432"/>
    <w:rsid w:val="00471860"/>
    <w:rsid w:val="00477026"/>
    <w:rsid w:val="004A744D"/>
    <w:rsid w:val="004B38A2"/>
    <w:rsid w:val="004B60BD"/>
    <w:rsid w:val="004C3150"/>
    <w:rsid w:val="004C3641"/>
    <w:rsid w:val="004C4390"/>
    <w:rsid w:val="004C4AF7"/>
    <w:rsid w:val="004D2881"/>
    <w:rsid w:val="004D385F"/>
    <w:rsid w:val="004D5B39"/>
    <w:rsid w:val="004D6B1A"/>
    <w:rsid w:val="004E330D"/>
    <w:rsid w:val="004E5147"/>
    <w:rsid w:val="004E69B5"/>
    <w:rsid w:val="004F5C43"/>
    <w:rsid w:val="0050652D"/>
    <w:rsid w:val="00506C03"/>
    <w:rsid w:val="00511A11"/>
    <w:rsid w:val="00516496"/>
    <w:rsid w:val="00523B11"/>
    <w:rsid w:val="0052572A"/>
    <w:rsid w:val="00532DFB"/>
    <w:rsid w:val="00543CB3"/>
    <w:rsid w:val="005442E4"/>
    <w:rsid w:val="0055529B"/>
    <w:rsid w:val="00560FF0"/>
    <w:rsid w:val="005614BD"/>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2924"/>
    <w:rsid w:val="00604CC7"/>
    <w:rsid w:val="00615423"/>
    <w:rsid w:val="006165B2"/>
    <w:rsid w:val="00617276"/>
    <w:rsid w:val="0062527B"/>
    <w:rsid w:val="00625D97"/>
    <w:rsid w:val="00625F1C"/>
    <w:rsid w:val="006279E1"/>
    <w:rsid w:val="00630CEB"/>
    <w:rsid w:val="00632264"/>
    <w:rsid w:val="006470BC"/>
    <w:rsid w:val="006554D3"/>
    <w:rsid w:val="00667036"/>
    <w:rsid w:val="00672D92"/>
    <w:rsid w:val="00673BDB"/>
    <w:rsid w:val="00674341"/>
    <w:rsid w:val="006771B8"/>
    <w:rsid w:val="006843B6"/>
    <w:rsid w:val="0068481F"/>
    <w:rsid w:val="00696F5D"/>
    <w:rsid w:val="00697249"/>
    <w:rsid w:val="006B06EA"/>
    <w:rsid w:val="006B36CA"/>
    <w:rsid w:val="006B3947"/>
    <w:rsid w:val="006B4293"/>
    <w:rsid w:val="006B624F"/>
    <w:rsid w:val="006C0C95"/>
    <w:rsid w:val="006C31E3"/>
    <w:rsid w:val="006D18D3"/>
    <w:rsid w:val="006E08CB"/>
    <w:rsid w:val="006E598D"/>
    <w:rsid w:val="0070437D"/>
    <w:rsid w:val="00704CF1"/>
    <w:rsid w:val="00705B04"/>
    <w:rsid w:val="0070677A"/>
    <w:rsid w:val="00724992"/>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417F"/>
    <w:rsid w:val="007F7644"/>
    <w:rsid w:val="008042BD"/>
    <w:rsid w:val="00816624"/>
    <w:rsid w:val="00822427"/>
    <w:rsid w:val="00822562"/>
    <w:rsid w:val="00823663"/>
    <w:rsid w:val="00832DDC"/>
    <w:rsid w:val="00850BAC"/>
    <w:rsid w:val="00854A3E"/>
    <w:rsid w:val="00855D08"/>
    <w:rsid w:val="00870F0A"/>
    <w:rsid w:val="00874344"/>
    <w:rsid w:val="00882155"/>
    <w:rsid w:val="0088233B"/>
    <w:rsid w:val="0088599E"/>
    <w:rsid w:val="00886C37"/>
    <w:rsid w:val="00892D99"/>
    <w:rsid w:val="00893315"/>
    <w:rsid w:val="008A5589"/>
    <w:rsid w:val="008B62AE"/>
    <w:rsid w:val="008C04B5"/>
    <w:rsid w:val="008C14FA"/>
    <w:rsid w:val="008C2DB7"/>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C5060"/>
    <w:rsid w:val="009D46E5"/>
    <w:rsid w:val="009D568A"/>
    <w:rsid w:val="009F04EC"/>
    <w:rsid w:val="009F2A7C"/>
    <w:rsid w:val="009F3B36"/>
    <w:rsid w:val="00A019B9"/>
    <w:rsid w:val="00A12508"/>
    <w:rsid w:val="00A1282B"/>
    <w:rsid w:val="00A13A27"/>
    <w:rsid w:val="00A15F58"/>
    <w:rsid w:val="00A175B6"/>
    <w:rsid w:val="00A21835"/>
    <w:rsid w:val="00A2374B"/>
    <w:rsid w:val="00A27D6E"/>
    <w:rsid w:val="00A328EC"/>
    <w:rsid w:val="00A33A51"/>
    <w:rsid w:val="00A3673F"/>
    <w:rsid w:val="00A369A1"/>
    <w:rsid w:val="00A41CA6"/>
    <w:rsid w:val="00A47927"/>
    <w:rsid w:val="00A47FFC"/>
    <w:rsid w:val="00A5442F"/>
    <w:rsid w:val="00A54FF9"/>
    <w:rsid w:val="00A56765"/>
    <w:rsid w:val="00A66888"/>
    <w:rsid w:val="00A675AC"/>
    <w:rsid w:val="00A7581F"/>
    <w:rsid w:val="00A92FB1"/>
    <w:rsid w:val="00A95A0C"/>
    <w:rsid w:val="00AA2765"/>
    <w:rsid w:val="00AA68A0"/>
    <w:rsid w:val="00AA77B5"/>
    <w:rsid w:val="00AB6C5D"/>
    <w:rsid w:val="00AC1BF4"/>
    <w:rsid w:val="00AC3401"/>
    <w:rsid w:val="00AC51A7"/>
    <w:rsid w:val="00AD444B"/>
    <w:rsid w:val="00AD5614"/>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516ED"/>
    <w:rsid w:val="00B57A6A"/>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D182E"/>
    <w:rsid w:val="00BE6DDB"/>
    <w:rsid w:val="00BF5010"/>
    <w:rsid w:val="00C03D5F"/>
    <w:rsid w:val="00C13791"/>
    <w:rsid w:val="00C31BB3"/>
    <w:rsid w:val="00C36977"/>
    <w:rsid w:val="00C467DA"/>
    <w:rsid w:val="00C477D9"/>
    <w:rsid w:val="00C60BA3"/>
    <w:rsid w:val="00C623F7"/>
    <w:rsid w:val="00C66E6C"/>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C38FC"/>
    <w:rsid w:val="00CE2BF8"/>
    <w:rsid w:val="00CE484E"/>
    <w:rsid w:val="00CE656F"/>
    <w:rsid w:val="00CF0DA8"/>
    <w:rsid w:val="00CF2E25"/>
    <w:rsid w:val="00CF4453"/>
    <w:rsid w:val="00CF5D94"/>
    <w:rsid w:val="00CF7E0F"/>
    <w:rsid w:val="00D034D7"/>
    <w:rsid w:val="00D04BE4"/>
    <w:rsid w:val="00D06FC7"/>
    <w:rsid w:val="00D12565"/>
    <w:rsid w:val="00D13E25"/>
    <w:rsid w:val="00D14127"/>
    <w:rsid w:val="00D14207"/>
    <w:rsid w:val="00D15CC4"/>
    <w:rsid w:val="00D427C2"/>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1510"/>
    <w:rsid w:val="00E01582"/>
    <w:rsid w:val="00E02F1F"/>
    <w:rsid w:val="00E06484"/>
    <w:rsid w:val="00E20A7D"/>
    <w:rsid w:val="00E275D8"/>
    <w:rsid w:val="00E30F6A"/>
    <w:rsid w:val="00E3117C"/>
    <w:rsid w:val="00E375CA"/>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3FBB"/>
    <w:rsid w:val="00EC666C"/>
    <w:rsid w:val="00EC6B7A"/>
    <w:rsid w:val="00ED3A87"/>
    <w:rsid w:val="00ED5B67"/>
    <w:rsid w:val="00EF264C"/>
    <w:rsid w:val="00EF3FEE"/>
    <w:rsid w:val="00F04B59"/>
    <w:rsid w:val="00F11741"/>
    <w:rsid w:val="00F12B1C"/>
    <w:rsid w:val="00F13CF8"/>
    <w:rsid w:val="00F15855"/>
    <w:rsid w:val="00F227DC"/>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2CD8"/>
    <w:rsid w:val="00FA32DE"/>
    <w:rsid w:val="00FA3382"/>
    <w:rsid w:val="00FA59CD"/>
    <w:rsid w:val="00FB1740"/>
    <w:rsid w:val="00FC5469"/>
    <w:rsid w:val="00FC6D7D"/>
    <w:rsid w:val="00FD16B0"/>
    <w:rsid w:val="00FD4FED"/>
    <w:rsid w:val="00FE0577"/>
    <w:rsid w:val="00FE59EC"/>
    <w:rsid w:val="00FE5B67"/>
    <w:rsid w:val="00FE5BED"/>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numbering" w:styleId="111111">
    <w:name w:val="Outline List 2"/>
    <w:basedOn w:val="NoList"/>
    <w:rsid w:val="009C5060"/>
    <w:pPr>
      <w:numPr>
        <w:numId w:val="11"/>
      </w:numPr>
    </w:pPr>
  </w:style>
  <w:style w:type="character" w:styleId="FootnoteReference">
    <w:name w:val="footnote reference"/>
    <w:basedOn w:val="DefaultParagraphFont"/>
    <w:unhideWhenUsed/>
    <w:rsid w:val="009C5060"/>
    <w:rPr>
      <w:vertAlign w:val="superscript"/>
    </w:rPr>
  </w:style>
  <w:style w:type="character" w:customStyle="1" w:styleId="FootnoteTextChar">
    <w:name w:val="Footnote Text Char"/>
    <w:basedOn w:val="DefaultParagraphFont"/>
    <w:link w:val="FootnoteText"/>
    <w:rsid w:val="009C50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numbering" w:styleId="111111">
    <w:name w:val="Outline List 2"/>
    <w:basedOn w:val="NoList"/>
    <w:rsid w:val="009C5060"/>
    <w:pPr>
      <w:numPr>
        <w:numId w:val="11"/>
      </w:numPr>
    </w:pPr>
  </w:style>
  <w:style w:type="character" w:styleId="FootnoteReference">
    <w:name w:val="footnote reference"/>
    <w:basedOn w:val="DefaultParagraphFont"/>
    <w:unhideWhenUsed/>
    <w:rsid w:val="009C5060"/>
    <w:rPr>
      <w:vertAlign w:val="superscript"/>
    </w:rPr>
  </w:style>
  <w:style w:type="character" w:customStyle="1" w:styleId="FootnoteTextChar">
    <w:name w:val="Footnote Text Char"/>
    <w:basedOn w:val="DefaultParagraphFont"/>
    <w:link w:val="FootnoteText"/>
    <w:rsid w:val="009C50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79BB6-DECF-43DD-9ED6-8507CB261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5</Pages>
  <Words>899</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6126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Lee Smith</dc:creator>
  <cp:lastModifiedBy>Kim Starling</cp:lastModifiedBy>
  <cp:revision>2</cp:revision>
  <cp:lastPrinted>2019-04-24T17:51:00Z</cp:lastPrinted>
  <dcterms:created xsi:type="dcterms:W3CDTF">2019-05-02T11:50:00Z</dcterms:created>
  <dcterms:modified xsi:type="dcterms:W3CDTF">2019-05-02T11:50:00Z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20190069-EI</vt:lpwstr>
  </property>
  <property fmtid="{D5CDD505-2E9C-101B-9397-08002B2CF9AE}" pid="3" name="MasterDocument">
    <vt:bool>false</vt:bool>
  </property>
</Properties>
</file>