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F3BAB" w:rsidP="007F3BAB">
      <w:pPr>
        <w:pStyle w:val="OrderHeading"/>
      </w:pPr>
      <w:r>
        <w:t>BEFORE THE FLORIDA PUBLIC SERVICE COMMISSION</w:t>
      </w:r>
    </w:p>
    <w:p w:rsidR="007F3BAB" w:rsidRDefault="007F3BAB" w:rsidP="007F3BAB">
      <w:pPr>
        <w:pStyle w:val="OrderBody"/>
      </w:pPr>
    </w:p>
    <w:p w:rsidR="007F3BAB" w:rsidRDefault="007F3BAB" w:rsidP="007F3BA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F3BAB" w:rsidRPr="00C63FCF" w:rsidTr="00C63FCF">
        <w:trPr>
          <w:trHeight w:val="828"/>
        </w:trPr>
        <w:tc>
          <w:tcPr>
            <w:tcW w:w="4788" w:type="dxa"/>
            <w:tcBorders>
              <w:bottom w:val="nil"/>
              <w:right w:val="double" w:sz="6" w:space="0" w:color="auto"/>
            </w:tcBorders>
            <w:shd w:val="clear" w:color="auto" w:fill="auto"/>
          </w:tcPr>
          <w:p w:rsidR="007F3BAB" w:rsidRDefault="007F3BAB" w:rsidP="00C63FCF">
            <w:pPr>
              <w:pStyle w:val="OrderBody"/>
              <w:tabs>
                <w:tab w:val="center" w:pos="4320"/>
                <w:tab w:val="right" w:pos="8640"/>
              </w:tabs>
              <w:jc w:val="left"/>
            </w:pPr>
            <w:r>
              <w:t xml:space="preserve">In re: </w:t>
            </w:r>
            <w:bookmarkStart w:id="0" w:name="SMInRe"/>
            <w:bookmarkEnd w:id="0"/>
            <w:r>
              <w:t>Commission review of numeric conservation goals (Florida Power &amp; Light Company).</w:t>
            </w:r>
          </w:p>
          <w:p w:rsidR="007F3BAB" w:rsidRDefault="007F3BA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F3BAB" w:rsidRDefault="007F3BAB" w:rsidP="00C63FCF">
            <w:pPr>
              <w:pStyle w:val="OrderBody"/>
              <w:tabs>
                <w:tab w:val="center" w:pos="4320"/>
                <w:tab w:val="right" w:pos="8640"/>
              </w:tabs>
              <w:jc w:val="left"/>
            </w:pPr>
            <w:r>
              <w:t xml:space="preserve">DOCKET NO. </w:t>
            </w:r>
            <w:bookmarkStart w:id="1" w:name="SMDocketNo"/>
            <w:bookmarkEnd w:id="1"/>
            <w:r>
              <w:t>20190015-EG</w:t>
            </w:r>
          </w:p>
        </w:tc>
      </w:tr>
      <w:tr w:rsidR="007F3BAB" w:rsidRPr="00C63FCF" w:rsidTr="00C63FCF">
        <w:trPr>
          <w:trHeight w:val="828"/>
        </w:trPr>
        <w:tc>
          <w:tcPr>
            <w:tcW w:w="4788" w:type="dxa"/>
            <w:tcBorders>
              <w:bottom w:val="nil"/>
              <w:right w:val="double" w:sz="6" w:space="0" w:color="auto"/>
            </w:tcBorders>
            <w:shd w:val="clear" w:color="auto" w:fill="auto"/>
          </w:tcPr>
          <w:p w:rsidR="007F3BAB" w:rsidRDefault="007F3BAB" w:rsidP="00C63FCF">
            <w:pPr>
              <w:pStyle w:val="OrderBody"/>
              <w:tabs>
                <w:tab w:val="center" w:pos="4320"/>
                <w:tab w:val="right" w:pos="8640"/>
              </w:tabs>
              <w:jc w:val="left"/>
            </w:pPr>
            <w:r>
              <w:t>In re: Commission review of numeric conservation goals (Gulf Power Company).</w:t>
            </w:r>
          </w:p>
          <w:p w:rsidR="007F3BAB" w:rsidRDefault="007F3BA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F3BAB" w:rsidRDefault="007F3BAB" w:rsidP="00C63FCF">
            <w:pPr>
              <w:pStyle w:val="OrderBody"/>
              <w:tabs>
                <w:tab w:val="center" w:pos="4320"/>
                <w:tab w:val="right" w:pos="8640"/>
              </w:tabs>
              <w:jc w:val="left"/>
            </w:pPr>
            <w:r>
              <w:t>DOCKET NO. 20190016-EG</w:t>
            </w:r>
          </w:p>
          <w:p w:rsidR="007F3BAB" w:rsidRDefault="007F3BAB" w:rsidP="00C63FCF">
            <w:pPr>
              <w:pStyle w:val="OrderBody"/>
              <w:tabs>
                <w:tab w:val="center" w:pos="4320"/>
                <w:tab w:val="right" w:pos="8640"/>
              </w:tabs>
              <w:jc w:val="left"/>
            </w:pPr>
          </w:p>
        </w:tc>
      </w:tr>
      <w:tr w:rsidR="007F3BAB" w:rsidRPr="00C63FCF" w:rsidTr="00C63FCF">
        <w:trPr>
          <w:trHeight w:val="828"/>
        </w:trPr>
        <w:tc>
          <w:tcPr>
            <w:tcW w:w="4788" w:type="dxa"/>
            <w:tcBorders>
              <w:bottom w:val="nil"/>
              <w:right w:val="double" w:sz="6" w:space="0" w:color="auto"/>
            </w:tcBorders>
            <w:shd w:val="clear" w:color="auto" w:fill="auto"/>
          </w:tcPr>
          <w:p w:rsidR="007F3BAB" w:rsidRDefault="007F3BAB" w:rsidP="00C63FCF">
            <w:pPr>
              <w:pStyle w:val="OrderBody"/>
              <w:tabs>
                <w:tab w:val="center" w:pos="4320"/>
                <w:tab w:val="right" w:pos="8640"/>
              </w:tabs>
              <w:jc w:val="left"/>
            </w:pPr>
            <w:r>
              <w:t>In re: Commission review of numeric conservation goals (Duke Energy Florida, LLC).</w:t>
            </w:r>
          </w:p>
          <w:p w:rsidR="007F3BAB" w:rsidRDefault="007F3BA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F3BAB" w:rsidRDefault="007F3BAB" w:rsidP="00C63FCF">
            <w:pPr>
              <w:pStyle w:val="OrderBody"/>
              <w:tabs>
                <w:tab w:val="center" w:pos="4320"/>
                <w:tab w:val="right" w:pos="8640"/>
              </w:tabs>
              <w:jc w:val="left"/>
            </w:pPr>
            <w:r>
              <w:t>DOCKET NO. 20190018-EG</w:t>
            </w:r>
          </w:p>
          <w:p w:rsidR="007F3BAB" w:rsidRDefault="007F3BAB" w:rsidP="00C63FCF">
            <w:pPr>
              <w:pStyle w:val="OrderBody"/>
              <w:tabs>
                <w:tab w:val="center" w:pos="4320"/>
                <w:tab w:val="right" w:pos="8640"/>
              </w:tabs>
              <w:jc w:val="left"/>
            </w:pPr>
          </w:p>
        </w:tc>
      </w:tr>
      <w:tr w:rsidR="007F3BAB" w:rsidRPr="00C63FCF" w:rsidTr="00C63FCF">
        <w:trPr>
          <w:trHeight w:val="828"/>
        </w:trPr>
        <w:tc>
          <w:tcPr>
            <w:tcW w:w="4788" w:type="dxa"/>
            <w:tcBorders>
              <w:top w:val="nil"/>
              <w:bottom w:val="single" w:sz="8" w:space="0" w:color="auto"/>
              <w:right w:val="double" w:sz="6" w:space="0" w:color="auto"/>
            </w:tcBorders>
            <w:shd w:val="clear" w:color="auto" w:fill="auto"/>
          </w:tcPr>
          <w:p w:rsidR="007F3BAB" w:rsidRDefault="007F3BAB" w:rsidP="00C63FCF">
            <w:pPr>
              <w:pStyle w:val="OrderBody"/>
              <w:tabs>
                <w:tab w:val="center" w:pos="4320"/>
                <w:tab w:val="right" w:pos="8640"/>
              </w:tabs>
              <w:jc w:val="left"/>
            </w:pPr>
            <w:r>
              <w:t>In re: Commission review of numeric conservation goals (Tampa Electric Company).</w:t>
            </w:r>
          </w:p>
        </w:tc>
        <w:tc>
          <w:tcPr>
            <w:tcW w:w="4788" w:type="dxa"/>
            <w:tcBorders>
              <w:left w:val="double" w:sz="6" w:space="0" w:color="auto"/>
            </w:tcBorders>
            <w:shd w:val="clear" w:color="auto" w:fill="auto"/>
          </w:tcPr>
          <w:p w:rsidR="007F3BAB" w:rsidRDefault="007F3BAB" w:rsidP="007F3BAB">
            <w:pPr>
              <w:pStyle w:val="OrderBody"/>
            </w:pPr>
            <w:r>
              <w:t xml:space="preserve">DOCKET NO. </w:t>
            </w:r>
            <w:bookmarkStart w:id="2" w:name="SMDocketNo2"/>
            <w:bookmarkEnd w:id="2"/>
            <w:r>
              <w:t>20190021-EG</w:t>
            </w:r>
          </w:p>
          <w:p w:rsidR="007F3BAB" w:rsidRDefault="007F3BAB" w:rsidP="00C63FCF">
            <w:pPr>
              <w:pStyle w:val="OrderBody"/>
              <w:tabs>
                <w:tab w:val="center" w:pos="4320"/>
                <w:tab w:val="right" w:pos="8640"/>
              </w:tabs>
              <w:jc w:val="left"/>
            </w:pPr>
            <w:r>
              <w:t xml:space="preserve">ORDER NO. </w:t>
            </w:r>
            <w:bookmarkStart w:id="3" w:name="OrderNo0182"/>
            <w:r w:rsidR="00EA52BD">
              <w:t>PSC-2019-0182-PCO-EG</w:t>
            </w:r>
            <w:bookmarkEnd w:id="3"/>
          </w:p>
          <w:p w:rsidR="007F3BAB" w:rsidRDefault="007F3BAB" w:rsidP="00C63FCF">
            <w:pPr>
              <w:pStyle w:val="OrderBody"/>
              <w:tabs>
                <w:tab w:val="center" w:pos="4320"/>
                <w:tab w:val="right" w:pos="8640"/>
              </w:tabs>
              <w:jc w:val="left"/>
            </w:pPr>
            <w:r>
              <w:t xml:space="preserve">ISSUED: </w:t>
            </w:r>
            <w:r w:rsidR="00EA52BD">
              <w:t>May 22, 2019</w:t>
            </w:r>
          </w:p>
          <w:p w:rsidR="007F3BAB" w:rsidRDefault="007F3BAB" w:rsidP="00C63FCF">
            <w:pPr>
              <w:pStyle w:val="OrderBody"/>
              <w:tabs>
                <w:tab w:val="center" w:pos="4320"/>
                <w:tab w:val="right" w:pos="8640"/>
              </w:tabs>
              <w:jc w:val="left"/>
            </w:pPr>
          </w:p>
        </w:tc>
      </w:tr>
    </w:tbl>
    <w:p w:rsidR="007F3BAB" w:rsidRDefault="007F3BAB" w:rsidP="007F3BAB"/>
    <w:p w:rsidR="007F3BAB" w:rsidRDefault="007F3BAB" w:rsidP="007F3BAB"/>
    <w:p w:rsidR="007F3BAB" w:rsidRDefault="007F3BAB" w:rsidP="00222522">
      <w:pPr>
        <w:pStyle w:val="CenterUnderline"/>
      </w:pPr>
      <w:bookmarkStart w:id="4" w:name="Commissioners"/>
      <w:bookmarkEnd w:id="4"/>
      <w:r>
        <w:t>ORDER</w:t>
      </w:r>
      <w:bookmarkStart w:id="5" w:name="OrderTitle"/>
      <w:r>
        <w:t xml:space="preserve"> GRANTING INTERVENTION </w:t>
      </w:r>
      <w:bookmarkEnd w:id="5"/>
    </w:p>
    <w:p w:rsidR="009E06F1" w:rsidRDefault="009E06F1" w:rsidP="00222522">
      <w:pPr>
        <w:pStyle w:val="CenterUnderline"/>
      </w:pPr>
    </w:p>
    <w:p w:rsidR="007F3BAB" w:rsidRDefault="00222522" w:rsidP="00222522">
      <w:pPr>
        <w:ind w:firstLine="720"/>
        <w:jc w:val="both"/>
      </w:pPr>
      <w:bookmarkStart w:id="6" w:name="OrderText"/>
      <w:bookmarkEnd w:id="6"/>
      <w:r>
        <w:t>On January 15, 2019, Docket Nos. 20190015-EG, 20190016-EG, 20190017-EG, 20190018-EG, 20190019-EG, 20190020-EG, and 20190021-EG were established to review an</w:t>
      </w:r>
      <w:r w:rsidR="00AB56BB">
        <w:t xml:space="preserve">d adopt the corresponding </w:t>
      </w:r>
      <w:r w:rsidR="00090459">
        <w:t>utility’s</w:t>
      </w:r>
      <w:r w:rsidR="00AB56BB">
        <w:t xml:space="preserve"> conservation goals pursuant to Sections 366.80-366.83 and 403.519, Florida Statutes, known collectively as the Florida Energy Efficiency and Conservation Act (FEECA).  By the Order Consolidating Dockets and Establishing Procedure, Order No. PSC-2019-0062-PCO-EG, issued on February 18, 2019, the dockets were consolidated for purposes of hearing and controlling dates were established.  The</w:t>
      </w:r>
      <w:r w:rsidR="007F3BAB">
        <w:t xml:space="preserve"> docket</w:t>
      </w:r>
      <w:r w:rsidR="00AB56BB">
        <w:t>s are</w:t>
      </w:r>
      <w:r w:rsidR="007F3BAB">
        <w:t xml:space="preserve"> cu</w:t>
      </w:r>
      <w:r w:rsidR="00AB56BB">
        <w:t>rrently scheduled for hearing from August 12, 2019, through August 16, 2019.</w:t>
      </w:r>
    </w:p>
    <w:p w:rsidR="007F3BAB" w:rsidRDefault="007F3BAB" w:rsidP="007F3BAB">
      <w:pPr>
        <w:jc w:val="both"/>
      </w:pPr>
    </w:p>
    <w:p w:rsidR="007F3BAB" w:rsidRPr="00173CF1" w:rsidRDefault="007F3BAB" w:rsidP="007F3BAB">
      <w:pPr>
        <w:jc w:val="both"/>
        <w:rPr>
          <w:u w:val="single"/>
        </w:rPr>
      </w:pPr>
      <w:r w:rsidRPr="00173CF1">
        <w:rPr>
          <w:u w:val="single"/>
        </w:rPr>
        <w:t>Petition for Intervention</w:t>
      </w:r>
    </w:p>
    <w:p w:rsidR="007F3BAB" w:rsidRDefault="007F3BAB" w:rsidP="007F3BAB">
      <w:pPr>
        <w:jc w:val="both"/>
      </w:pPr>
    </w:p>
    <w:p w:rsidR="007F3BAB" w:rsidRDefault="007F3BAB" w:rsidP="007F3BAB">
      <w:pPr>
        <w:ind w:firstLine="720"/>
        <w:jc w:val="both"/>
      </w:pPr>
      <w:r>
        <w:t xml:space="preserve">By </w:t>
      </w:r>
      <w:r w:rsidR="00487734">
        <w:t>motion</w:t>
      </w:r>
      <w:r>
        <w:t xml:space="preserve"> dated May 3, 2019, </w:t>
      </w:r>
      <w:r w:rsidRPr="00EB5771">
        <w:t xml:space="preserve">the </w:t>
      </w:r>
      <w:r w:rsidRPr="007F3BAB">
        <w:rPr>
          <w:color w:val="333333"/>
        </w:rPr>
        <w:t>Florid</w:t>
      </w:r>
      <w:r>
        <w:rPr>
          <w:color w:val="333333"/>
        </w:rPr>
        <w:t>a Industrial Power Users Group (</w:t>
      </w:r>
      <w:r w:rsidRPr="007F3BAB">
        <w:rPr>
          <w:color w:val="333333"/>
        </w:rPr>
        <w:t>FIPUG</w:t>
      </w:r>
      <w:r>
        <w:rPr>
          <w:color w:val="333333"/>
        </w:rPr>
        <w:t>)</w:t>
      </w:r>
      <w:r w:rsidRPr="00EB5771">
        <w:t xml:space="preserve"> requested permission to intervene in this proceeding</w:t>
      </w:r>
      <w:r w:rsidR="00090459">
        <w:t xml:space="preserve"> with respect to only Docket Nos. 20190015-EG, 20190016-EG, 20190018-EG, and 20190021-EG</w:t>
      </w:r>
      <w:r w:rsidRPr="00EB5771">
        <w:t>.</w:t>
      </w:r>
      <w:r w:rsidR="00090459">
        <w:t xml:space="preserve">  FIPUG </w:t>
      </w:r>
      <w:r w:rsidR="00206E0A">
        <w:t xml:space="preserve">is an ad hoc association consisting of industrial users of electricity in Florida.  FIPUG states that it has members that receive electric service from Florida Power &amp; Light Company (FPL), Gulf Power Company (Gulf), Duke Energy Florida, LLC (DEF), and Tampa Electric Company (TECO).  FIPUG asserts that its members require adequate, reasonably-priced electricity in order to compete in their respective markets.  </w:t>
      </w:r>
    </w:p>
    <w:p w:rsidR="00206E0A" w:rsidRDefault="00206E0A" w:rsidP="007F3BAB">
      <w:pPr>
        <w:ind w:firstLine="720"/>
        <w:jc w:val="both"/>
      </w:pPr>
    </w:p>
    <w:p w:rsidR="00206E0A" w:rsidRDefault="00206E0A" w:rsidP="007F3BAB">
      <w:pPr>
        <w:ind w:firstLine="720"/>
        <w:jc w:val="both"/>
      </w:pPr>
      <w:r>
        <w:t xml:space="preserve">FIPUG maintains </w:t>
      </w:r>
      <w:r w:rsidR="00E84281">
        <w:t>that a substantial number of its members will be affected by the Commission’s app</w:t>
      </w:r>
      <w:r w:rsidR="00FE6A1D">
        <w:t>roval, modification,</w:t>
      </w:r>
      <w:r w:rsidR="00E84281">
        <w:t xml:space="preserve"> or rejection of the conservation goals for FPL, Gulf, DEF, and TECO as the utilities’ implementation of the goals could result in future adjustment of rates in order to offset costs associated therewith.</w:t>
      </w:r>
      <w:r w:rsidR="000A41E9">
        <w:t xml:space="preserve">  FIPUG further maintains that its interests are of the </w:t>
      </w:r>
      <w:r w:rsidR="000A41E9">
        <w:lastRenderedPageBreak/>
        <w:t>type that this proceeding is designed to protect because its interests include ensuring that the rates of its members who receive electrical service from FPL, Gulf, DEF, and TECO are fair, just, and reasonable, and ensuring that the potential ramifications of approval, modification, or rejection of these four utilities’ numeric conservation goals and costs attendant therewith are duly considered.</w:t>
      </w:r>
    </w:p>
    <w:p w:rsidR="000A41E9" w:rsidRDefault="000A41E9" w:rsidP="007F3BAB">
      <w:pPr>
        <w:ind w:firstLine="720"/>
        <w:jc w:val="both"/>
      </w:pPr>
    </w:p>
    <w:p w:rsidR="000A41E9" w:rsidRDefault="000A41E9" w:rsidP="007F3BAB">
      <w:pPr>
        <w:ind w:firstLine="720"/>
        <w:jc w:val="both"/>
      </w:pPr>
      <w:r>
        <w:t>FIPUG alleges that it routinely appears on behalf of its members in cases concerning utility regulation, as the cost of electricity represents a significant portion of its members’ production costs.</w:t>
      </w:r>
      <w:r w:rsidR="00945095">
        <w:t xml:space="preserve">  Therefore, FIPUG maintains that the subject matter of these dockets is within FIPUG’s general scope of interest and activity.  FIPUG further alleges that the relief requested is of the type appropriate for FIPUG to receive on behalf of its members to ensure that FIPUG</w:t>
      </w:r>
      <w:r w:rsidR="00432855">
        <w:t>’s</w:t>
      </w:r>
      <w:r w:rsidR="00945095">
        <w:t xml:space="preserve"> members have a meaningful opportunity to review and understand aspects of the utilities’ numeric conservation goals and any potential costs resulting therefrom that the utilities may seek to have passed on to electric customers in a future energy conservation cost recovery proceeding.</w:t>
      </w:r>
    </w:p>
    <w:p w:rsidR="007F3BAB" w:rsidRDefault="007F3BAB" w:rsidP="007F3BAB">
      <w:pPr>
        <w:jc w:val="both"/>
      </w:pPr>
    </w:p>
    <w:p w:rsidR="007F3BAB" w:rsidRPr="00173CF1" w:rsidRDefault="007F3BAB" w:rsidP="007F3BAB">
      <w:pPr>
        <w:jc w:val="both"/>
        <w:rPr>
          <w:u w:val="single"/>
        </w:rPr>
      </w:pPr>
      <w:r w:rsidRPr="00173CF1">
        <w:rPr>
          <w:u w:val="single"/>
        </w:rPr>
        <w:t>Standards for Intervention</w:t>
      </w:r>
    </w:p>
    <w:p w:rsidR="007F3BAB" w:rsidRDefault="007F3BAB" w:rsidP="007F3BAB">
      <w:pPr>
        <w:jc w:val="both"/>
      </w:pPr>
    </w:p>
    <w:p w:rsidR="007F3BAB" w:rsidRDefault="007F3BAB" w:rsidP="007F3BAB">
      <w:pPr>
        <w:ind w:firstLine="720"/>
        <w:jc w:val="both"/>
      </w:pPr>
      <w:r>
        <w:t xml:space="preserve">Pursuant to Rule 28-106.205, </w:t>
      </w:r>
      <w:r w:rsidR="004A775F">
        <w:t>Florida Administrative Code (</w:t>
      </w:r>
      <w:r>
        <w:t>F.A.C.</w:t>
      </w:r>
      <w:r w:rsidR="004A775F">
        <w:t>)</w:t>
      </w:r>
      <w:r>
        <w:t>,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7F3BAB" w:rsidRDefault="007F3BAB" w:rsidP="007F3BAB">
      <w:pPr>
        <w:ind w:firstLine="720"/>
        <w:jc w:val="both"/>
      </w:pPr>
    </w:p>
    <w:p w:rsidR="007F3BAB" w:rsidRDefault="007F3BAB" w:rsidP="007F3BAB">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w:t>
      </w:r>
      <w:r>
        <w:lastRenderedPageBreak/>
        <w:t xml:space="preserve">behalf of its members.  </w:t>
      </w:r>
      <w:r w:rsidRPr="002E3316">
        <w:rPr>
          <w:u w:val="single"/>
        </w:rPr>
        <w:t>Fla. Home Builders</w:t>
      </w:r>
      <w:r>
        <w:t xml:space="preserve">, 412 So. 2d at 353-54; </w:t>
      </w:r>
      <w:r w:rsidRPr="002E3316">
        <w:rPr>
          <w:u w:val="single"/>
        </w:rPr>
        <w:t>Farmworker Rights Org.</w:t>
      </w:r>
      <w:r>
        <w:t>,</w:t>
      </w:r>
      <w:r w:rsidR="00F35DB9">
        <w:t xml:space="preserve"> </w:t>
      </w:r>
      <w:r>
        <w:t>417 So. 2d at 754.</w:t>
      </w:r>
    </w:p>
    <w:p w:rsidR="004A775F" w:rsidRDefault="004A775F" w:rsidP="004A775F">
      <w:pPr>
        <w:jc w:val="both"/>
      </w:pPr>
    </w:p>
    <w:p w:rsidR="004A775F" w:rsidRPr="004A775F" w:rsidRDefault="004A775F" w:rsidP="004A775F">
      <w:pPr>
        <w:jc w:val="both"/>
        <w:rPr>
          <w:u w:val="single"/>
        </w:rPr>
      </w:pPr>
      <w:r>
        <w:rPr>
          <w:u w:val="single"/>
        </w:rPr>
        <w:t>Decision</w:t>
      </w:r>
    </w:p>
    <w:p w:rsidR="007F3BAB" w:rsidRDefault="007F3BAB" w:rsidP="007F3BAB">
      <w:pPr>
        <w:ind w:firstLine="720"/>
        <w:jc w:val="both"/>
      </w:pPr>
    </w:p>
    <w:p w:rsidR="007F3BAB" w:rsidRDefault="004A775F" w:rsidP="007F3BAB">
      <w:pPr>
        <w:ind w:firstLine="720"/>
        <w:jc w:val="both"/>
      </w:pPr>
      <w:r>
        <w:t xml:space="preserve">Based on FIPUG’s representations, it appears that FIPUG has met the associational standing requirements of </w:t>
      </w:r>
      <w:r w:rsidRPr="004A775F">
        <w:rPr>
          <w:u w:val="single"/>
        </w:rPr>
        <w:t>Florida Home Builders</w:t>
      </w:r>
      <w:r>
        <w:t xml:space="preserve">.  As to the first prong, </w:t>
      </w:r>
      <w:r w:rsidR="00FE6A1D">
        <w:t xml:space="preserve">FIPUG asserts that a substantial number of its members </w:t>
      </w:r>
      <w:r w:rsidR="00487734">
        <w:t>reside in the service territory of</w:t>
      </w:r>
      <w:r w:rsidR="00FE6A1D">
        <w:t xml:space="preserve"> FPL, Gulf, DEF, and TECO </w:t>
      </w:r>
      <w:r w:rsidR="00487734">
        <w:t>and will be affected by the decision in this case</w:t>
      </w:r>
      <w:r w:rsidR="00FE6A1D">
        <w:t xml:space="preserve">.  As to the second prong, </w:t>
      </w:r>
      <w:r w:rsidR="001A6EA5">
        <w:t xml:space="preserve">the subject matter of these dockets falls within the purview of </w:t>
      </w:r>
      <w:r w:rsidR="00FE6A1D">
        <w:t>FIPUG</w:t>
      </w:r>
      <w:r w:rsidR="001A6EA5">
        <w:t>’s general scope of interest and activity as FIPUG seeks to ensure</w:t>
      </w:r>
      <w:r w:rsidR="00FE6A1D">
        <w:t xml:space="preserve"> that the </w:t>
      </w:r>
      <w:r w:rsidR="001A6EA5">
        <w:t xml:space="preserve">electric </w:t>
      </w:r>
      <w:r w:rsidR="00FE6A1D">
        <w:t>rates of its members are fair, ju</w:t>
      </w:r>
      <w:r w:rsidR="001A6EA5">
        <w:t xml:space="preserve">st, and reasonable, and </w:t>
      </w:r>
      <w:r w:rsidR="00D54B23">
        <w:t xml:space="preserve">to </w:t>
      </w:r>
      <w:r w:rsidR="001A6EA5">
        <w:t>ensure</w:t>
      </w:r>
      <w:r w:rsidR="00FE6A1D">
        <w:t xml:space="preserve"> that </w:t>
      </w:r>
      <w:r w:rsidR="00487734">
        <w:t>any decision regarding</w:t>
      </w:r>
      <w:r w:rsidR="00FE6A1D">
        <w:t xml:space="preserve"> </w:t>
      </w:r>
      <w:r w:rsidR="001A6EA5">
        <w:t>the utilities</w:t>
      </w:r>
      <w:r w:rsidR="00FE6A1D">
        <w:t xml:space="preserve">’ numeric conservation goals and </w:t>
      </w:r>
      <w:r w:rsidR="00432855">
        <w:t xml:space="preserve">associated </w:t>
      </w:r>
      <w:r w:rsidR="00FE6A1D">
        <w:t xml:space="preserve">costs are duly considered.  </w:t>
      </w:r>
      <w:r w:rsidR="001A6EA5">
        <w:t>Moreover</w:t>
      </w:r>
      <w:r w:rsidR="00FE6A1D">
        <w:t>, FIPUG routinely appears on behalf of its members in cases concerning utility regulation.</w:t>
      </w:r>
      <w:r w:rsidR="001A6EA5">
        <w:t xml:space="preserve">  As to the third prong, the type of relief requested is appropriate for FIPUG to receive on behalf of its members as FIPUG is seeking participation in this proceeding to ensure that FIPUG</w:t>
      </w:r>
      <w:r w:rsidR="00432855">
        <w:t>’s</w:t>
      </w:r>
      <w:r w:rsidR="001A6EA5">
        <w:t xml:space="preserve"> members have a meaningful opportunity to review and understand aspects of the utilities’ numeric conservation goals and any potential</w:t>
      </w:r>
      <w:r w:rsidR="00AA102E">
        <w:t xml:space="preserve"> resultant</w:t>
      </w:r>
      <w:r w:rsidR="001A6EA5">
        <w:t xml:space="preserve"> costs.</w:t>
      </w:r>
    </w:p>
    <w:p w:rsidR="00A353EF" w:rsidRDefault="00A353EF" w:rsidP="007F3BAB">
      <w:pPr>
        <w:ind w:firstLine="720"/>
        <w:jc w:val="both"/>
      </w:pPr>
    </w:p>
    <w:p w:rsidR="00A353EF" w:rsidRDefault="00A353EF" w:rsidP="007F3BAB">
      <w:pPr>
        <w:ind w:firstLine="720"/>
        <w:jc w:val="both"/>
      </w:pPr>
      <w:r w:rsidRPr="00CF454C">
        <w:t xml:space="preserve">Pursuant to Rule 28-106.204(3), </w:t>
      </w:r>
      <w:r>
        <w:t>F.A.C.</w:t>
      </w:r>
      <w:r w:rsidRPr="00CF454C">
        <w:t xml:space="preserve">, </w:t>
      </w:r>
      <w:r>
        <w:t xml:space="preserve">all </w:t>
      </w:r>
      <w:r w:rsidRPr="00CF454C">
        <w:t>motions</w:t>
      </w:r>
      <w:r>
        <w:t>, other than a motion to dismiss,</w:t>
      </w:r>
      <w:r w:rsidRPr="00CF454C">
        <w:t xml:space="preserve"> shall include a statement that the movant has conferred with all other parties of record and shall state as to each party whether the party has any objection to the motion.</w:t>
      </w:r>
      <w:r>
        <w:t xml:space="preserve">  Further, any statement that the movant was unable to contact the other parties before filing the motion must provide information regarding the date(s) and method(s) by which contact was attempted.</w:t>
      </w:r>
      <w:r w:rsidRPr="00CF454C">
        <w:t xml:space="preserve"> </w:t>
      </w:r>
      <w:r>
        <w:t xml:space="preserve"> In its motion, FIPUG provided that it conferred with FPL, Gulf, DEF, and TECO, </w:t>
      </w:r>
      <w:r w:rsidR="00FB21E3">
        <w:t xml:space="preserve">and stated </w:t>
      </w:r>
      <w:r w:rsidR="008A1EAE">
        <w:t>no utility objected</w:t>
      </w:r>
      <w:r w:rsidR="00FB21E3">
        <w:t xml:space="preserve"> to FIPUG’s motion</w:t>
      </w:r>
      <w:r>
        <w:t>.  However, FIPUG did not provide</w:t>
      </w:r>
      <w:r w:rsidRPr="00A353EF">
        <w:t xml:space="preserve"> </w:t>
      </w:r>
      <w:r w:rsidR="00432855">
        <w:t>a statement indicating</w:t>
      </w:r>
      <w:r w:rsidR="00880859">
        <w:t xml:space="preserve"> </w:t>
      </w:r>
      <w:r w:rsidRPr="00CF454C">
        <w:t xml:space="preserve">whether </w:t>
      </w:r>
      <w:r w:rsidR="008A1EAE">
        <w:t>the Office of Public Counsel, the Florida Department of Agriculture and Consumer Services, or the Southern Alliance for Clean Energy, who are also parties to these proceedings,</w:t>
      </w:r>
      <w:r w:rsidRPr="00CF454C">
        <w:t xml:space="preserve"> objected</w:t>
      </w:r>
      <w:r>
        <w:t xml:space="preserve">, </w:t>
      </w:r>
      <w:r w:rsidR="00880859">
        <w:t>n</w:t>
      </w:r>
      <w:r>
        <w:t>or</w:t>
      </w:r>
      <w:r w:rsidR="00880859">
        <w:t xml:space="preserve"> did </w:t>
      </w:r>
      <w:r w:rsidR="008A1EAE">
        <w:t>FIPUG</w:t>
      </w:r>
      <w:r>
        <w:t xml:space="preserve"> provide a statement that it attempted to contact those parties</w:t>
      </w:r>
      <w:r w:rsidR="00432855">
        <w:t>.</w:t>
      </w:r>
      <w:r>
        <w:t xml:space="preserve">  </w:t>
      </w:r>
      <w:r w:rsidR="008A1EAE">
        <w:t>Nonetheless</w:t>
      </w:r>
      <w:r>
        <w:t xml:space="preserve">, </w:t>
      </w:r>
      <w:r w:rsidR="00880859">
        <w:t>FIPUG</w:t>
      </w:r>
      <w:r>
        <w:t xml:space="preserve"> appears to have served a copy of its motion on </w:t>
      </w:r>
      <w:r w:rsidR="00432855">
        <w:t>all</w:t>
      </w:r>
      <w:r>
        <w:t xml:space="preserve"> parties to this proceeding and the time to file a response in opposition to </w:t>
      </w:r>
      <w:r w:rsidR="00880859">
        <w:t>FIPUG</w:t>
      </w:r>
      <w:r>
        <w:t xml:space="preserve">’s motion has expired.  </w:t>
      </w:r>
      <w:r w:rsidR="00880859">
        <w:t>FIPUG</w:t>
      </w:r>
      <w:r w:rsidRPr="00CF454C">
        <w:t xml:space="preserve"> should have informed the Commission in </w:t>
      </w:r>
      <w:r>
        <w:t xml:space="preserve">its </w:t>
      </w:r>
      <w:r w:rsidRPr="00CF454C">
        <w:t xml:space="preserve">motion whether </w:t>
      </w:r>
      <w:r w:rsidR="00880859">
        <w:t>those</w:t>
      </w:r>
      <w:r w:rsidRPr="00CF454C">
        <w:t xml:space="preserve"> </w:t>
      </w:r>
      <w:r w:rsidR="008A1EAE">
        <w:t xml:space="preserve">additional </w:t>
      </w:r>
      <w:r w:rsidRPr="00CF454C">
        <w:t xml:space="preserve">parties objected, after </w:t>
      </w:r>
      <w:r>
        <w:t>conferring</w:t>
      </w:r>
      <w:r w:rsidRPr="00CF454C">
        <w:t xml:space="preserve"> with them</w:t>
      </w:r>
      <w:r>
        <w:t>, or provided a statement that it attempted</w:t>
      </w:r>
      <w:r w:rsidR="00880859">
        <w:t xml:space="preserve"> to contact those</w:t>
      </w:r>
      <w:r>
        <w:t xml:space="preserve"> parties</w:t>
      </w:r>
      <w:r w:rsidRPr="00CF454C">
        <w:t>. The requirement to confer does not mean informing other parties of an impending motion, but rather conducting a discussion to determine whether there is an objection</w:t>
      </w:r>
      <w:r>
        <w:t>.</w:t>
      </w:r>
    </w:p>
    <w:p w:rsidR="007F3BAB" w:rsidRDefault="007F3BAB" w:rsidP="007F3BAB">
      <w:pPr>
        <w:ind w:firstLine="720"/>
        <w:jc w:val="both"/>
      </w:pPr>
    </w:p>
    <w:p w:rsidR="007F3BAB" w:rsidRPr="00826D5E" w:rsidRDefault="007F3BAB" w:rsidP="007F3BAB">
      <w:pPr>
        <w:jc w:val="both"/>
      </w:pPr>
      <w:r w:rsidRPr="00826D5E">
        <w:tab/>
      </w:r>
      <w:r>
        <w:t>Based on the above representations,</w:t>
      </w:r>
      <w:r w:rsidRPr="00826D5E">
        <w:t xml:space="preserve"> it is</w:t>
      </w:r>
    </w:p>
    <w:p w:rsidR="007F3BAB" w:rsidRPr="00826D5E" w:rsidRDefault="007F3BAB" w:rsidP="007F3BAB">
      <w:pPr>
        <w:jc w:val="both"/>
      </w:pPr>
    </w:p>
    <w:p w:rsidR="007F3BAB" w:rsidRDefault="007F3BAB" w:rsidP="007F3BAB">
      <w:pPr>
        <w:ind w:firstLine="720"/>
        <w:jc w:val="both"/>
      </w:pPr>
      <w:r>
        <w:t xml:space="preserve">ORDERED by Commissioner Donald J. </w:t>
      </w:r>
      <w:proofErr w:type="spellStart"/>
      <w:r>
        <w:t>Polmann</w:t>
      </w:r>
      <w:proofErr w:type="spellEnd"/>
      <w:r>
        <w:t xml:space="preserve">, as Prehearing Officer, that the </w:t>
      </w:r>
      <w:r w:rsidR="00880859">
        <w:t>Petition</w:t>
      </w:r>
      <w:r>
        <w:t xml:space="preserve"> to Intervene filed by </w:t>
      </w:r>
      <w:r w:rsidRPr="007F3BAB">
        <w:rPr>
          <w:color w:val="333333"/>
        </w:rPr>
        <w:t>Florida Ind</w:t>
      </w:r>
      <w:r>
        <w:rPr>
          <w:color w:val="333333"/>
        </w:rPr>
        <w:t xml:space="preserve">ustrial Power Users Group </w:t>
      </w:r>
      <w:r>
        <w:t xml:space="preserve">is hereby granted </w:t>
      </w:r>
      <w:r w:rsidR="00880859">
        <w:t xml:space="preserve">as to Docket Nos. 20190015-EG, 20190016-EG, 20190018-EG, and 20190021-EG, </w:t>
      </w:r>
      <w:r w:rsidR="00975096">
        <w:t>as set forth in the</w:t>
      </w:r>
      <w:r>
        <w:t xml:space="preserve"> body of this Order. It is further</w:t>
      </w:r>
    </w:p>
    <w:p w:rsidR="00487734" w:rsidRDefault="00487734" w:rsidP="007F3BAB">
      <w:pPr>
        <w:ind w:firstLine="720"/>
        <w:jc w:val="both"/>
      </w:pPr>
    </w:p>
    <w:p w:rsidR="007F3BAB" w:rsidRDefault="007F3BAB" w:rsidP="007F3BAB">
      <w:pPr>
        <w:ind w:firstLine="720"/>
        <w:jc w:val="both"/>
      </w:pPr>
      <w:r>
        <w:t xml:space="preserve">ORDERED that </w:t>
      </w:r>
      <w:r w:rsidR="00DD7A12">
        <w:t xml:space="preserve">the </w:t>
      </w:r>
      <w:r>
        <w:rPr>
          <w:color w:val="333333"/>
        </w:rPr>
        <w:t>Florida Industrial Power Users Group</w:t>
      </w:r>
      <w:r w:rsidR="00DD7A12">
        <w:rPr>
          <w:color w:val="333333"/>
        </w:rPr>
        <w:t xml:space="preserve"> t</w:t>
      </w:r>
      <w:r>
        <w:t xml:space="preserve">akes the case as it finds it. It is further </w:t>
      </w:r>
    </w:p>
    <w:p w:rsidR="007F3BAB" w:rsidRDefault="007F3BAB" w:rsidP="007F3BAB">
      <w:pPr>
        <w:ind w:firstLine="720"/>
        <w:jc w:val="both"/>
      </w:pPr>
    </w:p>
    <w:p w:rsidR="007F3BAB" w:rsidRDefault="007F3BAB" w:rsidP="007F3BAB">
      <w:pPr>
        <w:ind w:firstLine="720"/>
        <w:jc w:val="both"/>
      </w:pPr>
      <w:r>
        <w:lastRenderedPageBreak/>
        <w:t>ORDERED that all parties to this proceeding shall furnish copies of all testimony, exhibits, pleadings, and other documents which may hereinafter be filed in this proceeding to:</w:t>
      </w:r>
    </w:p>
    <w:p w:rsidR="007F3BAB" w:rsidRDefault="007F3BAB" w:rsidP="007F3BAB">
      <w:pPr>
        <w:ind w:firstLine="720"/>
        <w:jc w:val="both"/>
      </w:pPr>
    </w:p>
    <w:p w:rsidR="007F3BAB" w:rsidRDefault="007F3BAB" w:rsidP="007F3BAB">
      <w:pPr>
        <w:ind w:firstLine="720"/>
        <w:jc w:val="both"/>
      </w:pPr>
      <w:r>
        <w:t>Jon C. Moyle, Jr.</w:t>
      </w:r>
    </w:p>
    <w:p w:rsidR="007F3BAB" w:rsidRDefault="007F3BAB" w:rsidP="007F3BAB">
      <w:pPr>
        <w:ind w:firstLine="720"/>
        <w:jc w:val="both"/>
      </w:pPr>
      <w:r>
        <w:t>Karen A. Putnal</w:t>
      </w:r>
    </w:p>
    <w:p w:rsidR="007F3BAB" w:rsidRDefault="007F3BAB" w:rsidP="007F3BAB">
      <w:pPr>
        <w:ind w:firstLine="720"/>
        <w:jc w:val="both"/>
      </w:pPr>
      <w:r>
        <w:t>Ian E. Waldick</w:t>
      </w:r>
    </w:p>
    <w:p w:rsidR="007F3BAB" w:rsidRDefault="007F3BAB" w:rsidP="007F3BAB">
      <w:pPr>
        <w:ind w:firstLine="720"/>
        <w:jc w:val="both"/>
      </w:pPr>
      <w:r>
        <w:t>Moyle Law Firm, P.A.</w:t>
      </w:r>
    </w:p>
    <w:p w:rsidR="007F3BAB" w:rsidRDefault="007F3BAB" w:rsidP="007F3BAB">
      <w:pPr>
        <w:ind w:firstLine="720"/>
        <w:jc w:val="both"/>
      </w:pPr>
      <w:r>
        <w:t>118 North Gadsden Street</w:t>
      </w:r>
    </w:p>
    <w:p w:rsidR="007F3BAB" w:rsidRDefault="007F3BAB" w:rsidP="007F3BAB">
      <w:pPr>
        <w:ind w:firstLine="720"/>
        <w:jc w:val="both"/>
      </w:pPr>
      <w:r>
        <w:t>Tallahassee, Florida 32301</w:t>
      </w:r>
    </w:p>
    <w:p w:rsidR="007F3BAB" w:rsidRDefault="007F3BAB" w:rsidP="007F3BAB">
      <w:pPr>
        <w:ind w:firstLine="720"/>
        <w:jc w:val="both"/>
      </w:pPr>
      <w:r>
        <w:t>jmoyle@moylelaw.com</w:t>
      </w:r>
    </w:p>
    <w:p w:rsidR="007F3BAB" w:rsidRDefault="007F3BAB" w:rsidP="007F3BAB">
      <w:pPr>
        <w:ind w:firstLine="720"/>
        <w:jc w:val="both"/>
      </w:pPr>
      <w:r>
        <w:t>kputnal@moylelaw.com</w:t>
      </w:r>
    </w:p>
    <w:p w:rsidR="007F3BAB" w:rsidRDefault="007F3BAB" w:rsidP="007F3BAB">
      <w:pPr>
        <w:ind w:firstLine="720"/>
        <w:jc w:val="both"/>
      </w:pPr>
      <w:r>
        <w:t>iwaldick@moylelaw.com</w:t>
      </w:r>
    </w:p>
    <w:p w:rsidR="007F3BAB" w:rsidRDefault="007F3BAB" w:rsidP="007F3BAB">
      <w:pPr>
        <w:ind w:firstLine="720"/>
        <w:jc w:val="both"/>
      </w:pPr>
      <w:r>
        <w:t>mqualls@moylelaw.com</w:t>
      </w:r>
    </w:p>
    <w:p w:rsidR="007F3BAB" w:rsidRDefault="007F3BAB" w:rsidP="007F3BAB">
      <w:pPr>
        <w:ind w:firstLine="720"/>
        <w:jc w:val="both"/>
      </w:pPr>
    </w:p>
    <w:p w:rsidR="007F3BAB" w:rsidRDefault="007F3BAB" w:rsidP="007F3BAB">
      <w:pPr>
        <w:keepNext/>
        <w:keepLines/>
        <w:ind w:firstLine="720"/>
        <w:jc w:val="both"/>
      </w:pPr>
      <w:r>
        <w:t xml:space="preserve">By ORDER of Commissioner Donald J. </w:t>
      </w:r>
      <w:proofErr w:type="spellStart"/>
      <w:r>
        <w:t>Polmann</w:t>
      </w:r>
      <w:proofErr w:type="spellEnd"/>
      <w:r>
        <w:t xml:space="preserve">, as Prehearing Officer, this </w:t>
      </w:r>
      <w:bookmarkStart w:id="7" w:name="replaceDate"/>
      <w:bookmarkEnd w:id="7"/>
      <w:r w:rsidR="00EA52BD">
        <w:rPr>
          <w:u w:val="single"/>
        </w:rPr>
        <w:t>22nd</w:t>
      </w:r>
      <w:r w:rsidR="00EA52BD">
        <w:t xml:space="preserve"> day of </w:t>
      </w:r>
      <w:r w:rsidR="00EA52BD">
        <w:rPr>
          <w:u w:val="single"/>
        </w:rPr>
        <w:t>May</w:t>
      </w:r>
      <w:r w:rsidR="00EA52BD">
        <w:t xml:space="preserve">, </w:t>
      </w:r>
      <w:r w:rsidR="00EA52BD">
        <w:rPr>
          <w:u w:val="single"/>
        </w:rPr>
        <w:t>2019</w:t>
      </w:r>
      <w:r w:rsidR="00EA52BD">
        <w:t>.</w:t>
      </w:r>
    </w:p>
    <w:p w:rsidR="00EA52BD" w:rsidRPr="00EA52BD" w:rsidRDefault="00EA52BD" w:rsidP="007F3BAB">
      <w:pPr>
        <w:keepNext/>
        <w:keepLines/>
        <w:ind w:firstLine="720"/>
        <w:jc w:val="both"/>
      </w:pPr>
    </w:p>
    <w:p w:rsidR="007F3BAB" w:rsidRDefault="007F3BAB" w:rsidP="007F3BAB">
      <w:pPr>
        <w:keepNext/>
        <w:keepLines/>
        <w:ind w:firstLine="720"/>
        <w:jc w:val="both"/>
      </w:pPr>
    </w:p>
    <w:p w:rsidR="007F3BAB" w:rsidRDefault="007F3BAB" w:rsidP="007F3BAB">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7F3BAB" w:rsidTr="007F3BAB">
        <w:tc>
          <w:tcPr>
            <w:tcW w:w="720" w:type="dxa"/>
            <w:shd w:val="clear" w:color="auto" w:fill="auto"/>
          </w:tcPr>
          <w:p w:rsidR="007F3BAB" w:rsidRDefault="007F3BAB" w:rsidP="007F3BAB">
            <w:pPr>
              <w:keepNext/>
              <w:keepLines/>
              <w:jc w:val="both"/>
            </w:pPr>
            <w:bookmarkStart w:id="8" w:name="bkmrkSignature" w:colFirst="0" w:colLast="0"/>
          </w:p>
        </w:tc>
        <w:tc>
          <w:tcPr>
            <w:tcW w:w="4320" w:type="dxa"/>
            <w:tcBorders>
              <w:bottom w:val="single" w:sz="4" w:space="0" w:color="auto"/>
            </w:tcBorders>
            <w:shd w:val="clear" w:color="auto" w:fill="auto"/>
          </w:tcPr>
          <w:p w:rsidR="007F3BAB" w:rsidRDefault="00EA52BD" w:rsidP="007F3BAB">
            <w:pPr>
              <w:keepNext/>
              <w:keepLines/>
              <w:jc w:val="both"/>
            </w:pPr>
            <w:r>
              <w:t xml:space="preserve">/s/ Donald J. </w:t>
            </w:r>
            <w:proofErr w:type="spellStart"/>
            <w:r>
              <w:t>Polmann</w:t>
            </w:r>
            <w:proofErr w:type="spellEnd"/>
            <w:r>
              <w:t>, Ph.D., P.E.</w:t>
            </w:r>
            <w:bookmarkStart w:id="9" w:name="_GoBack"/>
            <w:bookmarkEnd w:id="9"/>
          </w:p>
        </w:tc>
      </w:tr>
      <w:bookmarkEnd w:id="8"/>
      <w:tr w:rsidR="007F3BAB" w:rsidTr="007F3BAB">
        <w:tc>
          <w:tcPr>
            <w:tcW w:w="720" w:type="dxa"/>
            <w:shd w:val="clear" w:color="auto" w:fill="auto"/>
          </w:tcPr>
          <w:p w:rsidR="007F3BAB" w:rsidRDefault="007F3BAB" w:rsidP="007F3BAB">
            <w:pPr>
              <w:keepNext/>
              <w:keepLines/>
              <w:jc w:val="both"/>
            </w:pPr>
          </w:p>
        </w:tc>
        <w:tc>
          <w:tcPr>
            <w:tcW w:w="4320" w:type="dxa"/>
            <w:tcBorders>
              <w:top w:val="single" w:sz="4" w:space="0" w:color="auto"/>
            </w:tcBorders>
            <w:shd w:val="clear" w:color="auto" w:fill="auto"/>
          </w:tcPr>
          <w:p w:rsidR="007F3BAB" w:rsidRDefault="007F3BAB" w:rsidP="007F3BAB">
            <w:pPr>
              <w:keepNext/>
              <w:keepLines/>
              <w:jc w:val="both"/>
            </w:pPr>
            <w:r>
              <w:t>DONALD J. POLMANN, Ph.D., P.E.</w:t>
            </w:r>
          </w:p>
          <w:p w:rsidR="007F3BAB" w:rsidRDefault="007F3BAB" w:rsidP="007F3BAB">
            <w:pPr>
              <w:keepNext/>
              <w:keepLines/>
              <w:jc w:val="both"/>
            </w:pPr>
            <w:r>
              <w:t>Commissioner and Prehearing Officer</w:t>
            </w:r>
          </w:p>
        </w:tc>
      </w:tr>
    </w:tbl>
    <w:p w:rsidR="007F3BAB" w:rsidRDefault="007F3BAB" w:rsidP="007F3BAB">
      <w:pPr>
        <w:pStyle w:val="OrderSigInfo"/>
        <w:keepNext/>
        <w:keepLines/>
      </w:pPr>
      <w:r>
        <w:t>Florida Public Service Commission</w:t>
      </w:r>
    </w:p>
    <w:p w:rsidR="007F3BAB" w:rsidRDefault="007F3BAB" w:rsidP="007F3BAB">
      <w:pPr>
        <w:pStyle w:val="OrderSigInfo"/>
        <w:keepNext/>
        <w:keepLines/>
      </w:pPr>
      <w:r>
        <w:t>2540 Shumard Oak Boulevard</w:t>
      </w:r>
    </w:p>
    <w:p w:rsidR="007F3BAB" w:rsidRDefault="007F3BAB" w:rsidP="007F3BAB">
      <w:pPr>
        <w:pStyle w:val="OrderSigInfo"/>
        <w:keepNext/>
        <w:keepLines/>
      </w:pPr>
      <w:r>
        <w:t>Tallahassee, Florida 32399</w:t>
      </w:r>
    </w:p>
    <w:p w:rsidR="007F3BAB" w:rsidRDefault="007F3BAB" w:rsidP="007F3BAB">
      <w:pPr>
        <w:pStyle w:val="OrderSigInfo"/>
        <w:keepNext/>
        <w:keepLines/>
      </w:pPr>
      <w:r>
        <w:t>(850) 413</w:t>
      </w:r>
      <w:r>
        <w:noBreakHyphen/>
        <w:t>6770</w:t>
      </w:r>
    </w:p>
    <w:p w:rsidR="007F3BAB" w:rsidRDefault="007F3BAB" w:rsidP="007F3BAB">
      <w:pPr>
        <w:pStyle w:val="OrderSigInfo"/>
        <w:keepNext/>
        <w:keepLines/>
      </w:pPr>
      <w:r>
        <w:t>www.floridapsc.com</w:t>
      </w:r>
    </w:p>
    <w:p w:rsidR="007F3BAB" w:rsidRDefault="007F3BAB" w:rsidP="007F3BAB">
      <w:pPr>
        <w:pStyle w:val="OrderSigInfo"/>
        <w:keepNext/>
        <w:keepLines/>
      </w:pPr>
    </w:p>
    <w:p w:rsidR="007F3BAB" w:rsidRDefault="007F3BAB" w:rsidP="007F3BAB">
      <w:pPr>
        <w:pStyle w:val="OrderSigInfo"/>
        <w:keepNext/>
        <w:keepLines/>
      </w:pPr>
      <w:r>
        <w:t>Copies furnished:  A copy of this document is provided to the parties of record at the time of issuance and, if applicable, interested persons.</w:t>
      </w:r>
    </w:p>
    <w:p w:rsidR="007F3BAB" w:rsidRDefault="007F3BAB" w:rsidP="007F3BAB">
      <w:pPr>
        <w:pStyle w:val="OrderBody"/>
        <w:keepNext/>
        <w:keepLines/>
      </w:pPr>
    </w:p>
    <w:p w:rsidR="007F3BAB" w:rsidRDefault="007F3BAB" w:rsidP="007F3BAB">
      <w:pPr>
        <w:keepNext/>
        <w:keepLines/>
        <w:ind w:firstLine="720"/>
        <w:jc w:val="both"/>
      </w:pPr>
    </w:p>
    <w:p w:rsidR="007F3BAB" w:rsidRDefault="007F3BAB" w:rsidP="00170322">
      <w:pPr>
        <w:keepNext/>
        <w:keepLines/>
        <w:jc w:val="both"/>
      </w:pPr>
      <w:r>
        <w:t>MAD</w:t>
      </w:r>
    </w:p>
    <w:p w:rsidR="007F3BAB" w:rsidRDefault="007F3BAB" w:rsidP="007F3BAB">
      <w:pPr>
        <w:ind w:firstLine="720"/>
        <w:jc w:val="both"/>
      </w:pPr>
    </w:p>
    <w:p w:rsidR="007F3BAB" w:rsidRDefault="007F3BAB" w:rsidP="007F3BAB">
      <w:pPr>
        <w:ind w:firstLine="720"/>
        <w:jc w:val="both"/>
      </w:pPr>
    </w:p>
    <w:p w:rsidR="007F3BAB" w:rsidRDefault="007F3BAB" w:rsidP="007F3BAB">
      <w:pPr>
        <w:jc w:val="both"/>
      </w:pPr>
      <w:r w:rsidRPr="00826D5E">
        <w:tab/>
      </w:r>
    </w:p>
    <w:p w:rsidR="007F3BAB" w:rsidRDefault="007F3BAB" w:rsidP="007F3BAB"/>
    <w:p w:rsidR="00F94370" w:rsidRDefault="00F94370" w:rsidP="007F3BAB"/>
    <w:p w:rsidR="00F94370" w:rsidRDefault="00F94370" w:rsidP="007F3BAB"/>
    <w:p w:rsidR="00F94370" w:rsidRDefault="00F94370" w:rsidP="007F3BAB"/>
    <w:p w:rsidR="00487734" w:rsidRDefault="00487734" w:rsidP="007F3BAB"/>
    <w:p w:rsidR="00487734" w:rsidRDefault="00487734" w:rsidP="007F3BAB"/>
    <w:p w:rsidR="00487734" w:rsidRDefault="00487734" w:rsidP="007F3BAB"/>
    <w:p w:rsidR="00EA52BD" w:rsidRDefault="00EA52BD" w:rsidP="007F3BAB">
      <w:pPr>
        <w:pStyle w:val="CenterUnderline"/>
      </w:pPr>
    </w:p>
    <w:p w:rsidR="007F3BAB" w:rsidRDefault="007F3BAB" w:rsidP="007F3BAB">
      <w:pPr>
        <w:pStyle w:val="CenterUnderline"/>
      </w:pPr>
      <w:r>
        <w:lastRenderedPageBreak/>
        <w:t>NOTICE OF FURTHER PROCEEDINGS OR JUDICIAL REVIEW</w:t>
      </w:r>
    </w:p>
    <w:p w:rsidR="007F3BAB" w:rsidRDefault="007F3BAB" w:rsidP="007F3BAB">
      <w:pPr>
        <w:pStyle w:val="CenterUnderline"/>
      </w:pPr>
    </w:p>
    <w:p w:rsidR="007F3BAB" w:rsidRDefault="007F3BAB" w:rsidP="007F3BA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F3BAB" w:rsidRDefault="007F3BAB" w:rsidP="007F3BAB">
      <w:pPr>
        <w:pStyle w:val="OrderBody"/>
      </w:pPr>
    </w:p>
    <w:p w:rsidR="007F3BAB" w:rsidRDefault="007F3BAB" w:rsidP="007F3BAB">
      <w:pPr>
        <w:pStyle w:val="OrderBody"/>
      </w:pPr>
      <w:r>
        <w:tab/>
        <w:t>Mediation may be available on a case-by-case basis.  If mediation is conducted, it does not affect a substantially interested person's right to a hearing.</w:t>
      </w:r>
    </w:p>
    <w:p w:rsidR="007F3BAB" w:rsidRDefault="007F3BAB" w:rsidP="007F3BAB">
      <w:pPr>
        <w:pStyle w:val="OrderBody"/>
      </w:pPr>
    </w:p>
    <w:p w:rsidR="007F3BAB" w:rsidRDefault="007F3BAB" w:rsidP="007F3BA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F3BAB" w:rsidRDefault="007F3BAB" w:rsidP="007F3BAB"/>
    <w:p w:rsidR="00FA540F" w:rsidRDefault="00FA540F" w:rsidP="007F3BAB"/>
    <w:p w:rsidR="00FA540F" w:rsidRPr="00061694" w:rsidRDefault="00FA540F" w:rsidP="007F3BAB"/>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BAB" w:rsidRDefault="007F3BAB">
      <w:r>
        <w:separator/>
      </w:r>
    </w:p>
  </w:endnote>
  <w:endnote w:type="continuationSeparator" w:id="0">
    <w:p w:rsidR="007F3BAB" w:rsidRDefault="007F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BAB" w:rsidRDefault="007F3BAB">
      <w:r>
        <w:separator/>
      </w:r>
    </w:p>
  </w:footnote>
  <w:footnote w:type="continuationSeparator" w:id="0">
    <w:p w:rsidR="007F3BAB" w:rsidRDefault="007F3BAB">
      <w:r>
        <w:continuationSeparator/>
      </w:r>
    </w:p>
  </w:footnote>
  <w:footnote w:id="1">
    <w:p w:rsidR="007F3BAB" w:rsidRDefault="007F3BAB" w:rsidP="007F3BAB">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2 ">
      <w:r w:rsidR="00EA52BD">
        <w:t>PSC-2019-0182-PCO-EG</w:t>
      </w:r>
    </w:fldSimple>
  </w:p>
  <w:p w:rsidR="00FA6EFD" w:rsidRDefault="007F3BAB">
    <w:pPr>
      <w:pStyle w:val="OrderHeader"/>
    </w:pPr>
    <w:bookmarkStart w:id="10" w:name="HeaderDocketNo"/>
    <w:bookmarkEnd w:id="10"/>
    <w:r>
      <w:t>DOCKET NOS. 20190015-EG, 20190016-EG, 20190018-EG, 20190021-EG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52BD">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5-EG, 20190016-EG, 20190018-EG, 20190021-EG"/>
  </w:docVars>
  <w:rsids>
    <w:rsidRoot w:val="007F3BAB"/>
    <w:rsid w:val="000022B8"/>
    <w:rsid w:val="0003433F"/>
    <w:rsid w:val="00035A8C"/>
    <w:rsid w:val="00053AB9"/>
    <w:rsid w:val="00056229"/>
    <w:rsid w:val="00057ABA"/>
    <w:rsid w:val="00057AF1"/>
    <w:rsid w:val="00065FC2"/>
    <w:rsid w:val="00067685"/>
    <w:rsid w:val="00076E6B"/>
    <w:rsid w:val="0008247D"/>
    <w:rsid w:val="00090459"/>
    <w:rsid w:val="00090AFC"/>
    <w:rsid w:val="000A41E9"/>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0322"/>
    <w:rsid w:val="00187E32"/>
    <w:rsid w:val="00194E81"/>
    <w:rsid w:val="001A15E7"/>
    <w:rsid w:val="001A33C9"/>
    <w:rsid w:val="001A58F3"/>
    <w:rsid w:val="001A6EA5"/>
    <w:rsid w:val="001C2847"/>
    <w:rsid w:val="001C3F8C"/>
    <w:rsid w:val="001C6097"/>
    <w:rsid w:val="001D008A"/>
    <w:rsid w:val="001E0152"/>
    <w:rsid w:val="001E0FF5"/>
    <w:rsid w:val="002002ED"/>
    <w:rsid w:val="00206E0A"/>
    <w:rsid w:val="002170E5"/>
    <w:rsid w:val="00220D57"/>
    <w:rsid w:val="00222522"/>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32855"/>
    <w:rsid w:val="0045537F"/>
    <w:rsid w:val="00457DC7"/>
    <w:rsid w:val="00472BCC"/>
    <w:rsid w:val="00487734"/>
    <w:rsid w:val="004A25CD"/>
    <w:rsid w:val="004A26CC"/>
    <w:rsid w:val="004A775F"/>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3BAB"/>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0859"/>
    <w:rsid w:val="00883D9A"/>
    <w:rsid w:val="008919EF"/>
    <w:rsid w:val="00892B20"/>
    <w:rsid w:val="008A12EC"/>
    <w:rsid w:val="008A1EAE"/>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45095"/>
    <w:rsid w:val="00964A38"/>
    <w:rsid w:val="00966A9D"/>
    <w:rsid w:val="0096742B"/>
    <w:rsid w:val="009718C5"/>
    <w:rsid w:val="00975096"/>
    <w:rsid w:val="009924CF"/>
    <w:rsid w:val="00994100"/>
    <w:rsid w:val="009A6B17"/>
    <w:rsid w:val="009B33A0"/>
    <w:rsid w:val="009D4C29"/>
    <w:rsid w:val="009E06F1"/>
    <w:rsid w:val="009F6AD2"/>
    <w:rsid w:val="00A00D8D"/>
    <w:rsid w:val="00A01BB6"/>
    <w:rsid w:val="00A353EF"/>
    <w:rsid w:val="00A4303C"/>
    <w:rsid w:val="00A470FD"/>
    <w:rsid w:val="00A62DAB"/>
    <w:rsid w:val="00A6757A"/>
    <w:rsid w:val="00A726A6"/>
    <w:rsid w:val="00A74842"/>
    <w:rsid w:val="00A97535"/>
    <w:rsid w:val="00AA102E"/>
    <w:rsid w:val="00AA2BAA"/>
    <w:rsid w:val="00AA73F1"/>
    <w:rsid w:val="00AB0E1A"/>
    <w:rsid w:val="00AB1A30"/>
    <w:rsid w:val="00AB3C36"/>
    <w:rsid w:val="00AB56BB"/>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5580"/>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4B23"/>
    <w:rsid w:val="00D57BB2"/>
    <w:rsid w:val="00D57E57"/>
    <w:rsid w:val="00D70752"/>
    <w:rsid w:val="00D80E2D"/>
    <w:rsid w:val="00D84D5E"/>
    <w:rsid w:val="00D8560E"/>
    <w:rsid w:val="00D8758F"/>
    <w:rsid w:val="00DA4EDD"/>
    <w:rsid w:val="00DA6B78"/>
    <w:rsid w:val="00DC1D94"/>
    <w:rsid w:val="00DC42CF"/>
    <w:rsid w:val="00DD7A12"/>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84281"/>
    <w:rsid w:val="00E97656"/>
    <w:rsid w:val="00EA172C"/>
    <w:rsid w:val="00EA259B"/>
    <w:rsid w:val="00EA35A3"/>
    <w:rsid w:val="00EA3E6A"/>
    <w:rsid w:val="00EA52BD"/>
    <w:rsid w:val="00EB18EF"/>
    <w:rsid w:val="00EB7951"/>
    <w:rsid w:val="00ED6A79"/>
    <w:rsid w:val="00EE17DF"/>
    <w:rsid w:val="00EF4621"/>
    <w:rsid w:val="00EF4D52"/>
    <w:rsid w:val="00EF6312"/>
    <w:rsid w:val="00F038B0"/>
    <w:rsid w:val="00F22B27"/>
    <w:rsid w:val="00F234A7"/>
    <w:rsid w:val="00F277B6"/>
    <w:rsid w:val="00F27DA5"/>
    <w:rsid w:val="00F35DB9"/>
    <w:rsid w:val="00F37E07"/>
    <w:rsid w:val="00F4182A"/>
    <w:rsid w:val="00F54380"/>
    <w:rsid w:val="00F54B47"/>
    <w:rsid w:val="00F61247"/>
    <w:rsid w:val="00F6702E"/>
    <w:rsid w:val="00F70E84"/>
    <w:rsid w:val="00F94370"/>
    <w:rsid w:val="00FA092B"/>
    <w:rsid w:val="00FA4F6C"/>
    <w:rsid w:val="00FA540F"/>
    <w:rsid w:val="00FA6EFD"/>
    <w:rsid w:val="00FB21E3"/>
    <w:rsid w:val="00FB74EA"/>
    <w:rsid w:val="00FD2C9E"/>
    <w:rsid w:val="00FD4786"/>
    <w:rsid w:val="00FD616C"/>
    <w:rsid w:val="00FE4A93"/>
    <w:rsid w:val="00FE53F2"/>
    <w:rsid w:val="00FE6A1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7F3BAB"/>
  </w:style>
  <w:style w:type="paragraph" w:styleId="BalloonText">
    <w:name w:val="Balloon Text"/>
    <w:basedOn w:val="Normal"/>
    <w:link w:val="BalloonTextChar"/>
    <w:rsid w:val="00EA52BD"/>
    <w:rPr>
      <w:rFonts w:ascii="Tahoma" w:hAnsi="Tahoma" w:cs="Tahoma"/>
      <w:sz w:val="16"/>
      <w:szCs w:val="16"/>
    </w:rPr>
  </w:style>
  <w:style w:type="character" w:customStyle="1" w:styleId="BalloonTextChar">
    <w:name w:val="Balloon Text Char"/>
    <w:basedOn w:val="DefaultParagraphFont"/>
    <w:link w:val="BalloonText"/>
    <w:rsid w:val="00EA52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7F3BAB"/>
  </w:style>
  <w:style w:type="paragraph" w:styleId="BalloonText">
    <w:name w:val="Balloon Text"/>
    <w:basedOn w:val="Normal"/>
    <w:link w:val="BalloonTextChar"/>
    <w:rsid w:val="00EA52BD"/>
    <w:rPr>
      <w:rFonts w:ascii="Tahoma" w:hAnsi="Tahoma" w:cs="Tahoma"/>
      <w:sz w:val="16"/>
      <w:szCs w:val="16"/>
    </w:rPr>
  </w:style>
  <w:style w:type="character" w:customStyle="1" w:styleId="BalloonTextChar">
    <w:name w:val="Balloon Text Char"/>
    <w:basedOn w:val="DefaultParagraphFont"/>
    <w:link w:val="BalloonText"/>
    <w:rsid w:val="00EA52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5</Pages>
  <Words>1615</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2019-05-22T15:02:00Z</dcterms:created>
  <dcterms:modified xsi:type="dcterms:W3CDTF">2019-05-22T16:17:00Z</dcterms:modified>
</cp:coreProperties>
</file>