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6F6BB2" w:rsidP="006F6BB2">
      <w:pPr>
        <w:pStyle w:val="OrderHeading"/>
      </w:pPr>
      <w:r>
        <w:t>BEFORE THE FLORIDA PUBLIC SERVICE COMMISSION</w:t>
      </w:r>
    </w:p>
    <w:p w:rsidR="006F6BB2" w:rsidRDefault="006F6BB2" w:rsidP="006F6BB2">
      <w:pPr>
        <w:pStyle w:val="OrderBody"/>
      </w:pPr>
    </w:p>
    <w:p w:rsidR="006F6BB2" w:rsidRDefault="006F6BB2" w:rsidP="006F6BB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F6BB2" w:rsidRPr="00C63FCF" w:rsidTr="00C63FCF">
        <w:trPr>
          <w:trHeight w:val="828"/>
        </w:trPr>
        <w:tc>
          <w:tcPr>
            <w:tcW w:w="4788" w:type="dxa"/>
            <w:tcBorders>
              <w:bottom w:val="single" w:sz="8" w:space="0" w:color="auto"/>
              <w:right w:val="double" w:sz="6" w:space="0" w:color="auto"/>
            </w:tcBorders>
            <w:shd w:val="clear" w:color="auto" w:fill="auto"/>
          </w:tcPr>
          <w:p w:rsidR="006F6BB2" w:rsidRDefault="006F6BB2" w:rsidP="00C63FCF">
            <w:pPr>
              <w:pStyle w:val="OrderBody"/>
              <w:tabs>
                <w:tab w:val="center" w:pos="4320"/>
                <w:tab w:val="right" w:pos="8640"/>
              </w:tabs>
              <w:jc w:val="left"/>
            </w:pPr>
            <w:r>
              <w:t xml:space="preserve">In re: </w:t>
            </w:r>
            <w:bookmarkStart w:id="0" w:name="SSInRe"/>
            <w:bookmarkEnd w:id="0"/>
            <w:r>
              <w:t>Petition for recovery of costs associated with named tropical systems during the 2015, 2016, and 2017 hurricane seasons and replenishment of storm reserve subject to final true-up, Tampa Electric Company.</w:t>
            </w:r>
          </w:p>
        </w:tc>
        <w:tc>
          <w:tcPr>
            <w:tcW w:w="4788" w:type="dxa"/>
            <w:tcBorders>
              <w:left w:val="double" w:sz="6" w:space="0" w:color="auto"/>
            </w:tcBorders>
            <w:shd w:val="clear" w:color="auto" w:fill="auto"/>
          </w:tcPr>
          <w:p w:rsidR="006F6BB2" w:rsidRDefault="006F6BB2" w:rsidP="006F6BB2">
            <w:pPr>
              <w:pStyle w:val="OrderBody"/>
            </w:pPr>
            <w:r>
              <w:t xml:space="preserve">DOCKET NO. </w:t>
            </w:r>
            <w:bookmarkStart w:id="1" w:name="SSDocketNo"/>
            <w:bookmarkEnd w:id="1"/>
            <w:r>
              <w:t>20170271-EI</w:t>
            </w:r>
          </w:p>
          <w:p w:rsidR="006F6BB2" w:rsidRDefault="006F6BB2" w:rsidP="00C63FCF">
            <w:pPr>
              <w:pStyle w:val="OrderBody"/>
              <w:tabs>
                <w:tab w:val="center" w:pos="4320"/>
                <w:tab w:val="right" w:pos="8640"/>
              </w:tabs>
              <w:jc w:val="left"/>
            </w:pPr>
            <w:r>
              <w:t xml:space="preserve">ORDER NO. </w:t>
            </w:r>
            <w:bookmarkStart w:id="2" w:name="OrderNo0234"/>
            <w:r w:rsidR="009556AF">
              <w:t>PSC-2019-0234-AS-EI</w:t>
            </w:r>
            <w:bookmarkEnd w:id="2"/>
          </w:p>
          <w:p w:rsidR="006F6BB2" w:rsidRDefault="006F6BB2" w:rsidP="00C63FCF">
            <w:pPr>
              <w:pStyle w:val="OrderBody"/>
              <w:tabs>
                <w:tab w:val="center" w:pos="4320"/>
                <w:tab w:val="right" w:pos="8640"/>
              </w:tabs>
              <w:jc w:val="left"/>
            </w:pPr>
            <w:r>
              <w:t xml:space="preserve">ISSUED: </w:t>
            </w:r>
            <w:r w:rsidR="009556AF">
              <w:t>June 14, 2019</w:t>
            </w:r>
          </w:p>
        </w:tc>
      </w:tr>
    </w:tbl>
    <w:p w:rsidR="006F6BB2" w:rsidRDefault="006F6BB2" w:rsidP="006F6BB2"/>
    <w:p w:rsidR="006F6BB2" w:rsidRDefault="006F6BB2" w:rsidP="006F6BB2"/>
    <w:p w:rsidR="006F6BB2" w:rsidRDefault="006F6BB2">
      <w:pPr>
        <w:ind w:firstLine="720"/>
        <w:jc w:val="both"/>
      </w:pPr>
      <w:bookmarkStart w:id="3" w:name="Commissioners"/>
      <w:bookmarkEnd w:id="3"/>
      <w:r>
        <w:t>The following Commissioners participated in the disposition of this matter:</w:t>
      </w:r>
    </w:p>
    <w:p w:rsidR="006F6BB2" w:rsidRDefault="006F6BB2"/>
    <w:p w:rsidR="006F6BB2" w:rsidRDefault="006F6BB2">
      <w:pPr>
        <w:jc w:val="center"/>
      </w:pPr>
      <w:r>
        <w:t>ART GRAHAM, Chairman</w:t>
      </w:r>
    </w:p>
    <w:p w:rsidR="006F6BB2" w:rsidRDefault="006F6BB2">
      <w:pPr>
        <w:jc w:val="center"/>
      </w:pPr>
      <w:r>
        <w:t xml:space="preserve">JULIE I. BROWN </w:t>
      </w:r>
    </w:p>
    <w:p w:rsidR="006F6BB2" w:rsidRDefault="006F6BB2">
      <w:pPr>
        <w:jc w:val="center"/>
      </w:pPr>
      <w:r>
        <w:t>DONALD J. POLMANN</w:t>
      </w:r>
    </w:p>
    <w:p w:rsidR="006F6BB2" w:rsidRDefault="006F6BB2">
      <w:pPr>
        <w:jc w:val="center"/>
      </w:pPr>
      <w:r>
        <w:t>GARY F. CLARK</w:t>
      </w:r>
    </w:p>
    <w:p w:rsidR="006F6BB2" w:rsidRDefault="006F6BB2">
      <w:pPr>
        <w:jc w:val="center"/>
      </w:pPr>
      <w:r>
        <w:t>ANDREW GILES FAY</w:t>
      </w:r>
    </w:p>
    <w:p w:rsidR="006F6BB2" w:rsidRDefault="006F6BB2"/>
    <w:p w:rsidR="006F6BB2" w:rsidRDefault="006F6BB2"/>
    <w:p w:rsidR="00CB5276" w:rsidRDefault="00CB5276">
      <w:pPr>
        <w:pStyle w:val="OrderBody"/>
      </w:pPr>
    </w:p>
    <w:p w:rsidR="006F6BB2" w:rsidRDefault="006F6BB2" w:rsidP="006F6BB2">
      <w:pPr>
        <w:pStyle w:val="CenterUnderline"/>
      </w:pPr>
      <w:r>
        <w:t>ORDER</w:t>
      </w:r>
      <w:bookmarkStart w:id="4" w:name="OrderTitle"/>
      <w:r>
        <w:t xml:space="preserve"> APPROVING SETTLEMENT AGREEMENT</w:t>
      </w:r>
      <w:r w:rsidRPr="00AB37D0">
        <w:t xml:space="preserve"> </w:t>
      </w:r>
      <w:bookmarkEnd w:id="4"/>
    </w:p>
    <w:p w:rsidR="006F6BB2" w:rsidRDefault="006F6BB2" w:rsidP="006F6BB2">
      <w:pPr>
        <w:pStyle w:val="CenterUnderline"/>
      </w:pPr>
    </w:p>
    <w:p w:rsidR="006F6BB2" w:rsidRDefault="006F6BB2" w:rsidP="006F6BB2">
      <w:pPr>
        <w:pStyle w:val="OrderBody"/>
      </w:pPr>
      <w:r>
        <w:t>BY THE COMMISSION:</w:t>
      </w:r>
    </w:p>
    <w:p w:rsidR="006F6BB2" w:rsidRDefault="006F6BB2" w:rsidP="006F6BB2">
      <w:pPr>
        <w:pStyle w:val="OrderBody"/>
      </w:pPr>
    </w:p>
    <w:p w:rsidR="006F6BB2" w:rsidRDefault="006F6BB2" w:rsidP="006F6BB2">
      <w:pPr>
        <w:pStyle w:val="OrderBody"/>
      </w:pPr>
      <w:bookmarkStart w:id="5" w:name="OrderText"/>
      <w:bookmarkEnd w:id="5"/>
      <w:r>
        <w:rPr>
          <w:u w:val="single"/>
        </w:rPr>
        <w:t>APPEARANCES</w:t>
      </w:r>
    </w:p>
    <w:p w:rsidR="006F6BB2" w:rsidRDefault="006F6BB2" w:rsidP="006F6BB2">
      <w:pPr>
        <w:pStyle w:val="OrderBody"/>
      </w:pPr>
    </w:p>
    <w:p w:rsidR="006F6BB2" w:rsidRDefault="00267234" w:rsidP="006F6BB2">
      <w:pPr>
        <w:ind w:left="1440"/>
        <w:jc w:val="both"/>
      </w:pPr>
      <w:r>
        <w:t>JAMES D. BEASLEY</w:t>
      </w:r>
      <w:r w:rsidR="00767F9F">
        <w:t>,</w:t>
      </w:r>
      <w:r>
        <w:t xml:space="preserve"> J. JEFFRY</w:t>
      </w:r>
      <w:r w:rsidR="00845138">
        <w:t xml:space="preserve"> W</w:t>
      </w:r>
      <w:r w:rsidR="006F6BB2">
        <w:t>A</w:t>
      </w:r>
      <w:r w:rsidR="00845138">
        <w:t>H</w:t>
      </w:r>
      <w:r w:rsidR="006F6BB2">
        <w:t>LEN JR.</w:t>
      </w:r>
      <w:r w:rsidR="00767F9F">
        <w:t>,</w:t>
      </w:r>
      <w:r>
        <w:t xml:space="preserve"> and MALCOLM MEANS</w:t>
      </w:r>
      <w:r w:rsidR="006F6BB2">
        <w:t xml:space="preserve"> ESQUIRES, </w:t>
      </w:r>
      <w:r w:rsidR="00845138">
        <w:t>Ausley Law Firm</w:t>
      </w:r>
      <w:r w:rsidR="006F6BB2">
        <w:t xml:space="preserve">, </w:t>
      </w:r>
      <w:r w:rsidR="00845138">
        <w:t>Post Office Box 391, Tallahassee, Florida 32302</w:t>
      </w:r>
    </w:p>
    <w:p w:rsidR="006F6BB2" w:rsidRPr="00701945" w:rsidRDefault="006F6BB2" w:rsidP="006F6BB2">
      <w:pPr>
        <w:ind w:left="720" w:firstLine="720"/>
        <w:jc w:val="both"/>
      </w:pPr>
      <w:r w:rsidRPr="00701945">
        <w:rPr>
          <w:u w:val="single"/>
        </w:rPr>
        <w:t xml:space="preserve">On behalf of </w:t>
      </w:r>
      <w:r w:rsidR="00845138">
        <w:rPr>
          <w:u w:val="single"/>
        </w:rPr>
        <w:t>Tampa Electric Company</w:t>
      </w:r>
      <w:r>
        <w:rPr>
          <w:u w:val="single"/>
        </w:rPr>
        <w:t xml:space="preserve"> (</w:t>
      </w:r>
      <w:r w:rsidR="00845138">
        <w:rPr>
          <w:u w:val="single"/>
        </w:rPr>
        <w:t>TECO</w:t>
      </w:r>
      <w:r>
        <w:rPr>
          <w:u w:val="single"/>
        </w:rPr>
        <w:t>)</w:t>
      </w:r>
      <w:r w:rsidRPr="00B22B64">
        <w:t>.</w:t>
      </w:r>
    </w:p>
    <w:p w:rsidR="006F6BB2" w:rsidRDefault="006F6BB2" w:rsidP="006F6BB2">
      <w:pPr>
        <w:jc w:val="both"/>
      </w:pPr>
    </w:p>
    <w:p w:rsidR="006F6BB2" w:rsidRPr="001831F0" w:rsidRDefault="006F6BB2" w:rsidP="006F6BB2">
      <w:pPr>
        <w:ind w:left="1440" w:hanging="1440"/>
        <w:jc w:val="both"/>
        <w:rPr>
          <w:rFonts w:cs="Arial"/>
          <w:spacing w:val="-3"/>
        </w:rPr>
      </w:pPr>
      <w:r>
        <w:rPr>
          <w:rFonts w:cs="Arial"/>
          <w:spacing w:val="-3"/>
        </w:rPr>
        <w:tab/>
      </w:r>
      <w:r w:rsidRPr="00503582">
        <w:rPr>
          <w:rFonts w:cs="Arial"/>
          <w:spacing w:val="-3"/>
        </w:rPr>
        <w:t>J.R. KELLY</w:t>
      </w:r>
      <w:r w:rsidR="00267234">
        <w:rPr>
          <w:rFonts w:cs="Arial"/>
          <w:spacing w:val="-3"/>
        </w:rPr>
        <w:t>,</w:t>
      </w:r>
      <w:r w:rsidR="00845138">
        <w:rPr>
          <w:rFonts w:cs="Arial"/>
          <w:spacing w:val="-3"/>
        </w:rPr>
        <w:t xml:space="preserve"> </w:t>
      </w:r>
      <w:r w:rsidR="00267234" w:rsidRPr="00267234">
        <w:rPr>
          <w:rFonts w:cs="Arial"/>
          <w:spacing w:val="-3"/>
        </w:rPr>
        <w:t>CHARLES REHWINKEL</w:t>
      </w:r>
      <w:r w:rsidR="00267234">
        <w:rPr>
          <w:rFonts w:cs="Arial"/>
          <w:spacing w:val="-3"/>
        </w:rPr>
        <w:t>, PATRICIA A.</w:t>
      </w:r>
      <w:r w:rsidR="00845138">
        <w:rPr>
          <w:rFonts w:cs="Arial"/>
          <w:spacing w:val="-3"/>
        </w:rPr>
        <w:t xml:space="preserve"> CHRISTENSEN</w:t>
      </w:r>
      <w:r w:rsidR="001831F0">
        <w:rPr>
          <w:rFonts w:cs="Arial"/>
          <w:spacing w:val="-3"/>
        </w:rPr>
        <w:t xml:space="preserve"> and</w:t>
      </w:r>
      <w:r w:rsidR="00267234">
        <w:rPr>
          <w:rFonts w:cs="Arial"/>
          <w:spacing w:val="-3"/>
        </w:rPr>
        <w:t xml:space="preserve"> THOMAS A. DAVID</w:t>
      </w:r>
      <w:r w:rsidRPr="00503582">
        <w:t xml:space="preserve"> ESQUIRES, Office of Public Counsel, c/o The Florida Legislature, 111 West Madison Street, Room 812, Tallahassee, Florida 32399-1400</w:t>
      </w:r>
    </w:p>
    <w:p w:rsidR="006F6BB2" w:rsidRDefault="006F6BB2" w:rsidP="006F6BB2">
      <w:pPr>
        <w:ind w:left="1440" w:hanging="1440"/>
        <w:jc w:val="both"/>
      </w:pPr>
      <w:r w:rsidRPr="00503582">
        <w:tab/>
      </w:r>
      <w:r w:rsidRPr="00503582">
        <w:rPr>
          <w:u w:val="single"/>
        </w:rPr>
        <w:t>On behalf of the Citizens of the State of Florida (OPC)</w:t>
      </w:r>
      <w:r w:rsidRPr="00B22B64">
        <w:t>.</w:t>
      </w:r>
    </w:p>
    <w:p w:rsidR="006F6BB2" w:rsidRDefault="006F6BB2" w:rsidP="006F6BB2">
      <w:pPr>
        <w:ind w:left="1440" w:hanging="1440"/>
        <w:jc w:val="both"/>
      </w:pPr>
    </w:p>
    <w:p w:rsidR="006F6BB2" w:rsidRPr="00503582" w:rsidRDefault="006F6BB2" w:rsidP="006F6BB2">
      <w:pPr>
        <w:ind w:left="1440"/>
        <w:jc w:val="both"/>
      </w:pPr>
      <w:r w:rsidRPr="00503582">
        <w:rPr>
          <w:rFonts w:cs="Arial"/>
          <w:spacing w:val="-3"/>
        </w:rPr>
        <w:t>J</w:t>
      </w:r>
      <w:r>
        <w:rPr>
          <w:rFonts w:cs="Arial"/>
          <w:spacing w:val="-3"/>
        </w:rPr>
        <w:t>ON C. MOYLE, JR.</w:t>
      </w:r>
      <w:r w:rsidR="00767F9F">
        <w:t xml:space="preserve">, </w:t>
      </w:r>
      <w:r>
        <w:t xml:space="preserve">KAREN PUTNAL, </w:t>
      </w:r>
      <w:r w:rsidR="00767F9F">
        <w:t xml:space="preserve">and IAN WALDICK, </w:t>
      </w:r>
      <w:r>
        <w:t>ESQUIRES,</w:t>
      </w:r>
      <w:r w:rsidRPr="00503582">
        <w:t xml:space="preserve"> </w:t>
      </w:r>
      <w:r>
        <w:t>Moyle Law Firm, P.A., 118 North Gadsden Street, Tallahassee, Florida 32301</w:t>
      </w:r>
    </w:p>
    <w:p w:rsidR="006F6BB2" w:rsidRPr="00503582" w:rsidRDefault="006F6BB2" w:rsidP="006F6BB2">
      <w:pPr>
        <w:ind w:left="1440" w:hanging="1440"/>
        <w:jc w:val="both"/>
      </w:pPr>
      <w:r w:rsidRPr="00503582">
        <w:tab/>
      </w:r>
      <w:r w:rsidRPr="00503582">
        <w:rPr>
          <w:u w:val="single"/>
        </w:rPr>
        <w:t xml:space="preserve">On behalf of </w:t>
      </w:r>
      <w:r>
        <w:rPr>
          <w:u w:val="single"/>
        </w:rPr>
        <w:t>Florida Industrial Power Users Group (FIPUG)</w:t>
      </w:r>
      <w:r w:rsidRPr="00B22B64">
        <w:t>.</w:t>
      </w:r>
    </w:p>
    <w:p w:rsidR="006F6BB2" w:rsidRDefault="006F6BB2" w:rsidP="006F6BB2">
      <w:pPr>
        <w:ind w:left="1440" w:hanging="1440"/>
        <w:jc w:val="both"/>
      </w:pPr>
    </w:p>
    <w:p w:rsidR="006F6BB2" w:rsidRPr="0055500C" w:rsidRDefault="006F6BB2" w:rsidP="006F6BB2">
      <w:pPr>
        <w:ind w:left="1440"/>
        <w:jc w:val="both"/>
      </w:pPr>
      <w:r w:rsidRPr="0055500C">
        <w:t xml:space="preserve">ROBERT SCHEFFEL WRIGHT </w:t>
      </w:r>
      <w:r>
        <w:t>and</w:t>
      </w:r>
      <w:r w:rsidRPr="0055500C">
        <w:t xml:space="preserve"> JOHN T. LAVIA, III, ESQUIRES, Gardner, Bist, </w:t>
      </w:r>
      <w:r>
        <w:t xml:space="preserve">Wiener, Wadsworth, </w:t>
      </w:r>
      <w:r w:rsidRPr="0055500C">
        <w:t>Bowden, Bush, Dee, LaVia &amp; Wright, P.A. 1300 Thomaswood Drive, Tallahassee, FL 32308</w:t>
      </w:r>
    </w:p>
    <w:p w:rsidR="006F6BB2" w:rsidRPr="003D1B1A" w:rsidRDefault="006F6BB2" w:rsidP="006F6BB2">
      <w:pPr>
        <w:ind w:left="1440"/>
        <w:jc w:val="both"/>
      </w:pPr>
      <w:r w:rsidRPr="0055500C">
        <w:rPr>
          <w:u w:val="single"/>
        </w:rPr>
        <w:t>On behalf of</w:t>
      </w:r>
      <w:r>
        <w:rPr>
          <w:u w:val="single"/>
        </w:rPr>
        <w:t xml:space="preserve"> the Florida Retail Federation (FRF)</w:t>
      </w:r>
      <w:r>
        <w:t>.</w:t>
      </w:r>
    </w:p>
    <w:p w:rsidR="006F6BB2" w:rsidRPr="00701945" w:rsidRDefault="006F6BB2" w:rsidP="006F6BB2">
      <w:pPr>
        <w:jc w:val="both"/>
      </w:pPr>
    </w:p>
    <w:p w:rsidR="006F6BB2" w:rsidRPr="00701945" w:rsidRDefault="00267234" w:rsidP="006F6BB2">
      <w:pPr>
        <w:ind w:left="1440"/>
        <w:jc w:val="both"/>
      </w:pPr>
      <w:r>
        <w:lastRenderedPageBreak/>
        <w:t>KURT SCHRADER</w:t>
      </w:r>
      <w:r w:rsidR="006F6BB2" w:rsidRPr="00701945">
        <w:t>, ESQUIRE, Florida Public Service Commission, 2540 Shumard Oak Boulevard, Tallahassee, Florida 32399-0850</w:t>
      </w:r>
    </w:p>
    <w:p w:rsidR="006F6BB2" w:rsidRPr="00701945" w:rsidRDefault="006F6BB2" w:rsidP="006F6BB2">
      <w:pPr>
        <w:ind w:left="720" w:firstLine="720"/>
        <w:jc w:val="both"/>
      </w:pPr>
      <w:r w:rsidRPr="00701945">
        <w:rPr>
          <w:u w:val="single"/>
        </w:rPr>
        <w:t>On behalf of the Florida Public Service Commission</w:t>
      </w:r>
      <w:r>
        <w:rPr>
          <w:u w:val="single"/>
        </w:rPr>
        <w:t xml:space="preserve"> (Staff)</w:t>
      </w:r>
      <w:r w:rsidRPr="00B22B64">
        <w:t>.</w:t>
      </w:r>
    </w:p>
    <w:p w:rsidR="006F6BB2" w:rsidRPr="00701945" w:rsidRDefault="006F6BB2" w:rsidP="006F6BB2">
      <w:pPr>
        <w:jc w:val="both"/>
      </w:pPr>
    </w:p>
    <w:p w:rsidR="006F6BB2" w:rsidRPr="00701945" w:rsidRDefault="006F6BB2" w:rsidP="006F6BB2">
      <w:pPr>
        <w:ind w:left="1440"/>
        <w:jc w:val="both"/>
      </w:pPr>
      <w:r>
        <w:t>MARY ANNE HELTON, ESQUIRE, Deputy General Counsel,</w:t>
      </w:r>
      <w:r w:rsidRPr="00701945">
        <w:t xml:space="preserve"> Florida Public Service Commission, 2540 Shumard Oak Boulevard, Tallahassee, Florida 32399-0850</w:t>
      </w:r>
    </w:p>
    <w:p w:rsidR="006F6BB2" w:rsidRDefault="006F6BB2" w:rsidP="006F6BB2">
      <w:pPr>
        <w:ind w:left="720" w:firstLine="720"/>
        <w:jc w:val="both"/>
      </w:pPr>
      <w:r>
        <w:rPr>
          <w:u w:val="single"/>
        </w:rPr>
        <w:t>Advisor to the</w:t>
      </w:r>
      <w:r w:rsidRPr="00701945">
        <w:rPr>
          <w:u w:val="single"/>
        </w:rPr>
        <w:t xml:space="preserve"> Florida Public Service Commission</w:t>
      </w:r>
      <w:r w:rsidRPr="00B22B64">
        <w:t>.</w:t>
      </w:r>
    </w:p>
    <w:p w:rsidR="00267234" w:rsidRPr="00DC2FDE" w:rsidRDefault="00267234" w:rsidP="006F6BB2">
      <w:pPr>
        <w:ind w:left="720" w:firstLine="720"/>
        <w:jc w:val="both"/>
      </w:pPr>
    </w:p>
    <w:p w:rsidR="006F6BB2" w:rsidRPr="00D033EB" w:rsidRDefault="006F6BB2" w:rsidP="006F6BB2">
      <w:pPr>
        <w:ind w:left="1440"/>
        <w:jc w:val="both"/>
      </w:pPr>
      <w:r w:rsidRPr="00D033EB">
        <w:t>K</w:t>
      </w:r>
      <w:r>
        <w:t>EITH C. HETRICK</w:t>
      </w:r>
      <w:r w:rsidRPr="00D033EB">
        <w:t>, ESQUIRE, General Counsel, Florida Public Service Commission, 2540 Shumard Oak Boulevard, Tallahassee, Florida 32399-0850</w:t>
      </w:r>
    </w:p>
    <w:p w:rsidR="006F6BB2" w:rsidRPr="00D033EB" w:rsidRDefault="006F6BB2" w:rsidP="006F6BB2">
      <w:pPr>
        <w:ind w:left="720" w:firstLine="720"/>
        <w:jc w:val="both"/>
      </w:pPr>
      <w:r w:rsidRPr="00D033EB">
        <w:rPr>
          <w:u w:val="single"/>
        </w:rPr>
        <w:t>Florida Public Service Commission General Counsel</w:t>
      </w:r>
      <w:r w:rsidRPr="00B22B64">
        <w:t>.</w:t>
      </w:r>
    </w:p>
    <w:p w:rsidR="006F6BB2" w:rsidRDefault="006F6BB2" w:rsidP="006F6BB2">
      <w:pPr>
        <w:pStyle w:val="OrderBody"/>
      </w:pPr>
    </w:p>
    <w:p w:rsidR="006F6BB2" w:rsidRDefault="006F6BB2" w:rsidP="006F6BB2">
      <w:pPr>
        <w:pStyle w:val="OrderBody"/>
      </w:pPr>
      <w:r>
        <w:t>BY THE COMMISSION:</w:t>
      </w:r>
    </w:p>
    <w:p w:rsidR="006F6BB2" w:rsidRDefault="006F6BB2" w:rsidP="006F6BB2">
      <w:pPr>
        <w:pStyle w:val="OrderBody"/>
      </w:pPr>
    </w:p>
    <w:p w:rsidR="001831F0" w:rsidRDefault="001831F0" w:rsidP="001831F0">
      <w:pPr>
        <w:jc w:val="center"/>
        <w:rPr>
          <w:u w:val="single"/>
        </w:rPr>
      </w:pPr>
      <w:r w:rsidRPr="008F0784">
        <w:rPr>
          <w:u w:val="single"/>
        </w:rPr>
        <w:t>Background</w:t>
      </w:r>
    </w:p>
    <w:p w:rsidR="001831F0" w:rsidRDefault="001831F0">
      <w:pPr>
        <w:pStyle w:val="OrderBody"/>
        <w:ind w:firstLine="720"/>
      </w:pPr>
    </w:p>
    <w:p w:rsidR="000B4944" w:rsidRDefault="000B4944" w:rsidP="00E4436A">
      <w:pPr>
        <w:pStyle w:val="OrderBody"/>
        <w:ind w:firstLine="720"/>
      </w:pPr>
      <w:r>
        <w:t>On December 28, 2017, pursuant to Rules 28-106.201 and 25-6.0143, Florida Administrative Code (F.A.C.), and Order No. PSC-2017-0456-S-EI,</w:t>
      </w:r>
      <w:r>
        <w:rPr>
          <w:rStyle w:val="FootnoteReference"/>
        </w:rPr>
        <w:footnoteReference w:id="1"/>
      </w:r>
      <w:r>
        <w:t xml:space="preserve"> Tampa Electric Company (TECO) filed its Petition for Recovery of Costs Associated with Named Tropical Systems and Replenishment of Storm Reserve.</w:t>
      </w:r>
      <w:r w:rsidR="00E4436A">
        <w:t xml:space="preserve"> TECO’s petition seeks recovery of incremental storm restoration costs associated with tropical systems named by the National Hurricane Center during the 2015, 2016 and 2017 hurricane seasons</w:t>
      </w:r>
      <w:r w:rsidR="001E5076">
        <w:rPr>
          <w:rStyle w:val="FootnoteReference"/>
        </w:rPr>
        <w:footnoteReference w:id="2"/>
      </w:r>
      <w:r w:rsidR="00E4436A">
        <w:t xml:space="preserve"> and the replenishment of its Storm Reserve in the amount of $87,377,388. On January 30, 2018, TECO filed an Amended Petition </w:t>
      </w:r>
      <w:r w:rsidR="0051081B">
        <w:t xml:space="preserve">to increase </w:t>
      </w:r>
      <w:r w:rsidR="00D00342">
        <w:t>its request for recovery</w:t>
      </w:r>
      <w:r w:rsidR="0051081B">
        <w:t xml:space="preserve"> to $102,476,127.</w:t>
      </w:r>
    </w:p>
    <w:p w:rsidR="00C83D6B" w:rsidRDefault="00C83D6B" w:rsidP="000B4944">
      <w:pPr>
        <w:pStyle w:val="OrderBody"/>
        <w:ind w:firstLine="720"/>
      </w:pPr>
    </w:p>
    <w:p w:rsidR="00C83D6B" w:rsidRDefault="0051081B" w:rsidP="00C16E66">
      <w:pPr>
        <w:pStyle w:val="OrderBody"/>
        <w:ind w:firstLine="720"/>
      </w:pPr>
      <w:r>
        <w:t>Also, o</w:t>
      </w:r>
      <w:r w:rsidR="00C83D6B" w:rsidRPr="00C16E66">
        <w:t>n January 30, 2018, TECO filed a Motion to Appr</w:t>
      </w:r>
      <w:r w:rsidR="00D00342">
        <w:t xml:space="preserve">ove Implementation Stipulation, which it amended on </w:t>
      </w:r>
      <w:r w:rsidR="00C83D6B" w:rsidRPr="00C16E66">
        <w:t xml:space="preserve">February 13, 2018. The Implementation Stipulation, as amended, sought to </w:t>
      </w:r>
      <w:r w:rsidR="00C16E66" w:rsidRPr="00C16E66">
        <w:t xml:space="preserve">avoid volatility in customer rates by recognizing and then utilizing annual tax reform benefits resulting from the passage of the Tax Cut and Jobs Act of 2017 as a direct offset to avoid implementing separate cost recovery of storm damage costs that customers would otherwise have been obligated to pay. The Amended Implementation Stipulation provided that </w:t>
      </w:r>
      <w:r w:rsidR="00FB5BCC">
        <w:t>TECO</w:t>
      </w:r>
      <w:r w:rsidR="00C16E66" w:rsidRPr="00C16E66">
        <w:t xml:space="preserve"> would be entitled to make the appropriate adjustments to its regulated books and records to recover the entire estimated amount of storm costs that would have</w:t>
      </w:r>
      <w:r w:rsidR="001367FB">
        <w:t xml:space="preserve"> otherwise</w:t>
      </w:r>
      <w:r w:rsidR="00C16E66" w:rsidRPr="00C16E66">
        <w:t xml:space="preserve"> been recovered from customers over a nine month period in 2018</w:t>
      </w:r>
      <w:r w:rsidR="001367FB">
        <w:t>,</w:t>
      </w:r>
      <w:r w:rsidR="00C16E66" w:rsidRPr="00C16E66">
        <w:t xml:space="preserve"> </w:t>
      </w:r>
      <w:r w:rsidR="001367FB">
        <w:t xml:space="preserve">to instead recover such costs </w:t>
      </w:r>
      <w:r w:rsidR="00C16E66" w:rsidRPr="00C16E66">
        <w:t xml:space="preserve">from the Company’s estimated annual tax savings over the same nine month period. </w:t>
      </w:r>
      <w:r w:rsidR="00C83D6B" w:rsidRPr="00C16E66">
        <w:t xml:space="preserve">By Order No. </w:t>
      </w:r>
      <w:r w:rsidR="00C16E66" w:rsidRPr="00C16E66">
        <w:t>PSC-2018-0125-PCO-EI</w:t>
      </w:r>
      <w:r w:rsidR="00C83D6B" w:rsidRPr="00C16E66">
        <w:t xml:space="preserve">, issued on </w:t>
      </w:r>
      <w:r w:rsidR="00C16E66" w:rsidRPr="00C16E66">
        <w:t>March 7</w:t>
      </w:r>
      <w:r w:rsidR="00C83D6B" w:rsidRPr="00C16E66">
        <w:t xml:space="preserve">, 2018, we approved the </w:t>
      </w:r>
      <w:r w:rsidR="00D00342">
        <w:t xml:space="preserve">Amended </w:t>
      </w:r>
      <w:r w:rsidR="00C83D6B" w:rsidRPr="00C16E66">
        <w:t>Implementation Stipulation.</w:t>
      </w:r>
    </w:p>
    <w:p w:rsidR="00C16E66" w:rsidRDefault="00C16E66" w:rsidP="00C16E66">
      <w:pPr>
        <w:pStyle w:val="OrderBody"/>
        <w:ind w:firstLine="720"/>
      </w:pPr>
    </w:p>
    <w:p w:rsidR="00C16E66" w:rsidRPr="00C16E66" w:rsidRDefault="00C16E66" w:rsidP="00C16E66">
      <w:pPr>
        <w:pStyle w:val="OrderBody"/>
        <w:ind w:firstLine="720"/>
      </w:pPr>
      <w:r>
        <w:t xml:space="preserve">On February 16, 2018, we issued an Order Establishing Procedure, </w:t>
      </w:r>
      <w:r w:rsidRPr="00AF219E">
        <w:t xml:space="preserve">Order </w:t>
      </w:r>
      <w:r>
        <w:t xml:space="preserve">No. PSC-2018-0081-PCO-EI (Procedural Order), which established hearing procedures to govern this docket, </w:t>
      </w:r>
      <w:r>
        <w:lastRenderedPageBreak/>
        <w:t xml:space="preserve">including controlling dates and discovery response times. </w:t>
      </w:r>
      <w:r w:rsidRPr="00AF219E">
        <w:t>On</w:t>
      </w:r>
      <w:r>
        <w:t xml:space="preserve"> March 7, 2018, Order No. PSC-2018-0126-PCO-EI was issued to modify the controlling dates in Section</w:t>
      </w:r>
      <w:r w:rsidR="001367FB">
        <w:t xml:space="preserve"> VIII of the Procedural Order. </w:t>
      </w:r>
      <w:r>
        <w:t xml:space="preserve">Order No. </w:t>
      </w:r>
      <w:r w:rsidRPr="00B0396E">
        <w:t>PSC-2018-0486-PCO-EI</w:t>
      </w:r>
      <w:r w:rsidR="001367FB">
        <w:t xml:space="preserve"> was</w:t>
      </w:r>
      <w:r>
        <w:t xml:space="preserve"> issued on September 27, 2018, </w:t>
      </w:r>
      <w:r w:rsidR="001367FB">
        <w:t xml:space="preserve">which </w:t>
      </w:r>
      <w:r>
        <w:t>further modified these dates along with revising the discovery response times</w:t>
      </w:r>
      <w:r w:rsidR="00CC3357">
        <w:t xml:space="preserve">. </w:t>
      </w:r>
      <w:r>
        <w:t xml:space="preserve">On January 16, 2019, Order No. </w:t>
      </w:r>
      <w:r w:rsidRPr="000526EA">
        <w:t>PSC-2019-0042-PCO-EI</w:t>
      </w:r>
      <w:r>
        <w:t xml:space="preserve"> was issued to further revise the controlling dates</w:t>
      </w:r>
      <w:r w:rsidR="00AE7607">
        <w:t>. The Office of Public Counsel (</w:t>
      </w:r>
      <w:r w:rsidR="00AE7607" w:rsidRPr="00352C77">
        <w:t>OPC</w:t>
      </w:r>
      <w:r w:rsidR="00AE7607">
        <w:t>)</w:t>
      </w:r>
      <w:r w:rsidR="00AE7607" w:rsidRPr="00352C77">
        <w:t>, F</w:t>
      </w:r>
      <w:r w:rsidR="00AE7607">
        <w:t>lorida Retail Federation (FRF)</w:t>
      </w:r>
      <w:r w:rsidR="00AE7607" w:rsidRPr="00352C77">
        <w:t>, and the Florida Industrial Power Users Group (FIPUG</w:t>
      </w:r>
      <w:r w:rsidR="00AE7607">
        <w:t>) intervened.</w:t>
      </w:r>
    </w:p>
    <w:p w:rsidR="000B4944" w:rsidRDefault="000B4944" w:rsidP="00C83D6B">
      <w:pPr>
        <w:pStyle w:val="OrderBody"/>
      </w:pPr>
    </w:p>
    <w:p w:rsidR="000B4944" w:rsidRPr="00E4436A" w:rsidRDefault="00E4436A" w:rsidP="00E4436A">
      <w:pPr>
        <w:pStyle w:val="OrderBody"/>
        <w:ind w:firstLine="720"/>
        <w:rPr>
          <w:color w:val="00B050"/>
        </w:rPr>
      </w:pPr>
      <w:r w:rsidRPr="0051081B">
        <w:t xml:space="preserve">On February 8, 2019, TECO filed revised testimony and reduced its request from $102,476,127 </w:t>
      </w:r>
      <w:r w:rsidR="0051081B" w:rsidRPr="0051081B">
        <w:t xml:space="preserve">(as </w:t>
      </w:r>
      <w:r w:rsidRPr="0051081B">
        <w:t xml:space="preserve">referred to in </w:t>
      </w:r>
      <w:r w:rsidR="0051081B" w:rsidRPr="0051081B">
        <w:t>its</w:t>
      </w:r>
      <w:r w:rsidRPr="0051081B">
        <w:t xml:space="preserve"> </w:t>
      </w:r>
      <w:r w:rsidR="0051081B" w:rsidRPr="0051081B">
        <w:t xml:space="preserve">January 30, 2018, </w:t>
      </w:r>
      <w:r w:rsidRPr="0051081B">
        <w:t>Amended Petition</w:t>
      </w:r>
      <w:r w:rsidR="0051081B" w:rsidRPr="0051081B">
        <w:t>) to</w:t>
      </w:r>
      <w:r w:rsidRPr="0051081B">
        <w:t xml:space="preserve"> </w:t>
      </w:r>
      <w:r w:rsidR="0051081B" w:rsidRPr="0051081B">
        <w:t>$98,982,984</w:t>
      </w:r>
      <w:r w:rsidR="00AE7607">
        <w:t xml:space="preserve"> (</w:t>
      </w:r>
      <w:r w:rsidR="00AE7607" w:rsidRPr="00C42C72">
        <w:t>Second Amended Petition</w:t>
      </w:r>
      <w:r w:rsidR="00AE7607">
        <w:t>)</w:t>
      </w:r>
      <w:r w:rsidR="0051081B" w:rsidRPr="0051081B">
        <w:t xml:space="preserve">. This reduction was </w:t>
      </w:r>
      <w:r w:rsidRPr="0051081B">
        <w:t xml:space="preserve">based on TECO’s analysis of all of the invoices and other documentation associated with the work performed by other utilities and contractors who assisted in restoration efforts. </w:t>
      </w:r>
      <w:r w:rsidR="000B4944">
        <w:t>On March 29, 2019, TECO filed an Unopposed Motion to Suspend Testimony Filing Schedule seeking to suspend the filing of further testimony, and other procedural deadlines as appropriate</w:t>
      </w:r>
      <w:r w:rsidR="00CC3357">
        <w:t xml:space="preserve">. </w:t>
      </w:r>
      <w:r w:rsidR="000B4944">
        <w:t xml:space="preserve">In its Motion, </w:t>
      </w:r>
      <w:r w:rsidR="00C83D6B">
        <w:t>TECO</w:t>
      </w:r>
      <w:r w:rsidR="00C83D6B" w:rsidRPr="00C83D6B">
        <w:t xml:space="preserve"> asserted that OPC</w:t>
      </w:r>
      <w:r w:rsidR="00AE7607">
        <w:t xml:space="preserve">, </w:t>
      </w:r>
      <w:r w:rsidR="00C83D6B">
        <w:t>FRF</w:t>
      </w:r>
      <w:r w:rsidR="00C83D6B" w:rsidRPr="00C83D6B">
        <w:t>, and FIPUG ha</w:t>
      </w:r>
      <w:r w:rsidR="00AE7607">
        <w:t>d</w:t>
      </w:r>
      <w:r w:rsidR="00C83D6B" w:rsidRPr="00C83D6B">
        <w:t xml:space="preserve"> reached an agreement in principle to resolve all issues in this docke</w:t>
      </w:r>
      <w:r w:rsidR="00C83D6B">
        <w:t>t.</w:t>
      </w:r>
      <w:r w:rsidR="000B4944">
        <w:t xml:space="preserve"> </w:t>
      </w:r>
      <w:r w:rsidR="00C83D6B">
        <w:t>H</w:t>
      </w:r>
      <w:r w:rsidR="000B4944">
        <w:t>owever, the parties needed additional time to memorialize their settlemen</w:t>
      </w:r>
      <w:r w:rsidR="00D00342">
        <w:t>t</w:t>
      </w:r>
      <w:r w:rsidR="000B4944">
        <w:t xml:space="preserve"> to present to the Commission for approval</w:t>
      </w:r>
      <w:r w:rsidR="00CC3357">
        <w:t xml:space="preserve">. </w:t>
      </w:r>
      <w:r w:rsidR="000B4944">
        <w:t>On April 3, 2019, Order No. PSC-2019-0120-PCO-EI was issued granting the motion and abating the remaining controlling dates except the dates for the prehearing conference, hearing, and filing briefs.</w:t>
      </w:r>
    </w:p>
    <w:p w:rsidR="000B4944" w:rsidRDefault="000B4944" w:rsidP="000B4944">
      <w:pPr>
        <w:pStyle w:val="OrderBody"/>
        <w:ind w:firstLine="720"/>
      </w:pPr>
    </w:p>
    <w:p w:rsidR="000B4944" w:rsidRDefault="000B4944" w:rsidP="008439F3">
      <w:pPr>
        <w:ind w:firstLine="720"/>
        <w:jc w:val="both"/>
      </w:pPr>
      <w:r>
        <w:t xml:space="preserve">On April 9, 2019, TECO filed </w:t>
      </w:r>
      <w:r w:rsidR="00D00342">
        <w:t>its</w:t>
      </w:r>
      <w:r>
        <w:t xml:space="preserve"> Motion to Approve Storm Cost</w:t>
      </w:r>
      <w:r w:rsidR="00C83D6B">
        <w:t xml:space="preserve"> Settlement Agreement (Motion). </w:t>
      </w:r>
      <w:r>
        <w:t xml:space="preserve">In its Motion, TECO contends that it is in the public interest and in the best interests of TECO’s customers. </w:t>
      </w:r>
      <w:r w:rsidRPr="000B4944">
        <w:t xml:space="preserve">On May </w:t>
      </w:r>
      <w:r w:rsidR="008439F3">
        <w:t>14</w:t>
      </w:r>
      <w:r w:rsidRPr="000B4944">
        <w:t xml:space="preserve">, 2019, </w:t>
      </w:r>
      <w:r w:rsidR="008439F3">
        <w:t>TECO</w:t>
      </w:r>
      <w:r w:rsidRPr="000B4944">
        <w:t xml:space="preserve"> filed an unopposed Motion to Approve Amended Storm Cost Settlement Agreement.</w:t>
      </w:r>
      <w:r>
        <w:t xml:space="preserve"> </w:t>
      </w:r>
      <w:r w:rsidRPr="00911562">
        <w:t xml:space="preserve">The amendment </w:t>
      </w:r>
      <w:r w:rsidR="008439F3">
        <w:t>revised</w:t>
      </w:r>
      <w:r w:rsidRPr="00911562">
        <w:t xml:space="preserve"> the </w:t>
      </w:r>
      <w:r w:rsidR="008439F3">
        <w:t>first unnumbered paragraph in the "Capitalized Costs" bullet on page 16 of the parties’ initial settlement agreement</w:t>
      </w:r>
      <w:r>
        <w:t xml:space="preserve">. </w:t>
      </w:r>
      <w:r w:rsidRPr="007374AB">
        <w:t>The Storm Cost Settlement Agreement and the Amended Storm Cost Settlement Agreement (collectively referred to as the Settlement Agreement</w:t>
      </w:r>
      <w:r w:rsidR="008439F3">
        <w:t xml:space="preserve"> hereafter</w:t>
      </w:r>
      <w:r w:rsidRPr="007374AB">
        <w:t>) are appended to this Order as Attachment A.</w:t>
      </w:r>
      <w:r>
        <w:t xml:space="preserve"> </w:t>
      </w:r>
      <w:r w:rsidRPr="00911562">
        <w:t>OPC, FRF, and FIPUG support the Settlement Agreement.</w:t>
      </w:r>
    </w:p>
    <w:p w:rsidR="000B4944" w:rsidRDefault="000B4944" w:rsidP="000B4944">
      <w:pPr>
        <w:pStyle w:val="OrderBody"/>
        <w:ind w:firstLine="720"/>
      </w:pPr>
    </w:p>
    <w:p w:rsidR="000B4944" w:rsidRDefault="0051081B" w:rsidP="0051081B">
      <w:pPr>
        <w:ind w:firstLine="720"/>
        <w:jc w:val="both"/>
      </w:pPr>
      <w:r w:rsidRPr="00D90B18">
        <w:t xml:space="preserve">An administrative hearing was held on May 21, 2019. </w:t>
      </w:r>
      <w:r>
        <w:t>During th</w:t>
      </w:r>
      <w:r w:rsidR="00AE7607">
        <w:t>e</w:t>
      </w:r>
      <w:r>
        <w:t xml:space="preserve"> hea</w:t>
      </w:r>
      <w:r w:rsidR="00E5199F">
        <w:t xml:space="preserve">ring, </w:t>
      </w:r>
      <w:r w:rsidR="000804AD">
        <w:t>TECO</w:t>
      </w:r>
      <w:r w:rsidR="00E5199F">
        <w:t xml:space="preserve"> </w:t>
      </w:r>
      <w:r w:rsidR="00CB47B8">
        <w:t xml:space="preserve">provided </w:t>
      </w:r>
      <w:r w:rsidR="00E5199F">
        <w:t>clarifi</w:t>
      </w:r>
      <w:r w:rsidR="00CB47B8">
        <w:t>cations agreed to by the parties regarding</w:t>
      </w:r>
      <w:r w:rsidR="00E5199F">
        <w:t xml:space="preserve"> two points from the Settlement Agreement</w:t>
      </w:r>
      <w:r w:rsidR="000804AD">
        <w:t>. These clarifications are detailed below</w:t>
      </w:r>
      <w:r w:rsidR="00E5199F">
        <w:t>.</w:t>
      </w:r>
      <w:r>
        <w:t xml:space="preserve"> </w:t>
      </w:r>
      <w:r w:rsidR="001C4DDF">
        <w:t>Also, a</w:t>
      </w:r>
      <w:r w:rsidRPr="00D90B18">
        <w:t xml:space="preserve">t the conclusion of the evidentiary portion of the hearing, the parties indicated that they were willing to waive the filing of post-hearing briefs, and </w:t>
      </w:r>
      <w:r>
        <w:t>we</w:t>
      </w:r>
      <w:r w:rsidRPr="00D90B18">
        <w:t xml:space="preserve"> approved the Settlement Agreement</w:t>
      </w:r>
      <w:r>
        <w:t xml:space="preserve">, as set forth herein, by bench </w:t>
      </w:r>
      <w:r w:rsidRPr="00D90B18">
        <w:t>vote.</w:t>
      </w:r>
    </w:p>
    <w:p w:rsidR="000B4944" w:rsidRPr="008F0784" w:rsidRDefault="000B4944">
      <w:pPr>
        <w:pStyle w:val="OrderBody"/>
        <w:ind w:firstLine="720"/>
      </w:pPr>
    </w:p>
    <w:p w:rsidR="00267234" w:rsidRDefault="00267234" w:rsidP="00267234">
      <w:pPr>
        <w:jc w:val="center"/>
        <w:rPr>
          <w:u w:val="single"/>
        </w:rPr>
      </w:pPr>
      <w:r w:rsidRPr="008F0784">
        <w:rPr>
          <w:u w:val="single"/>
        </w:rPr>
        <w:t>The Settlement Agreement</w:t>
      </w:r>
    </w:p>
    <w:p w:rsidR="00267234" w:rsidRPr="008F0784" w:rsidRDefault="00267234" w:rsidP="00267234">
      <w:pPr>
        <w:jc w:val="both"/>
        <w:rPr>
          <w:u w:val="single"/>
        </w:rPr>
      </w:pPr>
    </w:p>
    <w:p w:rsidR="00243A9F" w:rsidRPr="00352C77" w:rsidRDefault="00243A9F" w:rsidP="00243A9F">
      <w:pPr>
        <w:ind w:firstLine="720"/>
        <w:jc w:val="both"/>
      </w:pPr>
      <w:r w:rsidRPr="00352C77">
        <w:t>The Settlement Agreement provides a compromise between the parties regarding the amount of recoverable storm costs</w:t>
      </w:r>
      <w:r w:rsidR="00D00342">
        <w:t>,</w:t>
      </w:r>
      <w:r w:rsidR="00AE7607">
        <w:t xml:space="preserve"> and it</w:t>
      </w:r>
      <w:r w:rsidRPr="00352C77">
        <w:t xml:space="preserve"> sets forth an extensive set of</w:t>
      </w:r>
      <w:r w:rsidR="00CB47B8">
        <w:t xml:space="preserve"> storm restoration</w:t>
      </w:r>
      <w:r w:rsidRPr="00352C77">
        <w:t xml:space="preserve"> </w:t>
      </w:r>
      <w:r w:rsidR="00715930">
        <w:t>policies and procedures</w:t>
      </w:r>
      <w:r w:rsidRPr="00352C77">
        <w:t xml:space="preserve"> to follow during future storms</w:t>
      </w:r>
      <w:r w:rsidR="00CB47B8">
        <w:t xml:space="preserve"> (Process Improvements)</w:t>
      </w:r>
      <w:r w:rsidRPr="00352C77">
        <w:t>.</w:t>
      </w:r>
      <w:r w:rsidR="00C42C72">
        <w:t xml:space="preserve"> </w:t>
      </w:r>
      <w:r w:rsidRPr="00352C77">
        <w:t>The major elements of the Settlement Agreement are as follows:</w:t>
      </w:r>
    </w:p>
    <w:p w:rsidR="00243A9F" w:rsidRPr="00352C77" w:rsidRDefault="00243A9F" w:rsidP="00243A9F">
      <w:pPr>
        <w:jc w:val="both"/>
      </w:pPr>
    </w:p>
    <w:p w:rsidR="00C42C72" w:rsidRPr="00D00342" w:rsidRDefault="00C42C72" w:rsidP="00D00342">
      <w:pPr>
        <w:pStyle w:val="ListParagraph"/>
        <w:numPr>
          <w:ilvl w:val="0"/>
          <w:numId w:val="1"/>
        </w:numPr>
        <w:spacing w:line="240" w:lineRule="auto"/>
        <w:jc w:val="both"/>
        <w:rPr>
          <w:rFonts w:ascii="Times New Roman" w:hAnsi="Times New Roman" w:cs="Times New Roman"/>
          <w:sz w:val="24"/>
          <w:szCs w:val="24"/>
        </w:rPr>
      </w:pPr>
      <w:r w:rsidRPr="00C42C72">
        <w:rPr>
          <w:rFonts w:ascii="Times New Roman" w:hAnsi="Times New Roman" w:cs="Times New Roman"/>
          <w:sz w:val="24"/>
          <w:szCs w:val="24"/>
        </w:rPr>
        <w:t>This Settlement Agreement reduces the Second Amended Petit</w:t>
      </w:r>
      <w:r w:rsidR="00D00342">
        <w:rPr>
          <w:rFonts w:ascii="Times New Roman" w:hAnsi="Times New Roman" w:cs="Times New Roman"/>
          <w:sz w:val="24"/>
          <w:szCs w:val="24"/>
        </w:rPr>
        <w:t xml:space="preserve">ion by an additional $7,725,098. This would </w:t>
      </w:r>
      <w:r w:rsidR="00D00342" w:rsidRPr="00C42C72">
        <w:rPr>
          <w:rFonts w:ascii="Times New Roman" w:hAnsi="Times New Roman" w:cs="Times New Roman"/>
          <w:sz w:val="24"/>
          <w:szCs w:val="24"/>
        </w:rPr>
        <w:t>bring the total amount of recovera</w:t>
      </w:r>
      <w:r w:rsidR="00D00342">
        <w:rPr>
          <w:rFonts w:ascii="Times New Roman" w:hAnsi="Times New Roman" w:cs="Times New Roman"/>
          <w:sz w:val="24"/>
          <w:szCs w:val="24"/>
        </w:rPr>
        <w:t>ble storm costs to $91,257,886.</w:t>
      </w:r>
    </w:p>
    <w:p w:rsidR="00C42C72" w:rsidRPr="00FB5BCC" w:rsidRDefault="00AE7607" w:rsidP="00EF672E">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portion of </w:t>
      </w:r>
      <w:r w:rsidR="00A32976">
        <w:rPr>
          <w:rFonts w:ascii="Times New Roman" w:hAnsi="Times New Roman" w:cs="Times New Roman"/>
          <w:sz w:val="24"/>
          <w:szCs w:val="24"/>
        </w:rPr>
        <w:t>the $7,725,098</w:t>
      </w:r>
      <w:r>
        <w:rPr>
          <w:rFonts w:ascii="Times New Roman" w:hAnsi="Times New Roman" w:cs="Times New Roman"/>
          <w:sz w:val="24"/>
          <w:szCs w:val="24"/>
        </w:rPr>
        <w:t xml:space="preserve"> reduction</w:t>
      </w:r>
      <w:r w:rsidR="00C42C72" w:rsidRPr="00C42C72">
        <w:rPr>
          <w:rFonts w:ascii="Times New Roman" w:hAnsi="Times New Roman" w:cs="Times New Roman"/>
          <w:sz w:val="24"/>
          <w:szCs w:val="24"/>
        </w:rPr>
        <w:t xml:space="preserve">, $6.0 million, </w:t>
      </w:r>
      <w:r w:rsidR="007374AB">
        <w:rPr>
          <w:rFonts w:ascii="Times New Roman" w:hAnsi="Times New Roman" w:cs="Times New Roman"/>
          <w:sz w:val="24"/>
          <w:szCs w:val="24"/>
        </w:rPr>
        <w:t>would</w:t>
      </w:r>
      <w:r w:rsidR="00C42C72" w:rsidRPr="00C42C72">
        <w:rPr>
          <w:rFonts w:ascii="Times New Roman" w:hAnsi="Times New Roman" w:cs="Times New Roman"/>
          <w:sz w:val="24"/>
          <w:szCs w:val="24"/>
        </w:rPr>
        <w:t xml:space="preserve"> be reclassified as capital and added to TECO’s electric plant in service balance in </w:t>
      </w:r>
      <w:r w:rsidR="00FB5BCC">
        <w:rPr>
          <w:rFonts w:ascii="Times New Roman" w:hAnsi="Times New Roman" w:cs="Times New Roman"/>
          <w:sz w:val="24"/>
          <w:szCs w:val="24"/>
        </w:rPr>
        <w:t>Account 364—</w:t>
      </w:r>
      <w:r w:rsidR="00FB5BCC" w:rsidRPr="00FB5BCC">
        <w:rPr>
          <w:rFonts w:ascii="Times New Roman" w:hAnsi="Times New Roman" w:cs="Times New Roman"/>
          <w:sz w:val="24"/>
          <w:szCs w:val="24"/>
        </w:rPr>
        <w:t>Poles, Tower</w:t>
      </w:r>
      <w:r w:rsidR="00FB5BCC">
        <w:rPr>
          <w:rFonts w:ascii="Times New Roman" w:hAnsi="Times New Roman" w:cs="Times New Roman"/>
          <w:sz w:val="24"/>
          <w:szCs w:val="24"/>
        </w:rPr>
        <w:t>s and Fixtures (vintage year 20</w:t>
      </w:r>
      <w:r w:rsidR="00FB5BCC" w:rsidRPr="00FB5BCC">
        <w:rPr>
          <w:rFonts w:ascii="Times New Roman" w:hAnsi="Times New Roman" w:cs="Times New Roman"/>
          <w:sz w:val="24"/>
          <w:szCs w:val="24"/>
        </w:rPr>
        <w:t>17)</w:t>
      </w:r>
      <w:r w:rsidR="00FB5BCC">
        <w:rPr>
          <w:rFonts w:ascii="Times New Roman" w:hAnsi="Times New Roman" w:cs="Times New Roman"/>
          <w:sz w:val="24"/>
          <w:szCs w:val="24"/>
        </w:rPr>
        <w:t>,</w:t>
      </w:r>
      <w:r w:rsidR="00FB5BCC" w:rsidRPr="00FB5BCC">
        <w:rPr>
          <w:rFonts w:ascii="Times New Roman" w:hAnsi="Times New Roman" w:cs="Times New Roman"/>
          <w:sz w:val="24"/>
          <w:szCs w:val="24"/>
        </w:rPr>
        <w:t xml:space="preserve"> for all surveillance</w:t>
      </w:r>
      <w:r w:rsidR="00FB5BCC">
        <w:rPr>
          <w:rFonts w:ascii="Times New Roman" w:hAnsi="Times New Roman" w:cs="Times New Roman"/>
          <w:sz w:val="24"/>
          <w:szCs w:val="24"/>
        </w:rPr>
        <w:t xml:space="preserve"> </w:t>
      </w:r>
      <w:r w:rsidR="00FB5BCC" w:rsidRPr="00FB5BCC">
        <w:rPr>
          <w:rFonts w:ascii="Times New Roman" w:hAnsi="Times New Roman" w:cs="Times New Roman"/>
          <w:sz w:val="24"/>
          <w:szCs w:val="24"/>
        </w:rPr>
        <w:t>and future rate setting purposes.</w:t>
      </w:r>
    </w:p>
    <w:p w:rsidR="00C42C72" w:rsidRPr="007374AB" w:rsidRDefault="00C42C72" w:rsidP="00EF672E">
      <w:pPr>
        <w:pStyle w:val="ListParagraph"/>
        <w:numPr>
          <w:ilvl w:val="0"/>
          <w:numId w:val="1"/>
        </w:numPr>
        <w:spacing w:line="240" w:lineRule="auto"/>
        <w:jc w:val="both"/>
        <w:rPr>
          <w:rFonts w:ascii="Times New Roman" w:hAnsi="Times New Roman" w:cs="Times New Roman"/>
          <w:sz w:val="24"/>
          <w:szCs w:val="24"/>
        </w:rPr>
      </w:pPr>
      <w:r w:rsidRPr="007374AB">
        <w:rPr>
          <w:rFonts w:ascii="Times New Roman" w:hAnsi="Times New Roman" w:cs="Times New Roman"/>
          <w:sz w:val="24"/>
          <w:szCs w:val="24"/>
        </w:rPr>
        <w:t xml:space="preserve">The remaining $1,725,098 of the additional reduction </w:t>
      </w:r>
      <w:r w:rsidR="007374AB" w:rsidRPr="007374AB">
        <w:rPr>
          <w:rFonts w:ascii="Times New Roman" w:hAnsi="Times New Roman" w:cs="Times New Roman"/>
          <w:sz w:val="24"/>
          <w:szCs w:val="24"/>
        </w:rPr>
        <w:t>would be</w:t>
      </w:r>
      <w:r w:rsidRPr="007374AB">
        <w:rPr>
          <w:rFonts w:ascii="Times New Roman" w:hAnsi="Times New Roman" w:cs="Times New Roman"/>
          <w:sz w:val="24"/>
          <w:szCs w:val="24"/>
        </w:rPr>
        <w:t xml:space="preserve"> reclassified as a regulatory deferred debit. </w:t>
      </w:r>
      <w:r w:rsidR="007374AB" w:rsidRPr="007374AB">
        <w:rPr>
          <w:rFonts w:ascii="Times New Roman" w:hAnsi="Times New Roman" w:cs="Times New Roman"/>
          <w:sz w:val="24"/>
          <w:szCs w:val="24"/>
        </w:rPr>
        <w:t>TECO</w:t>
      </w:r>
      <w:r w:rsidRPr="007374AB">
        <w:rPr>
          <w:rFonts w:ascii="Times New Roman" w:hAnsi="Times New Roman" w:cs="Times New Roman"/>
          <w:sz w:val="24"/>
          <w:szCs w:val="24"/>
        </w:rPr>
        <w:t xml:space="preserve"> </w:t>
      </w:r>
      <w:r w:rsidR="007374AB" w:rsidRPr="007374AB">
        <w:rPr>
          <w:rFonts w:ascii="Times New Roman" w:hAnsi="Times New Roman" w:cs="Times New Roman"/>
          <w:sz w:val="24"/>
          <w:szCs w:val="24"/>
        </w:rPr>
        <w:t>would</w:t>
      </w:r>
      <w:r w:rsidRPr="007374AB">
        <w:rPr>
          <w:rFonts w:ascii="Times New Roman" w:hAnsi="Times New Roman" w:cs="Times New Roman"/>
          <w:sz w:val="24"/>
          <w:szCs w:val="24"/>
        </w:rPr>
        <w:t xml:space="preserve"> eliminate the deferred debit and charge base rate O</w:t>
      </w:r>
      <w:r w:rsidR="00FB5BCC">
        <w:rPr>
          <w:rFonts w:ascii="Times New Roman" w:hAnsi="Times New Roman" w:cs="Times New Roman"/>
          <w:sz w:val="24"/>
          <w:szCs w:val="24"/>
        </w:rPr>
        <w:t>perations and Maintenance</w:t>
      </w:r>
      <w:r w:rsidRPr="007374AB">
        <w:rPr>
          <w:rFonts w:ascii="Times New Roman" w:hAnsi="Times New Roman" w:cs="Times New Roman"/>
          <w:sz w:val="24"/>
          <w:szCs w:val="24"/>
        </w:rPr>
        <w:t xml:space="preserve"> expense for $1,725,098 prior to the filing of its next general base rate case proceeding.</w:t>
      </w:r>
      <w:r w:rsidR="007374AB" w:rsidRPr="007374AB">
        <w:rPr>
          <w:rFonts w:ascii="Times New Roman" w:hAnsi="Times New Roman" w:cs="Times New Roman"/>
          <w:sz w:val="24"/>
          <w:szCs w:val="24"/>
        </w:rPr>
        <w:t xml:space="preserve"> Of this amount, </w:t>
      </w:r>
      <w:r w:rsidRPr="007374AB">
        <w:rPr>
          <w:rFonts w:ascii="Times New Roman" w:hAnsi="Times New Roman" w:cs="Times New Roman"/>
          <w:sz w:val="24"/>
          <w:szCs w:val="24"/>
        </w:rPr>
        <w:t>$650,000</w:t>
      </w:r>
      <w:r w:rsidR="007374AB" w:rsidRPr="007374AB">
        <w:rPr>
          <w:rFonts w:ascii="Times New Roman" w:hAnsi="Times New Roman" w:cs="Times New Roman"/>
          <w:sz w:val="24"/>
          <w:szCs w:val="24"/>
        </w:rPr>
        <w:t xml:space="preserve"> </w:t>
      </w:r>
      <w:r w:rsidRPr="007374AB">
        <w:rPr>
          <w:rFonts w:ascii="Times New Roman" w:hAnsi="Times New Roman" w:cs="Times New Roman"/>
          <w:sz w:val="24"/>
          <w:szCs w:val="24"/>
        </w:rPr>
        <w:t>represents non-specific reductions related to incremental internal labor</w:t>
      </w:r>
      <w:r w:rsidR="007374AB">
        <w:rPr>
          <w:rFonts w:ascii="Times New Roman" w:hAnsi="Times New Roman" w:cs="Times New Roman"/>
          <w:sz w:val="24"/>
          <w:szCs w:val="24"/>
        </w:rPr>
        <w:t xml:space="preserve"> and </w:t>
      </w:r>
      <w:r w:rsidRPr="007374AB">
        <w:rPr>
          <w:rFonts w:ascii="Times New Roman" w:hAnsi="Times New Roman" w:cs="Times New Roman"/>
          <w:sz w:val="24"/>
          <w:szCs w:val="24"/>
        </w:rPr>
        <w:t>$1,075,098 represents foreign contractor costs</w:t>
      </w:r>
      <w:r w:rsidR="007374AB">
        <w:rPr>
          <w:rFonts w:ascii="Times New Roman" w:hAnsi="Times New Roman" w:cs="Times New Roman"/>
          <w:sz w:val="24"/>
          <w:szCs w:val="24"/>
        </w:rPr>
        <w:t>.</w:t>
      </w:r>
    </w:p>
    <w:p w:rsidR="00C42C72" w:rsidRPr="00912C79" w:rsidRDefault="00C42C72" w:rsidP="00EF672E">
      <w:pPr>
        <w:pStyle w:val="ListParagraph"/>
        <w:numPr>
          <w:ilvl w:val="0"/>
          <w:numId w:val="1"/>
        </w:numPr>
        <w:spacing w:line="240" w:lineRule="auto"/>
        <w:jc w:val="both"/>
        <w:rPr>
          <w:rFonts w:ascii="Times New Roman" w:hAnsi="Times New Roman" w:cs="Times New Roman"/>
          <w:sz w:val="24"/>
          <w:szCs w:val="24"/>
        </w:rPr>
      </w:pPr>
      <w:r w:rsidRPr="00C42C72">
        <w:rPr>
          <w:rFonts w:ascii="Times New Roman" w:hAnsi="Times New Roman" w:cs="Times New Roman"/>
          <w:sz w:val="24"/>
          <w:szCs w:val="24"/>
        </w:rPr>
        <w:t>T</w:t>
      </w:r>
      <w:r w:rsidR="00FB5BCC">
        <w:rPr>
          <w:rFonts w:ascii="Times New Roman" w:hAnsi="Times New Roman" w:cs="Times New Roman"/>
          <w:sz w:val="24"/>
          <w:szCs w:val="24"/>
        </w:rPr>
        <w:t>ECO</w:t>
      </w:r>
      <w:r w:rsidRPr="00C42C72">
        <w:rPr>
          <w:rFonts w:ascii="Times New Roman" w:hAnsi="Times New Roman" w:cs="Times New Roman"/>
          <w:sz w:val="24"/>
          <w:szCs w:val="24"/>
        </w:rPr>
        <w:t xml:space="preserve"> </w:t>
      </w:r>
      <w:r w:rsidR="006A29E8">
        <w:rPr>
          <w:rFonts w:ascii="Times New Roman" w:hAnsi="Times New Roman" w:cs="Times New Roman"/>
          <w:sz w:val="24"/>
          <w:szCs w:val="24"/>
        </w:rPr>
        <w:t>would</w:t>
      </w:r>
      <w:r w:rsidRPr="00C42C72">
        <w:rPr>
          <w:rFonts w:ascii="Times New Roman" w:hAnsi="Times New Roman" w:cs="Times New Roman"/>
          <w:sz w:val="24"/>
          <w:szCs w:val="24"/>
        </w:rPr>
        <w:t xml:space="preserve"> be entitled to recover the entire estimated amount of storm costs</w:t>
      </w:r>
      <w:r w:rsidR="00912C79">
        <w:rPr>
          <w:rFonts w:ascii="Times New Roman" w:hAnsi="Times New Roman" w:cs="Times New Roman"/>
          <w:sz w:val="24"/>
          <w:szCs w:val="24"/>
        </w:rPr>
        <w:t xml:space="preserve"> </w:t>
      </w:r>
      <w:r w:rsidR="00912C79" w:rsidRPr="00C42C72">
        <w:rPr>
          <w:rFonts w:ascii="Times New Roman" w:hAnsi="Times New Roman" w:cs="Times New Roman"/>
          <w:sz w:val="24"/>
          <w:szCs w:val="24"/>
        </w:rPr>
        <w:t xml:space="preserve">from the Company’s estimated annual tax savings </w:t>
      </w:r>
      <w:r w:rsidR="00912C79">
        <w:rPr>
          <w:rFonts w:ascii="Times New Roman" w:hAnsi="Times New Roman" w:cs="Times New Roman"/>
          <w:sz w:val="24"/>
          <w:szCs w:val="24"/>
        </w:rPr>
        <w:t xml:space="preserve">over a nine month period in 2018 instead of </w:t>
      </w:r>
      <w:r w:rsidR="00A32976">
        <w:rPr>
          <w:rFonts w:ascii="Times New Roman" w:hAnsi="Times New Roman" w:cs="Times New Roman"/>
          <w:sz w:val="24"/>
          <w:szCs w:val="24"/>
        </w:rPr>
        <w:t>surcharging</w:t>
      </w:r>
      <w:r w:rsidR="00912C79">
        <w:rPr>
          <w:rFonts w:ascii="Times New Roman" w:hAnsi="Times New Roman" w:cs="Times New Roman"/>
          <w:sz w:val="24"/>
          <w:szCs w:val="24"/>
        </w:rPr>
        <w:t xml:space="preserve"> its customers </w:t>
      </w:r>
      <w:r w:rsidRPr="00912C79">
        <w:rPr>
          <w:rFonts w:ascii="Times New Roman" w:hAnsi="Times New Roman" w:cs="Times New Roman"/>
          <w:sz w:val="24"/>
          <w:szCs w:val="24"/>
        </w:rPr>
        <w:t xml:space="preserve">over </w:t>
      </w:r>
      <w:r w:rsidR="00912C79">
        <w:rPr>
          <w:rFonts w:ascii="Times New Roman" w:hAnsi="Times New Roman" w:cs="Times New Roman"/>
          <w:sz w:val="24"/>
          <w:szCs w:val="24"/>
        </w:rPr>
        <w:t>the same period</w:t>
      </w:r>
      <w:r w:rsidR="00912C79" w:rsidRPr="00912C79">
        <w:rPr>
          <w:rFonts w:ascii="Times New Roman" w:hAnsi="Times New Roman" w:cs="Times New Roman"/>
          <w:sz w:val="24"/>
          <w:szCs w:val="24"/>
        </w:rPr>
        <w:t>.</w:t>
      </w:r>
    </w:p>
    <w:p w:rsidR="00C42C72" w:rsidRPr="00B04261" w:rsidRDefault="009D7B17" w:rsidP="00B04261">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Based on the a</w:t>
      </w:r>
      <w:r w:rsidR="00C42C72" w:rsidRPr="00C42C72">
        <w:rPr>
          <w:rFonts w:ascii="Times New Roman" w:hAnsi="Times New Roman" w:cs="Times New Roman"/>
          <w:sz w:val="24"/>
          <w:szCs w:val="24"/>
        </w:rPr>
        <w:t>nnual tax savings amount established in Docket No. 20180045-EI</w:t>
      </w:r>
      <w:r w:rsidR="00B04261">
        <w:rPr>
          <w:rFonts w:ascii="Times New Roman" w:hAnsi="Times New Roman" w:cs="Times New Roman"/>
          <w:sz w:val="24"/>
          <w:szCs w:val="24"/>
        </w:rPr>
        <w:t xml:space="preserve">, </w:t>
      </w:r>
      <w:r w:rsidR="00B04261" w:rsidRPr="00B04261">
        <w:rPr>
          <w:rFonts w:ascii="Times New Roman" w:hAnsi="Times New Roman" w:cs="Times New Roman"/>
          <w:sz w:val="24"/>
          <w:szCs w:val="24"/>
          <w:u w:val="single"/>
        </w:rPr>
        <w:t>In re: Consideration of the tax impacts associated with Tax Cuts and Jobs Act of 2017 for Tampa Electric Company</w:t>
      </w:r>
      <w:r w:rsidR="00C42C72" w:rsidRPr="00B04261">
        <w:rPr>
          <w:rFonts w:ascii="Times New Roman" w:hAnsi="Times New Roman" w:cs="Times New Roman"/>
          <w:sz w:val="24"/>
          <w:szCs w:val="24"/>
        </w:rPr>
        <w:t>, and the reduced recoverable amount, TECO w</w:t>
      </w:r>
      <w:r w:rsidR="006A29E8" w:rsidRPr="00B04261">
        <w:rPr>
          <w:rFonts w:ascii="Times New Roman" w:hAnsi="Times New Roman" w:cs="Times New Roman"/>
          <w:sz w:val="24"/>
          <w:szCs w:val="24"/>
        </w:rPr>
        <w:t>ould</w:t>
      </w:r>
      <w:r w:rsidR="00C42C72" w:rsidRPr="00B04261">
        <w:rPr>
          <w:rFonts w:ascii="Times New Roman" w:hAnsi="Times New Roman" w:cs="Times New Roman"/>
          <w:sz w:val="24"/>
          <w:szCs w:val="24"/>
        </w:rPr>
        <w:t xml:space="preserve"> refund to customers $11,500,000 as a one-time bill credit. This one-time bill credit w</w:t>
      </w:r>
      <w:r w:rsidR="006A29E8" w:rsidRPr="00B04261">
        <w:rPr>
          <w:rFonts w:ascii="Times New Roman" w:hAnsi="Times New Roman" w:cs="Times New Roman"/>
          <w:sz w:val="24"/>
          <w:szCs w:val="24"/>
        </w:rPr>
        <w:t>ould</w:t>
      </w:r>
      <w:r w:rsidR="00C42C72" w:rsidRPr="00B04261">
        <w:rPr>
          <w:rFonts w:ascii="Times New Roman" w:hAnsi="Times New Roman" w:cs="Times New Roman"/>
          <w:sz w:val="24"/>
          <w:szCs w:val="24"/>
        </w:rPr>
        <w:t xml:space="preserve"> be reflected as a separate line item on customer’s bills concurrently with meter readings for the first billing cycle of January 2020.</w:t>
      </w:r>
    </w:p>
    <w:p w:rsidR="00243A9F" w:rsidRPr="00352C77" w:rsidRDefault="00243A9F" w:rsidP="00EF672E">
      <w:pPr>
        <w:pStyle w:val="ListParagraph"/>
        <w:numPr>
          <w:ilvl w:val="0"/>
          <w:numId w:val="1"/>
        </w:numPr>
        <w:spacing w:line="240" w:lineRule="auto"/>
        <w:jc w:val="both"/>
        <w:rPr>
          <w:u w:val="single"/>
        </w:rPr>
      </w:pPr>
      <w:r w:rsidRPr="00352C77">
        <w:rPr>
          <w:rFonts w:ascii="Times New Roman" w:hAnsi="Times New Roman" w:cs="Times New Roman"/>
          <w:sz w:val="24"/>
          <w:szCs w:val="24"/>
        </w:rPr>
        <w:t xml:space="preserve">The parties </w:t>
      </w:r>
      <w:r w:rsidR="008C32EF">
        <w:rPr>
          <w:rFonts w:ascii="Times New Roman" w:hAnsi="Times New Roman" w:cs="Times New Roman"/>
          <w:sz w:val="24"/>
          <w:szCs w:val="24"/>
        </w:rPr>
        <w:t>a</w:t>
      </w:r>
      <w:r w:rsidRPr="00352C77">
        <w:rPr>
          <w:rFonts w:ascii="Times New Roman" w:hAnsi="Times New Roman" w:cs="Times New Roman"/>
          <w:sz w:val="24"/>
          <w:szCs w:val="24"/>
        </w:rPr>
        <w:t xml:space="preserve">greed to </w:t>
      </w:r>
      <w:r w:rsidR="00CB47B8">
        <w:rPr>
          <w:rFonts w:ascii="Times New Roman" w:hAnsi="Times New Roman" w:cs="Times New Roman"/>
          <w:sz w:val="24"/>
          <w:szCs w:val="24"/>
        </w:rPr>
        <w:t xml:space="preserve">Process Improvements </w:t>
      </w:r>
      <w:r w:rsidRPr="00352C77">
        <w:rPr>
          <w:rFonts w:ascii="Times New Roman" w:hAnsi="Times New Roman" w:cs="Times New Roman"/>
          <w:sz w:val="24"/>
          <w:szCs w:val="24"/>
        </w:rPr>
        <w:t>to allow cost effective and timely st</w:t>
      </w:r>
      <w:r w:rsidR="007374AB">
        <w:rPr>
          <w:rFonts w:ascii="Times New Roman" w:hAnsi="Times New Roman" w:cs="Times New Roman"/>
          <w:sz w:val="24"/>
          <w:szCs w:val="24"/>
        </w:rPr>
        <w:t xml:space="preserve">orm damage recovery and service </w:t>
      </w:r>
      <w:r w:rsidRPr="00352C77">
        <w:rPr>
          <w:rFonts w:ascii="Times New Roman" w:hAnsi="Times New Roman" w:cs="Times New Roman"/>
          <w:sz w:val="24"/>
          <w:szCs w:val="24"/>
        </w:rPr>
        <w:t xml:space="preserve">restoration. </w:t>
      </w:r>
      <w:r w:rsidR="00715930">
        <w:rPr>
          <w:rFonts w:ascii="Times New Roman" w:hAnsi="Times New Roman" w:cs="Times New Roman"/>
          <w:sz w:val="24"/>
          <w:szCs w:val="24"/>
        </w:rPr>
        <w:t>The Process Improvements</w:t>
      </w:r>
      <w:r w:rsidRPr="00352C77">
        <w:rPr>
          <w:rFonts w:ascii="Times New Roman" w:hAnsi="Times New Roman" w:cs="Times New Roman"/>
          <w:sz w:val="24"/>
          <w:szCs w:val="24"/>
        </w:rPr>
        <w:t xml:space="preserve"> cover a broad range of storm cost recovery issues, including: contracting and vendor engagement, travel and work policies, cost documentation, auditing and regulatory recovery processes, and a methodology for determining incremental costs. </w:t>
      </w:r>
    </w:p>
    <w:p w:rsidR="00243A9F" w:rsidRPr="00352C77" w:rsidRDefault="00243A9F" w:rsidP="00EF672E">
      <w:pPr>
        <w:pStyle w:val="ListParagraph"/>
        <w:numPr>
          <w:ilvl w:val="0"/>
          <w:numId w:val="1"/>
        </w:numPr>
        <w:spacing w:line="240" w:lineRule="auto"/>
        <w:jc w:val="both"/>
        <w:rPr>
          <w:u w:val="single"/>
        </w:rPr>
      </w:pPr>
      <w:r w:rsidRPr="00352C77">
        <w:rPr>
          <w:rFonts w:ascii="Times New Roman" w:hAnsi="Times New Roman" w:cs="Times New Roman"/>
          <w:sz w:val="24"/>
          <w:szCs w:val="24"/>
        </w:rPr>
        <w:t xml:space="preserve">The parties </w:t>
      </w:r>
      <w:r w:rsidR="008C32EF">
        <w:rPr>
          <w:rFonts w:ascii="Times New Roman" w:hAnsi="Times New Roman" w:cs="Times New Roman"/>
          <w:sz w:val="24"/>
          <w:szCs w:val="24"/>
        </w:rPr>
        <w:t>agreed</w:t>
      </w:r>
      <w:r w:rsidR="006A29E8">
        <w:rPr>
          <w:rFonts w:ascii="Times New Roman" w:hAnsi="Times New Roman" w:cs="Times New Roman"/>
          <w:sz w:val="24"/>
          <w:szCs w:val="24"/>
        </w:rPr>
        <w:t xml:space="preserve"> to</w:t>
      </w:r>
      <w:r w:rsidRPr="00352C77">
        <w:rPr>
          <w:rFonts w:ascii="Times New Roman" w:hAnsi="Times New Roman" w:cs="Times New Roman"/>
          <w:sz w:val="24"/>
          <w:szCs w:val="24"/>
        </w:rPr>
        <w:t xml:space="preserve"> meet to evaluate the </w:t>
      </w:r>
      <w:r w:rsidR="00CB47B8">
        <w:rPr>
          <w:rFonts w:ascii="Times New Roman" w:hAnsi="Times New Roman" w:cs="Times New Roman"/>
          <w:sz w:val="24"/>
          <w:szCs w:val="24"/>
        </w:rPr>
        <w:t>Process Improvements</w:t>
      </w:r>
      <w:r w:rsidRPr="00352C77">
        <w:rPr>
          <w:rFonts w:ascii="Times New Roman" w:hAnsi="Times New Roman" w:cs="Times New Roman"/>
          <w:sz w:val="24"/>
          <w:szCs w:val="24"/>
        </w:rPr>
        <w:t xml:space="preserve"> and consider </w:t>
      </w:r>
      <w:r w:rsidR="00715930">
        <w:rPr>
          <w:rFonts w:ascii="Times New Roman" w:hAnsi="Times New Roman" w:cs="Times New Roman"/>
          <w:sz w:val="24"/>
          <w:szCs w:val="24"/>
        </w:rPr>
        <w:t>any</w:t>
      </w:r>
      <w:r w:rsidRPr="00352C77">
        <w:rPr>
          <w:rFonts w:ascii="Times New Roman" w:hAnsi="Times New Roman" w:cs="Times New Roman"/>
          <w:sz w:val="24"/>
          <w:szCs w:val="24"/>
        </w:rPr>
        <w:t xml:space="preserve"> need to amend</w:t>
      </w:r>
      <w:r w:rsidR="00715930">
        <w:rPr>
          <w:rFonts w:ascii="Times New Roman" w:hAnsi="Times New Roman" w:cs="Times New Roman"/>
          <w:sz w:val="24"/>
          <w:szCs w:val="24"/>
        </w:rPr>
        <w:t xml:space="preserve"> such improvements</w:t>
      </w:r>
      <w:r w:rsidRPr="00352C77">
        <w:rPr>
          <w:rFonts w:ascii="Times New Roman" w:hAnsi="Times New Roman" w:cs="Times New Roman"/>
          <w:sz w:val="24"/>
          <w:szCs w:val="24"/>
        </w:rPr>
        <w:t xml:space="preserve"> during the first quarter of 202</w:t>
      </w:r>
      <w:r w:rsidR="007374AB">
        <w:rPr>
          <w:rFonts w:ascii="Times New Roman" w:hAnsi="Times New Roman" w:cs="Times New Roman"/>
          <w:sz w:val="24"/>
          <w:szCs w:val="24"/>
        </w:rPr>
        <w:t>1</w:t>
      </w:r>
      <w:r w:rsidRPr="00352C77">
        <w:rPr>
          <w:rFonts w:ascii="Times New Roman" w:hAnsi="Times New Roman" w:cs="Times New Roman"/>
          <w:sz w:val="24"/>
          <w:szCs w:val="24"/>
        </w:rPr>
        <w:t>, and every t</w:t>
      </w:r>
      <w:r w:rsidR="007374AB">
        <w:rPr>
          <w:rFonts w:ascii="Times New Roman" w:hAnsi="Times New Roman" w:cs="Times New Roman"/>
          <w:sz w:val="24"/>
          <w:szCs w:val="24"/>
        </w:rPr>
        <w:t>wo</w:t>
      </w:r>
      <w:r w:rsidRPr="00352C77">
        <w:rPr>
          <w:rFonts w:ascii="Times New Roman" w:hAnsi="Times New Roman" w:cs="Times New Roman"/>
          <w:sz w:val="24"/>
          <w:szCs w:val="24"/>
        </w:rPr>
        <w:t xml:space="preserve"> years thereafter.</w:t>
      </w:r>
    </w:p>
    <w:p w:rsidR="00243A9F" w:rsidRPr="004744F9" w:rsidRDefault="009D7B17" w:rsidP="00B04261">
      <w:pPr>
        <w:ind w:firstLine="720"/>
        <w:jc w:val="both"/>
      </w:pPr>
      <w:r>
        <w:t>A</w:t>
      </w:r>
      <w:r w:rsidR="00243A9F" w:rsidRPr="00352C77">
        <w:t xml:space="preserve">t the administrative hearing, </w:t>
      </w:r>
      <w:r w:rsidR="00E5199F">
        <w:t>TECO</w:t>
      </w:r>
      <w:r w:rsidR="00243A9F" w:rsidRPr="00352C77">
        <w:t xml:space="preserve"> provided </w:t>
      </w:r>
      <w:r w:rsidR="00E5199F">
        <w:t xml:space="preserve">two points of </w:t>
      </w:r>
      <w:r w:rsidR="00243A9F" w:rsidRPr="00352C77">
        <w:t>clarificat</w:t>
      </w:r>
      <w:r w:rsidR="00CB47B8">
        <w:t>ion regarding the Settlement Agreement</w:t>
      </w:r>
      <w:r w:rsidR="00243A9F" w:rsidRPr="00352C77">
        <w:t xml:space="preserve">. </w:t>
      </w:r>
      <w:r w:rsidR="00E5199F">
        <w:t xml:space="preserve">First, TECO stated that in regards to the </w:t>
      </w:r>
      <w:r w:rsidR="00CB47B8">
        <w:t>Process Improvements,</w:t>
      </w:r>
      <w:r>
        <w:t xml:space="preserve"> </w:t>
      </w:r>
      <w:r w:rsidR="00E5199F">
        <w:t>the parties agree</w:t>
      </w:r>
      <w:r>
        <w:t>d</w:t>
      </w:r>
      <w:r w:rsidR="00E5199F">
        <w:t xml:space="preserve"> that </w:t>
      </w:r>
      <w:r>
        <w:t>TECO’s</w:t>
      </w:r>
      <w:r w:rsidR="00E5199F">
        <w:t xml:space="preserve"> </w:t>
      </w:r>
      <w:r w:rsidR="00B04261">
        <w:t>“primary objective will be power restoration for its customers</w:t>
      </w:r>
      <w:r>
        <w:t>.</w:t>
      </w:r>
      <w:r w:rsidR="00B04261">
        <w:t>”</w:t>
      </w:r>
      <w:r>
        <w:t xml:space="preserve"> </w:t>
      </w:r>
      <w:r w:rsidR="00E5199F">
        <w:t xml:space="preserve">Second, TECO </w:t>
      </w:r>
      <w:r w:rsidR="009F04E3">
        <w:t>also</w:t>
      </w:r>
      <w:r w:rsidR="00E5199F">
        <w:t xml:space="preserve"> </w:t>
      </w:r>
      <w:r w:rsidR="009F04E3">
        <w:t xml:space="preserve">stated that the </w:t>
      </w:r>
      <w:r w:rsidR="00E5199F">
        <w:t xml:space="preserve">parties are in agreement </w:t>
      </w:r>
      <w:r w:rsidR="009F04E3">
        <w:t>as to a clarification of</w:t>
      </w:r>
      <w:r w:rsidR="00E5199F">
        <w:t xml:space="preserve"> the phrase </w:t>
      </w:r>
      <w:r>
        <w:t>“</w:t>
      </w:r>
      <w:r w:rsidR="00E5199F">
        <w:t>superseded by action of the PSC,</w:t>
      </w:r>
      <w:r>
        <w:t>”</w:t>
      </w:r>
      <w:r w:rsidR="00E5199F">
        <w:t xml:space="preserve"> located in paragraph eigh</w:t>
      </w:r>
      <w:r>
        <w:t xml:space="preserve">t of </w:t>
      </w:r>
      <w:r w:rsidR="00E5199F">
        <w:t>the Settlement Agreement</w:t>
      </w:r>
      <w:r w:rsidR="009F04E3">
        <w:t>. The parties agreed that the phrase means</w:t>
      </w:r>
      <w:r w:rsidR="00B04261">
        <w:t xml:space="preserve"> “actions taken by the Commission in any rule-making proceeding or in any evidentiary proceeding to which [TECO] is subject as initiated by [TECO], third parties or the Commission on its own motion, which addresses storm cost recovery and which has the effect of overriding or supplanting any provision of the settlement</w:t>
      </w:r>
      <w:r>
        <w:t>.</w:t>
      </w:r>
      <w:r w:rsidR="00B04261">
        <w:t>”</w:t>
      </w:r>
    </w:p>
    <w:p w:rsidR="00267234" w:rsidRPr="008A224B" w:rsidRDefault="00267234" w:rsidP="007374AB">
      <w:pPr>
        <w:keepNext/>
        <w:keepLines/>
        <w:jc w:val="center"/>
        <w:rPr>
          <w:u w:val="single"/>
        </w:rPr>
      </w:pPr>
      <w:r w:rsidRPr="008A224B">
        <w:rPr>
          <w:u w:val="single"/>
        </w:rPr>
        <w:lastRenderedPageBreak/>
        <w:t>Decision</w:t>
      </w:r>
    </w:p>
    <w:p w:rsidR="00267234" w:rsidRPr="008F0784" w:rsidRDefault="00267234" w:rsidP="007374AB">
      <w:pPr>
        <w:keepNext/>
        <w:keepLines/>
        <w:jc w:val="center"/>
        <w:rPr>
          <w:u w:val="single"/>
        </w:rPr>
      </w:pPr>
    </w:p>
    <w:p w:rsidR="00243A9F" w:rsidRPr="00782725" w:rsidRDefault="00267234" w:rsidP="007374AB">
      <w:pPr>
        <w:keepNext/>
        <w:keepLines/>
        <w:jc w:val="both"/>
        <w:rPr>
          <w:highlight w:val="yellow"/>
        </w:rPr>
      </w:pPr>
      <w:r w:rsidRPr="008F0784">
        <w:tab/>
      </w:r>
      <w:r w:rsidR="00243A9F" w:rsidRPr="00352C77">
        <w:t>The standard for approval of a settlement agreement is whether it is in the public interest.</w:t>
      </w:r>
      <w:r w:rsidR="00243A9F" w:rsidRPr="00352C77">
        <w:rPr>
          <w:rStyle w:val="FootnoteReference"/>
        </w:rPr>
        <w:footnoteReference w:id="3"/>
      </w:r>
      <w:r w:rsidR="00CC3357">
        <w:t xml:space="preserve"> </w:t>
      </w:r>
      <w:r w:rsidR="00243A9F" w:rsidRPr="00352C77">
        <w:t>A determination of public interest requires a case-specific analysis based on consideration of the proposed settlement taken as a whole.</w:t>
      </w:r>
      <w:r w:rsidR="00243A9F" w:rsidRPr="00352C77">
        <w:rPr>
          <w:rStyle w:val="FootnoteReference"/>
        </w:rPr>
        <w:footnoteReference w:id="4"/>
      </w:r>
      <w:r w:rsidR="00243A9F" w:rsidRPr="00352C77">
        <w:t xml:space="preserve"> </w:t>
      </w:r>
      <w:r w:rsidR="00243A9F" w:rsidRPr="00CC3357">
        <w:t xml:space="preserve">By implementing the </w:t>
      </w:r>
      <w:r w:rsidR="000804AD" w:rsidRPr="00CC3357">
        <w:t>reductions and reclassifications above</w:t>
      </w:r>
      <w:r w:rsidR="00243A9F" w:rsidRPr="00CC3357">
        <w:t xml:space="preserve">, the Settlement Agreement provides a fair and balanced resolution of the </w:t>
      </w:r>
      <w:r w:rsidR="00924B22">
        <w:t xml:space="preserve">storm </w:t>
      </w:r>
      <w:r w:rsidR="00243A9F" w:rsidRPr="00CC3357">
        <w:t xml:space="preserve">costs incurred by </w:t>
      </w:r>
      <w:r w:rsidR="000804AD" w:rsidRPr="00CC3357">
        <w:t>TECO</w:t>
      </w:r>
      <w:r w:rsidR="00243A9F" w:rsidRPr="00CC3357">
        <w:t xml:space="preserve">. </w:t>
      </w:r>
      <w:r w:rsidR="00B01588" w:rsidRPr="00CC3357">
        <w:t>Also</w:t>
      </w:r>
      <w:r w:rsidR="00243A9F" w:rsidRPr="00CC3357">
        <w:t xml:space="preserve">, as noted above, the Settlement Agreement and </w:t>
      </w:r>
      <w:r w:rsidR="00B938D9">
        <w:t xml:space="preserve">Amended </w:t>
      </w:r>
      <w:r w:rsidR="00243A9F" w:rsidRPr="00CC3357">
        <w:t xml:space="preserve">Implementation Stipulation authorizes </w:t>
      </w:r>
      <w:r w:rsidR="00B01588" w:rsidRPr="00CC3357">
        <w:t xml:space="preserve">TECO to </w:t>
      </w:r>
      <w:r w:rsidR="00B01588" w:rsidRPr="00B01588">
        <w:t xml:space="preserve">recover the entire estimated amount of storm costs that would have </w:t>
      </w:r>
      <w:r w:rsidR="00B01588">
        <w:t xml:space="preserve">otherwise </w:t>
      </w:r>
      <w:r w:rsidR="00B01588" w:rsidRPr="00B01588">
        <w:t>been recovered from customers over a nine month period in 2018</w:t>
      </w:r>
      <w:r w:rsidR="00715930">
        <w:t xml:space="preserve"> and</w:t>
      </w:r>
      <w:r w:rsidR="00B01588">
        <w:t xml:space="preserve"> instead collect the</w:t>
      </w:r>
      <w:r w:rsidR="00715930">
        <w:t xml:space="preserve"> storm</w:t>
      </w:r>
      <w:r w:rsidR="00B01588">
        <w:t xml:space="preserve"> costs</w:t>
      </w:r>
      <w:r w:rsidR="00B01588" w:rsidRPr="00B01588">
        <w:t xml:space="preserve"> from the Company’s estimated annual tax savings over the same nine month period</w:t>
      </w:r>
      <w:r w:rsidR="00B01588">
        <w:t xml:space="preserve">. Further, based </w:t>
      </w:r>
      <w:r w:rsidR="00B01588" w:rsidRPr="00B01588">
        <w:t xml:space="preserve">on the </w:t>
      </w:r>
      <w:r w:rsidR="009D7B17">
        <w:t>a</w:t>
      </w:r>
      <w:r w:rsidR="00B01588" w:rsidRPr="00B01588">
        <w:t>nnual tax savings amount establi</w:t>
      </w:r>
      <w:r w:rsidR="00912C79">
        <w:t xml:space="preserve">shed in Docket No. 20180045-EI and </w:t>
      </w:r>
      <w:r w:rsidR="00B01588">
        <w:t xml:space="preserve">the </w:t>
      </w:r>
      <w:r w:rsidR="00912C79">
        <w:t xml:space="preserve">storm cost </w:t>
      </w:r>
      <w:r w:rsidR="00B01588">
        <w:t xml:space="preserve">reductions agreed to by the parties, TECO will issue an </w:t>
      </w:r>
      <w:r w:rsidR="00B01588" w:rsidRPr="00B01588">
        <w:t>$11,50</w:t>
      </w:r>
      <w:r w:rsidR="00B01588">
        <w:t>0,000 refund to its customers as a one-time bill credit</w:t>
      </w:r>
      <w:r w:rsidR="00B01588" w:rsidRPr="00B01588">
        <w:t>.</w:t>
      </w:r>
    </w:p>
    <w:p w:rsidR="000804AD" w:rsidRDefault="000804AD" w:rsidP="000804AD">
      <w:pPr>
        <w:jc w:val="both"/>
      </w:pPr>
    </w:p>
    <w:p w:rsidR="000804AD" w:rsidRPr="00352C77" w:rsidRDefault="000804AD" w:rsidP="00FC7728">
      <w:pPr>
        <w:ind w:firstLine="720"/>
        <w:jc w:val="both"/>
      </w:pPr>
      <w:r w:rsidRPr="00352C77">
        <w:t xml:space="preserve">In addition, the </w:t>
      </w:r>
      <w:r w:rsidR="00715930">
        <w:t>Process Improvements</w:t>
      </w:r>
      <w:r w:rsidRPr="00352C77">
        <w:t xml:space="preserve"> represent a good-fa</w:t>
      </w:r>
      <w:r>
        <w:t>ith effort by the parties to recognize and mitigate the kinds of issues that present themselves in the</w:t>
      </w:r>
      <w:r w:rsidR="00FC7728">
        <w:t xml:space="preserve"> storm restoration process. These </w:t>
      </w:r>
      <w:r w:rsidR="00715930">
        <w:t>Process Improvements</w:t>
      </w:r>
      <w:r w:rsidR="00FC7728">
        <w:t xml:space="preserve"> </w:t>
      </w:r>
      <w:r w:rsidR="009D7B17">
        <w:t xml:space="preserve">are designed to </w:t>
      </w:r>
      <w:r w:rsidR="00FC7728">
        <w:t xml:space="preserve">reasonably balance the interests of customers to have </w:t>
      </w:r>
      <w:r w:rsidR="00DF5C53">
        <w:t>service promptly restored with the customers’</w:t>
      </w:r>
      <w:r w:rsidR="00FC7728">
        <w:t xml:space="preserve"> interest to not pay excessive or improper costs to achieve </w:t>
      </w:r>
      <w:r w:rsidR="00DF5C53">
        <w:t xml:space="preserve">such </w:t>
      </w:r>
      <w:r w:rsidR="00FC7728">
        <w:t>prompt storm restoration</w:t>
      </w:r>
      <w:r>
        <w:t xml:space="preserve">. The parties articulated that their goal was to implement the best practices for how to </w:t>
      </w:r>
      <w:r w:rsidR="00FC7728">
        <w:t xml:space="preserve">safely and timely </w:t>
      </w:r>
      <w:r>
        <w:t>restore power, and that the</w:t>
      </w:r>
      <w:r w:rsidRPr="00C71F54">
        <w:t xml:space="preserve"> </w:t>
      </w:r>
      <w:r w:rsidR="00715930">
        <w:t>Process Improvements</w:t>
      </w:r>
      <w:r w:rsidRPr="00C71F54">
        <w:t xml:space="preserve"> will not impede future storm recovery efforts</w:t>
      </w:r>
      <w:r>
        <w:t>.</w:t>
      </w:r>
      <w:r w:rsidR="00FC7728">
        <w:t xml:space="preserve"> Instead, the </w:t>
      </w:r>
      <w:r w:rsidR="00715930">
        <w:t>Process Improvements</w:t>
      </w:r>
      <w:r w:rsidR="00FC7728">
        <w:t xml:space="preserve"> are designed to reduce the number of disputes regarding storm restoration costs in the futur</w:t>
      </w:r>
      <w:r w:rsidR="009D7B17">
        <w:t>e. TECO also clarified that it would not permit</w:t>
      </w:r>
      <w:r w:rsidR="00FC7728">
        <w:t xml:space="preserve"> the </w:t>
      </w:r>
      <w:r w:rsidR="00715930">
        <w:t>Process Improvements</w:t>
      </w:r>
      <w:r w:rsidR="00FC7728">
        <w:t xml:space="preserve"> to impede speedy power restoration.</w:t>
      </w:r>
    </w:p>
    <w:p w:rsidR="000804AD" w:rsidRPr="00352C77" w:rsidRDefault="000804AD" w:rsidP="000804AD">
      <w:pPr>
        <w:jc w:val="both"/>
      </w:pPr>
    </w:p>
    <w:p w:rsidR="00267234" w:rsidRDefault="000804AD" w:rsidP="000804AD">
      <w:pPr>
        <w:ind w:firstLine="720"/>
        <w:jc w:val="both"/>
      </w:pPr>
      <w:r w:rsidRPr="00352C77">
        <w:t xml:space="preserve">Based upon the </w:t>
      </w:r>
      <w:r>
        <w:t>TECO’s</w:t>
      </w:r>
      <w:r w:rsidRPr="00352C77">
        <w:t xml:space="preserve"> application, its subsequent filings, our review </w:t>
      </w:r>
      <w:r w:rsidR="001847F4">
        <w:t xml:space="preserve">of the Settlement Agreement, </w:t>
      </w:r>
      <w:r w:rsidRPr="00352C77">
        <w:t>evidence</w:t>
      </w:r>
      <w:r w:rsidR="00993C4F">
        <w:t xml:space="preserve"> and testimony</w:t>
      </w:r>
      <w:r w:rsidRPr="00352C77">
        <w:t xml:space="preserve"> on the record</w:t>
      </w:r>
      <w:r w:rsidR="001847F4">
        <w:t>, and the clarification</w:t>
      </w:r>
      <w:r w:rsidR="001E5076">
        <w:t xml:space="preserve"> provided by TECO</w:t>
      </w:r>
      <w:r w:rsidR="001847F4">
        <w:t xml:space="preserve"> a</w:t>
      </w:r>
      <w:r w:rsidR="008C32EF">
        <w:t>t the hearing</w:t>
      </w:r>
      <w:r w:rsidRPr="00352C77">
        <w:t>, we find that the Settlement Agreement is in the public interest</w:t>
      </w:r>
      <w:r>
        <w:t xml:space="preserve"> and </w:t>
      </w:r>
      <w:r w:rsidR="001847F4">
        <w:t>is</w:t>
      </w:r>
      <w:r>
        <w:t xml:space="preserve"> approved</w:t>
      </w:r>
      <w:r w:rsidR="001847F4">
        <w:t xml:space="preserve">. </w:t>
      </w:r>
      <w:r>
        <w:t>The Settlement Agreement resolves all of the issues in this docket.</w:t>
      </w:r>
    </w:p>
    <w:p w:rsidR="000804AD" w:rsidRPr="008F0784" w:rsidRDefault="000804AD" w:rsidP="000804AD">
      <w:pPr>
        <w:ind w:firstLine="720"/>
        <w:jc w:val="both"/>
      </w:pPr>
    </w:p>
    <w:p w:rsidR="00267234" w:rsidRPr="008F0784" w:rsidRDefault="00267234" w:rsidP="008A33C8">
      <w:pPr>
        <w:keepNext/>
        <w:jc w:val="both"/>
      </w:pPr>
      <w:r w:rsidRPr="008F0784">
        <w:lastRenderedPageBreak/>
        <w:tab/>
        <w:t>Based on the foregoing, it is</w:t>
      </w:r>
    </w:p>
    <w:p w:rsidR="00267234" w:rsidRDefault="00267234" w:rsidP="008A33C8">
      <w:pPr>
        <w:pStyle w:val="OrderBody"/>
        <w:keepNext/>
      </w:pPr>
    </w:p>
    <w:p w:rsidR="00DE5BDA" w:rsidRDefault="00267234" w:rsidP="008A33C8">
      <w:pPr>
        <w:pStyle w:val="OrderBody"/>
        <w:keepNext/>
      </w:pPr>
      <w:r>
        <w:tab/>
        <w:t xml:space="preserve">ORDERED by the Florida Public Service Commission </w:t>
      </w:r>
      <w:r w:rsidR="00DE5BDA" w:rsidRPr="00352C77">
        <w:t>that</w:t>
      </w:r>
      <w:r w:rsidR="00DE5BDA">
        <w:t xml:space="preserve"> the attached Settlement Agreement is approved</w:t>
      </w:r>
      <w:r w:rsidR="008A33C8">
        <w:t xml:space="preserve"> as Amended</w:t>
      </w:r>
      <w:r w:rsidR="00DE5BDA">
        <w:t>. It is further</w:t>
      </w:r>
    </w:p>
    <w:p w:rsidR="00DE5BDA" w:rsidRDefault="00DE5BDA" w:rsidP="00DE5BDA">
      <w:pPr>
        <w:pStyle w:val="OrderBody"/>
      </w:pPr>
    </w:p>
    <w:p w:rsidR="00DE5BDA" w:rsidRPr="00BC7D9B" w:rsidRDefault="00DE5BDA" w:rsidP="00DE5BDA">
      <w:pPr>
        <w:pStyle w:val="OrderBody"/>
      </w:pPr>
      <w:r>
        <w:tab/>
        <w:t>ORDERED that this docket shall be closed.</w:t>
      </w:r>
    </w:p>
    <w:p w:rsidR="00267234" w:rsidRDefault="00267234" w:rsidP="00267234">
      <w:pPr>
        <w:pStyle w:val="OrderBody"/>
      </w:pPr>
    </w:p>
    <w:p w:rsidR="00267234" w:rsidRDefault="00267234" w:rsidP="00267234">
      <w:pPr>
        <w:pStyle w:val="OrderBody"/>
        <w:keepNext/>
        <w:keepLines/>
      </w:pPr>
      <w:r>
        <w:tab/>
        <w:t xml:space="preserve">By ORDER of the Florida Public Service Commission this </w:t>
      </w:r>
      <w:bookmarkStart w:id="6" w:name="replaceDate"/>
      <w:bookmarkEnd w:id="6"/>
      <w:r w:rsidR="009556AF">
        <w:rPr>
          <w:u w:val="single"/>
        </w:rPr>
        <w:t>14th</w:t>
      </w:r>
      <w:r w:rsidR="009556AF">
        <w:t xml:space="preserve"> day of </w:t>
      </w:r>
      <w:r w:rsidR="009556AF">
        <w:rPr>
          <w:u w:val="single"/>
        </w:rPr>
        <w:t>June</w:t>
      </w:r>
      <w:r w:rsidR="009556AF">
        <w:t xml:space="preserve">, </w:t>
      </w:r>
      <w:r w:rsidR="009556AF">
        <w:rPr>
          <w:u w:val="single"/>
        </w:rPr>
        <w:t>2019</w:t>
      </w:r>
      <w:r w:rsidR="009556AF">
        <w:t>.</w:t>
      </w:r>
    </w:p>
    <w:p w:rsidR="009556AF" w:rsidRPr="009556AF" w:rsidRDefault="009556AF" w:rsidP="00267234">
      <w:pPr>
        <w:pStyle w:val="OrderBody"/>
        <w:keepNext/>
        <w:keepLines/>
      </w:pPr>
    </w:p>
    <w:p w:rsidR="00267234" w:rsidRDefault="00267234" w:rsidP="00267234">
      <w:pPr>
        <w:pStyle w:val="OrderBody"/>
        <w:keepNext/>
        <w:keepLines/>
      </w:pPr>
    </w:p>
    <w:p w:rsidR="00267234" w:rsidRDefault="00267234" w:rsidP="00267234">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267234" w:rsidTr="005C7DE5">
        <w:tc>
          <w:tcPr>
            <w:tcW w:w="720" w:type="dxa"/>
            <w:shd w:val="clear" w:color="auto" w:fill="auto"/>
          </w:tcPr>
          <w:p w:rsidR="00267234" w:rsidRDefault="00267234" w:rsidP="005C7DE5">
            <w:pPr>
              <w:pStyle w:val="OrderBody"/>
              <w:keepNext/>
              <w:keepLines/>
            </w:pPr>
            <w:bookmarkStart w:id="7" w:name="bkmrkSignature" w:colFirst="0" w:colLast="0"/>
          </w:p>
        </w:tc>
        <w:tc>
          <w:tcPr>
            <w:tcW w:w="4320" w:type="dxa"/>
            <w:tcBorders>
              <w:bottom w:val="single" w:sz="4" w:space="0" w:color="auto"/>
            </w:tcBorders>
            <w:shd w:val="clear" w:color="auto" w:fill="auto"/>
          </w:tcPr>
          <w:p w:rsidR="00267234" w:rsidRDefault="009556AF" w:rsidP="005C7DE5">
            <w:pPr>
              <w:pStyle w:val="OrderBody"/>
              <w:keepNext/>
              <w:keepLines/>
            </w:pPr>
            <w:r>
              <w:t>/s/ Adam J. Teitzman</w:t>
            </w:r>
            <w:bookmarkStart w:id="8" w:name="_GoBack"/>
            <w:bookmarkEnd w:id="8"/>
          </w:p>
        </w:tc>
      </w:tr>
      <w:bookmarkEnd w:id="7"/>
      <w:tr w:rsidR="00267234" w:rsidTr="005C7DE5">
        <w:tc>
          <w:tcPr>
            <w:tcW w:w="720" w:type="dxa"/>
            <w:shd w:val="clear" w:color="auto" w:fill="auto"/>
          </w:tcPr>
          <w:p w:rsidR="00267234" w:rsidRDefault="00267234" w:rsidP="005C7DE5">
            <w:pPr>
              <w:pStyle w:val="OrderBody"/>
              <w:keepNext/>
              <w:keepLines/>
            </w:pPr>
          </w:p>
        </w:tc>
        <w:tc>
          <w:tcPr>
            <w:tcW w:w="4320" w:type="dxa"/>
            <w:tcBorders>
              <w:top w:val="single" w:sz="4" w:space="0" w:color="auto"/>
            </w:tcBorders>
            <w:shd w:val="clear" w:color="auto" w:fill="auto"/>
          </w:tcPr>
          <w:p w:rsidR="00267234" w:rsidRDefault="00267234" w:rsidP="005C7DE5">
            <w:pPr>
              <w:pStyle w:val="OrderBody"/>
              <w:keepNext/>
              <w:keepLines/>
            </w:pPr>
            <w:r>
              <w:t>ADAM J. TEITZMAN</w:t>
            </w:r>
          </w:p>
          <w:p w:rsidR="00267234" w:rsidRDefault="00267234" w:rsidP="005C7DE5">
            <w:pPr>
              <w:pStyle w:val="OrderBody"/>
              <w:keepNext/>
              <w:keepLines/>
            </w:pPr>
            <w:r>
              <w:t>Commission Clerk</w:t>
            </w:r>
          </w:p>
        </w:tc>
      </w:tr>
    </w:tbl>
    <w:p w:rsidR="00267234" w:rsidRDefault="00267234" w:rsidP="00267234">
      <w:pPr>
        <w:pStyle w:val="OrderSigInfo"/>
        <w:keepNext/>
        <w:keepLines/>
      </w:pPr>
      <w:r>
        <w:t>Florida Public Service Commission</w:t>
      </w:r>
    </w:p>
    <w:p w:rsidR="00267234" w:rsidRDefault="00267234" w:rsidP="00267234">
      <w:pPr>
        <w:pStyle w:val="OrderSigInfo"/>
        <w:keepNext/>
        <w:keepLines/>
      </w:pPr>
      <w:r>
        <w:t>2540 Shumard Oak Boulevard</w:t>
      </w:r>
    </w:p>
    <w:p w:rsidR="00267234" w:rsidRDefault="00267234" w:rsidP="00267234">
      <w:pPr>
        <w:pStyle w:val="OrderSigInfo"/>
        <w:keepNext/>
        <w:keepLines/>
      </w:pPr>
      <w:r>
        <w:t>Tallahassee, Florida 32399</w:t>
      </w:r>
    </w:p>
    <w:p w:rsidR="00267234" w:rsidRDefault="00267234" w:rsidP="00267234">
      <w:pPr>
        <w:pStyle w:val="OrderSigInfo"/>
        <w:keepNext/>
        <w:keepLines/>
      </w:pPr>
      <w:r>
        <w:t>(850) 413</w:t>
      </w:r>
      <w:r>
        <w:noBreakHyphen/>
        <w:t>6770</w:t>
      </w:r>
    </w:p>
    <w:p w:rsidR="00267234" w:rsidRDefault="00267234" w:rsidP="00267234">
      <w:pPr>
        <w:pStyle w:val="OrderSigInfo"/>
        <w:keepNext/>
        <w:keepLines/>
      </w:pPr>
      <w:r>
        <w:t>www.floridapsc.com</w:t>
      </w:r>
    </w:p>
    <w:p w:rsidR="00267234" w:rsidRDefault="00267234" w:rsidP="00267234">
      <w:pPr>
        <w:pStyle w:val="OrderSigInfo"/>
        <w:keepNext/>
        <w:keepLines/>
      </w:pPr>
    </w:p>
    <w:p w:rsidR="00267234" w:rsidRDefault="00267234" w:rsidP="00267234">
      <w:pPr>
        <w:pStyle w:val="OrderSigInfo"/>
        <w:keepNext/>
        <w:keepLines/>
      </w:pPr>
      <w:r>
        <w:t>Copies furnished:  A copy of this document is provided to the parties of record at the time of issuance and, if applicable, interested persons.</w:t>
      </w:r>
    </w:p>
    <w:p w:rsidR="00267234" w:rsidRDefault="00267234" w:rsidP="00267234">
      <w:pPr>
        <w:pStyle w:val="OrderBody"/>
        <w:keepNext/>
        <w:keepLines/>
      </w:pPr>
    </w:p>
    <w:p w:rsidR="00267234" w:rsidRDefault="00267234" w:rsidP="00267234">
      <w:pPr>
        <w:pStyle w:val="OrderBody"/>
        <w:keepNext/>
        <w:keepLines/>
      </w:pPr>
    </w:p>
    <w:p w:rsidR="00267234" w:rsidRDefault="00267234" w:rsidP="00267234">
      <w:pPr>
        <w:pStyle w:val="OrderBody"/>
        <w:keepNext/>
        <w:keepLines/>
      </w:pPr>
      <w:r>
        <w:t>KMS</w:t>
      </w:r>
    </w:p>
    <w:p w:rsidR="00267234" w:rsidRDefault="00267234" w:rsidP="00267234">
      <w:pPr>
        <w:pStyle w:val="OrderBody"/>
      </w:pPr>
    </w:p>
    <w:p w:rsidR="00267234" w:rsidRDefault="00267234" w:rsidP="00267234">
      <w:pPr>
        <w:pStyle w:val="OrderBody"/>
      </w:pPr>
    </w:p>
    <w:p w:rsidR="00267234" w:rsidRDefault="00267234" w:rsidP="00267234">
      <w:pPr>
        <w:pStyle w:val="OrderBody"/>
      </w:pPr>
    </w:p>
    <w:p w:rsidR="00267234" w:rsidRDefault="00267234" w:rsidP="00267234">
      <w:pPr>
        <w:pStyle w:val="CenterUnderline"/>
      </w:pPr>
      <w:r>
        <w:t>NOTICE OF FURTHER PROCEEDINGS OR JUDICIAL REVIEW</w:t>
      </w:r>
    </w:p>
    <w:p w:rsidR="00267234" w:rsidRDefault="00267234" w:rsidP="00267234">
      <w:pPr>
        <w:pStyle w:val="CenterUnderline"/>
        <w:rPr>
          <w:u w:val="none"/>
        </w:rPr>
      </w:pPr>
    </w:p>
    <w:p w:rsidR="00267234" w:rsidRDefault="00267234" w:rsidP="00267234">
      <w:pPr>
        <w:pStyle w:val="OrderBody"/>
      </w:pPr>
    </w:p>
    <w:p w:rsidR="00267234" w:rsidRDefault="00267234" w:rsidP="0026723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w:t>
      </w:r>
      <w:r w:rsidR="00CC3357">
        <w:t xml:space="preserve">res and time limits that apply. </w:t>
      </w:r>
      <w:r>
        <w:t>This notice should not be construed to mean all requests for an administrative hearing or judicial review will be granted or result in the relief sought.</w:t>
      </w:r>
    </w:p>
    <w:p w:rsidR="00267234" w:rsidRDefault="00267234" w:rsidP="00267234">
      <w:pPr>
        <w:pStyle w:val="OrderBody"/>
      </w:pPr>
    </w:p>
    <w:p w:rsidR="00701C84" w:rsidRDefault="00267234" w:rsidP="00267234">
      <w:pPr>
        <w:pStyle w:val="OrderBody"/>
      </w:pPr>
      <w:r>
        <w:tab/>
        <w:t xml:space="preserve">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w:t>
      </w:r>
      <w:r>
        <w:lastRenderedPageBreak/>
        <w:t>copy of the notice of appeal and the filing fee with the appropriate court.  This filing must be completed within thirty (30) days after the issuance of this order, pursuant to Rule 9.110, Florida Rules of Appellate Procedure. The notice of appeal must be in the form specified</w:t>
      </w:r>
      <w:r w:rsidR="001B1053">
        <w:t xml:space="preserve"> </w:t>
      </w:r>
      <w:r>
        <w:t>in Rule 9.900(a), Florida Rules of Appellate Procedure.</w:t>
      </w:r>
    </w:p>
    <w:p w:rsidR="001B1053" w:rsidRDefault="001B1053" w:rsidP="00267234">
      <w:pPr>
        <w:pStyle w:val="OrderBody"/>
        <w:sectPr w:rsidR="001B1053">
          <w:headerReference w:type="default" r:id="rId9"/>
          <w:footerReference w:type="first" r:id="rId10"/>
          <w:pgSz w:w="12240" w:h="15840" w:code="1"/>
          <w:pgMar w:top="1440" w:right="1440" w:bottom="1440" w:left="1440" w:header="720" w:footer="720" w:gutter="0"/>
          <w:cols w:space="720"/>
          <w:titlePg/>
          <w:docGrid w:linePitch="360"/>
        </w:sectPr>
      </w:pPr>
    </w:p>
    <w:p w:rsidR="00267234" w:rsidRDefault="00701C84" w:rsidP="00267234">
      <w:pPr>
        <w:pStyle w:val="OrderBody"/>
      </w:pPr>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0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67234" w:rsidRPr="00A27D84" w:rsidRDefault="00267234" w:rsidP="00267234">
      <w:pPr>
        <w:pStyle w:val="OrderBody"/>
      </w:pPr>
    </w:p>
    <w:p w:rsidR="00D57E57" w:rsidRDefault="00701C84" w:rsidP="00D57E57">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08.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09.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1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1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1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1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1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1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1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1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1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19.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2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2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2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2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2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25.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settlement agreement_Page_26.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B1053" w:rsidRDefault="001B1053" w:rsidP="00D57E57"/>
    <w:p w:rsidR="001B1053" w:rsidRDefault="001B1053" w:rsidP="00D57E57">
      <w:r>
        <w:rPr>
          <w:noProof/>
        </w:rPr>
        <w:lastRenderedPageBreak/>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amendment_Page_5.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amendment_Page_6.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amendment_Page_7.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amendment_Page_8.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 storm amendment_Page_9.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B1053" w:rsidSect="00701C84">
      <w:headerReference w:type="default" r:id="rId3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BB2" w:rsidRDefault="006F6BB2">
      <w:r>
        <w:separator/>
      </w:r>
    </w:p>
  </w:endnote>
  <w:endnote w:type="continuationSeparator" w:id="0">
    <w:p w:rsidR="006F6BB2" w:rsidRDefault="006F6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BB2" w:rsidRDefault="006F6BB2">
      <w:r>
        <w:separator/>
      </w:r>
    </w:p>
  </w:footnote>
  <w:footnote w:type="continuationSeparator" w:id="0">
    <w:p w:rsidR="006F6BB2" w:rsidRDefault="006F6BB2">
      <w:r>
        <w:continuationSeparator/>
      </w:r>
    </w:p>
  </w:footnote>
  <w:footnote w:id="1">
    <w:p w:rsidR="000B4944" w:rsidRPr="00CE336F" w:rsidRDefault="000B4944" w:rsidP="000B4944">
      <w:pPr>
        <w:pStyle w:val="FootnoteText"/>
      </w:pPr>
      <w:r>
        <w:rPr>
          <w:rStyle w:val="FootnoteReference"/>
        </w:rPr>
        <w:footnoteRef/>
      </w:r>
      <w:r>
        <w:t xml:space="preserve"> Order No. PSC-2017-0456-S-EI, issued on November 27, 2017, in Docket No. 20170210-EI, </w:t>
      </w:r>
      <w:r>
        <w:rPr>
          <w:u w:val="single"/>
        </w:rPr>
        <w:t>In re: Petition for limited proceeding to approve 2017 amended and restated stipulation and settlement agreement by Tampa Electric Company</w:t>
      </w:r>
      <w:r>
        <w:t>.</w:t>
      </w:r>
    </w:p>
  </w:footnote>
  <w:footnote w:id="2">
    <w:p w:rsidR="001E5076" w:rsidRDefault="001E5076">
      <w:pPr>
        <w:pStyle w:val="FootnoteText"/>
      </w:pPr>
      <w:r>
        <w:rPr>
          <w:rStyle w:val="FootnoteReference"/>
        </w:rPr>
        <w:footnoteRef/>
      </w:r>
      <w:r>
        <w:t xml:space="preserve"> These </w:t>
      </w:r>
      <w:r w:rsidR="00DA0461">
        <w:t>tropical systems</w:t>
      </w:r>
      <w:r>
        <w:t xml:space="preserve"> would include </w:t>
      </w:r>
      <w:r w:rsidRPr="001E5076">
        <w:t>Tropical Storms Erika and Colin, and Hurricanes Hermine, Matthew and Irma</w:t>
      </w:r>
      <w:r>
        <w:t>.</w:t>
      </w:r>
    </w:p>
  </w:footnote>
  <w:footnote w:id="3">
    <w:p w:rsidR="00243A9F" w:rsidRDefault="00243A9F" w:rsidP="00243A9F">
      <w:pPr>
        <w:pStyle w:val="FootnoteText"/>
      </w:pPr>
      <w:r>
        <w:rPr>
          <w:rStyle w:val="FootnoteReference"/>
        </w:rPr>
        <w:footnoteRef/>
      </w:r>
      <w:r>
        <w:t xml:space="preserve"> Order No</w:t>
      </w:r>
      <w:r w:rsidR="00CC3357">
        <w:t xml:space="preserve">. </w:t>
      </w:r>
      <w:r>
        <w:t xml:space="preserve">PSC-13-0023-S-EI, issued on January 14, 2013, in Docket No. 120015-EI, </w:t>
      </w:r>
      <w:r>
        <w:rPr>
          <w:u w:val="single"/>
        </w:rPr>
        <w:t>In re: Petition for increase in rates by Florida Power &amp; Light Company</w:t>
      </w:r>
      <w:r>
        <w:t xml:space="preserve">; Order No. PSC-11-0089-S-EI, issued February 1, 2011, in Docket Nos. 080677 and 090130,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PSC-10-0398-S-EI, issued June 18, 2010, in Docket Nos. 090079-EI, 090144-EI, 090145-EI,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4">
    <w:p w:rsidR="00243A9F" w:rsidRDefault="00243A9F" w:rsidP="00243A9F">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34 ">
      <w:r w:rsidR="009556AF">
        <w:t>PSC-2019-0234-AS-EI</w:t>
      </w:r>
    </w:fldSimple>
    <w:r w:rsidR="00701C84">
      <w:tab/>
    </w:r>
    <w:r w:rsidR="00701C84">
      <w:tab/>
    </w:r>
  </w:p>
  <w:p w:rsidR="00FA6EFD" w:rsidRDefault="006F6BB2">
    <w:pPr>
      <w:pStyle w:val="OrderHeader"/>
    </w:pPr>
    <w:bookmarkStart w:id="9" w:name="HeaderDocketNo"/>
    <w:bookmarkEnd w:id="9"/>
    <w:r>
      <w:t>DOCKET NO. 20170271-EI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6AF">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C84" w:rsidRDefault="00701C84">
    <w:pPr>
      <w:pStyle w:val="OrderHeader"/>
    </w:pPr>
    <w:r>
      <w:t xml:space="preserve">ORDER NO. </w:t>
    </w:r>
    <w:r w:rsidR="009556AF">
      <w:t>PSC-2019-0234-AS-EI</w:t>
    </w:r>
    <w:r>
      <w:tab/>
    </w:r>
    <w:r>
      <w:tab/>
      <w:t>Attachment A</w:t>
    </w:r>
    <w:r>
      <w:tab/>
    </w:r>
  </w:p>
  <w:p w:rsidR="00701C84" w:rsidRDefault="00701C84">
    <w:pPr>
      <w:pStyle w:val="OrderHeader"/>
    </w:pPr>
    <w:r>
      <w:t>DOCKET NO. 20170271-EI</w:t>
    </w:r>
  </w:p>
  <w:p w:rsidR="00701C84" w:rsidRDefault="00701C8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6AF">
      <w:rPr>
        <w:rStyle w:val="PageNumber"/>
        <w:noProof/>
      </w:rPr>
      <w:t>32</w:t>
    </w:r>
    <w:r>
      <w:rPr>
        <w:rStyle w:val="PageNumber"/>
      </w:rPr>
      <w:fldChar w:fldCharType="end"/>
    </w:r>
  </w:p>
  <w:p w:rsidR="00701C84" w:rsidRDefault="00701C84">
    <w:pPr>
      <w:pStyle w:val="Order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5E7051"/>
    <w:multiLevelType w:val="hybridMultilevel"/>
    <w:tmpl w:val="29E2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71-EI"/>
  </w:docVars>
  <w:rsids>
    <w:rsidRoot w:val="006F6BB2"/>
    <w:rsid w:val="000022B8"/>
    <w:rsid w:val="0003433F"/>
    <w:rsid w:val="00035A8C"/>
    <w:rsid w:val="00053AB9"/>
    <w:rsid w:val="00056229"/>
    <w:rsid w:val="00057AF1"/>
    <w:rsid w:val="00065FC2"/>
    <w:rsid w:val="00067685"/>
    <w:rsid w:val="00076E6B"/>
    <w:rsid w:val="000804AD"/>
    <w:rsid w:val="0008247D"/>
    <w:rsid w:val="00090AFC"/>
    <w:rsid w:val="000B4944"/>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31AC1"/>
    <w:rsid w:val="001367FB"/>
    <w:rsid w:val="00142A96"/>
    <w:rsid w:val="001513DE"/>
    <w:rsid w:val="00154A71"/>
    <w:rsid w:val="001831F0"/>
    <w:rsid w:val="001847F4"/>
    <w:rsid w:val="00187E32"/>
    <w:rsid w:val="00194E81"/>
    <w:rsid w:val="001A15E7"/>
    <w:rsid w:val="001A1616"/>
    <w:rsid w:val="001A33C9"/>
    <w:rsid w:val="001A58F3"/>
    <w:rsid w:val="001B1053"/>
    <w:rsid w:val="001C2847"/>
    <w:rsid w:val="001C3F8C"/>
    <w:rsid w:val="001C4DDF"/>
    <w:rsid w:val="001C6097"/>
    <w:rsid w:val="001D008A"/>
    <w:rsid w:val="001E0152"/>
    <w:rsid w:val="001E0FF5"/>
    <w:rsid w:val="001E5076"/>
    <w:rsid w:val="002002ED"/>
    <w:rsid w:val="002170E5"/>
    <w:rsid w:val="00220D57"/>
    <w:rsid w:val="0022721A"/>
    <w:rsid w:val="00230BB9"/>
    <w:rsid w:val="00241CEF"/>
    <w:rsid w:val="00243A9F"/>
    <w:rsid w:val="0025124E"/>
    <w:rsid w:val="00252B30"/>
    <w:rsid w:val="002613E4"/>
    <w:rsid w:val="0026544B"/>
    <w:rsid w:val="00267234"/>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081B"/>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0F26"/>
    <w:rsid w:val="005B45F7"/>
    <w:rsid w:val="005B59FA"/>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66CE4"/>
    <w:rsid w:val="00672612"/>
    <w:rsid w:val="00677F18"/>
    <w:rsid w:val="00693483"/>
    <w:rsid w:val="006A0BF3"/>
    <w:rsid w:val="006A29E8"/>
    <w:rsid w:val="006B0DA6"/>
    <w:rsid w:val="006C547E"/>
    <w:rsid w:val="006D2B51"/>
    <w:rsid w:val="006D5575"/>
    <w:rsid w:val="006E42BE"/>
    <w:rsid w:val="006F6BB2"/>
    <w:rsid w:val="00701C84"/>
    <w:rsid w:val="00704C5D"/>
    <w:rsid w:val="007072BC"/>
    <w:rsid w:val="00715275"/>
    <w:rsid w:val="00715930"/>
    <w:rsid w:val="00721B44"/>
    <w:rsid w:val="007232A2"/>
    <w:rsid w:val="00726366"/>
    <w:rsid w:val="00733B6B"/>
    <w:rsid w:val="007374AB"/>
    <w:rsid w:val="00740808"/>
    <w:rsid w:val="007467C4"/>
    <w:rsid w:val="0076170F"/>
    <w:rsid w:val="0076669C"/>
    <w:rsid w:val="00766E46"/>
    <w:rsid w:val="00767F9F"/>
    <w:rsid w:val="00777727"/>
    <w:rsid w:val="00782725"/>
    <w:rsid w:val="00782B79"/>
    <w:rsid w:val="007865E9"/>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39F3"/>
    <w:rsid w:val="008449F0"/>
    <w:rsid w:val="00845138"/>
    <w:rsid w:val="00847B45"/>
    <w:rsid w:val="00863A66"/>
    <w:rsid w:val="008703D7"/>
    <w:rsid w:val="00874429"/>
    <w:rsid w:val="00883D9A"/>
    <w:rsid w:val="008919EF"/>
    <w:rsid w:val="00892B20"/>
    <w:rsid w:val="008A0314"/>
    <w:rsid w:val="008A12EC"/>
    <w:rsid w:val="008A33C8"/>
    <w:rsid w:val="008B19A6"/>
    <w:rsid w:val="008C21C8"/>
    <w:rsid w:val="008C32EF"/>
    <w:rsid w:val="008C6375"/>
    <w:rsid w:val="008C6A5B"/>
    <w:rsid w:val="008E26A5"/>
    <w:rsid w:val="008E42D2"/>
    <w:rsid w:val="008E6328"/>
    <w:rsid w:val="009040EE"/>
    <w:rsid w:val="009057FD"/>
    <w:rsid w:val="00906FBA"/>
    <w:rsid w:val="00912C79"/>
    <w:rsid w:val="009163E8"/>
    <w:rsid w:val="009228C7"/>
    <w:rsid w:val="00922A7F"/>
    <w:rsid w:val="00923A5E"/>
    <w:rsid w:val="00924B22"/>
    <w:rsid w:val="00924FE7"/>
    <w:rsid w:val="00926E27"/>
    <w:rsid w:val="00931C8C"/>
    <w:rsid w:val="0094504B"/>
    <w:rsid w:val="009556AF"/>
    <w:rsid w:val="00964A38"/>
    <w:rsid w:val="00966A9D"/>
    <w:rsid w:val="0096742B"/>
    <w:rsid w:val="009718C5"/>
    <w:rsid w:val="009924CF"/>
    <w:rsid w:val="00993C4F"/>
    <w:rsid w:val="00994100"/>
    <w:rsid w:val="009A6B17"/>
    <w:rsid w:val="009D4C29"/>
    <w:rsid w:val="009D7B17"/>
    <w:rsid w:val="009F04E3"/>
    <w:rsid w:val="009F6AD2"/>
    <w:rsid w:val="00A00D8D"/>
    <w:rsid w:val="00A01BB6"/>
    <w:rsid w:val="00A3297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AE7607"/>
    <w:rsid w:val="00B01588"/>
    <w:rsid w:val="00B02001"/>
    <w:rsid w:val="00B03C50"/>
    <w:rsid w:val="00B04261"/>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38D9"/>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16E66"/>
    <w:rsid w:val="00C24098"/>
    <w:rsid w:val="00C30A4E"/>
    <w:rsid w:val="00C333CD"/>
    <w:rsid w:val="00C411F3"/>
    <w:rsid w:val="00C42C72"/>
    <w:rsid w:val="00C44105"/>
    <w:rsid w:val="00C55A33"/>
    <w:rsid w:val="00C66692"/>
    <w:rsid w:val="00C673B5"/>
    <w:rsid w:val="00C7063D"/>
    <w:rsid w:val="00C830BC"/>
    <w:rsid w:val="00C83D6B"/>
    <w:rsid w:val="00C8524D"/>
    <w:rsid w:val="00C91123"/>
    <w:rsid w:val="00CA71FF"/>
    <w:rsid w:val="00CB47B8"/>
    <w:rsid w:val="00CB5276"/>
    <w:rsid w:val="00CB5BFC"/>
    <w:rsid w:val="00CB68D7"/>
    <w:rsid w:val="00CC3357"/>
    <w:rsid w:val="00CC7E68"/>
    <w:rsid w:val="00CD7132"/>
    <w:rsid w:val="00CE0E6F"/>
    <w:rsid w:val="00CE3B21"/>
    <w:rsid w:val="00CE56FC"/>
    <w:rsid w:val="00CF4CFE"/>
    <w:rsid w:val="00D00342"/>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0461"/>
    <w:rsid w:val="00DA4EDD"/>
    <w:rsid w:val="00DA6B78"/>
    <w:rsid w:val="00DC1D94"/>
    <w:rsid w:val="00DC42CF"/>
    <w:rsid w:val="00DE057F"/>
    <w:rsid w:val="00DE2082"/>
    <w:rsid w:val="00DE2289"/>
    <w:rsid w:val="00DE5BDA"/>
    <w:rsid w:val="00DF09A7"/>
    <w:rsid w:val="00DF5C53"/>
    <w:rsid w:val="00E001D6"/>
    <w:rsid w:val="00E03A76"/>
    <w:rsid w:val="00E04410"/>
    <w:rsid w:val="00E07484"/>
    <w:rsid w:val="00E11351"/>
    <w:rsid w:val="00E4225C"/>
    <w:rsid w:val="00E4436A"/>
    <w:rsid w:val="00E44879"/>
    <w:rsid w:val="00E5199F"/>
    <w:rsid w:val="00E72914"/>
    <w:rsid w:val="00E75AE0"/>
    <w:rsid w:val="00E83C1F"/>
    <w:rsid w:val="00E97656"/>
    <w:rsid w:val="00EA172C"/>
    <w:rsid w:val="00EA259B"/>
    <w:rsid w:val="00EA35A3"/>
    <w:rsid w:val="00EA3E6A"/>
    <w:rsid w:val="00EA5FA7"/>
    <w:rsid w:val="00EB18EF"/>
    <w:rsid w:val="00EB7951"/>
    <w:rsid w:val="00ED6A79"/>
    <w:rsid w:val="00EE17DF"/>
    <w:rsid w:val="00EF4621"/>
    <w:rsid w:val="00EF4D52"/>
    <w:rsid w:val="00EF6312"/>
    <w:rsid w:val="00EF672E"/>
    <w:rsid w:val="00F038B0"/>
    <w:rsid w:val="00F22B27"/>
    <w:rsid w:val="00F234A7"/>
    <w:rsid w:val="00F277B6"/>
    <w:rsid w:val="00F27DA5"/>
    <w:rsid w:val="00F37E07"/>
    <w:rsid w:val="00F4182A"/>
    <w:rsid w:val="00F54380"/>
    <w:rsid w:val="00F54B47"/>
    <w:rsid w:val="00F61247"/>
    <w:rsid w:val="00F6702E"/>
    <w:rsid w:val="00F70E84"/>
    <w:rsid w:val="00FA092B"/>
    <w:rsid w:val="00FA3AD7"/>
    <w:rsid w:val="00FA4F6C"/>
    <w:rsid w:val="00FA6EFD"/>
    <w:rsid w:val="00FB5BCC"/>
    <w:rsid w:val="00FB74EA"/>
    <w:rsid w:val="00FC7728"/>
    <w:rsid w:val="00FD2C9E"/>
    <w:rsid w:val="00FD4786"/>
    <w:rsid w:val="00FD616C"/>
    <w:rsid w:val="00FE10D5"/>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267234"/>
  </w:style>
  <w:style w:type="paragraph" w:styleId="ListParagraph">
    <w:name w:val="List Paragraph"/>
    <w:basedOn w:val="Normal"/>
    <w:uiPriority w:val="34"/>
    <w:qFormat/>
    <w:rsid w:val="00267234"/>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CC3357"/>
    <w:rPr>
      <w:rFonts w:ascii="Tahoma" w:hAnsi="Tahoma" w:cs="Tahoma"/>
      <w:sz w:val="16"/>
      <w:szCs w:val="16"/>
    </w:rPr>
  </w:style>
  <w:style w:type="character" w:customStyle="1" w:styleId="BalloonTextChar">
    <w:name w:val="Balloon Text Char"/>
    <w:basedOn w:val="DefaultParagraphFont"/>
    <w:link w:val="BalloonText"/>
    <w:rsid w:val="00CC33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267234"/>
  </w:style>
  <w:style w:type="paragraph" w:styleId="ListParagraph">
    <w:name w:val="List Paragraph"/>
    <w:basedOn w:val="Normal"/>
    <w:uiPriority w:val="34"/>
    <w:qFormat/>
    <w:rsid w:val="00267234"/>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CC3357"/>
    <w:rPr>
      <w:rFonts w:ascii="Tahoma" w:hAnsi="Tahoma" w:cs="Tahoma"/>
      <w:sz w:val="16"/>
      <w:szCs w:val="16"/>
    </w:rPr>
  </w:style>
  <w:style w:type="character" w:customStyle="1" w:styleId="BalloonTextChar">
    <w:name w:val="Balloon Text Char"/>
    <w:basedOn w:val="DefaultParagraphFont"/>
    <w:link w:val="BalloonText"/>
    <w:rsid w:val="00CC33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27E31-6B1A-45BA-B958-E34D3A54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32</Pages>
  <Words>2144</Words>
  <Characters>12104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2019-06-14T12:42:00Z</dcterms:created>
  <dcterms:modified xsi:type="dcterms:W3CDTF">2019-06-14T12:58:00Z</dcterms:modified>
</cp:coreProperties>
</file>