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31CFD">
            <w:pPr>
              <w:pStyle w:val="MemoHeading"/>
            </w:pPr>
            <w:bookmarkStart w:id="0" w:name="FilingDate"/>
            <w:r>
              <w:t>June 26</w:t>
            </w:r>
            <w:r w:rsidR="00400A9F">
              <w:t>, 2019</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00A9F" w:rsidRDefault="00400A9F">
            <w:pPr>
              <w:pStyle w:val="MemoHeading"/>
            </w:pPr>
            <w:bookmarkStart w:id="1" w:name="From"/>
            <w:r>
              <w:t xml:space="preserve">Division of Accounting and Finance (Snyder, </w:t>
            </w:r>
            <w:r w:rsidR="00207038">
              <w:t xml:space="preserve">M. </w:t>
            </w:r>
            <w:r>
              <w:t>Andrews, Mouring</w:t>
            </w:r>
            <w:r w:rsidR="00207038">
              <w:t>, L. Smith</w:t>
            </w:r>
            <w:r w:rsidR="009339B9">
              <w:t>, D. Buys</w:t>
            </w:r>
            <w:r>
              <w:t>)</w:t>
            </w:r>
          </w:p>
          <w:p w:rsidR="00400A9F" w:rsidRDefault="00400A9F">
            <w:pPr>
              <w:pStyle w:val="MemoHeading"/>
            </w:pPr>
            <w:r>
              <w:t>Division of Economics (Doherty, Draper)</w:t>
            </w:r>
          </w:p>
          <w:p w:rsidR="00400A9F" w:rsidRDefault="00400A9F">
            <w:pPr>
              <w:pStyle w:val="MemoHeading"/>
            </w:pPr>
            <w:r>
              <w:t>Division of Engineering (Graves, King, Knoblauch, Lewis)</w:t>
            </w:r>
          </w:p>
          <w:p w:rsidR="007C0528" w:rsidRDefault="00400A9F">
            <w:pPr>
              <w:pStyle w:val="MemoHeading"/>
            </w:pPr>
            <w:r>
              <w:t xml:space="preserve">Office of the General Counsel </w:t>
            </w:r>
            <w:r w:rsidR="000F5336">
              <w:t xml:space="preserve">(Trierweiler, J. </w:t>
            </w:r>
            <w:r>
              <w:t>Crawford, Schrader)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00A9F">
            <w:pPr>
              <w:pStyle w:val="MemoHeadingRe"/>
            </w:pPr>
            <w:bookmarkStart w:id="2" w:name="Re"/>
            <w:r>
              <w:t>Docket No. 20190109-GU – Petition for recovery of costs associated with Hurricane Michael and replenishment of storm reserve, by Peoples Gas System.</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D4B0B" w:rsidP="00B31CFD">
            <w:pPr>
              <w:pStyle w:val="MemoHeading"/>
            </w:pPr>
            <w:bookmarkStart w:id="3" w:name="AgendaDate"/>
            <w:r>
              <w:t>0</w:t>
            </w:r>
            <w:r w:rsidR="00B31CFD">
              <w:t>7</w:t>
            </w:r>
            <w:r>
              <w:t>/</w:t>
            </w:r>
            <w:r w:rsidR="00B31CFD">
              <w:t>09</w:t>
            </w:r>
            <w:r w:rsidR="00400A9F">
              <w:t>/19</w:t>
            </w:r>
            <w:bookmarkEnd w:id="3"/>
            <w:r w:rsidR="007C0528">
              <w:t xml:space="preserve"> – </w:t>
            </w:r>
            <w:bookmarkStart w:id="4" w:name="PermittedStatus"/>
            <w:r w:rsidR="00400A9F">
              <w:t>Regular Agenda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00A9F">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00A9F">
            <w:pPr>
              <w:pStyle w:val="MemoHeading"/>
            </w:pPr>
            <w:bookmarkStart w:id="6" w:name="PrehearingOfficer"/>
            <w:r>
              <w:t>Clark</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7E70AC">
            <w:pPr>
              <w:pStyle w:val="MemoHeading"/>
            </w:pPr>
            <w:r>
              <w:t>None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00A9F">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400A9F">
      <w:pPr>
        <w:pStyle w:val="BodyText"/>
      </w:pPr>
      <w:r>
        <w:t>On April</w:t>
      </w:r>
      <w:r w:rsidR="00207038">
        <w:t xml:space="preserve"> 25, 2019, Peoples Gas System (</w:t>
      </w:r>
      <w:r>
        <w:t>Peoples</w:t>
      </w:r>
      <w:r w:rsidR="00293B6F">
        <w:t xml:space="preserve"> or </w:t>
      </w:r>
      <w:r w:rsidR="001D4B0B">
        <w:t>Company</w:t>
      </w:r>
      <w:r>
        <w:t>) filed a petition for recover</w:t>
      </w:r>
      <w:r w:rsidR="00C47BC2">
        <w:t>y</w:t>
      </w:r>
      <w:r>
        <w:t xml:space="preserve"> of </w:t>
      </w:r>
      <w:r w:rsidR="006A6A23">
        <w:t xml:space="preserve">approximately </w:t>
      </w:r>
      <w:r w:rsidR="008E3796" w:rsidRPr="008E3796">
        <w:t>$3</w:t>
      </w:r>
      <w:r w:rsidR="006A6A23">
        <w:t>.4</w:t>
      </w:r>
      <w:r>
        <w:t xml:space="preserve"> million for the incremental restoration costs related to Hurricane Michael</w:t>
      </w:r>
      <w:r w:rsidR="00C47BC2">
        <w:t xml:space="preserve"> and to replenish the Company’s storm reserve</w:t>
      </w:r>
      <w:r>
        <w:t>. In its petition, Peoples asserted that, as a result of Hurricane Michael, it incurred total</w:t>
      </w:r>
      <w:r w:rsidR="006A6A23">
        <w:t xml:space="preserve"> retail recoverable cost of approximately $3.3 million</w:t>
      </w:r>
      <w:r w:rsidR="00B811FE">
        <w:t>,</w:t>
      </w:r>
      <w:r w:rsidR="008E3796">
        <w:t xml:space="preserve"> which </w:t>
      </w:r>
      <w:r w:rsidR="00710824">
        <w:t xml:space="preserve">exceeds and fully depletes </w:t>
      </w:r>
      <w:r w:rsidR="008E3796">
        <w:t xml:space="preserve">the pre-storm balance </w:t>
      </w:r>
      <w:r w:rsidR="006A6A23">
        <w:t>of</w:t>
      </w:r>
      <w:r w:rsidR="00B811FE">
        <w:t xml:space="preserve"> $79,125 in</w:t>
      </w:r>
      <w:r w:rsidR="002B1D4A">
        <w:t xml:space="preserve"> People</w:t>
      </w:r>
      <w:r w:rsidR="008E3796">
        <w:t>s</w:t>
      </w:r>
      <w:r w:rsidR="002B1D4A">
        <w:t>’</w:t>
      </w:r>
      <w:r w:rsidR="001D4B0B">
        <w:t xml:space="preserve"> storm</w:t>
      </w:r>
      <w:r w:rsidR="008E3796">
        <w:t xml:space="preserve"> reserve</w:t>
      </w:r>
      <w:r>
        <w:t>.</w:t>
      </w:r>
      <w:r w:rsidR="001D4B0B">
        <w:t xml:space="preserve"> </w:t>
      </w:r>
      <w:r>
        <w:t xml:space="preserve">Interest and the regulatory assessment fee gross-up </w:t>
      </w:r>
      <w:r w:rsidR="006A6A23">
        <w:t>add</w:t>
      </w:r>
      <w:r>
        <w:t xml:space="preserve"> an additional </w:t>
      </w:r>
      <w:r w:rsidR="008E3796">
        <w:t>$70,650.</w:t>
      </w:r>
      <w:r w:rsidR="00F264C0">
        <w:t xml:space="preserve"> Peoples is</w:t>
      </w:r>
      <w:r w:rsidR="001D4B0B">
        <w:t xml:space="preserve"> also</w:t>
      </w:r>
      <w:r w:rsidR="00F264C0">
        <w:t xml:space="preserve"> requesting recovery </w:t>
      </w:r>
      <w:r w:rsidR="00710824">
        <w:t>of</w:t>
      </w:r>
      <w:r w:rsidR="00F264C0">
        <w:t xml:space="preserve"> $27,255 related to</w:t>
      </w:r>
      <w:r w:rsidR="00710824">
        <w:t xml:space="preserve"> the</w:t>
      </w:r>
      <w:r w:rsidR="00F264C0">
        <w:t xml:space="preserve"> write-off of accounts </w:t>
      </w:r>
      <w:r w:rsidR="006A6A23">
        <w:t>receivable</w:t>
      </w:r>
      <w:r w:rsidR="00F264C0">
        <w:t xml:space="preserve"> for service provided prior to Hurricane Michael.</w:t>
      </w:r>
      <w:r w:rsidR="008E3796">
        <w:t xml:space="preserve"> </w:t>
      </w:r>
    </w:p>
    <w:p w:rsidR="00166E0B" w:rsidRDefault="008E3796">
      <w:pPr>
        <w:pStyle w:val="BodyText"/>
      </w:pPr>
      <w:r>
        <w:lastRenderedPageBreak/>
        <w:t>Peoples has proposed a $0.76 surcharge</w:t>
      </w:r>
      <w:r w:rsidR="00F264C0">
        <w:t xml:space="preserve"> per month on the typical residential customer bill for storm recovery and restoration. The charge would be applied to all bills starting the first billing cy</w:t>
      </w:r>
      <w:r w:rsidR="00710824">
        <w:t>cle of August 2019 and concluding</w:t>
      </w:r>
      <w:r w:rsidR="00F264C0">
        <w:t xml:space="preserve"> at the end of the billing cycle when storm cost</w:t>
      </w:r>
      <w:r w:rsidR="001775A2">
        <w:t>s</w:t>
      </w:r>
      <w:r w:rsidR="00F264C0">
        <w:t xml:space="preserve"> have been recovered and the reserve is replenis</w:t>
      </w:r>
      <w:r w:rsidR="006A6A23">
        <w:t>h</w:t>
      </w:r>
      <w:r w:rsidR="001775A2">
        <w:t>ed</w:t>
      </w:r>
      <w:r w:rsidR="006A6A23">
        <w:t xml:space="preserve"> to the September 30, 2018</w:t>
      </w:r>
      <w:r w:rsidR="002B1D4A">
        <w:t xml:space="preserve"> pre-</w:t>
      </w:r>
      <w:r w:rsidR="008A0E89">
        <w:t>s</w:t>
      </w:r>
      <w:r w:rsidR="001775A2">
        <w:t>torm balance</w:t>
      </w:r>
      <w:r w:rsidR="006A6A23">
        <w:t xml:space="preserve"> of $79,125. </w:t>
      </w:r>
      <w:r w:rsidR="001B3AEC">
        <w:t>Peoples</w:t>
      </w:r>
      <w:r w:rsidR="00B4439F">
        <w:t xml:space="preserve"> </w:t>
      </w:r>
      <w:r w:rsidR="00F264C0">
        <w:t>is requesting that any over-recovery variance between the surcharge dollars and the incremental storm costs be applied to Peoples</w:t>
      </w:r>
      <w:r w:rsidR="00293B6F">
        <w:t>’</w:t>
      </w:r>
      <w:r w:rsidR="00F264C0">
        <w:t xml:space="preserve"> storm reserve.</w:t>
      </w:r>
    </w:p>
    <w:p w:rsidR="008E3796" w:rsidRDefault="00166E0B" w:rsidP="00166E0B">
      <w:pPr>
        <w:pStyle w:val="BodyText"/>
      </w:pPr>
      <w:r>
        <w:t>On May 24</w:t>
      </w:r>
      <w:r w:rsidR="00710824">
        <w:t>, 2019, Peoples requested that its request</w:t>
      </w:r>
      <w:r>
        <w:t xml:space="preserve"> be plac</w:t>
      </w:r>
      <w:r w:rsidR="000351AE">
        <w:t xml:space="preserve">ed on the July </w:t>
      </w:r>
      <w:r w:rsidR="00710824">
        <w:t>Commission C</w:t>
      </w:r>
      <w:r w:rsidR="000351AE">
        <w:t>onference.</w:t>
      </w:r>
      <w:r w:rsidR="000351AE">
        <w:rPr>
          <w:rStyle w:val="FootnoteReference"/>
        </w:rPr>
        <w:footnoteReference w:id="1"/>
      </w:r>
      <w:r w:rsidR="000A0AEB">
        <w:rPr>
          <w:sz w:val="20"/>
        </w:rPr>
        <w:t xml:space="preserve"> </w:t>
      </w:r>
      <w:r>
        <w:t xml:space="preserve">Peoples discussed this matter with counsel for OPC and </w:t>
      </w:r>
      <w:r w:rsidR="00710824">
        <w:t xml:space="preserve">all </w:t>
      </w:r>
      <w:r>
        <w:t>agree wi</w:t>
      </w:r>
      <w:r w:rsidR="000351AE">
        <w:t>th the July date. Peoples waived the 60-</w:t>
      </w:r>
      <w:r>
        <w:t xml:space="preserve">day decision requirement under </w:t>
      </w:r>
      <w:r w:rsidR="00710824">
        <w:t xml:space="preserve">Section </w:t>
      </w:r>
      <w:r>
        <w:t>366.06(3)</w:t>
      </w:r>
      <w:r w:rsidR="00710824">
        <w:t>, Florida Statutes (F.S.)</w:t>
      </w:r>
      <w:r>
        <w:t>.</w:t>
      </w:r>
      <w:r w:rsidR="008E3796">
        <w:t xml:space="preserve"> </w:t>
      </w:r>
    </w:p>
    <w:p w:rsidR="00166E0B" w:rsidRPr="00166E0B" w:rsidRDefault="005E45B4">
      <w:pPr>
        <w:pStyle w:val="BodyText"/>
      </w:pPr>
      <w:r w:rsidRPr="005E45B4">
        <w:t xml:space="preserve">The Office of Public Counsel intervened in this docket on </w:t>
      </w:r>
      <w:r w:rsidR="00FE60E4">
        <w:t>May 2, 2019</w:t>
      </w:r>
      <w:r w:rsidRPr="005E45B4">
        <w:t>.</w:t>
      </w:r>
    </w:p>
    <w:p w:rsidR="00207038" w:rsidRDefault="005E45B4" w:rsidP="00207038">
      <w:pPr>
        <w:pStyle w:val="BodyText"/>
      </w:pPr>
      <w:r w:rsidRPr="005E45B4">
        <w:t>The Commission has jurisdiction over this matter pursuant to Sections 366.04, 366.05, 366.06, and 366.076,</w:t>
      </w:r>
      <w:r w:rsidR="000A0AEB">
        <w:t xml:space="preserve"> F.S</w:t>
      </w:r>
      <w:r w:rsidRPr="005E45B4">
        <w:t>.</w:t>
      </w:r>
      <w:bookmarkEnd w:id="10"/>
    </w:p>
    <w:p w:rsidR="00207038" w:rsidRDefault="00207038" w:rsidP="00207038">
      <w:pPr>
        <w:pStyle w:val="BodyText"/>
      </w:pPr>
    </w:p>
    <w:p w:rsidR="00207038" w:rsidRDefault="00207038" w:rsidP="00207038">
      <w:pPr>
        <w:pStyle w:val="BodyText"/>
      </w:pPr>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0351AE">
        <w:tab/>
      </w:r>
      <w:r w:rsidR="000351AE">
        <w:tab/>
      </w:r>
      <w:r w:rsidR="000351AE">
        <w:tab/>
      </w:r>
      <w:r w:rsidR="000351AE">
        <w:tab/>
      </w:r>
      <w:r w:rsidR="000351AE">
        <w:tab/>
      </w:r>
      <w:r w:rsidR="000351AE">
        <w:tab/>
      </w:r>
      <w:r w:rsidR="000351AE">
        <w:tab/>
      </w:r>
      <w:r w:rsidR="000351AE">
        <w:tab/>
      </w:r>
      <w:r w:rsidR="000351AE">
        <w:tab/>
      </w:r>
      <w:r w:rsidR="000351AE">
        <w:tab/>
      </w:r>
      <w:r w:rsidR="000351AE">
        <w:tab/>
      </w:r>
      <w:r w:rsidR="000351AE">
        <w:tab/>
      </w:r>
      <w:r w:rsidR="000351AE">
        <w:tab/>
      </w:r>
    </w:p>
    <w:p w:rsidR="00207038" w:rsidRPr="00207038" w:rsidRDefault="00207038" w:rsidP="00207038">
      <w:pPr>
        <w:pStyle w:val="BodyText"/>
        <w:rPr>
          <w:sz w:val="20"/>
          <w:szCs w:val="20"/>
        </w:rPr>
        <w:sectPr w:rsidR="00207038" w:rsidRPr="00207038">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5E45B4" w:rsidRDefault="005E45B4" w:rsidP="005E45B4">
      <w:pPr>
        <w:pStyle w:val="BodyText"/>
      </w:pPr>
      <w:r w:rsidRPr="005E45B4">
        <w:rPr>
          <w:rFonts w:ascii="Arial" w:hAnsi="Arial" w:cs="Arial"/>
          <w:b/>
          <w:i/>
        </w:rPr>
        <w:t>Issue 1</w:t>
      </w:r>
      <w:r>
        <w:t>:  Should the Commission authorize Peoples</w:t>
      </w:r>
      <w:r w:rsidR="001D4B0B">
        <w:t xml:space="preserve"> Gas System</w:t>
      </w:r>
      <w:r>
        <w:t xml:space="preserve"> to implement an interim storm restoration recovery charge?</w:t>
      </w:r>
    </w:p>
    <w:p w:rsidR="006F6EC2" w:rsidRDefault="005E45B4" w:rsidP="005E45B4">
      <w:pPr>
        <w:pStyle w:val="BodyText"/>
      </w:pPr>
      <w:r w:rsidRPr="005E45B4">
        <w:rPr>
          <w:rFonts w:ascii="Arial" w:hAnsi="Arial" w:cs="Arial"/>
          <w:b/>
          <w:i/>
        </w:rPr>
        <w:t>Recommendation:</w:t>
      </w:r>
      <w:r>
        <w:t xml:space="preserve">  Yes, the Commission should authorize Peoples</w:t>
      </w:r>
      <w:r w:rsidR="001D4B0B">
        <w:t xml:space="preserve"> Gas System</w:t>
      </w:r>
      <w:r>
        <w:t xml:space="preserve"> to implement an interim storm restoration recovery charge.</w:t>
      </w:r>
      <w:r w:rsidR="00FC49B5" w:rsidRPr="00FC49B5">
        <w:t xml:space="preserve"> After the actual costs are reviewed for prudence and reasonableness, and are compared to the actual amount recovered through the interim storm restoration recovery charge, a determination will be made whether any over/under recovery has occurred. The disposition of any over/under recovery, and associated interest, will be considered by the Commission at a later date. </w:t>
      </w:r>
      <w:r>
        <w:t xml:space="preserve"> </w:t>
      </w:r>
      <w:r w:rsidR="00A827FA">
        <w:t>(Snyder, Mouring</w:t>
      </w:r>
      <w:r w:rsidR="006F6EC2">
        <w:t>)</w:t>
      </w:r>
      <w:r>
        <w:t xml:space="preserve"> </w:t>
      </w:r>
    </w:p>
    <w:p w:rsidR="00FB33D3" w:rsidRPr="006F6EC2" w:rsidRDefault="005E45B4" w:rsidP="005E45B4">
      <w:pPr>
        <w:pStyle w:val="BodyText"/>
      </w:pPr>
      <w:r w:rsidRPr="005E45B4">
        <w:rPr>
          <w:rFonts w:ascii="Arial" w:hAnsi="Arial" w:cs="Arial"/>
          <w:b/>
          <w:i/>
        </w:rPr>
        <w:t xml:space="preserve">Staff Analysis: </w:t>
      </w:r>
      <w:r w:rsidRPr="005E45B4">
        <w:rPr>
          <w:b/>
        </w:rPr>
        <w:t xml:space="preserve"> </w:t>
      </w:r>
      <w:r w:rsidRPr="00FB33D3">
        <w:t>As</w:t>
      </w:r>
      <w:r w:rsidR="001D4B0B">
        <w:t xml:space="preserve"> stated in the Case B</w:t>
      </w:r>
      <w:r w:rsidR="00783E30" w:rsidRPr="00FB33D3">
        <w:t>ackground,</w:t>
      </w:r>
      <w:r w:rsidR="00783E30">
        <w:rPr>
          <w:i/>
        </w:rPr>
        <w:t xml:space="preserve"> </w:t>
      </w:r>
      <w:r w:rsidR="00710824">
        <w:t>Peoples filed a petition to recover</w:t>
      </w:r>
      <w:r w:rsidR="002A615A">
        <w:t xml:space="preserve"> costs associated with Hurricane Michael</w:t>
      </w:r>
      <w:r w:rsidR="00783E30">
        <w:t xml:space="preserve"> </w:t>
      </w:r>
      <w:r w:rsidR="00710824">
        <w:t>and to replenish its</w:t>
      </w:r>
      <w:r w:rsidR="002A615A">
        <w:t xml:space="preserve"> storm reserve</w:t>
      </w:r>
      <w:r w:rsidR="00783E30">
        <w:t>. In its petition, Peoples asserted that, as a result of Hurricane Michael, it incurred tota</w:t>
      </w:r>
      <w:r w:rsidR="00207038">
        <w:t>l retail recoverable cost of $3.4 million</w:t>
      </w:r>
      <w:r w:rsidR="00B811FE">
        <w:t>,</w:t>
      </w:r>
      <w:r w:rsidR="002B1D4A">
        <w:t xml:space="preserve"> which </w:t>
      </w:r>
      <w:r w:rsidR="00783E30">
        <w:t>fully deplete</w:t>
      </w:r>
      <w:r w:rsidR="002B1D4A">
        <w:t>s</w:t>
      </w:r>
      <w:r w:rsidR="00783E30">
        <w:t xml:space="preserve"> the pre-storm balance </w:t>
      </w:r>
      <w:r w:rsidR="00710351">
        <w:t>of</w:t>
      </w:r>
      <w:r w:rsidR="001D4B0B">
        <w:t xml:space="preserve"> $79,125 in the Company’s storm reserve</w:t>
      </w:r>
      <w:r w:rsidR="00783E30">
        <w:t>.</w:t>
      </w:r>
      <w:r w:rsidR="00184820">
        <w:t xml:space="preserve"> Peoples</w:t>
      </w:r>
      <w:r w:rsidRPr="00184820">
        <w:t xml:space="preserve"> further asserts that this amount was calculated in accordance with the Incremental C</w:t>
      </w:r>
      <w:r w:rsidR="00207038">
        <w:t xml:space="preserve">ost and Capitalization Approach </w:t>
      </w:r>
      <w:r w:rsidRPr="00184820">
        <w:t>methodology prescribed in Rule 25-6.0143, Florida Administrative Code (F.A.C.).</w:t>
      </w:r>
      <w:r w:rsidR="00710824">
        <w:t xml:space="preserve"> Peoples has requested </w:t>
      </w:r>
      <w:r w:rsidR="002B1D4A">
        <w:t>implement</w:t>
      </w:r>
      <w:r w:rsidR="00710824">
        <w:t>ing</w:t>
      </w:r>
      <w:r w:rsidR="002B1D4A">
        <w:t xml:space="preserve"> </w:t>
      </w:r>
      <w:r w:rsidR="00EB441F">
        <w:t xml:space="preserve">a surcharge </w:t>
      </w:r>
      <w:r w:rsidR="001775A2">
        <w:t>starting with the first billing cycle in August 2019 and concluding wh</w:t>
      </w:r>
      <w:r w:rsidR="00207038">
        <w:t xml:space="preserve">en </w:t>
      </w:r>
      <w:r w:rsidR="002B1D4A">
        <w:t xml:space="preserve">the </w:t>
      </w:r>
      <w:r w:rsidR="001D4B0B">
        <w:t xml:space="preserve">storm </w:t>
      </w:r>
      <w:r w:rsidR="002B1D4A">
        <w:t>reserve has been</w:t>
      </w:r>
      <w:r w:rsidR="00207038">
        <w:t xml:space="preserve"> restored to the pre-</w:t>
      </w:r>
      <w:r w:rsidR="001775A2">
        <w:t>storm balance of $79</w:t>
      </w:r>
      <w:r w:rsidR="00207038">
        <w:t>,</w:t>
      </w:r>
      <w:r w:rsidR="001775A2">
        <w:t>125. People</w:t>
      </w:r>
      <w:r w:rsidR="002B1D4A">
        <w:t>s</w:t>
      </w:r>
      <w:r w:rsidR="001775A2">
        <w:t xml:space="preserve"> anticipate</w:t>
      </w:r>
      <w:r w:rsidR="002B1D4A">
        <w:t>s</w:t>
      </w:r>
      <w:r w:rsidR="001775A2">
        <w:t xml:space="preserve"> this to occur in December 2019</w:t>
      </w:r>
      <w:r w:rsidR="00EB441F">
        <w:t>.</w:t>
      </w:r>
      <w:r w:rsidR="00FB33D3">
        <w:rPr>
          <w:i/>
        </w:rPr>
        <w:t xml:space="preserve"> </w:t>
      </w:r>
    </w:p>
    <w:p w:rsidR="005E45B4" w:rsidRDefault="005E45B4" w:rsidP="005E45B4">
      <w:pPr>
        <w:pStyle w:val="BodyText"/>
      </w:pPr>
      <w:r>
        <w:t>The approval of an interim stor</w:t>
      </w:r>
      <w:r w:rsidR="00B811FE">
        <w:t xml:space="preserve">m restoration recovery charge </w:t>
      </w:r>
      <w:r w:rsidR="00301E27">
        <w:t>should be</w:t>
      </w:r>
      <w:r w:rsidR="00B811FE">
        <w:t xml:space="preserve"> preliminary in nature and </w:t>
      </w:r>
      <w:r>
        <w:t xml:space="preserve">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t>
      </w:r>
      <w:r w:rsidR="00B811FE">
        <w:t xml:space="preserve">should be made whether any over or </w:t>
      </w:r>
      <w:r>
        <w:t>under recovery has occurr</w:t>
      </w:r>
      <w:r w:rsidR="007E70AC">
        <w:t xml:space="preserve">ed. The disposition of any over or </w:t>
      </w:r>
      <w:r>
        <w:t xml:space="preserve">under recovery, and associated interest, </w:t>
      </w:r>
      <w:r w:rsidR="00B811FE">
        <w:t>would</w:t>
      </w:r>
      <w:r>
        <w:t xml:space="preserve"> be considered by the Commission at a later date. </w:t>
      </w:r>
    </w:p>
    <w:p w:rsidR="005E45B4" w:rsidRDefault="005E45B4" w:rsidP="005E45B4">
      <w:pPr>
        <w:pStyle w:val="BodyText"/>
      </w:pPr>
      <w:r>
        <w:t>Based on a review of the information provided by Peoples in its petition, staff recommends that the Commission authorize Peoples to implement an interim storm restoration rec</w:t>
      </w:r>
      <w:r w:rsidR="00FC49B5">
        <w:t>overy charg</w:t>
      </w:r>
      <w:r w:rsidR="007E70AC">
        <w:t>e</w:t>
      </w:r>
      <w:r w:rsidR="00FC49B5">
        <w:t xml:space="preserve"> subject to refund.</w:t>
      </w:r>
      <w:r w:rsidR="000B775B">
        <w:t xml:space="preserve"> </w:t>
      </w:r>
      <w:r>
        <w:t>Staff emphas</w:t>
      </w:r>
      <w:r w:rsidR="00710824">
        <w:t xml:space="preserve">izes that this recommendation </w:t>
      </w:r>
      <w:r>
        <w:t>only</w:t>
      </w:r>
      <w:r w:rsidR="00710824">
        <w:t xml:space="preserve"> allows Peoples to begin recovery on an</w:t>
      </w:r>
      <w:r>
        <w:t xml:space="preserve"> interim </w:t>
      </w:r>
      <w:r w:rsidR="00710824">
        <w:t>basis</w:t>
      </w:r>
      <w:r w:rsidR="00B811FE">
        <w:t xml:space="preserve">. This interim recovery </w:t>
      </w:r>
      <w:r w:rsidR="00301E27">
        <w:t>should be</w:t>
      </w:r>
      <w:r w:rsidR="007E70AC">
        <w:t xml:space="preserve"> </w:t>
      </w:r>
      <w:r w:rsidR="00B811FE">
        <w:t>subject to refund pend</w:t>
      </w:r>
      <w:r>
        <w:t xml:space="preserve">ing a hearing or formal proceeding where the veracity and prudence of Peoples’ actual restoration costs can be fully vetted. </w:t>
      </w:r>
    </w:p>
    <w:p w:rsidR="001B3AEC" w:rsidRDefault="001B3AEC" w:rsidP="00486A22">
      <w:pPr>
        <w:sectPr w:rsidR="001B3AE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B3AEC" w:rsidRPr="001B3AEC" w:rsidRDefault="001B3AEC" w:rsidP="002B1D4A">
      <w:pPr>
        <w:pStyle w:val="BodyText"/>
        <w:rPr>
          <w:rFonts w:eastAsiaTheme="minorHAnsi"/>
        </w:rPr>
      </w:pPr>
      <w:r w:rsidRPr="001B3AEC">
        <w:rPr>
          <w:rFonts w:ascii="Arial" w:eastAsiaTheme="minorHAnsi" w:hAnsi="Arial" w:cs="Arial"/>
          <w:b/>
          <w:i/>
        </w:rPr>
        <w:lastRenderedPageBreak/>
        <w:t>Issue 2:</w:t>
      </w:r>
      <w:r w:rsidRPr="001B3AEC">
        <w:rPr>
          <w:rFonts w:eastAsiaTheme="minorHAnsi"/>
        </w:rPr>
        <w:t xml:space="preserve"> Should</w:t>
      </w:r>
      <w:r w:rsidR="00710824">
        <w:rPr>
          <w:rFonts w:eastAsiaTheme="minorHAnsi"/>
        </w:rPr>
        <w:t xml:space="preserve"> the Commission approve Peoples</w:t>
      </w:r>
      <w:r w:rsidR="000A0AEB">
        <w:rPr>
          <w:rFonts w:eastAsiaTheme="minorHAnsi"/>
        </w:rPr>
        <w:t xml:space="preserve"> Gas System’s</w:t>
      </w:r>
      <w:r w:rsidRPr="001B3AEC">
        <w:rPr>
          <w:rFonts w:eastAsiaTheme="minorHAnsi"/>
        </w:rPr>
        <w:t xml:space="preserve"> proposed tariffs and associated charges?</w:t>
      </w:r>
    </w:p>
    <w:p w:rsidR="001B3AEC" w:rsidRPr="001B3AEC" w:rsidRDefault="001B3AEC" w:rsidP="002B1D4A">
      <w:pPr>
        <w:pStyle w:val="BodyText"/>
        <w:rPr>
          <w:rFonts w:eastAsiaTheme="minorHAnsi"/>
        </w:rPr>
      </w:pPr>
      <w:r w:rsidRPr="001B3AEC">
        <w:rPr>
          <w:rFonts w:ascii="Arial" w:eastAsiaTheme="minorHAnsi" w:hAnsi="Arial" w:cs="Arial"/>
          <w:b/>
          <w:i/>
        </w:rPr>
        <w:t>Recommendation:</w:t>
      </w:r>
      <w:r w:rsidRPr="001B3AEC">
        <w:rPr>
          <w:rFonts w:eastAsiaTheme="minorHAnsi"/>
        </w:rPr>
        <w:t xml:space="preserve"> Yes. The Co</w:t>
      </w:r>
      <w:r w:rsidR="001D4B0B">
        <w:rPr>
          <w:rFonts w:eastAsiaTheme="minorHAnsi"/>
        </w:rPr>
        <w:t>mmission should approve Peoples Gas System’s</w:t>
      </w:r>
      <w:r w:rsidRPr="001B3AEC">
        <w:rPr>
          <w:rFonts w:eastAsiaTheme="minorHAnsi"/>
        </w:rPr>
        <w:t xml:space="preserve"> tariffs as proposed in the petition to go into effect with the first billing cycle in August 2019. (Doherty)</w:t>
      </w:r>
    </w:p>
    <w:p w:rsidR="001B3AEC" w:rsidRPr="001B3AEC" w:rsidRDefault="001B3AEC" w:rsidP="002B1D4A">
      <w:pPr>
        <w:pStyle w:val="BodyText"/>
        <w:rPr>
          <w:rFonts w:eastAsiaTheme="minorHAnsi"/>
        </w:rPr>
      </w:pPr>
      <w:r w:rsidRPr="001B3AEC">
        <w:rPr>
          <w:rFonts w:ascii="Arial" w:eastAsiaTheme="minorHAnsi" w:hAnsi="Arial" w:cs="Arial"/>
          <w:b/>
          <w:i/>
        </w:rPr>
        <w:t>Staff Analysis</w:t>
      </w:r>
      <w:r w:rsidRPr="001B3AEC">
        <w:rPr>
          <w:rFonts w:ascii="Arial" w:eastAsiaTheme="minorHAnsi" w:hAnsi="Arial" w:cs="Arial"/>
          <w:i/>
        </w:rPr>
        <w:t>:</w:t>
      </w:r>
      <w:r w:rsidR="000A0AEB">
        <w:rPr>
          <w:rFonts w:eastAsiaTheme="minorHAnsi"/>
        </w:rPr>
        <w:t xml:space="preserve"> Peoples</w:t>
      </w:r>
      <w:r w:rsidRPr="001B3AEC">
        <w:rPr>
          <w:rFonts w:eastAsiaTheme="minorHAnsi"/>
        </w:rPr>
        <w:t xml:space="preserve"> is seeking approval of interim storm cost recovery charge factors as shown in proposed original tariff sheet no. 7.101-10 (Attachment A to this recommendation). Exhibit C to the petition shows the calculation of the storm cost recovery charge factors for all rate classes. Exhibit D to the petition includes revisions to all tariffs reflecting the addition of the interim storm recovery charges as shown on tariff sheet no. 7.101-1</w:t>
      </w:r>
      <w:r w:rsidR="00293B6F">
        <w:rPr>
          <w:rFonts w:eastAsiaTheme="minorHAnsi"/>
        </w:rPr>
        <w:t>0. A residential customer, with an average monthly usage of</w:t>
      </w:r>
      <w:r w:rsidRPr="001B3AEC">
        <w:rPr>
          <w:rFonts w:eastAsiaTheme="minorHAnsi"/>
        </w:rPr>
        <w:t xml:space="preserve"> 12.8 therms per month, will see a $0.76 increase on the monthly bill beginning with the first billing cycle in August 2019. </w:t>
      </w:r>
    </w:p>
    <w:p w:rsidR="001B3AEC" w:rsidRPr="001B3AEC" w:rsidRDefault="001B3AEC" w:rsidP="002B1D4A">
      <w:pPr>
        <w:pStyle w:val="BodyText"/>
        <w:rPr>
          <w:rFonts w:eastAsiaTheme="minorHAnsi"/>
        </w:rPr>
      </w:pPr>
      <w:r w:rsidRPr="001B3AEC">
        <w:rPr>
          <w:rFonts w:eastAsiaTheme="minorHAnsi"/>
        </w:rPr>
        <w:t>Peoples indicated that the customers w</w:t>
      </w:r>
      <w:r w:rsidR="001D4B0B">
        <w:rPr>
          <w:rFonts w:eastAsiaTheme="minorHAnsi"/>
        </w:rPr>
        <w:t>ill be notified of the interim storm cost recovery c</w:t>
      </w:r>
      <w:r w:rsidRPr="001B3AEC">
        <w:rPr>
          <w:rFonts w:eastAsiaTheme="minorHAnsi"/>
        </w:rPr>
        <w:t xml:space="preserve">harge factors via bill inserts on the first billing cycle in July 2019. </w:t>
      </w:r>
    </w:p>
    <w:p w:rsidR="001B3AEC" w:rsidRPr="001B3AEC" w:rsidRDefault="001B3AEC" w:rsidP="002B1D4A">
      <w:pPr>
        <w:pStyle w:val="BodyText"/>
        <w:rPr>
          <w:rFonts w:eastAsiaTheme="minorHAnsi"/>
        </w:rPr>
      </w:pPr>
      <w:r w:rsidRPr="001B3AEC">
        <w:rPr>
          <w:rFonts w:eastAsiaTheme="minorHAnsi"/>
        </w:rPr>
        <w:t>Staff</w:t>
      </w:r>
      <w:r w:rsidR="00B811FE">
        <w:rPr>
          <w:rFonts w:eastAsiaTheme="minorHAnsi"/>
        </w:rPr>
        <w:t xml:space="preserve"> recommends that the Commission </w:t>
      </w:r>
      <w:r w:rsidRPr="001B3AEC">
        <w:rPr>
          <w:rFonts w:eastAsiaTheme="minorHAnsi"/>
        </w:rPr>
        <w:t>approve Peoples</w:t>
      </w:r>
      <w:r w:rsidR="00293B6F">
        <w:rPr>
          <w:rFonts w:eastAsiaTheme="minorHAnsi"/>
        </w:rPr>
        <w:t>’</w:t>
      </w:r>
      <w:r w:rsidRPr="001B3AEC">
        <w:rPr>
          <w:rFonts w:eastAsiaTheme="minorHAnsi"/>
        </w:rPr>
        <w:t xml:space="preserve"> proposed tariffs to go into effect with the first billing cycle in August 2019. </w:t>
      </w:r>
    </w:p>
    <w:p w:rsidR="009339B9" w:rsidRDefault="009339B9" w:rsidP="00207038">
      <w:pPr>
        <w:jc w:val="both"/>
        <w:sectPr w:rsidR="009339B9" w:rsidSect="0068481F">
          <w:headerReference w:type="default" r:id="rId15"/>
          <w:pgSz w:w="12240" w:h="15840" w:code="1"/>
          <w:pgMar w:top="1584" w:right="1440" w:bottom="1440" w:left="1440" w:header="720" w:footer="720" w:gutter="0"/>
          <w:cols w:space="720"/>
          <w:formProt w:val="0"/>
          <w:docGrid w:linePitch="360"/>
        </w:sectPr>
      </w:pPr>
    </w:p>
    <w:p w:rsidR="009339B9" w:rsidRDefault="009339B9" w:rsidP="009339B9">
      <w:pPr>
        <w:pStyle w:val="IssueHeading"/>
        <w:rPr>
          <w:vanish/>
          <w:specVanish/>
        </w:rPr>
      </w:pPr>
      <w:r w:rsidRPr="004C3641">
        <w:lastRenderedPageBreak/>
        <w:t xml:space="preserve">Issue </w:t>
      </w:r>
      <w:r w:rsidR="00A827FA">
        <w:t>3</w:t>
      </w:r>
      <w:r w:rsidRPr="004C3641">
        <w:t>:</w:t>
      </w:r>
      <w:r>
        <w:fldChar w:fldCharType="begin"/>
      </w:r>
      <w:r>
        <w:instrText xml:space="preserve"> TC "</w:instrText>
      </w:r>
      <w:r>
        <w:fldChar w:fldCharType="begin"/>
      </w:r>
      <w:r>
        <w:instrText xml:space="preserve"> SEQ issue \c </w:instrText>
      </w:r>
      <w:r>
        <w:fldChar w:fldCharType="separate"/>
      </w:r>
      <w:r w:rsidR="00CD559D">
        <w:rPr>
          <w:noProof/>
        </w:rPr>
        <w:instrText>0</w:instrText>
      </w:r>
      <w:r>
        <w:fldChar w:fldCharType="end"/>
      </w:r>
      <w:r>
        <w:tab/>
        <w:instrText xml:space="preserve">" \l 1 </w:instrText>
      </w:r>
      <w:r>
        <w:fldChar w:fldCharType="end"/>
      </w:r>
      <w:r>
        <w:t> </w:t>
      </w:r>
    </w:p>
    <w:p w:rsidR="009339B9" w:rsidRDefault="009339B9" w:rsidP="009339B9">
      <w:pPr>
        <w:pStyle w:val="BodyText"/>
      </w:pPr>
      <w:r>
        <w:t xml:space="preserve"> What is the appropriate security to guarantee the amount collected subject to refund through the interim storm restoration recovery charge? </w:t>
      </w:r>
    </w:p>
    <w:p w:rsidR="009339B9" w:rsidRPr="004C3641" w:rsidRDefault="009339B9" w:rsidP="009339B9">
      <w:pPr>
        <w:pStyle w:val="IssueSubsectionHeading"/>
        <w:rPr>
          <w:vanish/>
          <w:specVanish/>
        </w:rPr>
      </w:pPr>
      <w:r w:rsidRPr="004C3641">
        <w:t>Recommendation: </w:t>
      </w:r>
    </w:p>
    <w:p w:rsidR="009339B9" w:rsidRDefault="009339B9" w:rsidP="009339B9">
      <w:pPr>
        <w:pStyle w:val="BodyText"/>
      </w:pPr>
      <w:r>
        <w:t> The appropriate security to guarantee the funds collected subject to refund is a corporate undertaking. (L. Smith, D. Buys)</w:t>
      </w:r>
    </w:p>
    <w:p w:rsidR="009339B9" w:rsidRPr="004C3641" w:rsidRDefault="009339B9" w:rsidP="009339B9">
      <w:pPr>
        <w:pStyle w:val="IssueSubsectionHeading"/>
        <w:rPr>
          <w:vanish/>
          <w:specVanish/>
        </w:rPr>
      </w:pPr>
      <w:r w:rsidRPr="004C3641">
        <w:t>Staff Analysis: </w:t>
      </w:r>
    </w:p>
    <w:p w:rsidR="009339B9" w:rsidRDefault="009339B9" w:rsidP="009339B9">
      <w:pPr>
        <w:pStyle w:val="BodyText"/>
      </w:pPr>
      <w:r>
        <w:t> Staff recommends that all funds collected subject to refund be secured by a corporate undertaking. The criteria for a corporate undertaking include sufficient liquidity, ownership equity, profitability, and interest coverage to guarantee any potential refund. Staff reviewed Peoples’ financial statements to determine if the Company can support a corporate undertaking to guarantee the funds collected for recovery of incremental storm restoration costs related to Hurricane Michael. Peoples’ 2016, 2017, and 2018 financial statements were used to determine the financia</w:t>
      </w:r>
      <w:r w:rsidR="006C06C3">
        <w:t>l condition of the Company. Peoples’</w:t>
      </w:r>
      <w:r>
        <w:t xml:space="preserve"> financial performance demonstrates adequate levels of ownership equity, profitability, and interest coverage</w:t>
      </w:r>
      <w:r w:rsidR="00FA70B7">
        <w:t>,</w:t>
      </w:r>
      <w:r>
        <w:t xml:space="preserve"> but deficient liquidity due to negative working capital. However, Peoples’ average net income is 12 times the requested amount. </w:t>
      </w:r>
    </w:p>
    <w:p w:rsidR="009339B9" w:rsidRDefault="009339B9" w:rsidP="009339B9">
      <w:pPr>
        <w:pStyle w:val="BodyText"/>
      </w:pPr>
      <w:r>
        <w:t>Staff believes Peoples has adequate resources to support a corporate undertaking in the amount requested. Based on this analysis, staff recommends that a corporate undertaking of $3.4 million is acceptable. This brief financial analysis is only appropriate for deciding if the Company can support a corporate undertaking in the amount proposed and should not be considered a finding regarding staff's position on other issues in this proceeding.</w:t>
      </w:r>
    </w:p>
    <w:p w:rsidR="001B3AEC" w:rsidRDefault="001B3AEC" w:rsidP="009339B9">
      <w:pPr>
        <w:jc w:val="both"/>
        <w:sectPr w:rsidR="001B3AEC" w:rsidSect="0068481F">
          <w:headerReference w:type="default" r:id="rId16"/>
          <w:pgSz w:w="12240" w:h="15840" w:code="1"/>
          <w:pgMar w:top="1584" w:right="1440" w:bottom="1440" w:left="1440" w:header="720" w:footer="720" w:gutter="0"/>
          <w:cols w:space="720"/>
          <w:formProt w:val="0"/>
          <w:docGrid w:linePitch="360"/>
        </w:sectPr>
      </w:pPr>
    </w:p>
    <w:p w:rsidR="001B3AEC" w:rsidRPr="001B3AEC" w:rsidRDefault="009339B9" w:rsidP="001B3AEC">
      <w:pPr>
        <w:spacing w:after="240"/>
        <w:jc w:val="both"/>
        <w:outlineLvl w:val="0"/>
        <w:rPr>
          <w:rFonts w:ascii="Arial" w:hAnsi="Arial" w:cs="Arial"/>
          <w:b/>
          <w:bCs/>
          <w:i/>
          <w:kern w:val="32"/>
          <w:szCs w:val="32"/>
        </w:rPr>
      </w:pPr>
      <w:r>
        <w:rPr>
          <w:rFonts w:ascii="Arial" w:hAnsi="Arial" w:cs="Arial"/>
          <w:b/>
          <w:bCs/>
          <w:i/>
          <w:kern w:val="32"/>
          <w:szCs w:val="32"/>
        </w:rPr>
        <w:lastRenderedPageBreak/>
        <w:t>Issue 4</w:t>
      </w:r>
      <w:r w:rsidR="001B3AEC" w:rsidRPr="001B3AEC">
        <w:rPr>
          <w:rFonts w:ascii="Arial" w:hAnsi="Arial" w:cs="Arial"/>
          <w:b/>
          <w:bCs/>
          <w:i/>
          <w:kern w:val="32"/>
          <w:szCs w:val="32"/>
        </w:rPr>
        <w:t>: </w:t>
      </w:r>
      <w:r w:rsidR="001B3AEC" w:rsidRPr="001B3AEC">
        <w:t>Should this docket be closed?</w:t>
      </w:r>
    </w:p>
    <w:p w:rsidR="001B3AEC" w:rsidRPr="001B3AEC" w:rsidRDefault="001B3AEC" w:rsidP="001B3AEC">
      <w:pPr>
        <w:spacing w:after="240"/>
        <w:jc w:val="both"/>
        <w:outlineLvl w:val="1"/>
        <w:rPr>
          <w:rFonts w:ascii="Arial" w:hAnsi="Arial" w:cs="Arial"/>
          <w:b/>
          <w:bCs/>
          <w:i/>
          <w:iCs/>
          <w:szCs w:val="28"/>
        </w:rPr>
      </w:pPr>
      <w:r w:rsidRPr="001B3AEC">
        <w:rPr>
          <w:rFonts w:ascii="Arial" w:hAnsi="Arial" w:cs="Arial"/>
          <w:b/>
          <w:bCs/>
          <w:i/>
          <w:iCs/>
          <w:szCs w:val="28"/>
        </w:rPr>
        <w:t>Recommendation: </w:t>
      </w:r>
      <w:r w:rsidRPr="001B3AEC">
        <w:t>No, this docket should remain open pending final reconciliation of actual recoverable Hurricane Michael storm costs with the amount collected pursuant to the interim st</w:t>
      </w:r>
      <w:r w:rsidR="000A0AEB">
        <w:t>orm restoration recovery charge. The disposition of an</w:t>
      </w:r>
      <w:r w:rsidR="00401129">
        <w:t>y</w:t>
      </w:r>
      <w:r w:rsidR="00B811FE">
        <w:t xml:space="preserve"> over or u</w:t>
      </w:r>
      <w:r w:rsidR="000A0AEB">
        <w:t>nder recover</w:t>
      </w:r>
      <w:r w:rsidR="00B811FE">
        <w:t>y, and associated interest, should</w:t>
      </w:r>
      <w:r w:rsidR="000A0AEB">
        <w:t xml:space="preserve"> be considered by the Commission at a later date</w:t>
      </w:r>
      <w:r w:rsidRPr="001B3AEC">
        <w:t>. (Trierweiler)</w:t>
      </w:r>
    </w:p>
    <w:p w:rsidR="000D40DD" w:rsidRDefault="001B3AEC" w:rsidP="000D40DD">
      <w:pPr>
        <w:spacing w:after="240"/>
        <w:jc w:val="both"/>
        <w:outlineLvl w:val="1"/>
        <w:sectPr w:rsidR="000D40DD" w:rsidSect="0068481F">
          <w:headerReference w:type="default" r:id="rId17"/>
          <w:pgSz w:w="12240" w:h="15840" w:code="1"/>
          <w:pgMar w:top="1584" w:right="1440" w:bottom="1440" w:left="1440" w:header="720" w:footer="720" w:gutter="0"/>
          <w:cols w:space="720"/>
          <w:formProt w:val="0"/>
          <w:docGrid w:linePitch="360"/>
        </w:sectPr>
      </w:pPr>
      <w:r w:rsidRPr="001B3AEC">
        <w:rPr>
          <w:rFonts w:ascii="Arial" w:hAnsi="Arial" w:cs="Arial"/>
          <w:b/>
          <w:bCs/>
          <w:i/>
          <w:iCs/>
          <w:szCs w:val="28"/>
        </w:rPr>
        <w:t>Staff Analysis: </w:t>
      </w:r>
      <w:r w:rsidRPr="001B3AEC">
        <w:t> No, this docket should remain open pending final reconciliation of actual recoverable Hurricane Michael storm costs with the amount collected pursuant to the interim st</w:t>
      </w:r>
      <w:r w:rsidR="000A0AEB">
        <w:t xml:space="preserve">orm restoration recovery charge. </w:t>
      </w:r>
      <w:r w:rsidR="000A0AEB" w:rsidRPr="000A0AEB">
        <w:t>The disposition of an</w:t>
      </w:r>
      <w:r w:rsidR="00401129">
        <w:t xml:space="preserve">y </w:t>
      </w:r>
      <w:r w:rsidR="00B811FE">
        <w:t xml:space="preserve">over or </w:t>
      </w:r>
      <w:r w:rsidR="000A0AEB" w:rsidRPr="000A0AEB">
        <w:t>under recovery, and associated i</w:t>
      </w:r>
      <w:r w:rsidR="00B811FE">
        <w:t>nterest, should</w:t>
      </w:r>
      <w:r w:rsidR="000A0AEB" w:rsidRPr="000A0AEB">
        <w:t xml:space="preserve"> be considered by the Commission at a later date.</w:t>
      </w:r>
    </w:p>
    <w:p w:rsidR="000D40DD" w:rsidRPr="000D40DD" w:rsidRDefault="000D40DD" w:rsidP="000D40DD">
      <w:pPr>
        <w:spacing w:after="240"/>
        <w:jc w:val="both"/>
        <w:outlineLvl w:val="1"/>
        <w:rPr>
          <w:rFonts w:ascii="Arial" w:hAnsi="Arial" w:cs="Arial"/>
          <w:b/>
          <w:bCs/>
          <w:i/>
          <w:iCs/>
          <w:szCs w:val="28"/>
        </w:rPr>
      </w:pPr>
      <w:r>
        <w:rPr>
          <w:rFonts w:ascii="Arial" w:hAnsi="Arial" w:cs="Arial"/>
          <w:b/>
          <w:bCs/>
          <w:i/>
          <w:iCs/>
          <w:noProof/>
          <w:szCs w:val="28"/>
        </w:rPr>
        <w:lastRenderedPageBreak/>
        <w:drawing>
          <wp:inline distT="0" distB="0" distL="0" distR="0" wp14:anchorId="092CD1B6">
            <wp:extent cx="5944235" cy="7693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7693660"/>
                    </a:xfrm>
                    <a:prstGeom prst="rect">
                      <a:avLst/>
                    </a:prstGeom>
                    <a:noFill/>
                  </pic:spPr>
                </pic:pic>
              </a:graphicData>
            </a:graphic>
          </wp:inline>
        </w:drawing>
      </w:r>
    </w:p>
    <w:sectPr w:rsidR="000D40DD" w:rsidRPr="000D40DD" w:rsidSect="0068481F">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9F" w:rsidRDefault="00400A9F">
      <w:r>
        <w:separator/>
      </w:r>
    </w:p>
  </w:endnote>
  <w:endnote w:type="continuationSeparator" w:id="0">
    <w:p w:rsidR="00400A9F" w:rsidRDefault="0040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7A3A5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95DB8">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9F" w:rsidRDefault="00400A9F">
      <w:r>
        <w:separator/>
      </w:r>
    </w:p>
  </w:footnote>
  <w:footnote w:type="continuationSeparator" w:id="0">
    <w:p w:rsidR="00400A9F" w:rsidRDefault="00400A9F">
      <w:r>
        <w:continuationSeparator/>
      </w:r>
    </w:p>
  </w:footnote>
  <w:footnote w:id="1">
    <w:p w:rsidR="000351AE" w:rsidRDefault="000351AE">
      <w:pPr>
        <w:pStyle w:val="FootnoteText"/>
      </w:pPr>
      <w:r>
        <w:rPr>
          <w:rStyle w:val="FootnoteReference"/>
        </w:rPr>
        <w:footnoteRef/>
      </w:r>
      <w:r w:rsidRPr="000351AE">
        <w:t>Document</w:t>
      </w:r>
      <w:r>
        <w:t xml:space="preserve"> No.</w:t>
      </w:r>
      <w:r w:rsidRPr="000351AE">
        <w:t xml:space="preserve"> 04543-2019, filed May 24</w:t>
      </w:r>
      <w:r w:rsidR="00695DB8">
        <w:t xml:space="preserve">, </w:t>
      </w:r>
      <w:r w:rsidRPr="000351AE">
        <w:t>2019, in Docket No</w:t>
      </w:r>
      <w:r w:rsidR="00695DB8">
        <w:t>.</w:t>
      </w:r>
      <w:bookmarkStart w:id="12" w:name="_GoBack"/>
      <w:bookmarkEnd w:id="12"/>
      <w:r w:rsidRPr="000351AE">
        <w:t xml:space="preserve"> 20190109</w:t>
      </w:r>
      <w:r w:rsidR="00B811FE">
        <w:t>-GU</w:t>
      </w:r>
      <w:r w:rsidR="00301E2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00A9F"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20190109-GU</w:t>
    </w:r>
    <w:bookmarkEnd w:id="14"/>
  </w:p>
  <w:p w:rsidR="00BC402E" w:rsidRDefault="00BC402E">
    <w:pPr>
      <w:pStyle w:val="Header"/>
    </w:pPr>
    <w:r>
      <w:t xml:space="preserve">Date: </w:t>
    </w:r>
    <w:r w:rsidR="009A2E63">
      <w:fldChar w:fldCharType="begin"/>
    </w:r>
    <w:r w:rsidR="009A2E63">
      <w:instrText xml:space="preserve"> REF FilingDate </w:instrText>
    </w:r>
    <w:r w:rsidR="009A2E63">
      <w:fldChar w:fldCharType="separate"/>
    </w:r>
    <w:r w:rsidR="00CD559D">
      <w:t>June 26, 2019</w:t>
    </w:r>
    <w:r w:rsidR="009A2E6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A22"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CD559D">
      <w:t>Docket No.</w:t>
    </w:r>
    <w:r>
      <w:fldChar w:fldCharType="end"/>
    </w:r>
    <w:r>
      <w:t xml:space="preserve"> </w:t>
    </w:r>
    <w:r>
      <w:fldChar w:fldCharType="begin"/>
    </w:r>
    <w:r>
      <w:instrText xml:space="preserve"> REF DocketList</w:instrText>
    </w:r>
    <w:r>
      <w:fldChar w:fldCharType="separate"/>
    </w:r>
    <w:r w:rsidR="00CD559D">
      <w:t>20190109-GU</w:t>
    </w:r>
    <w:r>
      <w:fldChar w:fldCharType="end"/>
    </w:r>
    <w:r>
      <w:tab/>
      <w:t xml:space="preserve">Issue </w:t>
    </w:r>
    <w:r w:rsidR="001B3AEC">
      <w:t>1</w:t>
    </w:r>
  </w:p>
  <w:p w:rsidR="00BC402E" w:rsidRDefault="00BC402E">
    <w:pPr>
      <w:pStyle w:val="Header"/>
    </w:pPr>
    <w:r>
      <w:t xml:space="preserve">Date: </w:t>
    </w:r>
    <w:r w:rsidR="009A2E63">
      <w:fldChar w:fldCharType="begin"/>
    </w:r>
    <w:r w:rsidR="009A2E63">
      <w:instrText xml:space="preserve"> REF FilingDate </w:instrText>
    </w:r>
    <w:r w:rsidR="009A2E63">
      <w:fldChar w:fldCharType="separate"/>
    </w:r>
    <w:r w:rsidR="00CD559D">
      <w:t>June 26, 2019</w:t>
    </w:r>
    <w:r w:rsidR="009A2E6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EC" w:rsidRDefault="001B3AEC" w:rsidP="00220732">
    <w:pPr>
      <w:pStyle w:val="Header"/>
      <w:tabs>
        <w:tab w:val="clear" w:pos="4320"/>
        <w:tab w:val="clear" w:pos="8640"/>
        <w:tab w:val="right" w:pos="9360"/>
      </w:tabs>
    </w:pPr>
    <w:r>
      <w:fldChar w:fldCharType="begin"/>
    </w:r>
    <w:r>
      <w:instrText xml:space="preserve"> REF DocketLabel</w:instrText>
    </w:r>
    <w:r>
      <w:fldChar w:fldCharType="separate"/>
    </w:r>
    <w:r w:rsidR="00CD559D">
      <w:t>Docket No.</w:t>
    </w:r>
    <w:r>
      <w:fldChar w:fldCharType="end"/>
    </w:r>
    <w:r>
      <w:t xml:space="preserve"> </w:t>
    </w:r>
    <w:r>
      <w:fldChar w:fldCharType="begin"/>
    </w:r>
    <w:r>
      <w:instrText xml:space="preserve"> REF DocketList</w:instrText>
    </w:r>
    <w:r>
      <w:fldChar w:fldCharType="separate"/>
    </w:r>
    <w:r w:rsidR="00CD559D">
      <w:t>20190109-GU</w:t>
    </w:r>
    <w:r>
      <w:fldChar w:fldCharType="end"/>
    </w:r>
    <w:r>
      <w:tab/>
      <w:t>Issue 2</w:t>
    </w:r>
  </w:p>
  <w:p w:rsidR="001B3AEC" w:rsidRDefault="001B3AEC">
    <w:pPr>
      <w:pStyle w:val="Header"/>
    </w:pPr>
    <w:r>
      <w:t xml:space="preserve">Date: </w:t>
    </w:r>
    <w:r w:rsidR="009A2E63">
      <w:fldChar w:fldCharType="begin"/>
    </w:r>
    <w:r w:rsidR="009A2E63">
      <w:instrText xml:space="preserve"> REF FilingDate </w:instrText>
    </w:r>
    <w:r w:rsidR="009A2E63">
      <w:fldChar w:fldCharType="separate"/>
    </w:r>
    <w:r w:rsidR="00CD559D">
      <w:t>June 26, 2019</w:t>
    </w:r>
    <w:r w:rsidR="009A2E63">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B9" w:rsidRDefault="009339B9" w:rsidP="00220732">
    <w:pPr>
      <w:pStyle w:val="Header"/>
      <w:tabs>
        <w:tab w:val="clear" w:pos="4320"/>
        <w:tab w:val="clear" w:pos="8640"/>
        <w:tab w:val="right" w:pos="9360"/>
      </w:tabs>
    </w:pPr>
    <w:r>
      <w:fldChar w:fldCharType="begin"/>
    </w:r>
    <w:r>
      <w:instrText xml:space="preserve"> REF DocketLabel</w:instrText>
    </w:r>
    <w:r>
      <w:fldChar w:fldCharType="separate"/>
    </w:r>
    <w:r w:rsidR="00CD559D">
      <w:t>Docket No.</w:t>
    </w:r>
    <w:r>
      <w:fldChar w:fldCharType="end"/>
    </w:r>
    <w:r>
      <w:t xml:space="preserve"> </w:t>
    </w:r>
    <w:r>
      <w:fldChar w:fldCharType="begin"/>
    </w:r>
    <w:r>
      <w:instrText xml:space="preserve"> REF DocketList</w:instrText>
    </w:r>
    <w:r>
      <w:fldChar w:fldCharType="separate"/>
    </w:r>
    <w:r w:rsidR="00CD559D">
      <w:t>20190109-GU</w:t>
    </w:r>
    <w:r>
      <w:fldChar w:fldCharType="end"/>
    </w:r>
    <w:r>
      <w:tab/>
      <w:t>Issue 3</w:t>
    </w:r>
  </w:p>
  <w:p w:rsidR="009339B9" w:rsidRDefault="009339B9">
    <w:pPr>
      <w:pStyle w:val="Header"/>
    </w:pPr>
    <w:r>
      <w:t xml:space="preserve">Date: </w:t>
    </w:r>
    <w:fldSimple w:instr=" REF FilingDate ">
      <w:r w:rsidR="00CD559D">
        <w:t>June 26, 2019</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EC" w:rsidRDefault="001B3AEC" w:rsidP="00220732">
    <w:pPr>
      <w:pStyle w:val="Header"/>
      <w:tabs>
        <w:tab w:val="clear" w:pos="4320"/>
        <w:tab w:val="clear" w:pos="8640"/>
        <w:tab w:val="right" w:pos="9360"/>
      </w:tabs>
    </w:pPr>
    <w:r>
      <w:fldChar w:fldCharType="begin"/>
    </w:r>
    <w:r>
      <w:instrText xml:space="preserve"> REF DocketLabel</w:instrText>
    </w:r>
    <w:r>
      <w:fldChar w:fldCharType="separate"/>
    </w:r>
    <w:r w:rsidR="00CD559D">
      <w:t>Docket No.</w:t>
    </w:r>
    <w:r>
      <w:fldChar w:fldCharType="end"/>
    </w:r>
    <w:r>
      <w:t xml:space="preserve"> </w:t>
    </w:r>
    <w:r>
      <w:fldChar w:fldCharType="begin"/>
    </w:r>
    <w:r>
      <w:instrText xml:space="preserve"> REF DocketList</w:instrText>
    </w:r>
    <w:r>
      <w:fldChar w:fldCharType="separate"/>
    </w:r>
    <w:r w:rsidR="00CD559D">
      <w:t>20190109-GU</w:t>
    </w:r>
    <w:r>
      <w:fldChar w:fldCharType="end"/>
    </w:r>
    <w:r>
      <w:tab/>
    </w:r>
    <w:r w:rsidR="009339B9">
      <w:t>Issue 4</w:t>
    </w:r>
  </w:p>
  <w:p w:rsidR="001B3AEC" w:rsidRDefault="001B3AEC">
    <w:pPr>
      <w:pStyle w:val="Header"/>
    </w:pPr>
    <w:r>
      <w:t xml:space="preserve">Date: </w:t>
    </w:r>
    <w:r w:rsidR="009A2E63">
      <w:fldChar w:fldCharType="begin"/>
    </w:r>
    <w:r w:rsidR="009A2E63">
      <w:instrText xml:space="preserve"> REF FilingDate </w:instrText>
    </w:r>
    <w:r w:rsidR="009A2E63">
      <w:fldChar w:fldCharType="separate"/>
    </w:r>
    <w:r w:rsidR="00CD559D">
      <w:t>June 26, 2019</w:t>
    </w:r>
    <w:r w:rsidR="009A2E63">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0DD" w:rsidRDefault="000D40DD" w:rsidP="00220732">
    <w:pPr>
      <w:pStyle w:val="Header"/>
      <w:tabs>
        <w:tab w:val="clear" w:pos="4320"/>
        <w:tab w:val="clear" w:pos="8640"/>
        <w:tab w:val="right" w:pos="9360"/>
      </w:tabs>
    </w:pPr>
    <w:r>
      <w:fldChar w:fldCharType="begin"/>
    </w:r>
    <w:r>
      <w:instrText xml:space="preserve"> REF DocketLabel</w:instrText>
    </w:r>
    <w:r>
      <w:fldChar w:fldCharType="separate"/>
    </w:r>
    <w:r w:rsidR="00CD559D">
      <w:t>Docket No.</w:t>
    </w:r>
    <w:r>
      <w:fldChar w:fldCharType="end"/>
    </w:r>
    <w:r>
      <w:t xml:space="preserve"> </w:t>
    </w:r>
    <w:r>
      <w:fldChar w:fldCharType="begin"/>
    </w:r>
    <w:r>
      <w:instrText xml:space="preserve"> REF DocketList</w:instrText>
    </w:r>
    <w:r>
      <w:fldChar w:fldCharType="separate"/>
    </w:r>
    <w:r w:rsidR="00CD559D">
      <w:t>20190109-GU</w:t>
    </w:r>
    <w:r>
      <w:fldChar w:fldCharType="end"/>
    </w:r>
    <w:r>
      <w:tab/>
      <w:t>Attachment A</w:t>
    </w:r>
  </w:p>
  <w:p w:rsidR="000D40DD" w:rsidRDefault="000D40DD">
    <w:pPr>
      <w:pStyle w:val="Header"/>
    </w:pPr>
    <w:r>
      <w:t xml:space="preserve">Date: </w:t>
    </w:r>
    <w:r w:rsidR="009A2E63">
      <w:fldChar w:fldCharType="begin"/>
    </w:r>
    <w:r w:rsidR="009A2E63">
      <w:instrText xml:space="preserve"> REF FilingDate </w:instrText>
    </w:r>
    <w:r w:rsidR="009A2E63">
      <w:fldChar w:fldCharType="separate"/>
    </w:r>
    <w:r w:rsidR="00CD559D">
      <w:t>June 26, 2019</w:t>
    </w:r>
    <w:r w:rsidR="009A2E63">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5CAE4BE4"/>
    <w:multiLevelType w:val="hybridMultilevel"/>
    <w:tmpl w:val="45FC4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00A9F"/>
    <w:rsid w:val="000043D5"/>
    <w:rsid w:val="00006170"/>
    <w:rsid w:val="00010E37"/>
    <w:rsid w:val="000172DA"/>
    <w:rsid w:val="000247C5"/>
    <w:rsid w:val="00024FA5"/>
    <w:rsid w:val="000277C2"/>
    <w:rsid w:val="000351AE"/>
    <w:rsid w:val="00035B48"/>
    <w:rsid w:val="00036CE2"/>
    <w:rsid w:val="00042821"/>
    <w:rsid w:val="000437FE"/>
    <w:rsid w:val="000513BE"/>
    <w:rsid w:val="00065A06"/>
    <w:rsid w:val="000666F3"/>
    <w:rsid w:val="00070DCB"/>
    <w:rsid w:val="00072CCA"/>
    <w:rsid w:val="00073120"/>
    <w:rsid w:val="000764D0"/>
    <w:rsid w:val="000828D3"/>
    <w:rsid w:val="000A064B"/>
    <w:rsid w:val="000A0AEB"/>
    <w:rsid w:val="000A2B57"/>
    <w:rsid w:val="000A418B"/>
    <w:rsid w:val="000B775B"/>
    <w:rsid w:val="000C4431"/>
    <w:rsid w:val="000D1C06"/>
    <w:rsid w:val="000D40DD"/>
    <w:rsid w:val="000D4319"/>
    <w:rsid w:val="000D59E2"/>
    <w:rsid w:val="000F374A"/>
    <w:rsid w:val="000F5336"/>
    <w:rsid w:val="001076AF"/>
    <w:rsid w:val="00117C8C"/>
    <w:rsid w:val="00124E2E"/>
    <w:rsid w:val="00125ED4"/>
    <w:rsid w:val="001305E9"/>
    <w:rsid w:val="001307AF"/>
    <w:rsid w:val="00135687"/>
    <w:rsid w:val="0015506E"/>
    <w:rsid w:val="00163031"/>
    <w:rsid w:val="00166E0B"/>
    <w:rsid w:val="00171A90"/>
    <w:rsid w:val="001775A2"/>
    <w:rsid w:val="00180254"/>
    <w:rsid w:val="00180A11"/>
    <w:rsid w:val="00184820"/>
    <w:rsid w:val="00191E1F"/>
    <w:rsid w:val="00192943"/>
    <w:rsid w:val="001A7406"/>
    <w:rsid w:val="001B3AEC"/>
    <w:rsid w:val="001B4FEE"/>
    <w:rsid w:val="001B51C5"/>
    <w:rsid w:val="001B6F3F"/>
    <w:rsid w:val="001C52B5"/>
    <w:rsid w:val="001D0D3E"/>
    <w:rsid w:val="001D4B0B"/>
    <w:rsid w:val="001F2245"/>
    <w:rsid w:val="001F2C63"/>
    <w:rsid w:val="001F48C7"/>
    <w:rsid w:val="001F6DA1"/>
    <w:rsid w:val="00204017"/>
    <w:rsid w:val="002044E6"/>
    <w:rsid w:val="00205C82"/>
    <w:rsid w:val="00205DC2"/>
    <w:rsid w:val="00207038"/>
    <w:rsid w:val="00212B17"/>
    <w:rsid w:val="002163B6"/>
    <w:rsid w:val="00220732"/>
    <w:rsid w:val="00221D32"/>
    <w:rsid w:val="00225C3F"/>
    <w:rsid w:val="00235D70"/>
    <w:rsid w:val="00263D44"/>
    <w:rsid w:val="002702AD"/>
    <w:rsid w:val="00290CA2"/>
    <w:rsid w:val="00292D82"/>
    <w:rsid w:val="00293B6F"/>
    <w:rsid w:val="002963CB"/>
    <w:rsid w:val="00297EBD"/>
    <w:rsid w:val="002A615A"/>
    <w:rsid w:val="002A744C"/>
    <w:rsid w:val="002B1D4A"/>
    <w:rsid w:val="002C24A4"/>
    <w:rsid w:val="002D226D"/>
    <w:rsid w:val="002F6030"/>
    <w:rsid w:val="00301E27"/>
    <w:rsid w:val="003037E1"/>
    <w:rsid w:val="0030412A"/>
    <w:rsid w:val="00307E51"/>
    <w:rsid w:val="003103EC"/>
    <w:rsid w:val="003144EF"/>
    <w:rsid w:val="00320E14"/>
    <w:rsid w:val="00322F74"/>
    <w:rsid w:val="00332868"/>
    <w:rsid w:val="00340073"/>
    <w:rsid w:val="003632FD"/>
    <w:rsid w:val="00372805"/>
    <w:rsid w:val="00373180"/>
    <w:rsid w:val="00375AB9"/>
    <w:rsid w:val="003807DE"/>
    <w:rsid w:val="003821A0"/>
    <w:rsid w:val="00385B04"/>
    <w:rsid w:val="003864CF"/>
    <w:rsid w:val="003978A8"/>
    <w:rsid w:val="003A22A6"/>
    <w:rsid w:val="003A5494"/>
    <w:rsid w:val="003B2510"/>
    <w:rsid w:val="003B75AC"/>
    <w:rsid w:val="003C2CC4"/>
    <w:rsid w:val="003C3710"/>
    <w:rsid w:val="003E0EFC"/>
    <w:rsid w:val="003E4A2B"/>
    <w:rsid w:val="003E76C2"/>
    <w:rsid w:val="003F1679"/>
    <w:rsid w:val="003F21EB"/>
    <w:rsid w:val="003F4A35"/>
    <w:rsid w:val="003F7FDD"/>
    <w:rsid w:val="00400A9F"/>
    <w:rsid w:val="00401129"/>
    <w:rsid w:val="00402481"/>
    <w:rsid w:val="004042B4"/>
    <w:rsid w:val="0040700A"/>
    <w:rsid w:val="00410DC4"/>
    <w:rsid w:val="00412DAE"/>
    <w:rsid w:val="004242E6"/>
    <w:rsid w:val="00431598"/>
    <w:rsid w:val="004319AD"/>
    <w:rsid w:val="004426B8"/>
    <w:rsid w:val="00444432"/>
    <w:rsid w:val="00471860"/>
    <w:rsid w:val="00477026"/>
    <w:rsid w:val="00486A22"/>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04E0"/>
    <w:rsid w:val="00543CB3"/>
    <w:rsid w:val="005442E4"/>
    <w:rsid w:val="0055529B"/>
    <w:rsid w:val="00560FF0"/>
    <w:rsid w:val="005614BD"/>
    <w:rsid w:val="0057154F"/>
    <w:rsid w:val="00580F69"/>
    <w:rsid w:val="00581CA3"/>
    <w:rsid w:val="005879C8"/>
    <w:rsid w:val="00587A44"/>
    <w:rsid w:val="00597730"/>
    <w:rsid w:val="005977EC"/>
    <w:rsid w:val="00597DE7"/>
    <w:rsid w:val="005A4AA2"/>
    <w:rsid w:val="005B34B6"/>
    <w:rsid w:val="005B6C8F"/>
    <w:rsid w:val="005B6EC3"/>
    <w:rsid w:val="005D0F74"/>
    <w:rsid w:val="005D2E7D"/>
    <w:rsid w:val="005D4A8F"/>
    <w:rsid w:val="005D561B"/>
    <w:rsid w:val="005D5ECF"/>
    <w:rsid w:val="005D685B"/>
    <w:rsid w:val="005E45B4"/>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5DB8"/>
    <w:rsid w:val="00696F5D"/>
    <w:rsid w:val="00697249"/>
    <w:rsid w:val="006A6A23"/>
    <w:rsid w:val="006B3947"/>
    <w:rsid w:val="006B4293"/>
    <w:rsid w:val="006B624F"/>
    <w:rsid w:val="006C06C3"/>
    <w:rsid w:val="006C0C95"/>
    <w:rsid w:val="006C31E3"/>
    <w:rsid w:val="006D18D3"/>
    <w:rsid w:val="006E08CB"/>
    <w:rsid w:val="006E598D"/>
    <w:rsid w:val="006F6EC2"/>
    <w:rsid w:val="0070437D"/>
    <w:rsid w:val="00704CF1"/>
    <w:rsid w:val="00705B04"/>
    <w:rsid w:val="00710351"/>
    <w:rsid w:val="00710824"/>
    <w:rsid w:val="00724992"/>
    <w:rsid w:val="00734820"/>
    <w:rsid w:val="007349DC"/>
    <w:rsid w:val="0074365E"/>
    <w:rsid w:val="00744B55"/>
    <w:rsid w:val="007515FD"/>
    <w:rsid w:val="00760D80"/>
    <w:rsid w:val="00780C09"/>
    <w:rsid w:val="00780DDF"/>
    <w:rsid w:val="007834E9"/>
    <w:rsid w:val="00783E30"/>
    <w:rsid w:val="00787DBC"/>
    <w:rsid w:val="0079019A"/>
    <w:rsid w:val="00792935"/>
    <w:rsid w:val="007A04A1"/>
    <w:rsid w:val="007A1840"/>
    <w:rsid w:val="007A3A56"/>
    <w:rsid w:val="007C0528"/>
    <w:rsid w:val="007C2E38"/>
    <w:rsid w:val="007C3D38"/>
    <w:rsid w:val="007D0F35"/>
    <w:rsid w:val="007D4FEB"/>
    <w:rsid w:val="007D6146"/>
    <w:rsid w:val="007E0CE7"/>
    <w:rsid w:val="007E70AC"/>
    <w:rsid w:val="007F1193"/>
    <w:rsid w:val="007F417F"/>
    <w:rsid w:val="007F73F5"/>
    <w:rsid w:val="007F7644"/>
    <w:rsid w:val="008042BD"/>
    <w:rsid w:val="00816624"/>
    <w:rsid w:val="00822427"/>
    <w:rsid w:val="00822562"/>
    <w:rsid w:val="00823663"/>
    <w:rsid w:val="00832DDC"/>
    <w:rsid w:val="00832F98"/>
    <w:rsid w:val="00850BAC"/>
    <w:rsid w:val="00854A3E"/>
    <w:rsid w:val="00855D08"/>
    <w:rsid w:val="00856076"/>
    <w:rsid w:val="00872F7F"/>
    <w:rsid w:val="00874344"/>
    <w:rsid w:val="00882155"/>
    <w:rsid w:val="0088233B"/>
    <w:rsid w:val="0088599E"/>
    <w:rsid w:val="00886C37"/>
    <w:rsid w:val="00892D99"/>
    <w:rsid w:val="00893315"/>
    <w:rsid w:val="008A0E89"/>
    <w:rsid w:val="008B2381"/>
    <w:rsid w:val="008B62AE"/>
    <w:rsid w:val="008C04B5"/>
    <w:rsid w:val="008C14FA"/>
    <w:rsid w:val="008C7B0B"/>
    <w:rsid w:val="008D4057"/>
    <w:rsid w:val="008E1F19"/>
    <w:rsid w:val="008E3796"/>
    <w:rsid w:val="008F2262"/>
    <w:rsid w:val="008F4D2B"/>
    <w:rsid w:val="008F7736"/>
    <w:rsid w:val="0090019E"/>
    <w:rsid w:val="00901086"/>
    <w:rsid w:val="00901C8A"/>
    <w:rsid w:val="00905886"/>
    <w:rsid w:val="009070D6"/>
    <w:rsid w:val="009076C6"/>
    <w:rsid w:val="0091019E"/>
    <w:rsid w:val="009106F1"/>
    <w:rsid w:val="00912404"/>
    <w:rsid w:val="00913E9A"/>
    <w:rsid w:val="009145D6"/>
    <w:rsid w:val="00920E64"/>
    <w:rsid w:val="00922002"/>
    <w:rsid w:val="00924020"/>
    <w:rsid w:val="009271A7"/>
    <w:rsid w:val="009339B9"/>
    <w:rsid w:val="00935BDD"/>
    <w:rsid w:val="0093658B"/>
    <w:rsid w:val="009429FF"/>
    <w:rsid w:val="00945BD6"/>
    <w:rsid w:val="009479FB"/>
    <w:rsid w:val="00951C45"/>
    <w:rsid w:val="009656F2"/>
    <w:rsid w:val="00966A08"/>
    <w:rsid w:val="00971207"/>
    <w:rsid w:val="00975CB4"/>
    <w:rsid w:val="00985BD6"/>
    <w:rsid w:val="009863B0"/>
    <w:rsid w:val="00987DE1"/>
    <w:rsid w:val="00990571"/>
    <w:rsid w:val="0099673A"/>
    <w:rsid w:val="009A3330"/>
    <w:rsid w:val="009A7C96"/>
    <w:rsid w:val="009C3DB9"/>
    <w:rsid w:val="009D46E5"/>
    <w:rsid w:val="009D568A"/>
    <w:rsid w:val="009E5FE8"/>
    <w:rsid w:val="009F04EC"/>
    <w:rsid w:val="009F24D4"/>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223D"/>
    <w:rsid w:val="00A675AC"/>
    <w:rsid w:val="00A7581F"/>
    <w:rsid w:val="00A827FA"/>
    <w:rsid w:val="00A92FB1"/>
    <w:rsid w:val="00A95A0C"/>
    <w:rsid w:val="00A9695C"/>
    <w:rsid w:val="00AA2765"/>
    <w:rsid w:val="00AA77B5"/>
    <w:rsid w:val="00AB064E"/>
    <w:rsid w:val="00AB6C5D"/>
    <w:rsid w:val="00AC3401"/>
    <w:rsid w:val="00AC51A7"/>
    <w:rsid w:val="00AD444B"/>
    <w:rsid w:val="00AD5614"/>
    <w:rsid w:val="00AD6C78"/>
    <w:rsid w:val="00AD7130"/>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1CFD"/>
    <w:rsid w:val="00B4439F"/>
    <w:rsid w:val="00B516ED"/>
    <w:rsid w:val="00B57A6A"/>
    <w:rsid w:val="00B63747"/>
    <w:rsid w:val="00B760F1"/>
    <w:rsid w:val="00B7669E"/>
    <w:rsid w:val="00B77DA1"/>
    <w:rsid w:val="00B811FE"/>
    <w:rsid w:val="00B822A0"/>
    <w:rsid w:val="00B858AE"/>
    <w:rsid w:val="00B85964"/>
    <w:rsid w:val="00B96250"/>
    <w:rsid w:val="00BA0D55"/>
    <w:rsid w:val="00BA37B3"/>
    <w:rsid w:val="00BA4CC6"/>
    <w:rsid w:val="00BB0B60"/>
    <w:rsid w:val="00BB3493"/>
    <w:rsid w:val="00BB7468"/>
    <w:rsid w:val="00BC188A"/>
    <w:rsid w:val="00BC402E"/>
    <w:rsid w:val="00BD0F48"/>
    <w:rsid w:val="00BE6DDB"/>
    <w:rsid w:val="00BF5010"/>
    <w:rsid w:val="00C03D5F"/>
    <w:rsid w:val="00C04C74"/>
    <w:rsid w:val="00C13791"/>
    <w:rsid w:val="00C31BB3"/>
    <w:rsid w:val="00C36977"/>
    <w:rsid w:val="00C4620C"/>
    <w:rsid w:val="00C467DA"/>
    <w:rsid w:val="00C477D9"/>
    <w:rsid w:val="00C47BC2"/>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D559D"/>
    <w:rsid w:val="00CE0B5D"/>
    <w:rsid w:val="00CE2BF8"/>
    <w:rsid w:val="00CE484E"/>
    <w:rsid w:val="00CE656F"/>
    <w:rsid w:val="00CF0DA8"/>
    <w:rsid w:val="00CF2E25"/>
    <w:rsid w:val="00CF4453"/>
    <w:rsid w:val="00CF5D94"/>
    <w:rsid w:val="00CF7E0F"/>
    <w:rsid w:val="00D034D7"/>
    <w:rsid w:val="00D04BE4"/>
    <w:rsid w:val="00D06FC7"/>
    <w:rsid w:val="00D12565"/>
    <w:rsid w:val="00D14127"/>
    <w:rsid w:val="00D25539"/>
    <w:rsid w:val="00D33870"/>
    <w:rsid w:val="00D60B16"/>
    <w:rsid w:val="00D60F02"/>
    <w:rsid w:val="00D66E49"/>
    <w:rsid w:val="00D70D71"/>
    <w:rsid w:val="00D711D2"/>
    <w:rsid w:val="00D72F74"/>
    <w:rsid w:val="00D81563"/>
    <w:rsid w:val="00D838AA"/>
    <w:rsid w:val="00D85907"/>
    <w:rsid w:val="00D9073E"/>
    <w:rsid w:val="00D9221D"/>
    <w:rsid w:val="00D958DF"/>
    <w:rsid w:val="00D96DA1"/>
    <w:rsid w:val="00DA51E7"/>
    <w:rsid w:val="00DB0260"/>
    <w:rsid w:val="00DB1C78"/>
    <w:rsid w:val="00DB7D96"/>
    <w:rsid w:val="00DC23FE"/>
    <w:rsid w:val="00DC59E6"/>
    <w:rsid w:val="00DD150B"/>
    <w:rsid w:val="00DD5025"/>
    <w:rsid w:val="00DD6C8D"/>
    <w:rsid w:val="00DD7B62"/>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441F"/>
    <w:rsid w:val="00EC3FBB"/>
    <w:rsid w:val="00EC6B7A"/>
    <w:rsid w:val="00ED3A87"/>
    <w:rsid w:val="00ED5B67"/>
    <w:rsid w:val="00EF264C"/>
    <w:rsid w:val="00EF3FEE"/>
    <w:rsid w:val="00EF4935"/>
    <w:rsid w:val="00F04B59"/>
    <w:rsid w:val="00F101DD"/>
    <w:rsid w:val="00F11741"/>
    <w:rsid w:val="00F12B1C"/>
    <w:rsid w:val="00F13CF8"/>
    <w:rsid w:val="00F15855"/>
    <w:rsid w:val="00F227DC"/>
    <w:rsid w:val="00F264C0"/>
    <w:rsid w:val="00F32978"/>
    <w:rsid w:val="00F42CFB"/>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1B82"/>
    <w:rsid w:val="00FA32DE"/>
    <w:rsid w:val="00FA3382"/>
    <w:rsid w:val="00FA59CD"/>
    <w:rsid w:val="00FA70B7"/>
    <w:rsid w:val="00FB1740"/>
    <w:rsid w:val="00FB33D3"/>
    <w:rsid w:val="00FC49B5"/>
    <w:rsid w:val="00FC5469"/>
    <w:rsid w:val="00FC6D7D"/>
    <w:rsid w:val="00FD16B0"/>
    <w:rsid w:val="00FD4FED"/>
    <w:rsid w:val="00FD72B5"/>
    <w:rsid w:val="00FE0577"/>
    <w:rsid w:val="00FE59EC"/>
    <w:rsid w:val="00FE5B67"/>
    <w:rsid w:val="00FE60D6"/>
    <w:rsid w:val="00FE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255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D255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2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C1270-C578-4A31-B2D0-0494B8573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1278</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Paul Snyder</dc:creator>
  <cp:lastModifiedBy>Shari Cornelius</cp:lastModifiedBy>
  <cp:revision>2</cp:revision>
  <cp:lastPrinted>2019-06-25T13:26:00Z</cp:lastPrinted>
  <dcterms:created xsi:type="dcterms:W3CDTF">2019-06-26T11:53:00Z</dcterms:created>
  <dcterms:modified xsi:type="dcterms:W3CDTF">2019-06-26T11:53:00Z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20190109-GU</vt:lpwstr>
  </property>
  <property fmtid="{D5CDD505-2E9C-101B-9397-08002B2CF9AE}" pid="3" name="MasterDocument">
    <vt:bool>false</vt:bool>
  </property>
</Properties>
</file>