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254"/>
        <w:gridCol w:w="948"/>
        <w:gridCol w:w="1488"/>
        <w:gridCol w:w="5785"/>
      </w:tblGrid>
      <w:tr w:rsidR="007C0528">
        <w:tc>
          <w:tcPr>
            <w:tcW w:w="2202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528" w:rsidRDefault="007C0528" w:rsidP="00532DFB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7C0528" w:rsidRDefault="00072CC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3925" cy="914400"/>
                  <wp:effectExtent l="0" t="0" r="9525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0528" w:rsidRDefault="007C0528"/>
        </w:tc>
        <w:tc>
          <w:tcPr>
            <w:tcW w:w="7273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vAlign w:val="bottom"/>
          </w:tcPr>
          <w:p w:rsidR="007C0528" w:rsidRDefault="007C0528">
            <w:pPr>
              <w:pStyle w:val="MastHeadPSC"/>
            </w:pPr>
            <w:r>
              <w:t>Public Service Commission</w:t>
            </w:r>
          </w:p>
          <w:p w:rsidR="007C0528" w:rsidRDefault="007C0528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 32399-0850</w:t>
            </w:r>
          </w:p>
          <w:p w:rsidR="007C0528" w:rsidRDefault="007C0528">
            <w:pPr>
              <w:pStyle w:val="MastHeadMemorandum"/>
            </w:pPr>
            <w:r>
              <w:t>-M-E-M-O-R-A-N-D-U-M-</w:t>
            </w:r>
          </w:p>
          <w:p w:rsidR="007C0528" w:rsidRDefault="007C0528">
            <w:pPr>
              <w:pStyle w:val="MemoHeading"/>
            </w:pPr>
          </w:p>
        </w:tc>
      </w:tr>
      <w:tr w:rsidR="007C0528">
        <w:tc>
          <w:tcPr>
            <w:tcW w:w="1254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DATE:</w:t>
            </w:r>
          </w:p>
        </w:tc>
        <w:tc>
          <w:tcPr>
            <w:tcW w:w="8221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bottom w:w="0" w:type="dxa"/>
            </w:tcMar>
          </w:tcPr>
          <w:p w:rsidR="007C0528" w:rsidRDefault="001D2928">
            <w:pPr>
              <w:pStyle w:val="MemoHeading"/>
            </w:pPr>
            <w:bookmarkStart w:id="1" w:name="FilingDate"/>
            <w:r>
              <w:t>June 26, 2019</w:t>
            </w:r>
            <w:bookmarkEnd w:id="1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TO: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7C0528" w:rsidRDefault="007C0528" w:rsidP="0093658B">
            <w:pPr>
              <w:pStyle w:val="MemoHeading"/>
            </w:pPr>
            <w:r>
              <w:t>Office of Commission Clerk (</w:t>
            </w:r>
            <w:proofErr w:type="spellStart"/>
            <w:r w:rsidR="004E69B5">
              <w:t>Teitzman</w:t>
            </w:r>
            <w:proofErr w:type="spellEnd"/>
            <w:r>
              <w:t>)</w:t>
            </w:r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FROM: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1D2928" w:rsidRDefault="001D2928">
            <w:pPr>
              <w:pStyle w:val="MemoHeading"/>
            </w:pPr>
            <w:bookmarkStart w:id="2" w:name="From"/>
            <w:r>
              <w:t xml:space="preserve">Division of Accounting and Finance (Richards, </w:t>
            </w:r>
            <w:r w:rsidR="007318B2">
              <w:t xml:space="preserve">D. </w:t>
            </w:r>
            <w:r>
              <w:t>Buys, Cicchetti)</w:t>
            </w:r>
          </w:p>
          <w:p w:rsidR="007C0528" w:rsidRDefault="001D2928">
            <w:pPr>
              <w:pStyle w:val="MemoHeading"/>
            </w:pPr>
            <w:r>
              <w:t>Office of the General Counsel (Schrader)</w:t>
            </w:r>
            <w:bookmarkEnd w:id="2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RE: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1D2928">
            <w:pPr>
              <w:pStyle w:val="MemoHeadingRe"/>
            </w:pPr>
            <w:bookmarkStart w:id="3" w:name="Re"/>
            <w:r>
              <w:t>Docket No. 20190091-GU – Petition for authority to accrue AFUDC, by Peoples Gas System.</w:t>
            </w:r>
            <w:bookmarkEnd w:id="3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AGENDA: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1D2928" w:rsidP="00FA7AAE">
            <w:pPr>
              <w:pStyle w:val="MemoHeading"/>
            </w:pPr>
            <w:bookmarkStart w:id="4" w:name="AgendaDate"/>
            <w:r>
              <w:t>07/09/19</w:t>
            </w:r>
            <w:bookmarkEnd w:id="4"/>
            <w:r w:rsidR="007C0528">
              <w:t xml:space="preserve"> – </w:t>
            </w:r>
            <w:bookmarkStart w:id="5" w:name="PermittedStatus"/>
            <w:r>
              <w:t>Regular Agenda –</w:t>
            </w:r>
            <w:r w:rsidR="00FA7AAE">
              <w:t xml:space="preserve"> Proposed Agency Action - </w:t>
            </w:r>
            <w:r>
              <w:t>Interested Persons May Participate</w:t>
            </w:r>
            <w:bookmarkEnd w:id="5"/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COMMISSIONERS ASSIGNED: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1D2928">
            <w:pPr>
              <w:pStyle w:val="MemoHeading"/>
            </w:pPr>
            <w:bookmarkStart w:id="6" w:name="CommissionersAssigned"/>
            <w:r>
              <w:t>All Commissioners</w:t>
            </w:r>
            <w:bookmarkEnd w:id="6"/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PREHEARING OFFICER: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1D2928">
            <w:pPr>
              <w:pStyle w:val="MemoHeading"/>
            </w:pPr>
            <w:bookmarkStart w:id="7" w:name="PrehearingOfficer"/>
            <w:r>
              <w:t>Administrative</w:t>
            </w:r>
            <w:bookmarkEnd w:id="7"/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bookmarkStart w:id="8" w:name="CriticalDatesLabel"/>
            <w:r>
              <w:t>CRITICAL DATES:</w:t>
            </w:r>
            <w:bookmarkEnd w:id="8"/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1D2928">
            <w:pPr>
              <w:pStyle w:val="MemoHeading"/>
            </w:pPr>
            <w:bookmarkStart w:id="9" w:name="CriticalDates"/>
            <w:r>
              <w:t>None</w:t>
            </w:r>
            <w:bookmarkEnd w:id="9"/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SPECIAL INSTRUCTIONS: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bottom w:w="216" w:type="dxa"/>
            </w:tcMar>
          </w:tcPr>
          <w:p w:rsidR="007C0528" w:rsidRDefault="001D2928">
            <w:pPr>
              <w:pStyle w:val="MemoHeading"/>
            </w:pPr>
            <w:bookmarkStart w:id="10" w:name="SpecialInstructions"/>
            <w:r>
              <w:t>None</w:t>
            </w:r>
            <w:bookmarkEnd w:id="10"/>
          </w:p>
        </w:tc>
      </w:tr>
    </w:tbl>
    <w:p w:rsidR="007C0528" w:rsidRDefault="007C0528">
      <w:pPr>
        <w:pStyle w:val="BodyText"/>
      </w:pPr>
    </w:p>
    <w:p w:rsidR="007C0528" w:rsidRDefault="007C0528">
      <w:pPr>
        <w:pStyle w:val="RecommendationMajorSectionHeading"/>
      </w:pPr>
      <w:bookmarkStart w:id="11" w:name="RecToC"/>
      <w:bookmarkEnd w:id="11"/>
      <w:r>
        <w:t xml:space="preserve"> </w:t>
      </w:r>
      <w:bookmarkStart w:id="12" w:name="CaseBackground"/>
      <w:r>
        <w:t>Case Background</w:t>
      </w:r>
      <w:r>
        <w:fldChar w:fldCharType="begin"/>
      </w:r>
      <w:r>
        <w:instrText xml:space="preserve"> TC  "</w:instrText>
      </w:r>
      <w:r>
        <w:tab/>
      </w:r>
      <w:bookmarkStart w:id="13" w:name="_Toc94516455"/>
      <w:r>
        <w:instrText>Case Background</w:instrText>
      </w:r>
      <w:bookmarkEnd w:id="13"/>
      <w:r>
        <w:instrText xml:space="preserve">" \l 1 </w:instrText>
      </w:r>
      <w:r>
        <w:fldChar w:fldCharType="end"/>
      </w:r>
    </w:p>
    <w:p w:rsidR="0068481F" w:rsidRDefault="001D2928">
      <w:pPr>
        <w:pStyle w:val="BodyText"/>
      </w:pPr>
      <w:r>
        <w:t>Peoples Gas System (Peoples</w:t>
      </w:r>
      <w:r w:rsidR="00931394">
        <w:t xml:space="preserve"> </w:t>
      </w:r>
      <w:r w:rsidR="009E5FF0">
        <w:t xml:space="preserve">Gas </w:t>
      </w:r>
      <w:r w:rsidR="00931394">
        <w:t>or Company</w:t>
      </w:r>
      <w:r>
        <w:t xml:space="preserve">) is a natural gas local distribution company providing sales and transportation delivery of natural gas through </w:t>
      </w:r>
      <w:r w:rsidR="0045209C">
        <w:t>much</w:t>
      </w:r>
      <w:r>
        <w:t xml:space="preserve"> of the state of Florida. On April 12, 2019, Peoples</w:t>
      </w:r>
      <w:r w:rsidR="009E5FF0">
        <w:t xml:space="preserve"> Gas</w:t>
      </w:r>
      <w:r w:rsidR="00EF107A">
        <w:t xml:space="preserve"> filed a petition for authority </w:t>
      </w:r>
      <w:r>
        <w:t xml:space="preserve">to accrue an Allowance for Funds Used </w:t>
      </w:r>
      <w:proofErr w:type="gramStart"/>
      <w:r>
        <w:t>During</w:t>
      </w:r>
      <w:proofErr w:type="gramEnd"/>
      <w:r>
        <w:t xml:space="preserve"> Construction (AFUDC) in order to develop three expansion projects </w:t>
      </w:r>
      <w:r w:rsidR="007734EA">
        <w:t>totaling $136 million.</w:t>
      </w:r>
      <w:r w:rsidR="00EF107A">
        <w:t xml:space="preserve"> The Company subsequently filed an amended petition on May 16, 2019, which included the appropriate schedules.</w:t>
      </w:r>
      <w:r w:rsidR="007734EA">
        <w:t xml:space="preserve"> </w:t>
      </w:r>
    </w:p>
    <w:p w:rsidR="007C0528" w:rsidRDefault="0045664B" w:rsidP="00D821A2">
      <w:pPr>
        <w:jc w:val="both"/>
      </w:pPr>
      <w:r>
        <w:t xml:space="preserve">The Commission has jurisdiction over this matter pursuant to Sections </w:t>
      </w:r>
      <w:r w:rsidRPr="0045664B">
        <w:t>350.115</w:t>
      </w:r>
      <w:r>
        <w:t xml:space="preserve">, </w:t>
      </w:r>
      <w:r w:rsidRPr="0045664B">
        <w:t xml:space="preserve">350.127(2), 366.05(1), </w:t>
      </w:r>
      <w:r>
        <w:t xml:space="preserve">and </w:t>
      </w:r>
      <w:r w:rsidRPr="0045664B">
        <w:t>366.06(1)</w:t>
      </w:r>
      <w:r>
        <w:t>,</w:t>
      </w:r>
      <w:r w:rsidRPr="0045664B">
        <w:t xml:space="preserve"> F</w:t>
      </w:r>
      <w:r>
        <w:t xml:space="preserve">lorida </w:t>
      </w:r>
      <w:r w:rsidRPr="0045664B">
        <w:t>S</w:t>
      </w:r>
      <w:r>
        <w:t>tatutes</w:t>
      </w:r>
      <w:r w:rsidRPr="0045664B">
        <w:t>.</w:t>
      </w:r>
    </w:p>
    <w:bookmarkEnd w:id="12"/>
    <w:p w:rsidR="00EA2273" w:rsidRDefault="00EA2273">
      <w:pPr>
        <w:pStyle w:val="RecommendationMajorSectionHeading"/>
        <w:sectPr w:rsidR="00EA2273">
          <w:headerReference w:type="default" r:id="rId10"/>
          <w:footerReference w:type="default" r:id="rId11"/>
          <w:type w:val="continuous"/>
          <w:pgSz w:w="12240" w:h="15840" w:code="1"/>
          <w:pgMar w:top="1584" w:right="1440" w:bottom="1440" w:left="1440" w:header="720" w:footer="720" w:gutter="0"/>
          <w:cols w:space="720"/>
          <w:formProt w:val="0"/>
          <w:titlePg/>
          <w:docGrid w:linePitch="360"/>
        </w:sectPr>
      </w:pPr>
    </w:p>
    <w:p w:rsidR="007C0528" w:rsidRDefault="007C0528">
      <w:pPr>
        <w:pStyle w:val="RecommendationMajorSectionHeading"/>
      </w:pPr>
      <w:bookmarkStart w:id="16" w:name="DiscussionOfIssues"/>
      <w:r>
        <w:lastRenderedPageBreak/>
        <w:t>Discussion of Issues</w:t>
      </w:r>
    </w:p>
    <w:bookmarkEnd w:id="16"/>
    <w:p w:rsidR="001D2928" w:rsidRDefault="001D2928">
      <w:pPr>
        <w:pStyle w:val="IssueHeading"/>
        <w:rPr>
          <w:vanish/>
          <w:specVanish/>
        </w:rPr>
      </w:pPr>
      <w:r w:rsidRPr="004C3641">
        <w:t xml:space="preserve">Issue </w:t>
      </w:r>
      <w:fldSimple w:instr=" SEQ Issue \* MERGEFORMAT ">
        <w:r w:rsidR="007D25B7">
          <w:rPr>
            <w:noProof/>
          </w:rPr>
          <w:t>1</w:t>
        </w:r>
      </w:fldSimple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7D25B7">
        <w:rPr>
          <w:noProof/>
        </w:rPr>
        <w:instrText>1</w:instrText>
      </w:r>
      <w:r>
        <w:fldChar w:fldCharType="end"/>
      </w:r>
      <w:r>
        <w:tab/>
        <w:instrText xml:space="preserve">(Richards)" \l 1 </w:instrText>
      </w:r>
      <w:r>
        <w:fldChar w:fldCharType="end"/>
      </w:r>
      <w:r>
        <w:t> </w:t>
      </w:r>
    </w:p>
    <w:p w:rsidR="001D2928" w:rsidRDefault="001D2928">
      <w:pPr>
        <w:pStyle w:val="BodyText"/>
      </w:pPr>
      <w:r>
        <w:t xml:space="preserve"> Should the Commission authorize Peoples Gas to accrue an </w:t>
      </w:r>
      <w:r w:rsidR="00D821A2">
        <w:t>A</w:t>
      </w:r>
      <w:r>
        <w:t xml:space="preserve">llowance for </w:t>
      </w:r>
      <w:r w:rsidR="00D821A2">
        <w:t>F</w:t>
      </w:r>
      <w:r>
        <w:t xml:space="preserve">unds </w:t>
      </w:r>
      <w:r w:rsidR="00D821A2">
        <w:t>U</w:t>
      </w:r>
      <w:r>
        <w:t xml:space="preserve">sed </w:t>
      </w:r>
      <w:proofErr w:type="gramStart"/>
      <w:r w:rsidR="00D821A2">
        <w:t>D</w:t>
      </w:r>
      <w:r>
        <w:t>uring</w:t>
      </w:r>
      <w:proofErr w:type="gramEnd"/>
      <w:r>
        <w:t xml:space="preserve"> </w:t>
      </w:r>
      <w:r w:rsidR="00D821A2">
        <w:t>C</w:t>
      </w:r>
      <w:r>
        <w:t>onstruction</w:t>
      </w:r>
      <w:r w:rsidR="00A079BF">
        <w:t xml:space="preserve"> (AFUDC)</w:t>
      </w:r>
      <w:r>
        <w:t>?</w:t>
      </w:r>
    </w:p>
    <w:p w:rsidR="001D2928" w:rsidRPr="004C3641" w:rsidRDefault="001D2928">
      <w:pPr>
        <w:pStyle w:val="IssueSubsectionHeading"/>
        <w:rPr>
          <w:vanish/>
          <w:specVanish/>
        </w:rPr>
      </w:pPr>
      <w:r w:rsidRPr="004C3641">
        <w:t>Recommendation: </w:t>
      </w:r>
    </w:p>
    <w:p w:rsidR="001D2928" w:rsidRDefault="001D2928">
      <w:pPr>
        <w:pStyle w:val="BodyText"/>
      </w:pPr>
      <w:r>
        <w:t> </w:t>
      </w:r>
      <w:r w:rsidR="00A079BF">
        <w:t xml:space="preserve">Yes. </w:t>
      </w:r>
      <w:r w:rsidR="00ED0966">
        <w:t xml:space="preserve">The Commission should authorize </w:t>
      </w:r>
      <w:r w:rsidR="00A079BF">
        <w:t>Peoples Gas to accrue AFUDC.</w:t>
      </w:r>
      <w:r>
        <w:t xml:space="preserve"> (Richards)</w:t>
      </w:r>
    </w:p>
    <w:p w:rsidR="001D2928" w:rsidRPr="004C3641" w:rsidRDefault="001D2928">
      <w:pPr>
        <w:pStyle w:val="IssueSubsectionHeading"/>
        <w:rPr>
          <w:vanish/>
          <w:specVanish/>
        </w:rPr>
      </w:pPr>
      <w:r w:rsidRPr="004C3641">
        <w:t>Staff Analysis: </w:t>
      </w:r>
    </w:p>
    <w:p w:rsidR="00FA7AAE" w:rsidRDefault="001D2928" w:rsidP="00FA7AAE">
      <w:pPr>
        <w:pStyle w:val="BodyText"/>
      </w:pPr>
      <w:r>
        <w:t> </w:t>
      </w:r>
      <w:r w:rsidR="00FA7AAE">
        <w:t>In accordance with Rule 25-7.0141, Florida Administrative Code (F.A.C.), Peoples Gas has requested that the Commission allow the Company to accrue AFUDC to develop three expansion projects estimated to cost $136 million in total. Peoples Gas currently is not authorized to accrue AFUDC</w:t>
      </w:r>
      <w:r w:rsidR="00CE0CD8">
        <w:t xml:space="preserve"> and does not have a Commission-</w:t>
      </w:r>
      <w:r w:rsidR="00FA7AAE">
        <w:t xml:space="preserve">approved AFUDC cost rate. Prior to 1995, Rule 25-7.0141, F.A.C., </w:t>
      </w:r>
      <w:r w:rsidR="00481B96">
        <w:t>set forth</w:t>
      </w:r>
      <w:r w:rsidR="00FA7AAE">
        <w:t xml:space="preserve"> comprehensive eligibility requirements and </w:t>
      </w:r>
      <w:r w:rsidR="00481B96">
        <w:t xml:space="preserve">a </w:t>
      </w:r>
      <w:r w:rsidR="00FA7AAE">
        <w:t xml:space="preserve">methodology </w:t>
      </w:r>
      <w:r w:rsidR="00481B96">
        <w:t>regarding</w:t>
      </w:r>
      <w:r w:rsidR="00FA7AAE">
        <w:t xml:space="preserve"> AFUDC for gas utilities. In 1995</w:t>
      </w:r>
      <w:r w:rsidR="00847E91">
        <w:t>,</w:t>
      </w:r>
      <w:r w:rsidR="00FA7AAE">
        <w:t xml:space="preserve"> this rule was amended to state simply that “a utility shall not accrue allowance for funds used during construction without prior Commission approval.” </w:t>
      </w:r>
    </w:p>
    <w:p w:rsidR="00BA1975" w:rsidRDefault="00FA7AAE" w:rsidP="00FA7AAE">
      <w:pPr>
        <w:pStyle w:val="BodyText"/>
      </w:pPr>
      <w:r>
        <w:t xml:space="preserve">While the rule regarding AFUDC for </w:t>
      </w:r>
      <w:r w:rsidR="00CE0CD8">
        <w:t xml:space="preserve">natural </w:t>
      </w:r>
      <w:r>
        <w:t xml:space="preserve">gas companies does not specify eligibility requirements and methodology, Commission rules regarding AFUDC for electric and water and wastewater </w:t>
      </w:r>
      <w:r w:rsidR="00481B96">
        <w:t xml:space="preserve">utilities </w:t>
      </w:r>
      <w:r>
        <w:t>do provide such eligibility requirements and methodology.</w:t>
      </w:r>
    </w:p>
    <w:p w:rsidR="00FA7AAE" w:rsidRDefault="00FA7AAE" w:rsidP="00FA7AAE">
      <w:pPr>
        <w:pStyle w:val="BodyText"/>
      </w:pPr>
      <w:r>
        <w:t>Rule 25-6.0141</w:t>
      </w:r>
      <w:r w:rsidR="00481B96">
        <w:t>(1</w:t>
      </w:r>
      <w:proofErr w:type="gramStart"/>
      <w:r w:rsidR="00481B96">
        <w:t>)(</w:t>
      </w:r>
      <w:proofErr w:type="gramEnd"/>
      <w:r w:rsidR="00481B96">
        <w:t>a)</w:t>
      </w:r>
      <w:r>
        <w:t>, F.A.C., (Electric AFUDC Rule) applies to electric utilities, and provides that the threshold requirements for projects to be eligible to accrue AFUDC include the following:</w:t>
      </w:r>
    </w:p>
    <w:p w:rsidR="00BA1975" w:rsidRDefault="00BA1975" w:rsidP="00FA7AAE">
      <w:pPr>
        <w:pStyle w:val="BodyText"/>
        <w:numPr>
          <w:ilvl w:val="0"/>
          <w:numId w:val="13"/>
        </w:numPr>
        <w:spacing w:after="0"/>
        <w:ind w:right="720"/>
      </w:pPr>
      <w:r>
        <w:t>The projects involve gross additions to plant in e</w:t>
      </w:r>
      <w:r w:rsidR="00AB0DA5">
        <w:t>xcess of 0.5 percent of the sum</w:t>
      </w:r>
      <w:r>
        <w:t xml:space="preserve"> of the total balance in Account 101 – Utility Plant in Service</w:t>
      </w:r>
      <w:r w:rsidR="00582DB5">
        <w:t xml:space="preserve">, </w:t>
      </w:r>
      <w:r>
        <w:t xml:space="preserve">and Account 106 – Completed Construction not Classified, at the time the project commence, and </w:t>
      </w:r>
    </w:p>
    <w:p w:rsidR="00BA1975" w:rsidRDefault="00BA1975" w:rsidP="00481B96">
      <w:pPr>
        <w:pStyle w:val="BodyText"/>
        <w:numPr>
          <w:ilvl w:val="1"/>
          <w:numId w:val="15"/>
        </w:numPr>
        <w:tabs>
          <w:tab w:val="left" w:pos="7920"/>
        </w:tabs>
        <w:spacing w:after="0"/>
        <w:ind w:right="720"/>
      </w:pPr>
      <w:r>
        <w:t>Are expected to be completed in excess of one year after commencement of construction, or</w:t>
      </w:r>
    </w:p>
    <w:p w:rsidR="00BA1975" w:rsidRDefault="00BA1975" w:rsidP="00481B96">
      <w:pPr>
        <w:pStyle w:val="BodyText"/>
        <w:numPr>
          <w:ilvl w:val="1"/>
          <w:numId w:val="15"/>
        </w:numPr>
        <w:spacing w:after="0"/>
        <w:ind w:right="720"/>
      </w:pPr>
      <w:r>
        <w:t>Were originally expected to be completed in one year or less and are suspended for six months or more, or are not ready for service after one year.</w:t>
      </w:r>
    </w:p>
    <w:p w:rsidR="00FA7AAE" w:rsidRDefault="00FA7AAE" w:rsidP="00FA7AAE">
      <w:pPr>
        <w:pStyle w:val="BodyText"/>
        <w:spacing w:after="0"/>
        <w:ind w:left="720" w:right="720"/>
      </w:pPr>
    </w:p>
    <w:p w:rsidR="00FA7AAE" w:rsidRDefault="00FA7AAE">
      <w:pPr>
        <w:pStyle w:val="BodyText"/>
      </w:pPr>
      <w:r>
        <w:t>Rule 25-30.116</w:t>
      </w:r>
      <w:r w:rsidR="00481B96">
        <w:t>(1</w:t>
      </w:r>
      <w:proofErr w:type="gramStart"/>
      <w:r w:rsidR="00481B96">
        <w:t>)(</w:t>
      </w:r>
      <w:proofErr w:type="gramEnd"/>
      <w:r w:rsidR="00481B96">
        <w:t>a)</w:t>
      </w:r>
      <w:r>
        <w:t>, F.A.C.</w:t>
      </w:r>
      <w:r w:rsidR="00481B96">
        <w:t>,</w:t>
      </w:r>
      <w:r>
        <w:t xml:space="preserve"> (Water </w:t>
      </w:r>
      <w:r w:rsidR="00481B96">
        <w:t xml:space="preserve">and Wastewater </w:t>
      </w:r>
      <w:r>
        <w:t xml:space="preserve">AFUDC Rule) applies to water and wastewater </w:t>
      </w:r>
      <w:r w:rsidR="00481B96">
        <w:t xml:space="preserve">(WAW) </w:t>
      </w:r>
      <w:r>
        <w:t>utilities and provides that the threshold requirements for projects to be eligible to accrue AFUDC include the following:</w:t>
      </w:r>
    </w:p>
    <w:p w:rsidR="00FA7AAE" w:rsidRDefault="00FA7AAE" w:rsidP="00FA7AAE">
      <w:pPr>
        <w:pStyle w:val="BodyText"/>
        <w:numPr>
          <w:ilvl w:val="0"/>
          <w:numId w:val="14"/>
        </w:numPr>
        <w:spacing w:after="0"/>
      </w:pPr>
      <w:r>
        <w:t>Projects that involve gross additions to plant in excess of $5,000 and</w:t>
      </w:r>
    </w:p>
    <w:p w:rsidR="00FA7AAE" w:rsidRDefault="00FA7AAE" w:rsidP="00481B96">
      <w:pPr>
        <w:pStyle w:val="BodyText"/>
        <w:numPr>
          <w:ilvl w:val="1"/>
          <w:numId w:val="16"/>
        </w:numPr>
        <w:spacing w:after="0"/>
        <w:ind w:right="720"/>
      </w:pPr>
      <w:r>
        <w:t>Are expected to be completed in excess of sixty days after commencement of construction or</w:t>
      </w:r>
    </w:p>
    <w:p w:rsidR="00FA7AAE" w:rsidRDefault="00FA7AAE" w:rsidP="00481B96">
      <w:pPr>
        <w:pStyle w:val="BodyText"/>
        <w:numPr>
          <w:ilvl w:val="1"/>
          <w:numId w:val="16"/>
        </w:numPr>
        <w:spacing w:after="0"/>
        <w:ind w:right="720"/>
      </w:pPr>
      <w:r>
        <w:t>Were originally expected to be completed in sixty days or less but are not ready for service after sixty days.</w:t>
      </w:r>
    </w:p>
    <w:p w:rsidR="00FA7AAE" w:rsidRDefault="00FA7AAE" w:rsidP="00FA7AAE">
      <w:pPr>
        <w:pStyle w:val="BodyText"/>
        <w:spacing w:after="0"/>
        <w:ind w:left="720"/>
      </w:pPr>
    </w:p>
    <w:p w:rsidR="00FA7AAE" w:rsidRDefault="00FA7AAE">
      <w:pPr>
        <w:pStyle w:val="BodyText"/>
      </w:pPr>
      <w:r>
        <w:t xml:space="preserve">The Electric and </w:t>
      </w:r>
      <w:r w:rsidR="00751F28">
        <w:t>WAW</w:t>
      </w:r>
      <w:r>
        <w:t xml:space="preserve"> AFUDC Rules would not be controlling on the </w:t>
      </w:r>
      <w:r w:rsidR="00CE0CD8">
        <w:t xml:space="preserve">natural </w:t>
      </w:r>
      <w:r>
        <w:t>gas industry; however, staff believes these rules can still provide instructive guidance in considering Peoples Gas’s request here.</w:t>
      </w:r>
    </w:p>
    <w:p w:rsidR="00A079BF" w:rsidRDefault="00582DB5">
      <w:pPr>
        <w:pStyle w:val="BodyText"/>
      </w:pPr>
      <w:r>
        <w:lastRenderedPageBreak/>
        <w:t>Exhibit</w:t>
      </w:r>
      <w:r w:rsidR="00A079BF">
        <w:t xml:space="preserve"> C submitted with the</w:t>
      </w:r>
      <w:r w:rsidR="00BA1975">
        <w:t xml:space="preserve"> Company’s</w:t>
      </w:r>
      <w:r w:rsidR="00CE0CD8">
        <w:t xml:space="preserve"> petition</w:t>
      </w:r>
      <w:r w:rsidR="00A079BF">
        <w:t xml:space="preserve"> demonstrates that each proposed project individually exceeds 0.5 percent of the sum of the balances in </w:t>
      </w:r>
      <w:r w:rsidR="00986467">
        <w:t>Gas Plant in Service (</w:t>
      </w:r>
      <w:r w:rsidR="00A079BF">
        <w:t>Account 101</w:t>
      </w:r>
      <w:r w:rsidR="00CE0CD8">
        <w:t>)</w:t>
      </w:r>
      <w:r w:rsidR="00986467">
        <w:t xml:space="preserve"> and Gas Completed Construction not Classified (Account 106)</w:t>
      </w:r>
      <w:r w:rsidR="006B3242">
        <w:t>; and c</w:t>
      </w:r>
      <w:r w:rsidR="00A079BF">
        <w:t>onstruction on each project is expected to take in excess of one year to complete, with each project beginning in 2019.</w:t>
      </w:r>
      <w:r w:rsidR="000E467A">
        <w:t xml:space="preserve"> The total project cost of $136 million </w:t>
      </w:r>
      <w:r w:rsidR="000E467A" w:rsidRPr="000E467A">
        <w:t xml:space="preserve">is approximately 8 percent of </w:t>
      </w:r>
      <w:r w:rsidR="00986467">
        <w:t>A</w:t>
      </w:r>
      <w:r w:rsidR="000E467A" w:rsidRPr="000E467A">
        <w:t>ccount 101 and Account 106 as of January 31, 2019.</w:t>
      </w:r>
    </w:p>
    <w:p w:rsidR="000E467A" w:rsidRDefault="007E6857">
      <w:pPr>
        <w:pStyle w:val="BodyText"/>
      </w:pPr>
      <w:r>
        <w:t>The Company stated that the Commission’s approval of its request to accrue AFUDC on the large cap</w:t>
      </w:r>
      <w:r w:rsidR="00CE0CD8">
        <w:t>ital projects, and subsequently</w:t>
      </w:r>
      <w:r>
        <w:t xml:space="preserve"> future large projects would ensure consistency in regulatory treatment provided to the Florida electric utilities and the water and wastewater utilities.</w:t>
      </w:r>
    </w:p>
    <w:p w:rsidR="007E6857" w:rsidRDefault="00BD3DE3">
      <w:pPr>
        <w:pStyle w:val="BodyText"/>
      </w:pPr>
      <w:r>
        <w:t>S</w:t>
      </w:r>
      <w:r w:rsidR="007E6857">
        <w:t xml:space="preserve">taff </w:t>
      </w:r>
      <w:r>
        <w:t xml:space="preserve">believes the Company’s request </w:t>
      </w:r>
      <w:r w:rsidR="00FA7AAE">
        <w:t xml:space="preserve">to accrue AFUDC </w:t>
      </w:r>
      <w:r>
        <w:t xml:space="preserve">is reasonable and appropriate </w:t>
      </w:r>
      <w:r w:rsidR="009602C0">
        <w:t xml:space="preserve">and </w:t>
      </w:r>
      <w:r>
        <w:t xml:space="preserve">recommends </w:t>
      </w:r>
      <w:r w:rsidR="00FA7AAE">
        <w:t xml:space="preserve">that </w:t>
      </w:r>
      <w:r>
        <w:t xml:space="preserve">the Commission authorize </w:t>
      </w:r>
      <w:r w:rsidR="009602C0">
        <w:t>Peoples Gas to accrue AFUDC.</w:t>
      </w:r>
      <w:r w:rsidR="00FA7AAE">
        <w:t xml:space="preserve"> Further, if one were to take guidance from the eligibility requirements and methodology used to calculate the AFUDC for Florida electric utilities and Florida wat</w:t>
      </w:r>
      <w:r w:rsidR="00CE0CD8">
        <w:t>er and wastewater utilities,</w:t>
      </w:r>
      <w:r w:rsidR="00FA7AAE">
        <w:t xml:space="preserve"> staff believes that the request would be consistent with those requirements and methodologies.</w:t>
      </w:r>
    </w:p>
    <w:p w:rsidR="001D2928" w:rsidRDefault="001D2928">
      <w:pPr>
        <w:pStyle w:val="IssueHeading"/>
        <w:rPr>
          <w:vanish/>
          <w:specVanish/>
        </w:rPr>
      </w:pPr>
      <w:r w:rsidRPr="004C3641">
        <w:rPr>
          <w:b w:val="0"/>
          <w:i w:val="0"/>
        </w:rPr>
        <w:br w:type="page"/>
      </w:r>
      <w:r w:rsidRPr="004C3641">
        <w:lastRenderedPageBreak/>
        <w:t xml:space="preserve">Issue </w:t>
      </w:r>
      <w:fldSimple w:instr=" SEQ Issue \* MERGEFORMAT ">
        <w:r w:rsidR="007D25B7">
          <w:rPr>
            <w:noProof/>
          </w:rPr>
          <w:t>2</w:t>
        </w:r>
      </w:fldSimple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7D25B7">
        <w:rPr>
          <w:noProof/>
        </w:rPr>
        <w:instrText>2</w:instrText>
      </w:r>
      <w:r>
        <w:fldChar w:fldCharType="end"/>
      </w:r>
      <w:r>
        <w:tab/>
        <w:instrText xml:space="preserve">(Richards)" \l 1 </w:instrText>
      </w:r>
      <w:r>
        <w:fldChar w:fldCharType="end"/>
      </w:r>
      <w:r>
        <w:t> </w:t>
      </w:r>
    </w:p>
    <w:p w:rsidR="001D2928" w:rsidRDefault="001D2928">
      <w:pPr>
        <w:pStyle w:val="BodyText"/>
      </w:pPr>
      <w:r>
        <w:t> Should the Commission approve Peoples</w:t>
      </w:r>
      <w:r w:rsidR="000805A6">
        <w:t xml:space="preserve"> Gas</w:t>
      </w:r>
      <w:r w:rsidR="009E5FF0">
        <w:t>’</w:t>
      </w:r>
      <w:r w:rsidR="00FA7AAE">
        <w:t>s</w:t>
      </w:r>
      <w:r>
        <w:t xml:space="preserve"> requested AFUDC rate of 5.97 percent?</w:t>
      </w:r>
    </w:p>
    <w:p w:rsidR="001D2928" w:rsidRPr="004C3641" w:rsidRDefault="001D2928">
      <w:pPr>
        <w:pStyle w:val="IssueSubsectionHeading"/>
        <w:rPr>
          <w:vanish/>
          <w:specVanish/>
        </w:rPr>
      </w:pPr>
      <w:r w:rsidRPr="004C3641">
        <w:t>Recommendation: </w:t>
      </w:r>
    </w:p>
    <w:p w:rsidR="001D2928" w:rsidRDefault="001D2928">
      <w:pPr>
        <w:pStyle w:val="BodyText"/>
      </w:pPr>
      <w:r>
        <w:t> </w:t>
      </w:r>
      <w:r w:rsidR="000805A6">
        <w:t>Yes. The appropriate AFUDC rate for Peoples Gas is 5.97 percent based on a 13-month average capital structure for the period ended December 31, 2018.</w:t>
      </w:r>
      <w:r>
        <w:t xml:space="preserve"> (Richards)</w:t>
      </w:r>
    </w:p>
    <w:p w:rsidR="001D2928" w:rsidRPr="004C3641" w:rsidRDefault="001D2928">
      <w:pPr>
        <w:pStyle w:val="IssueSubsectionHeading"/>
        <w:rPr>
          <w:vanish/>
          <w:specVanish/>
        </w:rPr>
      </w:pPr>
      <w:r w:rsidRPr="004C3641">
        <w:t>Staff Analysis: </w:t>
      </w:r>
    </w:p>
    <w:p w:rsidR="001D2928" w:rsidRDefault="001D2928">
      <w:pPr>
        <w:pStyle w:val="BodyText"/>
        <w:rPr>
          <w:noProof/>
          <w:color w:val="000000"/>
        </w:rPr>
      </w:pPr>
      <w:r>
        <w:t> </w:t>
      </w:r>
      <w:r w:rsidR="00A079BF">
        <w:t xml:space="preserve">Peoples Gas requested an AFUDC rate of 5.97 percent based on a 13-month average capital structure for the period ended December 31, 2018. </w:t>
      </w:r>
      <w:r w:rsidR="009E5FF0">
        <w:rPr>
          <w:noProof/>
          <w:color w:val="000000"/>
        </w:rPr>
        <w:t>People</w:t>
      </w:r>
      <w:r w:rsidR="00A079BF">
        <w:rPr>
          <w:noProof/>
          <w:color w:val="000000"/>
        </w:rPr>
        <w:t>s Gas has used the same formulaic approach as the electric industry to determine the appropriate AFUDC rate.</w:t>
      </w:r>
    </w:p>
    <w:p w:rsidR="0095432C" w:rsidRDefault="0095432C">
      <w:pPr>
        <w:pStyle w:val="BodyText"/>
        <w:rPr>
          <w:noProof/>
          <w:color w:val="000000"/>
        </w:rPr>
      </w:pPr>
      <w:r>
        <w:rPr>
          <w:noProof/>
          <w:color w:val="000000"/>
        </w:rPr>
        <w:t xml:space="preserve">Similarly to the electric industry, Peoples Gas used the midpoint of the last allowed return on common equity, the most recent 13-month average cost of short-term debt and customer deposits and a zero cost rate for deferred taxes and all investment tax credits. The cost of long-term debt was based on end of period cost. The annual percentage rate was calculated to two decimal places. </w:t>
      </w:r>
    </w:p>
    <w:p w:rsidR="00BD3DE3" w:rsidRDefault="00A079BF">
      <w:pPr>
        <w:pStyle w:val="BodyText"/>
        <w:rPr>
          <w:noProof/>
          <w:color w:val="000000"/>
        </w:rPr>
      </w:pPr>
      <w:r>
        <w:rPr>
          <w:noProof/>
          <w:color w:val="000000"/>
        </w:rPr>
        <w:t>In support of the requested AFUDC rate of 5.97 percent, Peoples Gas provided its calculations and capital structure in Schedules A and B attached to its request. Staff reviewed the schedules and determined that the proposed rate was</w:t>
      </w:r>
      <w:r w:rsidR="00BD3DE3">
        <w:rPr>
          <w:noProof/>
          <w:color w:val="000000"/>
        </w:rPr>
        <w:t xml:space="preserve"> calculated correctly</w:t>
      </w:r>
      <w:r>
        <w:rPr>
          <w:noProof/>
          <w:color w:val="000000"/>
        </w:rPr>
        <w:t xml:space="preserve">. </w:t>
      </w:r>
      <w:r w:rsidR="0095432C">
        <w:rPr>
          <w:noProof/>
          <w:color w:val="000000"/>
        </w:rPr>
        <w:t>Peoples</w:t>
      </w:r>
      <w:r w:rsidR="00DA6789">
        <w:rPr>
          <w:noProof/>
          <w:color w:val="000000"/>
        </w:rPr>
        <w:t xml:space="preserve"> Gas used the midpoint return on</w:t>
      </w:r>
      <w:r w:rsidR="0095432C">
        <w:rPr>
          <w:noProof/>
          <w:color w:val="000000"/>
        </w:rPr>
        <w:t xml:space="preserve"> equity of 10.75 percent</w:t>
      </w:r>
      <w:r w:rsidR="00DA6789">
        <w:rPr>
          <w:noProof/>
          <w:color w:val="000000"/>
        </w:rPr>
        <w:t>, which was approved by Order No. PSC-2009-0411-FOF-GU</w:t>
      </w:r>
      <w:r w:rsidR="0095432C">
        <w:rPr>
          <w:noProof/>
          <w:color w:val="000000"/>
        </w:rPr>
        <w:t>.</w:t>
      </w:r>
      <w:r w:rsidR="00DA6789">
        <w:rPr>
          <w:rStyle w:val="FootnoteReference"/>
          <w:noProof/>
          <w:color w:val="000000"/>
        </w:rPr>
        <w:footnoteReference w:id="1"/>
      </w:r>
    </w:p>
    <w:p w:rsidR="00A079BF" w:rsidRPr="00BD3DE3" w:rsidRDefault="00BD3DE3">
      <w:pPr>
        <w:pStyle w:val="BodyText"/>
        <w:rPr>
          <w:noProof/>
          <w:color w:val="000000"/>
        </w:rPr>
      </w:pPr>
      <w:r>
        <w:rPr>
          <w:noProof/>
          <w:color w:val="000000"/>
        </w:rPr>
        <w:t>Based on its review, staff believes</w:t>
      </w:r>
      <w:r w:rsidR="00A079BF">
        <w:rPr>
          <w:noProof/>
          <w:color w:val="000000"/>
        </w:rPr>
        <w:t xml:space="preserve"> the AFUDC rate</w:t>
      </w:r>
      <w:r>
        <w:rPr>
          <w:noProof/>
          <w:color w:val="000000"/>
        </w:rPr>
        <w:t xml:space="preserve"> of 5.97</w:t>
      </w:r>
      <w:r w:rsidR="00D821A2">
        <w:rPr>
          <w:noProof/>
          <w:color w:val="000000"/>
        </w:rPr>
        <w:t xml:space="preserve"> percent</w:t>
      </w:r>
      <w:r>
        <w:rPr>
          <w:noProof/>
          <w:color w:val="000000"/>
        </w:rPr>
        <w:t xml:space="preserve"> based on a 13-month average capital structure for the period ended December 31, 2018,</w:t>
      </w:r>
      <w:r w:rsidR="00A079BF">
        <w:rPr>
          <w:noProof/>
          <w:color w:val="000000"/>
        </w:rPr>
        <w:t xml:space="preserve"> is app</w:t>
      </w:r>
      <w:r>
        <w:rPr>
          <w:noProof/>
          <w:color w:val="000000"/>
        </w:rPr>
        <w:t>ropriate and recommends  Commission approval</w:t>
      </w:r>
      <w:r w:rsidR="00A079BF">
        <w:rPr>
          <w:noProof/>
          <w:color w:val="000000"/>
        </w:rPr>
        <w:t>.</w:t>
      </w:r>
    </w:p>
    <w:p w:rsidR="001D2928" w:rsidRDefault="001D2928">
      <w:pPr>
        <w:pStyle w:val="IssueHeading"/>
        <w:rPr>
          <w:vanish/>
          <w:specVanish/>
        </w:rPr>
      </w:pPr>
      <w:r w:rsidRPr="004C3641">
        <w:rPr>
          <w:b w:val="0"/>
          <w:i w:val="0"/>
        </w:rPr>
        <w:br w:type="page"/>
      </w:r>
      <w:r w:rsidRPr="004C3641">
        <w:lastRenderedPageBreak/>
        <w:t xml:space="preserve">Issue </w:t>
      </w:r>
      <w:fldSimple w:instr=" SEQ Issue \* MERGEFORMAT ">
        <w:r w:rsidR="007D25B7">
          <w:rPr>
            <w:noProof/>
          </w:rPr>
          <w:t>3</w:t>
        </w:r>
      </w:fldSimple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7D25B7">
        <w:rPr>
          <w:noProof/>
        </w:rPr>
        <w:instrText>3</w:instrText>
      </w:r>
      <w:r>
        <w:fldChar w:fldCharType="end"/>
      </w:r>
      <w:r>
        <w:tab/>
        <w:instrText xml:space="preserve">(Richards)" \l 1 </w:instrText>
      </w:r>
      <w:r>
        <w:fldChar w:fldCharType="end"/>
      </w:r>
      <w:r>
        <w:t> </w:t>
      </w:r>
    </w:p>
    <w:p w:rsidR="001D2928" w:rsidRDefault="001D2928">
      <w:pPr>
        <w:pStyle w:val="BodyText"/>
      </w:pPr>
      <w:r>
        <w:t> What is the appropriate monthly compounding rate to achieve the requested 5.97 percent annual AFUDC rate?</w:t>
      </w:r>
    </w:p>
    <w:p w:rsidR="001D2928" w:rsidRPr="004C3641" w:rsidRDefault="001D2928">
      <w:pPr>
        <w:pStyle w:val="IssueSubsectionHeading"/>
        <w:rPr>
          <w:vanish/>
          <w:specVanish/>
        </w:rPr>
      </w:pPr>
      <w:r w:rsidRPr="004C3641">
        <w:t>Recommendation: </w:t>
      </w:r>
    </w:p>
    <w:p w:rsidR="001D2928" w:rsidRDefault="001D2928">
      <w:pPr>
        <w:pStyle w:val="BodyText"/>
      </w:pPr>
      <w:r>
        <w:t> </w:t>
      </w:r>
      <w:r w:rsidR="000805A6">
        <w:t>The appropriate monthly compounding rate to maintain an annual rate of 5.97 percent is 0.48438</w:t>
      </w:r>
      <w:r w:rsidR="00D821A2">
        <w:t>5</w:t>
      </w:r>
      <w:r w:rsidR="000805A6">
        <w:t xml:space="preserve"> percent.</w:t>
      </w:r>
      <w:r>
        <w:t xml:space="preserve"> (Richards)</w:t>
      </w:r>
    </w:p>
    <w:p w:rsidR="001D2928" w:rsidRPr="004C3641" w:rsidRDefault="001D2928">
      <w:pPr>
        <w:pStyle w:val="IssueSubsectionHeading"/>
        <w:rPr>
          <w:vanish/>
          <w:specVanish/>
        </w:rPr>
      </w:pPr>
      <w:r w:rsidRPr="004C3641">
        <w:t>Staff Analysis: </w:t>
      </w:r>
    </w:p>
    <w:p w:rsidR="000805A6" w:rsidRDefault="001D2928">
      <w:pPr>
        <w:pStyle w:val="BodyText"/>
      </w:pPr>
      <w:r>
        <w:t> </w:t>
      </w:r>
      <w:r w:rsidR="000805A6">
        <w:t>Peoples Gas requested a monthly compounding rate of 0.48438</w:t>
      </w:r>
      <w:r w:rsidR="00D821A2">
        <w:t>5</w:t>
      </w:r>
      <w:r w:rsidR="000805A6">
        <w:t xml:space="preserve"> percent to achieve an annual AFUDC rate of 5.97 percent. In support of the requested monthly compounding rate of 0.48438</w:t>
      </w:r>
      <w:r w:rsidR="00D821A2">
        <w:t>5</w:t>
      </w:r>
      <w:r w:rsidR="000805A6">
        <w:t xml:space="preserve"> percent, </w:t>
      </w:r>
      <w:r w:rsidR="009E5FF0">
        <w:t>the Company</w:t>
      </w:r>
      <w:r w:rsidR="000805A6">
        <w:t xml:space="preserve"> provided its calculations in Schedule C attached to the amended request</w:t>
      </w:r>
      <w:r w:rsidR="00974D73">
        <w:t xml:space="preserve">. The </w:t>
      </w:r>
      <w:r w:rsidR="00AB0DA5">
        <w:t>methodology</w:t>
      </w:r>
      <w:r w:rsidR="00974D73">
        <w:t xml:space="preserve"> used to calculate the monthly compounding rate is consistent with the </w:t>
      </w:r>
      <w:r w:rsidR="00AB0DA5">
        <w:t>methodology</w:t>
      </w:r>
      <w:r w:rsidR="00974D73">
        <w:t xml:space="preserve"> used by the Florida electric utilities. </w:t>
      </w:r>
      <w:r w:rsidR="000805A6">
        <w:t>Staff reviewed the Company’s calculations and determined they are correct</w:t>
      </w:r>
      <w:r w:rsidR="00974D73">
        <w:t>. T</w:t>
      </w:r>
      <w:r w:rsidR="000805A6">
        <w:t>herefore, staff recommends that the Commission approve a monthly AFUDC rate of 0.48438</w:t>
      </w:r>
      <w:r w:rsidR="00D821A2">
        <w:t>5</w:t>
      </w:r>
      <w:r w:rsidR="000805A6">
        <w:t xml:space="preserve"> percent. </w:t>
      </w:r>
    </w:p>
    <w:p w:rsidR="001D2928" w:rsidRDefault="001D2928">
      <w:pPr>
        <w:pStyle w:val="IssueHeading"/>
        <w:rPr>
          <w:vanish/>
          <w:specVanish/>
        </w:rPr>
      </w:pPr>
      <w:r w:rsidRPr="004C3641">
        <w:rPr>
          <w:b w:val="0"/>
          <w:i w:val="0"/>
        </w:rPr>
        <w:br w:type="page"/>
      </w:r>
      <w:r w:rsidRPr="004C3641">
        <w:lastRenderedPageBreak/>
        <w:t xml:space="preserve">Issue </w:t>
      </w:r>
      <w:fldSimple w:instr=" SEQ Issue \* MERGEFORMAT ">
        <w:r w:rsidR="007D25B7">
          <w:rPr>
            <w:noProof/>
          </w:rPr>
          <w:t>4</w:t>
        </w:r>
      </w:fldSimple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7D25B7">
        <w:rPr>
          <w:noProof/>
        </w:rPr>
        <w:instrText>4</w:instrText>
      </w:r>
      <w:r>
        <w:fldChar w:fldCharType="end"/>
      </w:r>
      <w:r>
        <w:tab/>
        <w:instrText xml:space="preserve">(Richards)" \l 1 </w:instrText>
      </w:r>
      <w:r>
        <w:fldChar w:fldCharType="end"/>
      </w:r>
      <w:r>
        <w:t> </w:t>
      </w:r>
    </w:p>
    <w:p w:rsidR="001D2928" w:rsidRDefault="001D2928">
      <w:pPr>
        <w:pStyle w:val="BodyText"/>
      </w:pPr>
      <w:r>
        <w:t> Should the Commission approve Peoples</w:t>
      </w:r>
      <w:r w:rsidR="009E5FF0">
        <w:t xml:space="preserve"> Gas’</w:t>
      </w:r>
      <w:r>
        <w:t xml:space="preserve"> requested effective date of January 1, 2019, for implementing the AFUDC rate?</w:t>
      </w:r>
    </w:p>
    <w:p w:rsidR="001D2928" w:rsidRPr="004C3641" w:rsidRDefault="001D2928">
      <w:pPr>
        <w:pStyle w:val="IssueSubsectionHeading"/>
        <w:rPr>
          <w:vanish/>
          <w:specVanish/>
        </w:rPr>
      </w:pPr>
      <w:r w:rsidRPr="004C3641">
        <w:t>Recommendation: </w:t>
      </w:r>
    </w:p>
    <w:p w:rsidR="001D2928" w:rsidRDefault="001D2928">
      <w:pPr>
        <w:pStyle w:val="BodyText"/>
      </w:pPr>
      <w:r>
        <w:t> </w:t>
      </w:r>
      <w:r w:rsidR="000805A6">
        <w:t>Yes. The AFUDC rate should be effective as of J</w:t>
      </w:r>
      <w:r w:rsidR="00974D73">
        <w:t>anuary 1, 2019</w:t>
      </w:r>
      <w:r w:rsidR="000805A6">
        <w:t>.</w:t>
      </w:r>
      <w:r>
        <w:t xml:space="preserve"> (Richards)</w:t>
      </w:r>
    </w:p>
    <w:p w:rsidR="001D2928" w:rsidRPr="004C3641" w:rsidRDefault="001D2928">
      <w:pPr>
        <w:pStyle w:val="IssueSubsectionHeading"/>
        <w:rPr>
          <w:vanish/>
          <w:specVanish/>
        </w:rPr>
      </w:pPr>
      <w:r w:rsidRPr="004C3641">
        <w:t>Staff Analysis: </w:t>
      </w:r>
    </w:p>
    <w:p w:rsidR="001D2928" w:rsidRDefault="001D2928">
      <w:pPr>
        <w:pStyle w:val="BodyText"/>
      </w:pPr>
      <w:r>
        <w:t> </w:t>
      </w:r>
      <w:r w:rsidR="000805A6">
        <w:t>Peoples</w:t>
      </w:r>
      <w:r w:rsidR="009E5FF0">
        <w:t xml:space="preserve"> Gas</w:t>
      </w:r>
      <w:r w:rsidR="00461A70">
        <w:t>’</w:t>
      </w:r>
      <w:r w:rsidR="00FA7AAE">
        <w:t>s</w:t>
      </w:r>
      <w:r w:rsidR="000805A6">
        <w:t xml:space="preserve"> proposed AFUDC rate was calculated using a 13-month average capital structure for the period ended December 31, 2018.</w:t>
      </w:r>
      <w:r w:rsidR="0095432C">
        <w:t xml:space="preserve"> Peoples Gas requests the new AFUDC rate be effective the month following the end of the 12-month period used to establish that rate as is </w:t>
      </w:r>
      <w:r w:rsidR="00CE0CD8">
        <w:t xml:space="preserve">the </w:t>
      </w:r>
      <w:r w:rsidR="0095432C">
        <w:t>practice for the</w:t>
      </w:r>
      <w:r w:rsidR="00974D73">
        <w:t xml:space="preserve"> Florida</w:t>
      </w:r>
      <w:r w:rsidR="0095432C">
        <w:t xml:space="preserve"> electric and water</w:t>
      </w:r>
      <w:r w:rsidR="00974D73">
        <w:t xml:space="preserve"> and wastewater utilities</w:t>
      </w:r>
      <w:r w:rsidR="0095432C">
        <w:t>.</w:t>
      </w:r>
    </w:p>
    <w:p w:rsidR="000805A6" w:rsidRDefault="000805A6">
      <w:pPr>
        <w:pStyle w:val="BodyText"/>
      </w:pPr>
      <w:r>
        <w:t xml:space="preserve">The Company’s requested effective date of January 1, 2019, does not </w:t>
      </w:r>
      <w:proofErr w:type="gramStart"/>
      <w:r>
        <w:t>precede</w:t>
      </w:r>
      <w:proofErr w:type="gramEnd"/>
      <w:r>
        <w:t xml:space="preserve"> the period used to calculate the rate, and therefore the effective date should be approved.</w:t>
      </w:r>
      <w:r w:rsidR="00974D73">
        <w:t xml:space="preserve"> Accordingly, staff recommends an effective date as of January 1, 2019.</w:t>
      </w:r>
    </w:p>
    <w:p w:rsidR="001D2928" w:rsidRDefault="001D2928">
      <w:pPr>
        <w:pStyle w:val="IssueHeading"/>
        <w:rPr>
          <w:vanish/>
          <w:specVanish/>
        </w:rPr>
      </w:pPr>
      <w:r w:rsidRPr="004C3641">
        <w:rPr>
          <w:b w:val="0"/>
          <w:i w:val="0"/>
        </w:rPr>
        <w:br w:type="page"/>
      </w:r>
      <w:r w:rsidRPr="004C3641">
        <w:lastRenderedPageBreak/>
        <w:t xml:space="preserve">Issue </w:t>
      </w:r>
      <w:fldSimple w:instr=" SEQ Issue \* MERGEFORMAT ">
        <w:r w:rsidR="007D25B7">
          <w:rPr>
            <w:noProof/>
          </w:rPr>
          <w:t>5</w:t>
        </w:r>
      </w:fldSimple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7D25B7">
        <w:rPr>
          <w:noProof/>
        </w:rPr>
        <w:instrText>5</w:instrText>
      </w:r>
      <w:r>
        <w:fldChar w:fldCharType="end"/>
      </w:r>
      <w:r>
        <w:tab/>
        <w:instrText xml:space="preserve">(Schrader)" \l 1 </w:instrText>
      </w:r>
      <w:r>
        <w:fldChar w:fldCharType="end"/>
      </w:r>
      <w:r>
        <w:t> </w:t>
      </w:r>
    </w:p>
    <w:p w:rsidR="001D2928" w:rsidRDefault="001D2928">
      <w:pPr>
        <w:pStyle w:val="BodyText"/>
      </w:pPr>
      <w:r>
        <w:t> Should this docket be closed?</w:t>
      </w:r>
    </w:p>
    <w:p w:rsidR="001D2928" w:rsidRPr="004C3641" w:rsidRDefault="001D2928">
      <w:pPr>
        <w:pStyle w:val="IssueSubsectionHeading"/>
        <w:rPr>
          <w:vanish/>
          <w:specVanish/>
        </w:rPr>
      </w:pPr>
      <w:r w:rsidRPr="004C3641">
        <w:t>Recommendation: </w:t>
      </w:r>
    </w:p>
    <w:p w:rsidR="001D2928" w:rsidRDefault="001D2928">
      <w:pPr>
        <w:pStyle w:val="BodyText"/>
      </w:pPr>
      <w:r>
        <w:t> </w:t>
      </w:r>
      <w:r w:rsidR="000805A6">
        <w:t>If no person whose substantial interests are affected by the proposed agency action files a protest within 21 days of issuance of the order, this docket should be closed upon the issuance of a consummating order.</w:t>
      </w:r>
      <w:r>
        <w:t xml:space="preserve"> (Schrader)</w:t>
      </w:r>
    </w:p>
    <w:p w:rsidR="001D2928" w:rsidRPr="004C3641" w:rsidRDefault="001D2928">
      <w:pPr>
        <w:pStyle w:val="IssueSubsectionHeading"/>
        <w:rPr>
          <w:vanish/>
          <w:specVanish/>
        </w:rPr>
      </w:pPr>
      <w:r w:rsidRPr="004C3641">
        <w:t>Staff Analysis: </w:t>
      </w:r>
    </w:p>
    <w:p w:rsidR="001D2928" w:rsidRDefault="001D2928">
      <w:pPr>
        <w:pStyle w:val="BodyText"/>
      </w:pPr>
      <w:r>
        <w:t> </w:t>
      </w:r>
      <w:r w:rsidR="000805A6">
        <w:t>If no person whose substantial interests are affected by the proposed agency action files a protest within 21 days of the issuance of the order, this docket should be closed upon the issuance of a consummating order.</w:t>
      </w:r>
    </w:p>
    <w:p w:rsidR="00E06484" w:rsidRDefault="00E06484" w:rsidP="00E275D8">
      <w:pPr>
        <w:pStyle w:val="BodyText"/>
      </w:pPr>
    </w:p>
    <w:sectPr w:rsidR="00E06484" w:rsidSect="0068481F">
      <w:headerReference w:type="default" r:id="rId12"/>
      <w:headerReference w:type="first" r:id="rId13"/>
      <w:footerReference w:type="first" r:id="rId14"/>
      <w:pgSz w:w="12240" w:h="15840" w:code="1"/>
      <w:pgMar w:top="1584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928" w:rsidRDefault="001D2928">
      <w:r>
        <w:separator/>
      </w:r>
    </w:p>
  </w:endnote>
  <w:endnote w:type="continuationSeparator" w:id="0">
    <w:p w:rsidR="001D2928" w:rsidRDefault="001D2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BC402E">
    <w:pPr>
      <w:pStyle w:val="Footer"/>
      <w:tabs>
        <w:tab w:val="clear" w:pos="4320"/>
        <w:tab w:val="clear" w:pos="8640"/>
        <w:tab w:val="center" w:pos="4674"/>
        <w:tab w:val="right" w:pos="9360"/>
      </w:tabs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C71E8">
      <w:rPr>
        <w:rStyle w:val="PageNumber"/>
        <w:noProof/>
      </w:rPr>
      <w:t>7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BC40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928" w:rsidRDefault="001D2928">
      <w:r>
        <w:separator/>
      </w:r>
    </w:p>
  </w:footnote>
  <w:footnote w:type="continuationSeparator" w:id="0">
    <w:p w:rsidR="001D2928" w:rsidRDefault="001D2928">
      <w:r>
        <w:continuationSeparator/>
      </w:r>
    </w:p>
  </w:footnote>
  <w:footnote w:id="1">
    <w:p w:rsidR="00DA6789" w:rsidRDefault="00DA6789">
      <w:pPr>
        <w:pStyle w:val="FootnoteText"/>
      </w:pPr>
      <w:r>
        <w:rPr>
          <w:rStyle w:val="FootnoteReference"/>
        </w:rPr>
        <w:footnoteRef/>
      </w:r>
      <w:proofErr w:type="gramStart"/>
      <w:r>
        <w:t>Order No.</w:t>
      </w:r>
      <w:proofErr w:type="gramEnd"/>
      <w:r>
        <w:t xml:space="preserve"> PSC-2009-0411-FOF-GU, issued June 9, 2009, in Docket No. 20080318-GU, </w:t>
      </w:r>
      <w:r>
        <w:rPr>
          <w:i/>
        </w:rPr>
        <w:t>In re: Petition for rate increase by Peoples Gas System.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1D2928" w:rsidP="00220732">
    <w:pPr>
      <w:pStyle w:val="Header"/>
      <w:tabs>
        <w:tab w:val="clear" w:pos="4320"/>
        <w:tab w:val="clear" w:pos="8640"/>
        <w:tab w:val="right" w:pos="9360"/>
      </w:tabs>
    </w:pPr>
    <w:bookmarkStart w:id="14" w:name="DocketLabel"/>
    <w:r>
      <w:t>Docket No.</w:t>
    </w:r>
    <w:bookmarkEnd w:id="14"/>
    <w:r w:rsidR="00BC402E">
      <w:t xml:space="preserve"> </w:t>
    </w:r>
    <w:bookmarkStart w:id="15" w:name="DocketList"/>
    <w:r>
      <w:t>20190091-GU</w:t>
    </w:r>
    <w:bookmarkEnd w:id="15"/>
  </w:p>
  <w:p w:rsidR="00BC402E" w:rsidRDefault="00BC402E">
    <w:pPr>
      <w:pStyle w:val="Header"/>
    </w:pPr>
    <w:r>
      <w:t xml:space="preserve">Date: </w:t>
    </w:r>
    <w:fldSimple w:instr=" REF FilingDate ">
      <w:r w:rsidR="007D25B7">
        <w:t>June 26, 2019</w:t>
      </w:r>
    </w:fldSimple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BC402E" w:rsidP="00220732">
    <w:pPr>
      <w:pStyle w:val="Header"/>
      <w:tabs>
        <w:tab w:val="clear" w:pos="4320"/>
        <w:tab w:val="clear" w:pos="8640"/>
        <w:tab w:val="right" w:pos="9360"/>
      </w:tabs>
    </w:pPr>
    <w:r>
      <w:fldChar w:fldCharType="begin"/>
    </w:r>
    <w:r>
      <w:instrText xml:space="preserve"> REF DocketLabel</w:instrText>
    </w:r>
    <w:r>
      <w:fldChar w:fldCharType="separate"/>
    </w:r>
    <w:r w:rsidR="007D25B7">
      <w:t>Docket No.</w:t>
    </w:r>
    <w:r>
      <w:fldChar w:fldCharType="end"/>
    </w:r>
    <w:r>
      <w:t xml:space="preserve"> </w:t>
    </w:r>
    <w:r>
      <w:fldChar w:fldCharType="begin"/>
    </w:r>
    <w:r>
      <w:instrText xml:space="preserve"> REF DocketList</w:instrText>
    </w:r>
    <w:r>
      <w:fldChar w:fldCharType="separate"/>
    </w:r>
    <w:r w:rsidR="007D25B7">
      <w:t>20190091-GU</w:t>
    </w:r>
    <w:r>
      <w:fldChar w:fldCharType="end"/>
    </w:r>
    <w:r>
      <w:tab/>
      <w:t xml:space="preserve">Issue </w:t>
    </w:r>
    <w:r w:rsidR="004C6B8C">
      <w:fldChar w:fldCharType="begin"/>
    </w:r>
    <w:r w:rsidR="004C6B8C">
      <w:instrText xml:space="preserve"> Seq Issue \c \* Arabic</w:instrText>
    </w:r>
    <w:r w:rsidR="004C6B8C">
      <w:instrText xml:space="preserve"> </w:instrText>
    </w:r>
    <w:r w:rsidR="004C6B8C">
      <w:fldChar w:fldCharType="separate"/>
    </w:r>
    <w:r w:rsidR="009C71E8">
      <w:rPr>
        <w:noProof/>
      </w:rPr>
      <w:t>5</w:t>
    </w:r>
    <w:r w:rsidR="004C6B8C">
      <w:rPr>
        <w:noProof/>
      </w:rPr>
      <w:fldChar w:fldCharType="end"/>
    </w:r>
  </w:p>
  <w:p w:rsidR="00BC402E" w:rsidRDefault="00BC402E">
    <w:pPr>
      <w:pStyle w:val="Header"/>
    </w:pPr>
    <w:r>
      <w:t xml:space="preserve">Date: </w:t>
    </w:r>
    <w:fldSimple w:instr=" REF FilingDate ">
      <w:r w:rsidR="007D25B7">
        <w:t>June 26, 2019</w:t>
      </w:r>
    </w:fldSimple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02E" w:rsidRDefault="00BC40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EFC6C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0AA0D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7762B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8FE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320B4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60CFD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63058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F8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D63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024AE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802A1C"/>
    <w:multiLevelType w:val="hybridMultilevel"/>
    <w:tmpl w:val="6AA6C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3221FB"/>
    <w:multiLevelType w:val="hybridMultilevel"/>
    <w:tmpl w:val="99CED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187C13"/>
    <w:multiLevelType w:val="hybridMultilevel"/>
    <w:tmpl w:val="FD429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C459FD"/>
    <w:multiLevelType w:val="hybridMultilevel"/>
    <w:tmpl w:val="2688A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824DE6"/>
    <w:multiLevelType w:val="hybridMultilevel"/>
    <w:tmpl w:val="686A2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862540"/>
    <w:multiLevelType w:val="hybridMultilevel"/>
    <w:tmpl w:val="88EE9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4"/>
  </w:num>
  <w:num w:numId="13">
    <w:abstractNumId w:val="15"/>
  </w:num>
  <w:num w:numId="14">
    <w:abstractNumId w:val="12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activeWritingStyle w:appName="MSWord" w:lang="es-MX" w:vendorID="64" w:dllVersion="131078" w:nlCheck="1" w:checkStyle="1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57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2DC39D9-B7F2-4F33-8079-DE13EA01171C}"/>
    <w:docVar w:name="dgnword-eventsink" w:val="337566896"/>
    <w:docVar w:name="NumberOfIssues" w:val="0"/>
    <w:docVar w:name="StaffInToC" w:val="True"/>
  </w:docVars>
  <w:rsids>
    <w:rsidRoot w:val="001D2928"/>
    <w:rsid w:val="000043D5"/>
    <w:rsid w:val="00006170"/>
    <w:rsid w:val="00010E37"/>
    <w:rsid w:val="000172DA"/>
    <w:rsid w:val="000247C5"/>
    <w:rsid w:val="000277C2"/>
    <w:rsid w:val="00035B48"/>
    <w:rsid w:val="00036CE2"/>
    <w:rsid w:val="000437FE"/>
    <w:rsid w:val="000513BE"/>
    <w:rsid w:val="00065A06"/>
    <w:rsid w:val="000666F3"/>
    <w:rsid w:val="00070DCB"/>
    <w:rsid w:val="00072CCA"/>
    <w:rsid w:val="00073120"/>
    <w:rsid w:val="000764D0"/>
    <w:rsid w:val="000805A6"/>
    <w:rsid w:val="000828D3"/>
    <w:rsid w:val="000A2B57"/>
    <w:rsid w:val="000A418B"/>
    <w:rsid w:val="000C4431"/>
    <w:rsid w:val="000D1C06"/>
    <w:rsid w:val="000D4319"/>
    <w:rsid w:val="000E467A"/>
    <w:rsid w:val="000F374A"/>
    <w:rsid w:val="001076AF"/>
    <w:rsid w:val="00117C8C"/>
    <w:rsid w:val="00124E2E"/>
    <w:rsid w:val="00125ED4"/>
    <w:rsid w:val="001305E9"/>
    <w:rsid w:val="001307AF"/>
    <w:rsid w:val="00135687"/>
    <w:rsid w:val="0015506E"/>
    <w:rsid w:val="00163031"/>
    <w:rsid w:val="00171A90"/>
    <w:rsid w:val="00180254"/>
    <w:rsid w:val="00191E1F"/>
    <w:rsid w:val="00192943"/>
    <w:rsid w:val="001A7406"/>
    <w:rsid w:val="001B4FEE"/>
    <w:rsid w:val="001B51C5"/>
    <w:rsid w:val="001B6F3F"/>
    <w:rsid w:val="001C52B5"/>
    <w:rsid w:val="001D0D3E"/>
    <w:rsid w:val="001D2928"/>
    <w:rsid w:val="001F2245"/>
    <w:rsid w:val="001F2C63"/>
    <w:rsid w:val="001F48C7"/>
    <w:rsid w:val="001F6DA1"/>
    <w:rsid w:val="002044E6"/>
    <w:rsid w:val="00205C82"/>
    <w:rsid w:val="00205DC2"/>
    <w:rsid w:val="00210433"/>
    <w:rsid w:val="00212B17"/>
    <w:rsid w:val="002163B6"/>
    <w:rsid w:val="00220732"/>
    <w:rsid w:val="00221D32"/>
    <w:rsid w:val="00225C3F"/>
    <w:rsid w:val="00263D44"/>
    <w:rsid w:val="002702AD"/>
    <w:rsid w:val="00292D82"/>
    <w:rsid w:val="002963CB"/>
    <w:rsid w:val="002D226D"/>
    <w:rsid w:val="002F6030"/>
    <w:rsid w:val="003037E1"/>
    <w:rsid w:val="00307E51"/>
    <w:rsid w:val="003103EC"/>
    <w:rsid w:val="003144EF"/>
    <w:rsid w:val="00322F74"/>
    <w:rsid w:val="00340073"/>
    <w:rsid w:val="003632FD"/>
    <w:rsid w:val="00372805"/>
    <w:rsid w:val="00373180"/>
    <w:rsid w:val="00375AB9"/>
    <w:rsid w:val="003821A0"/>
    <w:rsid w:val="00385B04"/>
    <w:rsid w:val="003864CF"/>
    <w:rsid w:val="003A22A6"/>
    <w:rsid w:val="003A5494"/>
    <w:rsid w:val="003B2510"/>
    <w:rsid w:val="003C2CC4"/>
    <w:rsid w:val="003C3710"/>
    <w:rsid w:val="003E0EFC"/>
    <w:rsid w:val="003E4A2B"/>
    <w:rsid w:val="003E76C2"/>
    <w:rsid w:val="003E7966"/>
    <w:rsid w:val="003F1679"/>
    <w:rsid w:val="003F21EB"/>
    <w:rsid w:val="003F4A35"/>
    <w:rsid w:val="003F7FDD"/>
    <w:rsid w:val="00402481"/>
    <w:rsid w:val="004042B4"/>
    <w:rsid w:val="00410DC4"/>
    <w:rsid w:val="00412DAE"/>
    <w:rsid w:val="004242E6"/>
    <w:rsid w:val="00431598"/>
    <w:rsid w:val="004319AD"/>
    <w:rsid w:val="004426B8"/>
    <w:rsid w:val="00444432"/>
    <w:rsid w:val="0045209C"/>
    <w:rsid w:val="0045664B"/>
    <w:rsid w:val="00461A70"/>
    <w:rsid w:val="00471860"/>
    <w:rsid w:val="00477026"/>
    <w:rsid w:val="00481B96"/>
    <w:rsid w:val="004A744D"/>
    <w:rsid w:val="004B60BD"/>
    <w:rsid w:val="004C3150"/>
    <w:rsid w:val="004C3641"/>
    <w:rsid w:val="004C4390"/>
    <w:rsid w:val="004C4AF7"/>
    <w:rsid w:val="004D2881"/>
    <w:rsid w:val="004D385F"/>
    <w:rsid w:val="004D5B39"/>
    <w:rsid w:val="004E330D"/>
    <w:rsid w:val="004E5147"/>
    <w:rsid w:val="004E69B5"/>
    <w:rsid w:val="004F5C43"/>
    <w:rsid w:val="0050652D"/>
    <w:rsid w:val="00506C03"/>
    <w:rsid w:val="00511A11"/>
    <w:rsid w:val="00516496"/>
    <w:rsid w:val="00523B11"/>
    <w:rsid w:val="0052572A"/>
    <w:rsid w:val="00532DFB"/>
    <w:rsid w:val="00543CB3"/>
    <w:rsid w:val="005442E4"/>
    <w:rsid w:val="0055529B"/>
    <w:rsid w:val="00560FF0"/>
    <w:rsid w:val="005614BD"/>
    <w:rsid w:val="0057154F"/>
    <w:rsid w:val="00580F69"/>
    <w:rsid w:val="00581CA3"/>
    <w:rsid w:val="00582DB5"/>
    <w:rsid w:val="00587A44"/>
    <w:rsid w:val="00597730"/>
    <w:rsid w:val="005977EC"/>
    <w:rsid w:val="00597DE7"/>
    <w:rsid w:val="005A4AA2"/>
    <w:rsid w:val="005B34B6"/>
    <w:rsid w:val="005B6C8F"/>
    <w:rsid w:val="005B6EC3"/>
    <w:rsid w:val="005D0F74"/>
    <w:rsid w:val="005D2E7D"/>
    <w:rsid w:val="005D4A8F"/>
    <w:rsid w:val="005D561B"/>
    <w:rsid w:val="005D5ECF"/>
    <w:rsid w:val="005F468D"/>
    <w:rsid w:val="005F69A3"/>
    <w:rsid w:val="00604CC7"/>
    <w:rsid w:val="00615423"/>
    <w:rsid w:val="006165B2"/>
    <w:rsid w:val="00617276"/>
    <w:rsid w:val="0062527B"/>
    <w:rsid w:val="00625D97"/>
    <w:rsid w:val="00625F1C"/>
    <w:rsid w:val="006279E1"/>
    <w:rsid w:val="00630CEB"/>
    <w:rsid w:val="00632264"/>
    <w:rsid w:val="006470BC"/>
    <w:rsid w:val="006554D3"/>
    <w:rsid w:val="00667036"/>
    <w:rsid w:val="00673BDB"/>
    <w:rsid w:val="00674341"/>
    <w:rsid w:val="006771B8"/>
    <w:rsid w:val="006843B6"/>
    <w:rsid w:val="0068481F"/>
    <w:rsid w:val="00696F5D"/>
    <w:rsid w:val="00697249"/>
    <w:rsid w:val="006B3242"/>
    <w:rsid w:val="006B3947"/>
    <w:rsid w:val="006B4293"/>
    <w:rsid w:val="006B624F"/>
    <w:rsid w:val="006C0C95"/>
    <w:rsid w:val="006C31E3"/>
    <w:rsid w:val="006D18D3"/>
    <w:rsid w:val="006E08CB"/>
    <w:rsid w:val="006E598D"/>
    <w:rsid w:val="0070437D"/>
    <w:rsid w:val="00704CF1"/>
    <w:rsid w:val="00705B04"/>
    <w:rsid w:val="00720B75"/>
    <w:rsid w:val="00724992"/>
    <w:rsid w:val="007318B2"/>
    <w:rsid w:val="00734820"/>
    <w:rsid w:val="007349DC"/>
    <w:rsid w:val="0074365E"/>
    <w:rsid w:val="00744B55"/>
    <w:rsid w:val="007515FD"/>
    <w:rsid w:val="00751F28"/>
    <w:rsid w:val="00760D80"/>
    <w:rsid w:val="007734EA"/>
    <w:rsid w:val="00780C09"/>
    <w:rsid w:val="00780DDF"/>
    <w:rsid w:val="007834E9"/>
    <w:rsid w:val="00787DBC"/>
    <w:rsid w:val="0079019A"/>
    <w:rsid w:val="00792935"/>
    <w:rsid w:val="007A04A1"/>
    <w:rsid w:val="007A1840"/>
    <w:rsid w:val="007C0528"/>
    <w:rsid w:val="007C3D38"/>
    <w:rsid w:val="007C4CA4"/>
    <w:rsid w:val="007D0F35"/>
    <w:rsid w:val="007D25B7"/>
    <w:rsid w:val="007D4FEB"/>
    <w:rsid w:val="007D6146"/>
    <w:rsid w:val="007E0CE7"/>
    <w:rsid w:val="007E6857"/>
    <w:rsid w:val="007F1193"/>
    <w:rsid w:val="007F417F"/>
    <w:rsid w:val="007F7644"/>
    <w:rsid w:val="008042BD"/>
    <w:rsid w:val="00816624"/>
    <w:rsid w:val="00822427"/>
    <w:rsid w:val="00822562"/>
    <w:rsid w:val="00823663"/>
    <w:rsid w:val="00832794"/>
    <w:rsid w:val="00832DDC"/>
    <w:rsid w:val="00847E91"/>
    <w:rsid w:val="00850BAC"/>
    <w:rsid w:val="00854A3E"/>
    <w:rsid w:val="00855D08"/>
    <w:rsid w:val="00874344"/>
    <w:rsid w:val="00882155"/>
    <w:rsid w:val="0088233B"/>
    <w:rsid w:val="0088599E"/>
    <w:rsid w:val="00886C37"/>
    <w:rsid w:val="00892D99"/>
    <w:rsid w:val="00893315"/>
    <w:rsid w:val="008B62AE"/>
    <w:rsid w:val="008C04B5"/>
    <w:rsid w:val="008C14FA"/>
    <w:rsid w:val="008C7B0B"/>
    <w:rsid w:val="008D4057"/>
    <w:rsid w:val="008E1F19"/>
    <w:rsid w:val="008F2262"/>
    <w:rsid w:val="008F4D2B"/>
    <w:rsid w:val="008F7736"/>
    <w:rsid w:val="0090019E"/>
    <w:rsid w:val="00901086"/>
    <w:rsid w:val="00901C8A"/>
    <w:rsid w:val="00905886"/>
    <w:rsid w:val="009070D6"/>
    <w:rsid w:val="009076C6"/>
    <w:rsid w:val="0091019E"/>
    <w:rsid w:val="009106F1"/>
    <w:rsid w:val="00912404"/>
    <w:rsid w:val="009145D6"/>
    <w:rsid w:val="00920E64"/>
    <w:rsid w:val="00922002"/>
    <w:rsid w:val="00924020"/>
    <w:rsid w:val="009271A7"/>
    <w:rsid w:val="00931394"/>
    <w:rsid w:val="0093658B"/>
    <w:rsid w:val="009429FF"/>
    <w:rsid w:val="00945BD6"/>
    <w:rsid w:val="009479FB"/>
    <w:rsid w:val="00951C45"/>
    <w:rsid w:val="0095432C"/>
    <w:rsid w:val="009602C0"/>
    <w:rsid w:val="009656F2"/>
    <w:rsid w:val="00966A08"/>
    <w:rsid w:val="00971207"/>
    <w:rsid w:val="00974D73"/>
    <w:rsid w:val="00975CB4"/>
    <w:rsid w:val="009863B0"/>
    <w:rsid w:val="00986467"/>
    <w:rsid w:val="00987DE1"/>
    <w:rsid w:val="00990571"/>
    <w:rsid w:val="0099673A"/>
    <w:rsid w:val="009A3330"/>
    <w:rsid w:val="009A7C96"/>
    <w:rsid w:val="009C3DB9"/>
    <w:rsid w:val="009C71E8"/>
    <w:rsid w:val="009D46E5"/>
    <w:rsid w:val="009D568A"/>
    <w:rsid w:val="009E5FF0"/>
    <w:rsid w:val="009F04EC"/>
    <w:rsid w:val="009F2A7C"/>
    <w:rsid w:val="009F3B36"/>
    <w:rsid w:val="00A019B9"/>
    <w:rsid w:val="00A079BF"/>
    <w:rsid w:val="00A12508"/>
    <w:rsid w:val="00A1282B"/>
    <w:rsid w:val="00A13A27"/>
    <w:rsid w:val="00A175B6"/>
    <w:rsid w:val="00A21835"/>
    <w:rsid w:val="00A2374B"/>
    <w:rsid w:val="00A27D6E"/>
    <w:rsid w:val="00A328EC"/>
    <w:rsid w:val="00A33A51"/>
    <w:rsid w:val="00A41CA6"/>
    <w:rsid w:val="00A47927"/>
    <w:rsid w:val="00A47FFC"/>
    <w:rsid w:val="00A5442F"/>
    <w:rsid w:val="00A54FF9"/>
    <w:rsid w:val="00A56765"/>
    <w:rsid w:val="00A675AC"/>
    <w:rsid w:val="00A7581F"/>
    <w:rsid w:val="00A92FB1"/>
    <w:rsid w:val="00A95A0C"/>
    <w:rsid w:val="00AA2765"/>
    <w:rsid w:val="00AA77B5"/>
    <w:rsid w:val="00AB0DA5"/>
    <w:rsid w:val="00AB6C5D"/>
    <w:rsid w:val="00AC3401"/>
    <w:rsid w:val="00AC51A7"/>
    <w:rsid w:val="00AD444B"/>
    <w:rsid w:val="00AD5614"/>
    <w:rsid w:val="00AD6C78"/>
    <w:rsid w:val="00AE23D0"/>
    <w:rsid w:val="00AE2EAB"/>
    <w:rsid w:val="00AF5F89"/>
    <w:rsid w:val="00AF73CB"/>
    <w:rsid w:val="00B002D6"/>
    <w:rsid w:val="00B03379"/>
    <w:rsid w:val="00B05B51"/>
    <w:rsid w:val="00B14E5A"/>
    <w:rsid w:val="00B15370"/>
    <w:rsid w:val="00B16DA4"/>
    <w:rsid w:val="00B17BEB"/>
    <w:rsid w:val="00B21A3C"/>
    <w:rsid w:val="00B223C0"/>
    <w:rsid w:val="00B234ED"/>
    <w:rsid w:val="00B249B2"/>
    <w:rsid w:val="00B25CA3"/>
    <w:rsid w:val="00B2765A"/>
    <w:rsid w:val="00B3109A"/>
    <w:rsid w:val="00B516ED"/>
    <w:rsid w:val="00B57A6A"/>
    <w:rsid w:val="00B760F1"/>
    <w:rsid w:val="00B7669E"/>
    <w:rsid w:val="00B77DA1"/>
    <w:rsid w:val="00B822A0"/>
    <w:rsid w:val="00B858AE"/>
    <w:rsid w:val="00B85964"/>
    <w:rsid w:val="00B96250"/>
    <w:rsid w:val="00BA0D55"/>
    <w:rsid w:val="00BA1975"/>
    <w:rsid w:val="00BA37B3"/>
    <w:rsid w:val="00BA4CC6"/>
    <w:rsid w:val="00BB3493"/>
    <w:rsid w:val="00BB7468"/>
    <w:rsid w:val="00BC188A"/>
    <w:rsid w:val="00BC402E"/>
    <w:rsid w:val="00BD0F48"/>
    <w:rsid w:val="00BD3DE3"/>
    <w:rsid w:val="00BE6DDB"/>
    <w:rsid w:val="00BF5010"/>
    <w:rsid w:val="00C03D5F"/>
    <w:rsid w:val="00C13791"/>
    <w:rsid w:val="00C31BB3"/>
    <w:rsid w:val="00C3350D"/>
    <w:rsid w:val="00C36977"/>
    <w:rsid w:val="00C467DA"/>
    <w:rsid w:val="00C477D9"/>
    <w:rsid w:val="00C57785"/>
    <w:rsid w:val="00C60BA3"/>
    <w:rsid w:val="00C623F7"/>
    <w:rsid w:val="00C75BC5"/>
    <w:rsid w:val="00C81670"/>
    <w:rsid w:val="00C81773"/>
    <w:rsid w:val="00C82861"/>
    <w:rsid w:val="00C86896"/>
    <w:rsid w:val="00C907A8"/>
    <w:rsid w:val="00C93211"/>
    <w:rsid w:val="00C942EC"/>
    <w:rsid w:val="00C96047"/>
    <w:rsid w:val="00C979D0"/>
    <w:rsid w:val="00CA0818"/>
    <w:rsid w:val="00CA15C8"/>
    <w:rsid w:val="00CA2C8F"/>
    <w:rsid w:val="00CA30DA"/>
    <w:rsid w:val="00CA3A24"/>
    <w:rsid w:val="00CB1777"/>
    <w:rsid w:val="00CB33E9"/>
    <w:rsid w:val="00CC10A9"/>
    <w:rsid w:val="00CE0CD8"/>
    <w:rsid w:val="00CE2BF8"/>
    <w:rsid w:val="00CE484E"/>
    <w:rsid w:val="00CE656F"/>
    <w:rsid w:val="00CF0DA8"/>
    <w:rsid w:val="00CF2E25"/>
    <w:rsid w:val="00CF4453"/>
    <w:rsid w:val="00CF5D94"/>
    <w:rsid w:val="00CF7E0F"/>
    <w:rsid w:val="00D034D7"/>
    <w:rsid w:val="00D04BE4"/>
    <w:rsid w:val="00D06FC7"/>
    <w:rsid w:val="00D12565"/>
    <w:rsid w:val="00D14127"/>
    <w:rsid w:val="00D24031"/>
    <w:rsid w:val="00D60B16"/>
    <w:rsid w:val="00D60F02"/>
    <w:rsid w:val="00D66E49"/>
    <w:rsid w:val="00D70D71"/>
    <w:rsid w:val="00D72F74"/>
    <w:rsid w:val="00D81563"/>
    <w:rsid w:val="00D821A2"/>
    <w:rsid w:val="00D85907"/>
    <w:rsid w:val="00D9073E"/>
    <w:rsid w:val="00D9221D"/>
    <w:rsid w:val="00D958DF"/>
    <w:rsid w:val="00D96DA1"/>
    <w:rsid w:val="00DA51E7"/>
    <w:rsid w:val="00DA6789"/>
    <w:rsid w:val="00DB0260"/>
    <w:rsid w:val="00DB1C78"/>
    <w:rsid w:val="00DB7D96"/>
    <w:rsid w:val="00DC23FE"/>
    <w:rsid w:val="00DC59E6"/>
    <w:rsid w:val="00DD150B"/>
    <w:rsid w:val="00DD5025"/>
    <w:rsid w:val="00DF1510"/>
    <w:rsid w:val="00DF608D"/>
    <w:rsid w:val="00E02F1F"/>
    <w:rsid w:val="00E06484"/>
    <w:rsid w:val="00E20A7D"/>
    <w:rsid w:val="00E275D8"/>
    <w:rsid w:val="00E30F6A"/>
    <w:rsid w:val="00E3117C"/>
    <w:rsid w:val="00E375CA"/>
    <w:rsid w:val="00E567E8"/>
    <w:rsid w:val="00E64679"/>
    <w:rsid w:val="00E65EBC"/>
    <w:rsid w:val="00E677FE"/>
    <w:rsid w:val="00E73432"/>
    <w:rsid w:val="00E77B0C"/>
    <w:rsid w:val="00E77FB8"/>
    <w:rsid w:val="00E838B0"/>
    <w:rsid w:val="00E86A7C"/>
    <w:rsid w:val="00E878E1"/>
    <w:rsid w:val="00E87F2C"/>
    <w:rsid w:val="00E95278"/>
    <w:rsid w:val="00EA2273"/>
    <w:rsid w:val="00EA7C3C"/>
    <w:rsid w:val="00EB2DB3"/>
    <w:rsid w:val="00EC3FBB"/>
    <w:rsid w:val="00EC6B7A"/>
    <w:rsid w:val="00ED0966"/>
    <w:rsid w:val="00ED3A87"/>
    <w:rsid w:val="00ED5B67"/>
    <w:rsid w:val="00EF107A"/>
    <w:rsid w:val="00EF264C"/>
    <w:rsid w:val="00EF3FEE"/>
    <w:rsid w:val="00F04B59"/>
    <w:rsid w:val="00F11741"/>
    <w:rsid w:val="00F12B1C"/>
    <w:rsid w:val="00F13CF8"/>
    <w:rsid w:val="00F15855"/>
    <w:rsid w:val="00F227DC"/>
    <w:rsid w:val="00F32978"/>
    <w:rsid w:val="00F45CB2"/>
    <w:rsid w:val="00F544C0"/>
    <w:rsid w:val="00F55332"/>
    <w:rsid w:val="00F6504A"/>
    <w:rsid w:val="00F65519"/>
    <w:rsid w:val="00F66DA0"/>
    <w:rsid w:val="00F713C0"/>
    <w:rsid w:val="00F75DDC"/>
    <w:rsid w:val="00F7792F"/>
    <w:rsid w:val="00F842AA"/>
    <w:rsid w:val="00F8476F"/>
    <w:rsid w:val="00F853E1"/>
    <w:rsid w:val="00F85604"/>
    <w:rsid w:val="00F94B7A"/>
    <w:rsid w:val="00FA17AC"/>
    <w:rsid w:val="00FA32DE"/>
    <w:rsid w:val="00FA3382"/>
    <w:rsid w:val="00FA59CD"/>
    <w:rsid w:val="00FA7AAE"/>
    <w:rsid w:val="00FB1740"/>
    <w:rsid w:val="00FC5469"/>
    <w:rsid w:val="00FC6D7D"/>
    <w:rsid w:val="00FD16B0"/>
    <w:rsid w:val="00FD4FED"/>
    <w:rsid w:val="00FE0577"/>
    <w:rsid w:val="00FE59EC"/>
    <w:rsid w:val="00FE5B67"/>
    <w:rsid w:val="00FE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rsid w:val="003864CF"/>
    <w:pPr>
      <w:tabs>
        <w:tab w:val="left" w:pos="864"/>
        <w:tab w:val="right" w:pos="9360"/>
      </w:tabs>
    </w:pPr>
    <w:rPr>
      <w:rFonts w:ascii="Arial" w:hAnsi="Arial"/>
      <w:b/>
      <w:i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  <w:style w:type="character" w:styleId="FootnoteReference">
    <w:name w:val="footnote reference"/>
    <w:basedOn w:val="DefaultParagraphFont"/>
    <w:rsid w:val="00DA678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rsid w:val="003864CF"/>
    <w:pPr>
      <w:tabs>
        <w:tab w:val="left" w:pos="864"/>
        <w:tab w:val="right" w:pos="9360"/>
      </w:tabs>
    </w:pPr>
    <w:rPr>
      <w:rFonts w:ascii="Arial" w:hAnsi="Arial"/>
      <w:b/>
      <w:i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  <w:style w:type="character" w:styleId="FootnoteReference">
    <w:name w:val="footnote reference"/>
    <w:basedOn w:val="DefaultParagraphFont"/>
    <w:rsid w:val="00DA67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\Recommendation%20(Regular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4C17B-82E3-41E1-9C13-0839FE087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(Regular).dotm</Template>
  <TotalTime>0</TotalTime>
  <Pages>7</Pages>
  <Words>1332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Recommendation</vt:lpstr>
    </vt:vector>
  </TitlesOfParts>
  <Company>Florida Public Service Commission</Company>
  <LinksUpToDate>false</LinksUpToDate>
  <CharactersWithSpaces>9148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</dc:title>
  <dc:creator>Christopher Richards</dc:creator>
  <cp:lastModifiedBy>Consuela Wilson</cp:lastModifiedBy>
  <cp:revision>2</cp:revision>
  <cp:lastPrinted>2019-06-19T15:54:00Z</cp:lastPrinted>
  <dcterms:created xsi:type="dcterms:W3CDTF">2019-06-26T13:11:00Z</dcterms:created>
  <dcterms:modified xsi:type="dcterms:W3CDTF">2019-06-26T13:11:00Z</dcterms:modified>
  <cp:category>recommendation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ketList">
    <vt:lpwstr>20190091-GU</vt:lpwstr>
  </property>
  <property fmtid="{D5CDD505-2E9C-101B-9397-08002B2CF9AE}" pid="3" name="MasterDocument">
    <vt:bool>false</vt:bool>
  </property>
</Properties>
</file>