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95F42">
            <w:pPr>
              <w:pStyle w:val="MemoHeading"/>
            </w:pPr>
            <w:bookmarkStart w:id="1" w:name="FilingDate"/>
            <w:r>
              <w:t>July 25,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95F42" w:rsidRDefault="00B95F42">
            <w:pPr>
              <w:pStyle w:val="MemoHeading"/>
            </w:pPr>
            <w:bookmarkStart w:id="2" w:name="From"/>
            <w:r>
              <w:t>Division of Economics (Guffey, Coston)</w:t>
            </w:r>
          </w:p>
          <w:p w:rsidR="007C0528" w:rsidRDefault="00B95F42">
            <w:pPr>
              <w:pStyle w:val="MemoHeading"/>
            </w:pPr>
            <w:r>
              <w:t>Office of the General Counsel (Simmons)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95F42">
            <w:pPr>
              <w:pStyle w:val="MemoHeadingRe"/>
            </w:pPr>
            <w:bookmarkStart w:id="3" w:name="Re"/>
            <w:r>
              <w:t>Docket No. 20190128-GU – Petition for approval of transportation service agreement with Florida Division of Chesapeake Utilities Corporation by Peninsula Pipeline Company,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95F42">
            <w:pPr>
              <w:pStyle w:val="MemoHeading"/>
            </w:pPr>
            <w:bookmarkStart w:id="4" w:name="AgendaDate"/>
            <w:r>
              <w:t>08/06/19</w:t>
            </w:r>
            <w:bookmarkEnd w:id="4"/>
            <w:r w:rsidR="007C0528">
              <w:t xml:space="preserve"> – </w:t>
            </w:r>
            <w:bookmarkStart w:id="5" w:name="PermittedStatus"/>
            <w:r>
              <w:t xml:space="preserve">Regular Agenda – </w:t>
            </w:r>
            <w:r w:rsidR="00F76F2A">
              <w:t xml:space="preserve">Proposed Agency Action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F76F2A">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212EB">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95F42">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B95F42">
            <w:pPr>
              <w:pStyle w:val="MemoHeading"/>
            </w:pPr>
            <w:bookmarkStart w:id="10" w:name="SpecialInstructions"/>
            <w:r>
              <w:t xml:space="preserve">Place after Docket </w:t>
            </w:r>
            <w:r w:rsidR="00F76F2A">
              <w:t xml:space="preserve">No. </w:t>
            </w:r>
            <w:r>
              <w:t>20190127-GU.</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D70C19">
      <w:pPr>
        <w:pStyle w:val="BodyText"/>
      </w:pPr>
      <w:r>
        <w:t>On June 10, 2019, Peninsula Pipeline Company, Inc. (Peninsula) filed a petition seeking approval of a firm transportation service agreement (Agreement) between Peninsula and the Florida Division of Chesapeake Utilities Corporation</w:t>
      </w:r>
      <w:r w:rsidR="00C45D22">
        <w:t>,</w:t>
      </w:r>
      <w:r w:rsidR="00E650CF">
        <w:t xml:space="preserve"> d/b/a Central Florida Gas</w:t>
      </w:r>
      <w:r>
        <w:t xml:space="preserve"> (CFG), collectively the parties. Peninsula operates as a natural gas transmission company as defined by Section 368.103(4), Florida Statutes (F.S.).</w:t>
      </w:r>
      <w:r>
        <w:rPr>
          <w:rStyle w:val="FootnoteReference"/>
        </w:rPr>
        <w:footnoteReference w:id="1"/>
      </w:r>
      <w:r>
        <w:t xml:space="preserve"> CFG is a local distribution company (LDC) subject to the regulatory jurisdiction of the Commission pursuant to Chapter 366, F.S.</w:t>
      </w:r>
    </w:p>
    <w:p w:rsidR="00D70C19" w:rsidRDefault="00D70C19" w:rsidP="00D70C19">
      <w:pPr>
        <w:pStyle w:val="BodyText"/>
      </w:pPr>
      <w:r>
        <w:lastRenderedPageBreak/>
        <w:t>By Order No. PSC-07-1012-TRF-GP</w:t>
      </w:r>
      <w:r w:rsidR="00E650CF">
        <w:t>,</w:t>
      </w:r>
      <w:r>
        <w:rPr>
          <w:rStyle w:val="FootnoteReference"/>
        </w:rPr>
        <w:footnoteReference w:id="2"/>
      </w:r>
      <w:r>
        <w:t xml:space="preserve"> Peninsula received approval of an intrastate gas pipeline tariff that allows it to construct and operate intrastate pipeline facilities and to actively pursue agreements with natural gas customers. Peninsula provides transportation service only; it does not engage in the sale of natural gas. Pursuant to Order No. PSC-07-1012-TRF-GP, Peninsula is allowed to enter into certain gas transmission agreements without prior Commission approval.</w:t>
      </w:r>
      <w:r w:rsidR="00E650CF">
        <w:rPr>
          <w:rStyle w:val="FootnoteReference"/>
        </w:rPr>
        <w:footnoteReference w:id="3"/>
      </w:r>
      <w:r>
        <w:t xml:space="preserve"> However, Peninsula is reques</w:t>
      </w:r>
      <w:r w:rsidR="00AC4C54">
        <w:t>ting Commission approval of this</w:t>
      </w:r>
      <w:r>
        <w:t xml:space="preserve"> </w:t>
      </w:r>
      <w:r w:rsidR="003213F8">
        <w:t xml:space="preserve">proposed </w:t>
      </w:r>
      <w:r>
        <w:t>Agreement as it does not fit any of the criteria enumerated in the tariff for which Commission approval would not be required.</w:t>
      </w:r>
      <w:r>
        <w:rPr>
          <w:rStyle w:val="FootnoteReference"/>
        </w:rPr>
        <w:footnoteReference w:id="4"/>
      </w:r>
      <w:bookmarkEnd w:id="12"/>
      <w:r>
        <w:t xml:space="preserve"> </w:t>
      </w:r>
      <w:r w:rsidR="003213F8">
        <w:t>The parties</w:t>
      </w:r>
      <w:r>
        <w:t xml:space="preserve"> are subsidiaries of Chesapeake Utility Corporation (Chesapeake), and agreements between affiliated companies must be approved by the Commission pursuant to Section 368.105, F.S., and Order No. PSC-07-1012-TRF-GP.</w:t>
      </w:r>
    </w:p>
    <w:p w:rsidR="00D70C19" w:rsidRPr="00D70C19" w:rsidRDefault="00D70C19" w:rsidP="00D70C19">
      <w:pPr>
        <w:pStyle w:val="BodyText"/>
        <w:sectPr w:rsidR="00D70C19" w:rsidRPr="00D70C19">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t xml:space="preserve">Pursuant to the proposed Agreement (Attachment </w:t>
      </w:r>
      <w:r w:rsidR="009E1F6C">
        <w:t>A</w:t>
      </w:r>
      <w:r>
        <w:t xml:space="preserve"> to the recommendation), Peninsula will </w:t>
      </w:r>
      <w:r w:rsidR="00234935">
        <w:t xml:space="preserve">acquire, </w:t>
      </w:r>
      <w:r w:rsidRPr="00234935">
        <w:t>construct</w:t>
      </w:r>
      <w:r w:rsidR="00234935">
        <w:t>,</w:t>
      </w:r>
      <w:r w:rsidRPr="00234935">
        <w:t xml:space="preserve"> and operate a natural gas pipeline</w:t>
      </w:r>
      <w:r w:rsidR="00234935">
        <w:t>, and construct a new interconnection</w:t>
      </w:r>
      <w:r w:rsidRPr="00234935">
        <w:t xml:space="preserve"> in Polk County. During its evaluation of the petition,</w:t>
      </w:r>
      <w:r>
        <w:t xml:space="preserve"> staff issued </w:t>
      </w:r>
      <w:r w:rsidR="00F76F2A">
        <w:t>two</w:t>
      </w:r>
      <w:r>
        <w:t xml:space="preserve"> data request</w:t>
      </w:r>
      <w:r w:rsidR="00F76F2A">
        <w:t>s</w:t>
      </w:r>
      <w:r>
        <w:t xml:space="preserve"> to the parties for which responses were received on July 2</w:t>
      </w:r>
      <w:r w:rsidR="00F76F2A">
        <w:t xml:space="preserve"> and July 15, 2019</w:t>
      </w:r>
      <w:r>
        <w:t>. The Commission has jurisdiction over this matter pursuant to Sections 366.05(1), 366.06, and 368.105, F.S.</w:t>
      </w:r>
    </w:p>
    <w:p w:rsidR="007C0528" w:rsidRDefault="007C0528">
      <w:pPr>
        <w:pStyle w:val="RecommendationMajorSectionHeading"/>
      </w:pPr>
      <w:bookmarkStart w:id="16" w:name="DiscussionOfIssues"/>
      <w:r>
        <w:lastRenderedPageBreak/>
        <w:t>Discussion of Issues</w:t>
      </w:r>
    </w:p>
    <w:bookmarkEnd w:id="16"/>
    <w:p w:rsidR="006212EB" w:rsidRDefault="006212EB">
      <w:pPr>
        <w:pStyle w:val="IssueHeading"/>
        <w:rPr>
          <w:vanish/>
          <w:specVanish/>
        </w:rPr>
      </w:pPr>
      <w:r w:rsidRPr="004C3641">
        <w:t xml:space="preserve">Issue </w:t>
      </w:r>
      <w:r w:rsidR="00012CEB">
        <w:fldChar w:fldCharType="begin"/>
      </w:r>
      <w:r w:rsidR="00012CEB">
        <w:instrText xml:space="preserve"> SEQ Issue \* MERGEFORMAT </w:instrText>
      </w:r>
      <w:r w:rsidR="00012CEB">
        <w:fldChar w:fldCharType="separate"/>
      </w:r>
      <w:r w:rsidR="00E1714E">
        <w:rPr>
          <w:noProof/>
        </w:rPr>
        <w:t>1</w:t>
      </w:r>
      <w:r w:rsidR="00012CE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1714E">
        <w:rPr>
          <w:noProof/>
        </w:rPr>
        <w:instrText>1</w:instrText>
      </w:r>
      <w:r>
        <w:fldChar w:fldCharType="end"/>
      </w:r>
      <w:r>
        <w:tab/>
        <w:instrText xml:space="preserve">(Merryday)" \l 1 </w:instrText>
      </w:r>
      <w:r>
        <w:fldChar w:fldCharType="end"/>
      </w:r>
      <w:r>
        <w:t> </w:t>
      </w:r>
    </w:p>
    <w:p w:rsidR="006212EB" w:rsidRDefault="006212EB">
      <w:pPr>
        <w:pStyle w:val="BodyText"/>
      </w:pPr>
      <w:r>
        <w:t> Should the Commission approve the proposed Agreement between Peninsula and CFG dated May 17, 2019?</w:t>
      </w:r>
    </w:p>
    <w:p w:rsidR="006212EB" w:rsidRPr="004C3641" w:rsidRDefault="006212EB">
      <w:pPr>
        <w:pStyle w:val="IssueSubsectionHeading"/>
        <w:rPr>
          <w:vanish/>
          <w:specVanish/>
        </w:rPr>
      </w:pPr>
      <w:r w:rsidRPr="004C3641">
        <w:t>Recommendation: </w:t>
      </w:r>
    </w:p>
    <w:p w:rsidR="006212EB" w:rsidRDefault="003213F8">
      <w:pPr>
        <w:pStyle w:val="BodyText"/>
      </w:pPr>
      <w:r>
        <w:t> Yes, t</w:t>
      </w:r>
      <w:r w:rsidR="006212EB">
        <w:t>he Commission should approve the proposed Agreement between Peninsula and CFG dated May 17, 2019. (Guffey)</w:t>
      </w:r>
    </w:p>
    <w:p w:rsidR="006212EB" w:rsidRPr="004C3641" w:rsidRDefault="006212EB">
      <w:pPr>
        <w:pStyle w:val="IssueSubsectionHeading"/>
        <w:rPr>
          <w:vanish/>
          <w:specVanish/>
        </w:rPr>
      </w:pPr>
      <w:r w:rsidRPr="004C3641">
        <w:t>Staff Analysis: </w:t>
      </w:r>
    </w:p>
    <w:p w:rsidR="004C35CE" w:rsidRDefault="006212EB">
      <w:pPr>
        <w:pStyle w:val="BodyText"/>
      </w:pPr>
      <w:r>
        <w:t> </w:t>
      </w:r>
      <w:r w:rsidR="00A14936">
        <w:t xml:space="preserve">CFG provides natural gas service to </w:t>
      </w:r>
      <w:r w:rsidR="00525098">
        <w:t xml:space="preserve">residential, commercial, and industrial customers </w:t>
      </w:r>
      <w:r w:rsidR="00A14936">
        <w:t>in Polk County</w:t>
      </w:r>
      <w:r w:rsidR="003213F8">
        <w:t xml:space="preserve">, and </w:t>
      </w:r>
      <w:r w:rsidR="0000559A">
        <w:t xml:space="preserve">receives deliveries of natural gas to serve </w:t>
      </w:r>
      <w:r w:rsidR="003213F8">
        <w:t>these</w:t>
      </w:r>
      <w:r w:rsidR="0000559A">
        <w:t xml:space="preserve"> customers over </w:t>
      </w:r>
      <w:r w:rsidR="00112DEF">
        <w:t xml:space="preserve">interstate </w:t>
      </w:r>
      <w:r w:rsidR="0000559A">
        <w:t xml:space="preserve">transmission pipelines owned by </w:t>
      </w:r>
      <w:r w:rsidR="00112DEF">
        <w:t>Gulfstream and Florida Gas Transmission</w:t>
      </w:r>
      <w:r w:rsidR="00DA26ED">
        <w:t xml:space="preserve"> (FGT)</w:t>
      </w:r>
      <w:r w:rsidR="0000559A">
        <w:t>. In addition, CFG uses a connection with Peoples Gas System (which is referred to as an LDC to L</w:t>
      </w:r>
      <w:r w:rsidR="00AF2E5B">
        <w:t>D</w:t>
      </w:r>
      <w:r w:rsidR="0000559A">
        <w:t xml:space="preserve">C interconnection) and a section of </w:t>
      </w:r>
      <w:r w:rsidR="00112DEF">
        <w:t xml:space="preserve">intrastate </w:t>
      </w:r>
      <w:r w:rsidR="0000559A">
        <w:t>pipeline in Haines City owned by Peninsula.</w:t>
      </w:r>
      <w:r w:rsidR="001B4754">
        <w:t xml:space="preserve"> </w:t>
      </w:r>
    </w:p>
    <w:p w:rsidR="006212EB" w:rsidRDefault="001B4754">
      <w:pPr>
        <w:pStyle w:val="BodyText"/>
      </w:pPr>
      <w:r>
        <w:t xml:space="preserve">The parties have entered into the proposed Agreement to </w:t>
      </w:r>
      <w:r w:rsidR="00B37633">
        <w:t>allow CFG to meet increased demand</w:t>
      </w:r>
      <w:r>
        <w:t xml:space="preserve"> in the Polk County area. </w:t>
      </w:r>
      <w:r w:rsidR="000B2C05">
        <w:t xml:space="preserve">The </w:t>
      </w:r>
      <w:r w:rsidR="00DA26ED">
        <w:t xml:space="preserve">proposed </w:t>
      </w:r>
      <w:r w:rsidR="000B2C05">
        <w:t>Agreement specifies an initial term of 20 years and thereafter shall be extended for additional 10-year increments</w:t>
      </w:r>
      <w:r w:rsidR="00DA26ED">
        <w:t>,</w:t>
      </w:r>
      <w:r w:rsidR="000B2C05">
        <w:t xml:space="preserve"> unless either party gives no less than 180 days of written notification</w:t>
      </w:r>
      <w:r w:rsidR="00DA26ED">
        <w:t xml:space="preserve"> of termination</w:t>
      </w:r>
      <w:r w:rsidR="000B2C05">
        <w:t xml:space="preserve">. </w:t>
      </w:r>
      <w:r>
        <w:t>The proposed Agreement has the added benefit of providing CFG with a</w:t>
      </w:r>
      <w:r w:rsidR="00B37633">
        <w:t>n additional</w:t>
      </w:r>
      <w:r>
        <w:t xml:space="preserve"> source of gas (via the Gulfstream interstate pipeline) and enhanc</w:t>
      </w:r>
      <w:r w:rsidR="00B37633">
        <w:t>ing</w:t>
      </w:r>
      <w:r>
        <w:t xml:space="preserve"> an existing interconnection with the </w:t>
      </w:r>
      <w:r w:rsidR="00DA26ED">
        <w:t>FGT pipeline</w:t>
      </w:r>
      <w:r>
        <w:t xml:space="preserve">. </w:t>
      </w:r>
      <w:r w:rsidR="00B37633">
        <w:t>The specific projects are discussed below</w:t>
      </w:r>
      <w:r w:rsidR="00DA26ED">
        <w:t xml:space="preserve"> and shown </w:t>
      </w:r>
      <w:r w:rsidR="009E1F6C">
        <w:t>in Attachment B to the recommendation</w:t>
      </w:r>
      <w:r w:rsidR="00B37633">
        <w:t>.</w:t>
      </w:r>
    </w:p>
    <w:p w:rsidR="001B4754" w:rsidRDefault="00B37633">
      <w:pPr>
        <w:pStyle w:val="BodyText"/>
      </w:pPr>
      <w:r>
        <w:t xml:space="preserve">First, </w:t>
      </w:r>
      <w:r w:rsidR="001B4754">
        <w:t xml:space="preserve">Peninsula </w:t>
      </w:r>
      <w:r w:rsidR="00630FA1">
        <w:t>w</w:t>
      </w:r>
      <w:r w:rsidR="00DA26ED">
        <w:t>ould</w:t>
      </w:r>
      <w:r w:rsidR="00630FA1">
        <w:t xml:space="preserve"> acquire 1,200 feet of existing 12 inch steel pipeline from Calpine</w:t>
      </w:r>
      <w:r w:rsidR="004C35CE">
        <w:t xml:space="preserve">. </w:t>
      </w:r>
      <w:r w:rsidR="003C1F3A">
        <w:t xml:space="preserve">The Calpine pipeline is shown as </w:t>
      </w:r>
      <w:r w:rsidR="009E1F6C">
        <w:t>the</w:t>
      </w:r>
      <w:r w:rsidR="003C1F3A">
        <w:t xml:space="preserve"> short blue line on Attachment </w:t>
      </w:r>
      <w:r w:rsidR="009E1F6C">
        <w:t>B</w:t>
      </w:r>
      <w:r w:rsidR="000F1D8B">
        <w:t xml:space="preserve"> and</w:t>
      </w:r>
      <w:r w:rsidR="003C1F3A">
        <w:t xml:space="preserve"> </w:t>
      </w:r>
      <w:r w:rsidR="00D24F1E">
        <w:t xml:space="preserve">already </w:t>
      </w:r>
      <w:r w:rsidR="003C1F3A">
        <w:t>connect</w:t>
      </w:r>
      <w:r w:rsidR="000F1D8B">
        <w:t>s to</w:t>
      </w:r>
      <w:r w:rsidR="003C1F3A">
        <w:t xml:space="preserve"> the existing Gulfstream Gate Station</w:t>
      </w:r>
      <w:r w:rsidR="00D24F1E">
        <w:t xml:space="preserve"> (south of Calpine)</w:t>
      </w:r>
      <w:r w:rsidR="000F1D8B">
        <w:t>.</w:t>
      </w:r>
      <w:r w:rsidR="003C1F3A">
        <w:t xml:space="preserve"> </w:t>
      </w:r>
      <w:r w:rsidR="000F1D8B">
        <w:t>The Calpine pipeline w</w:t>
      </w:r>
      <w:r w:rsidR="00DA26ED">
        <w:t>ould</w:t>
      </w:r>
      <w:r w:rsidR="000F1D8B">
        <w:t xml:space="preserve"> </w:t>
      </w:r>
      <w:r w:rsidR="00D24F1E">
        <w:t xml:space="preserve">also </w:t>
      </w:r>
      <w:r w:rsidR="000F1D8B">
        <w:t>connect with</w:t>
      </w:r>
      <w:r w:rsidR="003C1F3A">
        <w:t xml:space="preserve"> </w:t>
      </w:r>
      <w:r w:rsidR="00D24F1E">
        <w:t>a</w:t>
      </w:r>
      <w:r w:rsidR="003C1F3A">
        <w:t xml:space="preserve"> new interconnection </w:t>
      </w:r>
      <w:r w:rsidR="00D24F1E">
        <w:t>Peninsula</w:t>
      </w:r>
      <w:r w:rsidR="000F1D8B">
        <w:t xml:space="preserve"> w</w:t>
      </w:r>
      <w:r w:rsidR="00DA26ED">
        <w:t>ould</w:t>
      </w:r>
      <w:r w:rsidR="000F1D8B">
        <w:t xml:space="preserve"> construct</w:t>
      </w:r>
      <w:r w:rsidR="003C1F3A">
        <w:t xml:space="preserve"> directly to the south of Derby Avenue</w:t>
      </w:r>
      <w:r w:rsidR="00D24F1E">
        <w:t xml:space="preserve"> and to the east of Calpine</w:t>
      </w:r>
      <w:r w:rsidR="00DA26ED">
        <w:t xml:space="preserve"> pipeline</w:t>
      </w:r>
      <w:r w:rsidR="003C1F3A">
        <w:t>. This interconnection w</w:t>
      </w:r>
      <w:r w:rsidR="00DA26ED">
        <w:t>ould</w:t>
      </w:r>
      <w:r w:rsidR="003C1F3A">
        <w:t xml:space="preserve"> give CFG a secondary source of natural gas from Gulfstream. </w:t>
      </w:r>
    </w:p>
    <w:p w:rsidR="00D24F1E" w:rsidRDefault="00B37633">
      <w:pPr>
        <w:pStyle w:val="BodyText"/>
      </w:pPr>
      <w:r>
        <w:t>Second</w:t>
      </w:r>
      <w:r w:rsidR="00DD2329">
        <w:t xml:space="preserve">, </w:t>
      </w:r>
      <w:r w:rsidR="003C1F3A">
        <w:t xml:space="preserve">Peninsula </w:t>
      </w:r>
      <w:r w:rsidR="00DD2329">
        <w:t>w</w:t>
      </w:r>
      <w:r w:rsidR="00DA26ED">
        <w:t>ould</w:t>
      </w:r>
      <w:r w:rsidR="00DD2329">
        <w:t xml:space="preserve"> acquire from</w:t>
      </w:r>
      <w:r w:rsidR="003C1F3A">
        <w:t xml:space="preserve"> CFG 13,000 feet of </w:t>
      </w:r>
      <w:r w:rsidR="008F145F">
        <w:t>10</w:t>
      </w:r>
      <w:r w:rsidR="003C1F3A">
        <w:t xml:space="preserve"> inch steel pipeline that runs from CFG’s Lake Blue Gate Station north to the newly proposed interconnection</w:t>
      </w:r>
      <w:r w:rsidR="00D24F1E">
        <w:t xml:space="preserve"> south of Derby Avenue</w:t>
      </w:r>
      <w:r w:rsidR="003C1F3A">
        <w:t xml:space="preserve">. This is shown as </w:t>
      </w:r>
      <w:r w:rsidR="009E1F6C">
        <w:t>the</w:t>
      </w:r>
      <w:r w:rsidR="004A7279">
        <w:t xml:space="preserve"> red line on Attachment B.</w:t>
      </w:r>
      <w:r w:rsidR="003C1F3A">
        <w:t xml:space="preserve"> </w:t>
      </w:r>
      <w:r w:rsidR="001213F6">
        <w:t>Peninsula w</w:t>
      </w:r>
      <w:r w:rsidR="00DA26ED">
        <w:t>ould</w:t>
      </w:r>
      <w:r w:rsidR="001213F6">
        <w:t xml:space="preserve"> increase the pressure on this pipeline resulting in the pipeline operating as a transmission pipeline (and not a distribution pipeline). CFG explained that Peninsula, as </w:t>
      </w:r>
      <w:r w:rsidR="009E1F6C">
        <w:t xml:space="preserve">a </w:t>
      </w:r>
      <w:r w:rsidR="001213F6">
        <w:t xml:space="preserve">transmission pipeline operator, </w:t>
      </w:r>
      <w:r w:rsidR="00D24F1E">
        <w:t>w</w:t>
      </w:r>
      <w:r w:rsidR="00DA26ED">
        <w:t>ould</w:t>
      </w:r>
      <w:r w:rsidR="00D24F1E">
        <w:t xml:space="preserve"> be</w:t>
      </w:r>
      <w:r w:rsidR="00DD2329">
        <w:t xml:space="preserve"> more suited to provide the on-going operation</w:t>
      </w:r>
      <w:r w:rsidR="009E1F6C">
        <w:t>s</w:t>
      </w:r>
      <w:r w:rsidR="00DD2329">
        <w:t xml:space="preserve"> and maintenance and meet </w:t>
      </w:r>
      <w:r w:rsidR="00E1714E">
        <w:t xml:space="preserve">the </w:t>
      </w:r>
      <w:r w:rsidR="00DA26ED">
        <w:t xml:space="preserve">Pipeline and Hazardous Materials </w:t>
      </w:r>
      <w:r w:rsidR="00C96E03">
        <w:t>Safety Administration</w:t>
      </w:r>
      <w:r w:rsidR="00E1714E">
        <w:t>’s</w:t>
      </w:r>
      <w:r w:rsidR="00C96E03">
        <w:t xml:space="preserve"> </w:t>
      </w:r>
      <w:r w:rsidR="00DD2329">
        <w:t>compliance and safety requirements.</w:t>
      </w:r>
      <w:r w:rsidR="001213F6">
        <w:t xml:space="preserve"> </w:t>
      </w:r>
      <w:r w:rsidR="00D24F1E">
        <w:t>Peninsula w</w:t>
      </w:r>
      <w:r w:rsidR="00DA26ED">
        <w:t>ould</w:t>
      </w:r>
      <w:r w:rsidR="00D24F1E">
        <w:t xml:space="preserve"> increase the pressure on the </w:t>
      </w:r>
      <w:r w:rsidR="008F145F">
        <w:t xml:space="preserve">10 </w:t>
      </w:r>
      <w:r w:rsidR="00D24F1E">
        <w:t>inch steel pipeline by installing a regulator at the existing Lake Blue Gate Station.</w:t>
      </w:r>
    </w:p>
    <w:p w:rsidR="003C1F3A" w:rsidRDefault="00B37633">
      <w:pPr>
        <w:pStyle w:val="BodyText"/>
      </w:pPr>
      <w:r>
        <w:t>Finally, f</w:t>
      </w:r>
      <w:r w:rsidR="003C1F3A">
        <w:t>rom th</w:t>
      </w:r>
      <w:r w:rsidR="009E1F6C">
        <w:t>e new</w:t>
      </w:r>
      <w:r w:rsidR="003C1F3A">
        <w:t xml:space="preserve"> interconnection</w:t>
      </w:r>
      <w:r>
        <w:t xml:space="preserve"> south of Derby Avenue</w:t>
      </w:r>
      <w:r w:rsidR="003C1F3A">
        <w:t xml:space="preserve">, Peninsula </w:t>
      </w:r>
      <w:r w:rsidR="00C96E03">
        <w:t>would</w:t>
      </w:r>
      <w:r w:rsidR="003C1F3A">
        <w:t xml:space="preserve"> construct 800 feet of </w:t>
      </w:r>
      <w:r w:rsidR="008F145F">
        <w:t>6</w:t>
      </w:r>
      <w:r w:rsidR="003C1F3A">
        <w:t xml:space="preserve"> inch polyethylene pipeline to the north where it w</w:t>
      </w:r>
      <w:r w:rsidR="00C96E03">
        <w:t>ould</w:t>
      </w:r>
      <w:r w:rsidR="003C1F3A">
        <w:t xml:space="preserve"> interconnect with CFG’</w:t>
      </w:r>
      <w:r w:rsidR="004A7279">
        <w:t>s distribution system in the vic</w:t>
      </w:r>
      <w:r w:rsidR="003C1F3A">
        <w:t xml:space="preserve">inity of Derby Avenue in Polk County. </w:t>
      </w:r>
      <w:r w:rsidR="004A7279">
        <w:t>The polyethylene pipeline is shown as</w:t>
      </w:r>
      <w:r>
        <w:t xml:space="preserve"> the short </w:t>
      </w:r>
      <w:r w:rsidR="004A7279">
        <w:t>green line on Attachment B.</w:t>
      </w:r>
    </w:p>
    <w:p w:rsidR="003B257A" w:rsidRDefault="00BC24C6">
      <w:pPr>
        <w:pStyle w:val="BodyText"/>
      </w:pPr>
      <w:r>
        <w:t xml:space="preserve">In response to staff’s first data request, the </w:t>
      </w:r>
      <w:r w:rsidR="00C45D22">
        <w:t>parties</w:t>
      </w:r>
      <w:r>
        <w:t xml:space="preserve"> stated that </w:t>
      </w:r>
      <w:r w:rsidR="003B257A">
        <w:t xml:space="preserve">CFG did not </w:t>
      </w:r>
      <w:r w:rsidR="008F145F">
        <w:t>issue</w:t>
      </w:r>
      <w:r w:rsidR="003B257A">
        <w:t xml:space="preserve"> a Request for Proposals (RFP) from other entities to construct the pipeline. Peninsula, however, engaged in discussions with </w:t>
      </w:r>
      <w:r>
        <w:t>FGT</w:t>
      </w:r>
      <w:r w:rsidR="003B257A">
        <w:t xml:space="preserve"> about </w:t>
      </w:r>
      <w:r w:rsidR="009E1F6C">
        <w:t>extending its existing pipeline</w:t>
      </w:r>
      <w:r w:rsidR="00C96E03">
        <w:t xml:space="preserve"> in Polk County. CFG </w:t>
      </w:r>
      <w:r w:rsidR="009E1F6C">
        <w:t xml:space="preserve">stated that </w:t>
      </w:r>
      <w:r>
        <w:t>FGT</w:t>
      </w:r>
      <w:r w:rsidR="009E1F6C">
        <w:t xml:space="preserve"> </w:t>
      </w:r>
      <w:r w:rsidR="009E1F6C">
        <w:lastRenderedPageBreak/>
        <w:t xml:space="preserve">declined to bid </w:t>
      </w:r>
      <w:r w:rsidR="00F22BB2">
        <w:t xml:space="preserve">on </w:t>
      </w:r>
      <w:r w:rsidR="009E1F6C">
        <w:t xml:space="preserve">the </w:t>
      </w:r>
      <w:r w:rsidR="00F22BB2">
        <w:t xml:space="preserve">pipeline </w:t>
      </w:r>
      <w:r w:rsidR="009E1F6C">
        <w:t xml:space="preserve">construction </w:t>
      </w:r>
      <w:r w:rsidR="00F22BB2">
        <w:t xml:space="preserve">portion of the </w:t>
      </w:r>
      <w:r w:rsidR="009E1F6C">
        <w:t>project</w:t>
      </w:r>
      <w:r w:rsidR="00F22BB2">
        <w:t xml:space="preserve"> citing </w:t>
      </w:r>
      <w:r w:rsidR="00C45D22">
        <w:t xml:space="preserve">that constructing </w:t>
      </w:r>
      <w:r w:rsidR="00F22BB2">
        <w:t>and operating laterals such as th</w:t>
      </w:r>
      <w:r w:rsidR="00C45D22">
        <w:t>ose</w:t>
      </w:r>
      <w:r w:rsidR="00F22BB2">
        <w:t xml:space="preserve"> proposed in this petition are not a focus of FGT’s expansion activities</w:t>
      </w:r>
      <w:r w:rsidR="009E1F6C">
        <w:t>.</w:t>
      </w:r>
      <w:r w:rsidR="003B257A">
        <w:t xml:space="preserve"> </w:t>
      </w:r>
    </w:p>
    <w:p w:rsidR="003B257A" w:rsidRDefault="008F145F" w:rsidP="008752EA">
      <w:pPr>
        <w:spacing w:before="240" w:after="240"/>
        <w:jc w:val="both"/>
      </w:pPr>
      <w:r>
        <w:t xml:space="preserve">The parties assert that the negotiated monthly reservation charge contained in the proposed Agreement is consistent with a market rate since they are within the ranges of rates set forth in similar agreements as required by Section 368.105(3)(b), F.S. </w:t>
      </w:r>
      <w:r w:rsidR="003B257A">
        <w:t xml:space="preserve">CFG is proposing to recover </w:t>
      </w:r>
      <w:r w:rsidR="00F22BB2">
        <w:t>its</w:t>
      </w:r>
      <w:r w:rsidR="003B257A">
        <w:t xml:space="preserve"> payments to Peninsula through its </w:t>
      </w:r>
      <w:r w:rsidR="00E7670F">
        <w:t>swing s</w:t>
      </w:r>
      <w:r w:rsidR="003B257A">
        <w:t xml:space="preserve">ervice </w:t>
      </w:r>
      <w:r w:rsidR="00E7670F">
        <w:t>r</w:t>
      </w:r>
      <w:r w:rsidR="003B257A">
        <w:t>ider</w:t>
      </w:r>
      <w:r w:rsidR="003B257A">
        <w:rPr>
          <w:rStyle w:val="FootnoteReference"/>
        </w:rPr>
        <w:footnoteReference w:id="5"/>
      </w:r>
      <w:r w:rsidR="003B257A">
        <w:t xml:space="preserve"> mechanism consistent with other gas transmission pipeline costs incurred by CFG. </w:t>
      </w:r>
      <w:r w:rsidR="00511E17">
        <w:t>The swing service rider allows CFG to recover intrastate capacity costs from their transportation customers</w:t>
      </w:r>
      <w:r w:rsidR="00E91038">
        <w:t xml:space="preserve"> and </w:t>
      </w:r>
      <w:r w:rsidR="00E91038" w:rsidRPr="00136A6A">
        <w:t>is a cents per therm charge that is included in the monthly gas bi</w:t>
      </w:r>
      <w:r w:rsidR="00E91038">
        <w:t>ll of transportation customers.</w:t>
      </w:r>
      <w:r w:rsidR="00E91038">
        <w:rPr>
          <w:rStyle w:val="FootnoteReference"/>
        </w:rPr>
        <w:footnoteReference w:id="6"/>
      </w:r>
      <w:r w:rsidR="00E91038">
        <w:t xml:space="preserve"> </w:t>
      </w:r>
      <w:r w:rsidR="003B257A">
        <w:t>While CFG will incur costs associated with this service expansion, any new load will help spread the costs over a larger customer base.</w:t>
      </w:r>
    </w:p>
    <w:p w:rsidR="00F22BB2" w:rsidRDefault="00F22BB2" w:rsidP="00F22BB2">
      <w:pPr>
        <w:pStyle w:val="BodyText"/>
      </w:pPr>
      <w:r>
        <w:t xml:space="preserve">The benefit of Peninsula, as opposed to CFG, constructing the new pipeline is primarily that Peninsula’s construction and ownership of the pipeline will avoid CFG undertaking the costs and risks for </w:t>
      </w:r>
      <w:r w:rsidR="007476A6">
        <w:t>the three</w:t>
      </w:r>
      <w:r>
        <w:t xml:space="preserve"> project</w:t>
      </w:r>
      <w:r w:rsidR="007476A6">
        <w:t>s</w:t>
      </w:r>
      <w:r>
        <w:t xml:space="preserve">, </w:t>
      </w:r>
      <w:r w:rsidR="007476A6">
        <w:t xml:space="preserve">which </w:t>
      </w:r>
      <w:r>
        <w:t xml:space="preserve">in turn protects CFG’s ratepayers. </w:t>
      </w:r>
      <w:r w:rsidRPr="00C45D22">
        <w:t xml:space="preserve">Peninsula anticipates the pipeline construction </w:t>
      </w:r>
      <w:r w:rsidR="000C587C">
        <w:t xml:space="preserve">to </w:t>
      </w:r>
      <w:r w:rsidRPr="00C45D22">
        <w:t>be completed by September 2019.</w:t>
      </w:r>
      <w:r>
        <w:t xml:space="preserve"> </w:t>
      </w:r>
    </w:p>
    <w:p w:rsidR="003B257A" w:rsidRDefault="003B257A" w:rsidP="003B257A">
      <w:pPr>
        <w:pStyle w:val="First-LevelSubheading"/>
      </w:pPr>
      <w:r>
        <w:t>Conclusion</w:t>
      </w:r>
    </w:p>
    <w:p w:rsidR="003B257A" w:rsidRPr="003B257A" w:rsidRDefault="003B257A" w:rsidP="003B257A">
      <w:pPr>
        <w:pStyle w:val="BodyText"/>
      </w:pPr>
      <w:r>
        <w:t xml:space="preserve">Based on the petition and </w:t>
      </w:r>
      <w:r w:rsidR="00F22BB2">
        <w:t xml:space="preserve">the parties’ </w:t>
      </w:r>
      <w:r>
        <w:t>responses</w:t>
      </w:r>
      <w:r w:rsidR="00F22BB2">
        <w:t xml:space="preserve"> to staff’s data requests</w:t>
      </w:r>
      <w:r>
        <w:t xml:space="preserve">, staff believes that the proposed Agreement is cost effective, reasonable, meets the requirements of Section 368.105, F.S., and benefits CFG’s customers. </w:t>
      </w:r>
      <w:r w:rsidR="0069754B">
        <w:t xml:space="preserve">Staff therefore recommends approval of the proposed Agreement between </w:t>
      </w:r>
      <w:r w:rsidR="00F22BB2">
        <w:t>the parties</w:t>
      </w:r>
      <w:r w:rsidR="0069754B">
        <w:t xml:space="preserve"> dated May 17, 2019. </w:t>
      </w:r>
    </w:p>
    <w:p w:rsidR="003B257A" w:rsidRDefault="003B257A">
      <w:pPr>
        <w:pStyle w:val="BodyText"/>
      </w:pPr>
    </w:p>
    <w:p w:rsidR="00A14936" w:rsidRDefault="00A14936">
      <w:pPr>
        <w:pStyle w:val="IssueHeading"/>
        <w:rPr>
          <w:vanish/>
          <w:specVanish/>
        </w:rPr>
      </w:pPr>
      <w:r w:rsidRPr="004C3641">
        <w:rPr>
          <w:b w:val="0"/>
          <w:i w:val="0"/>
        </w:rPr>
        <w:br w:type="page"/>
      </w:r>
      <w:r w:rsidRPr="004C3641">
        <w:lastRenderedPageBreak/>
        <w:t xml:space="preserve">Issue </w:t>
      </w:r>
      <w:r w:rsidR="00012CEB">
        <w:fldChar w:fldCharType="begin"/>
      </w:r>
      <w:r w:rsidR="00012CEB">
        <w:instrText xml:space="preserve"> SEQ Issue \* MERGEFORMAT </w:instrText>
      </w:r>
      <w:r w:rsidR="00012CEB">
        <w:fldChar w:fldCharType="separate"/>
      </w:r>
      <w:r w:rsidR="00E1714E">
        <w:rPr>
          <w:noProof/>
        </w:rPr>
        <w:t>2</w:t>
      </w:r>
      <w:r w:rsidR="00012CE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1714E">
        <w:rPr>
          <w:noProof/>
        </w:rPr>
        <w:instrText>2</w:instrText>
      </w:r>
      <w:r>
        <w:fldChar w:fldCharType="end"/>
      </w:r>
      <w:r>
        <w:tab/>
        <w:instrText xml:space="preserve">(Simmons)" \l 1 </w:instrText>
      </w:r>
      <w:r>
        <w:fldChar w:fldCharType="end"/>
      </w:r>
      <w:r>
        <w:t> </w:t>
      </w:r>
    </w:p>
    <w:p w:rsidR="00A14936" w:rsidRDefault="00A14936">
      <w:pPr>
        <w:pStyle w:val="BodyText"/>
      </w:pPr>
      <w:r>
        <w:t> Should this docket be closed?</w:t>
      </w:r>
    </w:p>
    <w:p w:rsidR="00A14936" w:rsidRPr="004C3641" w:rsidRDefault="00A14936">
      <w:pPr>
        <w:pStyle w:val="IssueSubsectionHeading"/>
        <w:rPr>
          <w:vanish/>
          <w:specVanish/>
        </w:rPr>
      </w:pPr>
      <w:r w:rsidRPr="004C3641">
        <w:t>Recommendation: </w:t>
      </w:r>
    </w:p>
    <w:p w:rsidR="00A14936" w:rsidRDefault="00A14936">
      <w:pPr>
        <w:pStyle w:val="BodyText"/>
      </w:pPr>
      <w:r>
        <w:t> </w:t>
      </w:r>
      <w:r w:rsidR="0069754B">
        <w:t xml:space="preserve">Yes. If no protest is filed by a person whose substantial interests are affected within 21 days of the issuance of the Order, this docket should be closed upon the issuance of a Consummating Order. </w:t>
      </w:r>
      <w:r>
        <w:t xml:space="preserve"> (Simmons)</w:t>
      </w:r>
    </w:p>
    <w:p w:rsidR="00A14936" w:rsidRPr="004C3641" w:rsidRDefault="00A14936">
      <w:pPr>
        <w:pStyle w:val="IssueSubsectionHeading"/>
        <w:rPr>
          <w:vanish/>
          <w:specVanish/>
        </w:rPr>
      </w:pPr>
      <w:r w:rsidRPr="004C3641">
        <w:t>Staff Analysis: </w:t>
      </w:r>
    </w:p>
    <w:p w:rsidR="00A14936" w:rsidRDefault="00A14936">
      <w:pPr>
        <w:pStyle w:val="BodyText"/>
      </w:pPr>
      <w:r>
        <w:t> </w:t>
      </w:r>
      <w:r w:rsidR="0069754B">
        <w:t>If no protest is filed by a person whose substantial interests are affected within 21 days of the issuance of the Order, this docket should be closed upon the issuance of a Consummating Order</w:t>
      </w:r>
      <w:r w:rsidR="00AF2E5B">
        <w:t>.</w:t>
      </w:r>
    </w:p>
    <w:p w:rsidR="00F76F2A" w:rsidRDefault="00F76F2A" w:rsidP="00E275D8">
      <w:pPr>
        <w:pStyle w:val="BodyText"/>
        <w:sectPr w:rsidR="00F76F2A"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124C5C" w:rsidRDefault="00F76F2A" w:rsidP="00E275D8">
      <w:pPr>
        <w:pStyle w:val="BodyText"/>
        <w:sectPr w:rsidR="00124C5C"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8.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0.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1.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2.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24C5C" w:rsidRDefault="00124C5C" w:rsidP="00E275D8">
      <w:pPr>
        <w:pStyle w:val="BodyText"/>
        <w:sectPr w:rsidR="00124C5C" w:rsidSect="0068481F">
          <w:headerReference w:type="default" r:id="rId28"/>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age_1.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06484" w:rsidRDefault="00124C5C" w:rsidP="00E275D8">
      <w:pPr>
        <w:pStyle w:val="BodyText"/>
      </w:pPr>
      <w:r>
        <w:rPr>
          <w:noProof/>
        </w:rPr>
        <w:lastRenderedPageBreak/>
        <w:drawing>
          <wp:inline distT="0" distB="0" distL="0" distR="0">
            <wp:extent cx="7691755" cy="59436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age_2.jpg"/>
                    <pic:cNvPicPr/>
                  </pic:nvPicPr>
                  <pic:blipFill>
                    <a:blip r:embed="rId30">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sectPr w:rsidR="00E06484" w:rsidSect="00124C5C">
      <w:pgSz w:w="15840" w:h="12240" w:orient="landscape" w:code="1"/>
      <w:pgMar w:top="1440" w:right="1584"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F42" w:rsidRDefault="00B95F42">
      <w:r>
        <w:separator/>
      </w:r>
    </w:p>
  </w:endnote>
  <w:endnote w:type="continuationSeparator" w:id="0">
    <w:p w:rsidR="00B95F42" w:rsidRDefault="00B95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81117">
      <w:rPr>
        <w:rStyle w:val="PageNumber"/>
        <w:noProof/>
      </w:rPr>
      <w:t>19</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F42" w:rsidRDefault="00B95F42">
      <w:r>
        <w:separator/>
      </w:r>
    </w:p>
  </w:footnote>
  <w:footnote w:type="continuationSeparator" w:id="0">
    <w:p w:rsidR="00B95F42" w:rsidRDefault="00B95F42">
      <w:r>
        <w:continuationSeparator/>
      </w:r>
    </w:p>
  </w:footnote>
  <w:footnote w:id="1">
    <w:p w:rsidR="00D70C19" w:rsidRPr="00D70C19" w:rsidRDefault="00D70C19">
      <w:pPr>
        <w:pStyle w:val="FootnoteText"/>
        <w:rPr>
          <w:i/>
        </w:rPr>
      </w:pPr>
      <w:r>
        <w:rPr>
          <w:rStyle w:val="FootnoteReference"/>
        </w:rPr>
        <w:footnoteRef/>
      </w:r>
      <w:r>
        <w:t xml:space="preserve"> Order No. PSC-06-0023-DS-GP, issued January 9, 2006, in Docket No. 050584-GP, </w:t>
      </w:r>
      <w:r>
        <w:rPr>
          <w:i/>
        </w:rPr>
        <w:t>In re: Petition for declaratory statement by Peninsula Pipeline Company, Inc. concerning recognition as a natural gas transmission company under Section 368.101, F.S., et seq.</w:t>
      </w:r>
    </w:p>
  </w:footnote>
  <w:footnote w:id="2">
    <w:p w:rsidR="00D70C19" w:rsidRPr="005E23FE" w:rsidRDefault="00D70C19">
      <w:pPr>
        <w:pStyle w:val="FootnoteText"/>
        <w:rPr>
          <w:i/>
        </w:rPr>
      </w:pPr>
      <w:r>
        <w:rPr>
          <w:rStyle w:val="FootnoteReference"/>
        </w:rPr>
        <w:footnoteRef/>
      </w:r>
      <w:r>
        <w:t xml:space="preserve"> Order</w:t>
      </w:r>
      <w:r w:rsidR="005E23FE">
        <w:t xml:space="preserve"> No. PSC-07-1012-TRF-GP, issued December 21, 2007, in Docket No. 07</w:t>
      </w:r>
      <w:r w:rsidR="006E625D">
        <w:t>0</w:t>
      </w:r>
      <w:r w:rsidR="005E23FE">
        <w:t xml:space="preserve">570-GP, </w:t>
      </w:r>
      <w:r w:rsidR="005E23FE" w:rsidRPr="005E23FE">
        <w:rPr>
          <w:i/>
        </w:rPr>
        <w:t>In re: Petition for approval of natural gas transmission pipeline tariff by Peninsula Pipeline company, Inc.</w:t>
      </w:r>
    </w:p>
  </w:footnote>
  <w:footnote w:id="3">
    <w:p w:rsidR="00E650CF" w:rsidRDefault="00E650CF">
      <w:pPr>
        <w:pStyle w:val="FootnoteText"/>
      </w:pPr>
      <w:r>
        <w:rPr>
          <w:rStyle w:val="FootnoteReference"/>
        </w:rPr>
        <w:footnoteRef/>
      </w:r>
      <w:r>
        <w:t xml:space="preserve"> </w:t>
      </w:r>
      <w:r w:rsidR="003213F8">
        <w:t>Peninsula Pipeline Company, Inc., Intrastate Pipeline Tariff, Original Vol. 1, Original Sheet No. 11, Section 3.</w:t>
      </w:r>
    </w:p>
  </w:footnote>
  <w:footnote w:id="4">
    <w:p w:rsidR="00D70C19" w:rsidRDefault="00D70C19">
      <w:pPr>
        <w:pStyle w:val="FootnoteText"/>
      </w:pPr>
      <w:r>
        <w:rPr>
          <w:rStyle w:val="FootnoteReference"/>
        </w:rPr>
        <w:footnoteRef/>
      </w:r>
      <w:r>
        <w:t xml:space="preserve"> Peninsula Pipeline Company, Inc., Intrastate Pipeline Tariff, Original Vol. 1, </w:t>
      </w:r>
      <w:r w:rsidR="003213F8">
        <w:t xml:space="preserve">Original </w:t>
      </w:r>
      <w:r>
        <w:t>Sheet No. 12, Section 4.</w:t>
      </w:r>
    </w:p>
  </w:footnote>
  <w:footnote w:id="5">
    <w:p w:rsidR="003B257A" w:rsidRPr="00511E17" w:rsidRDefault="003B257A" w:rsidP="00CE728C">
      <w:pPr>
        <w:pStyle w:val="OrderBody"/>
        <w:tabs>
          <w:tab w:val="center" w:pos="4320"/>
          <w:tab w:val="right" w:pos="8640"/>
        </w:tabs>
        <w:rPr>
          <w:i/>
        </w:rPr>
      </w:pPr>
      <w:r>
        <w:rPr>
          <w:rStyle w:val="FootnoteReference"/>
        </w:rPr>
        <w:footnoteRef/>
      </w:r>
      <w:r>
        <w:t xml:space="preserve"> </w:t>
      </w:r>
      <w:r w:rsidR="00511E17" w:rsidRPr="00511E17">
        <w:rPr>
          <w:sz w:val="20"/>
          <w:szCs w:val="20"/>
        </w:rPr>
        <w:t xml:space="preserve">Order No. </w:t>
      </w:r>
      <w:bookmarkStart w:id="17" w:name="OrderNo0557"/>
      <w:r w:rsidR="00511E17" w:rsidRPr="00511E17">
        <w:rPr>
          <w:sz w:val="20"/>
          <w:szCs w:val="20"/>
        </w:rPr>
        <w:t>PSC-2018-0557-TRF-GU</w:t>
      </w:r>
      <w:bookmarkEnd w:id="17"/>
      <w:r w:rsidR="00511E17" w:rsidRPr="00511E17">
        <w:rPr>
          <w:sz w:val="20"/>
          <w:szCs w:val="20"/>
        </w:rPr>
        <w:t>, issued November 20, 2018, in Docket No. 20180158-GU,</w:t>
      </w:r>
      <w:r w:rsidR="00511E17" w:rsidRPr="00511E17">
        <w:rPr>
          <w:i/>
          <w:sz w:val="20"/>
          <w:szCs w:val="20"/>
        </w:rPr>
        <w:t xml:space="preserve"> In re: Joint petition for approval of swing service rider, by Florida Public Utilities Company, Florida Public Utilities Company-Indiantown Division, Florida Public Utilities Company-Fort Meade, and Florida Division of Chesapeake Utilities Corporation.</w:t>
      </w:r>
    </w:p>
  </w:footnote>
  <w:footnote w:id="6">
    <w:p w:rsidR="00E91038" w:rsidRDefault="00E91038">
      <w:pPr>
        <w:pStyle w:val="FootnoteText"/>
      </w:pPr>
      <w:r>
        <w:rPr>
          <w:rStyle w:val="FootnoteReference"/>
        </w:rPr>
        <w:footnoteRef/>
      </w:r>
      <w:r>
        <w:t xml:space="preserve"> CFG does not purchase gas for its customers.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95F42"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20190128-GU</w:t>
    </w:r>
    <w:bookmarkEnd w:id="15"/>
  </w:p>
  <w:p w:rsidR="00BC402E" w:rsidRDefault="00BC402E">
    <w:pPr>
      <w:pStyle w:val="Header"/>
    </w:pPr>
    <w:r>
      <w:t xml:space="preserve">Date: </w:t>
    </w:r>
    <w:r w:rsidR="00012CEB">
      <w:fldChar w:fldCharType="begin"/>
    </w:r>
    <w:r w:rsidR="00012CEB">
      <w:instrText xml:space="preserve"> REF FilingDate </w:instrText>
    </w:r>
    <w:r w:rsidR="00012CEB">
      <w:fldChar w:fldCharType="separate"/>
    </w:r>
    <w:r w:rsidR="00E1714E">
      <w:t>July 25, 2019</w:t>
    </w:r>
    <w:r w:rsidR="00012CE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E1714E">
      <w:t>Docket No.</w:t>
    </w:r>
    <w:r>
      <w:fldChar w:fldCharType="end"/>
    </w:r>
    <w:r>
      <w:t xml:space="preserve"> </w:t>
    </w:r>
    <w:r>
      <w:fldChar w:fldCharType="begin"/>
    </w:r>
    <w:r>
      <w:instrText xml:space="preserve"> REF DocketList</w:instrText>
    </w:r>
    <w:r>
      <w:fldChar w:fldCharType="separate"/>
    </w:r>
    <w:r w:rsidR="00E1714E">
      <w:t>20190128-GU</w:t>
    </w:r>
    <w:r>
      <w:fldChar w:fldCharType="end"/>
    </w:r>
    <w:r>
      <w:tab/>
      <w:t xml:space="preserve">Issue </w:t>
    </w:r>
    <w:r w:rsidR="00012CEB">
      <w:fldChar w:fldCharType="begin"/>
    </w:r>
    <w:r w:rsidR="00012CEB">
      <w:instrText xml:space="preserve"> Seq Issue \c \* Arabic </w:instrText>
    </w:r>
    <w:r w:rsidR="00012CEB">
      <w:fldChar w:fldCharType="separate"/>
    </w:r>
    <w:r w:rsidR="00881117">
      <w:rPr>
        <w:noProof/>
      </w:rPr>
      <w:t>2</w:t>
    </w:r>
    <w:r w:rsidR="00012CEB">
      <w:rPr>
        <w:noProof/>
      </w:rPr>
      <w:fldChar w:fldCharType="end"/>
    </w:r>
  </w:p>
  <w:p w:rsidR="00BC402E" w:rsidRDefault="00BC402E">
    <w:pPr>
      <w:pStyle w:val="Header"/>
    </w:pPr>
    <w:r>
      <w:t xml:space="preserve">Date: </w:t>
    </w:r>
    <w:r w:rsidR="00012CEB">
      <w:fldChar w:fldCharType="begin"/>
    </w:r>
    <w:r w:rsidR="00012CEB">
      <w:instrText xml:space="preserve"> REF FilingDate </w:instrText>
    </w:r>
    <w:r w:rsidR="00012CEB">
      <w:fldChar w:fldCharType="separate"/>
    </w:r>
    <w:r w:rsidR="00E1714E">
      <w:t>July 25, 2019</w:t>
    </w:r>
    <w:r w:rsidR="00012CEB">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2A" w:rsidRDefault="00F76F2A" w:rsidP="00220732">
    <w:pPr>
      <w:pStyle w:val="Header"/>
      <w:tabs>
        <w:tab w:val="clear" w:pos="4320"/>
        <w:tab w:val="clear" w:pos="8640"/>
        <w:tab w:val="right" w:pos="9360"/>
      </w:tabs>
    </w:pPr>
    <w:r>
      <w:fldChar w:fldCharType="begin"/>
    </w:r>
    <w:r>
      <w:instrText xml:space="preserve"> REF DocketLabel</w:instrText>
    </w:r>
    <w:r>
      <w:fldChar w:fldCharType="separate"/>
    </w:r>
    <w:r w:rsidR="00E1714E">
      <w:t>Docket No.</w:t>
    </w:r>
    <w:r>
      <w:fldChar w:fldCharType="end"/>
    </w:r>
    <w:r>
      <w:t xml:space="preserve"> </w:t>
    </w:r>
    <w:r>
      <w:fldChar w:fldCharType="begin"/>
    </w:r>
    <w:r>
      <w:instrText xml:space="preserve"> REF DocketList</w:instrText>
    </w:r>
    <w:r>
      <w:fldChar w:fldCharType="separate"/>
    </w:r>
    <w:r w:rsidR="00E1714E">
      <w:t>20190128-GU</w:t>
    </w:r>
    <w:r>
      <w:fldChar w:fldCharType="end"/>
    </w:r>
    <w:r>
      <w:tab/>
      <w:t>Attachment A</w:t>
    </w:r>
  </w:p>
  <w:p w:rsidR="00F76F2A" w:rsidRDefault="00F76F2A" w:rsidP="00124C5C">
    <w:pPr>
      <w:pStyle w:val="Header"/>
      <w:tabs>
        <w:tab w:val="left" w:pos="8010"/>
      </w:tabs>
    </w:pPr>
    <w:r>
      <w:t xml:space="preserve">Date: </w:t>
    </w:r>
    <w:r w:rsidR="00012CEB">
      <w:fldChar w:fldCharType="begin"/>
    </w:r>
    <w:r w:rsidR="00012CEB">
      <w:instrText xml:space="preserve"> REF FilingDate </w:instrText>
    </w:r>
    <w:r w:rsidR="00012CEB">
      <w:fldChar w:fldCharType="separate"/>
    </w:r>
    <w:r w:rsidR="00E1714E">
      <w:t>July 25, 2019</w:t>
    </w:r>
    <w:r w:rsidR="00012CEB">
      <w:fldChar w:fldCharType="end"/>
    </w:r>
    <w:r w:rsidR="00124C5C">
      <w:tab/>
    </w:r>
    <w:r w:rsidR="00124C5C">
      <w:tab/>
      <w:t xml:space="preserve">Page </w:t>
    </w:r>
    <w:r w:rsidR="00124C5C">
      <w:fldChar w:fldCharType="begin"/>
    </w:r>
    <w:r w:rsidR="00124C5C">
      <w:instrText xml:space="preserve">= </w:instrText>
    </w:r>
    <w:r w:rsidR="00124C5C">
      <w:fldChar w:fldCharType="begin"/>
    </w:r>
    <w:r w:rsidR="00124C5C">
      <w:instrText xml:space="preserve">Page </w:instrText>
    </w:r>
    <w:r w:rsidR="00124C5C">
      <w:fldChar w:fldCharType="separate"/>
    </w:r>
    <w:r w:rsidR="00881117">
      <w:rPr>
        <w:noProof/>
      </w:rPr>
      <w:instrText>17</w:instrText>
    </w:r>
    <w:r w:rsidR="00124C5C">
      <w:fldChar w:fldCharType="end"/>
    </w:r>
    <w:r w:rsidR="00124C5C">
      <w:instrText xml:space="preserve">- 5 </w:instrText>
    </w:r>
    <w:r w:rsidR="00124C5C">
      <w:fldChar w:fldCharType="separate"/>
    </w:r>
    <w:r w:rsidR="00881117">
      <w:rPr>
        <w:noProof/>
      </w:rPr>
      <w:t>12</w:t>
    </w:r>
    <w:r w:rsidR="00124C5C">
      <w:fldChar w:fldCharType="end"/>
    </w:r>
    <w:r w:rsidR="00124C5C">
      <w:t xml:space="preserve"> of 1</w:t>
    </w:r>
    <w:r w:rsidR="007E2272">
      <w:t>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5C" w:rsidRDefault="00124C5C" w:rsidP="00220732">
    <w:pPr>
      <w:pStyle w:val="Header"/>
      <w:tabs>
        <w:tab w:val="clear" w:pos="4320"/>
        <w:tab w:val="clear" w:pos="8640"/>
        <w:tab w:val="right" w:pos="9360"/>
      </w:tabs>
    </w:pPr>
    <w:r>
      <w:fldChar w:fldCharType="begin"/>
    </w:r>
    <w:r>
      <w:instrText xml:space="preserve"> REF DocketLabel</w:instrText>
    </w:r>
    <w:r>
      <w:fldChar w:fldCharType="separate"/>
    </w:r>
    <w:r w:rsidR="00E1714E">
      <w:t>Docket No.</w:t>
    </w:r>
    <w:r>
      <w:fldChar w:fldCharType="end"/>
    </w:r>
    <w:r>
      <w:t xml:space="preserve"> </w:t>
    </w:r>
    <w:r>
      <w:fldChar w:fldCharType="begin"/>
    </w:r>
    <w:r>
      <w:instrText xml:space="preserve"> REF DocketList</w:instrText>
    </w:r>
    <w:r>
      <w:fldChar w:fldCharType="separate"/>
    </w:r>
    <w:r w:rsidR="00E1714E">
      <w:t>20190128-GU</w:t>
    </w:r>
    <w:r>
      <w:fldChar w:fldCharType="end"/>
    </w:r>
    <w:r>
      <w:tab/>
      <w:t>Attachment B</w:t>
    </w:r>
  </w:p>
  <w:p w:rsidR="00124C5C" w:rsidRDefault="00124C5C" w:rsidP="00124C5C">
    <w:pPr>
      <w:pStyle w:val="Header"/>
      <w:tabs>
        <w:tab w:val="left" w:pos="8010"/>
      </w:tabs>
    </w:pPr>
    <w:r>
      <w:t xml:space="preserve">Date: </w:t>
    </w:r>
    <w:r w:rsidR="00012CEB">
      <w:fldChar w:fldCharType="begin"/>
    </w:r>
    <w:r w:rsidR="00012CEB">
      <w:instrText xml:space="preserve"> REF FilingDate </w:instrText>
    </w:r>
    <w:r w:rsidR="00012CEB">
      <w:fldChar w:fldCharType="separate"/>
    </w:r>
    <w:r w:rsidR="00E1714E">
      <w:t>July 25, 2019</w:t>
    </w:r>
    <w:r w:rsidR="00012CEB">
      <w:fldChar w:fldCharType="end"/>
    </w:r>
    <w:r>
      <w:tab/>
    </w:r>
    <w:r>
      <w:tab/>
      <w:t xml:space="preserve">Page </w:t>
    </w:r>
    <w:r>
      <w:fldChar w:fldCharType="begin"/>
    </w:r>
    <w:r>
      <w:instrText xml:space="preserve">= </w:instrText>
    </w:r>
    <w:r>
      <w:fldChar w:fldCharType="begin"/>
    </w:r>
    <w:r>
      <w:instrText xml:space="preserve">Page  </w:instrText>
    </w:r>
    <w:r>
      <w:fldChar w:fldCharType="separate"/>
    </w:r>
    <w:r w:rsidR="00881117">
      <w:rPr>
        <w:noProof/>
      </w:rPr>
      <w:instrText>19</w:instrText>
    </w:r>
    <w:r>
      <w:fldChar w:fldCharType="end"/>
    </w:r>
    <w:r>
      <w:instrText xml:space="preserve">- 17 </w:instrText>
    </w:r>
    <w:r>
      <w:fldChar w:fldCharType="separate"/>
    </w:r>
    <w:r w:rsidR="00881117">
      <w:rPr>
        <w:noProof/>
      </w:rPr>
      <w:t>2</w:t>
    </w:r>
    <w:r>
      <w:fldChar w:fldCharType="end"/>
    </w:r>
    <w:r>
      <w:t xml:space="preserve"> of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95F42"/>
    <w:rsid w:val="000043D5"/>
    <w:rsid w:val="0000559A"/>
    <w:rsid w:val="00006170"/>
    <w:rsid w:val="00010E37"/>
    <w:rsid w:val="00012CD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B2C05"/>
    <w:rsid w:val="000C4431"/>
    <w:rsid w:val="000C587C"/>
    <w:rsid w:val="000D1C06"/>
    <w:rsid w:val="000D4319"/>
    <w:rsid w:val="000F1D8B"/>
    <w:rsid w:val="000F374A"/>
    <w:rsid w:val="001076AF"/>
    <w:rsid w:val="00112DEF"/>
    <w:rsid w:val="00117C8C"/>
    <w:rsid w:val="001213F6"/>
    <w:rsid w:val="00124C5C"/>
    <w:rsid w:val="00124E2E"/>
    <w:rsid w:val="00125ED4"/>
    <w:rsid w:val="001305E9"/>
    <w:rsid w:val="001307AF"/>
    <w:rsid w:val="00135687"/>
    <w:rsid w:val="001459BC"/>
    <w:rsid w:val="0015506E"/>
    <w:rsid w:val="00163031"/>
    <w:rsid w:val="00171A90"/>
    <w:rsid w:val="00180254"/>
    <w:rsid w:val="00191E1F"/>
    <w:rsid w:val="00192943"/>
    <w:rsid w:val="001A7406"/>
    <w:rsid w:val="001B4754"/>
    <w:rsid w:val="001B4FEE"/>
    <w:rsid w:val="001B51C5"/>
    <w:rsid w:val="001B6F3F"/>
    <w:rsid w:val="001C52B5"/>
    <w:rsid w:val="001D0D3E"/>
    <w:rsid w:val="001F2245"/>
    <w:rsid w:val="001F2C63"/>
    <w:rsid w:val="001F48C7"/>
    <w:rsid w:val="001F6DA1"/>
    <w:rsid w:val="002044E6"/>
    <w:rsid w:val="00205C82"/>
    <w:rsid w:val="00205DC2"/>
    <w:rsid w:val="00211B6F"/>
    <w:rsid w:val="00212B17"/>
    <w:rsid w:val="002163B6"/>
    <w:rsid w:val="00220732"/>
    <w:rsid w:val="00221D32"/>
    <w:rsid w:val="00225C3F"/>
    <w:rsid w:val="00234935"/>
    <w:rsid w:val="00263D44"/>
    <w:rsid w:val="002702AD"/>
    <w:rsid w:val="00292D82"/>
    <w:rsid w:val="002963CB"/>
    <w:rsid w:val="002B1CA8"/>
    <w:rsid w:val="002B4A01"/>
    <w:rsid w:val="002D226D"/>
    <w:rsid w:val="002F6030"/>
    <w:rsid w:val="003037E1"/>
    <w:rsid w:val="003055B6"/>
    <w:rsid w:val="00307E51"/>
    <w:rsid w:val="003103EC"/>
    <w:rsid w:val="003144EF"/>
    <w:rsid w:val="003213F8"/>
    <w:rsid w:val="00322F74"/>
    <w:rsid w:val="00324D73"/>
    <w:rsid w:val="00340073"/>
    <w:rsid w:val="003632FD"/>
    <w:rsid w:val="00372805"/>
    <w:rsid w:val="00373180"/>
    <w:rsid w:val="00375AB9"/>
    <w:rsid w:val="003821A0"/>
    <w:rsid w:val="00385B04"/>
    <w:rsid w:val="003864CF"/>
    <w:rsid w:val="003A22A6"/>
    <w:rsid w:val="003A5494"/>
    <w:rsid w:val="003B2510"/>
    <w:rsid w:val="003B257A"/>
    <w:rsid w:val="003C1F3A"/>
    <w:rsid w:val="003C2CC4"/>
    <w:rsid w:val="003C3710"/>
    <w:rsid w:val="003E0EFC"/>
    <w:rsid w:val="003E4A2B"/>
    <w:rsid w:val="003E76C2"/>
    <w:rsid w:val="003F1679"/>
    <w:rsid w:val="003F21EB"/>
    <w:rsid w:val="003F4A35"/>
    <w:rsid w:val="003F7FDD"/>
    <w:rsid w:val="00402481"/>
    <w:rsid w:val="004042B4"/>
    <w:rsid w:val="00410DC4"/>
    <w:rsid w:val="00412DAE"/>
    <w:rsid w:val="00413B49"/>
    <w:rsid w:val="004242E6"/>
    <w:rsid w:val="00431598"/>
    <w:rsid w:val="004319AD"/>
    <w:rsid w:val="00433B2B"/>
    <w:rsid w:val="00435CA5"/>
    <w:rsid w:val="004426B8"/>
    <w:rsid w:val="00444432"/>
    <w:rsid w:val="00470345"/>
    <w:rsid w:val="00471860"/>
    <w:rsid w:val="00477026"/>
    <w:rsid w:val="004A7279"/>
    <w:rsid w:val="004A744D"/>
    <w:rsid w:val="004B60BD"/>
    <w:rsid w:val="004C3150"/>
    <w:rsid w:val="004C35CE"/>
    <w:rsid w:val="004C3641"/>
    <w:rsid w:val="004C4390"/>
    <w:rsid w:val="004C4AF7"/>
    <w:rsid w:val="004D2881"/>
    <w:rsid w:val="004D385F"/>
    <w:rsid w:val="004D5B39"/>
    <w:rsid w:val="004E330D"/>
    <w:rsid w:val="004E5147"/>
    <w:rsid w:val="004E69B5"/>
    <w:rsid w:val="004F5C43"/>
    <w:rsid w:val="0050652D"/>
    <w:rsid w:val="00506C03"/>
    <w:rsid w:val="00511A11"/>
    <w:rsid w:val="00511E17"/>
    <w:rsid w:val="00516496"/>
    <w:rsid w:val="00523B11"/>
    <w:rsid w:val="00525098"/>
    <w:rsid w:val="0052572A"/>
    <w:rsid w:val="00532DFB"/>
    <w:rsid w:val="00543CB3"/>
    <w:rsid w:val="005442E4"/>
    <w:rsid w:val="0055529B"/>
    <w:rsid w:val="00560FF0"/>
    <w:rsid w:val="005614BD"/>
    <w:rsid w:val="00565AE2"/>
    <w:rsid w:val="0057007E"/>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E23FE"/>
    <w:rsid w:val="005F468D"/>
    <w:rsid w:val="005F69A3"/>
    <w:rsid w:val="00604CC7"/>
    <w:rsid w:val="00615423"/>
    <w:rsid w:val="006165B2"/>
    <w:rsid w:val="00617276"/>
    <w:rsid w:val="006212EB"/>
    <w:rsid w:val="0062527B"/>
    <w:rsid w:val="00625D97"/>
    <w:rsid w:val="00625F1C"/>
    <w:rsid w:val="006279E1"/>
    <w:rsid w:val="00630CEB"/>
    <w:rsid w:val="00630FA1"/>
    <w:rsid w:val="00632264"/>
    <w:rsid w:val="006470BC"/>
    <w:rsid w:val="006554D3"/>
    <w:rsid w:val="00667036"/>
    <w:rsid w:val="00673BDB"/>
    <w:rsid w:val="00674341"/>
    <w:rsid w:val="006771B8"/>
    <w:rsid w:val="006843B6"/>
    <w:rsid w:val="0068481F"/>
    <w:rsid w:val="00696F5D"/>
    <w:rsid w:val="00697249"/>
    <w:rsid w:val="0069754B"/>
    <w:rsid w:val="006B3947"/>
    <w:rsid w:val="006B4293"/>
    <w:rsid w:val="006B624F"/>
    <w:rsid w:val="006C0C95"/>
    <w:rsid w:val="006C31E3"/>
    <w:rsid w:val="006D18D3"/>
    <w:rsid w:val="006E08CB"/>
    <w:rsid w:val="006E598D"/>
    <w:rsid w:val="006E625D"/>
    <w:rsid w:val="0070437D"/>
    <w:rsid w:val="00704CF1"/>
    <w:rsid w:val="00705B04"/>
    <w:rsid w:val="00724992"/>
    <w:rsid w:val="00734820"/>
    <w:rsid w:val="007349DC"/>
    <w:rsid w:val="007418D0"/>
    <w:rsid w:val="0074365E"/>
    <w:rsid w:val="00744B55"/>
    <w:rsid w:val="007476A6"/>
    <w:rsid w:val="007515FD"/>
    <w:rsid w:val="00760D80"/>
    <w:rsid w:val="00771C47"/>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E2272"/>
    <w:rsid w:val="007F1193"/>
    <w:rsid w:val="007F417F"/>
    <w:rsid w:val="007F7644"/>
    <w:rsid w:val="008042BD"/>
    <w:rsid w:val="00816624"/>
    <w:rsid w:val="00822427"/>
    <w:rsid w:val="00822562"/>
    <w:rsid w:val="00823663"/>
    <w:rsid w:val="00832DDC"/>
    <w:rsid w:val="00850BAC"/>
    <w:rsid w:val="00854A3E"/>
    <w:rsid w:val="00855D08"/>
    <w:rsid w:val="00874344"/>
    <w:rsid w:val="008752EA"/>
    <w:rsid w:val="00881117"/>
    <w:rsid w:val="00882155"/>
    <w:rsid w:val="0088233B"/>
    <w:rsid w:val="0088599E"/>
    <w:rsid w:val="00886C37"/>
    <w:rsid w:val="00892D99"/>
    <w:rsid w:val="00893315"/>
    <w:rsid w:val="008B62AE"/>
    <w:rsid w:val="008C04B5"/>
    <w:rsid w:val="008C14FA"/>
    <w:rsid w:val="008C7B0B"/>
    <w:rsid w:val="008D4057"/>
    <w:rsid w:val="008E1F19"/>
    <w:rsid w:val="008F145F"/>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5A01"/>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E1F6C"/>
    <w:rsid w:val="009F04EC"/>
    <w:rsid w:val="009F2A7C"/>
    <w:rsid w:val="009F3B36"/>
    <w:rsid w:val="00A019B9"/>
    <w:rsid w:val="00A12508"/>
    <w:rsid w:val="00A1282B"/>
    <w:rsid w:val="00A13A27"/>
    <w:rsid w:val="00A14936"/>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4C54"/>
    <w:rsid w:val="00AC51A7"/>
    <w:rsid w:val="00AD444B"/>
    <w:rsid w:val="00AD5614"/>
    <w:rsid w:val="00AD6C78"/>
    <w:rsid w:val="00AE2EAB"/>
    <w:rsid w:val="00AF2E5B"/>
    <w:rsid w:val="00AF5F89"/>
    <w:rsid w:val="00AF73CB"/>
    <w:rsid w:val="00B002D6"/>
    <w:rsid w:val="00B03379"/>
    <w:rsid w:val="00B05B51"/>
    <w:rsid w:val="00B14E5A"/>
    <w:rsid w:val="00B15370"/>
    <w:rsid w:val="00B16DA4"/>
    <w:rsid w:val="00B17BEB"/>
    <w:rsid w:val="00B17F57"/>
    <w:rsid w:val="00B21A3C"/>
    <w:rsid w:val="00B223C0"/>
    <w:rsid w:val="00B234ED"/>
    <w:rsid w:val="00B249B2"/>
    <w:rsid w:val="00B25CA3"/>
    <w:rsid w:val="00B2765A"/>
    <w:rsid w:val="00B302A0"/>
    <w:rsid w:val="00B3109A"/>
    <w:rsid w:val="00B37633"/>
    <w:rsid w:val="00B516ED"/>
    <w:rsid w:val="00B57A6A"/>
    <w:rsid w:val="00B760F1"/>
    <w:rsid w:val="00B7669E"/>
    <w:rsid w:val="00B77DA1"/>
    <w:rsid w:val="00B822A0"/>
    <w:rsid w:val="00B858AE"/>
    <w:rsid w:val="00B85964"/>
    <w:rsid w:val="00B95F42"/>
    <w:rsid w:val="00B96250"/>
    <w:rsid w:val="00BA0D55"/>
    <w:rsid w:val="00BA37B3"/>
    <w:rsid w:val="00BA4CC6"/>
    <w:rsid w:val="00BB20A7"/>
    <w:rsid w:val="00BB3493"/>
    <w:rsid w:val="00BB7468"/>
    <w:rsid w:val="00BC188A"/>
    <w:rsid w:val="00BC24C6"/>
    <w:rsid w:val="00BC402E"/>
    <w:rsid w:val="00BD0F48"/>
    <w:rsid w:val="00BE6DDB"/>
    <w:rsid w:val="00BF5010"/>
    <w:rsid w:val="00C03D5F"/>
    <w:rsid w:val="00C13791"/>
    <w:rsid w:val="00C31BB3"/>
    <w:rsid w:val="00C36977"/>
    <w:rsid w:val="00C45D22"/>
    <w:rsid w:val="00C467DA"/>
    <w:rsid w:val="00C477D9"/>
    <w:rsid w:val="00C60BA3"/>
    <w:rsid w:val="00C623F7"/>
    <w:rsid w:val="00C75BC5"/>
    <w:rsid w:val="00C81670"/>
    <w:rsid w:val="00C81773"/>
    <w:rsid w:val="00C82861"/>
    <w:rsid w:val="00C86896"/>
    <w:rsid w:val="00C907A8"/>
    <w:rsid w:val="00C93211"/>
    <w:rsid w:val="00C942EC"/>
    <w:rsid w:val="00C96047"/>
    <w:rsid w:val="00C96E03"/>
    <w:rsid w:val="00C979D0"/>
    <w:rsid w:val="00CA0818"/>
    <w:rsid w:val="00CA15C8"/>
    <w:rsid w:val="00CA2C8F"/>
    <w:rsid w:val="00CA30DA"/>
    <w:rsid w:val="00CA3A24"/>
    <w:rsid w:val="00CA5901"/>
    <w:rsid w:val="00CB1777"/>
    <w:rsid w:val="00CB33E9"/>
    <w:rsid w:val="00CC10A9"/>
    <w:rsid w:val="00CE2BF8"/>
    <w:rsid w:val="00CE404D"/>
    <w:rsid w:val="00CE484E"/>
    <w:rsid w:val="00CE656F"/>
    <w:rsid w:val="00CE728C"/>
    <w:rsid w:val="00CF0DA8"/>
    <w:rsid w:val="00CF2E25"/>
    <w:rsid w:val="00CF4453"/>
    <w:rsid w:val="00CF5D94"/>
    <w:rsid w:val="00CF7E0F"/>
    <w:rsid w:val="00D034D7"/>
    <w:rsid w:val="00D04BE4"/>
    <w:rsid w:val="00D06FC7"/>
    <w:rsid w:val="00D12565"/>
    <w:rsid w:val="00D14127"/>
    <w:rsid w:val="00D24F1E"/>
    <w:rsid w:val="00D60B16"/>
    <w:rsid w:val="00D60F02"/>
    <w:rsid w:val="00D66E49"/>
    <w:rsid w:val="00D70C19"/>
    <w:rsid w:val="00D70D71"/>
    <w:rsid w:val="00D72F74"/>
    <w:rsid w:val="00D802D8"/>
    <w:rsid w:val="00D81563"/>
    <w:rsid w:val="00D85907"/>
    <w:rsid w:val="00D9073E"/>
    <w:rsid w:val="00D9221D"/>
    <w:rsid w:val="00D958DF"/>
    <w:rsid w:val="00D96DA1"/>
    <w:rsid w:val="00DA26ED"/>
    <w:rsid w:val="00DA51E7"/>
    <w:rsid w:val="00DB0260"/>
    <w:rsid w:val="00DB1C78"/>
    <w:rsid w:val="00DB7D96"/>
    <w:rsid w:val="00DC23FE"/>
    <w:rsid w:val="00DC59E6"/>
    <w:rsid w:val="00DD150B"/>
    <w:rsid w:val="00DD2329"/>
    <w:rsid w:val="00DD2A32"/>
    <w:rsid w:val="00DD5025"/>
    <w:rsid w:val="00DF1510"/>
    <w:rsid w:val="00E02F1F"/>
    <w:rsid w:val="00E06484"/>
    <w:rsid w:val="00E1714E"/>
    <w:rsid w:val="00E20A7D"/>
    <w:rsid w:val="00E275D8"/>
    <w:rsid w:val="00E30F6A"/>
    <w:rsid w:val="00E3117C"/>
    <w:rsid w:val="00E375CA"/>
    <w:rsid w:val="00E567E8"/>
    <w:rsid w:val="00E64679"/>
    <w:rsid w:val="00E650CF"/>
    <w:rsid w:val="00E65EBC"/>
    <w:rsid w:val="00E677FE"/>
    <w:rsid w:val="00E73432"/>
    <w:rsid w:val="00E7670F"/>
    <w:rsid w:val="00E77B0C"/>
    <w:rsid w:val="00E77FB8"/>
    <w:rsid w:val="00E838B0"/>
    <w:rsid w:val="00E86A7C"/>
    <w:rsid w:val="00E878E1"/>
    <w:rsid w:val="00E87F2C"/>
    <w:rsid w:val="00E91038"/>
    <w:rsid w:val="00E95278"/>
    <w:rsid w:val="00EA2273"/>
    <w:rsid w:val="00EA7C3C"/>
    <w:rsid w:val="00EB2DB3"/>
    <w:rsid w:val="00EC3FBB"/>
    <w:rsid w:val="00EC6B7A"/>
    <w:rsid w:val="00ED3A87"/>
    <w:rsid w:val="00ED5B67"/>
    <w:rsid w:val="00EF264C"/>
    <w:rsid w:val="00EF3FEE"/>
    <w:rsid w:val="00EF7450"/>
    <w:rsid w:val="00F04B59"/>
    <w:rsid w:val="00F11741"/>
    <w:rsid w:val="00F12B1C"/>
    <w:rsid w:val="00F13CF8"/>
    <w:rsid w:val="00F15855"/>
    <w:rsid w:val="00F200B2"/>
    <w:rsid w:val="00F227DC"/>
    <w:rsid w:val="00F22BB2"/>
    <w:rsid w:val="00F32978"/>
    <w:rsid w:val="00F32EE4"/>
    <w:rsid w:val="00F45CB2"/>
    <w:rsid w:val="00F544C0"/>
    <w:rsid w:val="00F55332"/>
    <w:rsid w:val="00F6504A"/>
    <w:rsid w:val="00F65519"/>
    <w:rsid w:val="00F713C0"/>
    <w:rsid w:val="00F75DDC"/>
    <w:rsid w:val="00F76F2A"/>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D70C19"/>
    <w:rPr>
      <w:vertAlign w:val="superscript"/>
    </w:rPr>
  </w:style>
  <w:style w:type="paragraph" w:customStyle="1" w:styleId="OrderBody">
    <w:name w:val="Order Body"/>
    <w:basedOn w:val="Normal"/>
    <w:link w:val="OrderBodyChar"/>
    <w:rsid w:val="00511E17"/>
    <w:pPr>
      <w:jc w:val="both"/>
    </w:pPr>
  </w:style>
  <w:style w:type="character" w:customStyle="1" w:styleId="OrderBodyChar">
    <w:name w:val="Order Body Char"/>
    <w:link w:val="OrderBody"/>
    <w:rsid w:val="00511E1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D70C19"/>
    <w:rPr>
      <w:vertAlign w:val="superscript"/>
    </w:rPr>
  </w:style>
  <w:style w:type="paragraph" w:customStyle="1" w:styleId="OrderBody">
    <w:name w:val="Order Body"/>
    <w:basedOn w:val="Normal"/>
    <w:link w:val="OrderBodyChar"/>
    <w:rsid w:val="00511E17"/>
    <w:pPr>
      <w:jc w:val="both"/>
    </w:pPr>
  </w:style>
  <w:style w:type="character" w:customStyle="1" w:styleId="OrderBodyChar">
    <w:name w:val="Order Body Char"/>
    <w:link w:val="OrderBody"/>
    <w:rsid w:val="00511E1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2BB19-66EF-49D8-B699-2F978163B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19</Pages>
  <Words>1197</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Henry Merryday</dc:creator>
  <cp:lastModifiedBy>Jackie Colson</cp:lastModifiedBy>
  <cp:revision>2</cp:revision>
  <cp:lastPrinted>2019-07-25T13:31:00Z</cp:lastPrinted>
  <dcterms:created xsi:type="dcterms:W3CDTF">2019-07-25T14:04:00Z</dcterms:created>
  <dcterms:modified xsi:type="dcterms:W3CDTF">2019-07-25T14:04:00Z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20190128-GU</vt:lpwstr>
  </property>
  <property fmtid="{D5CDD505-2E9C-101B-9397-08002B2CF9AE}" pid="3" name="MasterDocument">
    <vt:bool>false</vt:bool>
  </property>
</Properties>
</file>