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113CD" w:rsidP="00A113CD">
      <w:pPr>
        <w:pStyle w:val="OrderHeading"/>
      </w:pPr>
      <w:r>
        <w:t>BEFORE THE FLORIDA PUBLIC SERVICE COMMISSION</w:t>
      </w:r>
    </w:p>
    <w:p w:rsidR="00A113CD" w:rsidRDefault="00A113CD" w:rsidP="00A113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13CD" w:rsidRPr="00C63FCF" w:rsidTr="00C63FCF">
        <w:trPr>
          <w:trHeight w:val="828"/>
        </w:trPr>
        <w:tc>
          <w:tcPr>
            <w:tcW w:w="4788" w:type="dxa"/>
            <w:tcBorders>
              <w:bottom w:val="single" w:sz="8" w:space="0" w:color="auto"/>
              <w:right w:val="double" w:sz="6" w:space="0" w:color="auto"/>
            </w:tcBorders>
            <w:shd w:val="clear" w:color="auto" w:fill="auto"/>
          </w:tcPr>
          <w:p w:rsidR="00A113CD" w:rsidRDefault="00A113CD" w:rsidP="00C63FCF">
            <w:pPr>
              <w:pStyle w:val="OrderBody"/>
              <w:tabs>
                <w:tab w:val="center" w:pos="4320"/>
                <w:tab w:val="right" w:pos="8640"/>
              </w:tabs>
              <w:jc w:val="left"/>
            </w:pPr>
            <w:r>
              <w:t xml:space="preserve">In re: </w:t>
            </w:r>
            <w:bookmarkStart w:id="0" w:name="SSInRe"/>
            <w:bookmarkEnd w:id="0"/>
            <w:r>
              <w:t>Petition to establish a generic docket to investigate and adjust rates for 2018 tax savings, by Office of Public Counsel.</w:t>
            </w:r>
          </w:p>
        </w:tc>
        <w:tc>
          <w:tcPr>
            <w:tcW w:w="4788" w:type="dxa"/>
            <w:tcBorders>
              <w:left w:val="double" w:sz="6" w:space="0" w:color="auto"/>
            </w:tcBorders>
            <w:shd w:val="clear" w:color="auto" w:fill="auto"/>
          </w:tcPr>
          <w:p w:rsidR="00A113CD" w:rsidRDefault="00A113CD" w:rsidP="00A113CD">
            <w:pPr>
              <w:pStyle w:val="OrderBody"/>
            </w:pPr>
            <w:r>
              <w:t xml:space="preserve">DOCKET NO. </w:t>
            </w:r>
            <w:bookmarkStart w:id="1" w:name="SSDocketNo"/>
            <w:bookmarkEnd w:id="1"/>
            <w:r>
              <w:t>20180013-PU</w:t>
            </w:r>
          </w:p>
          <w:p w:rsidR="00A113CD" w:rsidRDefault="00A113CD" w:rsidP="00C63FCF">
            <w:pPr>
              <w:pStyle w:val="OrderBody"/>
              <w:tabs>
                <w:tab w:val="center" w:pos="4320"/>
                <w:tab w:val="right" w:pos="8640"/>
              </w:tabs>
              <w:jc w:val="left"/>
            </w:pPr>
            <w:r>
              <w:t xml:space="preserve">ORDER NO. </w:t>
            </w:r>
            <w:bookmarkStart w:id="2" w:name="OrderNo0350"/>
            <w:r w:rsidR="00F33789">
              <w:t>PSC-2019-0350-PAA-PU</w:t>
            </w:r>
            <w:bookmarkEnd w:id="2"/>
          </w:p>
          <w:p w:rsidR="00A113CD" w:rsidRDefault="00A113CD" w:rsidP="00C63FCF">
            <w:pPr>
              <w:pStyle w:val="OrderBody"/>
              <w:tabs>
                <w:tab w:val="center" w:pos="4320"/>
                <w:tab w:val="right" w:pos="8640"/>
              </w:tabs>
              <w:jc w:val="left"/>
            </w:pPr>
            <w:r>
              <w:t xml:space="preserve">ISSUED: </w:t>
            </w:r>
            <w:r w:rsidR="00F33789">
              <w:t>August 22, 2019</w:t>
            </w:r>
          </w:p>
        </w:tc>
      </w:tr>
    </w:tbl>
    <w:p w:rsidR="00A113CD" w:rsidRDefault="00A113CD" w:rsidP="00A113CD"/>
    <w:p w:rsidR="00A113CD" w:rsidRDefault="00A113CD">
      <w:pPr>
        <w:ind w:firstLine="720"/>
        <w:jc w:val="both"/>
      </w:pPr>
      <w:bookmarkStart w:id="3" w:name="Commissioners"/>
      <w:bookmarkEnd w:id="3"/>
      <w:r>
        <w:t>The following Commissioners participated in the disposition of this matter:</w:t>
      </w:r>
    </w:p>
    <w:p w:rsidR="00A113CD" w:rsidRDefault="00A113CD"/>
    <w:p w:rsidR="00A113CD" w:rsidRDefault="00A113CD">
      <w:pPr>
        <w:jc w:val="center"/>
      </w:pPr>
      <w:r>
        <w:t>ART GRAHAM, Chairman</w:t>
      </w:r>
    </w:p>
    <w:p w:rsidR="00A113CD" w:rsidRDefault="00A113CD">
      <w:pPr>
        <w:jc w:val="center"/>
      </w:pPr>
      <w:r>
        <w:t xml:space="preserve">JULIE I. BROWN </w:t>
      </w:r>
    </w:p>
    <w:p w:rsidR="00A113CD" w:rsidRDefault="00A113CD">
      <w:pPr>
        <w:jc w:val="center"/>
      </w:pPr>
      <w:r>
        <w:t>GARY F. CLARK</w:t>
      </w:r>
    </w:p>
    <w:p w:rsidR="00A113CD" w:rsidRDefault="00A113CD">
      <w:pPr>
        <w:jc w:val="center"/>
      </w:pPr>
    </w:p>
    <w:bookmarkStart w:id="4" w:name="OrderText"/>
    <w:bookmarkEnd w:id="4"/>
    <w:p w:rsidR="00A113CD" w:rsidRPr="003E4B2D" w:rsidRDefault="00A113C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113CD" w:rsidRDefault="00A113CD" w:rsidP="00A113CD">
      <w:pPr>
        <w:pStyle w:val="OrderBody"/>
        <w:jc w:val="center"/>
        <w:rPr>
          <w:u w:val="single"/>
        </w:rPr>
      </w:pPr>
      <w:proofErr w:type="gramStart"/>
      <w:r w:rsidRPr="003E4B2D">
        <w:rPr>
          <w:u w:val="single"/>
        </w:rPr>
        <w:t>ORDER</w:t>
      </w:r>
      <w:bookmarkStart w:id="5" w:name="OrderTitle"/>
      <w:r>
        <w:rPr>
          <w:u w:val="single"/>
        </w:rPr>
        <w:t xml:space="preserve">  </w:t>
      </w:r>
      <w:r w:rsidRPr="00A113CD">
        <w:rPr>
          <w:u w:val="single"/>
        </w:rPr>
        <w:t>ESTABLISHING</w:t>
      </w:r>
      <w:proofErr w:type="gramEnd"/>
      <w:r w:rsidRPr="00A113CD">
        <w:rPr>
          <w:u w:val="single"/>
        </w:rPr>
        <w:t xml:space="preserve"> TREATMENT FOR WATER AND</w:t>
      </w:r>
      <w:r>
        <w:rPr>
          <w:u w:val="single"/>
        </w:rPr>
        <w:t xml:space="preserve"> </w:t>
      </w:r>
      <w:r w:rsidRPr="00A113CD">
        <w:rPr>
          <w:u w:val="single"/>
        </w:rPr>
        <w:t>WASTEWATER</w:t>
      </w:r>
    </w:p>
    <w:p w:rsidR="00A113CD" w:rsidRPr="003E4B2D" w:rsidRDefault="00A113CD" w:rsidP="00A113CD">
      <w:pPr>
        <w:pStyle w:val="OrderBody"/>
        <w:jc w:val="center"/>
        <w:rPr>
          <w:u w:val="single"/>
        </w:rPr>
      </w:pPr>
      <w:r w:rsidRPr="00A113CD">
        <w:rPr>
          <w:u w:val="single"/>
        </w:rPr>
        <w:t xml:space="preserve">UTILITIES </w:t>
      </w:r>
      <w:r>
        <w:rPr>
          <w:u w:val="single"/>
        </w:rPr>
        <w:t xml:space="preserve">FOR TAX SAVINGS </w:t>
      </w:r>
      <w:r w:rsidRPr="00A113CD">
        <w:rPr>
          <w:u w:val="single"/>
        </w:rPr>
        <w:t>RELATED TO TAX CUTS AND JOBS ACT</w:t>
      </w:r>
      <w:r>
        <w:rPr>
          <w:u w:val="single"/>
        </w:rPr>
        <w:t xml:space="preserve">   </w:t>
      </w:r>
      <w:bookmarkEnd w:id="5"/>
    </w:p>
    <w:p w:rsidR="00A113CD" w:rsidRPr="003E4B2D" w:rsidRDefault="00A113CD">
      <w:pPr>
        <w:pStyle w:val="OrderBody"/>
        <w:jc w:val="center"/>
        <w:rPr>
          <w:u w:val="single"/>
        </w:rPr>
      </w:pPr>
    </w:p>
    <w:p w:rsidR="00A113CD" w:rsidRPr="003E4B2D" w:rsidRDefault="00A113CD">
      <w:pPr>
        <w:pStyle w:val="OrderBody"/>
      </w:pPr>
      <w:r w:rsidRPr="003E4B2D">
        <w:t>BY THE COMMISSION:</w:t>
      </w:r>
    </w:p>
    <w:p w:rsidR="00A113CD" w:rsidRPr="003E4B2D" w:rsidRDefault="00A113CD">
      <w:pPr>
        <w:pStyle w:val="OrderBody"/>
      </w:pPr>
    </w:p>
    <w:p w:rsidR="00A113CD" w:rsidRDefault="00A113C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113CD"/>
    <w:p w:rsidR="00D57E57" w:rsidRDefault="00A113CD" w:rsidP="00A113CD">
      <w:pPr>
        <w:jc w:val="center"/>
        <w:rPr>
          <w:u w:val="single"/>
        </w:rPr>
      </w:pPr>
      <w:r w:rsidRPr="00A113CD">
        <w:rPr>
          <w:u w:val="single"/>
        </w:rPr>
        <w:t>BACKGROUND</w:t>
      </w:r>
    </w:p>
    <w:p w:rsidR="00A113CD" w:rsidRDefault="00A113CD" w:rsidP="00A113CD">
      <w:pPr>
        <w:jc w:val="center"/>
        <w:rPr>
          <w:u w:val="single"/>
        </w:rPr>
      </w:pPr>
    </w:p>
    <w:p w:rsidR="00A113CD" w:rsidRDefault="00A113CD" w:rsidP="00A113CD">
      <w:pPr>
        <w:jc w:val="both"/>
      </w:pPr>
      <w:r>
        <w:tab/>
        <w:t>The Tax Cuts and Jobs Act of 2017 (TCJA) was signed into law on December 22, 2017 and became effective for the taxable year beginning January 1, 2018.  On January 9, 2018, the Office of Public Counsel (OPC) filed a “Petition to Establish Generic Docket to Investigate and Adjust Rates for 2018 Tax Savings.”  On February 6, 2018</w:t>
      </w:r>
      <w:proofErr w:type="gramStart"/>
      <w:r>
        <w:t>,</w:t>
      </w:r>
      <w:r w:rsidR="00893D4E">
        <w:t xml:space="preserve"> </w:t>
      </w:r>
      <w:r>
        <w:t xml:space="preserve"> in</w:t>
      </w:r>
      <w:proofErr w:type="gramEnd"/>
      <w:r>
        <w:t xml:space="preserve"> Order No. PSC-2018-0104-PCO-PU,</w:t>
      </w:r>
      <w:r>
        <w:rPr>
          <w:rStyle w:val="FootnoteReference"/>
        </w:rPr>
        <w:footnoteReference w:id="1"/>
      </w:r>
      <w:r>
        <w:t xml:space="preserve"> we established jurisdiction over utilities’ tax savings if such a date was not contained in an applicable settlement agreement.  Subsequently, we opened separate dockets to address the tax savings for electric and natural gas utilities.  At this time, all electric and natural gas utilities tax savings dockets have been resolved.  The instant docket remains open to address tax savings associated with water and wastewater utilities (WAW).</w:t>
      </w:r>
    </w:p>
    <w:p w:rsidR="00A113CD" w:rsidRDefault="00A113CD" w:rsidP="00A113CD">
      <w:pPr>
        <w:pStyle w:val="BodyText"/>
      </w:pPr>
    </w:p>
    <w:p w:rsidR="00A113CD" w:rsidRDefault="00A113CD" w:rsidP="00A113CD">
      <w:pPr>
        <w:pStyle w:val="BodyText"/>
        <w:jc w:val="both"/>
      </w:pPr>
      <w:r>
        <w:tab/>
        <w:t>For WAW utilities that have income taxes included in their revenue requirement, t</w:t>
      </w:r>
      <w:r w:rsidRPr="009E3E7E">
        <w:t xml:space="preserve">he 2018 annual reports are necessary to determine </w:t>
      </w:r>
      <w:r>
        <w:t xml:space="preserve">each utility’s earned return and </w:t>
      </w:r>
      <w:r w:rsidRPr="009E3E7E">
        <w:t>if</w:t>
      </w:r>
      <w:r>
        <w:t xml:space="preserve"> </w:t>
      </w:r>
      <w:r w:rsidR="001B5DE1">
        <w:t>the</w:t>
      </w:r>
      <w:r>
        <w:t xml:space="preserve"> utility earned in excess of its allowed return. </w:t>
      </w:r>
      <w:r w:rsidR="009571E2">
        <w:t xml:space="preserve"> </w:t>
      </w:r>
      <w:r>
        <w:t>As of July 25, 2019, 13 of 15 WAW utilities that have income taxes included in their revenue requirement have filed their 2018 annual reports.</w:t>
      </w:r>
      <w:r w:rsidR="001B5DE1">
        <w:t xml:space="preserve">  T</w:t>
      </w:r>
      <w:r>
        <w:t xml:space="preserve">his </w:t>
      </w:r>
      <w:r w:rsidR="009571E2">
        <w:t xml:space="preserve">order </w:t>
      </w:r>
      <w:r>
        <w:t>addresses the tax savings for the 13 WAW utilities that have income taxes included in their revenue requirement and have filed 2018 annual reports.</w:t>
      </w:r>
    </w:p>
    <w:p w:rsidR="00A113CD" w:rsidRDefault="009571E2" w:rsidP="00A113CD">
      <w:pPr>
        <w:jc w:val="both"/>
      </w:pPr>
      <w:r>
        <w:tab/>
        <w:t xml:space="preserve">We have </w:t>
      </w:r>
      <w:r w:rsidR="00A113CD">
        <w:t>jurisdiction in this case pursuant to Sections 36</w:t>
      </w:r>
      <w:r w:rsidR="00893D4E">
        <w:t>7.081</w:t>
      </w:r>
      <w:r w:rsidR="00A113CD">
        <w:t xml:space="preserve">, Florida Statutes.  </w:t>
      </w:r>
    </w:p>
    <w:p w:rsidR="00893D4E" w:rsidRDefault="00893D4E" w:rsidP="00A113CD">
      <w:pPr>
        <w:jc w:val="both"/>
      </w:pPr>
    </w:p>
    <w:p w:rsidR="00A113CD" w:rsidRDefault="00A113CD" w:rsidP="00A113CD">
      <w:pPr>
        <w:jc w:val="center"/>
        <w:rPr>
          <w:u w:val="single"/>
        </w:rPr>
      </w:pPr>
      <w:r w:rsidRPr="00A113CD">
        <w:rPr>
          <w:u w:val="single"/>
        </w:rPr>
        <w:lastRenderedPageBreak/>
        <w:t>DECISION</w:t>
      </w:r>
    </w:p>
    <w:p w:rsidR="00A113CD" w:rsidRDefault="00A113CD" w:rsidP="00A113CD">
      <w:pPr>
        <w:jc w:val="center"/>
        <w:rPr>
          <w:u w:val="single"/>
        </w:rPr>
      </w:pPr>
    </w:p>
    <w:p w:rsidR="00A113CD" w:rsidRDefault="009571E2" w:rsidP="00A113CD">
      <w:pPr>
        <w:pStyle w:val="BodyText"/>
      </w:pPr>
      <w:r>
        <w:tab/>
      </w:r>
      <w:r w:rsidR="00A113CD">
        <w:t xml:space="preserve">The 15 WAW utilities that have income taxes included in their revenue requirement are: </w:t>
      </w:r>
    </w:p>
    <w:p w:rsidR="00A113CD" w:rsidRPr="00DD224B" w:rsidRDefault="00A113CD" w:rsidP="00A113CD">
      <w:pPr>
        <w:pStyle w:val="BodyText"/>
        <w:numPr>
          <w:ilvl w:val="0"/>
          <w:numId w:val="1"/>
        </w:numPr>
        <w:spacing w:after="0"/>
        <w:jc w:val="both"/>
        <w:rPr>
          <w:b/>
        </w:rPr>
      </w:pPr>
      <w:r>
        <w:t>East Central Florida Services</w:t>
      </w:r>
    </w:p>
    <w:p w:rsidR="00A113CD" w:rsidRPr="00DD224B" w:rsidRDefault="00A113CD" w:rsidP="00A113CD">
      <w:pPr>
        <w:pStyle w:val="BodyText"/>
        <w:numPr>
          <w:ilvl w:val="0"/>
          <w:numId w:val="1"/>
        </w:numPr>
        <w:spacing w:after="0"/>
        <w:jc w:val="both"/>
        <w:rPr>
          <w:b/>
        </w:rPr>
      </w:pPr>
      <w:r>
        <w:t>Forest Utilities</w:t>
      </w:r>
    </w:p>
    <w:p w:rsidR="00A113CD" w:rsidRPr="00DD224B" w:rsidRDefault="00A113CD" w:rsidP="00A113CD">
      <w:pPr>
        <w:pStyle w:val="BodyText"/>
        <w:numPr>
          <w:ilvl w:val="0"/>
          <w:numId w:val="1"/>
        </w:numPr>
        <w:spacing w:after="0"/>
        <w:jc w:val="both"/>
        <w:rPr>
          <w:b/>
        </w:rPr>
      </w:pPr>
      <w:r>
        <w:t>Gold Coast Utility Corporation</w:t>
      </w:r>
    </w:p>
    <w:p w:rsidR="00A113CD" w:rsidRPr="00DD224B" w:rsidRDefault="00A113CD" w:rsidP="00A113CD">
      <w:pPr>
        <w:pStyle w:val="BodyText"/>
        <w:numPr>
          <w:ilvl w:val="0"/>
          <w:numId w:val="1"/>
        </w:numPr>
        <w:spacing w:after="0"/>
        <w:jc w:val="both"/>
        <w:rPr>
          <w:b/>
        </w:rPr>
      </w:pPr>
      <w:r>
        <w:t>Indiantown Company</w:t>
      </w:r>
    </w:p>
    <w:p w:rsidR="00A113CD" w:rsidRPr="00DD224B" w:rsidRDefault="00A113CD" w:rsidP="00A113CD">
      <w:pPr>
        <w:pStyle w:val="BodyText"/>
        <w:numPr>
          <w:ilvl w:val="0"/>
          <w:numId w:val="1"/>
        </w:numPr>
        <w:spacing w:after="0"/>
        <w:jc w:val="both"/>
        <w:rPr>
          <w:b/>
        </w:rPr>
      </w:pPr>
      <w:r>
        <w:t>Marion Utilities</w:t>
      </w:r>
    </w:p>
    <w:p w:rsidR="00A113CD" w:rsidRPr="00DD224B" w:rsidRDefault="00A113CD" w:rsidP="00A113CD">
      <w:pPr>
        <w:pStyle w:val="BodyText"/>
        <w:numPr>
          <w:ilvl w:val="0"/>
          <w:numId w:val="1"/>
        </w:numPr>
        <w:spacing w:after="0"/>
        <w:jc w:val="both"/>
        <w:rPr>
          <w:b/>
        </w:rPr>
      </w:pPr>
      <w:r>
        <w:t>NHC Utilities</w:t>
      </w:r>
    </w:p>
    <w:p w:rsidR="00A113CD" w:rsidRPr="00DD224B" w:rsidRDefault="00A113CD" w:rsidP="00A113CD">
      <w:pPr>
        <w:pStyle w:val="BodyText"/>
        <w:numPr>
          <w:ilvl w:val="0"/>
          <w:numId w:val="1"/>
        </w:numPr>
        <w:spacing w:after="0"/>
        <w:jc w:val="both"/>
        <w:rPr>
          <w:b/>
        </w:rPr>
      </w:pPr>
      <w:r>
        <w:t>Ni Florida</w:t>
      </w:r>
    </w:p>
    <w:p w:rsidR="00A113CD" w:rsidRPr="00DD224B" w:rsidRDefault="00A113CD" w:rsidP="00A113CD">
      <w:pPr>
        <w:pStyle w:val="BodyText"/>
        <w:numPr>
          <w:ilvl w:val="0"/>
          <w:numId w:val="1"/>
        </w:numPr>
        <w:spacing w:after="0"/>
        <w:jc w:val="both"/>
        <w:rPr>
          <w:b/>
        </w:rPr>
      </w:pPr>
      <w:r>
        <w:t>North Beach Utilities</w:t>
      </w:r>
    </w:p>
    <w:p w:rsidR="00A113CD" w:rsidRPr="00DD224B" w:rsidRDefault="00A113CD" w:rsidP="00A113CD">
      <w:pPr>
        <w:pStyle w:val="BodyText"/>
        <w:numPr>
          <w:ilvl w:val="0"/>
          <w:numId w:val="1"/>
        </w:numPr>
        <w:spacing w:after="0"/>
        <w:jc w:val="both"/>
        <w:rPr>
          <w:b/>
        </w:rPr>
      </w:pPr>
      <w:r>
        <w:t>Peoples Water Service Company</w:t>
      </w:r>
    </w:p>
    <w:p w:rsidR="00A113CD" w:rsidRPr="00DD224B" w:rsidRDefault="00A113CD" w:rsidP="00A113CD">
      <w:pPr>
        <w:pStyle w:val="BodyText"/>
        <w:numPr>
          <w:ilvl w:val="0"/>
          <w:numId w:val="1"/>
        </w:numPr>
        <w:spacing w:after="0"/>
        <w:jc w:val="both"/>
        <w:rPr>
          <w:b/>
        </w:rPr>
      </w:pPr>
      <w:r>
        <w:t>Pine Island Cove HOA</w:t>
      </w:r>
    </w:p>
    <w:p w:rsidR="00A113CD" w:rsidRPr="00DD224B" w:rsidRDefault="00A113CD" w:rsidP="00A113CD">
      <w:pPr>
        <w:pStyle w:val="BodyText"/>
        <w:numPr>
          <w:ilvl w:val="0"/>
          <w:numId w:val="1"/>
        </w:numPr>
        <w:spacing w:after="0"/>
        <w:jc w:val="both"/>
        <w:rPr>
          <w:b/>
        </w:rPr>
      </w:pPr>
      <w:r>
        <w:t>Placid Lakes</w:t>
      </w:r>
    </w:p>
    <w:p w:rsidR="00A113CD" w:rsidRPr="00DD224B" w:rsidRDefault="00A113CD" w:rsidP="00A113CD">
      <w:pPr>
        <w:pStyle w:val="BodyText"/>
        <w:numPr>
          <w:ilvl w:val="0"/>
          <w:numId w:val="1"/>
        </w:numPr>
        <w:spacing w:after="0"/>
        <w:jc w:val="both"/>
        <w:rPr>
          <w:b/>
        </w:rPr>
      </w:pPr>
      <w:proofErr w:type="spellStart"/>
      <w:r>
        <w:t>Pluris</w:t>
      </w:r>
      <w:proofErr w:type="spellEnd"/>
      <w:r>
        <w:t xml:space="preserve"> </w:t>
      </w:r>
      <w:proofErr w:type="spellStart"/>
      <w:r>
        <w:t>Wedgefield</w:t>
      </w:r>
      <w:proofErr w:type="spellEnd"/>
    </w:p>
    <w:p w:rsidR="00A113CD" w:rsidRPr="00DD224B" w:rsidRDefault="00A113CD" w:rsidP="00A113CD">
      <w:pPr>
        <w:pStyle w:val="BodyText"/>
        <w:numPr>
          <w:ilvl w:val="0"/>
          <w:numId w:val="1"/>
        </w:numPr>
        <w:spacing w:after="0"/>
        <w:jc w:val="both"/>
        <w:rPr>
          <w:b/>
        </w:rPr>
      </w:pPr>
      <w:r>
        <w:t>St. James Island</w:t>
      </w:r>
    </w:p>
    <w:p w:rsidR="00A113CD" w:rsidRPr="00DD224B" w:rsidRDefault="00A113CD" w:rsidP="00A113CD">
      <w:pPr>
        <w:pStyle w:val="BodyText"/>
        <w:numPr>
          <w:ilvl w:val="0"/>
          <w:numId w:val="1"/>
        </w:numPr>
        <w:spacing w:after="0"/>
        <w:jc w:val="both"/>
        <w:rPr>
          <w:b/>
        </w:rPr>
      </w:pPr>
      <w:r>
        <w:t>Utilities Inc. of Florida</w:t>
      </w:r>
    </w:p>
    <w:p w:rsidR="00A113CD" w:rsidRPr="00DD224B" w:rsidRDefault="00A113CD" w:rsidP="00A113CD">
      <w:pPr>
        <w:pStyle w:val="BodyText"/>
        <w:numPr>
          <w:ilvl w:val="0"/>
          <w:numId w:val="1"/>
        </w:numPr>
        <w:spacing w:after="240"/>
        <w:jc w:val="both"/>
        <w:rPr>
          <w:b/>
        </w:rPr>
      </w:pPr>
      <w:r>
        <w:t>Wildwood Water Company</w:t>
      </w:r>
    </w:p>
    <w:p w:rsidR="00A113CD" w:rsidRDefault="009571E2" w:rsidP="009571E2">
      <w:pPr>
        <w:pStyle w:val="BodyText"/>
        <w:ind w:left="90"/>
        <w:jc w:val="both"/>
      </w:pPr>
      <w:r>
        <w:tab/>
      </w:r>
      <w:r w:rsidR="00A113CD">
        <w:t xml:space="preserve">Of the 15, all have filed their 2018 annual report except Gold Coast Utility Corporation and St. James Island. </w:t>
      </w:r>
      <w:r>
        <w:t xml:space="preserve"> </w:t>
      </w:r>
      <w:r w:rsidR="00A113CD">
        <w:t xml:space="preserve">All utilities that have filed their 2018 annual report have reported either negative returns or returns below their rate of return ceilings. </w:t>
      </w:r>
      <w:r>
        <w:t xml:space="preserve"> </w:t>
      </w:r>
      <w:r w:rsidR="00A113CD">
        <w:t xml:space="preserve">Attachment A shows all the utilities’ Net Operating Income, Rate Base, Achieved Rate of Return, and Approved Rate of Return Cap. </w:t>
      </w:r>
    </w:p>
    <w:p w:rsidR="009571E2" w:rsidRDefault="009571E2" w:rsidP="009571E2">
      <w:pPr>
        <w:jc w:val="both"/>
      </w:pPr>
      <w:r>
        <w:tab/>
      </w:r>
    </w:p>
    <w:p w:rsidR="00A113CD" w:rsidRDefault="009571E2" w:rsidP="009571E2">
      <w:pPr>
        <w:jc w:val="both"/>
      </w:pPr>
      <w:r>
        <w:tab/>
        <w:t xml:space="preserve">We find that it is </w:t>
      </w:r>
      <w:r w:rsidR="00A113CD">
        <w:t xml:space="preserve">reasonable to consider the earnings position of </w:t>
      </w:r>
      <w:r>
        <w:t xml:space="preserve">a </w:t>
      </w:r>
      <w:r w:rsidR="00A113CD">
        <w:t xml:space="preserve">utility when deciding if </w:t>
      </w:r>
      <w:r>
        <w:t xml:space="preserve">its </w:t>
      </w:r>
      <w:r w:rsidR="00A113CD">
        <w:t>base rates should be reduced for changes in tax rates.</w:t>
      </w:r>
      <w:r>
        <w:t xml:space="preserve">  </w:t>
      </w:r>
      <w:r w:rsidR="00A113CD">
        <w:t>Reducing base rates result</w:t>
      </w:r>
      <w:r>
        <w:t>s</w:t>
      </w:r>
      <w:r w:rsidR="00A113CD">
        <w:t xml:space="preserve"> in cash flow reductions for the utilities, put</w:t>
      </w:r>
      <w:r>
        <w:t>s</w:t>
      </w:r>
      <w:r w:rsidR="00A113CD">
        <w:t xml:space="preserve"> downward pressure on earnings, and accelerate</w:t>
      </w:r>
      <w:r>
        <w:t>s</w:t>
      </w:r>
      <w:r w:rsidR="00A113CD">
        <w:t xml:space="preserve"> the need for a rate case sooner versus later.</w:t>
      </w:r>
      <w:r w:rsidR="001B5DE1">
        <w:t xml:space="preserve">  </w:t>
      </w:r>
      <w:r w:rsidR="00A113CD">
        <w:t xml:space="preserve">Consequently, </w:t>
      </w:r>
      <w:r>
        <w:t xml:space="preserve">we find that </w:t>
      </w:r>
      <w:r w:rsidR="00A113CD">
        <w:t>n</w:t>
      </w:r>
      <w:r w:rsidR="00A113CD" w:rsidRPr="008558A8">
        <w:t>o adjustments to base rates</w:t>
      </w:r>
      <w:r>
        <w:t>,</w:t>
      </w:r>
      <w:r w:rsidR="00A113CD" w:rsidRPr="008558A8">
        <w:t xml:space="preserve"> </w:t>
      </w:r>
      <w:r>
        <w:t xml:space="preserve">associated with </w:t>
      </w:r>
      <w:r w:rsidRPr="008558A8">
        <w:t>the tax impacts resulting from the passage of the TCJA</w:t>
      </w:r>
      <w:r>
        <w:t>,</w:t>
      </w:r>
      <w:r w:rsidRPr="008558A8">
        <w:t xml:space="preserve"> </w:t>
      </w:r>
      <w:r w:rsidR="00A113CD" w:rsidRPr="008558A8">
        <w:t>are necessary for WAW utilities that have income taxes included in their</w:t>
      </w:r>
      <w:r w:rsidR="00A113CD">
        <w:t xml:space="preserve"> </w:t>
      </w:r>
      <w:r w:rsidR="00A113CD" w:rsidRPr="008558A8">
        <w:t>revenue requirement</w:t>
      </w:r>
      <w:r>
        <w:t xml:space="preserve"> but are not earning above their allowed rate of return</w:t>
      </w:r>
      <w:r w:rsidR="00A113CD" w:rsidRPr="008558A8">
        <w:t>.</w:t>
      </w:r>
      <w:r w:rsidR="00A113CD">
        <w:t xml:space="preserve"> </w:t>
      </w:r>
      <w:r>
        <w:t xml:space="preserve"> </w:t>
      </w:r>
      <w:r w:rsidR="00A113CD">
        <w:t>Such treatment is consistent with</w:t>
      </w:r>
      <w:r w:rsidR="00DA2359">
        <w:t xml:space="preserve"> that taken in </w:t>
      </w:r>
      <w:r w:rsidR="00DA2359" w:rsidRPr="00DA2359">
        <w:rPr>
          <w:i/>
        </w:rPr>
        <w:t>Reedy Creek Utilities Company v. Florida Public Service Commission</w:t>
      </w:r>
      <w:r w:rsidR="00DA2359">
        <w:t>,</w:t>
      </w:r>
      <w:r w:rsidR="00DA2359">
        <w:rPr>
          <w:rStyle w:val="FootnoteReference"/>
        </w:rPr>
        <w:footnoteReference w:id="2"/>
      </w:r>
      <w:r w:rsidR="00DA2359">
        <w:t xml:space="preserve"> and </w:t>
      </w:r>
      <w:r w:rsidR="00893D4E">
        <w:t xml:space="preserve">our </w:t>
      </w:r>
      <w:r w:rsidR="00A113CD">
        <w:t xml:space="preserve">decisions in </w:t>
      </w:r>
      <w:r w:rsidR="00893D4E">
        <w:t>D</w:t>
      </w:r>
      <w:r w:rsidR="00A113CD">
        <w:t>ocket Nos. 20180051-GU, 20180052-GU, 20180053-GU, and 20180054-GU.</w:t>
      </w:r>
      <w:r w:rsidR="00A113CD">
        <w:rPr>
          <w:rStyle w:val="FootnoteReference"/>
        </w:rPr>
        <w:footnoteReference w:id="3"/>
      </w:r>
    </w:p>
    <w:p w:rsidR="00A113CD" w:rsidRDefault="009571E2" w:rsidP="00A113CD">
      <w:pPr>
        <w:jc w:val="both"/>
      </w:pPr>
      <w:r>
        <w:lastRenderedPageBreak/>
        <w:tab/>
      </w:r>
      <w:r w:rsidR="00A113CD">
        <w:t xml:space="preserve">Gold Coast Utility Corporation and St. James Island have not yet filed their 2018 annual reports. </w:t>
      </w:r>
      <w:r>
        <w:t xml:space="preserve"> </w:t>
      </w:r>
      <w:r w:rsidR="00A113CD">
        <w:t xml:space="preserve">Consequently, the tax impacts associated with the TCJA cannot be evaluated for these two utilities. </w:t>
      </w:r>
      <w:r>
        <w:t xml:space="preserve"> </w:t>
      </w:r>
      <w:r w:rsidR="00A113CD">
        <w:t xml:space="preserve">Both of these utilities are facing unique circumstances that will be addressed in dockets of their own. </w:t>
      </w:r>
      <w:r>
        <w:t xml:space="preserve"> </w:t>
      </w:r>
      <w:r w:rsidR="00A113CD">
        <w:t xml:space="preserve">Also, closing this docket will resolve this tax issue for financial reporting purposes for the 13 utilities identified </w:t>
      </w:r>
      <w:r>
        <w:t>t</w:t>
      </w:r>
      <w:r w:rsidR="00A113CD">
        <w:t xml:space="preserve">hat have filed their 2018 annual reports. </w:t>
      </w:r>
      <w:r>
        <w:t xml:space="preserve"> Therefore, we </w:t>
      </w:r>
      <w:r w:rsidR="001B5DE1">
        <w:t xml:space="preserve">find that </w:t>
      </w:r>
      <w:r w:rsidR="00A113CD">
        <w:t xml:space="preserve">the instant docket </w:t>
      </w:r>
      <w:r w:rsidR="001B5DE1">
        <w:t xml:space="preserve">shall </w:t>
      </w:r>
      <w:r w:rsidR="00A113CD">
        <w:t xml:space="preserve">be closed and individual dockets </w:t>
      </w:r>
      <w:r w:rsidR="001B5DE1">
        <w:t xml:space="preserve">shall </w:t>
      </w:r>
      <w:r w:rsidR="00A113CD">
        <w:t>be opened to address this tax issue for Gold Coast Utility Corporation and St. James Island.</w:t>
      </w:r>
    </w:p>
    <w:p w:rsidR="00A113CD" w:rsidRDefault="00A113CD" w:rsidP="00A113CD">
      <w:pPr>
        <w:jc w:val="both"/>
      </w:pPr>
    </w:p>
    <w:p w:rsidR="00A113CD" w:rsidRDefault="00A113CD" w:rsidP="00A113CD">
      <w:pPr>
        <w:jc w:val="both"/>
      </w:pPr>
      <w:r>
        <w:tab/>
        <w:t>Based on the foregoing, it is</w:t>
      </w:r>
    </w:p>
    <w:p w:rsidR="00A113CD" w:rsidRDefault="00A113CD" w:rsidP="006A1866">
      <w:pPr>
        <w:jc w:val="both"/>
      </w:pPr>
    </w:p>
    <w:p w:rsidR="00915CCF" w:rsidRDefault="006A1866" w:rsidP="006A1866">
      <w:pPr>
        <w:jc w:val="both"/>
      </w:pPr>
      <w:r>
        <w:tab/>
      </w:r>
      <w:r w:rsidR="00A113CD">
        <w:t>ORDERED by the Florida Public Service Commission that</w:t>
      </w:r>
      <w:r w:rsidR="0019203A">
        <w:t xml:space="preserve"> East Central Florida Services, Forest Utilities, Indiantown Company, Marion Utilities, NHC Utilities, Ni Florida, North Beach Utilities, Peoples Water Service Company, Pine Island Cove HOA, Placid Lakes, </w:t>
      </w:r>
      <w:proofErr w:type="spellStart"/>
      <w:r w:rsidR="0019203A">
        <w:t>Pluris</w:t>
      </w:r>
      <w:proofErr w:type="spellEnd"/>
      <w:r w:rsidR="0019203A">
        <w:t xml:space="preserve"> </w:t>
      </w:r>
      <w:proofErr w:type="spellStart"/>
      <w:r w:rsidR="0019203A">
        <w:t>Wedgefield</w:t>
      </w:r>
      <w:proofErr w:type="spellEnd"/>
      <w:r w:rsidR="0019203A">
        <w:t>, Wildwood Water Company</w:t>
      </w:r>
      <w:r w:rsidR="00915CCF">
        <w:t>, and Utilities Inc. of Florida,</w:t>
      </w:r>
      <w:r w:rsidR="0019203A">
        <w:t xml:space="preserve"> </w:t>
      </w:r>
      <w:r>
        <w:t>based on their 2018 annual reports</w:t>
      </w:r>
      <w:r w:rsidR="00915CCF">
        <w:t>,</w:t>
      </w:r>
      <w:r>
        <w:t xml:space="preserve"> have reported either negative returns or returns below their rate of return ceilings</w:t>
      </w:r>
      <w:r w:rsidR="00915CCF">
        <w:t xml:space="preserve">, </w:t>
      </w:r>
      <w:r>
        <w:t>and for that reason</w:t>
      </w:r>
      <w:r w:rsidR="00915CCF">
        <w:t>,</w:t>
      </w:r>
      <w:r>
        <w:t xml:space="preserve"> no adjustment to base rates </w:t>
      </w:r>
      <w:r w:rsidR="00915CCF">
        <w:t xml:space="preserve">is </w:t>
      </w:r>
      <w:r>
        <w:t>necessary for the tax impacts resulting from the passage of the Tax Cuts and Jobs Act of 2017.</w:t>
      </w:r>
      <w:r w:rsidR="00915CCF">
        <w:t xml:space="preserve">  It is further</w:t>
      </w:r>
    </w:p>
    <w:p w:rsidR="00915CCF" w:rsidRDefault="00915CCF" w:rsidP="006A1866">
      <w:pPr>
        <w:jc w:val="both"/>
      </w:pPr>
    </w:p>
    <w:p w:rsidR="00A113CD" w:rsidRDefault="00915CCF" w:rsidP="006A1866">
      <w:pPr>
        <w:jc w:val="both"/>
      </w:pPr>
      <w:r>
        <w:tab/>
        <w:t>ORDERED that individual dockets shall be opened for Gold Coast Utility Corporation and St. James Island in order to receive their 2018 annual reports and evaluate the appropriate treatment for the tax impacts resulting from the passage of the Tax Cuts and Jobs Act of 2017.  It is further</w:t>
      </w:r>
    </w:p>
    <w:p w:rsidR="00915CCF" w:rsidRDefault="00915CCF" w:rsidP="006A1866">
      <w:pPr>
        <w:jc w:val="both"/>
      </w:pPr>
    </w:p>
    <w:p w:rsidR="00915CCF" w:rsidRDefault="00915CCF" w:rsidP="00915CCF">
      <w:pPr>
        <w:jc w:val="both"/>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15CCF" w:rsidRDefault="00915CCF" w:rsidP="00915CCF">
      <w:pPr>
        <w:jc w:val="both"/>
      </w:pPr>
    </w:p>
    <w:p w:rsidR="00915CCF" w:rsidRDefault="00915CCF" w:rsidP="00915CCF">
      <w:pPr>
        <w:jc w:val="both"/>
      </w:pPr>
      <w:r>
        <w:tab/>
      </w:r>
      <w:proofErr w:type="gramStart"/>
      <w:r>
        <w:t>ORDERED that if no person whose substantial interests are affected by the Proposed Agency Action files a protest within 21 days of the issuance of the Order, this docket shall be</w:t>
      </w:r>
      <w:r w:rsidR="00873E65">
        <w:t xml:space="preserve"> </w:t>
      </w:r>
      <w:r>
        <w:t>closed upon the issuance of a Consummating Order.</w:t>
      </w:r>
      <w:proofErr w:type="gramEnd"/>
    </w:p>
    <w:p w:rsidR="00915CCF" w:rsidRDefault="00915CCF" w:rsidP="00915CCF">
      <w:pPr>
        <w:jc w:val="both"/>
      </w:pPr>
    </w:p>
    <w:p w:rsidR="00B44A3C" w:rsidRDefault="00B44A3C" w:rsidP="00B44A3C">
      <w:pPr>
        <w:keepNext/>
        <w:keepLines/>
        <w:jc w:val="both"/>
      </w:pPr>
      <w:r>
        <w:lastRenderedPageBreak/>
        <w:tab/>
        <w:t xml:space="preserve">By ORDER of the Florida Public Service Commission this </w:t>
      </w:r>
      <w:bookmarkStart w:id="6" w:name="replaceDate"/>
      <w:bookmarkEnd w:id="6"/>
      <w:r w:rsidR="00F33789">
        <w:rPr>
          <w:u w:val="single"/>
        </w:rPr>
        <w:t>22nd</w:t>
      </w:r>
      <w:r w:rsidR="00F33789">
        <w:t xml:space="preserve"> day of </w:t>
      </w:r>
      <w:r w:rsidR="00F33789">
        <w:rPr>
          <w:u w:val="single"/>
        </w:rPr>
        <w:t>August</w:t>
      </w:r>
      <w:r w:rsidR="00F33789">
        <w:t xml:space="preserve">, </w:t>
      </w:r>
      <w:r w:rsidR="00F33789">
        <w:rPr>
          <w:u w:val="single"/>
        </w:rPr>
        <w:t>2019</w:t>
      </w:r>
      <w:r w:rsidR="00F33789">
        <w:t>.</w:t>
      </w:r>
    </w:p>
    <w:p w:rsidR="00F33789" w:rsidRDefault="00F33789" w:rsidP="00B44A3C">
      <w:pPr>
        <w:keepNext/>
        <w:keepLines/>
        <w:jc w:val="both"/>
      </w:pPr>
    </w:p>
    <w:p w:rsidR="00F33789" w:rsidRPr="00F33789" w:rsidRDefault="00F33789" w:rsidP="00B44A3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A3C" w:rsidTr="00B44A3C">
        <w:tc>
          <w:tcPr>
            <w:tcW w:w="720" w:type="dxa"/>
            <w:shd w:val="clear" w:color="auto" w:fill="auto"/>
          </w:tcPr>
          <w:p w:rsidR="00B44A3C" w:rsidRDefault="00B44A3C" w:rsidP="00B44A3C">
            <w:pPr>
              <w:keepNext/>
              <w:keepLines/>
              <w:jc w:val="both"/>
            </w:pPr>
            <w:bookmarkStart w:id="7" w:name="bkmrkSignature" w:colFirst="0" w:colLast="0"/>
          </w:p>
        </w:tc>
        <w:tc>
          <w:tcPr>
            <w:tcW w:w="4320" w:type="dxa"/>
            <w:tcBorders>
              <w:bottom w:val="single" w:sz="4" w:space="0" w:color="auto"/>
            </w:tcBorders>
            <w:shd w:val="clear" w:color="auto" w:fill="auto"/>
          </w:tcPr>
          <w:p w:rsidR="00B44A3C" w:rsidRDefault="00A870A4" w:rsidP="00B44A3C">
            <w:pPr>
              <w:keepNext/>
              <w:keepLines/>
              <w:jc w:val="both"/>
            </w:pPr>
            <w:r>
              <w:t>/s/ Adam J. Teitzman</w:t>
            </w:r>
            <w:bookmarkStart w:id="8" w:name="_GoBack"/>
            <w:bookmarkEnd w:id="8"/>
          </w:p>
        </w:tc>
      </w:tr>
      <w:bookmarkEnd w:id="7"/>
      <w:tr w:rsidR="00B44A3C" w:rsidTr="00B44A3C">
        <w:tc>
          <w:tcPr>
            <w:tcW w:w="720" w:type="dxa"/>
            <w:shd w:val="clear" w:color="auto" w:fill="auto"/>
          </w:tcPr>
          <w:p w:rsidR="00B44A3C" w:rsidRDefault="00B44A3C" w:rsidP="00B44A3C">
            <w:pPr>
              <w:keepNext/>
              <w:keepLines/>
              <w:jc w:val="both"/>
            </w:pPr>
          </w:p>
        </w:tc>
        <w:tc>
          <w:tcPr>
            <w:tcW w:w="4320" w:type="dxa"/>
            <w:tcBorders>
              <w:top w:val="single" w:sz="4" w:space="0" w:color="auto"/>
            </w:tcBorders>
            <w:shd w:val="clear" w:color="auto" w:fill="auto"/>
          </w:tcPr>
          <w:p w:rsidR="00B44A3C" w:rsidRDefault="00B44A3C" w:rsidP="00B44A3C">
            <w:pPr>
              <w:keepNext/>
              <w:keepLines/>
              <w:jc w:val="both"/>
            </w:pPr>
            <w:r>
              <w:t>ADAM J. TEITZMAN</w:t>
            </w:r>
          </w:p>
          <w:p w:rsidR="00B44A3C" w:rsidRDefault="00B44A3C" w:rsidP="00B44A3C">
            <w:pPr>
              <w:keepNext/>
              <w:keepLines/>
              <w:jc w:val="both"/>
            </w:pPr>
            <w:r>
              <w:t>Commission Clerk</w:t>
            </w:r>
          </w:p>
        </w:tc>
      </w:tr>
    </w:tbl>
    <w:p w:rsidR="00B44A3C" w:rsidRDefault="00B44A3C" w:rsidP="00B44A3C">
      <w:pPr>
        <w:pStyle w:val="OrderSigInfo"/>
        <w:keepNext/>
        <w:keepLines/>
      </w:pPr>
      <w:r>
        <w:t>Florida Public Service Commission</w:t>
      </w:r>
    </w:p>
    <w:p w:rsidR="00B44A3C" w:rsidRDefault="00B44A3C" w:rsidP="00B44A3C">
      <w:pPr>
        <w:pStyle w:val="OrderSigInfo"/>
        <w:keepNext/>
        <w:keepLines/>
      </w:pPr>
      <w:r>
        <w:t>2540 Shumard Oak Boulevard</w:t>
      </w:r>
    </w:p>
    <w:p w:rsidR="00B44A3C" w:rsidRDefault="00B44A3C" w:rsidP="00B44A3C">
      <w:pPr>
        <w:pStyle w:val="OrderSigInfo"/>
        <w:keepNext/>
        <w:keepLines/>
      </w:pPr>
      <w:r>
        <w:t>Tallahassee, Florida 32399</w:t>
      </w:r>
    </w:p>
    <w:p w:rsidR="00B44A3C" w:rsidRDefault="00B44A3C" w:rsidP="00B44A3C">
      <w:pPr>
        <w:pStyle w:val="OrderSigInfo"/>
        <w:keepNext/>
        <w:keepLines/>
      </w:pPr>
      <w:r>
        <w:t>(850) 413</w:t>
      </w:r>
      <w:r>
        <w:noBreakHyphen/>
        <w:t>6770</w:t>
      </w:r>
    </w:p>
    <w:p w:rsidR="00B44A3C" w:rsidRDefault="00B44A3C" w:rsidP="00B44A3C">
      <w:pPr>
        <w:pStyle w:val="OrderSigInfo"/>
        <w:keepNext/>
        <w:keepLines/>
      </w:pPr>
      <w:r>
        <w:t>www.floridapsc.com</w:t>
      </w:r>
    </w:p>
    <w:p w:rsidR="00B44A3C" w:rsidRDefault="00B44A3C" w:rsidP="00B44A3C">
      <w:pPr>
        <w:pStyle w:val="OrderSigInfo"/>
        <w:keepNext/>
        <w:keepLines/>
      </w:pPr>
    </w:p>
    <w:p w:rsidR="00B44A3C" w:rsidRDefault="00B44A3C" w:rsidP="00B44A3C">
      <w:pPr>
        <w:pStyle w:val="OrderSigInfo"/>
        <w:keepNext/>
        <w:keepLines/>
      </w:pPr>
      <w:r>
        <w:t>Copies furnished:  A copy of this document is provided to the parties of record at the time of issuance and, if applicable, interested persons.</w:t>
      </w:r>
    </w:p>
    <w:p w:rsidR="00B44A3C" w:rsidRDefault="00B44A3C" w:rsidP="00B44A3C">
      <w:pPr>
        <w:pStyle w:val="OrderBody"/>
      </w:pPr>
    </w:p>
    <w:p w:rsidR="00B44A3C" w:rsidRDefault="00B44A3C" w:rsidP="00B44A3C">
      <w:pPr>
        <w:pStyle w:val="OrderBody"/>
      </w:pPr>
      <w:proofErr w:type="spellStart"/>
      <w:r>
        <w:t>SBr</w:t>
      </w:r>
      <w:proofErr w:type="spellEnd"/>
    </w:p>
    <w:p w:rsidR="001537E1" w:rsidRDefault="001537E1" w:rsidP="00B44A3C">
      <w:pPr>
        <w:pStyle w:val="OrderBody"/>
      </w:pPr>
    </w:p>
    <w:p w:rsidR="00600C87" w:rsidRDefault="00600C87" w:rsidP="00600C87">
      <w:pPr>
        <w:pStyle w:val="CenterUnderline"/>
      </w:pPr>
      <w:r>
        <w:t>NOTICE OF FURTHER PROCEEDINGS OR JUDICIAL REVIEW</w:t>
      </w:r>
    </w:p>
    <w:p w:rsidR="00600C87" w:rsidRDefault="00600C87" w:rsidP="00600C87">
      <w:pPr>
        <w:pStyle w:val="CenterUnderline"/>
      </w:pPr>
    </w:p>
    <w:p w:rsidR="00600C87" w:rsidRDefault="00600C87" w:rsidP="00600C8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00C87" w:rsidRDefault="00600C87" w:rsidP="00600C87">
      <w:pPr>
        <w:pStyle w:val="OrderBody"/>
      </w:pPr>
    </w:p>
    <w:p w:rsidR="00600C87" w:rsidRDefault="00600C87" w:rsidP="00600C87">
      <w:pPr>
        <w:pStyle w:val="OrderBody"/>
      </w:pPr>
      <w:r>
        <w:tab/>
        <w:t>Mediation may be available on a case-by-case basis.  If mediation is conducted, it does not affect a substantially interested person's right to a hearing.</w:t>
      </w:r>
    </w:p>
    <w:p w:rsidR="00600C87" w:rsidRDefault="00600C87" w:rsidP="00600C87">
      <w:pPr>
        <w:pStyle w:val="OrderBody"/>
      </w:pPr>
    </w:p>
    <w:p w:rsidR="00600C87" w:rsidRDefault="00600C87" w:rsidP="00600C8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33789">
        <w:rPr>
          <w:u w:val="single"/>
        </w:rPr>
        <w:t>September 12, 2019</w:t>
      </w:r>
      <w:r>
        <w:t>.</w:t>
      </w:r>
    </w:p>
    <w:p w:rsidR="00600C87" w:rsidRDefault="00600C87" w:rsidP="00600C87">
      <w:pPr>
        <w:pStyle w:val="OrderBody"/>
      </w:pPr>
    </w:p>
    <w:p w:rsidR="00600C87" w:rsidRDefault="00600C87" w:rsidP="00600C87">
      <w:pPr>
        <w:pStyle w:val="OrderBody"/>
      </w:pPr>
      <w:r>
        <w:tab/>
        <w:t>In the absence of such a petition, this order shall become final and effective upon the issuance of a Consummating Order.</w:t>
      </w:r>
    </w:p>
    <w:p w:rsidR="00600C87" w:rsidRDefault="00600C87" w:rsidP="00600C87">
      <w:pPr>
        <w:pStyle w:val="OrderBody"/>
      </w:pPr>
    </w:p>
    <w:p w:rsidR="00600C87" w:rsidRDefault="00600C87" w:rsidP="00600C87">
      <w:pPr>
        <w:pStyle w:val="OrderBody"/>
      </w:pPr>
      <w:r>
        <w:tab/>
        <w:t>Any objection or protest filed in this/these docket(s) before the issuance date of this order is considered abandoned unless it satisfies the foregoing conditions and is renewed within the specified protest period.</w:t>
      </w:r>
    </w:p>
    <w:p w:rsidR="00600C87" w:rsidRDefault="00600C87" w:rsidP="00600C87">
      <w:pPr>
        <w:pStyle w:val="OrderBody"/>
      </w:pPr>
    </w:p>
    <w:p w:rsidR="00600C87" w:rsidRDefault="00600C87" w:rsidP="00600C87">
      <w:pPr>
        <w:pStyle w:val="OrderBody"/>
      </w:pPr>
    </w:p>
    <w:p w:rsidR="00600C87" w:rsidRPr="00600C87" w:rsidRDefault="00600C87" w:rsidP="00600C87">
      <w:pPr>
        <w:pStyle w:val="OrderBody"/>
      </w:pPr>
    </w:p>
    <w:p w:rsidR="001537E1" w:rsidRDefault="001537E1" w:rsidP="00B44A3C">
      <w:pPr>
        <w:pStyle w:val="OrderBody"/>
        <w:sectPr w:rsidR="001537E1">
          <w:headerReference w:type="default" r:id="rId9"/>
          <w:footerReference w:type="first" r:id="rId10"/>
          <w:pgSz w:w="12240" w:h="15840" w:code="1"/>
          <w:pgMar w:top="1440" w:right="1440" w:bottom="1440" w:left="1440" w:header="720" w:footer="720" w:gutter="0"/>
          <w:cols w:space="720"/>
          <w:titlePg/>
          <w:docGrid w:linePitch="360"/>
        </w:sectPr>
      </w:pPr>
    </w:p>
    <w:p w:rsidR="001537E1" w:rsidRDefault="001537E1" w:rsidP="00B44A3C">
      <w:pPr>
        <w:pStyle w:val="OrderBody"/>
      </w:pPr>
    </w:p>
    <w:p w:rsidR="001537E1" w:rsidRDefault="001537E1" w:rsidP="001537E1">
      <w:pPr>
        <w:pStyle w:val="OrderBody"/>
        <w:jc w:val="right"/>
      </w:pPr>
      <w:r>
        <w:t>ATTACHMENT A</w:t>
      </w:r>
    </w:p>
    <w:p w:rsidR="001537E1" w:rsidRDefault="001537E1" w:rsidP="001537E1">
      <w:pPr>
        <w:pStyle w:val="OrderBody"/>
        <w:jc w:val="right"/>
      </w:pPr>
    </w:p>
    <w:p w:rsidR="001537E1" w:rsidRDefault="001537E1" w:rsidP="001537E1">
      <w:pPr>
        <w:pStyle w:val="BodyText"/>
        <w:spacing w:after="0"/>
        <w:ind w:left="90"/>
        <w:jc w:val="center"/>
        <w:rPr>
          <w:rFonts w:ascii="Arial" w:hAnsi="Arial" w:cs="Arial"/>
          <w:b/>
        </w:rPr>
      </w:pPr>
      <w:r>
        <w:rPr>
          <w:rFonts w:ascii="Arial" w:hAnsi="Arial" w:cs="Arial"/>
          <w:b/>
        </w:rPr>
        <w:t>Table 1-1</w:t>
      </w:r>
    </w:p>
    <w:p w:rsidR="001537E1" w:rsidRPr="001537E1" w:rsidRDefault="001537E1" w:rsidP="001537E1">
      <w:pPr>
        <w:jc w:val="center"/>
        <w:rPr>
          <w:rFonts w:ascii="Arial" w:hAnsi="Arial" w:cs="Arial"/>
          <w:b/>
        </w:rPr>
      </w:pPr>
      <w:r w:rsidRPr="001537E1">
        <w:rPr>
          <w:rFonts w:ascii="Arial" w:hAnsi="Arial" w:cs="Arial"/>
          <w:b/>
        </w:rPr>
        <w:t>Tax Cuts and Jobs Act WAW Analysis</w:t>
      </w:r>
    </w:p>
    <w:tbl>
      <w:tblPr>
        <w:tblStyle w:val="TableGrid"/>
        <w:tblW w:w="9500" w:type="dxa"/>
        <w:tblInd w:w="90" w:type="dxa"/>
        <w:tblLayout w:type="fixed"/>
        <w:tblLook w:val="04A0" w:firstRow="1" w:lastRow="0" w:firstColumn="1" w:lastColumn="0" w:noHBand="0" w:noVBand="1"/>
      </w:tblPr>
      <w:tblGrid>
        <w:gridCol w:w="468"/>
        <w:gridCol w:w="3060"/>
        <w:gridCol w:w="1800"/>
        <w:gridCol w:w="1710"/>
        <w:gridCol w:w="1170"/>
        <w:gridCol w:w="1292"/>
      </w:tblGrid>
      <w:tr w:rsidR="001537E1" w:rsidRPr="00257D6D" w:rsidTr="001041B3">
        <w:tc>
          <w:tcPr>
            <w:tcW w:w="468" w:type="dxa"/>
            <w:tcBorders>
              <w:bottom w:val="nil"/>
            </w:tcBorders>
          </w:tcPr>
          <w:p w:rsidR="001537E1" w:rsidRPr="00257D6D" w:rsidRDefault="001537E1" w:rsidP="001041B3">
            <w:pPr>
              <w:jc w:val="center"/>
              <w:rPr>
                <w:b/>
              </w:rPr>
            </w:pPr>
          </w:p>
        </w:tc>
        <w:tc>
          <w:tcPr>
            <w:tcW w:w="3060" w:type="dxa"/>
            <w:tcBorders>
              <w:bottom w:val="nil"/>
            </w:tcBorders>
          </w:tcPr>
          <w:p w:rsidR="001537E1" w:rsidRPr="00257D6D" w:rsidRDefault="001537E1" w:rsidP="001041B3">
            <w:pPr>
              <w:jc w:val="center"/>
              <w:rPr>
                <w:b/>
              </w:rPr>
            </w:pPr>
          </w:p>
        </w:tc>
        <w:tc>
          <w:tcPr>
            <w:tcW w:w="1800" w:type="dxa"/>
            <w:tcBorders>
              <w:bottom w:val="nil"/>
            </w:tcBorders>
          </w:tcPr>
          <w:p w:rsidR="001537E1" w:rsidRPr="00257D6D" w:rsidRDefault="001537E1" w:rsidP="001041B3">
            <w:pPr>
              <w:jc w:val="center"/>
              <w:rPr>
                <w:b/>
              </w:rPr>
            </w:pPr>
            <w:r w:rsidRPr="00257D6D">
              <w:rPr>
                <w:b/>
              </w:rPr>
              <w:t xml:space="preserve">Net Operating </w:t>
            </w:r>
          </w:p>
        </w:tc>
        <w:tc>
          <w:tcPr>
            <w:tcW w:w="1710" w:type="dxa"/>
            <w:tcBorders>
              <w:bottom w:val="nil"/>
            </w:tcBorders>
          </w:tcPr>
          <w:p w:rsidR="001537E1" w:rsidRPr="00257D6D" w:rsidRDefault="001537E1" w:rsidP="001041B3">
            <w:pPr>
              <w:jc w:val="center"/>
              <w:rPr>
                <w:b/>
              </w:rPr>
            </w:pPr>
          </w:p>
        </w:tc>
        <w:tc>
          <w:tcPr>
            <w:tcW w:w="1170" w:type="dxa"/>
            <w:tcBorders>
              <w:bottom w:val="nil"/>
            </w:tcBorders>
          </w:tcPr>
          <w:p w:rsidR="001537E1" w:rsidRPr="00257D6D" w:rsidRDefault="001537E1" w:rsidP="001041B3">
            <w:pPr>
              <w:jc w:val="center"/>
              <w:rPr>
                <w:b/>
              </w:rPr>
            </w:pPr>
            <w:r w:rsidRPr="00257D6D">
              <w:rPr>
                <w:b/>
              </w:rPr>
              <w:t xml:space="preserve">Achieved </w:t>
            </w:r>
          </w:p>
        </w:tc>
        <w:tc>
          <w:tcPr>
            <w:tcW w:w="1292" w:type="dxa"/>
            <w:tcBorders>
              <w:bottom w:val="nil"/>
            </w:tcBorders>
          </w:tcPr>
          <w:p w:rsidR="001537E1" w:rsidRPr="00257D6D" w:rsidRDefault="001537E1" w:rsidP="001041B3">
            <w:pPr>
              <w:jc w:val="center"/>
              <w:rPr>
                <w:b/>
              </w:rPr>
            </w:pPr>
            <w:r w:rsidRPr="00257D6D">
              <w:rPr>
                <w:b/>
              </w:rPr>
              <w:t xml:space="preserve">Approved </w:t>
            </w:r>
          </w:p>
        </w:tc>
      </w:tr>
      <w:tr w:rsidR="001537E1" w:rsidRPr="00257D6D" w:rsidTr="001041B3">
        <w:tc>
          <w:tcPr>
            <w:tcW w:w="468" w:type="dxa"/>
            <w:tcBorders>
              <w:top w:val="nil"/>
            </w:tcBorders>
          </w:tcPr>
          <w:p w:rsidR="001537E1" w:rsidRPr="00257D6D" w:rsidRDefault="001537E1" w:rsidP="001041B3">
            <w:pPr>
              <w:jc w:val="center"/>
              <w:rPr>
                <w:b/>
              </w:rPr>
            </w:pPr>
          </w:p>
        </w:tc>
        <w:tc>
          <w:tcPr>
            <w:tcW w:w="3060" w:type="dxa"/>
            <w:tcBorders>
              <w:top w:val="nil"/>
            </w:tcBorders>
          </w:tcPr>
          <w:p w:rsidR="001537E1" w:rsidRPr="00257D6D" w:rsidRDefault="001537E1" w:rsidP="001041B3">
            <w:pPr>
              <w:jc w:val="center"/>
              <w:rPr>
                <w:b/>
              </w:rPr>
            </w:pPr>
            <w:r w:rsidRPr="00257D6D">
              <w:rPr>
                <w:b/>
              </w:rPr>
              <w:t>Company</w:t>
            </w:r>
          </w:p>
        </w:tc>
        <w:tc>
          <w:tcPr>
            <w:tcW w:w="1800" w:type="dxa"/>
            <w:tcBorders>
              <w:top w:val="nil"/>
            </w:tcBorders>
          </w:tcPr>
          <w:p w:rsidR="001537E1" w:rsidRPr="00257D6D" w:rsidRDefault="001537E1" w:rsidP="001041B3">
            <w:pPr>
              <w:jc w:val="center"/>
              <w:rPr>
                <w:b/>
              </w:rPr>
            </w:pPr>
            <w:r w:rsidRPr="00257D6D">
              <w:rPr>
                <w:b/>
              </w:rPr>
              <w:t>Income</w:t>
            </w:r>
          </w:p>
        </w:tc>
        <w:tc>
          <w:tcPr>
            <w:tcW w:w="1710" w:type="dxa"/>
            <w:tcBorders>
              <w:top w:val="nil"/>
            </w:tcBorders>
          </w:tcPr>
          <w:p w:rsidR="001537E1" w:rsidRPr="00257D6D" w:rsidRDefault="001537E1" w:rsidP="001041B3">
            <w:pPr>
              <w:jc w:val="center"/>
              <w:rPr>
                <w:b/>
              </w:rPr>
            </w:pPr>
            <w:r>
              <w:rPr>
                <w:b/>
              </w:rPr>
              <w:t xml:space="preserve">Rate </w:t>
            </w:r>
            <w:r w:rsidRPr="00257D6D">
              <w:rPr>
                <w:b/>
              </w:rPr>
              <w:t>Base</w:t>
            </w:r>
          </w:p>
        </w:tc>
        <w:tc>
          <w:tcPr>
            <w:tcW w:w="1170" w:type="dxa"/>
            <w:tcBorders>
              <w:top w:val="nil"/>
            </w:tcBorders>
          </w:tcPr>
          <w:p w:rsidR="001537E1" w:rsidRPr="00257D6D" w:rsidRDefault="001537E1" w:rsidP="001041B3">
            <w:pPr>
              <w:jc w:val="center"/>
              <w:rPr>
                <w:b/>
              </w:rPr>
            </w:pPr>
            <w:r w:rsidRPr="00257D6D">
              <w:rPr>
                <w:b/>
              </w:rPr>
              <w:t>ROR</w:t>
            </w:r>
          </w:p>
        </w:tc>
        <w:tc>
          <w:tcPr>
            <w:tcW w:w="1292" w:type="dxa"/>
            <w:tcBorders>
              <w:top w:val="nil"/>
            </w:tcBorders>
          </w:tcPr>
          <w:p w:rsidR="001537E1" w:rsidRPr="00257D6D" w:rsidRDefault="001537E1" w:rsidP="001041B3">
            <w:pPr>
              <w:jc w:val="center"/>
              <w:rPr>
                <w:b/>
              </w:rPr>
            </w:pPr>
            <w:r w:rsidRPr="00257D6D">
              <w:rPr>
                <w:b/>
              </w:rPr>
              <w:t>ROR Cap</w:t>
            </w:r>
          </w:p>
        </w:tc>
      </w:tr>
      <w:tr w:rsidR="001537E1" w:rsidTr="001041B3">
        <w:tc>
          <w:tcPr>
            <w:tcW w:w="468" w:type="dxa"/>
          </w:tcPr>
          <w:p w:rsidR="001537E1" w:rsidRDefault="001537E1" w:rsidP="001041B3">
            <w:pPr>
              <w:jc w:val="center"/>
            </w:pPr>
            <w:r>
              <w:t>1</w:t>
            </w:r>
          </w:p>
        </w:tc>
        <w:tc>
          <w:tcPr>
            <w:tcW w:w="3060" w:type="dxa"/>
          </w:tcPr>
          <w:p w:rsidR="001537E1" w:rsidRDefault="001537E1" w:rsidP="001041B3">
            <w:r>
              <w:t>East Central Florida Services</w:t>
            </w:r>
          </w:p>
        </w:tc>
        <w:tc>
          <w:tcPr>
            <w:tcW w:w="1800" w:type="dxa"/>
            <w:vAlign w:val="bottom"/>
          </w:tcPr>
          <w:p w:rsidR="001537E1" w:rsidRPr="00257D6D" w:rsidRDefault="001537E1" w:rsidP="001041B3">
            <w:pPr>
              <w:rPr>
                <w:color w:val="000000"/>
              </w:rPr>
            </w:pPr>
            <w:r w:rsidRPr="00257D6D">
              <w:rPr>
                <w:color w:val="000000"/>
              </w:rPr>
              <w:t xml:space="preserve"> $       (114,909)</w:t>
            </w:r>
          </w:p>
        </w:tc>
        <w:tc>
          <w:tcPr>
            <w:tcW w:w="1710" w:type="dxa"/>
            <w:vAlign w:val="bottom"/>
          </w:tcPr>
          <w:p w:rsidR="001537E1" w:rsidRPr="00257D6D" w:rsidRDefault="001537E1" w:rsidP="001041B3">
            <w:pPr>
              <w:rPr>
                <w:color w:val="000000"/>
              </w:rPr>
            </w:pPr>
            <w:r w:rsidRPr="00257D6D">
              <w:rPr>
                <w:color w:val="000000"/>
              </w:rPr>
              <w:t xml:space="preserve"> $        258,447 </w:t>
            </w:r>
          </w:p>
        </w:tc>
        <w:tc>
          <w:tcPr>
            <w:tcW w:w="1170" w:type="dxa"/>
            <w:vAlign w:val="bottom"/>
          </w:tcPr>
          <w:p w:rsidR="001537E1" w:rsidRPr="00257D6D" w:rsidRDefault="001537E1" w:rsidP="001041B3">
            <w:pPr>
              <w:jc w:val="right"/>
              <w:rPr>
                <w:color w:val="000000"/>
              </w:rPr>
            </w:pPr>
            <w:r w:rsidRPr="00257D6D">
              <w:rPr>
                <w:color w:val="000000"/>
              </w:rPr>
              <w:t>-44.46%</w:t>
            </w:r>
          </w:p>
        </w:tc>
        <w:tc>
          <w:tcPr>
            <w:tcW w:w="1292" w:type="dxa"/>
            <w:vAlign w:val="bottom"/>
          </w:tcPr>
          <w:p w:rsidR="001537E1" w:rsidRPr="00257D6D" w:rsidRDefault="001537E1" w:rsidP="001041B3">
            <w:pPr>
              <w:jc w:val="right"/>
              <w:rPr>
                <w:color w:val="000000"/>
              </w:rPr>
            </w:pPr>
            <w:r w:rsidRPr="00257D6D">
              <w:rPr>
                <w:color w:val="000000"/>
              </w:rPr>
              <w:t>8.12%</w:t>
            </w:r>
          </w:p>
        </w:tc>
      </w:tr>
      <w:tr w:rsidR="001537E1" w:rsidTr="001041B3">
        <w:tc>
          <w:tcPr>
            <w:tcW w:w="468" w:type="dxa"/>
          </w:tcPr>
          <w:p w:rsidR="001537E1" w:rsidRDefault="001537E1" w:rsidP="001041B3">
            <w:pPr>
              <w:jc w:val="center"/>
            </w:pPr>
            <w:r>
              <w:t>2</w:t>
            </w:r>
          </w:p>
        </w:tc>
        <w:tc>
          <w:tcPr>
            <w:tcW w:w="3060" w:type="dxa"/>
          </w:tcPr>
          <w:p w:rsidR="001537E1" w:rsidRDefault="001537E1" w:rsidP="001041B3">
            <w:r>
              <w:t>Forest Utilities</w:t>
            </w:r>
          </w:p>
        </w:tc>
        <w:tc>
          <w:tcPr>
            <w:tcW w:w="1800" w:type="dxa"/>
            <w:vAlign w:val="bottom"/>
          </w:tcPr>
          <w:p w:rsidR="001537E1" w:rsidRPr="00257D6D" w:rsidRDefault="001537E1" w:rsidP="001041B3">
            <w:pPr>
              <w:rPr>
                <w:color w:val="000000"/>
              </w:rPr>
            </w:pPr>
            <w:r w:rsidRPr="00257D6D">
              <w:rPr>
                <w:color w:val="000000"/>
              </w:rPr>
              <w:t xml:space="preserve"> $          49,819 </w:t>
            </w:r>
          </w:p>
        </w:tc>
        <w:tc>
          <w:tcPr>
            <w:tcW w:w="1710" w:type="dxa"/>
            <w:vAlign w:val="bottom"/>
          </w:tcPr>
          <w:p w:rsidR="001537E1" w:rsidRPr="00257D6D" w:rsidRDefault="001537E1" w:rsidP="001041B3">
            <w:pPr>
              <w:rPr>
                <w:color w:val="000000"/>
              </w:rPr>
            </w:pPr>
            <w:r w:rsidRPr="00257D6D">
              <w:rPr>
                <w:color w:val="000000"/>
              </w:rPr>
              <w:t xml:space="preserve"> $     2,523,171 </w:t>
            </w:r>
          </w:p>
        </w:tc>
        <w:tc>
          <w:tcPr>
            <w:tcW w:w="1170" w:type="dxa"/>
            <w:vAlign w:val="bottom"/>
          </w:tcPr>
          <w:p w:rsidR="001537E1" w:rsidRPr="00257D6D" w:rsidRDefault="001537E1" w:rsidP="001041B3">
            <w:pPr>
              <w:jc w:val="right"/>
              <w:rPr>
                <w:color w:val="000000"/>
              </w:rPr>
            </w:pPr>
            <w:r w:rsidRPr="00257D6D">
              <w:rPr>
                <w:color w:val="000000"/>
              </w:rPr>
              <w:t>1.97%</w:t>
            </w:r>
          </w:p>
        </w:tc>
        <w:tc>
          <w:tcPr>
            <w:tcW w:w="1292" w:type="dxa"/>
            <w:vAlign w:val="bottom"/>
          </w:tcPr>
          <w:p w:rsidR="001537E1" w:rsidRPr="00257D6D" w:rsidRDefault="001537E1" w:rsidP="001041B3">
            <w:pPr>
              <w:jc w:val="right"/>
              <w:rPr>
                <w:color w:val="000000"/>
              </w:rPr>
            </w:pPr>
            <w:r w:rsidRPr="00257D6D">
              <w:rPr>
                <w:color w:val="000000"/>
              </w:rPr>
              <w:t>4.94%</w:t>
            </w:r>
          </w:p>
        </w:tc>
      </w:tr>
      <w:tr w:rsidR="001537E1" w:rsidTr="001041B3">
        <w:tc>
          <w:tcPr>
            <w:tcW w:w="468" w:type="dxa"/>
          </w:tcPr>
          <w:p w:rsidR="001537E1" w:rsidRDefault="001537E1" w:rsidP="001041B3">
            <w:pPr>
              <w:jc w:val="center"/>
            </w:pPr>
            <w:r>
              <w:t>3</w:t>
            </w:r>
          </w:p>
        </w:tc>
        <w:tc>
          <w:tcPr>
            <w:tcW w:w="3060" w:type="dxa"/>
          </w:tcPr>
          <w:p w:rsidR="001537E1" w:rsidRDefault="001537E1" w:rsidP="001041B3">
            <w:r>
              <w:t>Gold Coast Utility Corporation</w:t>
            </w:r>
          </w:p>
        </w:tc>
        <w:tc>
          <w:tcPr>
            <w:tcW w:w="1800" w:type="dxa"/>
            <w:vAlign w:val="bottom"/>
          </w:tcPr>
          <w:p w:rsidR="001537E1" w:rsidRPr="00257D6D" w:rsidRDefault="001537E1" w:rsidP="001041B3">
            <w:pPr>
              <w:rPr>
                <w:color w:val="000000"/>
              </w:rPr>
            </w:pPr>
            <w:r w:rsidRPr="00257D6D">
              <w:rPr>
                <w:color w:val="000000"/>
              </w:rPr>
              <w:t> </w:t>
            </w:r>
          </w:p>
        </w:tc>
        <w:tc>
          <w:tcPr>
            <w:tcW w:w="1710" w:type="dxa"/>
            <w:vAlign w:val="bottom"/>
          </w:tcPr>
          <w:p w:rsidR="001537E1" w:rsidRPr="00257D6D" w:rsidRDefault="001537E1" w:rsidP="001041B3">
            <w:pPr>
              <w:rPr>
                <w:color w:val="000000"/>
              </w:rPr>
            </w:pPr>
            <w:r w:rsidRPr="00257D6D">
              <w:rPr>
                <w:color w:val="000000"/>
              </w:rPr>
              <w:t> </w:t>
            </w:r>
          </w:p>
        </w:tc>
        <w:tc>
          <w:tcPr>
            <w:tcW w:w="1170" w:type="dxa"/>
            <w:vAlign w:val="bottom"/>
          </w:tcPr>
          <w:p w:rsidR="001537E1" w:rsidRPr="00257D6D" w:rsidRDefault="001537E1" w:rsidP="001041B3">
            <w:pPr>
              <w:rPr>
                <w:color w:val="000000"/>
              </w:rPr>
            </w:pPr>
            <w:r w:rsidRPr="00257D6D">
              <w:rPr>
                <w:color w:val="000000"/>
              </w:rPr>
              <w:t> </w:t>
            </w:r>
          </w:p>
        </w:tc>
        <w:tc>
          <w:tcPr>
            <w:tcW w:w="1292" w:type="dxa"/>
            <w:vAlign w:val="bottom"/>
          </w:tcPr>
          <w:p w:rsidR="001537E1" w:rsidRPr="00257D6D" w:rsidRDefault="001537E1" w:rsidP="001041B3">
            <w:pPr>
              <w:jc w:val="right"/>
              <w:rPr>
                <w:color w:val="000000"/>
              </w:rPr>
            </w:pPr>
            <w:r w:rsidRPr="00257D6D">
              <w:rPr>
                <w:color w:val="000000"/>
              </w:rPr>
              <w:t>5.91%</w:t>
            </w:r>
          </w:p>
        </w:tc>
      </w:tr>
      <w:tr w:rsidR="001537E1" w:rsidTr="001041B3">
        <w:tc>
          <w:tcPr>
            <w:tcW w:w="468" w:type="dxa"/>
          </w:tcPr>
          <w:p w:rsidR="001537E1" w:rsidRDefault="001537E1" w:rsidP="001041B3">
            <w:pPr>
              <w:jc w:val="center"/>
            </w:pPr>
            <w:r>
              <w:t>4</w:t>
            </w:r>
          </w:p>
        </w:tc>
        <w:tc>
          <w:tcPr>
            <w:tcW w:w="3060" w:type="dxa"/>
          </w:tcPr>
          <w:p w:rsidR="001537E1" w:rsidRDefault="001537E1" w:rsidP="001041B3">
            <w:r>
              <w:t>Indiantown Company</w:t>
            </w:r>
          </w:p>
        </w:tc>
        <w:tc>
          <w:tcPr>
            <w:tcW w:w="1800" w:type="dxa"/>
            <w:vAlign w:val="bottom"/>
          </w:tcPr>
          <w:p w:rsidR="001537E1" w:rsidRPr="00257D6D" w:rsidRDefault="001537E1" w:rsidP="001041B3">
            <w:pPr>
              <w:rPr>
                <w:color w:val="000000"/>
              </w:rPr>
            </w:pPr>
            <w:r w:rsidRPr="00257D6D">
              <w:rPr>
                <w:color w:val="000000"/>
              </w:rPr>
              <w:t xml:space="preserve"> $         (56,565)</w:t>
            </w:r>
          </w:p>
        </w:tc>
        <w:tc>
          <w:tcPr>
            <w:tcW w:w="1710" w:type="dxa"/>
            <w:vAlign w:val="bottom"/>
          </w:tcPr>
          <w:p w:rsidR="001537E1" w:rsidRPr="00257D6D" w:rsidRDefault="001537E1" w:rsidP="001041B3">
            <w:pPr>
              <w:rPr>
                <w:color w:val="000000"/>
              </w:rPr>
            </w:pPr>
            <w:r w:rsidRPr="00257D6D">
              <w:rPr>
                <w:color w:val="000000"/>
              </w:rPr>
              <w:t xml:space="preserve"> $        486,821 </w:t>
            </w:r>
          </w:p>
        </w:tc>
        <w:tc>
          <w:tcPr>
            <w:tcW w:w="1170" w:type="dxa"/>
            <w:vAlign w:val="bottom"/>
          </w:tcPr>
          <w:p w:rsidR="001537E1" w:rsidRPr="00257D6D" w:rsidRDefault="001537E1" w:rsidP="001041B3">
            <w:pPr>
              <w:jc w:val="right"/>
              <w:rPr>
                <w:color w:val="000000"/>
              </w:rPr>
            </w:pPr>
            <w:r w:rsidRPr="00257D6D">
              <w:rPr>
                <w:color w:val="000000"/>
              </w:rPr>
              <w:t>-11.62%</w:t>
            </w:r>
          </w:p>
        </w:tc>
        <w:tc>
          <w:tcPr>
            <w:tcW w:w="1292" w:type="dxa"/>
            <w:vAlign w:val="bottom"/>
          </w:tcPr>
          <w:p w:rsidR="001537E1" w:rsidRPr="00257D6D" w:rsidRDefault="001537E1" w:rsidP="001041B3">
            <w:pPr>
              <w:jc w:val="right"/>
              <w:rPr>
                <w:color w:val="000000"/>
              </w:rPr>
            </w:pPr>
            <w:r w:rsidRPr="00257D6D">
              <w:rPr>
                <w:color w:val="000000"/>
              </w:rPr>
              <w:t>4.21%</w:t>
            </w:r>
          </w:p>
        </w:tc>
      </w:tr>
      <w:tr w:rsidR="001537E1" w:rsidTr="001041B3">
        <w:tc>
          <w:tcPr>
            <w:tcW w:w="468" w:type="dxa"/>
          </w:tcPr>
          <w:p w:rsidR="001537E1" w:rsidRDefault="001537E1" w:rsidP="001041B3">
            <w:pPr>
              <w:jc w:val="center"/>
            </w:pPr>
            <w:r>
              <w:t>5</w:t>
            </w:r>
          </w:p>
        </w:tc>
        <w:tc>
          <w:tcPr>
            <w:tcW w:w="3060" w:type="dxa"/>
          </w:tcPr>
          <w:p w:rsidR="001537E1" w:rsidRDefault="001537E1" w:rsidP="001041B3">
            <w:r>
              <w:t>Marion Utilities</w:t>
            </w:r>
          </w:p>
        </w:tc>
        <w:tc>
          <w:tcPr>
            <w:tcW w:w="1800" w:type="dxa"/>
            <w:vAlign w:val="bottom"/>
          </w:tcPr>
          <w:p w:rsidR="001537E1" w:rsidRPr="00257D6D" w:rsidRDefault="001537E1" w:rsidP="001041B3">
            <w:pPr>
              <w:rPr>
                <w:color w:val="000000"/>
              </w:rPr>
            </w:pPr>
            <w:r w:rsidRPr="00257D6D">
              <w:rPr>
                <w:color w:val="000000"/>
              </w:rPr>
              <w:t xml:space="preserve"> $         (68,168)</w:t>
            </w:r>
          </w:p>
        </w:tc>
        <w:tc>
          <w:tcPr>
            <w:tcW w:w="1710" w:type="dxa"/>
            <w:vAlign w:val="bottom"/>
          </w:tcPr>
          <w:p w:rsidR="001537E1" w:rsidRPr="00257D6D" w:rsidRDefault="001537E1" w:rsidP="001041B3">
            <w:pPr>
              <w:rPr>
                <w:color w:val="000000"/>
              </w:rPr>
            </w:pPr>
            <w:r w:rsidRPr="00257D6D">
              <w:rPr>
                <w:color w:val="000000"/>
              </w:rPr>
              <w:t xml:space="preserve"> $     1,232,286 </w:t>
            </w:r>
          </w:p>
        </w:tc>
        <w:tc>
          <w:tcPr>
            <w:tcW w:w="1170" w:type="dxa"/>
            <w:vAlign w:val="bottom"/>
          </w:tcPr>
          <w:p w:rsidR="001537E1" w:rsidRPr="00257D6D" w:rsidRDefault="001537E1" w:rsidP="001041B3">
            <w:pPr>
              <w:jc w:val="right"/>
              <w:rPr>
                <w:color w:val="000000"/>
              </w:rPr>
            </w:pPr>
            <w:r w:rsidRPr="00257D6D">
              <w:rPr>
                <w:color w:val="000000"/>
              </w:rPr>
              <w:t>-5.53%</w:t>
            </w:r>
          </w:p>
        </w:tc>
        <w:tc>
          <w:tcPr>
            <w:tcW w:w="1292" w:type="dxa"/>
            <w:vAlign w:val="bottom"/>
          </w:tcPr>
          <w:p w:rsidR="001537E1" w:rsidRPr="00257D6D" w:rsidRDefault="001537E1" w:rsidP="001041B3">
            <w:pPr>
              <w:jc w:val="right"/>
              <w:rPr>
                <w:color w:val="000000"/>
              </w:rPr>
            </w:pPr>
            <w:r w:rsidRPr="00257D6D">
              <w:rPr>
                <w:color w:val="000000"/>
              </w:rPr>
              <w:t>8.19%</w:t>
            </w:r>
          </w:p>
        </w:tc>
      </w:tr>
      <w:tr w:rsidR="001537E1" w:rsidTr="001041B3">
        <w:tc>
          <w:tcPr>
            <w:tcW w:w="468" w:type="dxa"/>
          </w:tcPr>
          <w:p w:rsidR="001537E1" w:rsidRDefault="001537E1" w:rsidP="001041B3">
            <w:pPr>
              <w:jc w:val="center"/>
            </w:pPr>
            <w:r>
              <w:t>6</w:t>
            </w:r>
          </w:p>
        </w:tc>
        <w:tc>
          <w:tcPr>
            <w:tcW w:w="3060" w:type="dxa"/>
          </w:tcPr>
          <w:p w:rsidR="001537E1" w:rsidRDefault="001537E1" w:rsidP="001041B3">
            <w:r>
              <w:t>NHC Utilities</w:t>
            </w:r>
          </w:p>
        </w:tc>
        <w:tc>
          <w:tcPr>
            <w:tcW w:w="1800" w:type="dxa"/>
            <w:vAlign w:val="bottom"/>
          </w:tcPr>
          <w:p w:rsidR="001537E1" w:rsidRPr="00257D6D" w:rsidRDefault="001537E1" w:rsidP="001041B3">
            <w:pPr>
              <w:rPr>
                <w:color w:val="000000"/>
              </w:rPr>
            </w:pPr>
            <w:r w:rsidRPr="00257D6D">
              <w:rPr>
                <w:color w:val="000000"/>
              </w:rPr>
              <w:t xml:space="preserve"> $         (18,724)</w:t>
            </w:r>
          </w:p>
        </w:tc>
        <w:tc>
          <w:tcPr>
            <w:tcW w:w="1710" w:type="dxa"/>
            <w:vAlign w:val="bottom"/>
          </w:tcPr>
          <w:p w:rsidR="001537E1" w:rsidRPr="00257D6D" w:rsidRDefault="001537E1" w:rsidP="001041B3">
            <w:pPr>
              <w:rPr>
                <w:color w:val="000000"/>
              </w:rPr>
            </w:pPr>
            <w:r w:rsidRPr="00257D6D">
              <w:rPr>
                <w:color w:val="000000"/>
              </w:rPr>
              <w:t xml:space="preserve"> $          71,054 </w:t>
            </w:r>
          </w:p>
        </w:tc>
        <w:tc>
          <w:tcPr>
            <w:tcW w:w="1170" w:type="dxa"/>
            <w:vAlign w:val="bottom"/>
          </w:tcPr>
          <w:p w:rsidR="001537E1" w:rsidRPr="00257D6D" w:rsidRDefault="001537E1" w:rsidP="001041B3">
            <w:pPr>
              <w:jc w:val="right"/>
              <w:rPr>
                <w:color w:val="000000"/>
              </w:rPr>
            </w:pPr>
            <w:r w:rsidRPr="00257D6D">
              <w:rPr>
                <w:color w:val="000000"/>
              </w:rPr>
              <w:t>-26.35%</w:t>
            </w:r>
          </w:p>
        </w:tc>
        <w:tc>
          <w:tcPr>
            <w:tcW w:w="1292" w:type="dxa"/>
            <w:vAlign w:val="bottom"/>
          </w:tcPr>
          <w:p w:rsidR="001537E1" w:rsidRPr="00257D6D" w:rsidRDefault="001537E1" w:rsidP="001041B3">
            <w:pPr>
              <w:jc w:val="right"/>
              <w:rPr>
                <w:color w:val="000000"/>
              </w:rPr>
            </w:pPr>
            <w:r w:rsidRPr="00257D6D">
              <w:rPr>
                <w:color w:val="000000"/>
              </w:rPr>
              <w:t>8.74%</w:t>
            </w:r>
          </w:p>
        </w:tc>
      </w:tr>
      <w:tr w:rsidR="001537E1" w:rsidTr="001041B3">
        <w:tc>
          <w:tcPr>
            <w:tcW w:w="468" w:type="dxa"/>
          </w:tcPr>
          <w:p w:rsidR="001537E1" w:rsidRDefault="001537E1" w:rsidP="001041B3">
            <w:pPr>
              <w:jc w:val="center"/>
            </w:pPr>
            <w:r>
              <w:t>7</w:t>
            </w:r>
          </w:p>
        </w:tc>
        <w:tc>
          <w:tcPr>
            <w:tcW w:w="3060" w:type="dxa"/>
          </w:tcPr>
          <w:p w:rsidR="001537E1" w:rsidRDefault="001537E1" w:rsidP="001041B3">
            <w:r>
              <w:t>Ni Florida</w:t>
            </w:r>
          </w:p>
        </w:tc>
        <w:tc>
          <w:tcPr>
            <w:tcW w:w="1800" w:type="dxa"/>
            <w:vAlign w:val="bottom"/>
          </w:tcPr>
          <w:p w:rsidR="001537E1" w:rsidRPr="00257D6D" w:rsidRDefault="001537E1" w:rsidP="001041B3">
            <w:pPr>
              <w:rPr>
                <w:color w:val="000000"/>
              </w:rPr>
            </w:pPr>
            <w:r w:rsidRPr="00257D6D">
              <w:rPr>
                <w:color w:val="000000"/>
              </w:rPr>
              <w:t xml:space="preserve"> $        258,149 </w:t>
            </w:r>
          </w:p>
        </w:tc>
        <w:tc>
          <w:tcPr>
            <w:tcW w:w="1710" w:type="dxa"/>
            <w:vAlign w:val="bottom"/>
          </w:tcPr>
          <w:p w:rsidR="001537E1" w:rsidRPr="00257D6D" w:rsidRDefault="001537E1" w:rsidP="001041B3">
            <w:pPr>
              <w:rPr>
                <w:color w:val="000000"/>
              </w:rPr>
            </w:pPr>
            <w:r w:rsidRPr="00257D6D">
              <w:rPr>
                <w:color w:val="000000"/>
              </w:rPr>
              <w:t xml:space="preserve"> $     4,254,955 </w:t>
            </w:r>
          </w:p>
        </w:tc>
        <w:tc>
          <w:tcPr>
            <w:tcW w:w="1170" w:type="dxa"/>
            <w:vAlign w:val="bottom"/>
          </w:tcPr>
          <w:p w:rsidR="001537E1" w:rsidRPr="00257D6D" w:rsidRDefault="001537E1" w:rsidP="001041B3">
            <w:pPr>
              <w:jc w:val="right"/>
              <w:rPr>
                <w:color w:val="000000"/>
              </w:rPr>
            </w:pPr>
            <w:r w:rsidRPr="00257D6D">
              <w:rPr>
                <w:color w:val="000000"/>
              </w:rPr>
              <w:t>6.07%</w:t>
            </w:r>
          </w:p>
        </w:tc>
        <w:tc>
          <w:tcPr>
            <w:tcW w:w="1292" w:type="dxa"/>
            <w:vAlign w:val="bottom"/>
          </w:tcPr>
          <w:p w:rsidR="001537E1" w:rsidRPr="00257D6D" w:rsidRDefault="001537E1" w:rsidP="001041B3">
            <w:pPr>
              <w:jc w:val="right"/>
              <w:rPr>
                <w:color w:val="000000"/>
              </w:rPr>
            </w:pPr>
            <w:r w:rsidRPr="00257D6D">
              <w:rPr>
                <w:color w:val="000000"/>
              </w:rPr>
              <w:t>8.00%</w:t>
            </w:r>
          </w:p>
        </w:tc>
      </w:tr>
      <w:tr w:rsidR="001537E1" w:rsidTr="001041B3">
        <w:tc>
          <w:tcPr>
            <w:tcW w:w="468" w:type="dxa"/>
          </w:tcPr>
          <w:p w:rsidR="001537E1" w:rsidRDefault="001537E1" w:rsidP="001041B3">
            <w:pPr>
              <w:jc w:val="center"/>
            </w:pPr>
            <w:r>
              <w:t>8</w:t>
            </w:r>
          </w:p>
        </w:tc>
        <w:tc>
          <w:tcPr>
            <w:tcW w:w="3060" w:type="dxa"/>
          </w:tcPr>
          <w:p w:rsidR="001537E1" w:rsidRDefault="001537E1" w:rsidP="001041B3">
            <w:r>
              <w:t>North Beach Utilities</w:t>
            </w:r>
          </w:p>
        </w:tc>
        <w:tc>
          <w:tcPr>
            <w:tcW w:w="1800" w:type="dxa"/>
            <w:vAlign w:val="bottom"/>
          </w:tcPr>
          <w:p w:rsidR="001537E1" w:rsidRPr="00257D6D" w:rsidRDefault="001537E1" w:rsidP="001041B3">
            <w:pPr>
              <w:rPr>
                <w:color w:val="000000"/>
              </w:rPr>
            </w:pPr>
            <w:r w:rsidRPr="00257D6D">
              <w:rPr>
                <w:color w:val="000000"/>
              </w:rPr>
              <w:t xml:space="preserve"> $          97,188 </w:t>
            </w:r>
          </w:p>
        </w:tc>
        <w:tc>
          <w:tcPr>
            <w:tcW w:w="1710" w:type="dxa"/>
            <w:vAlign w:val="bottom"/>
          </w:tcPr>
          <w:p w:rsidR="001537E1" w:rsidRPr="00257D6D" w:rsidRDefault="001537E1" w:rsidP="001041B3">
            <w:pPr>
              <w:rPr>
                <w:color w:val="000000"/>
              </w:rPr>
            </w:pPr>
            <w:r w:rsidRPr="00257D6D">
              <w:rPr>
                <w:color w:val="000000"/>
              </w:rPr>
              <w:t xml:space="preserve"> $     1,280,162 </w:t>
            </w:r>
          </w:p>
        </w:tc>
        <w:tc>
          <w:tcPr>
            <w:tcW w:w="1170" w:type="dxa"/>
            <w:vAlign w:val="bottom"/>
          </w:tcPr>
          <w:p w:rsidR="001537E1" w:rsidRPr="00257D6D" w:rsidRDefault="001537E1" w:rsidP="001041B3">
            <w:pPr>
              <w:jc w:val="right"/>
              <w:rPr>
                <w:color w:val="000000"/>
              </w:rPr>
            </w:pPr>
            <w:r w:rsidRPr="00257D6D">
              <w:rPr>
                <w:color w:val="000000"/>
              </w:rPr>
              <w:t>7.59%</w:t>
            </w:r>
          </w:p>
        </w:tc>
        <w:tc>
          <w:tcPr>
            <w:tcW w:w="1292" w:type="dxa"/>
            <w:vAlign w:val="bottom"/>
          </w:tcPr>
          <w:p w:rsidR="001537E1" w:rsidRPr="00257D6D" w:rsidRDefault="001537E1" w:rsidP="001041B3">
            <w:pPr>
              <w:jc w:val="right"/>
              <w:rPr>
                <w:color w:val="000000"/>
              </w:rPr>
            </w:pPr>
            <w:r w:rsidRPr="00257D6D">
              <w:rPr>
                <w:color w:val="000000"/>
              </w:rPr>
              <w:t>7.69%</w:t>
            </w:r>
          </w:p>
        </w:tc>
      </w:tr>
      <w:tr w:rsidR="001537E1" w:rsidTr="001041B3">
        <w:tc>
          <w:tcPr>
            <w:tcW w:w="468" w:type="dxa"/>
          </w:tcPr>
          <w:p w:rsidR="001537E1" w:rsidRDefault="001537E1" w:rsidP="001041B3">
            <w:pPr>
              <w:jc w:val="center"/>
            </w:pPr>
            <w:r>
              <w:t>9</w:t>
            </w:r>
          </w:p>
        </w:tc>
        <w:tc>
          <w:tcPr>
            <w:tcW w:w="3060" w:type="dxa"/>
          </w:tcPr>
          <w:p w:rsidR="001537E1" w:rsidRDefault="001537E1" w:rsidP="001041B3">
            <w:r>
              <w:t>Peoples Water Service Company</w:t>
            </w:r>
          </w:p>
        </w:tc>
        <w:tc>
          <w:tcPr>
            <w:tcW w:w="1800" w:type="dxa"/>
            <w:vAlign w:val="bottom"/>
          </w:tcPr>
          <w:p w:rsidR="001537E1" w:rsidRPr="00257D6D" w:rsidRDefault="001537E1" w:rsidP="001041B3">
            <w:pPr>
              <w:rPr>
                <w:color w:val="000000"/>
              </w:rPr>
            </w:pPr>
            <w:r w:rsidRPr="00257D6D">
              <w:rPr>
                <w:color w:val="000000"/>
              </w:rPr>
              <w:t xml:space="preserve"> $        259,716 </w:t>
            </w:r>
          </w:p>
        </w:tc>
        <w:tc>
          <w:tcPr>
            <w:tcW w:w="1710" w:type="dxa"/>
            <w:vAlign w:val="bottom"/>
          </w:tcPr>
          <w:p w:rsidR="001537E1" w:rsidRPr="00257D6D" w:rsidRDefault="001537E1" w:rsidP="001041B3">
            <w:pPr>
              <w:rPr>
                <w:color w:val="000000"/>
              </w:rPr>
            </w:pPr>
            <w:r w:rsidRPr="00257D6D">
              <w:rPr>
                <w:color w:val="000000"/>
              </w:rPr>
              <w:t xml:space="preserve"> $     3,599,525 </w:t>
            </w:r>
          </w:p>
        </w:tc>
        <w:tc>
          <w:tcPr>
            <w:tcW w:w="1170" w:type="dxa"/>
            <w:vAlign w:val="bottom"/>
          </w:tcPr>
          <w:p w:rsidR="001537E1" w:rsidRPr="00257D6D" w:rsidRDefault="001537E1" w:rsidP="001041B3">
            <w:pPr>
              <w:jc w:val="right"/>
              <w:rPr>
                <w:color w:val="000000"/>
              </w:rPr>
            </w:pPr>
            <w:r w:rsidRPr="00257D6D">
              <w:rPr>
                <w:color w:val="000000"/>
              </w:rPr>
              <w:t>7.22%</w:t>
            </w:r>
          </w:p>
        </w:tc>
        <w:tc>
          <w:tcPr>
            <w:tcW w:w="1292" w:type="dxa"/>
            <w:vAlign w:val="bottom"/>
          </w:tcPr>
          <w:p w:rsidR="001537E1" w:rsidRPr="00257D6D" w:rsidRDefault="001537E1" w:rsidP="001041B3">
            <w:pPr>
              <w:jc w:val="right"/>
              <w:rPr>
                <w:color w:val="000000"/>
              </w:rPr>
            </w:pPr>
            <w:r w:rsidRPr="00257D6D">
              <w:rPr>
                <w:color w:val="000000"/>
              </w:rPr>
              <w:t>8.05%</w:t>
            </w:r>
          </w:p>
        </w:tc>
      </w:tr>
      <w:tr w:rsidR="001537E1" w:rsidTr="001041B3">
        <w:tc>
          <w:tcPr>
            <w:tcW w:w="468" w:type="dxa"/>
          </w:tcPr>
          <w:p w:rsidR="001537E1" w:rsidRDefault="001537E1" w:rsidP="001041B3">
            <w:pPr>
              <w:jc w:val="center"/>
            </w:pPr>
            <w:r>
              <w:t>10</w:t>
            </w:r>
          </w:p>
        </w:tc>
        <w:tc>
          <w:tcPr>
            <w:tcW w:w="3060" w:type="dxa"/>
          </w:tcPr>
          <w:p w:rsidR="001537E1" w:rsidRDefault="001537E1" w:rsidP="001041B3">
            <w:r>
              <w:t>Pine Island Cove HOA</w:t>
            </w:r>
          </w:p>
        </w:tc>
        <w:tc>
          <w:tcPr>
            <w:tcW w:w="1800" w:type="dxa"/>
            <w:vAlign w:val="bottom"/>
          </w:tcPr>
          <w:p w:rsidR="001537E1" w:rsidRPr="00257D6D" w:rsidRDefault="001537E1" w:rsidP="001041B3">
            <w:pPr>
              <w:rPr>
                <w:color w:val="000000"/>
              </w:rPr>
            </w:pPr>
            <w:r w:rsidRPr="00257D6D">
              <w:rPr>
                <w:color w:val="000000"/>
              </w:rPr>
              <w:t xml:space="preserve"> $         (70,504)</w:t>
            </w:r>
          </w:p>
        </w:tc>
        <w:tc>
          <w:tcPr>
            <w:tcW w:w="1710" w:type="dxa"/>
            <w:vAlign w:val="bottom"/>
          </w:tcPr>
          <w:p w:rsidR="001537E1" w:rsidRPr="00257D6D" w:rsidRDefault="001537E1" w:rsidP="001041B3">
            <w:pPr>
              <w:rPr>
                <w:color w:val="000000"/>
              </w:rPr>
            </w:pPr>
            <w:r w:rsidRPr="00257D6D">
              <w:rPr>
                <w:color w:val="000000"/>
              </w:rPr>
              <w:t xml:space="preserve"> $          42,979 </w:t>
            </w:r>
          </w:p>
        </w:tc>
        <w:tc>
          <w:tcPr>
            <w:tcW w:w="1170" w:type="dxa"/>
            <w:vAlign w:val="bottom"/>
          </w:tcPr>
          <w:p w:rsidR="001537E1" w:rsidRPr="00257D6D" w:rsidRDefault="001537E1" w:rsidP="001041B3">
            <w:pPr>
              <w:jc w:val="right"/>
              <w:rPr>
                <w:color w:val="000000"/>
              </w:rPr>
            </w:pPr>
            <w:r w:rsidRPr="00257D6D">
              <w:rPr>
                <w:color w:val="000000"/>
              </w:rPr>
              <w:t>-164.04%</w:t>
            </w:r>
          </w:p>
        </w:tc>
        <w:tc>
          <w:tcPr>
            <w:tcW w:w="1292" w:type="dxa"/>
            <w:vAlign w:val="bottom"/>
          </w:tcPr>
          <w:p w:rsidR="001537E1" w:rsidRPr="00257D6D" w:rsidRDefault="001537E1" w:rsidP="001041B3">
            <w:pPr>
              <w:jc w:val="right"/>
              <w:rPr>
                <w:color w:val="000000"/>
              </w:rPr>
            </w:pPr>
            <w:r w:rsidRPr="00257D6D">
              <w:rPr>
                <w:color w:val="000000"/>
              </w:rPr>
              <w:t>8.12%</w:t>
            </w:r>
          </w:p>
        </w:tc>
      </w:tr>
      <w:tr w:rsidR="001537E1" w:rsidTr="001041B3">
        <w:tc>
          <w:tcPr>
            <w:tcW w:w="468" w:type="dxa"/>
          </w:tcPr>
          <w:p w:rsidR="001537E1" w:rsidRDefault="001537E1" w:rsidP="001041B3">
            <w:pPr>
              <w:jc w:val="center"/>
            </w:pPr>
            <w:r>
              <w:t>11</w:t>
            </w:r>
          </w:p>
        </w:tc>
        <w:tc>
          <w:tcPr>
            <w:tcW w:w="3060" w:type="dxa"/>
          </w:tcPr>
          <w:p w:rsidR="001537E1" w:rsidRDefault="001537E1" w:rsidP="001041B3">
            <w:r>
              <w:t>Placid Lakes</w:t>
            </w:r>
          </w:p>
        </w:tc>
        <w:tc>
          <w:tcPr>
            <w:tcW w:w="1800" w:type="dxa"/>
            <w:vAlign w:val="bottom"/>
          </w:tcPr>
          <w:p w:rsidR="001537E1" w:rsidRPr="00257D6D" w:rsidRDefault="001537E1" w:rsidP="001041B3">
            <w:pPr>
              <w:rPr>
                <w:color w:val="000000"/>
              </w:rPr>
            </w:pPr>
            <w:r w:rsidRPr="00257D6D">
              <w:rPr>
                <w:color w:val="000000"/>
              </w:rPr>
              <w:t xml:space="preserve"> $         (12,020)</w:t>
            </w:r>
          </w:p>
        </w:tc>
        <w:tc>
          <w:tcPr>
            <w:tcW w:w="1710" w:type="dxa"/>
            <w:vAlign w:val="bottom"/>
          </w:tcPr>
          <w:p w:rsidR="001537E1" w:rsidRPr="00257D6D" w:rsidRDefault="001537E1" w:rsidP="001041B3">
            <w:pPr>
              <w:rPr>
                <w:color w:val="000000"/>
              </w:rPr>
            </w:pPr>
            <w:r w:rsidRPr="00257D6D">
              <w:rPr>
                <w:color w:val="000000"/>
              </w:rPr>
              <w:t xml:space="preserve"> $        546,969 </w:t>
            </w:r>
          </w:p>
        </w:tc>
        <w:tc>
          <w:tcPr>
            <w:tcW w:w="1170" w:type="dxa"/>
            <w:vAlign w:val="bottom"/>
          </w:tcPr>
          <w:p w:rsidR="001537E1" w:rsidRPr="00257D6D" w:rsidRDefault="001537E1" w:rsidP="001041B3">
            <w:pPr>
              <w:jc w:val="right"/>
              <w:rPr>
                <w:color w:val="000000"/>
              </w:rPr>
            </w:pPr>
            <w:r w:rsidRPr="00257D6D">
              <w:rPr>
                <w:color w:val="000000"/>
              </w:rPr>
              <w:t>-2.20%</w:t>
            </w:r>
          </w:p>
        </w:tc>
        <w:tc>
          <w:tcPr>
            <w:tcW w:w="1292" w:type="dxa"/>
            <w:vAlign w:val="bottom"/>
          </w:tcPr>
          <w:p w:rsidR="001537E1" w:rsidRPr="00257D6D" w:rsidRDefault="001537E1" w:rsidP="001041B3">
            <w:pPr>
              <w:jc w:val="right"/>
              <w:rPr>
                <w:color w:val="000000"/>
              </w:rPr>
            </w:pPr>
            <w:r w:rsidRPr="00257D6D">
              <w:rPr>
                <w:color w:val="000000"/>
              </w:rPr>
              <w:t>6.80%</w:t>
            </w:r>
          </w:p>
        </w:tc>
      </w:tr>
      <w:tr w:rsidR="001537E1" w:rsidTr="001041B3">
        <w:tc>
          <w:tcPr>
            <w:tcW w:w="468" w:type="dxa"/>
          </w:tcPr>
          <w:p w:rsidR="001537E1" w:rsidRDefault="001537E1" w:rsidP="001041B3">
            <w:pPr>
              <w:jc w:val="center"/>
            </w:pPr>
            <w:r>
              <w:t>12</w:t>
            </w:r>
          </w:p>
        </w:tc>
        <w:tc>
          <w:tcPr>
            <w:tcW w:w="3060" w:type="dxa"/>
          </w:tcPr>
          <w:p w:rsidR="001537E1" w:rsidRDefault="001537E1" w:rsidP="001041B3">
            <w:proofErr w:type="spellStart"/>
            <w:r>
              <w:t>Pluris</w:t>
            </w:r>
            <w:proofErr w:type="spellEnd"/>
            <w:r>
              <w:t xml:space="preserve"> </w:t>
            </w:r>
            <w:proofErr w:type="spellStart"/>
            <w:r>
              <w:t>Wedgefield</w:t>
            </w:r>
            <w:proofErr w:type="spellEnd"/>
          </w:p>
        </w:tc>
        <w:tc>
          <w:tcPr>
            <w:tcW w:w="1800" w:type="dxa"/>
            <w:vAlign w:val="bottom"/>
          </w:tcPr>
          <w:p w:rsidR="001537E1" w:rsidRPr="00257D6D" w:rsidRDefault="001537E1" w:rsidP="001041B3">
            <w:pPr>
              <w:rPr>
                <w:color w:val="000000"/>
              </w:rPr>
            </w:pPr>
            <w:r w:rsidRPr="00257D6D">
              <w:rPr>
                <w:color w:val="000000"/>
              </w:rPr>
              <w:t xml:space="preserve"> $          64,259 </w:t>
            </w:r>
          </w:p>
        </w:tc>
        <w:tc>
          <w:tcPr>
            <w:tcW w:w="1710" w:type="dxa"/>
            <w:vAlign w:val="bottom"/>
          </w:tcPr>
          <w:p w:rsidR="001537E1" w:rsidRPr="00257D6D" w:rsidRDefault="001537E1" w:rsidP="001041B3">
            <w:pPr>
              <w:rPr>
                <w:color w:val="000000"/>
              </w:rPr>
            </w:pPr>
            <w:r w:rsidRPr="00257D6D">
              <w:rPr>
                <w:color w:val="000000"/>
              </w:rPr>
              <w:t xml:space="preserve"> $     6,336,871 </w:t>
            </w:r>
          </w:p>
        </w:tc>
        <w:tc>
          <w:tcPr>
            <w:tcW w:w="1170" w:type="dxa"/>
            <w:vAlign w:val="bottom"/>
          </w:tcPr>
          <w:p w:rsidR="001537E1" w:rsidRPr="00257D6D" w:rsidRDefault="001537E1" w:rsidP="001041B3">
            <w:pPr>
              <w:jc w:val="right"/>
              <w:rPr>
                <w:color w:val="000000"/>
              </w:rPr>
            </w:pPr>
            <w:r w:rsidRPr="00257D6D">
              <w:rPr>
                <w:color w:val="000000"/>
              </w:rPr>
              <w:t>1.01%</w:t>
            </w:r>
          </w:p>
        </w:tc>
        <w:tc>
          <w:tcPr>
            <w:tcW w:w="1292" w:type="dxa"/>
            <w:vAlign w:val="bottom"/>
          </w:tcPr>
          <w:p w:rsidR="001537E1" w:rsidRPr="00257D6D" w:rsidRDefault="001537E1" w:rsidP="001041B3">
            <w:pPr>
              <w:jc w:val="right"/>
              <w:rPr>
                <w:color w:val="000000"/>
              </w:rPr>
            </w:pPr>
            <w:r w:rsidRPr="00257D6D">
              <w:rPr>
                <w:color w:val="000000"/>
              </w:rPr>
              <w:t>9.85%</w:t>
            </w:r>
          </w:p>
        </w:tc>
      </w:tr>
      <w:tr w:rsidR="001537E1" w:rsidTr="001041B3">
        <w:tc>
          <w:tcPr>
            <w:tcW w:w="468" w:type="dxa"/>
          </w:tcPr>
          <w:p w:rsidR="001537E1" w:rsidRDefault="001537E1" w:rsidP="001041B3">
            <w:pPr>
              <w:jc w:val="center"/>
            </w:pPr>
            <w:r>
              <w:t>13</w:t>
            </w:r>
          </w:p>
        </w:tc>
        <w:tc>
          <w:tcPr>
            <w:tcW w:w="3060" w:type="dxa"/>
          </w:tcPr>
          <w:p w:rsidR="001537E1" w:rsidRDefault="001537E1" w:rsidP="001041B3">
            <w:r>
              <w:t>St. James Island</w:t>
            </w:r>
          </w:p>
        </w:tc>
        <w:tc>
          <w:tcPr>
            <w:tcW w:w="1800" w:type="dxa"/>
            <w:vAlign w:val="bottom"/>
          </w:tcPr>
          <w:p w:rsidR="001537E1" w:rsidRPr="00257D6D" w:rsidRDefault="001537E1" w:rsidP="001041B3">
            <w:pPr>
              <w:rPr>
                <w:color w:val="000000"/>
              </w:rPr>
            </w:pPr>
            <w:r w:rsidRPr="00257D6D">
              <w:rPr>
                <w:color w:val="000000"/>
              </w:rPr>
              <w:t> </w:t>
            </w:r>
          </w:p>
        </w:tc>
        <w:tc>
          <w:tcPr>
            <w:tcW w:w="1710" w:type="dxa"/>
            <w:vAlign w:val="bottom"/>
          </w:tcPr>
          <w:p w:rsidR="001537E1" w:rsidRPr="00257D6D" w:rsidRDefault="001537E1" w:rsidP="001041B3">
            <w:pPr>
              <w:rPr>
                <w:color w:val="000000"/>
              </w:rPr>
            </w:pPr>
            <w:r w:rsidRPr="00257D6D">
              <w:rPr>
                <w:color w:val="000000"/>
              </w:rPr>
              <w:t> </w:t>
            </w:r>
          </w:p>
        </w:tc>
        <w:tc>
          <w:tcPr>
            <w:tcW w:w="1170" w:type="dxa"/>
            <w:vAlign w:val="bottom"/>
          </w:tcPr>
          <w:p w:rsidR="001537E1" w:rsidRPr="00257D6D" w:rsidRDefault="001537E1" w:rsidP="001041B3">
            <w:pPr>
              <w:rPr>
                <w:color w:val="000000"/>
              </w:rPr>
            </w:pPr>
            <w:r w:rsidRPr="00257D6D">
              <w:rPr>
                <w:color w:val="000000"/>
              </w:rPr>
              <w:t> </w:t>
            </w:r>
          </w:p>
        </w:tc>
        <w:tc>
          <w:tcPr>
            <w:tcW w:w="1292" w:type="dxa"/>
            <w:vAlign w:val="bottom"/>
          </w:tcPr>
          <w:p w:rsidR="001537E1" w:rsidRPr="00257D6D" w:rsidRDefault="001537E1" w:rsidP="001041B3">
            <w:pPr>
              <w:jc w:val="right"/>
              <w:rPr>
                <w:color w:val="000000"/>
              </w:rPr>
            </w:pPr>
            <w:r w:rsidRPr="00257D6D">
              <w:rPr>
                <w:color w:val="000000"/>
              </w:rPr>
              <w:t>8.74%</w:t>
            </w:r>
          </w:p>
        </w:tc>
      </w:tr>
      <w:tr w:rsidR="001537E1" w:rsidTr="001041B3">
        <w:tc>
          <w:tcPr>
            <w:tcW w:w="468" w:type="dxa"/>
          </w:tcPr>
          <w:p w:rsidR="001537E1" w:rsidRDefault="001537E1" w:rsidP="001041B3">
            <w:pPr>
              <w:jc w:val="center"/>
            </w:pPr>
            <w:r>
              <w:t>14</w:t>
            </w:r>
          </w:p>
        </w:tc>
        <w:tc>
          <w:tcPr>
            <w:tcW w:w="3060" w:type="dxa"/>
          </w:tcPr>
          <w:p w:rsidR="001537E1" w:rsidRDefault="001537E1" w:rsidP="001041B3">
            <w:r>
              <w:t>Utilities, Inc. of Florida</w:t>
            </w:r>
          </w:p>
        </w:tc>
        <w:tc>
          <w:tcPr>
            <w:tcW w:w="1800" w:type="dxa"/>
            <w:vAlign w:val="bottom"/>
          </w:tcPr>
          <w:p w:rsidR="001537E1" w:rsidRPr="00257D6D" w:rsidRDefault="001537E1" w:rsidP="001041B3">
            <w:pPr>
              <w:rPr>
                <w:color w:val="000000"/>
              </w:rPr>
            </w:pPr>
            <w:r w:rsidRPr="00257D6D">
              <w:rPr>
                <w:color w:val="000000"/>
              </w:rPr>
              <w:t xml:space="preserve"> $     6,555,469 </w:t>
            </w:r>
          </w:p>
        </w:tc>
        <w:tc>
          <w:tcPr>
            <w:tcW w:w="1710" w:type="dxa"/>
            <w:vAlign w:val="bottom"/>
          </w:tcPr>
          <w:p w:rsidR="001537E1" w:rsidRPr="00257D6D" w:rsidRDefault="001537E1" w:rsidP="001041B3">
            <w:pPr>
              <w:rPr>
                <w:color w:val="000000"/>
              </w:rPr>
            </w:pPr>
            <w:r w:rsidRPr="00257D6D">
              <w:rPr>
                <w:color w:val="000000"/>
              </w:rPr>
              <w:t xml:space="preserve"> $ 114,572,234 </w:t>
            </w:r>
          </w:p>
        </w:tc>
        <w:tc>
          <w:tcPr>
            <w:tcW w:w="1170" w:type="dxa"/>
            <w:vAlign w:val="bottom"/>
          </w:tcPr>
          <w:p w:rsidR="001537E1" w:rsidRPr="00257D6D" w:rsidRDefault="001537E1" w:rsidP="001041B3">
            <w:pPr>
              <w:jc w:val="right"/>
              <w:rPr>
                <w:color w:val="000000"/>
              </w:rPr>
            </w:pPr>
            <w:r w:rsidRPr="00257D6D">
              <w:rPr>
                <w:color w:val="000000"/>
              </w:rPr>
              <w:t>5.72%</w:t>
            </w:r>
          </w:p>
        </w:tc>
        <w:tc>
          <w:tcPr>
            <w:tcW w:w="1292" w:type="dxa"/>
            <w:vAlign w:val="bottom"/>
          </w:tcPr>
          <w:p w:rsidR="001537E1" w:rsidRPr="00257D6D" w:rsidRDefault="001537E1" w:rsidP="001041B3">
            <w:pPr>
              <w:jc w:val="right"/>
              <w:rPr>
                <w:color w:val="000000"/>
              </w:rPr>
            </w:pPr>
            <w:r w:rsidRPr="00257D6D">
              <w:rPr>
                <w:color w:val="000000"/>
              </w:rPr>
              <w:t>7.54%</w:t>
            </w:r>
          </w:p>
        </w:tc>
      </w:tr>
      <w:tr w:rsidR="001537E1" w:rsidTr="001041B3">
        <w:tc>
          <w:tcPr>
            <w:tcW w:w="468" w:type="dxa"/>
          </w:tcPr>
          <w:p w:rsidR="001537E1" w:rsidRDefault="001537E1" w:rsidP="001041B3">
            <w:pPr>
              <w:jc w:val="center"/>
            </w:pPr>
            <w:r>
              <w:t>15</w:t>
            </w:r>
          </w:p>
        </w:tc>
        <w:tc>
          <w:tcPr>
            <w:tcW w:w="3060" w:type="dxa"/>
          </w:tcPr>
          <w:p w:rsidR="001537E1" w:rsidRDefault="001537E1" w:rsidP="001041B3">
            <w:r>
              <w:t>Wildwood Water Company</w:t>
            </w:r>
          </w:p>
        </w:tc>
        <w:tc>
          <w:tcPr>
            <w:tcW w:w="1800" w:type="dxa"/>
            <w:vAlign w:val="bottom"/>
          </w:tcPr>
          <w:p w:rsidR="001537E1" w:rsidRPr="00257D6D" w:rsidRDefault="001537E1" w:rsidP="001041B3">
            <w:pPr>
              <w:rPr>
                <w:color w:val="000000"/>
              </w:rPr>
            </w:pPr>
            <w:r w:rsidRPr="00257D6D">
              <w:rPr>
                <w:color w:val="000000"/>
              </w:rPr>
              <w:t xml:space="preserve"> $         (33,893)</w:t>
            </w:r>
          </w:p>
        </w:tc>
        <w:tc>
          <w:tcPr>
            <w:tcW w:w="1710" w:type="dxa"/>
            <w:vAlign w:val="bottom"/>
          </w:tcPr>
          <w:p w:rsidR="001537E1" w:rsidRPr="00257D6D" w:rsidRDefault="001537E1" w:rsidP="001041B3">
            <w:pPr>
              <w:rPr>
                <w:color w:val="000000"/>
              </w:rPr>
            </w:pPr>
            <w:r w:rsidRPr="00257D6D">
              <w:rPr>
                <w:color w:val="000000"/>
              </w:rPr>
              <w:t xml:space="preserve"> $          89,021 </w:t>
            </w:r>
          </w:p>
        </w:tc>
        <w:tc>
          <w:tcPr>
            <w:tcW w:w="1170" w:type="dxa"/>
            <w:vAlign w:val="bottom"/>
          </w:tcPr>
          <w:p w:rsidR="001537E1" w:rsidRPr="00257D6D" w:rsidRDefault="001537E1" w:rsidP="001041B3">
            <w:pPr>
              <w:jc w:val="right"/>
              <w:rPr>
                <w:color w:val="000000"/>
              </w:rPr>
            </w:pPr>
            <w:r w:rsidRPr="00257D6D">
              <w:rPr>
                <w:color w:val="000000"/>
              </w:rPr>
              <w:t>-38.07%</w:t>
            </w:r>
          </w:p>
        </w:tc>
        <w:tc>
          <w:tcPr>
            <w:tcW w:w="1292" w:type="dxa"/>
            <w:vAlign w:val="bottom"/>
          </w:tcPr>
          <w:p w:rsidR="001537E1" w:rsidRPr="00257D6D" w:rsidRDefault="001537E1" w:rsidP="001041B3">
            <w:pPr>
              <w:jc w:val="right"/>
              <w:rPr>
                <w:color w:val="000000"/>
              </w:rPr>
            </w:pPr>
            <w:r w:rsidRPr="00257D6D">
              <w:rPr>
                <w:color w:val="000000"/>
              </w:rPr>
              <w:t>8.18%</w:t>
            </w:r>
          </w:p>
        </w:tc>
      </w:tr>
    </w:tbl>
    <w:p w:rsidR="001537E1" w:rsidRDefault="001537E1" w:rsidP="001537E1">
      <w:pPr>
        <w:pStyle w:val="OrderBody"/>
      </w:pPr>
      <w:r>
        <w:t>Source: 2018 Annual Reports</w:t>
      </w:r>
    </w:p>
    <w:sectPr w:rsidR="001537E1">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3CD" w:rsidRDefault="00A113CD">
      <w:r>
        <w:separator/>
      </w:r>
    </w:p>
  </w:endnote>
  <w:endnote w:type="continuationSeparator" w:id="0">
    <w:p w:rsidR="00A113CD" w:rsidRDefault="00A1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3CD" w:rsidRDefault="00A113CD">
      <w:r>
        <w:separator/>
      </w:r>
    </w:p>
  </w:footnote>
  <w:footnote w:type="continuationSeparator" w:id="0">
    <w:p w:rsidR="00A113CD" w:rsidRDefault="00A113CD">
      <w:r>
        <w:continuationSeparator/>
      </w:r>
    </w:p>
  </w:footnote>
  <w:footnote w:id="1">
    <w:p w:rsidR="00A113CD" w:rsidRPr="00C279D0" w:rsidRDefault="00A113CD" w:rsidP="00A113CD">
      <w:pPr>
        <w:pStyle w:val="FootnoteText"/>
        <w:rPr>
          <w:i/>
        </w:rPr>
      </w:pPr>
      <w:r>
        <w:rPr>
          <w:rStyle w:val="FootnoteReference"/>
        </w:rPr>
        <w:footnoteRef/>
      </w:r>
      <w:proofErr w:type="gramStart"/>
      <w:r>
        <w:t>Order No.</w:t>
      </w:r>
      <w:proofErr w:type="gramEnd"/>
      <w:r>
        <w:t xml:space="preserve"> PSC-2018-0104-PCO-PU, issued February 6, 2018 in Docket No. 20180013-PU, </w:t>
      </w:r>
      <w:r w:rsidRPr="00C600AE">
        <w:rPr>
          <w:i/>
        </w:rPr>
        <w:t>In re:</w:t>
      </w:r>
      <w:r>
        <w:t xml:space="preserve"> </w:t>
      </w:r>
      <w:r>
        <w:rPr>
          <w:i/>
        </w:rPr>
        <w:t>Petition to establish a generic docket to investigate and adjust rates for 2018 tax savings, by Office of Public Counsel.</w:t>
      </w:r>
    </w:p>
  </w:footnote>
  <w:footnote w:id="2">
    <w:p w:rsidR="00DA2359" w:rsidRDefault="00DA2359">
      <w:pPr>
        <w:pStyle w:val="FootnoteText"/>
      </w:pPr>
      <w:r>
        <w:rPr>
          <w:rStyle w:val="FootnoteReference"/>
        </w:rPr>
        <w:footnoteRef/>
      </w:r>
      <w:r>
        <w:t xml:space="preserve"> 418 So. 2d 249, 250 (Fla. 1982)(“Recognizing that consumer rates are determined on a projected estimate of costs including taxes, the Commission announced that should this tax reduction result in revenue to the utilities exceeding a fair and reasonable return upon their investment, the utilities could be required to refund these revenues to the consumers.”)  </w:t>
      </w:r>
    </w:p>
  </w:footnote>
  <w:footnote w:id="3">
    <w:p w:rsidR="00A113CD" w:rsidRPr="00F42667" w:rsidRDefault="00A113CD" w:rsidP="00A113CD">
      <w:pPr>
        <w:pStyle w:val="FootnoteText"/>
        <w:rPr>
          <w:i/>
        </w:rPr>
      </w:pPr>
      <w:r>
        <w:rPr>
          <w:rStyle w:val="FootnoteReference"/>
        </w:rPr>
        <w:footnoteRef/>
      </w:r>
      <w:proofErr w:type="gramStart"/>
      <w:r>
        <w:t>Order No.</w:t>
      </w:r>
      <w:proofErr w:type="gramEnd"/>
      <w:r>
        <w:t xml:space="preserve"> PSC-2019-0076-FOF-GU, issued February 25, 2019, in Docket No. 20180051-GU,</w:t>
      </w:r>
      <w:r w:rsidRPr="00537190">
        <w:rPr>
          <w:i/>
        </w:rPr>
        <w:t xml:space="preserve"> In re:</w:t>
      </w:r>
      <w:r>
        <w:t xml:space="preserve"> </w:t>
      </w:r>
      <w:r>
        <w:rPr>
          <w:i/>
        </w:rPr>
        <w:t>Consideration of the tax impacts associated with the Tax Cuts and Jobs Act of 2017 for Florida Public Utilities Company – Gas;</w:t>
      </w:r>
      <w:r w:rsidRPr="00F42667">
        <w:t xml:space="preserve"> </w:t>
      </w:r>
      <w:r w:rsidRPr="00F42667">
        <w:rPr>
          <w:i/>
        </w:rPr>
        <w:t>Order No. PSC-2019-007</w:t>
      </w:r>
      <w:r>
        <w:rPr>
          <w:i/>
        </w:rPr>
        <w:t>7</w:t>
      </w:r>
      <w:r w:rsidRPr="00F42667">
        <w:rPr>
          <w:i/>
        </w:rPr>
        <w:t>-</w:t>
      </w:r>
      <w:r>
        <w:rPr>
          <w:i/>
        </w:rPr>
        <w:t xml:space="preserve">FOF-GU, issued February 25, 2019, in Docket No. 20180052-GU, </w:t>
      </w:r>
      <w:r w:rsidRPr="00F42667">
        <w:rPr>
          <w:i/>
        </w:rPr>
        <w:t xml:space="preserve">In re: Consideration of the tax impacts associated with the Tax Cuts and Jobs Act of 2017 for </w:t>
      </w:r>
      <w:r>
        <w:rPr>
          <w:i/>
        </w:rPr>
        <w:t>F</w:t>
      </w:r>
      <w:r w:rsidRPr="00F42667">
        <w:rPr>
          <w:i/>
        </w:rPr>
        <w:t xml:space="preserve">lorida Public Utilities Company – </w:t>
      </w:r>
      <w:r>
        <w:rPr>
          <w:i/>
        </w:rPr>
        <w:t>Indiantown Division</w:t>
      </w:r>
      <w:r w:rsidRPr="00F42667">
        <w:rPr>
          <w:i/>
        </w:rPr>
        <w:t>;</w:t>
      </w:r>
      <w:r>
        <w:rPr>
          <w:i/>
        </w:rPr>
        <w:t xml:space="preserve"> </w:t>
      </w:r>
      <w:r w:rsidRPr="00F42667">
        <w:rPr>
          <w:i/>
        </w:rPr>
        <w:t>Order No. PSC-2019-007</w:t>
      </w:r>
      <w:r>
        <w:rPr>
          <w:i/>
        </w:rPr>
        <w:t>9</w:t>
      </w:r>
      <w:r w:rsidRPr="00F42667">
        <w:rPr>
          <w:i/>
        </w:rPr>
        <w:t>-FOF-GU, issued February 25, 2019</w:t>
      </w:r>
      <w:r>
        <w:rPr>
          <w:i/>
        </w:rPr>
        <w:t>, in Docket No. 20180053-GU</w:t>
      </w:r>
      <w:r w:rsidRPr="00F42667">
        <w:rPr>
          <w:i/>
        </w:rPr>
        <w:t xml:space="preserve">, In re: Consideration of the tax impacts associated with the Tax Cuts and Jobs Act of 2017 for </w:t>
      </w:r>
      <w:r>
        <w:rPr>
          <w:i/>
        </w:rPr>
        <w:t>F</w:t>
      </w:r>
      <w:r w:rsidRPr="00F42667">
        <w:rPr>
          <w:i/>
        </w:rPr>
        <w:t xml:space="preserve">lorida Public Utilities Company – </w:t>
      </w:r>
      <w:r>
        <w:rPr>
          <w:i/>
        </w:rPr>
        <w:t>Fort Meade Division</w:t>
      </w:r>
      <w:r w:rsidRPr="00F42667">
        <w:rPr>
          <w:i/>
        </w:rPr>
        <w:t>; Order No. PSC-2019-007</w:t>
      </w:r>
      <w:r>
        <w:rPr>
          <w:i/>
        </w:rPr>
        <w:t>8</w:t>
      </w:r>
      <w:r w:rsidRPr="00F42667">
        <w:rPr>
          <w:i/>
        </w:rPr>
        <w:t>-FOF-GU, issued February 25, 2019</w:t>
      </w:r>
      <w:r>
        <w:rPr>
          <w:i/>
        </w:rPr>
        <w:t>, in Docket No. 20180054-GU</w:t>
      </w:r>
      <w:r w:rsidRPr="00F42667">
        <w:rPr>
          <w:i/>
        </w:rPr>
        <w:t xml:space="preserve">, In re: Consideration of the tax impacts associated with the Tax Cuts and Jobs Act of 2017 for </w:t>
      </w:r>
      <w:r>
        <w:rPr>
          <w:i/>
        </w:rPr>
        <w:t>the F</w:t>
      </w:r>
      <w:r w:rsidRPr="00F42667">
        <w:rPr>
          <w:i/>
        </w:rPr>
        <w:t xml:space="preserve">lorida </w:t>
      </w:r>
      <w:r>
        <w:rPr>
          <w:i/>
        </w:rPr>
        <w:t>Division of Chesapeake Utilities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0 ">
      <w:r w:rsidR="00A870A4">
        <w:t>PSC-2019-0350-PAA-PU</w:t>
      </w:r>
    </w:fldSimple>
  </w:p>
  <w:p w:rsidR="00FA6EFD" w:rsidRDefault="00A113CD">
    <w:pPr>
      <w:pStyle w:val="OrderHeader"/>
    </w:pPr>
    <w:bookmarkStart w:id="9" w:name="HeaderDocketNo"/>
    <w:bookmarkEnd w:id="9"/>
    <w:r>
      <w:t>DOCKET NO. 20180013-PU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70A4">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E1" w:rsidRDefault="001537E1" w:rsidP="001537E1">
    <w:pPr>
      <w:pStyle w:val="OrderHeader"/>
    </w:pPr>
    <w:r>
      <w:t xml:space="preserve">ORDER NO. </w:t>
    </w:r>
    <w:r w:rsidR="00F33789" w:rsidRPr="00F33789">
      <w:t>PSC-2019-0350-PAA-PU</w:t>
    </w:r>
  </w:p>
  <w:p w:rsidR="001537E1" w:rsidRDefault="001537E1" w:rsidP="001537E1">
    <w:r>
      <w:t>DOCKET NO. 20180013-PU</w:t>
    </w:r>
  </w:p>
  <w:p w:rsidR="001537E1" w:rsidRDefault="001537E1" w:rsidP="001537E1">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A870A4">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07238"/>
    <w:multiLevelType w:val="hybridMultilevel"/>
    <w:tmpl w:val="1C2A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3-PU"/>
  </w:docVars>
  <w:rsids>
    <w:rsidRoot w:val="00A113CD"/>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37E1"/>
    <w:rsid w:val="00154A71"/>
    <w:rsid w:val="00187E32"/>
    <w:rsid w:val="0019203A"/>
    <w:rsid w:val="00194E81"/>
    <w:rsid w:val="001A15E7"/>
    <w:rsid w:val="001A33C9"/>
    <w:rsid w:val="001A58F3"/>
    <w:rsid w:val="001B5DE1"/>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4899"/>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0C87"/>
    <w:rsid w:val="00601266"/>
    <w:rsid w:val="00610E73"/>
    <w:rsid w:val="00616DF2"/>
    <w:rsid w:val="0063168D"/>
    <w:rsid w:val="006531A4"/>
    <w:rsid w:val="00660774"/>
    <w:rsid w:val="0066389A"/>
    <w:rsid w:val="0066495C"/>
    <w:rsid w:val="00665CC7"/>
    <w:rsid w:val="00672612"/>
    <w:rsid w:val="00677F18"/>
    <w:rsid w:val="00693483"/>
    <w:rsid w:val="006A0BF3"/>
    <w:rsid w:val="006A1866"/>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3A3A"/>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3E65"/>
    <w:rsid w:val="00874429"/>
    <w:rsid w:val="00883D9A"/>
    <w:rsid w:val="008919EF"/>
    <w:rsid w:val="00892B20"/>
    <w:rsid w:val="00893D4E"/>
    <w:rsid w:val="008A12EC"/>
    <w:rsid w:val="008B19A6"/>
    <w:rsid w:val="008C21C8"/>
    <w:rsid w:val="008C425C"/>
    <w:rsid w:val="008C6375"/>
    <w:rsid w:val="008C6A5B"/>
    <w:rsid w:val="008E26A5"/>
    <w:rsid w:val="008E42D2"/>
    <w:rsid w:val="008E6328"/>
    <w:rsid w:val="009040EE"/>
    <w:rsid w:val="009057FD"/>
    <w:rsid w:val="00906FBA"/>
    <w:rsid w:val="00915CCF"/>
    <w:rsid w:val="009163E8"/>
    <w:rsid w:val="009228C7"/>
    <w:rsid w:val="00922A7F"/>
    <w:rsid w:val="00923A5E"/>
    <w:rsid w:val="00924FE7"/>
    <w:rsid w:val="00926E27"/>
    <w:rsid w:val="00931C8C"/>
    <w:rsid w:val="0094504B"/>
    <w:rsid w:val="009571E2"/>
    <w:rsid w:val="00964A38"/>
    <w:rsid w:val="00966A9D"/>
    <w:rsid w:val="0096742B"/>
    <w:rsid w:val="009718C5"/>
    <w:rsid w:val="009924CF"/>
    <w:rsid w:val="00994100"/>
    <w:rsid w:val="009A6B17"/>
    <w:rsid w:val="009D4C29"/>
    <w:rsid w:val="009F6AD2"/>
    <w:rsid w:val="00A00D8D"/>
    <w:rsid w:val="00A01BB6"/>
    <w:rsid w:val="00A113CD"/>
    <w:rsid w:val="00A4303C"/>
    <w:rsid w:val="00A470FD"/>
    <w:rsid w:val="00A62DAB"/>
    <w:rsid w:val="00A6757A"/>
    <w:rsid w:val="00A726A6"/>
    <w:rsid w:val="00A74842"/>
    <w:rsid w:val="00A870A4"/>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A3C"/>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5F74"/>
    <w:rsid w:val="00C55A33"/>
    <w:rsid w:val="00C66692"/>
    <w:rsid w:val="00C673B5"/>
    <w:rsid w:val="00C7063D"/>
    <w:rsid w:val="00C830BC"/>
    <w:rsid w:val="00C84D6B"/>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2359"/>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5CD9"/>
    <w:rsid w:val="00EB7951"/>
    <w:rsid w:val="00ED6A79"/>
    <w:rsid w:val="00EE17DF"/>
    <w:rsid w:val="00EF4621"/>
    <w:rsid w:val="00EF4D52"/>
    <w:rsid w:val="00EF6312"/>
    <w:rsid w:val="00F038B0"/>
    <w:rsid w:val="00F22B27"/>
    <w:rsid w:val="00F234A7"/>
    <w:rsid w:val="00F277B6"/>
    <w:rsid w:val="00F27DA5"/>
    <w:rsid w:val="00F33789"/>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B3C4F-72C1-4C98-9A53-9D55D913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1405</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2019-08-22T13:11:00Z</dcterms:created>
  <dcterms:modified xsi:type="dcterms:W3CDTF">2019-08-22T14:04:00Z</dcterms:modified>
</cp:coreProperties>
</file>