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67943" w:rsidP="00967943">
      <w:pPr>
        <w:pStyle w:val="OrderHeading"/>
      </w:pPr>
      <w:r>
        <w:t>BEFORE THE FLORIDA PUBLIC SERVICE COMMISSION</w:t>
      </w:r>
    </w:p>
    <w:p w:rsidR="00967943" w:rsidRDefault="00967943" w:rsidP="00967943">
      <w:pPr>
        <w:pStyle w:val="OrderBody"/>
      </w:pPr>
    </w:p>
    <w:p w:rsidR="00967943" w:rsidRDefault="00967943" w:rsidP="009679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7943" w:rsidRPr="00C63FCF" w:rsidTr="00C63FCF">
        <w:trPr>
          <w:trHeight w:val="828"/>
        </w:trPr>
        <w:tc>
          <w:tcPr>
            <w:tcW w:w="4788" w:type="dxa"/>
            <w:tcBorders>
              <w:bottom w:val="single" w:sz="8" w:space="0" w:color="auto"/>
              <w:right w:val="double" w:sz="6" w:space="0" w:color="auto"/>
            </w:tcBorders>
            <w:shd w:val="clear" w:color="auto" w:fill="auto"/>
          </w:tcPr>
          <w:p w:rsidR="00967943" w:rsidRDefault="00967943" w:rsidP="00C63FCF">
            <w:pPr>
              <w:pStyle w:val="OrderBody"/>
              <w:tabs>
                <w:tab w:val="center" w:pos="4320"/>
                <w:tab w:val="right" w:pos="8640"/>
              </w:tabs>
              <w:jc w:val="left"/>
            </w:pPr>
            <w:r>
              <w:t xml:space="preserve">In re: </w:t>
            </w:r>
            <w:bookmarkStart w:id="0" w:name="SSInRe"/>
            <w:bookmarkEnd w:id="0"/>
            <w:r>
              <w:t xml:space="preserve">Petition for a limited proceeding to approve third </w:t>
            </w:r>
            <w:proofErr w:type="spellStart"/>
            <w:r>
              <w:t>SoBRA</w:t>
            </w:r>
            <w:proofErr w:type="spellEnd"/>
            <w:r>
              <w:t>, by Tampa Electric Company.</w:t>
            </w:r>
          </w:p>
        </w:tc>
        <w:tc>
          <w:tcPr>
            <w:tcW w:w="4788" w:type="dxa"/>
            <w:tcBorders>
              <w:left w:val="double" w:sz="6" w:space="0" w:color="auto"/>
            </w:tcBorders>
            <w:shd w:val="clear" w:color="auto" w:fill="auto"/>
          </w:tcPr>
          <w:p w:rsidR="00967943" w:rsidRDefault="00967943" w:rsidP="00967943">
            <w:pPr>
              <w:pStyle w:val="OrderBody"/>
            </w:pPr>
            <w:r>
              <w:t xml:space="preserve">DOCKET NO. </w:t>
            </w:r>
            <w:bookmarkStart w:id="1" w:name="SSDocketNo"/>
            <w:bookmarkEnd w:id="1"/>
            <w:r>
              <w:t>20190136-EI</w:t>
            </w:r>
          </w:p>
          <w:p w:rsidR="00967943" w:rsidRDefault="00967943" w:rsidP="00C63FCF">
            <w:pPr>
              <w:pStyle w:val="OrderBody"/>
              <w:tabs>
                <w:tab w:val="center" w:pos="4320"/>
                <w:tab w:val="right" w:pos="8640"/>
              </w:tabs>
              <w:jc w:val="left"/>
            </w:pPr>
            <w:r>
              <w:t xml:space="preserve">ORDER NO. </w:t>
            </w:r>
            <w:bookmarkStart w:id="2" w:name="OrderNo0411"/>
            <w:r w:rsidR="00B37F05">
              <w:t>PSC-2019-0411-PHO-EI</w:t>
            </w:r>
            <w:bookmarkEnd w:id="2"/>
          </w:p>
          <w:p w:rsidR="00967943" w:rsidRDefault="00967943" w:rsidP="00C63FCF">
            <w:pPr>
              <w:pStyle w:val="OrderBody"/>
              <w:tabs>
                <w:tab w:val="center" w:pos="4320"/>
                <w:tab w:val="right" w:pos="8640"/>
              </w:tabs>
              <w:jc w:val="left"/>
            </w:pPr>
            <w:r>
              <w:t xml:space="preserve">ISSUED: </w:t>
            </w:r>
            <w:r w:rsidR="00B37F05">
              <w:t>October 11, 2019</w:t>
            </w:r>
          </w:p>
        </w:tc>
      </w:tr>
    </w:tbl>
    <w:p w:rsidR="00967943" w:rsidRDefault="00967943" w:rsidP="00967943"/>
    <w:p w:rsidR="00967943" w:rsidRDefault="00967943" w:rsidP="00967943"/>
    <w:p w:rsidR="00967943" w:rsidRDefault="00967943" w:rsidP="00967943">
      <w:pPr>
        <w:pStyle w:val="CenterUnderline"/>
      </w:pPr>
      <w:bookmarkStart w:id="3" w:name="Commissioners"/>
      <w:bookmarkEnd w:id="3"/>
      <w:r>
        <w:t>PREHEARING ORDER</w:t>
      </w:r>
      <w:bookmarkStart w:id="4" w:name="OrderTitle"/>
      <w:r>
        <w:t xml:space="preserve"> </w:t>
      </w:r>
      <w:bookmarkEnd w:id="4"/>
    </w:p>
    <w:p w:rsidR="00967943" w:rsidRDefault="00967943" w:rsidP="00967943">
      <w:pPr>
        <w:pStyle w:val="OrderBody"/>
      </w:pPr>
    </w:p>
    <w:p w:rsidR="00967943" w:rsidRDefault="00967943" w:rsidP="0006033F">
      <w:pPr>
        <w:ind w:firstLine="720"/>
        <w:jc w:val="both"/>
      </w:pPr>
      <w:bookmarkStart w:id="5" w:name="OrderText"/>
      <w:bookmarkEnd w:id="5"/>
      <w:proofErr w:type="gramStart"/>
      <w:r w:rsidRPr="00701945">
        <w:t>Pursuant</w:t>
      </w:r>
      <w:r w:rsidR="0006033F">
        <w:t xml:space="preserve"> to Order No.</w:t>
      </w:r>
      <w:proofErr w:type="gramEnd"/>
      <w:r w:rsidR="0006033F">
        <w:t xml:space="preserve"> </w:t>
      </w:r>
      <w:r w:rsidR="0006033F" w:rsidRPr="0006033F">
        <w:t>PSC-2019-0406-PCO-EI</w:t>
      </w:r>
      <w:r w:rsidR="0006033F">
        <w:t>, the</w:t>
      </w:r>
      <w:r w:rsidRPr="00701945">
        <w:t xml:space="preserve"> Prehearing Conference </w:t>
      </w:r>
      <w:r w:rsidR="0006033F">
        <w:t xml:space="preserve">originally scheduled for </w:t>
      </w:r>
      <w:r w:rsidRPr="00614485">
        <w:t>October 8, 2019</w:t>
      </w:r>
      <w:r w:rsidRPr="00701945">
        <w:t xml:space="preserve">, </w:t>
      </w:r>
      <w:r w:rsidR="0006033F">
        <w:t>was cancelled due to the parties reaching a comprehensive proposed stipulation to all issues in this docket</w:t>
      </w:r>
      <w:r w:rsidR="00554372">
        <w:t>.</w:t>
      </w:r>
      <w:r w:rsidR="00F04296">
        <w:t xml:space="preserve"> </w:t>
      </w:r>
      <w:r w:rsidR="00554372">
        <w:t>T</w:t>
      </w:r>
      <w:r w:rsidR="00F04296">
        <w:t>he parties further</w:t>
      </w:r>
      <w:r w:rsidR="00AB4E23">
        <w:t xml:space="preserve"> </w:t>
      </w:r>
      <w:r w:rsidR="0006033F">
        <w:t>agree</w:t>
      </w:r>
      <w:r w:rsidR="00F04296">
        <w:t xml:space="preserve"> </w:t>
      </w:r>
      <w:r w:rsidR="00AB4E23">
        <w:t>to consent to the admission of</w:t>
      </w:r>
      <w:r w:rsidR="00AB4E23" w:rsidRPr="00AB4E23">
        <w:t xml:space="preserve"> all </w:t>
      </w:r>
      <w:proofErr w:type="spellStart"/>
      <w:r w:rsidR="00AB4E23" w:rsidRPr="00AB4E23">
        <w:t>prefiled</w:t>
      </w:r>
      <w:proofErr w:type="spellEnd"/>
      <w:r w:rsidR="00AB4E23" w:rsidRPr="00AB4E23">
        <w:t xml:space="preserve"> testimony and exhibits in this docket without cross-examination</w:t>
      </w:r>
      <w:r w:rsidRPr="00701945">
        <w:t>.</w:t>
      </w:r>
      <w:r w:rsidR="0006033F">
        <w:t xml:space="preserve"> This </w:t>
      </w:r>
      <w:r w:rsidR="00F04296">
        <w:t>order</w:t>
      </w:r>
      <w:r w:rsidR="0006033F">
        <w:t xml:space="preserve"> is being issued for the purposes of confirming the </w:t>
      </w:r>
      <w:r w:rsidR="0006033F" w:rsidRPr="0006033F">
        <w:t>issues</w:t>
      </w:r>
      <w:r w:rsidR="0006033F">
        <w:t xml:space="preserve"> proposed for settlement</w:t>
      </w:r>
      <w:r w:rsidR="0006033F" w:rsidRPr="0006033F">
        <w:t xml:space="preserve">, </w:t>
      </w:r>
      <w:r w:rsidR="0006033F">
        <w:t xml:space="preserve">specifying </w:t>
      </w:r>
      <w:proofErr w:type="spellStart"/>
      <w:r w:rsidR="00F04296">
        <w:t>prefiled</w:t>
      </w:r>
      <w:proofErr w:type="spellEnd"/>
      <w:r w:rsidR="00F04296">
        <w:t xml:space="preserve"> testimony</w:t>
      </w:r>
      <w:r w:rsidR="0006033F" w:rsidRPr="0006033F">
        <w:t xml:space="preserve"> exhibits</w:t>
      </w:r>
      <w:r w:rsidR="0006033F">
        <w:t xml:space="preserve"> to be entered</w:t>
      </w:r>
      <w:r w:rsidR="0006033F" w:rsidRPr="0006033F">
        <w:t xml:space="preserve">, </w:t>
      </w:r>
      <w:r w:rsidR="0006033F">
        <w:t>confirming the</w:t>
      </w:r>
      <w:r w:rsidR="0006033F" w:rsidRPr="0006033F">
        <w:t xml:space="preserve"> names of witnesses, </w:t>
      </w:r>
      <w:r w:rsidR="0006033F">
        <w:t xml:space="preserve">and </w:t>
      </w:r>
      <w:r w:rsidR="0006033F" w:rsidRPr="0006033F">
        <w:t>resolving other procedural matters.</w:t>
      </w:r>
    </w:p>
    <w:p w:rsidR="00AB4E23" w:rsidRDefault="00AB4E23" w:rsidP="0006033F">
      <w:pPr>
        <w:ind w:firstLine="720"/>
        <w:jc w:val="both"/>
      </w:pPr>
    </w:p>
    <w:p w:rsidR="00AB4E23" w:rsidRPr="00701945" w:rsidRDefault="00E64117" w:rsidP="00AB4E23">
      <w:pPr>
        <w:jc w:val="both"/>
      </w:pPr>
      <w:r>
        <w:t xml:space="preserve">SCHEDULED </w:t>
      </w:r>
      <w:r w:rsidR="00AB4E23" w:rsidRPr="00701945">
        <w:t>APPEARANCES:</w:t>
      </w:r>
    </w:p>
    <w:p w:rsidR="00AB4E23" w:rsidRPr="00701945" w:rsidRDefault="00AB4E23" w:rsidP="00AB4E23">
      <w:pPr>
        <w:jc w:val="both"/>
      </w:pPr>
    </w:p>
    <w:p w:rsidR="00AB4E23" w:rsidRDefault="00AB4E23" w:rsidP="00AB4E23">
      <w:pPr>
        <w:ind w:left="1440"/>
        <w:jc w:val="both"/>
      </w:pPr>
      <w:r>
        <w:t>JAMES D. BEASLEY, J. JEFFRY WAHLEN and MALCOLM N. MEANS</w:t>
      </w:r>
      <w:r w:rsidRPr="00701945">
        <w:t>, ESQUIRE</w:t>
      </w:r>
      <w:r>
        <w:t xml:space="preserve">S, </w:t>
      </w:r>
      <w:proofErr w:type="spellStart"/>
      <w:r>
        <w:t>Ausley</w:t>
      </w:r>
      <w:proofErr w:type="spellEnd"/>
      <w:r>
        <w:t xml:space="preserve"> McMullen, P.O. Box 391</w:t>
      </w:r>
      <w:r w:rsidR="00B5072F">
        <w:t>,</w:t>
      </w:r>
      <w:r>
        <w:t xml:space="preserve"> Tallahassee, Florida, 32302</w:t>
      </w:r>
    </w:p>
    <w:p w:rsidR="00AB4E23" w:rsidRDefault="00AB4E23" w:rsidP="00AB4E23">
      <w:pPr>
        <w:ind w:left="720" w:firstLine="720"/>
        <w:jc w:val="both"/>
      </w:pPr>
      <w:proofErr w:type="gramStart"/>
      <w:r>
        <w:rPr>
          <w:u w:val="single"/>
        </w:rPr>
        <w:t>On behalf of Tampa Electric Company</w:t>
      </w:r>
      <w:r w:rsidRPr="00701945">
        <w:t>.</w:t>
      </w:r>
      <w:proofErr w:type="gramEnd"/>
    </w:p>
    <w:p w:rsidR="00AB4E23" w:rsidRDefault="00AB4E23" w:rsidP="00AB4E23">
      <w:pPr>
        <w:ind w:left="720" w:firstLine="720"/>
        <w:jc w:val="both"/>
      </w:pPr>
    </w:p>
    <w:p w:rsidR="00AB4E23" w:rsidRDefault="00AB4E23" w:rsidP="00AB4E23">
      <w:pPr>
        <w:ind w:left="1440"/>
        <w:jc w:val="both"/>
      </w:pPr>
      <w:r>
        <w:t xml:space="preserve">JON C. MOYLE, JR., </w:t>
      </w:r>
      <w:r w:rsidR="004B013C">
        <w:t xml:space="preserve">and </w:t>
      </w:r>
      <w:r>
        <w:t>KAREN PUTNAL, ESQUIRES, Moyle Law Firm, P.A., 118 North Gadsden Street, Tallahassee, Florida, 32312</w:t>
      </w:r>
    </w:p>
    <w:p w:rsidR="00AB4E23" w:rsidRPr="00080909" w:rsidRDefault="00AB4E23" w:rsidP="00AB4E23">
      <w:pPr>
        <w:ind w:left="1440"/>
        <w:jc w:val="both"/>
        <w:rPr>
          <w:u w:val="single"/>
        </w:rPr>
      </w:pPr>
      <w:proofErr w:type="gramStart"/>
      <w:r w:rsidRPr="00080909">
        <w:rPr>
          <w:u w:val="single"/>
        </w:rPr>
        <w:t>On behalf of the Florida Industrial Power Users Group</w:t>
      </w:r>
      <w:r>
        <w:rPr>
          <w:u w:val="single"/>
        </w:rPr>
        <w:t>.</w:t>
      </w:r>
      <w:proofErr w:type="gramEnd"/>
    </w:p>
    <w:p w:rsidR="00AB4E23" w:rsidRPr="00080909" w:rsidRDefault="00AB4E23" w:rsidP="00AB4E23">
      <w:pPr>
        <w:jc w:val="both"/>
        <w:rPr>
          <w:u w:val="single"/>
        </w:rPr>
      </w:pPr>
    </w:p>
    <w:p w:rsidR="00AB4E23" w:rsidRPr="00701945" w:rsidRDefault="00AB4E23" w:rsidP="00AB4E23">
      <w:pPr>
        <w:ind w:left="1440"/>
        <w:jc w:val="both"/>
      </w:pPr>
      <w:r>
        <w:t>J.R. KELLY and</w:t>
      </w:r>
      <w:r w:rsidR="004B013C">
        <w:t xml:space="preserve"> CHARLES REHWINK</w:t>
      </w:r>
      <w:r>
        <w:t>E</w:t>
      </w:r>
      <w:r w:rsidR="004B013C">
        <w:t>L</w:t>
      </w:r>
      <w:r w:rsidRPr="00701945">
        <w:t>, ESQUIRE</w:t>
      </w:r>
      <w:r>
        <w:t>S, Public Counsel and Deputy Public Counsel, Office of the Public Counsel c/o The Florida Legislature, 111 W. Madison Street, Room 812, Tallahassee, Florida, 32399</w:t>
      </w:r>
    </w:p>
    <w:p w:rsidR="00AB4E23" w:rsidRPr="00701945" w:rsidRDefault="00AB4E23" w:rsidP="00AB4E23">
      <w:pPr>
        <w:ind w:left="720" w:firstLine="720"/>
        <w:jc w:val="both"/>
      </w:pPr>
      <w:proofErr w:type="gramStart"/>
      <w:r>
        <w:rPr>
          <w:u w:val="single"/>
        </w:rPr>
        <w:t>On behalf of the Citizens of the State of Florida</w:t>
      </w:r>
      <w:r w:rsidRPr="00701945">
        <w:t>.</w:t>
      </w:r>
      <w:proofErr w:type="gramEnd"/>
      <w:r w:rsidRPr="00701945">
        <w:t xml:space="preserve"> </w:t>
      </w:r>
    </w:p>
    <w:p w:rsidR="00AB4E23" w:rsidRPr="00701945" w:rsidRDefault="00AB4E23" w:rsidP="00AB4E23">
      <w:pPr>
        <w:jc w:val="both"/>
      </w:pPr>
    </w:p>
    <w:p w:rsidR="00AB4E23" w:rsidRPr="00701945" w:rsidRDefault="00AB4E23" w:rsidP="00AB4E23">
      <w:pPr>
        <w:ind w:left="1440"/>
        <w:jc w:val="both"/>
      </w:pPr>
      <w:r>
        <w:t>KURT SCHRADER and WALT TRIERWEILER</w:t>
      </w:r>
      <w:r w:rsidRPr="00701945">
        <w:t>, ESQUIRE</w:t>
      </w:r>
      <w:r>
        <w:t>S</w:t>
      </w:r>
      <w:r w:rsidRPr="00701945">
        <w:t xml:space="preserve">, </w:t>
      </w:r>
      <w:r>
        <w:t xml:space="preserve">Senior Attorneys, </w:t>
      </w:r>
      <w:r w:rsidRPr="00701945">
        <w:t>Florida Public Service Commission, 2540 Shumard Oak Boulevard, Tallahassee, Florida 32399-0850</w:t>
      </w:r>
    </w:p>
    <w:p w:rsidR="00AB4E23" w:rsidRPr="00701945" w:rsidRDefault="00AB4E23" w:rsidP="00AB4E23">
      <w:pPr>
        <w:ind w:left="720" w:firstLine="720"/>
        <w:jc w:val="both"/>
      </w:pPr>
      <w:proofErr w:type="gramStart"/>
      <w:r w:rsidRPr="00701945">
        <w:rPr>
          <w:u w:val="single"/>
        </w:rPr>
        <w:t>On behalf of the Florida Public Service Commission</w:t>
      </w:r>
      <w:r w:rsidRPr="00701945">
        <w:t>.</w:t>
      </w:r>
      <w:proofErr w:type="gramEnd"/>
    </w:p>
    <w:p w:rsidR="00AB4E23" w:rsidRPr="00701945" w:rsidRDefault="00AB4E23" w:rsidP="00AB4E23">
      <w:pPr>
        <w:jc w:val="both"/>
      </w:pPr>
    </w:p>
    <w:p w:rsidR="00AB4E23" w:rsidRPr="00701945" w:rsidRDefault="00AB4E23" w:rsidP="00AB4E23">
      <w:pPr>
        <w:ind w:left="1440"/>
        <w:jc w:val="both"/>
      </w:pPr>
      <w:r>
        <w:t>MARY ANNE HELTON, ESQUIRE, Deputy General Counsel,</w:t>
      </w:r>
      <w:r w:rsidRPr="00701945">
        <w:t xml:space="preserve"> Florida Public Service Commission, 2540 Shumard Oak Boulevard, Tallahassee, Florida 32399-0850</w:t>
      </w:r>
    </w:p>
    <w:p w:rsidR="00AB4E23" w:rsidRPr="00701945" w:rsidRDefault="00AB4E23" w:rsidP="00AB4E23">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AB4E23" w:rsidRPr="00701945" w:rsidRDefault="00AB4E23" w:rsidP="00AB4E23">
      <w:pPr>
        <w:jc w:val="center"/>
        <w:rPr>
          <w:b/>
          <w:bCs/>
          <w:u w:val="single"/>
        </w:rPr>
      </w:pPr>
    </w:p>
    <w:p w:rsidR="00AB4E23" w:rsidRPr="00D033EB" w:rsidRDefault="00AB4E23" w:rsidP="00AB4E23">
      <w:pPr>
        <w:ind w:left="1440"/>
        <w:jc w:val="both"/>
      </w:pPr>
      <w:r w:rsidRPr="00D033EB">
        <w:t>K</w:t>
      </w:r>
      <w:r>
        <w:t>EITH C. HETRICK</w:t>
      </w:r>
      <w:r w:rsidRPr="00D033EB">
        <w:t>, ESQUIRE, General Counsel, Florida Public Service Commission, 2540 Shumard Oak Boulevard, Tallahassee, Florida 32399-0850</w:t>
      </w:r>
    </w:p>
    <w:p w:rsidR="00AB4E23" w:rsidRPr="00701945" w:rsidRDefault="00AB4E23" w:rsidP="00AB4E23">
      <w:pPr>
        <w:ind w:left="720" w:firstLine="720"/>
        <w:jc w:val="both"/>
      </w:pPr>
      <w:r w:rsidRPr="00D033EB">
        <w:rPr>
          <w:u w:val="single"/>
        </w:rPr>
        <w:t>Florida Public Service Commission General Counsel</w:t>
      </w:r>
      <w:r>
        <w:rPr>
          <w:u w:val="single"/>
        </w:rPr>
        <w:t>.</w:t>
      </w:r>
    </w:p>
    <w:p w:rsidR="00967943" w:rsidRPr="00701945" w:rsidRDefault="00967943" w:rsidP="00967943">
      <w:pPr>
        <w:jc w:val="center"/>
      </w:pPr>
      <w:r w:rsidRPr="00701945">
        <w:rPr>
          <w:b/>
          <w:bCs/>
          <w:u w:val="single"/>
        </w:rPr>
        <w:lastRenderedPageBreak/>
        <w:t>PREHEARING ORDER</w:t>
      </w:r>
    </w:p>
    <w:p w:rsidR="00967943" w:rsidRDefault="00967943" w:rsidP="00967943">
      <w:pPr>
        <w:jc w:val="both"/>
      </w:pPr>
    </w:p>
    <w:p w:rsidR="00967943" w:rsidRPr="00701945" w:rsidRDefault="00967943" w:rsidP="00967943">
      <w:pPr>
        <w:jc w:val="both"/>
      </w:pPr>
    </w:p>
    <w:p w:rsidR="00967943" w:rsidRPr="00A32DC5" w:rsidRDefault="00967943" w:rsidP="00967943">
      <w:pPr>
        <w:jc w:val="both"/>
        <w:rPr>
          <w:b/>
        </w:rPr>
      </w:pPr>
      <w:r w:rsidRPr="00A32DC5">
        <w:rPr>
          <w:b/>
        </w:rPr>
        <w:t>I.</w:t>
      </w:r>
      <w:r w:rsidRPr="00A32DC5">
        <w:rPr>
          <w:b/>
        </w:rPr>
        <w:tab/>
      </w:r>
      <w:r w:rsidRPr="00A32DC5">
        <w:rPr>
          <w:b/>
          <w:u w:val="single"/>
        </w:rPr>
        <w:t>CASE BACKGROUND</w:t>
      </w:r>
    </w:p>
    <w:p w:rsidR="00967943" w:rsidRPr="00701945" w:rsidRDefault="00967943" w:rsidP="00967943">
      <w:pPr>
        <w:jc w:val="both"/>
      </w:pPr>
    </w:p>
    <w:p w:rsidR="00B63496" w:rsidRDefault="00B63496" w:rsidP="00B63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Tampa Electric Company’s (TECO</w:t>
      </w:r>
      <w:r w:rsidR="00895D72">
        <w:t xml:space="preserve"> or Tampa Electric</w:t>
      </w:r>
      <w:r>
        <w:t xml:space="preserve">) petition for a limited proceeding to approve its 2017 Amended and Restated Stipulation and Settlement Agreement (2017 Settlement) was approved by the Commission on November 27, 2017, by Order No. </w:t>
      </w:r>
      <w:proofErr w:type="gramStart"/>
      <w:r>
        <w:t>PSC-2017-0456-S-EI.</w:t>
      </w:r>
      <w:proofErr w:type="gramEnd"/>
      <w:r>
        <w:rPr>
          <w:rStyle w:val="FootnoteReference"/>
        </w:rPr>
        <w:footnoteReference w:id="1"/>
      </w:r>
      <w:r>
        <w:t xml:space="preserve"> Paragraph 6</w:t>
      </w:r>
      <w:r w:rsidR="00DD7E17">
        <w:t>(b)</w:t>
      </w:r>
      <w:r>
        <w:t xml:space="preserve"> of the 2017 Settlement allows TECO to petition the Commission for cost recovery of up to 150 megawatts (MW) of solar generation in 2020. </w:t>
      </w:r>
    </w:p>
    <w:p w:rsidR="00B63496" w:rsidRDefault="00B63496" w:rsidP="00B63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3496" w:rsidRDefault="00B63496" w:rsidP="00B63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TECO’s first solar rate base adjustment</w:t>
      </w:r>
      <w:r w:rsidR="004C4A1B">
        <w:t xml:space="preserve"> (</w:t>
      </w:r>
      <w:proofErr w:type="spellStart"/>
      <w:r w:rsidR="004C4A1B">
        <w:t>SoBRA</w:t>
      </w:r>
      <w:proofErr w:type="spellEnd"/>
      <w:r w:rsidR="004C4A1B">
        <w:t>)</w:t>
      </w:r>
      <w:r>
        <w:t xml:space="preserve"> was approved by Order No. PSC-2018-0288-FOF-EI, issued June 5, 2018.</w:t>
      </w:r>
      <w:r>
        <w:rPr>
          <w:rStyle w:val="FootnoteReference"/>
        </w:rPr>
        <w:footnoteReference w:id="2"/>
      </w:r>
      <w:r>
        <w:t xml:space="preserve"> TECO’s second </w:t>
      </w:r>
      <w:proofErr w:type="spellStart"/>
      <w:r w:rsidR="004C4A1B">
        <w:t>SoBRA</w:t>
      </w:r>
      <w:proofErr w:type="spellEnd"/>
      <w:r>
        <w:t xml:space="preserve"> was approved by Order No. PSC-2018-0571-FOF-EI, issued December 7, 2018.</w:t>
      </w:r>
      <w:r>
        <w:rPr>
          <w:rStyle w:val="FootnoteReference"/>
        </w:rPr>
        <w:footnoteReference w:id="3"/>
      </w:r>
    </w:p>
    <w:p w:rsidR="00B63496" w:rsidRDefault="00B63496" w:rsidP="00B63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7BD4" w:rsidRDefault="00B63496" w:rsidP="00D77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June 28, 2019, TECO filed a petition for a limited proceeding seeking approval for its third solar base rate adjustment. In its petition, TECO seeks cost recovery approval for the Wimauma Solar Project and the Little Manatee River Solar Project pursuant to paragraph 6 of the 2017 Settlement. TECO states that both projects are expected to go into service on or before January 1, 2020. </w:t>
      </w:r>
      <w:r w:rsidR="00D77BD4">
        <w:t xml:space="preserve">The Office of Public Counsel (OPC) and the Florida Industrial Power Users Group (FIPUG) have intervened in this matter. On October 2, 2019, TECO filed proposed stipulations </w:t>
      </w:r>
      <w:r w:rsidR="0054771B">
        <w:t xml:space="preserve">in </w:t>
      </w:r>
      <w:r w:rsidR="00D77BD4">
        <w:t>this docket.</w:t>
      </w:r>
      <w:r w:rsidR="00D77BD4">
        <w:rPr>
          <w:rStyle w:val="FootnoteReference"/>
        </w:rPr>
        <w:footnoteReference w:id="4"/>
      </w:r>
      <w:r w:rsidR="00D77BD4">
        <w:t xml:space="preserve"> The filing asserts that TECO and OPC hav</w:t>
      </w:r>
      <w:r w:rsidR="0054771B">
        <w:t>e reached proposed stipulations on their basic position and all issues in this docket</w:t>
      </w:r>
      <w:r w:rsidR="00D82C4D">
        <w:t>,</w:t>
      </w:r>
      <w:r w:rsidR="00253256">
        <w:t xml:space="preserve"> and that</w:t>
      </w:r>
      <w:r w:rsidR="0054771B">
        <w:t xml:space="preserve"> FIPUG takes no position on these stipulations.</w:t>
      </w:r>
      <w:r w:rsidR="0006033F">
        <w:t xml:space="preserve"> </w:t>
      </w:r>
      <w:r w:rsidR="00D82C4D">
        <w:t>TECO</w:t>
      </w:r>
      <w:r w:rsidR="0006033F">
        <w:t xml:space="preserve"> filed a</w:t>
      </w:r>
      <w:r w:rsidR="00554372">
        <w:t xml:space="preserve"> </w:t>
      </w:r>
      <w:r w:rsidR="00ED6D02">
        <w:t>minor</w:t>
      </w:r>
      <w:r w:rsidR="0006033F">
        <w:t xml:space="preserve"> revision to these proposed stipulations on </w:t>
      </w:r>
      <w:r w:rsidR="00CB7F51">
        <w:t>October 8, 2019</w:t>
      </w:r>
      <w:r w:rsidR="00554372">
        <w:t xml:space="preserve">, which was agreed to </w:t>
      </w:r>
      <w:r w:rsidR="00233D52">
        <w:t xml:space="preserve">by </w:t>
      </w:r>
      <w:r w:rsidR="00554372">
        <w:t>OPC and upon which FIPUG takes no position</w:t>
      </w:r>
      <w:r w:rsidR="00CB7F51">
        <w:t>.</w:t>
      </w:r>
    </w:p>
    <w:p w:rsidR="00D77BD4" w:rsidRDefault="00D77BD4" w:rsidP="00D77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7BD4" w:rsidRPr="00B63496" w:rsidRDefault="00D77BD4" w:rsidP="00D77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FF0000"/>
        </w:rPr>
      </w:pPr>
      <w:r>
        <w:tab/>
        <w:t>This matter is set for an administrative hearing on October 17, 2019.</w:t>
      </w:r>
    </w:p>
    <w:p w:rsidR="00B63496" w:rsidRDefault="00B63496" w:rsidP="00D77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35FB2" w:rsidRDefault="00535FB2" w:rsidP="00967943">
      <w:pPr>
        <w:jc w:val="both"/>
      </w:pPr>
    </w:p>
    <w:p w:rsidR="00967943" w:rsidRPr="00A32DC5" w:rsidRDefault="00967943" w:rsidP="00967943">
      <w:pPr>
        <w:jc w:val="both"/>
        <w:rPr>
          <w:b/>
        </w:rPr>
      </w:pPr>
      <w:r w:rsidRPr="00A32DC5">
        <w:rPr>
          <w:b/>
        </w:rPr>
        <w:t>II.</w:t>
      </w:r>
      <w:r w:rsidRPr="00A32DC5">
        <w:rPr>
          <w:b/>
        </w:rPr>
        <w:tab/>
      </w:r>
      <w:r w:rsidRPr="00A32DC5">
        <w:rPr>
          <w:b/>
          <w:u w:val="single"/>
        </w:rPr>
        <w:t>CONDUCT OF PROCEEDINGS</w:t>
      </w:r>
    </w:p>
    <w:p w:rsidR="00967943" w:rsidRPr="00701945" w:rsidRDefault="00967943" w:rsidP="00967943">
      <w:pPr>
        <w:jc w:val="both"/>
      </w:pPr>
    </w:p>
    <w:p w:rsidR="00967943" w:rsidRPr="00701945" w:rsidRDefault="00967943" w:rsidP="00967943">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967943" w:rsidRDefault="00967943" w:rsidP="00967943">
      <w:pPr>
        <w:jc w:val="both"/>
      </w:pPr>
    </w:p>
    <w:p w:rsidR="00967943" w:rsidRPr="00701945" w:rsidRDefault="00967943" w:rsidP="00967943">
      <w:pPr>
        <w:jc w:val="both"/>
      </w:pPr>
    </w:p>
    <w:p w:rsidR="00967943" w:rsidRPr="00A32DC5" w:rsidRDefault="00967943" w:rsidP="00825CD2">
      <w:pPr>
        <w:keepNext/>
        <w:jc w:val="both"/>
        <w:rPr>
          <w:b/>
        </w:rPr>
      </w:pPr>
      <w:r w:rsidRPr="00A32DC5">
        <w:rPr>
          <w:b/>
        </w:rPr>
        <w:lastRenderedPageBreak/>
        <w:t>III.</w:t>
      </w:r>
      <w:r w:rsidRPr="00A32DC5">
        <w:rPr>
          <w:b/>
        </w:rPr>
        <w:tab/>
      </w:r>
      <w:r w:rsidRPr="00A32DC5">
        <w:rPr>
          <w:b/>
          <w:u w:val="single"/>
        </w:rPr>
        <w:t>JURISDICTION</w:t>
      </w:r>
    </w:p>
    <w:p w:rsidR="00967943" w:rsidRPr="00701945" w:rsidRDefault="00967943" w:rsidP="00825CD2">
      <w:pPr>
        <w:keepNext/>
        <w:jc w:val="both"/>
      </w:pPr>
    </w:p>
    <w:p w:rsidR="00967943" w:rsidRPr="00701945" w:rsidRDefault="00967943" w:rsidP="00825CD2">
      <w:pPr>
        <w:keepNext/>
        <w:jc w:val="both"/>
      </w:pPr>
      <w:r w:rsidRPr="00701945">
        <w:tab/>
        <w:t>This Commission is vested with jurisdiction over the subject mat</w:t>
      </w:r>
      <w:r w:rsidR="00B63496">
        <w:t>ter by the provisions of Chapter 366</w:t>
      </w:r>
      <w:r w:rsidRPr="00701945">
        <w:t xml:space="preserve">, </w:t>
      </w:r>
      <w:r>
        <w:t>Florida Statutes (F.S</w:t>
      </w:r>
      <w:r w:rsidRPr="00701945">
        <w:t>.</w:t>
      </w:r>
      <w:r>
        <w:t>).</w:t>
      </w:r>
      <w:r w:rsidR="00B63496">
        <w:t xml:space="preserve"> </w:t>
      </w:r>
      <w:r w:rsidRPr="00701945">
        <w:t xml:space="preserve">This hearing will be governed by said Chapter and </w:t>
      </w:r>
      <w:r w:rsidR="00B63496" w:rsidRPr="00701945">
        <w:t>Chapters</w:t>
      </w:r>
      <w:r w:rsidR="00B63496">
        <w:rPr>
          <w:color w:val="FF0000"/>
        </w:rPr>
        <w:t xml:space="preserve"> </w:t>
      </w:r>
      <w:r w:rsidR="00B63496">
        <w:t>25-6</w:t>
      </w:r>
      <w:r w:rsidR="00B63496" w:rsidRPr="00701945">
        <w:t xml:space="preserve">, 25-22, and 28-106, </w:t>
      </w:r>
      <w:r w:rsidR="00B63496">
        <w:t>F.A.C.</w:t>
      </w:r>
      <w:r>
        <w:t>, as well as any other applicable provisions of law</w:t>
      </w:r>
      <w:r w:rsidRPr="00701945">
        <w:t>.</w:t>
      </w:r>
    </w:p>
    <w:p w:rsidR="00967943" w:rsidRDefault="00967943" w:rsidP="00967943">
      <w:pPr>
        <w:jc w:val="both"/>
      </w:pPr>
    </w:p>
    <w:p w:rsidR="00967943" w:rsidRPr="00701945" w:rsidRDefault="00967943" w:rsidP="00967943">
      <w:pPr>
        <w:jc w:val="both"/>
      </w:pPr>
    </w:p>
    <w:p w:rsidR="00967943" w:rsidRPr="00237584" w:rsidRDefault="00967943" w:rsidP="00DD7E17">
      <w:pPr>
        <w:keepNext/>
        <w:jc w:val="both"/>
        <w:rPr>
          <w:b/>
        </w:rPr>
      </w:pPr>
      <w:r w:rsidRPr="00237584">
        <w:rPr>
          <w:b/>
        </w:rPr>
        <w:t>IV.</w:t>
      </w:r>
      <w:r w:rsidRPr="00237584">
        <w:rPr>
          <w:b/>
        </w:rPr>
        <w:tab/>
      </w:r>
      <w:r w:rsidRPr="00237584">
        <w:rPr>
          <w:b/>
          <w:u w:val="single"/>
        </w:rPr>
        <w:t>PROCEDURE FOR HANDLING CONFIDENTIAL INFORMATION</w:t>
      </w:r>
    </w:p>
    <w:p w:rsidR="00967943" w:rsidRPr="00237584" w:rsidRDefault="00967943" w:rsidP="00DD7E17">
      <w:pPr>
        <w:keepNext/>
        <w:jc w:val="both"/>
        <w:rPr>
          <w:b/>
        </w:rPr>
      </w:pPr>
    </w:p>
    <w:p w:rsidR="00967943" w:rsidRDefault="00967943" w:rsidP="00DD7E17">
      <w:pPr>
        <w:keepNext/>
        <w:jc w:val="both"/>
      </w:pPr>
      <w:r w:rsidRPr="00701945">
        <w:tab/>
      </w:r>
      <w:proofErr w:type="gramStart"/>
      <w:r>
        <w:t>Information</w:t>
      </w:r>
      <w:proofErr w:type="gramEnd"/>
      <w:r>
        <w:t xml:space="preserve"> for which proprietary confidential business information status is requested</w:t>
      </w:r>
      <w:r w:rsidRPr="00A72918">
        <w:t xml:space="preserve"> pursuant to</w:t>
      </w:r>
      <w:r w:rsidR="00B63496">
        <w:t xml:space="preserve"> Section 366.093</w:t>
      </w:r>
      <w:r>
        <w:t>, F.S.</w:t>
      </w:r>
      <w:r w:rsidRPr="00A72918">
        <w:t xml:space="preserve">, and Rule 25-22.006, </w:t>
      </w:r>
      <w:r>
        <w:t>F.A.C.</w:t>
      </w:r>
      <w:r w:rsidRPr="00A72918">
        <w:t>,</w:t>
      </w:r>
      <w:r>
        <w:t xml:space="preserve"> shall be treated by t</w:t>
      </w:r>
      <w:r w:rsidR="00DD7E17">
        <w:t xml:space="preserve">he Commission as confidential. </w:t>
      </w:r>
      <w:r>
        <w:t>The information shall be exempt from Section 119.07(1), F.S., pending a formal ruling on such request by the Commission or pending return of the information to the person providing the information</w:t>
      </w:r>
      <w:r w:rsidR="004D6DFE">
        <w:t xml:space="preserve">.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w:t>
      </w:r>
      <w:r w:rsidR="00F11E69" w:rsidRPr="005555EC">
        <w:t xml:space="preserve">. </w:t>
      </w:r>
      <w:r w:rsidRPr="005555EC">
        <w:t>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00B63496">
        <w:t>Section 366.093</w:t>
      </w:r>
      <w:r>
        <w:t>, F.S</w:t>
      </w:r>
      <w:r w:rsidR="004D6DFE">
        <w:t xml:space="preserve">. </w:t>
      </w:r>
      <w:r>
        <w:t>T</w:t>
      </w:r>
      <w:r w:rsidRPr="00B2317F">
        <w:t>he Commission may determine that continued possession of the information is necessary for the Commission to conduct its business.</w:t>
      </w:r>
    </w:p>
    <w:p w:rsidR="00967943" w:rsidRDefault="00967943" w:rsidP="00967943">
      <w:pPr>
        <w:jc w:val="both"/>
      </w:pPr>
    </w:p>
    <w:p w:rsidR="00967943" w:rsidRDefault="00967943" w:rsidP="009679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w:t>
      </w:r>
      <w:r w:rsidR="00F11E69">
        <w:t xml:space="preserve">. </w:t>
      </w:r>
      <w:r>
        <w:t xml:space="preserve">The Commission also recognizes its obligation pursuant to </w:t>
      </w:r>
      <w:r w:rsidR="00B63496">
        <w:t>Section 366.093</w:t>
      </w:r>
      <w:r>
        <w:t>, F.S., to protect proprietary confidential business information from disclosure outside the proceeding</w:t>
      </w:r>
      <w:r w:rsidR="004D6DFE">
        <w:t xml:space="preserve">. </w:t>
      </w:r>
      <w:r>
        <w:t>Therefore, any party wishing to use any proprietary confidential business information, as</w:t>
      </w:r>
      <w:r w:rsidR="00B63496">
        <w:t xml:space="preserve"> that term is defined in Section 366.093,</w:t>
      </w:r>
      <w:r>
        <w:t xml:space="preserve"> F.S., at the hearing shall adhere to the following:</w:t>
      </w:r>
    </w:p>
    <w:p w:rsidR="00967943" w:rsidRDefault="00967943" w:rsidP="009679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67943" w:rsidRDefault="00967943" w:rsidP="00967943">
      <w:pPr>
        <w:spacing w:line="2" w:lineRule="exact"/>
        <w:jc w:val="both"/>
      </w:pPr>
    </w:p>
    <w:p w:rsidR="00967943" w:rsidRDefault="00967943" w:rsidP="0096794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and with the confidential information highlighted</w:t>
      </w:r>
      <w:r w:rsidR="00F11E69">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67943" w:rsidRDefault="00967943" w:rsidP="009679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67943" w:rsidRDefault="00967943" w:rsidP="0096794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w:t>
      </w:r>
      <w:r w:rsidR="00F11E69">
        <w:t xml:space="preserve">. </w:t>
      </w:r>
      <w:r>
        <w:t>Therefore, confidential information should be presented by written exhibit when reasonably possible.</w:t>
      </w:r>
    </w:p>
    <w:p w:rsidR="00967943" w:rsidRDefault="00967943" w:rsidP="009679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67943" w:rsidRDefault="00967943" w:rsidP="009679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w:t>
      </w:r>
      <w:r w:rsidR="00F11E69">
        <w:t xml:space="preserve">. </w:t>
      </w:r>
      <w:r>
        <w:t xml:space="preserve">If a confidential exhibit has been admitted into evidence, the copy provided to the court reporter shall be retained in the </w:t>
      </w:r>
      <w:r w:rsidRPr="007A5D22">
        <w:t>Office of Commission Clerk</w:t>
      </w:r>
      <w:r>
        <w:t>’s confidential files</w:t>
      </w:r>
      <w:r w:rsidR="00F11E69">
        <w:t xml:space="preserve">.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t>
      </w:r>
      <w:r w:rsidRPr="00B2317F">
        <w:lastRenderedPageBreak/>
        <w:t>with the Commission, the source of the information must file a request for confidential classification of the information within 21 days of the conclusion of the hearing, as set forth in Rule 25-22.006(8</w:t>
      </w:r>
      <w:proofErr w:type="gramStart"/>
      <w:r w:rsidRPr="00B2317F">
        <w:t>)(</w:t>
      </w:r>
      <w:proofErr w:type="gramEnd"/>
      <w:r w:rsidRPr="00B2317F">
        <w:t xml:space="preserve">b), </w:t>
      </w:r>
      <w:r>
        <w:t>F.A.C.</w:t>
      </w:r>
      <w:r w:rsidRPr="00B2317F">
        <w:t>, if continued confidentiality of the information</w:t>
      </w:r>
      <w:r>
        <w:t xml:space="preserve"> is to be maintained</w:t>
      </w:r>
      <w:r w:rsidRPr="00B2317F">
        <w:t>.</w:t>
      </w:r>
    </w:p>
    <w:p w:rsidR="00967943" w:rsidRDefault="00967943" w:rsidP="00967943">
      <w:pPr>
        <w:jc w:val="both"/>
      </w:pPr>
    </w:p>
    <w:p w:rsidR="00967943" w:rsidRDefault="00967943" w:rsidP="00967943">
      <w:pPr>
        <w:jc w:val="both"/>
      </w:pPr>
    </w:p>
    <w:p w:rsidR="00967943" w:rsidRPr="00A32DC5" w:rsidRDefault="00967943" w:rsidP="00B63496">
      <w:pPr>
        <w:keepNext/>
        <w:jc w:val="both"/>
        <w:rPr>
          <w:b/>
        </w:rPr>
      </w:pPr>
      <w:r w:rsidRPr="00A32DC5">
        <w:rPr>
          <w:b/>
        </w:rPr>
        <w:t>V.</w:t>
      </w:r>
      <w:r w:rsidRPr="00A32DC5">
        <w:rPr>
          <w:b/>
        </w:rPr>
        <w:tab/>
      </w:r>
      <w:r w:rsidRPr="00A32DC5">
        <w:rPr>
          <w:b/>
          <w:u w:val="single"/>
        </w:rPr>
        <w:t>PREFILED TESTIMONY AND EXHIBITS; WITNESSES</w:t>
      </w:r>
    </w:p>
    <w:p w:rsidR="00967943" w:rsidRPr="00701945" w:rsidRDefault="00967943" w:rsidP="00B63496">
      <w:pPr>
        <w:keepNext/>
        <w:jc w:val="both"/>
      </w:pPr>
    </w:p>
    <w:p w:rsidR="00967943" w:rsidRDefault="00967943" w:rsidP="004F7EEA">
      <w:pPr>
        <w:keepNext/>
        <w:jc w:val="both"/>
      </w:pPr>
      <w:r w:rsidRPr="00701945">
        <w:tab/>
      </w:r>
      <w:r w:rsidR="004F7EEA" w:rsidRPr="004F7EEA">
        <w:t xml:space="preserve">The witnesses have been excused from the hearing and the parties have agreed to the admission of all </w:t>
      </w:r>
      <w:proofErr w:type="spellStart"/>
      <w:r w:rsidR="004F7EEA" w:rsidRPr="004F7EEA">
        <w:t>prefiled</w:t>
      </w:r>
      <w:proofErr w:type="spellEnd"/>
      <w:r w:rsidR="004F7EEA" w:rsidRPr="004F7EEA">
        <w:t xml:space="preserve"> testimony and exhibits of the witnesses listed in Section VI without cross-examination. Therefore, the </w:t>
      </w:r>
      <w:proofErr w:type="spellStart"/>
      <w:r w:rsidR="004F7EEA" w:rsidRPr="004F7EEA">
        <w:t>prefiled</w:t>
      </w:r>
      <w:proofErr w:type="spellEnd"/>
      <w:r w:rsidR="004F7EEA" w:rsidRPr="004F7EEA">
        <w:t xml:space="preserve"> witness testimony and associated exhibits will be entered into the record of the hearing as though read.</w:t>
      </w:r>
    </w:p>
    <w:p w:rsidR="004F7EEA" w:rsidRDefault="004F7EEA" w:rsidP="004F7EEA">
      <w:pPr>
        <w:keepNext/>
        <w:jc w:val="both"/>
      </w:pPr>
    </w:p>
    <w:p w:rsidR="004F7EEA" w:rsidRPr="00701945" w:rsidRDefault="004F7EEA" w:rsidP="004F7EEA">
      <w:pPr>
        <w:keepNext/>
        <w:jc w:val="both"/>
      </w:pPr>
    </w:p>
    <w:p w:rsidR="00967943" w:rsidRPr="00A32DC5" w:rsidRDefault="00967943" w:rsidP="00967943">
      <w:pPr>
        <w:jc w:val="both"/>
        <w:rPr>
          <w:b/>
        </w:rPr>
      </w:pPr>
      <w:r w:rsidRPr="00A32DC5">
        <w:rPr>
          <w:b/>
        </w:rPr>
        <w:t>VI.</w:t>
      </w:r>
      <w:r w:rsidRPr="00A32DC5">
        <w:rPr>
          <w:b/>
        </w:rPr>
        <w:tab/>
      </w:r>
      <w:r w:rsidRPr="00A32DC5">
        <w:rPr>
          <w:b/>
          <w:u w:val="single"/>
        </w:rPr>
        <w:t>ORDER OF WITNESSES</w:t>
      </w:r>
    </w:p>
    <w:p w:rsidR="00967943" w:rsidRPr="00701945" w:rsidRDefault="00967943" w:rsidP="00967943">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67943" w:rsidRPr="00701945" w:rsidTr="00F119F1">
        <w:trPr>
          <w:cantSplit/>
          <w:trHeight w:val="362"/>
          <w:tblHeader/>
        </w:trPr>
        <w:tc>
          <w:tcPr>
            <w:tcW w:w="3507" w:type="dxa"/>
            <w:tcBorders>
              <w:top w:val="nil"/>
              <w:left w:val="nil"/>
              <w:bottom w:val="nil"/>
              <w:right w:val="nil"/>
            </w:tcBorders>
          </w:tcPr>
          <w:p w:rsidR="00967943" w:rsidRPr="00701945" w:rsidRDefault="00967943" w:rsidP="00F119F1">
            <w:pPr>
              <w:jc w:val="both"/>
            </w:pPr>
            <w:r w:rsidRPr="00701945">
              <w:rPr>
                <w:u w:val="single"/>
              </w:rPr>
              <w:t>Witness</w:t>
            </w:r>
          </w:p>
        </w:tc>
        <w:tc>
          <w:tcPr>
            <w:tcW w:w="2511" w:type="dxa"/>
            <w:tcBorders>
              <w:top w:val="nil"/>
              <w:left w:val="nil"/>
              <w:bottom w:val="nil"/>
              <w:right w:val="nil"/>
            </w:tcBorders>
          </w:tcPr>
          <w:p w:rsidR="00967943" w:rsidRPr="00701945" w:rsidRDefault="00967943" w:rsidP="00F119F1">
            <w:pPr>
              <w:jc w:val="center"/>
            </w:pPr>
            <w:r w:rsidRPr="00701945">
              <w:rPr>
                <w:u w:val="single"/>
              </w:rPr>
              <w:t>Proffered By</w:t>
            </w:r>
          </w:p>
        </w:tc>
        <w:tc>
          <w:tcPr>
            <w:tcW w:w="3546" w:type="dxa"/>
            <w:tcBorders>
              <w:top w:val="nil"/>
              <w:left w:val="nil"/>
              <w:bottom w:val="nil"/>
              <w:right w:val="nil"/>
            </w:tcBorders>
          </w:tcPr>
          <w:p w:rsidR="00967943" w:rsidRPr="00701945" w:rsidRDefault="00967943" w:rsidP="00F119F1">
            <w:pPr>
              <w:jc w:val="both"/>
            </w:pPr>
            <w:r w:rsidRPr="00701945">
              <w:rPr>
                <w:u w:val="single"/>
              </w:rPr>
              <w:t>Issues #</w:t>
            </w:r>
          </w:p>
        </w:tc>
      </w:tr>
      <w:tr w:rsidR="00967943" w:rsidRPr="00701945" w:rsidTr="00F119F1">
        <w:trPr>
          <w:cantSplit/>
          <w:trHeight w:val="362"/>
        </w:trPr>
        <w:tc>
          <w:tcPr>
            <w:tcW w:w="3507" w:type="dxa"/>
            <w:tcBorders>
              <w:top w:val="nil"/>
              <w:left w:val="nil"/>
              <w:bottom w:val="nil"/>
              <w:right w:val="nil"/>
            </w:tcBorders>
          </w:tcPr>
          <w:p w:rsidR="00967943" w:rsidRPr="00AC105C" w:rsidRDefault="00967943" w:rsidP="00F119F1">
            <w:pPr>
              <w:jc w:val="both"/>
              <w:rPr>
                <w:u w:val="single"/>
              </w:rPr>
            </w:pPr>
            <w:r w:rsidRPr="00AC105C">
              <w:tab/>
            </w:r>
            <w:r w:rsidRPr="00AC105C">
              <w:rPr>
                <w:u w:val="single"/>
              </w:rPr>
              <w:t>Direct</w:t>
            </w:r>
          </w:p>
        </w:tc>
        <w:tc>
          <w:tcPr>
            <w:tcW w:w="2511" w:type="dxa"/>
            <w:tcBorders>
              <w:top w:val="nil"/>
              <w:left w:val="nil"/>
              <w:bottom w:val="nil"/>
              <w:right w:val="nil"/>
            </w:tcBorders>
          </w:tcPr>
          <w:p w:rsidR="00967943" w:rsidRPr="00701945" w:rsidRDefault="00967943" w:rsidP="00F119F1">
            <w:pPr>
              <w:jc w:val="center"/>
            </w:pPr>
          </w:p>
        </w:tc>
        <w:tc>
          <w:tcPr>
            <w:tcW w:w="3546" w:type="dxa"/>
            <w:tcBorders>
              <w:top w:val="nil"/>
              <w:left w:val="nil"/>
              <w:bottom w:val="nil"/>
              <w:right w:val="nil"/>
            </w:tcBorders>
          </w:tcPr>
          <w:p w:rsidR="00967943" w:rsidRPr="00701945" w:rsidRDefault="00967943" w:rsidP="00F119F1"/>
        </w:tc>
      </w:tr>
      <w:tr w:rsidR="00967943" w:rsidRPr="00701945" w:rsidTr="00F119F1">
        <w:trPr>
          <w:cantSplit/>
          <w:trHeight w:val="382"/>
        </w:trPr>
        <w:tc>
          <w:tcPr>
            <w:tcW w:w="3507" w:type="dxa"/>
            <w:tcBorders>
              <w:top w:val="nil"/>
              <w:left w:val="nil"/>
              <w:bottom w:val="nil"/>
              <w:right w:val="nil"/>
            </w:tcBorders>
          </w:tcPr>
          <w:p w:rsidR="00967943" w:rsidRPr="00701945" w:rsidRDefault="00265029" w:rsidP="00F119F1">
            <w:pPr>
              <w:jc w:val="both"/>
            </w:pPr>
            <w:r w:rsidRPr="00265029">
              <w:t>Mark D. Ward</w:t>
            </w:r>
          </w:p>
        </w:tc>
        <w:tc>
          <w:tcPr>
            <w:tcW w:w="2511" w:type="dxa"/>
            <w:tcBorders>
              <w:top w:val="nil"/>
              <w:left w:val="nil"/>
              <w:bottom w:val="nil"/>
              <w:right w:val="nil"/>
            </w:tcBorders>
          </w:tcPr>
          <w:p w:rsidR="00967943" w:rsidRPr="00701945" w:rsidRDefault="00C72204" w:rsidP="00265029">
            <w:pPr>
              <w:jc w:val="center"/>
            </w:pPr>
            <w:r>
              <w:t>TECO</w:t>
            </w:r>
          </w:p>
        </w:tc>
        <w:tc>
          <w:tcPr>
            <w:tcW w:w="3546" w:type="dxa"/>
            <w:tcBorders>
              <w:top w:val="nil"/>
              <w:left w:val="nil"/>
              <w:bottom w:val="nil"/>
              <w:right w:val="nil"/>
            </w:tcBorders>
          </w:tcPr>
          <w:p w:rsidR="00967943" w:rsidRPr="00701945" w:rsidRDefault="00265029" w:rsidP="00F119F1">
            <w:r w:rsidRPr="00265029">
              <w:t>1, 2, 3, 4, 6</w:t>
            </w:r>
          </w:p>
        </w:tc>
      </w:tr>
      <w:tr w:rsidR="00967943" w:rsidRPr="00701945" w:rsidTr="00F119F1">
        <w:trPr>
          <w:cantSplit/>
          <w:trHeight w:val="362"/>
        </w:trPr>
        <w:tc>
          <w:tcPr>
            <w:tcW w:w="3507" w:type="dxa"/>
            <w:tcBorders>
              <w:top w:val="nil"/>
              <w:left w:val="nil"/>
              <w:bottom w:val="nil"/>
              <w:right w:val="nil"/>
            </w:tcBorders>
          </w:tcPr>
          <w:p w:rsidR="00967943" w:rsidRPr="00701945" w:rsidRDefault="00265029" w:rsidP="00F119F1">
            <w:pPr>
              <w:jc w:val="both"/>
            </w:pPr>
            <w:r w:rsidRPr="00265029">
              <w:t>Jose A. Aponte</w:t>
            </w:r>
          </w:p>
        </w:tc>
        <w:tc>
          <w:tcPr>
            <w:tcW w:w="2511" w:type="dxa"/>
            <w:tcBorders>
              <w:top w:val="nil"/>
              <w:left w:val="nil"/>
              <w:bottom w:val="nil"/>
              <w:right w:val="nil"/>
            </w:tcBorders>
          </w:tcPr>
          <w:p w:rsidR="00967943" w:rsidRPr="00701945" w:rsidRDefault="00C72204" w:rsidP="00265029">
            <w:pPr>
              <w:jc w:val="center"/>
            </w:pPr>
            <w:r>
              <w:t>TECO</w:t>
            </w:r>
          </w:p>
        </w:tc>
        <w:tc>
          <w:tcPr>
            <w:tcW w:w="3546" w:type="dxa"/>
            <w:tcBorders>
              <w:top w:val="nil"/>
              <w:left w:val="nil"/>
              <w:bottom w:val="nil"/>
              <w:right w:val="nil"/>
            </w:tcBorders>
          </w:tcPr>
          <w:p w:rsidR="00967943" w:rsidRPr="00701945" w:rsidRDefault="00265029" w:rsidP="00F119F1">
            <w:r w:rsidRPr="00265029">
              <w:t>1, 2, 4, 6</w:t>
            </w:r>
          </w:p>
        </w:tc>
      </w:tr>
      <w:tr w:rsidR="00967943" w:rsidRPr="00701945" w:rsidTr="00F119F1">
        <w:trPr>
          <w:cantSplit/>
          <w:trHeight w:val="362"/>
        </w:trPr>
        <w:tc>
          <w:tcPr>
            <w:tcW w:w="3507" w:type="dxa"/>
            <w:tcBorders>
              <w:top w:val="nil"/>
              <w:left w:val="nil"/>
              <w:bottom w:val="nil"/>
              <w:right w:val="nil"/>
            </w:tcBorders>
          </w:tcPr>
          <w:p w:rsidR="00967943" w:rsidRPr="00701945" w:rsidRDefault="00265029" w:rsidP="00F119F1">
            <w:pPr>
              <w:jc w:val="both"/>
            </w:pPr>
            <w:r w:rsidRPr="00265029">
              <w:t>William R. Ashburn</w:t>
            </w:r>
          </w:p>
        </w:tc>
        <w:tc>
          <w:tcPr>
            <w:tcW w:w="2511" w:type="dxa"/>
            <w:tcBorders>
              <w:top w:val="nil"/>
              <w:left w:val="nil"/>
              <w:bottom w:val="nil"/>
              <w:right w:val="nil"/>
            </w:tcBorders>
          </w:tcPr>
          <w:p w:rsidR="00967943" w:rsidRPr="00701945" w:rsidRDefault="00C72204" w:rsidP="00265029">
            <w:pPr>
              <w:jc w:val="center"/>
            </w:pPr>
            <w:r>
              <w:t>TECO</w:t>
            </w:r>
          </w:p>
        </w:tc>
        <w:tc>
          <w:tcPr>
            <w:tcW w:w="3546" w:type="dxa"/>
            <w:tcBorders>
              <w:top w:val="nil"/>
              <w:left w:val="nil"/>
              <w:bottom w:val="nil"/>
              <w:right w:val="nil"/>
            </w:tcBorders>
          </w:tcPr>
          <w:p w:rsidR="00967943" w:rsidRPr="00701945" w:rsidRDefault="00265029" w:rsidP="00F119F1">
            <w:r w:rsidRPr="00265029">
              <w:t>1, 5, 6</w:t>
            </w:r>
          </w:p>
        </w:tc>
      </w:tr>
    </w:tbl>
    <w:p w:rsidR="00967943" w:rsidRDefault="00967943" w:rsidP="00967943">
      <w:pPr>
        <w:jc w:val="both"/>
      </w:pPr>
    </w:p>
    <w:p w:rsidR="00967943" w:rsidRPr="00A32DC5" w:rsidRDefault="00967943" w:rsidP="00DD5E15">
      <w:pPr>
        <w:keepNext/>
        <w:jc w:val="both"/>
        <w:rPr>
          <w:b/>
        </w:rPr>
      </w:pPr>
      <w:r w:rsidRPr="00A32DC5">
        <w:rPr>
          <w:b/>
        </w:rPr>
        <w:t>VII.</w:t>
      </w:r>
      <w:r w:rsidRPr="00A32DC5">
        <w:rPr>
          <w:b/>
        </w:rPr>
        <w:tab/>
      </w:r>
      <w:r w:rsidRPr="00A32DC5">
        <w:rPr>
          <w:b/>
          <w:u w:val="single"/>
        </w:rPr>
        <w:t>BASIC POSITIONS</w:t>
      </w:r>
    </w:p>
    <w:p w:rsidR="0077045F" w:rsidRDefault="0077045F" w:rsidP="00DD5E15">
      <w:pPr>
        <w:keepNext/>
        <w:ind w:left="1440" w:hanging="1440"/>
        <w:jc w:val="both"/>
        <w:rPr>
          <w:b/>
          <w:bCs/>
        </w:rPr>
      </w:pPr>
    </w:p>
    <w:p w:rsidR="00967943" w:rsidRPr="009D69E8" w:rsidRDefault="0077045F" w:rsidP="009D69E8">
      <w:pPr>
        <w:keepNext/>
        <w:autoSpaceDE w:val="0"/>
        <w:autoSpaceDN w:val="0"/>
        <w:adjustRightInd w:val="0"/>
        <w:ind w:left="1440" w:hanging="1440"/>
        <w:jc w:val="both"/>
        <w:rPr>
          <w:b/>
          <w:i/>
        </w:rPr>
      </w:pPr>
      <w:r>
        <w:rPr>
          <w:b/>
          <w:bCs/>
        </w:rPr>
        <w:t>TECO</w:t>
      </w:r>
      <w:r w:rsidR="00D77BD4">
        <w:rPr>
          <w:b/>
          <w:bCs/>
        </w:rPr>
        <w:t>/FI</w:t>
      </w:r>
      <w:r w:rsidR="009D69E8">
        <w:rPr>
          <w:b/>
          <w:bCs/>
        </w:rPr>
        <w:t>PUG/OPC</w:t>
      </w:r>
      <w:r w:rsidR="00967943" w:rsidRPr="00701945">
        <w:rPr>
          <w:b/>
          <w:bCs/>
        </w:rPr>
        <w:t>:</w:t>
      </w:r>
      <w:r w:rsidR="009D69E8">
        <w:t xml:space="preserve"> </w:t>
      </w:r>
      <w:r w:rsidR="009D69E8">
        <w:rPr>
          <w:b/>
          <w:i/>
        </w:rPr>
        <w:t>Proposed Stipulation, See Section X</w:t>
      </w:r>
    </w:p>
    <w:p w:rsidR="00967943" w:rsidRPr="001B0E9F" w:rsidRDefault="00967943" w:rsidP="00967943">
      <w:pPr>
        <w:jc w:val="both"/>
      </w:pPr>
    </w:p>
    <w:p w:rsidR="00967943" w:rsidRDefault="00967943" w:rsidP="00967943">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w:t>
      </w:r>
      <w:r w:rsidR="00F11E69" w:rsidRPr="00701945">
        <w:t xml:space="preserve">. </w:t>
      </w:r>
      <w:r w:rsidRPr="00701945">
        <w:t>The preliminary positions are offered to assist the parties in preparing for the hearing</w:t>
      </w:r>
      <w:r w:rsidR="00F11E69" w:rsidRPr="00701945">
        <w:t xml:space="preserve">. </w:t>
      </w:r>
      <w:r w:rsidRPr="00701945">
        <w:t>Staff's final positions will be based upon all the evidence in the record and may differ from the preliminary positions</w:t>
      </w:r>
      <w:r w:rsidR="001B0E9F">
        <w:t xml:space="preserve"> stated herein</w:t>
      </w:r>
      <w:r w:rsidRPr="00701945">
        <w:t xml:space="preserve">. </w:t>
      </w:r>
    </w:p>
    <w:p w:rsidR="00535FB2" w:rsidRDefault="00535FB2" w:rsidP="00967943">
      <w:pPr>
        <w:ind w:left="1440" w:hanging="1440"/>
        <w:jc w:val="both"/>
      </w:pPr>
    </w:p>
    <w:p w:rsidR="00967943" w:rsidRPr="00701945" w:rsidRDefault="00967943" w:rsidP="00967943">
      <w:pPr>
        <w:ind w:left="1440" w:hanging="1440"/>
        <w:jc w:val="both"/>
      </w:pPr>
    </w:p>
    <w:p w:rsidR="00967943" w:rsidRPr="00A32DC5" w:rsidRDefault="00967943" w:rsidP="00967943">
      <w:pPr>
        <w:jc w:val="both"/>
        <w:rPr>
          <w:b/>
        </w:rPr>
      </w:pPr>
      <w:r w:rsidRPr="00A32DC5">
        <w:rPr>
          <w:b/>
        </w:rPr>
        <w:t>VIII.</w:t>
      </w:r>
      <w:r w:rsidRPr="00A32DC5">
        <w:rPr>
          <w:b/>
        </w:rPr>
        <w:tab/>
      </w:r>
      <w:r w:rsidRPr="00A32DC5">
        <w:rPr>
          <w:b/>
          <w:u w:val="single"/>
        </w:rPr>
        <w:t>ISSUES AND POSITIONS</w:t>
      </w:r>
    </w:p>
    <w:p w:rsidR="001B0E9F" w:rsidRDefault="001B0E9F" w:rsidP="001B0E9F">
      <w:pPr>
        <w:ind w:left="1440"/>
        <w:jc w:val="both"/>
      </w:pPr>
    </w:p>
    <w:p w:rsidR="00D27E70" w:rsidRPr="00D27E70" w:rsidRDefault="00967943" w:rsidP="009D69E8">
      <w:pPr>
        <w:ind w:left="1440" w:hanging="1440"/>
        <w:jc w:val="both"/>
      </w:pPr>
      <w:r w:rsidRPr="00400CC4">
        <w:rPr>
          <w:b/>
          <w:bCs/>
          <w:u w:val="single"/>
        </w:rPr>
        <w:t>ISSUE 1:</w:t>
      </w:r>
      <w:r w:rsidRPr="00701945">
        <w:tab/>
      </w:r>
      <w:r w:rsidR="009D69E8">
        <w:rPr>
          <w:b/>
          <w:i/>
        </w:rPr>
        <w:t>Proposed Stipulation, See Section X</w:t>
      </w:r>
    </w:p>
    <w:p w:rsidR="00E726E9" w:rsidRDefault="00E726E9" w:rsidP="00967943">
      <w:pPr>
        <w:jc w:val="both"/>
      </w:pPr>
    </w:p>
    <w:p w:rsidR="001B0E9F" w:rsidRDefault="001B0E9F" w:rsidP="009D69E8">
      <w:pPr>
        <w:ind w:left="1440" w:hanging="1440"/>
        <w:jc w:val="both"/>
        <w:rPr>
          <w:b/>
          <w:bCs/>
        </w:rPr>
      </w:pPr>
      <w:r w:rsidRPr="00400CC4">
        <w:rPr>
          <w:b/>
          <w:bCs/>
          <w:u w:val="single"/>
        </w:rPr>
        <w:t>ISSUE 2:</w:t>
      </w:r>
      <w:r w:rsidRPr="00701945">
        <w:tab/>
      </w:r>
      <w:r w:rsidR="009D69E8">
        <w:rPr>
          <w:b/>
          <w:i/>
        </w:rPr>
        <w:t>Proposed Stipulation, See Section X</w:t>
      </w:r>
    </w:p>
    <w:p w:rsidR="009D69E8" w:rsidRDefault="009D69E8" w:rsidP="00E726E9">
      <w:pPr>
        <w:ind w:left="1440" w:hanging="1440"/>
        <w:jc w:val="both"/>
        <w:rPr>
          <w:b/>
          <w:bCs/>
          <w:u w:val="single"/>
        </w:rPr>
      </w:pPr>
    </w:p>
    <w:p w:rsidR="001B0E9F" w:rsidRPr="00D27E70" w:rsidRDefault="001B0E9F" w:rsidP="009D69E8">
      <w:pPr>
        <w:ind w:left="1440" w:hanging="1440"/>
        <w:jc w:val="both"/>
        <w:rPr>
          <w:bCs/>
        </w:rPr>
      </w:pPr>
      <w:r w:rsidRPr="00400CC4">
        <w:rPr>
          <w:b/>
          <w:bCs/>
          <w:u w:val="single"/>
        </w:rPr>
        <w:t>ISSUE 3:</w:t>
      </w:r>
      <w:r w:rsidRPr="00701945">
        <w:tab/>
      </w:r>
      <w:r w:rsidR="009D69E8">
        <w:rPr>
          <w:b/>
          <w:i/>
        </w:rPr>
        <w:t>Proposed Stipulation, See Section X</w:t>
      </w:r>
    </w:p>
    <w:p w:rsidR="001B0E9F" w:rsidRDefault="001B0E9F" w:rsidP="001B0E9F">
      <w:pPr>
        <w:jc w:val="both"/>
        <w:rPr>
          <w:b/>
          <w:bCs/>
        </w:rPr>
      </w:pPr>
    </w:p>
    <w:p w:rsidR="001B0E9F" w:rsidRPr="00C14C8B" w:rsidRDefault="001B0E9F" w:rsidP="009D69E8">
      <w:pPr>
        <w:ind w:left="1440" w:hanging="1440"/>
        <w:jc w:val="both"/>
        <w:rPr>
          <w:bCs/>
        </w:rPr>
      </w:pPr>
      <w:r w:rsidRPr="00400CC4">
        <w:rPr>
          <w:b/>
          <w:bCs/>
          <w:u w:val="single"/>
        </w:rPr>
        <w:t>ISSUE 4:</w:t>
      </w:r>
      <w:r w:rsidRPr="00701945">
        <w:tab/>
      </w:r>
      <w:r w:rsidR="009D69E8">
        <w:rPr>
          <w:b/>
          <w:i/>
        </w:rPr>
        <w:t>Proposed Stipulation, See Section X</w:t>
      </w:r>
    </w:p>
    <w:p w:rsidR="001B0E9F" w:rsidRPr="00C14C8B" w:rsidRDefault="001B0E9F" w:rsidP="001B0E9F">
      <w:pPr>
        <w:jc w:val="both"/>
        <w:rPr>
          <w:bCs/>
        </w:rPr>
      </w:pPr>
    </w:p>
    <w:p w:rsidR="001B0E9F" w:rsidRPr="00C14C8B" w:rsidRDefault="001B0E9F" w:rsidP="009D69E8">
      <w:pPr>
        <w:ind w:left="1440" w:hanging="1440"/>
        <w:jc w:val="both"/>
        <w:rPr>
          <w:bCs/>
        </w:rPr>
      </w:pPr>
      <w:r w:rsidRPr="00400CC4">
        <w:rPr>
          <w:b/>
          <w:bCs/>
          <w:u w:val="single"/>
        </w:rPr>
        <w:lastRenderedPageBreak/>
        <w:t>ISSUE 5:</w:t>
      </w:r>
      <w:r w:rsidRPr="00701945">
        <w:tab/>
      </w:r>
      <w:r w:rsidR="009D69E8">
        <w:rPr>
          <w:b/>
          <w:i/>
        </w:rPr>
        <w:t>Proposed Stipulation, See Section X</w:t>
      </w:r>
    </w:p>
    <w:p w:rsidR="001B0E9F" w:rsidRPr="00C14C8B" w:rsidRDefault="001B0E9F" w:rsidP="001B0E9F">
      <w:pPr>
        <w:jc w:val="both"/>
        <w:rPr>
          <w:bCs/>
        </w:rPr>
      </w:pPr>
    </w:p>
    <w:p w:rsidR="001B0E9F" w:rsidRDefault="001B0E9F" w:rsidP="009D69E8">
      <w:pPr>
        <w:keepNext/>
        <w:ind w:left="1440" w:hanging="1440"/>
        <w:jc w:val="both"/>
        <w:rPr>
          <w:b/>
          <w:bCs/>
        </w:rPr>
      </w:pPr>
      <w:r w:rsidRPr="00400CC4">
        <w:rPr>
          <w:b/>
          <w:bCs/>
          <w:u w:val="single"/>
        </w:rPr>
        <w:t>ISSUE 6</w:t>
      </w:r>
      <w:r w:rsidRPr="00701945">
        <w:rPr>
          <w:b/>
          <w:bCs/>
        </w:rPr>
        <w:t>:</w:t>
      </w:r>
      <w:r w:rsidRPr="00701945">
        <w:tab/>
      </w:r>
      <w:r w:rsidR="009D69E8">
        <w:rPr>
          <w:b/>
          <w:i/>
        </w:rPr>
        <w:t>Proposed Stipulation, See Section X</w:t>
      </w:r>
    </w:p>
    <w:p w:rsidR="00400CC4" w:rsidRDefault="00400CC4" w:rsidP="001B0E9F">
      <w:pPr>
        <w:jc w:val="both"/>
        <w:rPr>
          <w:b/>
          <w:bCs/>
        </w:rPr>
      </w:pPr>
    </w:p>
    <w:p w:rsidR="00400CC4" w:rsidRDefault="001B0E9F" w:rsidP="001B0E9F">
      <w:pPr>
        <w:jc w:val="both"/>
      </w:pPr>
      <w:r w:rsidRPr="00400CC4">
        <w:rPr>
          <w:b/>
          <w:bCs/>
          <w:u w:val="single"/>
        </w:rPr>
        <w:t>ISSUE 7</w:t>
      </w:r>
      <w:r w:rsidR="00400CC4">
        <w:rPr>
          <w:b/>
          <w:bCs/>
          <w:u w:val="single"/>
        </w:rPr>
        <w:t>:</w:t>
      </w:r>
      <w:r w:rsidR="00400CC4">
        <w:rPr>
          <w:b/>
          <w:bCs/>
        </w:rPr>
        <w:tab/>
      </w:r>
      <w:r w:rsidR="009D69E8">
        <w:rPr>
          <w:b/>
          <w:i/>
        </w:rPr>
        <w:t>Proposed Stipulation, See Section X</w:t>
      </w:r>
    </w:p>
    <w:p w:rsidR="007840B9" w:rsidRDefault="007840B9" w:rsidP="001B0E9F">
      <w:pPr>
        <w:jc w:val="both"/>
      </w:pPr>
    </w:p>
    <w:p w:rsidR="004B013C" w:rsidRDefault="004B013C" w:rsidP="00967943">
      <w:pPr>
        <w:jc w:val="both"/>
        <w:rPr>
          <w:b/>
        </w:rPr>
      </w:pPr>
    </w:p>
    <w:p w:rsidR="00967943" w:rsidRPr="00A32DC5" w:rsidRDefault="00967943" w:rsidP="002C4F16">
      <w:pPr>
        <w:keepNext/>
        <w:jc w:val="both"/>
        <w:rPr>
          <w:b/>
        </w:rPr>
      </w:pPr>
      <w:r w:rsidRPr="00A32DC5">
        <w:rPr>
          <w:b/>
        </w:rPr>
        <w:t>IX.</w:t>
      </w:r>
      <w:r w:rsidRPr="00A32DC5">
        <w:rPr>
          <w:b/>
        </w:rPr>
        <w:tab/>
      </w:r>
      <w:r w:rsidRPr="00A32DC5">
        <w:rPr>
          <w:b/>
          <w:u w:val="single"/>
        </w:rPr>
        <w:t>EXHIBIT LIST</w:t>
      </w:r>
    </w:p>
    <w:p w:rsidR="00967943" w:rsidRPr="00701945" w:rsidRDefault="00967943" w:rsidP="002C4F16">
      <w:pPr>
        <w:keepNext/>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67943" w:rsidRPr="00701945" w:rsidTr="00F119F1">
        <w:trPr>
          <w:cantSplit/>
          <w:trHeight w:val="373"/>
          <w:tblHeader/>
        </w:trPr>
        <w:tc>
          <w:tcPr>
            <w:tcW w:w="3198" w:type="dxa"/>
            <w:tcBorders>
              <w:top w:val="nil"/>
              <w:left w:val="nil"/>
              <w:bottom w:val="nil"/>
              <w:right w:val="nil"/>
            </w:tcBorders>
          </w:tcPr>
          <w:p w:rsidR="00967943" w:rsidRPr="00701945" w:rsidRDefault="00967943" w:rsidP="002C4F16">
            <w:pPr>
              <w:keepNext/>
              <w:jc w:val="both"/>
            </w:pPr>
            <w:r w:rsidRPr="00701945">
              <w:rPr>
                <w:u w:val="single"/>
              </w:rPr>
              <w:t>Witness</w:t>
            </w:r>
          </w:p>
        </w:tc>
        <w:tc>
          <w:tcPr>
            <w:tcW w:w="1680" w:type="dxa"/>
            <w:tcBorders>
              <w:top w:val="nil"/>
              <w:left w:val="nil"/>
              <w:bottom w:val="nil"/>
              <w:right w:val="nil"/>
            </w:tcBorders>
          </w:tcPr>
          <w:p w:rsidR="00967943" w:rsidRPr="00701945" w:rsidRDefault="00967943" w:rsidP="002C4F16">
            <w:pPr>
              <w:keepNext/>
              <w:jc w:val="center"/>
            </w:pPr>
            <w:r w:rsidRPr="00701945">
              <w:rPr>
                <w:u w:val="single"/>
              </w:rPr>
              <w:t>Proffered By</w:t>
            </w:r>
          </w:p>
        </w:tc>
        <w:tc>
          <w:tcPr>
            <w:tcW w:w="1482" w:type="dxa"/>
            <w:tcBorders>
              <w:top w:val="nil"/>
              <w:left w:val="nil"/>
              <w:bottom w:val="nil"/>
              <w:right w:val="nil"/>
            </w:tcBorders>
          </w:tcPr>
          <w:p w:rsidR="00967943" w:rsidRPr="004515FB" w:rsidRDefault="00967943" w:rsidP="002C4F16">
            <w:pPr>
              <w:keepNext/>
              <w:jc w:val="center"/>
            </w:pPr>
          </w:p>
        </w:tc>
        <w:tc>
          <w:tcPr>
            <w:tcW w:w="3205" w:type="dxa"/>
            <w:tcBorders>
              <w:top w:val="nil"/>
              <w:left w:val="nil"/>
              <w:bottom w:val="nil"/>
              <w:right w:val="nil"/>
            </w:tcBorders>
          </w:tcPr>
          <w:p w:rsidR="00967943" w:rsidRPr="00701945" w:rsidRDefault="00967943" w:rsidP="002C4F16">
            <w:pPr>
              <w:keepNext/>
              <w:jc w:val="both"/>
            </w:pPr>
            <w:r w:rsidRPr="00701945">
              <w:rPr>
                <w:u w:val="single"/>
              </w:rPr>
              <w:t>Description</w:t>
            </w:r>
          </w:p>
        </w:tc>
      </w:tr>
      <w:tr w:rsidR="00967943" w:rsidRPr="00701945" w:rsidTr="00F119F1">
        <w:trPr>
          <w:cantSplit/>
          <w:trHeight w:val="353"/>
        </w:trPr>
        <w:tc>
          <w:tcPr>
            <w:tcW w:w="3198" w:type="dxa"/>
            <w:tcBorders>
              <w:top w:val="nil"/>
              <w:left w:val="nil"/>
              <w:bottom w:val="nil"/>
              <w:right w:val="nil"/>
            </w:tcBorders>
          </w:tcPr>
          <w:p w:rsidR="00967943" w:rsidRPr="00701945" w:rsidRDefault="00967943" w:rsidP="002C4F16">
            <w:pPr>
              <w:keepNext/>
              <w:jc w:val="both"/>
            </w:pPr>
            <w:r w:rsidRPr="00701945">
              <w:tab/>
            </w:r>
            <w:r w:rsidRPr="00701945">
              <w:rPr>
                <w:u w:val="single"/>
              </w:rPr>
              <w:t>Direct</w:t>
            </w:r>
          </w:p>
        </w:tc>
        <w:tc>
          <w:tcPr>
            <w:tcW w:w="1680" w:type="dxa"/>
            <w:tcBorders>
              <w:top w:val="nil"/>
              <w:left w:val="nil"/>
              <w:bottom w:val="nil"/>
              <w:right w:val="nil"/>
            </w:tcBorders>
          </w:tcPr>
          <w:p w:rsidR="00967943" w:rsidRPr="00701945" w:rsidRDefault="00967943" w:rsidP="002C4F16">
            <w:pPr>
              <w:keepNext/>
              <w:jc w:val="center"/>
            </w:pPr>
          </w:p>
        </w:tc>
        <w:tc>
          <w:tcPr>
            <w:tcW w:w="1482" w:type="dxa"/>
            <w:tcBorders>
              <w:top w:val="nil"/>
              <w:left w:val="nil"/>
              <w:bottom w:val="nil"/>
              <w:right w:val="nil"/>
            </w:tcBorders>
          </w:tcPr>
          <w:p w:rsidR="00967943" w:rsidRPr="004515FB" w:rsidRDefault="00967943" w:rsidP="002C4F16">
            <w:pPr>
              <w:keepNext/>
              <w:jc w:val="center"/>
            </w:pPr>
          </w:p>
        </w:tc>
        <w:tc>
          <w:tcPr>
            <w:tcW w:w="3205" w:type="dxa"/>
            <w:tcBorders>
              <w:top w:val="nil"/>
              <w:left w:val="nil"/>
              <w:bottom w:val="nil"/>
              <w:right w:val="nil"/>
            </w:tcBorders>
          </w:tcPr>
          <w:p w:rsidR="00967943" w:rsidRPr="00701945" w:rsidRDefault="00967943" w:rsidP="002C4F16">
            <w:pPr>
              <w:keepNext/>
            </w:pPr>
          </w:p>
        </w:tc>
      </w:tr>
      <w:tr w:rsidR="00967943" w:rsidRPr="00701945" w:rsidTr="00F119F1">
        <w:trPr>
          <w:cantSplit/>
          <w:trHeight w:val="726"/>
        </w:trPr>
        <w:tc>
          <w:tcPr>
            <w:tcW w:w="3198" w:type="dxa"/>
            <w:tcBorders>
              <w:top w:val="nil"/>
              <w:left w:val="nil"/>
              <w:bottom w:val="nil"/>
              <w:right w:val="nil"/>
            </w:tcBorders>
          </w:tcPr>
          <w:p w:rsidR="00967943" w:rsidRPr="00701945" w:rsidRDefault="00265029" w:rsidP="002C4F16">
            <w:pPr>
              <w:keepNext/>
              <w:jc w:val="both"/>
            </w:pPr>
            <w:r w:rsidRPr="00265029">
              <w:t>Jose A. Aponte</w:t>
            </w:r>
          </w:p>
        </w:tc>
        <w:tc>
          <w:tcPr>
            <w:tcW w:w="1680" w:type="dxa"/>
            <w:tcBorders>
              <w:top w:val="nil"/>
              <w:left w:val="nil"/>
              <w:bottom w:val="nil"/>
              <w:right w:val="nil"/>
            </w:tcBorders>
          </w:tcPr>
          <w:p w:rsidR="00967943" w:rsidRPr="00701945" w:rsidRDefault="00C72204" w:rsidP="002C4F16">
            <w:pPr>
              <w:keepNext/>
              <w:jc w:val="center"/>
            </w:pPr>
            <w:r>
              <w:t>TECO</w:t>
            </w:r>
          </w:p>
        </w:tc>
        <w:tc>
          <w:tcPr>
            <w:tcW w:w="1482" w:type="dxa"/>
            <w:tcBorders>
              <w:top w:val="nil"/>
              <w:left w:val="nil"/>
              <w:bottom w:val="nil"/>
              <w:right w:val="nil"/>
            </w:tcBorders>
          </w:tcPr>
          <w:p w:rsidR="00967943" w:rsidRPr="004515FB" w:rsidRDefault="00265029" w:rsidP="002C4F16">
            <w:pPr>
              <w:keepNext/>
              <w:jc w:val="center"/>
            </w:pPr>
            <w:r w:rsidRPr="00265029">
              <w:t>JAA-1</w:t>
            </w:r>
          </w:p>
        </w:tc>
        <w:tc>
          <w:tcPr>
            <w:tcW w:w="3205" w:type="dxa"/>
            <w:tcBorders>
              <w:top w:val="nil"/>
              <w:left w:val="nil"/>
              <w:bottom w:val="nil"/>
              <w:right w:val="nil"/>
            </w:tcBorders>
          </w:tcPr>
          <w:p w:rsidR="004D648F" w:rsidRDefault="004D648F" w:rsidP="004D648F">
            <w:pPr>
              <w:jc w:val="both"/>
            </w:pPr>
            <w:r>
              <w:t xml:space="preserve">Demand and Energy Forecast; Fuel Price Forecast; Revenue Requirements for Third </w:t>
            </w:r>
            <w:proofErr w:type="spellStart"/>
            <w:r>
              <w:t>SoBRA</w:t>
            </w:r>
            <w:proofErr w:type="spellEnd"/>
            <w:r>
              <w:t xml:space="preserve">; Revenue Requirements for Third </w:t>
            </w:r>
            <w:proofErr w:type="spellStart"/>
            <w:r>
              <w:t>SoBRA</w:t>
            </w:r>
            <w:proofErr w:type="spellEnd"/>
            <w:r>
              <w:t xml:space="preserve"> with LMR Land as Purchase; Cost-effectiveness</w:t>
            </w:r>
          </w:p>
          <w:p w:rsidR="00967943" w:rsidRPr="00701945" w:rsidRDefault="004D648F" w:rsidP="004D648F">
            <w:pPr>
              <w:keepNext/>
              <w:jc w:val="both"/>
            </w:pPr>
            <w:r>
              <w:t xml:space="preserve">Test for Third </w:t>
            </w:r>
            <w:proofErr w:type="spellStart"/>
            <w:r>
              <w:t>SoBRA</w:t>
            </w:r>
            <w:proofErr w:type="spellEnd"/>
          </w:p>
        </w:tc>
      </w:tr>
      <w:tr w:rsidR="00967943" w:rsidRPr="00701945" w:rsidTr="00F119F1">
        <w:trPr>
          <w:cantSplit/>
          <w:trHeight w:val="353"/>
        </w:trPr>
        <w:tc>
          <w:tcPr>
            <w:tcW w:w="3198" w:type="dxa"/>
            <w:tcBorders>
              <w:top w:val="nil"/>
              <w:left w:val="nil"/>
              <w:bottom w:val="nil"/>
              <w:right w:val="nil"/>
            </w:tcBorders>
          </w:tcPr>
          <w:p w:rsidR="00967943" w:rsidRPr="00701945" w:rsidRDefault="00265029" w:rsidP="00F119F1">
            <w:pPr>
              <w:jc w:val="both"/>
            </w:pPr>
            <w:r w:rsidRPr="00265029">
              <w:t>William R. Ashburn</w:t>
            </w:r>
          </w:p>
        </w:tc>
        <w:tc>
          <w:tcPr>
            <w:tcW w:w="1680" w:type="dxa"/>
            <w:tcBorders>
              <w:top w:val="nil"/>
              <w:left w:val="nil"/>
              <w:bottom w:val="nil"/>
              <w:right w:val="nil"/>
            </w:tcBorders>
          </w:tcPr>
          <w:p w:rsidR="00967943" w:rsidRPr="00701945" w:rsidRDefault="00C72204" w:rsidP="00265029">
            <w:pPr>
              <w:jc w:val="center"/>
            </w:pPr>
            <w:r>
              <w:t>TECO</w:t>
            </w:r>
          </w:p>
        </w:tc>
        <w:tc>
          <w:tcPr>
            <w:tcW w:w="1482" w:type="dxa"/>
            <w:tcBorders>
              <w:top w:val="nil"/>
              <w:left w:val="nil"/>
              <w:bottom w:val="nil"/>
              <w:right w:val="nil"/>
            </w:tcBorders>
          </w:tcPr>
          <w:p w:rsidR="00967943" w:rsidRPr="004515FB" w:rsidRDefault="00265029" w:rsidP="00F119F1">
            <w:pPr>
              <w:jc w:val="center"/>
            </w:pPr>
            <w:r w:rsidRPr="00265029">
              <w:t>WRA-1</w:t>
            </w:r>
          </w:p>
        </w:tc>
        <w:tc>
          <w:tcPr>
            <w:tcW w:w="3205" w:type="dxa"/>
            <w:tcBorders>
              <w:top w:val="nil"/>
              <w:left w:val="nil"/>
              <w:bottom w:val="nil"/>
              <w:right w:val="nil"/>
            </w:tcBorders>
          </w:tcPr>
          <w:p w:rsidR="002C4F16" w:rsidRDefault="002C4F16" w:rsidP="002C4F16">
            <w:pPr>
              <w:autoSpaceDE w:val="0"/>
              <w:autoSpaceDN w:val="0"/>
              <w:adjustRightInd w:val="0"/>
              <w:jc w:val="both"/>
            </w:pPr>
            <w:r>
              <w:t xml:space="preserve">Development of Third </w:t>
            </w:r>
            <w:proofErr w:type="spellStart"/>
            <w:r>
              <w:t>SoBRA</w:t>
            </w:r>
            <w:proofErr w:type="spellEnd"/>
            <w:r>
              <w:t xml:space="preserve"> Base Revenue Increase by Rate Class; Base Revenue by Rate Schedule; Rollup Base Revenue by Rate Class for Third </w:t>
            </w:r>
            <w:proofErr w:type="spellStart"/>
            <w:r>
              <w:t>SoBRA</w:t>
            </w:r>
            <w:proofErr w:type="spellEnd"/>
            <w:r>
              <w:t xml:space="preserve">; Typical Bills Reflecting Third </w:t>
            </w:r>
            <w:proofErr w:type="spellStart"/>
            <w:r>
              <w:t>SoBRA</w:t>
            </w:r>
            <w:proofErr w:type="spellEnd"/>
            <w:r>
              <w:t xml:space="preserve"> Base Revenue Increase; Determination of Fuel Recovery Factor for</w:t>
            </w:r>
          </w:p>
          <w:p w:rsidR="00967943" w:rsidRPr="00701945" w:rsidRDefault="002C4F16" w:rsidP="002C4F16">
            <w:pPr>
              <w:autoSpaceDE w:val="0"/>
              <w:autoSpaceDN w:val="0"/>
              <w:adjustRightInd w:val="0"/>
              <w:jc w:val="both"/>
            </w:pPr>
            <w:r>
              <w:t xml:space="preserve">Third </w:t>
            </w:r>
            <w:proofErr w:type="spellStart"/>
            <w:r>
              <w:t>SoBRA</w:t>
            </w:r>
            <w:proofErr w:type="spellEnd"/>
            <w:r>
              <w:t xml:space="preserve">; Redlined Tariffs Reflecting Third </w:t>
            </w:r>
            <w:proofErr w:type="spellStart"/>
            <w:r>
              <w:t>SoBRA</w:t>
            </w:r>
            <w:proofErr w:type="spellEnd"/>
            <w:r>
              <w:t xml:space="preserve"> Base Revenue Increase; Clean Tariffs Reflecting Third </w:t>
            </w:r>
            <w:proofErr w:type="spellStart"/>
            <w:r>
              <w:t>SoBRA</w:t>
            </w:r>
            <w:proofErr w:type="spellEnd"/>
            <w:r>
              <w:t xml:space="preserve"> Base Revenue Increase</w:t>
            </w:r>
          </w:p>
        </w:tc>
      </w:tr>
      <w:tr w:rsidR="00967943" w:rsidRPr="00701945" w:rsidTr="00F119F1">
        <w:trPr>
          <w:cantSplit/>
          <w:trHeight w:val="373"/>
        </w:trPr>
        <w:tc>
          <w:tcPr>
            <w:tcW w:w="3198" w:type="dxa"/>
            <w:tcBorders>
              <w:top w:val="nil"/>
              <w:left w:val="nil"/>
              <w:bottom w:val="nil"/>
              <w:right w:val="nil"/>
            </w:tcBorders>
          </w:tcPr>
          <w:p w:rsidR="00967943" w:rsidRPr="00701945" w:rsidRDefault="0077045F" w:rsidP="00F119F1">
            <w:pPr>
              <w:jc w:val="both"/>
            </w:pPr>
            <w:r w:rsidRPr="0077045F">
              <w:t>Mark D. Ward</w:t>
            </w:r>
          </w:p>
        </w:tc>
        <w:tc>
          <w:tcPr>
            <w:tcW w:w="1680" w:type="dxa"/>
            <w:tcBorders>
              <w:top w:val="nil"/>
              <w:left w:val="nil"/>
              <w:bottom w:val="nil"/>
              <w:right w:val="nil"/>
            </w:tcBorders>
          </w:tcPr>
          <w:p w:rsidR="00967943" w:rsidRPr="00701945" w:rsidRDefault="00C72204" w:rsidP="0077045F">
            <w:pPr>
              <w:jc w:val="center"/>
            </w:pPr>
            <w:r>
              <w:t>TECO</w:t>
            </w:r>
          </w:p>
        </w:tc>
        <w:tc>
          <w:tcPr>
            <w:tcW w:w="1482" w:type="dxa"/>
            <w:tcBorders>
              <w:top w:val="nil"/>
              <w:left w:val="nil"/>
              <w:bottom w:val="nil"/>
              <w:right w:val="nil"/>
            </w:tcBorders>
          </w:tcPr>
          <w:p w:rsidR="00967943" w:rsidRPr="004515FB" w:rsidRDefault="0077045F" w:rsidP="00F119F1">
            <w:pPr>
              <w:jc w:val="center"/>
            </w:pPr>
            <w:r w:rsidRPr="0077045F">
              <w:t>MDW-1</w:t>
            </w:r>
          </w:p>
        </w:tc>
        <w:tc>
          <w:tcPr>
            <w:tcW w:w="3205" w:type="dxa"/>
            <w:tcBorders>
              <w:top w:val="nil"/>
              <w:left w:val="nil"/>
              <w:bottom w:val="nil"/>
              <w:right w:val="nil"/>
            </w:tcBorders>
          </w:tcPr>
          <w:p w:rsidR="00967943" w:rsidRPr="00701945" w:rsidRDefault="0077045F" w:rsidP="0077045F">
            <w:pPr>
              <w:autoSpaceDE w:val="0"/>
              <w:autoSpaceDN w:val="0"/>
              <w:adjustRightInd w:val="0"/>
              <w:jc w:val="both"/>
            </w:pPr>
            <w:r>
              <w:t>Wimauma Solar Project Specifications and Projected Costs; Little Manatee River Solar Project Specifications and Projected Costs</w:t>
            </w:r>
          </w:p>
        </w:tc>
      </w:tr>
    </w:tbl>
    <w:p w:rsidR="00967943" w:rsidRPr="00A32DC5" w:rsidRDefault="00967943" w:rsidP="00266FFA">
      <w:pPr>
        <w:keepNext/>
        <w:jc w:val="both"/>
        <w:rPr>
          <w:b/>
        </w:rPr>
      </w:pPr>
      <w:r w:rsidRPr="00A32DC5">
        <w:rPr>
          <w:b/>
        </w:rPr>
        <w:lastRenderedPageBreak/>
        <w:t>X.</w:t>
      </w:r>
      <w:r w:rsidRPr="00A32DC5">
        <w:rPr>
          <w:b/>
        </w:rPr>
        <w:tab/>
      </w:r>
      <w:r w:rsidRPr="00A32DC5">
        <w:rPr>
          <w:b/>
          <w:u w:val="single"/>
        </w:rPr>
        <w:t>PROPOSED STIPULATIONS</w:t>
      </w:r>
    </w:p>
    <w:p w:rsidR="00967943" w:rsidRDefault="00967943" w:rsidP="00266FFA">
      <w:pPr>
        <w:keepNext/>
        <w:jc w:val="both"/>
      </w:pPr>
    </w:p>
    <w:p w:rsidR="004C4CAB" w:rsidRDefault="00BA7F7D" w:rsidP="00266FFA">
      <w:pPr>
        <w:keepNext/>
        <w:autoSpaceDE w:val="0"/>
        <w:autoSpaceDN w:val="0"/>
        <w:adjustRightInd w:val="0"/>
        <w:jc w:val="both"/>
      </w:pPr>
      <w:r>
        <w:rPr>
          <w:rFonts w:eastAsiaTheme="minorHAnsi"/>
        </w:rPr>
        <w:tab/>
      </w:r>
      <w:r w:rsidR="00CE13DE">
        <w:t>As referenced in Section VIII</w:t>
      </w:r>
      <w:r w:rsidR="009D69E8">
        <w:t xml:space="preserve">, the parties have reached </w:t>
      </w:r>
      <w:r w:rsidR="004C4CAB">
        <w:t xml:space="preserve">proposed </w:t>
      </w:r>
      <w:r w:rsidR="009D69E8">
        <w:t>stipulations</w:t>
      </w:r>
      <w:r w:rsidR="004C4A1B">
        <w:t xml:space="preserve"> on</w:t>
      </w:r>
      <w:r w:rsidR="009D69E8">
        <w:t xml:space="preserve"> their basic positions and all issues in this docket. </w:t>
      </w:r>
      <w:r w:rsidR="004C4CAB">
        <w:t>TECO and OPC have reached proposed stipulations on all issues;</w:t>
      </w:r>
      <w:r w:rsidR="00DD222E">
        <w:t xml:space="preserve"> FIPUG takes no position on these stipulations</w:t>
      </w:r>
      <w:r w:rsidR="0059521A">
        <w:t>. Thus, the stipulations in this case reflect Type 2 Stipulations, which are stipulations where at least one party takes no position.</w:t>
      </w:r>
    </w:p>
    <w:p w:rsidR="009C3457" w:rsidRDefault="009C3457" w:rsidP="004C4A1B">
      <w:pPr>
        <w:autoSpaceDE w:val="0"/>
        <w:autoSpaceDN w:val="0"/>
        <w:adjustRightInd w:val="0"/>
        <w:jc w:val="both"/>
      </w:pPr>
    </w:p>
    <w:p w:rsidR="004C4CAB" w:rsidRDefault="004C4CAB" w:rsidP="004C4CAB">
      <w:pPr>
        <w:autoSpaceDE w:val="0"/>
        <w:autoSpaceDN w:val="0"/>
        <w:adjustRightInd w:val="0"/>
        <w:rPr>
          <w:rFonts w:eastAsiaTheme="minorHAnsi"/>
          <w:b/>
          <w:u w:val="single"/>
        </w:rPr>
      </w:pPr>
      <w:r>
        <w:rPr>
          <w:rFonts w:eastAsiaTheme="minorHAnsi"/>
          <w:b/>
          <w:u w:val="single"/>
        </w:rPr>
        <w:t>BASIC POSITION</w:t>
      </w:r>
    </w:p>
    <w:p w:rsidR="004C4CAB" w:rsidRDefault="004C4CAB" w:rsidP="004C4CAB">
      <w:pPr>
        <w:autoSpaceDE w:val="0"/>
        <w:autoSpaceDN w:val="0"/>
        <w:adjustRightInd w:val="0"/>
        <w:rPr>
          <w:rFonts w:eastAsiaTheme="minorHAnsi"/>
        </w:rPr>
      </w:pPr>
    </w:p>
    <w:p w:rsidR="00865F23" w:rsidRDefault="004C4CAB" w:rsidP="00865F23">
      <w:pPr>
        <w:autoSpaceDE w:val="0"/>
        <w:autoSpaceDN w:val="0"/>
        <w:adjustRightInd w:val="0"/>
        <w:ind w:left="1440" w:hanging="1440"/>
        <w:jc w:val="both"/>
        <w:rPr>
          <w:rFonts w:eastAsiaTheme="minorHAnsi"/>
        </w:rPr>
      </w:pPr>
      <w:r w:rsidRPr="004C4CAB">
        <w:rPr>
          <w:rFonts w:eastAsiaTheme="minorHAnsi"/>
          <w:b/>
          <w:i/>
          <w:sz w:val="20"/>
          <w:szCs w:val="20"/>
          <w:u w:val="single"/>
        </w:rPr>
        <w:t>STIPULATION:</w:t>
      </w:r>
      <w:r w:rsidRPr="004C4CAB">
        <w:rPr>
          <w:rFonts w:eastAsiaTheme="minorHAnsi"/>
          <w:sz w:val="20"/>
          <w:szCs w:val="20"/>
        </w:rPr>
        <w:t xml:space="preserve"> </w:t>
      </w:r>
      <w:r w:rsidR="00865F23" w:rsidRPr="00865F23">
        <w:rPr>
          <w:rFonts w:eastAsiaTheme="minorHAnsi"/>
        </w:rPr>
        <w:t>Tampa Electric seeks approval of its Third Solar Base Rate Adjustment ("</w:t>
      </w:r>
      <w:proofErr w:type="spellStart"/>
      <w:r w:rsidR="00865F23" w:rsidRPr="00865F23">
        <w:rPr>
          <w:rFonts w:eastAsiaTheme="minorHAnsi"/>
        </w:rPr>
        <w:t>SoBRA</w:t>
      </w:r>
      <w:proofErr w:type="spellEnd"/>
      <w:r w:rsidR="00865F23" w:rsidRPr="00865F23">
        <w:rPr>
          <w:rFonts w:eastAsiaTheme="minorHAnsi"/>
        </w:rPr>
        <w:t>")</w:t>
      </w:r>
      <w:r w:rsidR="00865F23">
        <w:rPr>
          <w:rFonts w:eastAsiaTheme="minorHAnsi"/>
        </w:rPr>
        <w:t xml:space="preserve"> </w:t>
      </w:r>
      <w:r w:rsidR="00865F23" w:rsidRPr="00865F23">
        <w:rPr>
          <w:rFonts w:eastAsiaTheme="minorHAnsi"/>
        </w:rPr>
        <w:t>consistent, and in accordance with the 2017 Agreement. The 2017 Agreement is a</w:t>
      </w:r>
      <w:r w:rsidR="00865F23">
        <w:rPr>
          <w:rFonts w:eastAsiaTheme="minorHAnsi"/>
        </w:rPr>
        <w:t xml:space="preserve"> </w:t>
      </w:r>
      <w:r w:rsidR="00865F23" w:rsidRPr="00865F23">
        <w:rPr>
          <w:rFonts w:eastAsiaTheme="minorHAnsi"/>
        </w:rPr>
        <w:t>carefully negotiated agreem</w:t>
      </w:r>
      <w:r w:rsidR="002D6336">
        <w:rPr>
          <w:rFonts w:eastAsiaTheme="minorHAnsi"/>
        </w:rPr>
        <w:t xml:space="preserve">ent—unique to Tampa Electric—that </w:t>
      </w:r>
      <w:r w:rsidR="00865F23" w:rsidRPr="00865F23">
        <w:rPr>
          <w:rFonts w:eastAsiaTheme="minorHAnsi"/>
        </w:rPr>
        <w:t>reflects a delicate</w:t>
      </w:r>
      <w:r w:rsidR="00865F23">
        <w:rPr>
          <w:rFonts w:eastAsiaTheme="minorHAnsi"/>
        </w:rPr>
        <w:t xml:space="preserve"> </w:t>
      </w:r>
      <w:r w:rsidR="00865F23" w:rsidRPr="00865F23">
        <w:rPr>
          <w:rFonts w:eastAsiaTheme="minorHAnsi"/>
        </w:rPr>
        <w:t>balance of gives and takes among the parties, and which contains a collection of</w:t>
      </w:r>
      <w:r w:rsidR="00865F23">
        <w:rPr>
          <w:rFonts w:eastAsiaTheme="minorHAnsi"/>
        </w:rPr>
        <w:t xml:space="preserve"> </w:t>
      </w:r>
      <w:r w:rsidR="00865F23" w:rsidRPr="00865F23">
        <w:rPr>
          <w:rFonts w:eastAsiaTheme="minorHAnsi"/>
        </w:rPr>
        <w:t>individual provisions that, absent the others, would likely not be acceptable to some</w:t>
      </w:r>
      <w:r w:rsidR="00865F23">
        <w:rPr>
          <w:rFonts w:eastAsiaTheme="minorHAnsi"/>
        </w:rPr>
        <w:t xml:space="preserve"> </w:t>
      </w:r>
      <w:r w:rsidR="00865F23" w:rsidRPr="00865F23">
        <w:rPr>
          <w:rFonts w:eastAsiaTheme="minorHAnsi"/>
        </w:rPr>
        <w:t>or all of the parties if presented on a stand-alone basis. Paragraph 6, which</w:t>
      </w:r>
      <w:r w:rsidR="00865F23">
        <w:rPr>
          <w:rFonts w:eastAsiaTheme="minorHAnsi"/>
        </w:rPr>
        <w:t xml:space="preserve"> </w:t>
      </w:r>
      <w:r w:rsidR="00865F23" w:rsidRPr="00865F23">
        <w:rPr>
          <w:rFonts w:eastAsiaTheme="minorHAnsi"/>
        </w:rPr>
        <w:t xml:space="preserve">authorizes a series of </w:t>
      </w:r>
      <w:proofErr w:type="spellStart"/>
      <w:r w:rsidR="00865F23" w:rsidRPr="00865F23">
        <w:rPr>
          <w:rFonts w:eastAsiaTheme="minorHAnsi"/>
        </w:rPr>
        <w:t>SoBRAs</w:t>
      </w:r>
      <w:proofErr w:type="spellEnd"/>
      <w:r w:rsidR="00865F23" w:rsidRPr="00865F23">
        <w:rPr>
          <w:rFonts w:eastAsiaTheme="minorHAnsi"/>
        </w:rPr>
        <w:t>, is one such provision. Paragraph 9, which required</w:t>
      </w:r>
      <w:r w:rsidR="00865F23">
        <w:rPr>
          <w:rFonts w:eastAsiaTheme="minorHAnsi"/>
        </w:rPr>
        <w:t xml:space="preserve"> </w:t>
      </w:r>
      <w:r w:rsidR="00865F23" w:rsidRPr="00865F23">
        <w:rPr>
          <w:rFonts w:eastAsiaTheme="minorHAnsi"/>
        </w:rPr>
        <w:t>Tampa Electric to make a one-time tax reform revenue requirement reduction of</w:t>
      </w:r>
      <w:r w:rsidR="00865F23">
        <w:rPr>
          <w:rFonts w:eastAsiaTheme="minorHAnsi"/>
        </w:rPr>
        <w:t xml:space="preserve"> </w:t>
      </w:r>
      <w:r w:rsidR="00865F23" w:rsidRPr="00865F23">
        <w:rPr>
          <w:rFonts w:eastAsiaTheme="minorHAnsi"/>
        </w:rPr>
        <w:t xml:space="preserve">over $100 million effective January </w:t>
      </w:r>
      <w:proofErr w:type="gramStart"/>
      <w:r w:rsidR="00865F23" w:rsidRPr="00865F23">
        <w:rPr>
          <w:rFonts w:eastAsiaTheme="minorHAnsi"/>
        </w:rPr>
        <w:t>2019</w:t>
      </w:r>
      <w:proofErr w:type="gramEnd"/>
      <w:r w:rsidR="00865F23" w:rsidRPr="00865F23">
        <w:rPr>
          <w:rFonts w:eastAsiaTheme="minorHAnsi"/>
        </w:rPr>
        <w:t xml:space="preserve"> is another. There are many others.</w:t>
      </w:r>
      <w:r w:rsidR="00865F23">
        <w:rPr>
          <w:rFonts w:eastAsiaTheme="minorHAnsi"/>
        </w:rPr>
        <w:t xml:space="preserve"> </w:t>
      </w:r>
    </w:p>
    <w:p w:rsidR="00865F23" w:rsidRDefault="00865F23" w:rsidP="00865F23">
      <w:pPr>
        <w:autoSpaceDE w:val="0"/>
        <w:autoSpaceDN w:val="0"/>
        <w:adjustRightInd w:val="0"/>
        <w:ind w:left="1440" w:hanging="1440"/>
        <w:jc w:val="both"/>
        <w:rPr>
          <w:rFonts w:eastAsiaTheme="minorHAnsi"/>
        </w:rPr>
      </w:pPr>
    </w:p>
    <w:p w:rsidR="00865F23" w:rsidRDefault="00865F23" w:rsidP="00865F23">
      <w:pPr>
        <w:autoSpaceDE w:val="0"/>
        <w:autoSpaceDN w:val="0"/>
        <w:adjustRightInd w:val="0"/>
        <w:ind w:left="1440"/>
        <w:jc w:val="both"/>
        <w:rPr>
          <w:rFonts w:eastAsiaTheme="minorHAnsi"/>
        </w:rPr>
      </w:pPr>
      <w:r w:rsidRPr="00865F23">
        <w:rPr>
          <w:rFonts w:eastAsiaTheme="minorHAnsi"/>
        </w:rPr>
        <w:t>The Parties to this docket have conducted extensive formal and informal discovery</w:t>
      </w:r>
      <w:r>
        <w:rPr>
          <w:rFonts w:eastAsiaTheme="minorHAnsi"/>
        </w:rPr>
        <w:t xml:space="preserve"> </w:t>
      </w:r>
      <w:r w:rsidRPr="00865F23">
        <w:rPr>
          <w:rFonts w:eastAsiaTheme="minorHAnsi"/>
        </w:rPr>
        <w:t xml:space="preserve">into the company's proposed Third </w:t>
      </w:r>
      <w:proofErr w:type="spellStart"/>
      <w:r w:rsidRPr="00865F23">
        <w:rPr>
          <w:rFonts w:eastAsiaTheme="minorHAnsi"/>
        </w:rPr>
        <w:t>SoBRA</w:t>
      </w:r>
      <w:proofErr w:type="spellEnd"/>
      <w:r w:rsidRPr="00865F23">
        <w:rPr>
          <w:rFonts w:eastAsiaTheme="minorHAnsi"/>
        </w:rPr>
        <w:t>, whether it conforms to the unique</w:t>
      </w:r>
      <w:r>
        <w:rPr>
          <w:rFonts w:eastAsiaTheme="minorHAnsi"/>
        </w:rPr>
        <w:t xml:space="preserve"> </w:t>
      </w:r>
      <w:r w:rsidRPr="00865F23">
        <w:rPr>
          <w:rFonts w:eastAsiaTheme="minorHAnsi"/>
        </w:rPr>
        <w:t xml:space="preserve">aspects of the company's </w:t>
      </w:r>
      <w:proofErr w:type="spellStart"/>
      <w:r w:rsidRPr="00865F23">
        <w:rPr>
          <w:rFonts w:eastAsiaTheme="minorHAnsi"/>
        </w:rPr>
        <w:t>SoBRAs</w:t>
      </w:r>
      <w:proofErr w:type="spellEnd"/>
      <w:r w:rsidRPr="00865F23">
        <w:rPr>
          <w:rFonts w:eastAsiaTheme="minorHAnsi"/>
        </w:rPr>
        <w:t xml:space="preserve"> as intended by the parties and to ensure that the</w:t>
      </w:r>
      <w:r>
        <w:rPr>
          <w:rFonts w:eastAsiaTheme="minorHAnsi"/>
        </w:rPr>
        <w:t xml:space="preserve"> </w:t>
      </w:r>
      <w:r w:rsidRPr="00865F23">
        <w:rPr>
          <w:rFonts w:eastAsiaTheme="minorHAnsi"/>
        </w:rPr>
        <w:t xml:space="preserve">company met its </w:t>
      </w:r>
      <w:r>
        <w:rPr>
          <w:rFonts w:eastAsiaTheme="minorHAnsi"/>
        </w:rPr>
        <w:t>burden of proof. Absent the 201</w:t>
      </w:r>
      <w:r w:rsidRPr="00865F23">
        <w:rPr>
          <w:rFonts w:eastAsiaTheme="minorHAnsi"/>
        </w:rPr>
        <w:t>7 Agreement and its significant</w:t>
      </w:r>
      <w:r>
        <w:rPr>
          <w:rFonts w:eastAsiaTheme="minorHAnsi"/>
        </w:rPr>
        <w:t xml:space="preserve"> </w:t>
      </w:r>
      <w:r w:rsidRPr="00865F23">
        <w:rPr>
          <w:rFonts w:eastAsiaTheme="minorHAnsi"/>
        </w:rPr>
        <w:t>benefits to custome</w:t>
      </w:r>
      <w:r w:rsidR="007E5E25">
        <w:rPr>
          <w:rFonts w:eastAsiaTheme="minorHAnsi"/>
        </w:rPr>
        <w:t>rs, OPC and FIPUG would not norm</w:t>
      </w:r>
      <w:r w:rsidRPr="00865F23">
        <w:rPr>
          <w:rFonts w:eastAsiaTheme="minorHAnsi"/>
        </w:rPr>
        <w:t>ally agree to the base rate</w:t>
      </w:r>
      <w:r>
        <w:rPr>
          <w:rFonts w:eastAsiaTheme="minorHAnsi"/>
        </w:rPr>
        <w:t xml:space="preserve"> </w:t>
      </w:r>
      <w:r w:rsidRPr="00865F23">
        <w:rPr>
          <w:rFonts w:eastAsiaTheme="minorHAnsi"/>
        </w:rPr>
        <w:t>increases proposed by the company in the manner presented in this docket.</w:t>
      </w:r>
      <w:r>
        <w:rPr>
          <w:rFonts w:eastAsiaTheme="minorHAnsi"/>
        </w:rPr>
        <w:t xml:space="preserve"> </w:t>
      </w:r>
      <w:r w:rsidRPr="00865F23">
        <w:rPr>
          <w:rFonts w:eastAsiaTheme="minorHAnsi"/>
        </w:rPr>
        <w:t>However, because of the customer benefits contained in the 2017 Agreement and</w:t>
      </w:r>
      <w:r>
        <w:rPr>
          <w:rFonts w:eastAsiaTheme="minorHAnsi"/>
        </w:rPr>
        <w:t xml:space="preserve"> </w:t>
      </w:r>
      <w:r w:rsidRPr="00865F23">
        <w:rPr>
          <w:rFonts w:eastAsiaTheme="minorHAnsi"/>
        </w:rPr>
        <w:t xml:space="preserve">based on the </w:t>
      </w:r>
      <w:proofErr w:type="spellStart"/>
      <w:r w:rsidRPr="00865F23">
        <w:rPr>
          <w:rFonts w:eastAsiaTheme="minorHAnsi"/>
        </w:rPr>
        <w:t>prefiled</w:t>
      </w:r>
      <w:proofErr w:type="spellEnd"/>
      <w:r w:rsidRPr="00865F23">
        <w:rPr>
          <w:rFonts w:eastAsiaTheme="minorHAnsi"/>
        </w:rPr>
        <w:t xml:space="preserve"> testimony and discovery responses provided in this docket,</w:t>
      </w:r>
      <w:r>
        <w:rPr>
          <w:rFonts w:eastAsiaTheme="minorHAnsi"/>
        </w:rPr>
        <w:t xml:space="preserve"> </w:t>
      </w:r>
      <w:r w:rsidR="002D6336">
        <w:rPr>
          <w:rFonts w:eastAsiaTheme="minorHAnsi"/>
        </w:rPr>
        <w:t>t</w:t>
      </w:r>
      <w:r w:rsidRPr="00865F23">
        <w:rPr>
          <w:rFonts w:eastAsiaTheme="minorHAnsi"/>
        </w:rPr>
        <w:t>he company has proved by a preponderance of the evidence that: (1) the two</w:t>
      </w:r>
      <w:r>
        <w:rPr>
          <w:rFonts w:eastAsiaTheme="minorHAnsi"/>
        </w:rPr>
        <w:t xml:space="preserve"> </w:t>
      </w:r>
      <w:r w:rsidRPr="00865F23">
        <w:rPr>
          <w:rFonts w:eastAsiaTheme="minorHAnsi"/>
        </w:rPr>
        <w:t xml:space="preserve">projects in the company's Third </w:t>
      </w:r>
      <w:proofErr w:type="spellStart"/>
      <w:r w:rsidRPr="00865F23">
        <w:rPr>
          <w:rFonts w:eastAsiaTheme="minorHAnsi"/>
        </w:rPr>
        <w:t>SoBRA</w:t>
      </w:r>
      <w:proofErr w:type="spellEnd"/>
      <w:r w:rsidRPr="00865F23">
        <w:rPr>
          <w:rFonts w:eastAsiaTheme="minorHAnsi"/>
        </w:rPr>
        <w:t xml:space="preserve"> satisf</w:t>
      </w:r>
      <w:r>
        <w:rPr>
          <w:rFonts w:eastAsiaTheme="minorHAnsi"/>
        </w:rPr>
        <w:t>y</w:t>
      </w:r>
      <w:r w:rsidRPr="00865F23">
        <w:rPr>
          <w:rFonts w:eastAsiaTheme="minorHAnsi"/>
        </w:rPr>
        <w:t xml:space="preserve"> the cost-effectiveness test specified</w:t>
      </w:r>
      <w:r>
        <w:rPr>
          <w:rFonts w:eastAsiaTheme="minorHAnsi"/>
        </w:rPr>
        <w:t xml:space="preserve"> </w:t>
      </w:r>
      <w:r w:rsidRPr="00865F23">
        <w:rPr>
          <w:rFonts w:eastAsiaTheme="minorHAnsi"/>
        </w:rPr>
        <w:t>in the 2017 Agreement and (2) the projected installed cost of each project is under</w:t>
      </w:r>
      <w:r>
        <w:rPr>
          <w:rFonts w:eastAsiaTheme="minorHAnsi"/>
        </w:rPr>
        <w:t xml:space="preserve"> </w:t>
      </w:r>
      <w:r w:rsidRPr="00865F23">
        <w:rPr>
          <w:rFonts w:eastAsiaTheme="minorHAnsi"/>
        </w:rPr>
        <w:t xml:space="preserve">the $1,500 per </w:t>
      </w:r>
      <w:proofErr w:type="spellStart"/>
      <w:r w:rsidRPr="00865F23">
        <w:rPr>
          <w:rFonts w:eastAsiaTheme="minorHAnsi"/>
        </w:rPr>
        <w:t>kW</w:t>
      </w:r>
      <w:r w:rsidRPr="00865F23">
        <w:rPr>
          <w:rFonts w:eastAsiaTheme="minorHAnsi"/>
          <w:vertAlign w:val="subscript"/>
        </w:rPr>
        <w:t>ac</w:t>
      </w:r>
      <w:proofErr w:type="spellEnd"/>
      <w:r w:rsidRPr="00865F23">
        <w:rPr>
          <w:rFonts w:eastAsiaTheme="minorHAnsi"/>
        </w:rPr>
        <w:t xml:space="preserve"> installed cost cap established in the 2017 Agreement.</w:t>
      </w:r>
      <w:r>
        <w:rPr>
          <w:rFonts w:eastAsiaTheme="minorHAnsi"/>
        </w:rPr>
        <w:t xml:space="preserve"> </w:t>
      </w:r>
    </w:p>
    <w:p w:rsidR="00865F23" w:rsidRDefault="00865F23" w:rsidP="00865F23">
      <w:pPr>
        <w:autoSpaceDE w:val="0"/>
        <w:autoSpaceDN w:val="0"/>
        <w:adjustRightInd w:val="0"/>
        <w:ind w:left="1440" w:hanging="1440"/>
        <w:jc w:val="both"/>
        <w:rPr>
          <w:rFonts w:eastAsiaTheme="minorHAnsi"/>
        </w:rPr>
      </w:pPr>
    </w:p>
    <w:p w:rsidR="004C4CAB" w:rsidRDefault="00865F23" w:rsidP="00865F23">
      <w:pPr>
        <w:autoSpaceDE w:val="0"/>
        <w:autoSpaceDN w:val="0"/>
        <w:adjustRightInd w:val="0"/>
        <w:ind w:left="1440"/>
        <w:jc w:val="both"/>
        <w:rPr>
          <w:rFonts w:eastAsiaTheme="minorHAnsi"/>
        </w:rPr>
      </w:pPr>
      <w:r w:rsidRPr="00865F23">
        <w:rPr>
          <w:rFonts w:eastAsiaTheme="minorHAnsi"/>
        </w:rPr>
        <w:t>Accordingly, the Commission should: (1) accept and adopt the stipulations of the</w:t>
      </w:r>
      <w:r>
        <w:rPr>
          <w:rFonts w:eastAsiaTheme="minorHAnsi"/>
        </w:rPr>
        <w:t xml:space="preserve"> </w:t>
      </w:r>
      <w:r w:rsidRPr="00865F23">
        <w:rPr>
          <w:rFonts w:eastAsiaTheme="minorHAnsi"/>
        </w:rPr>
        <w:t>parties on Issues 1 through 7, below, and (b) approve the Petition and the two</w:t>
      </w:r>
      <w:r>
        <w:rPr>
          <w:rFonts w:eastAsiaTheme="minorHAnsi"/>
        </w:rPr>
        <w:t xml:space="preserve"> </w:t>
      </w:r>
      <w:r w:rsidRPr="00865F23">
        <w:rPr>
          <w:rFonts w:eastAsiaTheme="minorHAnsi"/>
        </w:rPr>
        <w:t>proposed projects which com</w:t>
      </w:r>
      <w:r w:rsidR="00B11CA3">
        <w:rPr>
          <w:rFonts w:eastAsiaTheme="minorHAnsi"/>
        </w:rPr>
        <w:t xml:space="preserve">prise Tampa Electric's Third </w:t>
      </w:r>
      <w:proofErr w:type="spellStart"/>
      <w:r w:rsidR="00B11CA3">
        <w:rPr>
          <w:rFonts w:eastAsiaTheme="minorHAnsi"/>
        </w:rPr>
        <w:t>So</w:t>
      </w:r>
      <w:r w:rsidRPr="00865F23">
        <w:rPr>
          <w:rFonts w:eastAsiaTheme="minorHAnsi"/>
        </w:rPr>
        <w:t>BRA</w:t>
      </w:r>
      <w:proofErr w:type="spellEnd"/>
      <w:r w:rsidRPr="00865F23">
        <w:rPr>
          <w:rFonts w:eastAsiaTheme="minorHAnsi"/>
        </w:rPr>
        <w:t xml:space="preserve"> pursuant to the</w:t>
      </w:r>
      <w:r>
        <w:rPr>
          <w:rFonts w:eastAsiaTheme="minorHAnsi"/>
        </w:rPr>
        <w:t xml:space="preserve"> </w:t>
      </w:r>
      <w:r w:rsidRPr="00865F23">
        <w:rPr>
          <w:rFonts w:eastAsiaTheme="minorHAnsi"/>
        </w:rPr>
        <w:t xml:space="preserve">2017 Agreement approved by the Commission in Order No. </w:t>
      </w:r>
      <w:proofErr w:type="gramStart"/>
      <w:r w:rsidRPr="00865F23">
        <w:rPr>
          <w:rFonts w:eastAsiaTheme="minorHAnsi"/>
        </w:rPr>
        <w:t>PSC-2017-0456-S-EI.</w:t>
      </w:r>
      <w:proofErr w:type="gramEnd"/>
      <w:r>
        <w:rPr>
          <w:rFonts w:eastAsiaTheme="minorHAnsi"/>
        </w:rPr>
        <w:t xml:space="preserve"> </w:t>
      </w:r>
      <w:r w:rsidRPr="00865F23">
        <w:rPr>
          <w:rFonts w:eastAsiaTheme="minorHAnsi"/>
        </w:rPr>
        <w:t>The Commission should also approve the annual revenue requirement of</w:t>
      </w:r>
      <w:r>
        <w:rPr>
          <w:rFonts w:eastAsiaTheme="minorHAnsi"/>
        </w:rPr>
        <w:t xml:space="preserve"> </w:t>
      </w:r>
      <w:r w:rsidRPr="00865F23">
        <w:rPr>
          <w:rFonts w:eastAsiaTheme="minorHAnsi"/>
        </w:rPr>
        <w:t xml:space="preserve">$26,596,000 for the two projects comprising the Third </w:t>
      </w:r>
      <w:proofErr w:type="spellStart"/>
      <w:r w:rsidRPr="00865F23">
        <w:rPr>
          <w:rFonts w:eastAsiaTheme="minorHAnsi"/>
        </w:rPr>
        <w:t>SoBRA</w:t>
      </w:r>
      <w:proofErr w:type="spellEnd"/>
      <w:r w:rsidRPr="00865F23">
        <w:rPr>
          <w:rFonts w:eastAsiaTheme="minorHAnsi"/>
        </w:rPr>
        <w:t>, as well as the</w:t>
      </w:r>
      <w:r>
        <w:rPr>
          <w:rFonts w:eastAsiaTheme="minorHAnsi"/>
        </w:rPr>
        <w:t xml:space="preserve"> </w:t>
      </w:r>
      <w:r w:rsidRPr="00865F23">
        <w:rPr>
          <w:rFonts w:eastAsiaTheme="minorHAnsi"/>
        </w:rPr>
        <w:t>proposed base rate increases needed to collect the estimated annual revenue</w:t>
      </w:r>
      <w:r>
        <w:rPr>
          <w:rFonts w:eastAsiaTheme="minorHAnsi"/>
        </w:rPr>
        <w:t xml:space="preserve"> </w:t>
      </w:r>
      <w:r w:rsidRPr="00865F23">
        <w:rPr>
          <w:rFonts w:eastAsiaTheme="minorHAnsi"/>
        </w:rPr>
        <w:t xml:space="preserve">requirement for the two solar projects in the Third </w:t>
      </w:r>
      <w:proofErr w:type="spellStart"/>
      <w:r w:rsidRPr="00865F23">
        <w:rPr>
          <w:rFonts w:eastAsiaTheme="minorHAnsi"/>
        </w:rPr>
        <w:t>SoBRA</w:t>
      </w:r>
      <w:proofErr w:type="spellEnd"/>
      <w:r w:rsidRPr="00865F23">
        <w:rPr>
          <w:rFonts w:eastAsiaTheme="minorHAnsi"/>
        </w:rPr>
        <w:t>. The parties intend that</w:t>
      </w:r>
      <w:r>
        <w:rPr>
          <w:rFonts w:eastAsiaTheme="minorHAnsi"/>
        </w:rPr>
        <w:t xml:space="preserve"> </w:t>
      </w:r>
      <w:r w:rsidRPr="00865F23">
        <w:rPr>
          <w:rFonts w:eastAsiaTheme="minorHAnsi"/>
        </w:rPr>
        <w:t>doing so will have no p</w:t>
      </w:r>
      <w:r w:rsidR="004D648F">
        <w:rPr>
          <w:rFonts w:eastAsiaTheme="minorHAnsi"/>
        </w:rPr>
        <w:t>recedential value beyond the 201</w:t>
      </w:r>
      <w:r w:rsidRPr="00865F23">
        <w:rPr>
          <w:rFonts w:eastAsiaTheme="minorHAnsi"/>
        </w:rPr>
        <w:t>7 Agreement and this</w:t>
      </w:r>
      <w:r>
        <w:rPr>
          <w:rFonts w:eastAsiaTheme="minorHAnsi"/>
        </w:rPr>
        <w:t xml:space="preserve"> </w:t>
      </w:r>
      <w:r w:rsidRPr="00865F23">
        <w:rPr>
          <w:rFonts w:eastAsiaTheme="minorHAnsi"/>
        </w:rPr>
        <w:t>docket.</w:t>
      </w:r>
    </w:p>
    <w:p w:rsidR="00865F23" w:rsidRDefault="00865F23" w:rsidP="00865F23">
      <w:pPr>
        <w:autoSpaceDE w:val="0"/>
        <w:autoSpaceDN w:val="0"/>
        <w:adjustRightInd w:val="0"/>
        <w:ind w:left="1440" w:hanging="1440"/>
        <w:jc w:val="both"/>
        <w:rPr>
          <w:rFonts w:eastAsiaTheme="minorHAnsi"/>
        </w:rPr>
      </w:pPr>
    </w:p>
    <w:p w:rsidR="004C4CAB" w:rsidRPr="002E1832" w:rsidRDefault="004C4CAB" w:rsidP="005B75A8">
      <w:pPr>
        <w:keepNext/>
        <w:ind w:left="1440" w:hanging="1440"/>
        <w:jc w:val="both"/>
        <w:rPr>
          <w:b/>
        </w:rPr>
      </w:pPr>
      <w:r w:rsidRPr="00701945">
        <w:rPr>
          <w:b/>
          <w:bCs/>
          <w:u w:val="single"/>
        </w:rPr>
        <w:lastRenderedPageBreak/>
        <w:t>ISSUE 1</w:t>
      </w:r>
      <w:r w:rsidRPr="00701945">
        <w:rPr>
          <w:b/>
          <w:bCs/>
        </w:rPr>
        <w:t>:</w:t>
      </w:r>
      <w:r w:rsidRPr="00701945">
        <w:tab/>
      </w:r>
      <w:r w:rsidRPr="004C4CAB">
        <w:rPr>
          <w:b/>
        </w:rPr>
        <w:t xml:space="preserve">Are the 2020 </w:t>
      </w:r>
      <w:proofErr w:type="spellStart"/>
      <w:r w:rsidRPr="004C4CAB">
        <w:rPr>
          <w:b/>
        </w:rPr>
        <w:t>SoBRA</w:t>
      </w:r>
      <w:proofErr w:type="spellEnd"/>
      <w:r w:rsidRPr="004C4CAB">
        <w:rPr>
          <w:b/>
        </w:rPr>
        <w:t xml:space="preserve"> projects proposed by TECO eligible for treatment</w:t>
      </w:r>
      <w:r w:rsidR="002E1832">
        <w:rPr>
          <w:b/>
        </w:rPr>
        <w:t xml:space="preserve"> </w:t>
      </w:r>
      <w:r w:rsidRPr="004C4CAB">
        <w:rPr>
          <w:b/>
        </w:rPr>
        <w:t>pursuant to paragraph 6 of the 2017 Agreement?</w:t>
      </w:r>
    </w:p>
    <w:p w:rsidR="004C4CAB" w:rsidRDefault="004C4CAB" w:rsidP="005B75A8">
      <w:pPr>
        <w:keepNext/>
        <w:jc w:val="both"/>
        <w:rPr>
          <w:b/>
          <w:i/>
        </w:rPr>
      </w:pPr>
    </w:p>
    <w:p w:rsidR="004C4CAB" w:rsidRDefault="004C4CAB" w:rsidP="005B75A8">
      <w:pPr>
        <w:keepNext/>
        <w:ind w:left="1440" w:hanging="1440"/>
        <w:jc w:val="both"/>
        <w:rPr>
          <w:bCs/>
        </w:rPr>
      </w:pPr>
      <w:r w:rsidRPr="00AD68D4">
        <w:rPr>
          <w:b/>
          <w:i/>
          <w:sz w:val="20"/>
          <w:szCs w:val="20"/>
          <w:u w:val="single"/>
        </w:rPr>
        <w:t>STIPULATION</w:t>
      </w:r>
      <w:r w:rsidRPr="00AD68D4">
        <w:rPr>
          <w:b/>
          <w:i/>
          <w:sz w:val="20"/>
          <w:szCs w:val="20"/>
        </w:rPr>
        <w:t>:</w:t>
      </w:r>
      <w:r>
        <w:rPr>
          <w:b/>
          <w:i/>
          <w:sz w:val="20"/>
          <w:szCs w:val="20"/>
        </w:rPr>
        <w:tab/>
      </w:r>
      <w:r w:rsidR="00865F23" w:rsidRPr="00865F23">
        <w:rPr>
          <w:bCs/>
        </w:rPr>
        <w:t xml:space="preserve">Yes. The 2020 </w:t>
      </w:r>
      <w:proofErr w:type="spellStart"/>
      <w:r w:rsidR="00865F23" w:rsidRPr="00865F23">
        <w:rPr>
          <w:bCs/>
        </w:rPr>
        <w:t>SoBRA</w:t>
      </w:r>
      <w:proofErr w:type="spellEnd"/>
      <w:r w:rsidR="00865F23" w:rsidRPr="00865F23">
        <w:rPr>
          <w:bCs/>
        </w:rPr>
        <w:t xml:space="preserve"> projects totaling 149.3 MW proposed by TECO meet all of</w:t>
      </w:r>
      <w:r w:rsidR="00865F23">
        <w:rPr>
          <w:bCs/>
        </w:rPr>
        <w:t xml:space="preserve"> </w:t>
      </w:r>
      <w:r w:rsidR="00865F23" w:rsidRPr="00865F23">
        <w:rPr>
          <w:bCs/>
        </w:rPr>
        <w:t>the eligibility requirements for treatment pursuant to paragraph 6 of the 2017</w:t>
      </w:r>
      <w:r w:rsidR="00865F23">
        <w:rPr>
          <w:bCs/>
        </w:rPr>
        <w:t xml:space="preserve"> </w:t>
      </w:r>
      <w:r w:rsidR="00865F23" w:rsidRPr="00865F23">
        <w:rPr>
          <w:bCs/>
        </w:rPr>
        <w:t>Agreement.</w:t>
      </w:r>
    </w:p>
    <w:p w:rsidR="00865F23" w:rsidRDefault="00865F23" w:rsidP="00865F23">
      <w:pPr>
        <w:ind w:left="1440" w:hanging="1440"/>
        <w:jc w:val="both"/>
        <w:rPr>
          <w:bCs/>
        </w:rPr>
      </w:pPr>
    </w:p>
    <w:p w:rsidR="004C4CAB" w:rsidRPr="00B851E8" w:rsidRDefault="004C4CAB" w:rsidP="00B851E8">
      <w:pPr>
        <w:ind w:left="1440" w:hanging="1440"/>
        <w:jc w:val="both"/>
        <w:rPr>
          <w:b/>
        </w:rPr>
      </w:pPr>
      <w:r w:rsidRPr="00701945">
        <w:rPr>
          <w:b/>
          <w:bCs/>
          <w:u w:val="single"/>
        </w:rPr>
        <w:t>ISSUE</w:t>
      </w:r>
      <w:r>
        <w:rPr>
          <w:b/>
          <w:bCs/>
          <w:u w:val="single"/>
        </w:rPr>
        <w:t xml:space="preserve"> 2</w:t>
      </w:r>
      <w:r w:rsidRPr="00701945">
        <w:rPr>
          <w:b/>
          <w:bCs/>
        </w:rPr>
        <w:t>:</w:t>
      </w:r>
      <w:r w:rsidRPr="00701945">
        <w:tab/>
      </w:r>
      <w:r w:rsidR="00B851E8" w:rsidRPr="00B851E8">
        <w:rPr>
          <w:b/>
        </w:rPr>
        <w:t>Are the 20</w:t>
      </w:r>
      <w:r w:rsidR="001C425C">
        <w:rPr>
          <w:b/>
        </w:rPr>
        <w:t>20</w:t>
      </w:r>
      <w:r w:rsidR="00B851E8" w:rsidRPr="00B851E8">
        <w:rPr>
          <w:b/>
        </w:rPr>
        <w:t xml:space="preserve"> </w:t>
      </w:r>
      <w:proofErr w:type="spellStart"/>
      <w:r w:rsidR="00B851E8" w:rsidRPr="00B851E8">
        <w:rPr>
          <w:b/>
        </w:rPr>
        <w:t>SoBRA</w:t>
      </w:r>
      <w:proofErr w:type="spellEnd"/>
      <w:r w:rsidR="00B851E8" w:rsidRPr="00B851E8">
        <w:rPr>
          <w:b/>
        </w:rPr>
        <w:t xml:space="preserve"> projects proposed by TECO cost effective pursuant to</w:t>
      </w:r>
      <w:r w:rsidR="00B851E8">
        <w:rPr>
          <w:b/>
        </w:rPr>
        <w:t xml:space="preserve"> </w:t>
      </w:r>
      <w:r w:rsidR="00B851E8" w:rsidRPr="00B851E8">
        <w:rPr>
          <w:b/>
        </w:rPr>
        <w:t>subparagraph 6(g) of the 2017 Agreement?</w:t>
      </w:r>
    </w:p>
    <w:p w:rsidR="004C4CAB" w:rsidRDefault="004C4CAB" w:rsidP="004C4CAB">
      <w:pPr>
        <w:ind w:left="1440" w:hanging="1440"/>
        <w:jc w:val="both"/>
        <w:rPr>
          <w:b/>
          <w:i/>
        </w:rPr>
      </w:pPr>
    </w:p>
    <w:p w:rsidR="00865F23" w:rsidRDefault="004C4CAB" w:rsidP="00865F23">
      <w:pPr>
        <w:ind w:left="1440" w:hanging="1440"/>
        <w:jc w:val="both"/>
      </w:pPr>
      <w:r w:rsidRPr="00AD68D4">
        <w:rPr>
          <w:b/>
          <w:i/>
          <w:sz w:val="20"/>
          <w:szCs w:val="20"/>
          <w:u w:val="single"/>
        </w:rPr>
        <w:t>STIPULATION</w:t>
      </w:r>
      <w:r w:rsidRPr="00AD68D4">
        <w:rPr>
          <w:b/>
          <w:i/>
          <w:sz w:val="20"/>
          <w:szCs w:val="20"/>
        </w:rPr>
        <w:t>:</w:t>
      </w:r>
      <w:r>
        <w:rPr>
          <w:b/>
          <w:i/>
          <w:sz w:val="20"/>
          <w:szCs w:val="20"/>
        </w:rPr>
        <w:tab/>
      </w:r>
      <w:r w:rsidR="00865F23">
        <w:t>Yes</w:t>
      </w:r>
      <w:r w:rsidR="004D648F">
        <w:t>. Paragraph 6 of the 201</w:t>
      </w:r>
      <w:r w:rsidR="00865F23">
        <w:t xml:space="preserve">7 Settlement Agreement was intended by the parties to give Tampa Electric an opportunity to build 550 MW of cost-effective solar generation (plus an additional 50 MW if certain requirements are met) over a period of time. The total capacity was divided into three tranches (with an optional fourth) and staged or allocated to future time periods to accommodate orderly construction and to phase in and moderate the rate impact to retail customers. During the negotiations, the company disclosed its plans to purchase the solar modules for the entire 600 MW and then finalized the purchase in 2017. Although the specifics of the cost-effectiveness test contemplated in the 2017 Settlement Agreement are not spelled out in paragraph 6, the way in which the company has apportioned solar capacity value and value of other deferred capacity in its cumulative present value of revenue requirement ("CPVRR") calculation is consistent with the way the parties discussed the solar additions in paragraph 6 of the 2017 Settlement Agreement and will have no precedential value beyond Tampa Electric's solar base rate adjustments and the 2017 Settlement Agreement. The cost-effectiveness test in this case is unique to Tampa Electric. </w:t>
      </w:r>
    </w:p>
    <w:p w:rsidR="00865F23" w:rsidRDefault="00865F23" w:rsidP="00865F23">
      <w:pPr>
        <w:ind w:left="1440" w:hanging="1440"/>
        <w:jc w:val="both"/>
      </w:pPr>
    </w:p>
    <w:p w:rsidR="004C4CAB" w:rsidRDefault="00865F23" w:rsidP="00865F23">
      <w:pPr>
        <w:ind w:left="1440"/>
        <w:jc w:val="both"/>
      </w:pPr>
      <w:r>
        <w:t xml:space="preserve">Based on the company's plans to build at least 550 MW of solar and as described in the answer to Staffs Interrogatory No. 3, the two projects covered by the Third </w:t>
      </w:r>
      <w:proofErr w:type="spellStart"/>
      <w:r>
        <w:t>SoBRA</w:t>
      </w:r>
      <w:proofErr w:type="spellEnd"/>
      <w:r>
        <w:t xml:space="preserve"> lower the company's projected system CPVRR as compared to such CPVRR without the solar projects; therefore, the projects covered by the Third </w:t>
      </w:r>
      <w:proofErr w:type="spellStart"/>
      <w:r>
        <w:t>SoBRA</w:t>
      </w:r>
      <w:proofErr w:type="spellEnd"/>
      <w:r>
        <w:t xml:space="preserve"> satisf</w:t>
      </w:r>
      <w:r w:rsidR="00997ED9">
        <w:t>y</w:t>
      </w:r>
      <w:r>
        <w:t xml:space="preserve"> the cost-effectiveness test in the 2017 Agreement. Without objection from Tampa Electric, the parties and the Commission have reserved or may reserve their rights to take appropriate action if at least 550 MW is not built out.</w:t>
      </w:r>
    </w:p>
    <w:p w:rsidR="00865F23" w:rsidRDefault="00865F23" w:rsidP="00865F23">
      <w:pPr>
        <w:ind w:left="1440" w:hanging="1440"/>
        <w:jc w:val="both"/>
        <w:rPr>
          <w:b/>
          <w:i/>
        </w:rPr>
      </w:pPr>
    </w:p>
    <w:p w:rsidR="004C4CAB" w:rsidRPr="001F370D" w:rsidRDefault="004C4CAB" w:rsidP="0059521A">
      <w:pPr>
        <w:keepNext/>
        <w:ind w:left="1440" w:hanging="1440"/>
        <w:jc w:val="both"/>
        <w:rPr>
          <w:b/>
        </w:rPr>
      </w:pPr>
      <w:r w:rsidRPr="00701945">
        <w:rPr>
          <w:b/>
          <w:bCs/>
          <w:u w:val="single"/>
        </w:rPr>
        <w:lastRenderedPageBreak/>
        <w:t xml:space="preserve">ISSUE </w:t>
      </w:r>
      <w:r>
        <w:rPr>
          <w:b/>
          <w:bCs/>
          <w:u w:val="single"/>
        </w:rPr>
        <w:t>3</w:t>
      </w:r>
      <w:r w:rsidRPr="00701945">
        <w:rPr>
          <w:b/>
          <w:bCs/>
        </w:rPr>
        <w:t>:</w:t>
      </w:r>
      <w:r w:rsidRPr="00701945">
        <w:tab/>
      </w:r>
      <w:r w:rsidR="00B851E8" w:rsidRPr="00B851E8">
        <w:rPr>
          <w:b/>
        </w:rPr>
        <w:t>Are the projected install</w:t>
      </w:r>
      <w:r w:rsidR="002E1832">
        <w:rPr>
          <w:b/>
        </w:rPr>
        <w:t xml:space="preserve">ed costs of each of the 2020 </w:t>
      </w:r>
      <w:proofErr w:type="spellStart"/>
      <w:r w:rsidR="002E1832">
        <w:rPr>
          <w:b/>
        </w:rPr>
        <w:t>So</w:t>
      </w:r>
      <w:r w:rsidR="00B851E8" w:rsidRPr="00B851E8">
        <w:rPr>
          <w:b/>
        </w:rPr>
        <w:t>BRA</w:t>
      </w:r>
      <w:proofErr w:type="spellEnd"/>
      <w:r w:rsidR="00B851E8" w:rsidRPr="00B851E8">
        <w:rPr>
          <w:b/>
        </w:rPr>
        <w:t xml:space="preserve"> projects</w:t>
      </w:r>
      <w:r w:rsidR="00312310">
        <w:rPr>
          <w:b/>
        </w:rPr>
        <w:t xml:space="preserve"> </w:t>
      </w:r>
      <w:r w:rsidR="00B851E8" w:rsidRPr="00B851E8">
        <w:rPr>
          <w:b/>
        </w:rPr>
        <w:t>proposed by TECO less than or equal to the Installed Cost Cap of $1,500 per</w:t>
      </w:r>
      <w:r w:rsidR="00312310">
        <w:rPr>
          <w:b/>
        </w:rPr>
        <w:t xml:space="preserve"> </w:t>
      </w:r>
      <w:proofErr w:type="spellStart"/>
      <w:r w:rsidR="006D65EB" w:rsidRPr="006D65EB">
        <w:rPr>
          <w:rFonts w:eastAsiaTheme="minorHAnsi"/>
          <w:b/>
        </w:rPr>
        <w:t>kW</w:t>
      </w:r>
      <w:r w:rsidR="006D65EB" w:rsidRPr="006D65EB">
        <w:rPr>
          <w:rFonts w:eastAsiaTheme="minorHAnsi"/>
          <w:b/>
          <w:vertAlign w:val="subscript"/>
        </w:rPr>
        <w:t>ac</w:t>
      </w:r>
      <w:proofErr w:type="spellEnd"/>
      <w:r w:rsidR="00B851E8" w:rsidRPr="00B851E8">
        <w:rPr>
          <w:b/>
        </w:rPr>
        <w:t xml:space="preserve"> pursuant</w:t>
      </w:r>
      <w:r w:rsidR="00312310">
        <w:rPr>
          <w:b/>
        </w:rPr>
        <w:t xml:space="preserve"> </w:t>
      </w:r>
      <w:r w:rsidR="00B851E8" w:rsidRPr="00B851E8">
        <w:rPr>
          <w:b/>
        </w:rPr>
        <w:t>to subparagraph 6(d) of the 2017 Agreement?</w:t>
      </w:r>
    </w:p>
    <w:p w:rsidR="004C4CAB" w:rsidRDefault="004C4CAB" w:rsidP="0059521A">
      <w:pPr>
        <w:keepNext/>
        <w:ind w:left="1440" w:hanging="1440"/>
        <w:jc w:val="both"/>
        <w:rPr>
          <w:b/>
          <w:i/>
        </w:rPr>
      </w:pPr>
    </w:p>
    <w:p w:rsidR="004C4CAB" w:rsidRDefault="004C4CAB" w:rsidP="0059521A">
      <w:pPr>
        <w:keepNext/>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00312310" w:rsidRPr="00312310">
        <w:rPr>
          <w:bCs/>
        </w:rPr>
        <w:t>Yes. The projected installed costs of the two projects are as follows:</w:t>
      </w:r>
    </w:p>
    <w:p w:rsidR="00312310" w:rsidRDefault="00312310" w:rsidP="0059521A">
      <w:pPr>
        <w:keepNext/>
        <w:ind w:left="1485" w:hanging="1485"/>
        <w:jc w:val="both"/>
        <w:rPr>
          <w:bCs/>
        </w:rPr>
      </w:pPr>
    </w:p>
    <w:p w:rsidR="00312310" w:rsidRPr="00400CC4" w:rsidRDefault="00312310" w:rsidP="0059521A">
      <w:pPr>
        <w:pStyle w:val="NoSpacing"/>
        <w:keepNext/>
        <w:ind w:left="1440"/>
        <w:rPr>
          <w:rFonts w:eastAsiaTheme="minorHAnsi"/>
          <w:b/>
        </w:rPr>
      </w:pPr>
      <w:r w:rsidRPr="00400CC4">
        <w:rPr>
          <w:rFonts w:eastAsiaTheme="minorHAnsi"/>
          <w:b/>
          <w:u w:val="single"/>
        </w:rPr>
        <w:t>Project Name</w:t>
      </w:r>
      <w:r w:rsidRPr="00400CC4">
        <w:rPr>
          <w:rFonts w:eastAsiaTheme="minorHAnsi"/>
          <w:b/>
        </w:rPr>
        <w:tab/>
      </w:r>
      <w:r w:rsidRPr="00400CC4">
        <w:rPr>
          <w:rFonts w:eastAsiaTheme="minorHAnsi"/>
          <w:b/>
        </w:rPr>
        <w:tab/>
      </w:r>
      <w:r w:rsidRPr="00400CC4">
        <w:rPr>
          <w:rFonts w:eastAsiaTheme="minorHAnsi"/>
          <w:b/>
          <w:u w:val="single"/>
        </w:rPr>
        <w:t xml:space="preserve">Projected Installed Cost (per </w:t>
      </w:r>
      <w:proofErr w:type="spellStart"/>
      <w:r w:rsidRPr="00400CC4">
        <w:rPr>
          <w:rFonts w:eastAsiaTheme="minorHAnsi"/>
          <w:b/>
          <w:u w:val="single"/>
        </w:rPr>
        <w:t>kW</w:t>
      </w:r>
      <w:r w:rsidRPr="00400CC4">
        <w:rPr>
          <w:rFonts w:eastAsiaTheme="minorHAnsi"/>
          <w:b/>
          <w:u w:val="single"/>
          <w:vertAlign w:val="subscript"/>
        </w:rPr>
        <w:t>ac</w:t>
      </w:r>
      <w:proofErr w:type="spellEnd"/>
      <w:r w:rsidRPr="00400CC4">
        <w:rPr>
          <w:rFonts w:eastAsiaTheme="minorHAnsi"/>
          <w:b/>
          <w:u w:val="single"/>
        </w:rPr>
        <w:t>)</w:t>
      </w:r>
    </w:p>
    <w:p w:rsidR="00312310" w:rsidRPr="00400CC4" w:rsidRDefault="00312310" w:rsidP="0059521A">
      <w:pPr>
        <w:pStyle w:val="NoSpacing"/>
        <w:keepNext/>
        <w:ind w:left="1440"/>
        <w:rPr>
          <w:rFonts w:eastAsiaTheme="minorHAnsi"/>
        </w:rPr>
      </w:pPr>
      <w:r w:rsidRPr="00400CC4">
        <w:rPr>
          <w:rFonts w:eastAsiaTheme="minorHAnsi"/>
        </w:rPr>
        <w:t xml:space="preserve">Wimauma Solar </w:t>
      </w:r>
      <w:r w:rsidRPr="00400CC4">
        <w:rPr>
          <w:rFonts w:eastAsiaTheme="minorHAnsi"/>
        </w:rPr>
        <w:tab/>
      </w:r>
      <w:r w:rsidRPr="00400CC4">
        <w:rPr>
          <w:rFonts w:eastAsiaTheme="minorHAnsi"/>
        </w:rPr>
        <w:tab/>
      </w:r>
      <w:r>
        <w:rPr>
          <w:rFonts w:eastAsiaTheme="minorHAnsi"/>
        </w:rPr>
        <w:tab/>
      </w:r>
      <w:r w:rsidRPr="00400CC4">
        <w:rPr>
          <w:rFonts w:eastAsiaTheme="minorHAnsi"/>
        </w:rPr>
        <w:t xml:space="preserve"> $1,479</w:t>
      </w:r>
    </w:p>
    <w:p w:rsidR="00312310" w:rsidRPr="00400CC4" w:rsidRDefault="00312310" w:rsidP="0059521A">
      <w:pPr>
        <w:pStyle w:val="NoSpacing"/>
        <w:keepNext/>
        <w:ind w:left="1440"/>
        <w:rPr>
          <w:rFonts w:eastAsiaTheme="minorHAnsi"/>
        </w:rPr>
      </w:pPr>
      <w:r w:rsidRPr="00400CC4">
        <w:rPr>
          <w:rFonts w:eastAsiaTheme="minorHAnsi"/>
        </w:rPr>
        <w:t>LMR Solar</w:t>
      </w:r>
      <w:r w:rsidRPr="00400CC4">
        <w:rPr>
          <w:rFonts w:eastAsiaTheme="minorHAnsi"/>
        </w:rPr>
        <w:tab/>
      </w:r>
      <w:r w:rsidRPr="00400CC4">
        <w:rPr>
          <w:rFonts w:eastAsiaTheme="minorHAnsi"/>
        </w:rPr>
        <w:tab/>
      </w:r>
      <w:r>
        <w:rPr>
          <w:rFonts w:eastAsiaTheme="minorHAnsi"/>
        </w:rPr>
        <w:tab/>
      </w:r>
      <w:r>
        <w:rPr>
          <w:rFonts w:eastAsiaTheme="minorHAnsi"/>
        </w:rPr>
        <w:tab/>
      </w:r>
      <w:r w:rsidRPr="00400CC4">
        <w:rPr>
          <w:rFonts w:eastAsiaTheme="minorHAnsi"/>
        </w:rPr>
        <w:t xml:space="preserve"> $1,410</w:t>
      </w:r>
    </w:p>
    <w:p w:rsidR="00312310" w:rsidRDefault="00312310" w:rsidP="0059521A">
      <w:pPr>
        <w:keepNext/>
        <w:ind w:left="1485" w:hanging="1485"/>
        <w:jc w:val="both"/>
        <w:rPr>
          <w:bCs/>
        </w:rPr>
      </w:pPr>
    </w:p>
    <w:p w:rsidR="00312310" w:rsidRDefault="00312310" w:rsidP="0059521A">
      <w:pPr>
        <w:keepNext/>
        <w:ind w:left="1440" w:hanging="1440"/>
        <w:jc w:val="both"/>
        <w:rPr>
          <w:bCs/>
        </w:rPr>
      </w:pPr>
      <w:r>
        <w:rPr>
          <w:bCs/>
        </w:rPr>
        <w:tab/>
      </w:r>
      <w:r w:rsidRPr="00312310">
        <w:rPr>
          <w:bCs/>
        </w:rPr>
        <w:t xml:space="preserve">These installed costs are lower than the $1,500 per </w:t>
      </w:r>
      <w:proofErr w:type="spellStart"/>
      <w:r w:rsidR="006D65EB" w:rsidRPr="006D65EB">
        <w:rPr>
          <w:rFonts w:eastAsiaTheme="minorHAnsi"/>
        </w:rPr>
        <w:t>kW</w:t>
      </w:r>
      <w:r w:rsidR="006D65EB" w:rsidRPr="006D65EB">
        <w:rPr>
          <w:rFonts w:eastAsiaTheme="minorHAnsi"/>
          <w:vertAlign w:val="subscript"/>
        </w:rPr>
        <w:t>ac</w:t>
      </w:r>
      <w:proofErr w:type="spellEnd"/>
      <w:r w:rsidR="006D65EB" w:rsidRPr="00312310">
        <w:rPr>
          <w:bCs/>
        </w:rPr>
        <w:t xml:space="preserve"> </w:t>
      </w:r>
      <w:r w:rsidRPr="00312310">
        <w:rPr>
          <w:bCs/>
        </w:rPr>
        <w:t>Installed Cost Cap</w:t>
      </w:r>
      <w:r>
        <w:rPr>
          <w:bCs/>
        </w:rPr>
        <w:t xml:space="preserve"> </w:t>
      </w:r>
      <w:r w:rsidRPr="00312310">
        <w:rPr>
          <w:bCs/>
        </w:rPr>
        <w:t>pursuant to subparagraph 6(d) of the 2017 Agreement.</w:t>
      </w:r>
    </w:p>
    <w:p w:rsidR="004C4CAB" w:rsidRPr="00AD68D4" w:rsidRDefault="004C4CAB" w:rsidP="004C4CAB">
      <w:pPr>
        <w:ind w:left="1440" w:hanging="1440"/>
        <w:jc w:val="both"/>
        <w:rPr>
          <w:b/>
          <w:i/>
        </w:rPr>
      </w:pPr>
    </w:p>
    <w:p w:rsidR="004C4CAB" w:rsidRPr="00312310" w:rsidRDefault="004C4CAB" w:rsidP="005429D6">
      <w:pPr>
        <w:keepNext/>
        <w:ind w:left="1440" w:hanging="1440"/>
        <w:jc w:val="both"/>
        <w:rPr>
          <w:b/>
        </w:rPr>
      </w:pPr>
      <w:r w:rsidRPr="00701945">
        <w:rPr>
          <w:b/>
          <w:bCs/>
          <w:u w:val="single"/>
        </w:rPr>
        <w:t xml:space="preserve">ISSUE </w:t>
      </w:r>
      <w:r>
        <w:rPr>
          <w:b/>
          <w:bCs/>
          <w:u w:val="single"/>
        </w:rPr>
        <w:t>4</w:t>
      </w:r>
      <w:r w:rsidRPr="00701945">
        <w:rPr>
          <w:b/>
          <w:bCs/>
        </w:rPr>
        <w:t>:</w:t>
      </w:r>
      <w:r w:rsidRPr="00701945">
        <w:tab/>
      </w:r>
      <w:r w:rsidR="00312310" w:rsidRPr="00312310">
        <w:rPr>
          <w:b/>
        </w:rPr>
        <w:t xml:space="preserve">What </w:t>
      </w:r>
      <w:proofErr w:type="gramStart"/>
      <w:r w:rsidR="00312310" w:rsidRPr="00312310">
        <w:rPr>
          <w:b/>
        </w:rPr>
        <w:t>are</w:t>
      </w:r>
      <w:proofErr w:type="gramEnd"/>
      <w:r w:rsidR="00312310" w:rsidRPr="00312310">
        <w:rPr>
          <w:b/>
        </w:rPr>
        <w:t xml:space="preserve"> the estimated annual revenue requirements associated with</w:t>
      </w:r>
      <w:r w:rsidR="00312310">
        <w:rPr>
          <w:b/>
        </w:rPr>
        <w:t xml:space="preserve"> </w:t>
      </w:r>
      <w:r w:rsidR="00312310" w:rsidRPr="00312310">
        <w:rPr>
          <w:b/>
        </w:rPr>
        <w:t xml:space="preserve">TECO's 2020 </w:t>
      </w:r>
      <w:proofErr w:type="spellStart"/>
      <w:r w:rsidR="00312310" w:rsidRPr="00312310">
        <w:rPr>
          <w:b/>
        </w:rPr>
        <w:t>SoBRA</w:t>
      </w:r>
      <w:proofErr w:type="spellEnd"/>
      <w:r w:rsidR="00312310" w:rsidRPr="00312310">
        <w:rPr>
          <w:b/>
        </w:rPr>
        <w:t xml:space="preserve"> projects?</w:t>
      </w:r>
    </w:p>
    <w:p w:rsidR="008226E8" w:rsidRDefault="008226E8" w:rsidP="007703CA">
      <w:pPr>
        <w:keepNext/>
        <w:jc w:val="both"/>
        <w:rPr>
          <w:bCs/>
        </w:rPr>
      </w:pPr>
    </w:p>
    <w:p w:rsidR="004C4CAB" w:rsidRDefault="004C4CAB" w:rsidP="001C425C">
      <w:pPr>
        <w:keepNext/>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001C425C" w:rsidRPr="001C425C">
        <w:rPr>
          <w:bCs/>
        </w:rPr>
        <w:t>The estimated annual revenue requirement including the incentive specified in</w:t>
      </w:r>
      <w:r w:rsidR="001C425C">
        <w:rPr>
          <w:bCs/>
        </w:rPr>
        <w:t xml:space="preserve"> subparagraph 6(m</w:t>
      </w:r>
      <w:r w:rsidR="001C425C" w:rsidRPr="001C425C">
        <w:rPr>
          <w:bCs/>
        </w:rPr>
        <w:t>) of the 2017 Agreement associated with Tampa Electric's 2020</w:t>
      </w:r>
      <w:r w:rsidR="001C425C">
        <w:rPr>
          <w:bCs/>
        </w:rPr>
        <w:t xml:space="preserve"> </w:t>
      </w:r>
      <w:proofErr w:type="spellStart"/>
      <w:r w:rsidR="001C425C" w:rsidRPr="001C425C">
        <w:rPr>
          <w:bCs/>
        </w:rPr>
        <w:t>SoBRA</w:t>
      </w:r>
      <w:proofErr w:type="spellEnd"/>
      <w:r w:rsidR="001C425C" w:rsidRPr="001C425C">
        <w:rPr>
          <w:bCs/>
        </w:rPr>
        <w:t xml:space="preserve"> projects is $26,596,000. This amount is calculated using the projected</w:t>
      </w:r>
      <w:r w:rsidR="001C425C">
        <w:rPr>
          <w:bCs/>
        </w:rPr>
        <w:t xml:space="preserve"> </w:t>
      </w:r>
      <w:r w:rsidR="001C425C" w:rsidRPr="001C425C">
        <w:rPr>
          <w:bCs/>
        </w:rPr>
        <w:t>installed costs of</w:t>
      </w:r>
      <w:r w:rsidR="00934915">
        <w:rPr>
          <w:bCs/>
        </w:rPr>
        <w:t xml:space="preserve"> </w:t>
      </w:r>
      <w:r w:rsidR="001C425C" w:rsidRPr="001C425C">
        <w:rPr>
          <w:bCs/>
        </w:rPr>
        <w:t>the two projects and in accordance with the revenue requirement</w:t>
      </w:r>
      <w:r w:rsidR="001C425C">
        <w:rPr>
          <w:bCs/>
        </w:rPr>
        <w:t xml:space="preserve"> </w:t>
      </w:r>
      <w:r w:rsidR="001C425C" w:rsidRPr="001C425C">
        <w:rPr>
          <w:bCs/>
        </w:rPr>
        <w:t>cost</w:t>
      </w:r>
      <w:r w:rsidR="001C425C">
        <w:rPr>
          <w:bCs/>
        </w:rPr>
        <w:t xml:space="preserve"> recovery provisions of the 201</w:t>
      </w:r>
      <w:r w:rsidR="001C425C" w:rsidRPr="001C425C">
        <w:rPr>
          <w:bCs/>
        </w:rPr>
        <w:t>7 Agreement.</w:t>
      </w:r>
    </w:p>
    <w:p w:rsidR="001C425C" w:rsidRDefault="001C425C" w:rsidP="001C425C">
      <w:pPr>
        <w:keepNext/>
        <w:ind w:left="1485" w:hanging="1485"/>
        <w:jc w:val="both"/>
        <w:rPr>
          <w:bCs/>
        </w:rPr>
      </w:pPr>
    </w:p>
    <w:p w:rsidR="004C4CAB" w:rsidRDefault="004C4CAB" w:rsidP="00312310">
      <w:pPr>
        <w:ind w:left="1440" w:hanging="1440"/>
        <w:jc w:val="both"/>
        <w:rPr>
          <w:b/>
        </w:rPr>
      </w:pPr>
      <w:r w:rsidRPr="00701945">
        <w:rPr>
          <w:b/>
          <w:bCs/>
          <w:u w:val="single"/>
        </w:rPr>
        <w:t xml:space="preserve">ISSUE </w:t>
      </w:r>
      <w:r>
        <w:rPr>
          <w:b/>
          <w:bCs/>
          <w:u w:val="single"/>
        </w:rPr>
        <w:t>5</w:t>
      </w:r>
      <w:r w:rsidRPr="00701945">
        <w:rPr>
          <w:b/>
          <w:bCs/>
        </w:rPr>
        <w:t>:</w:t>
      </w:r>
      <w:r w:rsidRPr="00701945">
        <w:tab/>
      </w:r>
      <w:r w:rsidR="00312310" w:rsidRPr="00312310">
        <w:rPr>
          <w:b/>
        </w:rPr>
        <w:t xml:space="preserve">What </w:t>
      </w:r>
      <w:proofErr w:type="gramStart"/>
      <w:r w:rsidR="00312310" w:rsidRPr="00312310">
        <w:rPr>
          <w:b/>
        </w:rPr>
        <w:t>are</w:t>
      </w:r>
      <w:proofErr w:type="gramEnd"/>
      <w:r w:rsidR="00312310" w:rsidRPr="00312310">
        <w:rPr>
          <w:b/>
        </w:rPr>
        <w:t xml:space="preserve"> the appropriate base rates needed to collect the estimated annual</w:t>
      </w:r>
      <w:r w:rsidR="00312310">
        <w:rPr>
          <w:b/>
        </w:rPr>
        <w:t xml:space="preserve"> </w:t>
      </w:r>
      <w:r w:rsidR="00312310" w:rsidRPr="00312310">
        <w:rPr>
          <w:b/>
        </w:rPr>
        <w:t xml:space="preserve">revenue requirement for the solar projects in the 2020 </w:t>
      </w:r>
      <w:proofErr w:type="spellStart"/>
      <w:r w:rsidR="00312310" w:rsidRPr="00312310">
        <w:rPr>
          <w:b/>
        </w:rPr>
        <w:t>SoBRA</w:t>
      </w:r>
      <w:proofErr w:type="spellEnd"/>
      <w:r w:rsidR="00312310" w:rsidRPr="00312310">
        <w:rPr>
          <w:b/>
        </w:rPr>
        <w:t>?</w:t>
      </w:r>
    </w:p>
    <w:p w:rsidR="004C4CAB" w:rsidRDefault="004C4CAB" w:rsidP="004C4CAB">
      <w:pPr>
        <w:ind w:left="1440" w:hanging="1440"/>
        <w:jc w:val="both"/>
        <w:rPr>
          <w:b/>
          <w:i/>
        </w:rPr>
      </w:pPr>
    </w:p>
    <w:p w:rsidR="004C4CAB" w:rsidRDefault="004C4CAB" w:rsidP="00312310">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00312310" w:rsidRPr="00312310">
        <w:rPr>
          <w:bCs/>
        </w:rPr>
        <w:t>The appropriate base rates needed to collect the estimated annual revenue</w:t>
      </w:r>
      <w:r w:rsidR="00312310">
        <w:rPr>
          <w:bCs/>
        </w:rPr>
        <w:t xml:space="preserve"> </w:t>
      </w:r>
      <w:r w:rsidR="00312310" w:rsidRPr="00312310">
        <w:rPr>
          <w:bCs/>
        </w:rPr>
        <w:t>requirement for t</w:t>
      </w:r>
      <w:r w:rsidR="00312310">
        <w:rPr>
          <w:bCs/>
        </w:rPr>
        <w:t xml:space="preserve">he solar projects in the 2020 </w:t>
      </w:r>
      <w:proofErr w:type="spellStart"/>
      <w:r w:rsidR="00312310">
        <w:rPr>
          <w:bCs/>
        </w:rPr>
        <w:t>So</w:t>
      </w:r>
      <w:r w:rsidR="00312310" w:rsidRPr="00312310">
        <w:rPr>
          <w:bCs/>
        </w:rPr>
        <w:t>BRA</w:t>
      </w:r>
      <w:proofErr w:type="spellEnd"/>
      <w:r w:rsidR="00312310" w:rsidRPr="00312310">
        <w:rPr>
          <w:bCs/>
        </w:rPr>
        <w:t xml:space="preserve"> are those reflected in the</w:t>
      </w:r>
      <w:r w:rsidR="00312310">
        <w:rPr>
          <w:bCs/>
        </w:rPr>
        <w:t xml:space="preserve"> </w:t>
      </w:r>
      <w:r w:rsidR="00312310" w:rsidRPr="00312310">
        <w:rPr>
          <w:bCs/>
        </w:rPr>
        <w:t>redlined and clean tariffs set forth as Documents Nos. 6 and 7 of witness</w:t>
      </w:r>
      <w:r w:rsidR="00312310">
        <w:rPr>
          <w:bCs/>
        </w:rPr>
        <w:t xml:space="preserve"> </w:t>
      </w:r>
      <w:r w:rsidR="00312310" w:rsidRPr="00312310">
        <w:rPr>
          <w:bCs/>
        </w:rPr>
        <w:t>Ashburn's Exhibit No.</w:t>
      </w:r>
      <w:r w:rsidR="004C4A1B">
        <w:rPr>
          <w:bCs/>
        </w:rPr>
        <w:t xml:space="preserve"> </w:t>
      </w:r>
      <w:proofErr w:type="gramStart"/>
      <w:r w:rsidR="004C4A1B">
        <w:rPr>
          <w:bCs/>
        </w:rPr>
        <w:t xml:space="preserve">___ </w:t>
      </w:r>
      <w:r w:rsidR="00312310" w:rsidRPr="00312310">
        <w:rPr>
          <w:bCs/>
        </w:rPr>
        <w:t>(WRA-1), which are incorporated herein by reference.</w:t>
      </w:r>
      <w:proofErr w:type="gramEnd"/>
    </w:p>
    <w:p w:rsidR="004C4CAB" w:rsidRDefault="004C4CAB" w:rsidP="004C4CAB">
      <w:pPr>
        <w:ind w:left="1440" w:hanging="1440"/>
        <w:jc w:val="both"/>
        <w:rPr>
          <w:bCs/>
        </w:rPr>
      </w:pPr>
    </w:p>
    <w:p w:rsidR="004C4CAB" w:rsidRPr="00312310" w:rsidRDefault="004C4CAB" w:rsidP="00312310">
      <w:pPr>
        <w:ind w:left="1440" w:hanging="1440"/>
        <w:jc w:val="both"/>
        <w:rPr>
          <w:b/>
        </w:rPr>
      </w:pPr>
      <w:r w:rsidRPr="00701945">
        <w:rPr>
          <w:b/>
          <w:bCs/>
          <w:u w:val="single"/>
        </w:rPr>
        <w:t xml:space="preserve">ISSUE </w:t>
      </w:r>
      <w:r>
        <w:rPr>
          <w:b/>
          <w:bCs/>
          <w:u w:val="single"/>
        </w:rPr>
        <w:t>6</w:t>
      </w:r>
      <w:r w:rsidRPr="00701945">
        <w:rPr>
          <w:b/>
          <w:bCs/>
        </w:rPr>
        <w:t>:</w:t>
      </w:r>
      <w:r w:rsidRPr="00701945">
        <w:tab/>
      </w:r>
      <w:r w:rsidR="00312310" w:rsidRPr="00312310">
        <w:rPr>
          <w:b/>
        </w:rPr>
        <w:t>Should the Commission approve the tariffs for TECO reflecting the base rate</w:t>
      </w:r>
      <w:r w:rsidR="00312310">
        <w:rPr>
          <w:b/>
        </w:rPr>
        <w:t xml:space="preserve"> </w:t>
      </w:r>
      <w:r w:rsidR="00312310" w:rsidRPr="00312310">
        <w:rPr>
          <w:b/>
        </w:rPr>
        <w:t>increases for the 2020 projects determined to be appropriate in these</w:t>
      </w:r>
      <w:r w:rsidR="00312310">
        <w:rPr>
          <w:b/>
        </w:rPr>
        <w:t xml:space="preserve"> </w:t>
      </w:r>
      <w:r w:rsidR="00312310" w:rsidRPr="00312310">
        <w:rPr>
          <w:b/>
        </w:rPr>
        <w:t>proceedings?</w:t>
      </w:r>
    </w:p>
    <w:p w:rsidR="004C4CAB" w:rsidRDefault="004C4CAB" w:rsidP="004C4CAB">
      <w:pPr>
        <w:ind w:left="1440" w:hanging="1440"/>
        <w:jc w:val="both"/>
        <w:rPr>
          <w:bCs/>
        </w:rPr>
      </w:pPr>
    </w:p>
    <w:p w:rsidR="00312310" w:rsidRDefault="004C4CAB" w:rsidP="001C425C">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001C425C" w:rsidRPr="001C425C">
        <w:rPr>
          <w:bCs/>
        </w:rPr>
        <w:t>Yes. For all the reasons provided in the company's Petition, and in the supporting</w:t>
      </w:r>
      <w:r w:rsidR="001C425C">
        <w:rPr>
          <w:bCs/>
        </w:rPr>
        <w:t xml:space="preserve"> </w:t>
      </w:r>
      <w:r w:rsidR="001C425C" w:rsidRPr="001C425C">
        <w:rPr>
          <w:bCs/>
        </w:rPr>
        <w:t>2017 Agreement, complete with amended tariff sheets and the other appendices</w:t>
      </w:r>
      <w:r w:rsidR="001C425C">
        <w:rPr>
          <w:bCs/>
        </w:rPr>
        <w:t xml:space="preserve"> </w:t>
      </w:r>
      <w:r w:rsidR="001C425C" w:rsidRPr="001C425C">
        <w:rPr>
          <w:bCs/>
        </w:rPr>
        <w:t>filed with the company's Petition, the Commission should approve the revised</w:t>
      </w:r>
      <w:r w:rsidR="001C425C">
        <w:rPr>
          <w:bCs/>
        </w:rPr>
        <w:t xml:space="preserve"> </w:t>
      </w:r>
      <w:r w:rsidR="001C425C" w:rsidRPr="001C425C">
        <w:rPr>
          <w:bCs/>
        </w:rPr>
        <w:t>tariffs for Tampa Electric reflecting the base rate increases for the 2020 projects</w:t>
      </w:r>
      <w:r w:rsidR="001C425C">
        <w:rPr>
          <w:bCs/>
        </w:rPr>
        <w:t xml:space="preserve"> </w:t>
      </w:r>
      <w:r w:rsidR="001C425C" w:rsidRPr="001C425C">
        <w:rPr>
          <w:bCs/>
        </w:rPr>
        <w:t xml:space="preserve">comprising the company's Third </w:t>
      </w:r>
      <w:proofErr w:type="spellStart"/>
      <w:r w:rsidR="001C425C" w:rsidRPr="001C425C">
        <w:rPr>
          <w:bCs/>
        </w:rPr>
        <w:t>SoBRA</w:t>
      </w:r>
      <w:proofErr w:type="spellEnd"/>
      <w:r w:rsidR="001C425C" w:rsidRPr="001C425C">
        <w:rPr>
          <w:bCs/>
        </w:rPr>
        <w:t xml:space="preserve"> effective with the first meter reading in</w:t>
      </w:r>
      <w:r w:rsidR="001C425C">
        <w:rPr>
          <w:bCs/>
        </w:rPr>
        <w:t xml:space="preserve"> </w:t>
      </w:r>
      <w:r w:rsidR="001C425C" w:rsidRPr="001C425C">
        <w:rPr>
          <w:bCs/>
        </w:rPr>
        <w:t>January 2020.</w:t>
      </w:r>
    </w:p>
    <w:p w:rsidR="001C425C" w:rsidRDefault="001C425C" w:rsidP="001C425C">
      <w:pPr>
        <w:ind w:left="1485" w:hanging="1485"/>
        <w:jc w:val="both"/>
        <w:rPr>
          <w:bCs/>
        </w:rPr>
      </w:pPr>
    </w:p>
    <w:p w:rsidR="00312310" w:rsidRPr="00312310" w:rsidRDefault="00312310" w:rsidP="00312310">
      <w:pPr>
        <w:ind w:left="1440" w:hanging="1440"/>
        <w:jc w:val="both"/>
        <w:rPr>
          <w:b/>
        </w:rPr>
      </w:pPr>
      <w:r w:rsidRPr="00701945">
        <w:rPr>
          <w:b/>
          <w:bCs/>
          <w:u w:val="single"/>
        </w:rPr>
        <w:t xml:space="preserve">ISSUE </w:t>
      </w:r>
      <w:r>
        <w:rPr>
          <w:b/>
          <w:bCs/>
          <w:u w:val="single"/>
        </w:rPr>
        <w:t>7</w:t>
      </w:r>
      <w:r w:rsidRPr="00701945">
        <w:rPr>
          <w:b/>
          <w:bCs/>
        </w:rPr>
        <w:t>:</w:t>
      </w:r>
      <w:r w:rsidRPr="00701945">
        <w:tab/>
      </w:r>
      <w:r>
        <w:rPr>
          <w:b/>
        </w:rPr>
        <w:t>Should the docket be closed</w:t>
      </w:r>
      <w:r w:rsidRPr="00312310">
        <w:rPr>
          <w:b/>
        </w:rPr>
        <w:t>?</w:t>
      </w:r>
    </w:p>
    <w:p w:rsidR="00312310" w:rsidRDefault="00312310" w:rsidP="00312310">
      <w:pPr>
        <w:ind w:left="1440" w:hanging="1440"/>
        <w:jc w:val="both"/>
        <w:rPr>
          <w:bCs/>
        </w:rPr>
      </w:pPr>
    </w:p>
    <w:p w:rsidR="004533D4" w:rsidRDefault="00312310" w:rsidP="00392C2E">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312310">
        <w:rPr>
          <w:bCs/>
        </w:rPr>
        <w:t>Yes. Once all issues in this docket are resolved, the docket should be closed.</w:t>
      </w:r>
      <w:r w:rsidR="00392C2E">
        <w:rPr>
          <w:bCs/>
        </w:rPr>
        <w:br/>
      </w:r>
    </w:p>
    <w:p w:rsidR="00392C2E" w:rsidRDefault="00392C2E" w:rsidP="00392C2E">
      <w:pPr>
        <w:ind w:left="1485" w:hanging="1485"/>
        <w:jc w:val="both"/>
        <w:rPr>
          <w:bCs/>
        </w:rPr>
      </w:pPr>
    </w:p>
    <w:p w:rsidR="00967943" w:rsidRPr="009A2E56" w:rsidRDefault="00967943" w:rsidP="00392C2E">
      <w:pPr>
        <w:jc w:val="both"/>
        <w:rPr>
          <w:bCs/>
        </w:rPr>
      </w:pPr>
      <w:r w:rsidRPr="00A32DC5">
        <w:rPr>
          <w:b/>
        </w:rPr>
        <w:t>XI.</w:t>
      </w:r>
      <w:r w:rsidRPr="00A32DC5">
        <w:rPr>
          <w:b/>
        </w:rPr>
        <w:tab/>
      </w:r>
      <w:r w:rsidRPr="00A32DC5">
        <w:rPr>
          <w:b/>
          <w:u w:val="single"/>
        </w:rPr>
        <w:t>PENDING MOTIONS</w:t>
      </w:r>
    </w:p>
    <w:p w:rsidR="00C72204" w:rsidRPr="00A32DC5" w:rsidRDefault="00C72204" w:rsidP="00CC793E">
      <w:pPr>
        <w:jc w:val="both"/>
        <w:rPr>
          <w:b/>
        </w:rPr>
      </w:pPr>
    </w:p>
    <w:p w:rsidR="00BA7F7D" w:rsidRPr="006C4AF0" w:rsidRDefault="00BA7F7D" w:rsidP="00CC793E">
      <w:pPr>
        <w:pStyle w:val="NoSpacing"/>
        <w:ind w:firstLine="720"/>
        <w:jc w:val="both"/>
        <w:rPr>
          <w:rFonts w:eastAsiaTheme="minorHAnsi"/>
        </w:rPr>
      </w:pPr>
      <w:r w:rsidRPr="00C14C8B">
        <w:rPr>
          <w:rFonts w:eastAsiaTheme="minorHAnsi"/>
        </w:rPr>
        <w:t>T</w:t>
      </w:r>
      <w:r>
        <w:rPr>
          <w:rFonts w:eastAsiaTheme="minorHAnsi"/>
        </w:rPr>
        <w:t>ECO</w:t>
      </w:r>
      <w:r w:rsidRPr="00C14C8B">
        <w:rPr>
          <w:rFonts w:eastAsiaTheme="minorHAnsi"/>
        </w:rPr>
        <w:t xml:space="preserve"> currently has </w:t>
      </w:r>
      <w:r>
        <w:rPr>
          <w:rFonts w:eastAsiaTheme="minorHAnsi"/>
        </w:rPr>
        <w:t>three</w:t>
      </w:r>
      <w:r w:rsidRPr="00C14C8B">
        <w:rPr>
          <w:rFonts w:eastAsiaTheme="minorHAnsi"/>
        </w:rPr>
        <w:t xml:space="preserve"> pending </w:t>
      </w:r>
      <w:r>
        <w:rPr>
          <w:rFonts w:eastAsiaTheme="minorHAnsi"/>
        </w:rPr>
        <w:t xml:space="preserve">motions for </w:t>
      </w:r>
      <w:r w:rsidR="00CE13DE">
        <w:rPr>
          <w:rFonts w:eastAsiaTheme="minorHAnsi"/>
        </w:rPr>
        <w:t xml:space="preserve">a </w:t>
      </w:r>
      <w:r>
        <w:rPr>
          <w:rFonts w:eastAsiaTheme="minorHAnsi"/>
        </w:rPr>
        <w:t>temporary protective order in this docket, filed, respectively, on August 12, September 4, and September 12, 2019</w:t>
      </w:r>
      <w:r w:rsidRPr="00C14C8B">
        <w:rPr>
          <w:rFonts w:eastAsiaTheme="minorHAnsi"/>
        </w:rPr>
        <w:t>.</w:t>
      </w:r>
    </w:p>
    <w:p w:rsidR="00683A79" w:rsidRPr="00C14C8B" w:rsidRDefault="00683A79" w:rsidP="00DD7E17">
      <w:pPr>
        <w:pStyle w:val="NoSpacing"/>
        <w:ind w:left="1440" w:hanging="1440"/>
        <w:jc w:val="both"/>
        <w:rPr>
          <w:rFonts w:eastAsiaTheme="minorHAnsi"/>
        </w:rPr>
      </w:pPr>
    </w:p>
    <w:p w:rsidR="00C72204" w:rsidRPr="00D27E70" w:rsidRDefault="00C72204" w:rsidP="00967943">
      <w:pPr>
        <w:ind w:firstLine="720"/>
        <w:jc w:val="both"/>
      </w:pPr>
    </w:p>
    <w:p w:rsidR="00967943" w:rsidRPr="00A32DC5" w:rsidRDefault="00967943" w:rsidP="00967943">
      <w:pPr>
        <w:jc w:val="both"/>
        <w:rPr>
          <w:b/>
        </w:rPr>
      </w:pPr>
      <w:r w:rsidRPr="00A32DC5">
        <w:rPr>
          <w:b/>
        </w:rPr>
        <w:t>XII.</w:t>
      </w:r>
      <w:r w:rsidRPr="00A32DC5">
        <w:rPr>
          <w:b/>
        </w:rPr>
        <w:tab/>
      </w:r>
      <w:r w:rsidRPr="00A32DC5">
        <w:rPr>
          <w:b/>
          <w:u w:val="single"/>
        </w:rPr>
        <w:t>PENDING CONFIDENTIALITY MATTERS</w:t>
      </w:r>
    </w:p>
    <w:p w:rsidR="00967943" w:rsidRDefault="00967943" w:rsidP="00967943">
      <w:pPr>
        <w:jc w:val="both"/>
      </w:pPr>
    </w:p>
    <w:p w:rsidR="00C14C8B" w:rsidRPr="00C14C8B" w:rsidRDefault="00C14C8B" w:rsidP="00A32A81">
      <w:pPr>
        <w:pStyle w:val="NoSpacing"/>
        <w:ind w:firstLine="720"/>
        <w:jc w:val="both"/>
        <w:rPr>
          <w:rFonts w:eastAsiaTheme="minorHAnsi"/>
        </w:rPr>
      </w:pPr>
      <w:r w:rsidRPr="00C14C8B">
        <w:rPr>
          <w:rFonts w:eastAsiaTheme="minorHAnsi"/>
        </w:rPr>
        <w:t>T</w:t>
      </w:r>
      <w:r w:rsidR="00895D72">
        <w:rPr>
          <w:rFonts w:eastAsiaTheme="minorHAnsi"/>
        </w:rPr>
        <w:t>ECO</w:t>
      </w:r>
      <w:r w:rsidRPr="00C14C8B">
        <w:rPr>
          <w:rFonts w:eastAsiaTheme="minorHAnsi"/>
        </w:rPr>
        <w:t xml:space="preserve"> currently has one pending confidentiality request in this docket, filed June 28, 2019.</w:t>
      </w:r>
    </w:p>
    <w:p w:rsidR="00C14C8B" w:rsidRPr="00A32DC5" w:rsidRDefault="00C14C8B">
      <w:pPr>
        <w:jc w:val="both"/>
        <w:rPr>
          <w:b/>
        </w:rPr>
      </w:pPr>
    </w:p>
    <w:p w:rsidR="009A2E56" w:rsidRDefault="009A2E56" w:rsidP="00B4333D">
      <w:pPr>
        <w:keepNext/>
        <w:jc w:val="both"/>
        <w:rPr>
          <w:b/>
        </w:rPr>
      </w:pPr>
    </w:p>
    <w:p w:rsidR="00967943" w:rsidRPr="00A32DC5" w:rsidRDefault="00967943" w:rsidP="00B4333D">
      <w:pPr>
        <w:keepNext/>
        <w:jc w:val="both"/>
        <w:rPr>
          <w:b/>
        </w:rPr>
      </w:pPr>
      <w:r w:rsidRPr="00A32DC5">
        <w:rPr>
          <w:b/>
        </w:rPr>
        <w:t>XIII.</w:t>
      </w:r>
      <w:r w:rsidRPr="00A32DC5">
        <w:rPr>
          <w:b/>
        </w:rPr>
        <w:tab/>
      </w:r>
      <w:r w:rsidRPr="00A32DC5">
        <w:rPr>
          <w:b/>
          <w:u w:val="single"/>
        </w:rPr>
        <w:t>POST-HEARING PROCEDURES</w:t>
      </w:r>
    </w:p>
    <w:p w:rsidR="00967943" w:rsidRPr="00701945" w:rsidRDefault="00967943" w:rsidP="00B4333D">
      <w:pPr>
        <w:keepNext/>
        <w:jc w:val="both"/>
      </w:pPr>
    </w:p>
    <w:p w:rsidR="00967943" w:rsidRPr="006F3A38" w:rsidRDefault="00967943" w:rsidP="00B4333D">
      <w:pPr>
        <w:keepNext/>
        <w:jc w:val="both"/>
      </w:pPr>
      <w:r w:rsidRPr="00701945">
        <w:tab/>
      </w:r>
      <w:r w:rsidRPr="006F3A38">
        <w:t>If no bench decision is made, each party shall file a post-hearing statement of issues and positions</w:t>
      </w:r>
      <w:r w:rsidR="00F11E69" w:rsidRPr="006F3A38">
        <w:t xml:space="preserve">. </w:t>
      </w:r>
      <w:r w:rsidRPr="006F3A38">
        <w:t>A summary of each position</w:t>
      </w:r>
      <w:r w:rsidR="00C46826" w:rsidRPr="006F3A38">
        <w:t xml:space="preserve"> of no more than 75 words</w:t>
      </w:r>
      <w:r w:rsidRPr="006F3A38">
        <w:t>, set off with asterisks, shall be included in that statement.</w:t>
      </w:r>
      <w:r w:rsidR="00C46826" w:rsidRPr="006F3A38">
        <w:t xml:space="preserve"> </w:t>
      </w:r>
      <w:r w:rsidRPr="006F3A38">
        <w:t xml:space="preserve">If a party's position has not changed since the issuance of this Prehearing Order, the post-hearing statement may simply restate the prehearing position; however, if the prehearing position is longer than </w:t>
      </w:r>
      <w:r w:rsidR="00B4333D" w:rsidRPr="006F3A38">
        <w:t>75</w:t>
      </w:r>
      <w:r w:rsidRPr="006F3A38">
        <w:t xml:space="preserve"> words, it must be reduced to no more than </w:t>
      </w:r>
      <w:r w:rsidR="00B4333D" w:rsidRPr="006F3A38">
        <w:t>75</w:t>
      </w:r>
      <w:r w:rsidRPr="006F3A38">
        <w:t xml:space="preserve"> words</w:t>
      </w:r>
      <w:r w:rsidR="004D6DFE" w:rsidRPr="006F3A38">
        <w:t xml:space="preserve">. </w:t>
      </w:r>
      <w:r w:rsidRPr="006F3A38">
        <w:t>If a party fails to file a post-hearing statement, that party shall have waived all issues and may be dismissed from the proceeding.</w:t>
      </w:r>
    </w:p>
    <w:p w:rsidR="00967943" w:rsidRPr="006F3A38" w:rsidRDefault="00967943" w:rsidP="00967943">
      <w:pPr>
        <w:jc w:val="both"/>
      </w:pPr>
    </w:p>
    <w:p w:rsidR="00967943" w:rsidRPr="006F3A38" w:rsidRDefault="00967943" w:rsidP="00967943">
      <w:pPr>
        <w:jc w:val="both"/>
      </w:pPr>
      <w:r w:rsidRPr="006F3A38">
        <w:tab/>
        <w:t>Pursuant to Rule 28-106.215, F.A.C., a party's proposed findings of fact and conclusions of law, if any, statement of issues and positions, and brief, shall together total no more than 40</w:t>
      </w:r>
      <w:r w:rsidR="00DD6BAF" w:rsidRPr="006F3A38">
        <w:t xml:space="preserve"> pages, inclusive of attachments,</w:t>
      </w:r>
      <w:r w:rsidRPr="006F3A38">
        <w:rPr>
          <w:color w:val="FF0000"/>
        </w:rPr>
        <w:t xml:space="preserve"> </w:t>
      </w:r>
      <w:r w:rsidRPr="006F3A38">
        <w:t>and shall be filed at the same time.</w:t>
      </w:r>
    </w:p>
    <w:p w:rsidR="00967943" w:rsidRPr="006F3A38" w:rsidRDefault="00967943" w:rsidP="00967943">
      <w:pPr>
        <w:jc w:val="both"/>
      </w:pPr>
    </w:p>
    <w:p w:rsidR="00967943" w:rsidRPr="006F3A38" w:rsidRDefault="00967943" w:rsidP="00967943">
      <w:pPr>
        <w:jc w:val="both"/>
      </w:pPr>
    </w:p>
    <w:p w:rsidR="00967943" w:rsidRPr="006F3A38" w:rsidRDefault="00967943" w:rsidP="00967943">
      <w:pPr>
        <w:jc w:val="both"/>
        <w:rPr>
          <w:b/>
        </w:rPr>
      </w:pPr>
      <w:r w:rsidRPr="006F3A38">
        <w:rPr>
          <w:b/>
        </w:rPr>
        <w:t>XIV.</w:t>
      </w:r>
      <w:r w:rsidRPr="006F3A38">
        <w:rPr>
          <w:b/>
        </w:rPr>
        <w:tab/>
      </w:r>
      <w:r w:rsidRPr="006F3A38">
        <w:rPr>
          <w:b/>
          <w:u w:val="single"/>
        </w:rPr>
        <w:t>RULINGS</w:t>
      </w:r>
    </w:p>
    <w:p w:rsidR="00967943" w:rsidRPr="006F3A38" w:rsidRDefault="00967943" w:rsidP="00967943">
      <w:pPr>
        <w:jc w:val="both"/>
      </w:pPr>
    </w:p>
    <w:p w:rsidR="00967943" w:rsidRPr="00701945" w:rsidRDefault="00810265" w:rsidP="00967943">
      <w:pPr>
        <w:ind w:firstLine="720"/>
        <w:jc w:val="both"/>
      </w:pPr>
      <w:r w:rsidRPr="006F3A38">
        <w:t xml:space="preserve"> </w:t>
      </w:r>
      <w:r w:rsidR="00967943" w:rsidRPr="006F3A38">
        <w:t xml:space="preserve">Opening statements, if any, shall not exceed </w:t>
      </w:r>
      <w:r w:rsidR="00BA45F6" w:rsidRPr="006F3A38">
        <w:t>three</w:t>
      </w:r>
      <w:r w:rsidR="00967943" w:rsidRPr="006F3A38">
        <w:t xml:space="preserve"> minutes per party.</w:t>
      </w:r>
    </w:p>
    <w:p w:rsidR="00967943" w:rsidRDefault="00967943" w:rsidP="00967943">
      <w:pPr>
        <w:jc w:val="both"/>
      </w:pPr>
    </w:p>
    <w:p w:rsidR="007301FF" w:rsidRDefault="00967943" w:rsidP="00DF6BAE">
      <w:pPr>
        <w:keepNext/>
        <w:jc w:val="both"/>
      </w:pPr>
      <w:r w:rsidRPr="00701945">
        <w:tab/>
      </w:r>
    </w:p>
    <w:p w:rsidR="007301FF" w:rsidRDefault="007301FF">
      <w:r>
        <w:br w:type="page"/>
      </w:r>
    </w:p>
    <w:p w:rsidR="00967943" w:rsidRPr="00701945" w:rsidRDefault="00967943" w:rsidP="00DF6BAE">
      <w:pPr>
        <w:keepNext/>
        <w:jc w:val="both"/>
      </w:pPr>
      <w:r w:rsidRPr="00701945">
        <w:lastRenderedPageBreak/>
        <w:t>It is therefore,</w:t>
      </w:r>
    </w:p>
    <w:p w:rsidR="00967943" w:rsidRPr="00701945" w:rsidRDefault="00967943" w:rsidP="00DF6BAE">
      <w:pPr>
        <w:keepNext/>
        <w:jc w:val="both"/>
      </w:pPr>
    </w:p>
    <w:p w:rsidR="00967943" w:rsidRPr="00701945" w:rsidRDefault="00967943" w:rsidP="00DF6BAE">
      <w:pPr>
        <w:keepNext/>
        <w:jc w:val="both"/>
      </w:pPr>
      <w:r w:rsidRPr="00701945">
        <w:tab/>
        <w:t>ORDERED by Comm</w:t>
      </w:r>
      <w:r w:rsidR="00C14C8B">
        <w:t xml:space="preserve">issioner Donald J. </w:t>
      </w:r>
      <w:proofErr w:type="spellStart"/>
      <w:r w:rsidR="00C14C8B">
        <w:t>Polmann</w:t>
      </w:r>
      <w:proofErr w:type="spellEnd"/>
      <w:r w:rsidRPr="00701945">
        <w:t>, as Prehearing Officer, that this Prehearing Order shall govern the conduct of these proceedings as set forth above unless modified by the Commission.</w:t>
      </w:r>
    </w:p>
    <w:p w:rsidR="00967943" w:rsidRDefault="00967943" w:rsidP="00967943">
      <w:pPr>
        <w:jc w:val="both"/>
      </w:pPr>
    </w:p>
    <w:p w:rsidR="00C14C8B" w:rsidRDefault="00C14C8B" w:rsidP="00C14C8B">
      <w:pPr>
        <w:keepNext/>
        <w:keepLines/>
        <w:jc w:val="both"/>
      </w:pPr>
      <w:r w:rsidRPr="00C14C8B">
        <w:tab/>
      </w:r>
      <w:proofErr w:type="gramStart"/>
      <w:r w:rsidRPr="00C14C8B">
        <w:t xml:space="preserve">By ORDER of Commissioner Donald J. </w:t>
      </w:r>
      <w:proofErr w:type="spellStart"/>
      <w:r w:rsidRPr="00C14C8B">
        <w:t>Polmann</w:t>
      </w:r>
      <w:proofErr w:type="spellEnd"/>
      <w:r w:rsidRPr="00C14C8B">
        <w:t xml:space="preserve">, as Prehearing Officer, this </w:t>
      </w:r>
      <w:bookmarkStart w:id="6" w:name="replaceDate"/>
      <w:bookmarkEnd w:id="6"/>
      <w:r w:rsidR="00B37F05">
        <w:rPr>
          <w:u w:val="single"/>
        </w:rPr>
        <w:t>11th</w:t>
      </w:r>
      <w:r w:rsidR="00B37F05">
        <w:t xml:space="preserve"> day of </w:t>
      </w:r>
      <w:r w:rsidR="00B37F05">
        <w:rPr>
          <w:u w:val="single"/>
        </w:rPr>
        <w:t>October</w:t>
      </w:r>
      <w:r w:rsidR="00B37F05">
        <w:t xml:space="preserve">, </w:t>
      </w:r>
      <w:r w:rsidR="00B37F05">
        <w:rPr>
          <w:u w:val="single"/>
        </w:rPr>
        <w:t>2019</w:t>
      </w:r>
      <w:r w:rsidR="00B37F05">
        <w:t>.</w:t>
      </w:r>
      <w:proofErr w:type="gramEnd"/>
    </w:p>
    <w:p w:rsidR="00B37F05" w:rsidRPr="00B37F05" w:rsidRDefault="00B37F05" w:rsidP="00C14C8B">
      <w:pPr>
        <w:keepNext/>
        <w:keepLines/>
        <w:jc w:val="both"/>
      </w:pPr>
    </w:p>
    <w:p w:rsidR="00C14C8B" w:rsidRPr="00C14C8B" w:rsidRDefault="00C14C8B" w:rsidP="00C14C8B">
      <w:pPr>
        <w:keepNext/>
        <w:keepLines/>
        <w:jc w:val="both"/>
      </w:pPr>
    </w:p>
    <w:p w:rsidR="00C14C8B" w:rsidRPr="00C14C8B" w:rsidRDefault="00C14C8B" w:rsidP="00C14C8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14C8B" w:rsidRPr="00C14C8B" w:rsidTr="00C14C8B">
        <w:tc>
          <w:tcPr>
            <w:tcW w:w="720" w:type="dxa"/>
            <w:shd w:val="clear" w:color="auto" w:fill="auto"/>
          </w:tcPr>
          <w:p w:rsidR="00C14C8B" w:rsidRPr="00C14C8B" w:rsidRDefault="00C14C8B" w:rsidP="00C14C8B">
            <w:pPr>
              <w:keepNext/>
              <w:keepLines/>
              <w:jc w:val="both"/>
            </w:pPr>
            <w:bookmarkStart w:id="7" w:name="bkmrkSignature" w:colFirst="0" w:colLast="0"/>
          </w:p>
        </w:tc>
        <w:tc>
          <w:tcPr>
            <w:tcW w:w="4320" w:type="dxa"/>
            <w:tcBorders>
              <w:bottom w:val="single" w:sz="4" w:space="0" w:color="auto"/>
            </w:tcBorders>
            <w:shd w:val="clear" w:color="auto" w:fill="auto"/>
          </w:tcPr>
          <w:p w:rsidR="00C14C8B" w:rsidRPr="00C14C8B" w:rsidRDefault="00B37F05" w:rsidP="00C14C8B">
            <w:pPr>
              <w:keepNext/>
              <w:keepLines/>
              <w:jc w:val="both"/>
            </w:pPr>
            <w:r>
              <w:t xml:space="preserve">/s/ Donald J. </w:t>
            </w:r>
            <w:proofErr w:type="spellStart"/>
            <w:r>
              <w:t>Polmann</w:t>
            </w:r>
            <w:proofErr w:type="spellEnd"/>
            <w:r>
              <w:t>, Ph.D., P.E.</w:t>
            </w:r>
          </w:p>
        </w:tc>
      </w:tr>
      <w:bookmarkEnd w:id="7"/>
      <w:tr w:rsidR="00C14C8B" w:rsidRPr="00C14C8B" w:rsidTr="00C14C8B">
        <w:tc>
          <w:tcPr>
            <w:tcW w:w="720" w:type="dxa"/>
            <w:shd w:val="clear" w:color="auto" w:fill="auto"/>
          </w:tcPr>
          <w:p w:rsidR="00C14C8B" w:rsidRPr="00C14C8B" w:rsidRDefault="00C14C8B" w:rsidP="00C14C8B">
            <w:pPr>
              <w:keepNext/>
              <w:keepLines/>
              <w:jc w:val="both"/>
            </w:pPr>
          </w:p>
        </w:tc>
        <w:tc>
          <w:tcPr>
            <w:tcW w:w="4320" w:type="dxa"/>
            <w:tcBorders>
              <w:top w:val="single" w:sz="4" w:space="0" w:color="auto"/>
            </w:tcBorders>
            <w:shd w:val="clear" w:color="auto" w:fill="auto"/>
          </w:tcPr>
          <w:p w:rsidR="00C14C8B" w:rsidRPr="00C14C8B" w:rsidRDefault="00C14C8B" w:rsidP="00C14C8B">
            <w:pPr>
              <w:keepNext/>
              <w:keepLines/>
              <w:jc w:val="both"/>
            </w:pPr>
            <w:r w:rsidRPr="00C14C8B">
              <w:t>DONALD J. POLMANN, Ph.D., P.E.</w:t>
            </w:r>
          </w:p>
          <w:p w:rsidR="00C14C8B" w:rsidRPr="00C14C8B" w:rsidRDefault="00C14C8B" w:rsidP="00C14C8B">
            <w:pPr>
              <w:keepNext/>
              <w:keepLines/>
              <w:jc w:val="both"/>
            </w:pPr>
            <w:r w:rsidRPr="00C14C8B">
              <w:t>Commissioner and Prehearing Officer</w:t>
            </w:r>
          </w:p>
        </w:tc>
      </w:tr>
    </w:tbl>
    <w:p w:rsidR="00C14C8B" w:rsidRPr="00C14C8B" w:rsidRDefault="00C14C8B" w:rsidP="00C14C8B">
      <w:pPr>
        <w:pStyle w:val="OrderSigInfo"/>
        <w:keepNext/>
        <w:keepLines/>
      </w:pPr>
      <w:r w:rsidRPr="00C14C8B">
        <w:t>Florida Public Service Commission</w:t>
      </w:r>
    </w:p>
    <w:p w:rsidR="00C14C8B" w:rsidRPr="00C14C8B" w:rsidRDefault="00C14C8B" w:rsidP="00C14C8B">
      <w:pPr>
        <w:pStyle w:val="OrderSigInfo"/>
        <w:keepNext/>
        <w:keepLines/>
      </w:pPr>
      <w:r w:rsidRPr="00C14C8B">
        <w:t>2540 Shumard Oak Boulevard</w:t>
      </w:r>
    </w:p>
    <w:p w:rsidR="00C14C8B" w:rsidRPr="00C14C8B" w:rsidRDefault="00C14C8B" w:rsidP="00C14C8B">
      <w:pPr>
        <w:pStyle w:val="OrderSigInfo"/>
        <w:keepNext/>
        <w:keepLines/>
      </w:pPr>
      <w:r w:rsidRPr="00C14C8B">
        <w:t>Tallahassee, Florida 32399</w:t>
      </w:r>
    </w:p>
    <w:p w:rsidR="00C14C8B" w:rsidRPr="00C14C8B" w:rsidRDefault="00C14C8B" w:rsidP="00C14C8B">
      <w:pPr>
        <w:pStyle w:val="OrderSigInfo"/>
        <w:keepNext/>
        <w:keepLines/>
      </w:pPr>
      <w:r w:rsidRPr="00C14C8B">
        <w:t>(850) 413</w:t>
      </w:r>
      <w:r w:rsidRPr="00C14C8B">
        <w:noBreakHyphen/>
        <w:t>6770</w:t>
      </w:r>
    </w:p>
    <w:p w:rsidR="00C14C8B" w:rsidRPr="00C14C8B" w:rsidRDefault="00C14C8B" w:rsidP="00C14C8B">
      <w:pPr>
        <w:pStyle w:val="OrderSigInfo"/>
        <w:keepNext/>
        <w:keepLines/>
      </w:pPr>
      <w:r w:rsidRPr="00C14C8B">
        <w:t>www.floridapsc.com</w:t>
      </w:r>
    </w:p>
    <w:p w:rsidR="00C14C8B" w:rsidRPr="00C14C8B" w:rsidRDefault="00C14C8B" w:rsidP="00C14C8B">
      <w:pPr>
        <w:pStyle w:val="OrderSigInfo"/>
        <w:keepNext/>
        <w:keepLines/>
      </w:pPr>
    </w:p>
    <w:p w:rsidR="00C14C8B" w:rsidRPr="00C14C8B" w:rsidRDefault="00C14C8B" w:rsidP="00C14C8B">
      <w:pPr>
        <w:pStyle w:val="OrderSigInfo"/>
        <w:keepNext/>
        <w:keepLines/>
      </w:pPr>
      <w:r w:rsidRPr="00C14C8B">
        <w:t>Copies furnished:  A copy of this document is provided to the parties of record at the time of issuance and, if applicable, interested persons.</w:t>
      </w:r>
    </w:p>
    <w:p w:rsidR="00C14C8B" w:rsidRPr="00C14C8B" w:rsidRDefault="00C14C8B" w:rsidP="00C14C8B">
      <w:pPr>
        <w:pStyle w:val="OrderBody"/>
        <w:keepNext/>
        <w:keepLines/>
      </w:pPr>
    </w:p>
    <w:p w:rsidR="00C14C8B" w:rsidRPr="00C14C8B" w:rsidRDefault="00C14C8B" w:rsidP="00C14C8B">
      <w:pPr>
        <w:keepNext/>
        <w:keepLines/>
        <w:jc w:val="both"/>
      </w:pPr>
    </w:p>
    <w:p w:rsidR="00C14C8B" w:rsidRPr="00C14C8B" w:rsidRDefault="00C14C8B" w:rsidP="00C14C8B">
      <w:pPr>
        <w:keepNext/>
        <w:keepLines/>
        <w:jc w:val="both"/>
      </w:pPr>
      <w:r>
        <w:t>KMS</w:t>
      </w:r>
    </w:p>
    <w:p w:rsidR="00D57E57" w:rsidRPr="00C14C8B" w:rsidRDefault="00D57E57" w:rsidP="00D57E57">
      <w:pPr>
        <w:rPr>
          <w:b/>
        </w:rPr>
      </w:pPr>
    </w:p>
    <w:p w:rsidR="00C14C8B" w:rsidRDefault="00C14C8B" w:rsidP="00C14C8B">
      <w:pPr>
        <w:pStyle w:val="CenterUnderline"/>
      </w:pPr>
      <w:r>
        <w:t>NOTICE OF FURTHER PROCEEDINGS OR JUDICIAL REVIEW</w:t>
      </w:r>
    </w:p>
    <w:p w:rsidR="00C14C8B" w:rsidRDefault="00C14C8B" w:rsidP="00C14C8B">
      <w:pPr>
        <w:pStyle w:val="CenterUnderline"/>
      </w:pPr>
    </w:p>
    <w:p w:rsidR="00C14C8B" w:rsidRDefault="00C14C8B" w:rsidP="00C14C8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F11E69">
        <w:t xml:space="preserve">. </w:t>
      </w:r>
      <w:r>
        <w:t>This notice should not be construed to mean all requests for an administrative hearing or judicial review will be granted or result in the relief sought.</w:t>
      </w:r>
    </w:p>
    <w:p w:rsidR="00C14C8B" w:rsidRDefault="00C14C8B" w:rsidP="00C14C8B">
      <w:pPr>
        <w:pStyle w:val="OrderBody"/>
      </w:pPr>
    </w:p>
    <w:p w:rsidR="00C14C8B" w:rsidRDefault="00C14C8B" w:rsidP="00C14C8B">
      <w:pPr>
        <w:pStyle w:val="OrderBody"/>
      </w:pPr>
      <w:r>
        <w:tab/>
        <w:t>Mediation may be available on a case-by-case basis</w:t>
      </w:r>
      <w:r w:rsidR="00F11E69">
        <w:t xml:space="preserve">. </w:t>
      </w:r>
      <w:r>
        <w:t>If mediation is conducted, it does not affect a substantially interested person's right to a hearing.</w:t>
      </w:r>
    </w:p>
    <w:p w:rsidR="00C14C8B" w:rsidRDefault="00C14C8B" w:rsidP="00C14C8B">
      <w:pPr>
        <w:pStyle w:val="OrderBody"/>
      </w:pPr>
    </w:p>
    <w:p w:rsidR="00723780" w:rsidRDefault="00C14C8B" w:rsidP="00C14C8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F11E69">
        <w:t xml:space="preserve">. </w:t>
      </w:r>
      <w:r>
        <w:t>A motion for reconsideration shall be filed with the Office of Commission Clerk, in the form prescribed by Rule 25-22.0376, Florida Administrative Code</w:t>
      </w:r>
      <w:r w:rsidR="00F11E69">
        <w:t xml:space="preserve">. </w:t>
      </w:r>
    </w:p>
    <w:p w:rsidR="00C14C8B" w:rsidRDefault="00C14C8B" w:rsidP="00C14C8B">
      <w:pPr>
        <w:pStyle w:val="OrderBody"/>
      </w:pPr>
      <w:bookmarkStart w:id="8" w:name="_GoBack"/>
      <w:bookmarkEnd w:id="8"/>
      <w:r>
        <w:lastRenderedPageBreak/>
        <w:t>Judicial review of a preliminary, procedural or intermediate ruling or order is available if review of the final action will not provide an adequate remedy</w:t>
      </w:r>
      <w:r w:rsidR="00F11E69">
        <w:t xml:space="preserve">. </w:t>
      </w:r>
      <w:r>
        <w:t>Such review may be requested from the appropriate court, as described above, pursuant to Rule 9.100, Florida Rules of Appellate Procedure.</w:t>
      </w:r>
    </w:p>
    <w:p w:rsidR="00C14C8B" w:rsidRDefault="00C14C8B" w:rsidP="00C14C8B">
      <w:pPr>
        <w:pStyle w:val="OrderBody"/>
      </w:pPr>
    </w:p>
    <w:p w:rsidR="00C14C8B" w:rsidRPr="00C14C8B" w:rsidRDefault="00C14C8B" w:rsidP="00C14C8B">
      <w:pPr>
        <w:pStyle w:val="OrderBody"/>
      </w:pPr>
    </w:p>
    <w:sectPr w:rsidR="00C14C8B" w:rsidRPr="00C14C8B">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943" w:rsidRDefault="00967943">
      <w:r>
        <w:separator/>
      </w:r>
    </w:p>
  </w:endnote>
  <w:endnote w:type="continuationSeparator" w:id="0">
    <w:p w:rsidR="00967943" w:rsidRDefault="009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943" w:rsidRDefault="00967943">
      <w:r>
        <w:separator/>
      </w:r>
    </w:p>
  </w:footnote>
  <w:footnote w:type="continuationSeparator" w:id="0">
    <w:p w:rsidR="00967943" w:rsidRDefault="00967943">
      <w:r>
        <w:continuationSeparator/>
      </w:r>
    </w:p>
  </w:footnote>
  <w:footnote w:id="1">
    <w:p w:rsidR="00B63496" w:rsidRDefault="00B63496" w:rsidP="00B63496">
      <w:pPr>
        <w:pStyle w:val="FootnoteText"/>
      </w:pPr>
      <w:r>
        <w:rPr>
          <w:rStyle w:val="FootnoteReference"/>
        </w:rPr>
        <w:footnoteRef/>
      </w:r>
      <w:r>
        <w:t xml:space="preserve"> </w:t>
      </w:r>
      <w:proofErr w:type="gramStart"/>
      <w:r>
        <w:t>Order No.</w:t>
      </w:r>
      <w:proofErr w:type="gramEnd"/>
      <w:r>
        <w:t xml:space="preserve"> PSC-2017-0456-S-EI, issued November 27, 2017, in Docket No. 20170210-EI, </w:t>
      </w:r>
      <w:r w:rsidRPr="00180D8B">
        <w:rPr>
          <w:i/>
        </w:rPr>
        <w:t xml:space="preserve">In re: Petition for limited proceeding to approve 2017 amended and restated stipulation and settlement agreement, by Tampa Electric Company. </w:t>
      </w:r>
    </w:p>
  </w:footnote>
  <w:footnote w:id="2">
    <w:p w:rsidR="00B63496" w:rsidRPr="003B2697" w:rsidRDefault="00B63496" w:rsidP="00B63496">
      <w:pPr>
        <w:pStyle w:val="FootnoteText"/>
        <w:rPr>
          <w:i/>
        </w:rPr>
      </w:pPr>
      <w:r>
        <w:rPr>
          <w:rStyle w:val="FootnoteReference"/>
        </w:rPr>
        <w:footnoteRef/>
      </w:r>
      <w:r>
        <w:t xml:space="preserve"> </w:t>
      </w:r>
      <w:proofErr w:type="gramStart"/>
      <w:r>
        <w:t>Order No.</w:t>
      </w:r>
      <w:proofErr w:type="gramEnd"/>
      <w:r>
        <w:t xml:space="preserve"> PSC-2018-0288-FOF-EI, issued June 5, 2018, in Docket No. 20170260-EI, </w:t>
      </w:r>
      <w:r w:rsidRPr="003B2697">
        <w:rPr>
          <w:i/>
        </w:rPr>
        <w:t>In re: Petition for limited proceeding to approve first solar base rate adjustment (</w:t>
      </w:r>
      <w:proofErr w:type="spellStart"/>
      <w:r w:rsidRPr="003B2697">
        <w:rPr>
          <w:i/>
        </w:rPr>
        <w:t>SoBRA</w:t>
      </w:r>
      <w:proofErr w:type="spellEnd"/>
      <w:r w:rsidRPr="003B2697">
        <w:rPr>
          <w:i/>
        </w:rPr>
        <w:t>), effective September 1, 2018, by Tampa Electric Company.</w:t>
      </w:r>
    </w:p>
  </w:footnote>
  <w:footnote w:id="3">
    <w:p w:rsidR="00B63496" w:rsidRPr="0057006B" w:rsidRDefault="00B63496" w:rsidP="00B63496">
      <w:pPr>
        <w:pStyle w:val="FootnoteText"/>
        <w:rPr>
          <w:i/>
        </w:rPr>
      </w:pPr>
      <w:r>
        <w:rPr>
          <w:rStyle w:val="FootnoteReference"/>
        </w:rPr>
        <w:footnoteRef/>
      </w:r>
      <w:r>
        <w:t xml:space="preserve"> </w:t>
      </w:r>
      <w:proofErr w:type="gramStart"/>
      <w:r>
        <w:t>Order No.</w:t>
      </w:r>
      <w:proofErr w:type="gramEnd"/>
      <w:r>
        <w:t xml:space="preserve"> PSC-2018-0571-FOF-EI, issued December 7, 2018, in Docket No. 20180133-EI, </w:t>
      </w:r>
      <w:r w:rsidRPr="0057006B">
        <w:rPr>
          <w:i/>
        </w:rPr>
        <w:t>In re: Petition for limited proceeding to approve second solar base rate adjustment (</w:t>
      </w:r>
      <w:proofErr w:type="spellStart"/>
      <w:r w:rsidRPr="0057006B">
        <w:rPr>
          <w:i/>
        </w:rPr>
        <w:t>SoBRA</w:t>
      </w:r>
      <w:proofErr w:type="spellEnd"/>
      <w:r w:rsidRPr="0057006B">
        <w:rPr>
          <w:i/>
        </w:rPr>
        <w:t xml:space="preserve">), effective January 1, 2019, by Tampa Electric Company. </w:t>
      </w:r>
    </w:p>
  </w:footnote>
  <w:footnote w:id="4">
    <w:p w:rsidR="00D77BD4" w:rsidRDefault="00D77BD4" w:rsidP="00D77BD4">
      <w:pPr>
        <w:pStyle w:val="FootnoteText"/>
      </w:pPr>
      <w:r>
        <w:rPr>
          <w:rStyle w:val="FootnoteReference"/>
        </w:rPr>
        <w:footnoteRef/>
      </w:r>
      <w:r>
        <w:t xml:space="preserve"> </w:t>
      </w:r>
      <w:proofErr w:type="gramStart"/>
      <w:r>
        <w:t>Doc. No. 09167-2019.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23780">
      <w:fldChar w:fldCharType="begin"/>
    </w:r>
    <w:r w:rsidR="00723780">
      <w:instrText xml:space="preserve"> REF OrderNo0411 </w:instrText>
    </w:r>
    <w:r w:rsidR="00723780">
      <w:fldChar w:fldCharType="separate"/>
    </w:r>
    <w:r w:rsidR="00723780">
      <w:t>PSC-2019-0411-PHO-EI</w:t>
    </w:r>
    <w:r w:rsidR="00723780">
      <w:fldChar w:fldCharType="end"/>
    </w:r>
  </w:p>
  <w:p w:rsidR="00FA6EFD" w:rsidRDefault="00967943">
    <w:pPr>
      <w:pStyle w:val="OrderHeader"/>
    </w:pPr>
    <w:bookmarkStart w:id="9" w:name="HeaderDocketNo"/>
    <w:bookmarkEnd w:id="9"/>
    <w:r>
      <w:t>DOCKET NO. 20190136-EI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3780">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6-EI"/>
  </w:docVars>
  <w:rsids>
    <w:rsidRoot w:val="00967943"/>
    <w:rsid w:val="000022B8"/>
    <w:rsid w:val="00020878"/>
    <w:rsid w:val="0003433F"/>
    <w:rsid w:val="00035A8C"/>
    <w:rsid w:val="00053AB9"/>
    <w:rsid w:val="00056229"/>
    <w:rsid w:val="00057AF1"/>
    <w:rsid w:val="0006033F"/>
    <w:rsid w:val="00065FC2"/>
    <w:rsid w:val="00067685"/>
    <w:rsid w:val="00074719"/>
    <w:rsid w:val="00076E6B"/>
    <w:rsid w:val="00080909"/>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603"/>
    <w:rsid w:val="001139D8"/>
    <w:rsid w:val="00116AD3"/>
    <w:rsid w:val="00121957"/>
    <w:rsid w:val="0012387E"/>
    <w:rsid w:val="00126593"/>
    <w:rsid w:val="00142A96"/>
    <w:rsid w:val="001513DE"/>
    <w:rsid w:val="00154A71"/>
    <w:rsid w:val="00187E32"/>
    <w:rsid w:val="00194E81"/>
    <w:rsid w:val="001A15E7"/>
    <w:rsid w:val="001A33C9"/>
    <w:rsid w:val="001A58F3"/>
    <w:rsid w:val="001B0E9F"/>
    <w:rsid w:val="001C2847"/>
    <w:rsid w:val="001C3F8C"/>
    <w:rsid w:val="001C425C"/>
    <w:rsid w:val="001C6097"/>
    <w:rsid w:val="001D008A"/>
    <w:rsid w:val="001D3D3F"/>
    <w:rsid w:val="001E0152"/>
    <w:rsid w:val="001E0FF5"/>
    <w:rsid w:val="002002ED"/>
    <w:rsid w:val="002170E5"/>
    <w:rsid w:val="00220D57"/>
    <w:rsid w:val="0022721A"/>
    <w:rsid w:val="00230BB9"/>
    <w:rsid w:val="00233D52"/>
    <w:rsid w:val="00241CEF"/>
    <w:rsid w:val="00250544"/>
    <w:rsid w:val="0025124E"/>
    <w:rsid w:val="00252B30"/>
    <w:rsid w:val="00253256"/>
    <w:rsid w:val="002613E4"/>
    <w:rsid w:val="00265029"/>
    <w:rsid w:val="0026544B"/>
    <w:rsid w:val="00266FFA"/>
    <w:rsid w:val="00276CDC"/>
    <w:rsid w:val="00277655"/>
    <w:rsid w:val="002824B7"/>
    <w:rsid w:val="00282AC4"/>
    <w:rsid w:val="002A11AC"/>
    <w:rsid w:val="002A3A5A"/>
    <w:rsid w:val="002A6F30"/>
    <w:rsid w:val="002B3111"/>
    <w:rsid w:val="002B7DCF"/>
    <w:rsid w:val="002C4F16"/>
    <w:rsid w:val="002C7908"/>
    <w:rsid w:val="002C7BE3"/>
    <w:rsid w:val="002D391B"/>
    <w:rsid w:val="002D4B1F"/>
    <w:rsid w:val="002D6336"/>
    <w:rsid w:val="002D7D15"/>
    <w:rsid w:val="002E1832"/>
    <w:rsid w:val="002E1B2E"/>
    <w:rsid w:val="002E27EB"/>
    <w:rsid w:val="002F2A9D"/>
    <w:rsid w:val="002F31C2"/>
    <w:rsid w:val="00303FDE"/>
    <w:rsid w:val="00312310"/>
    <w:rsid w:val="003140E8"/>
    <w:rsid w:val="003231C7"/>
    <w:rsid w:val="00323839"/>
    <w:rsid w:val="0032468C"/>
    <w:rsid w:val="003270C4"/>
    <w:rsid w:val="00327D2F"/>
    <w:rsid w:val="00331ED0"/>
    <w:rsid w:val="00332B0A"/>
    <w:rsid w:val="00333A41"/>
    <w:rsid w:val="00345434"/>
    <w:rsid w:val="0035495B"/>
    <w:rsid w:val="00355A93"/>
    <w:rsid w:val="00361522"/>
    <w:rsid w:val="00362E60"/>
    <w:rsid w:val="0037196E"/>
    <w:rsid w:val="00372FA9"/>
    <w:rsid w:val="003744F5"/>
    <w:rsid w:val="00387BDE"/>
    <w:rsid w:val="00390DD8"/>
    <w:rsid w:val="00392C2E"/>
    <w:rsid w:val="00394DC6"/>
    <w:rsid w:val="00397C3E"/>
    <w:rsid w:val="003B1A09"/>
    <w:rsid w:val="003D4CCA"/>
    <w:rsid w:val="003D52A6"/>
    <w:rsid w:val="003D6416"/>
    <w:rsid w:val="003E1D48"/>
    <w:rsid w:val="003F1D2B"/>
    <w:rsid w:val="00400CC4"/>
    <w:rsid w:val="00411DF2"/>
    <w:rsid w:val="00411E8F"/>
    <w:rsid w:val="0042527B"/>
    <w:rsid w:val="004533D4"/>
    <w:rsid w:val="0045537F"/>
    <w:rsid w:val="00457DC7"/>
    <w:rsid w:val="00472BCC"/>
    <w:rsid w:val="004A25CD"/>
    <w:rsid w:val="004A26CC"/>
    <w:rsid w:val="004B013C"/>
    <w:rsid w:val="004B2108"/>
    <w:rsid w:val="004B3A2B"/>
    <w:rsid w:val="004B70D3"/>
    <w:rsid w:val="004C28A6"/>
    <w:rsid w:val="004C312D"/>
    <w:rsid w:val="004C4A1B"/>
    <w:rsid w:val="004C4CAB"/>
    <w:rsid w:val="004D2D1B"/>
    <w:rsid w:val="004D5067"/>
    <w:rsid w:val="004D648F"/>
    <w:rsid w:val="004D6838"/>
    <w:rsid w:val="004D6DFE"/>
    <w:rsid w:val="004D72BC"/>
    <w:rsid w:val="004E469D"/>
    <w:rsid w:val="004E7F4F"/>
    <w:rsid w:val="004F2DDE"/>
    <w:rsid w:val="004F7826"/>
    <w:rsid w:val="004F7EEA"/>
    <w:rsid w:val="0050097F"/>
    <w:rsid w:val="00514B1F"/>
    <w:rsid w:val="00525E93"/>
    <w:rsid w:val="0052671D"/>
    <w:rsid w:val="005300C0"/>
    <w:rsid w:val="00535FB2"/>
    <w:rsid w:val="005420A9"/>
    <w:rsid w:val="005429D6"/>
    <w:rsid w:val="0054771B"/>
    <w:rsid w:val="00554372"/>
    <w:rsid w:val="0055595D"/>
    <w:rsid w:val="00556232"/>
    <w:rsid w:val="00556A10"/>
    <w:rsid w:val="00557F50"/>
    <w:rsid w:val="005713B6"/>
    <w:rsid w:val="00571D3D"/>
    <w:rsid w:val="0058264B"/>
    <w:rsid w:val="00585E20"/>
    <w:rsid w:val="005868AA"/>
    <w:rsid w:val="00590845"/>
    <w:rsid w:val="00593633"/>
    <w:rsid w:val="0059521A"/>
    <w:rsid w:val="005963C2"/>
    <w:rsid w:val="005A0D69"/>
    <w:rsid w:val="005A31F4"/>
    <w:rsid w:val="005A73EA"/>
    <w:rsid w:val="005B45F7"/>
    <w:rsid w:val="005B63EA"/>
    <w:rsid w:val="005B75A8"/>
    <w:rsid w:val="005C1A88"/>
    <w:rsid w:val="005C5033"/>
    <w:rsid w:val="005D1439"/>
    <w:rsid w:val="005D6636"/>
    <w:rsid w:val="005E6FAE"/>
    <w:rsid w:val="005E751B"/>
    <w:rsid w:val="005F3354"/>
    <w:rsid w:val="0060005E"/>
    <w:rsid w:val="0060095B"/>
    <w:rsid w:val="00601266"/>
    <w:rsid w:val="00610E73"/>
    <w:rsid w:val="00614485"/>
    <w:rsid w:val="00616DF2"/>
    <w:rsid w:val="0063168D"/>
    <w:rsid w:val="006468CA"/>
    <w:rsid w:val="006531A4"/>
    <w:rsid w:val="00660774"/>
    <w:rsid w:val="0066389A"/>
    <w:rsid w:val="0066495C"/>
    <w:rsid w:val="00665CC7"/>
    <w:rsid w:val="00672612"/>
    <w:rsid w:val="00677F18"/>
    <w:rsid w:val="00683A79"/>
    <w:rsid w:val="00693483"/>
    <w:rsid w:val="006A0BF3"/>
    <w:rsid w:val="006B0DA6"/>
    <w:rsid w:val="006C077F"/>
    <w:rsid w:val="006C4AF0"/>
    <w:rsid w:val="006C547E"/>
    <w:rsid w:val="006D2B51"/>
    <w:rsid w:val="006D5575"/>
    <w:rsid w:val="006D65EB"/>
    <w:rsid w:val="006E42BE"/>
    <w:rsid w:val="006F3A38"/>
    <w:rsid w:val="006F3C91"/>
    <w:rsid w:val="00704C5D"/>
    <w:rsid w:val="007072BC"/>
    <w:rsid w:val="00715275"/>
    <w:rsid w:val="0072137E"/>
    <w:rsid w:val="00721B44"/>
    <w:rsid w:val="007232A2"/>
    <w:rsid w:val="00723780"/>
    <w:rsid w:val="00726366"/>
    <w:rsid w:val="007301FF"/>
    <w:rsid w:val="00733B6B"/>
    <w:rsid w:val="00740808"/>
    <w:rsid w:val="007467C4"/>
    <w:rsid w:val="0076170F"/>
    <w:rsid w:val="0076669C"/>
    <w:rsid w:val="00766E46"/>
    <w:rsid w:val="007703CA"/>
    <w:rsid w:val="0077045F"/>
    <w:rsid w:val="00777727"/>
    <w:rsid w:val="00782B79"/>
    <w:rsid w:val="007840B9"/>
    <w:rsid w:val="007865E9"/>
    <w:rsid w:val="00792383"/>
    <w:rsid w:val="00794D5A"/>
    <w:rsid w:val="00794DD9"/>
    <w:rsid w:val="007A060F"/>
    <w:rsid w:val="007B350E"/>
    <w:rsid w:val="007C0FBC"/>
    <w:rsid w:val="007C36E3"/>
    <w:rsid w:val="007C7134"/>
    <w:rsid w:val="007D3D20"/>
    <w:rsid w:val="007D742E"/>
    <w:rsid w:val="007E3AFD"/>
    <w:rsid w:val="007E5E25"/>
    <w:rsid w:val="00801DAD"/>
    <w:rsid w:val="00803189"/>
    <w:rsid w:val="00804E7A"/>
    <w:rsid w:val="00805FBB"/>
    <w:rsid w:val="00810265"/>
    <w:rsid w:val="008169A4"/>
    <w:rsid w:val="00816E72"/>
    <w:rsid w:val="008226E8"/>
    <w:rsid w:val="00825CD2"/>
    <w:rsid w:val="008278FE"/>
    <w:rsid w:val="00832598"/>
    <w:rsid w:val="0083397E"/>
    <w:rsid w:val="0083534B"/>
    <w:rsid w:val="00842602"/>
    <w:rsid w:val="008449F0"/>
    <w:rsid w:val="00847B45"/>
    <w:rsid w:val="00863A66"/>
    <w:rsid w:val="00865F23"/>
    <w:rsid w:val="008703D7"/>
    <w:rsid w:val="00874429"/>
    <w:rsid w:val="00883D9A"/>
    <w:rsid w:val="008919EF"/>
    <w:rsid w:val="00892B20"/>
    <w:rsid w:val="00895D72"/>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4915"/>
    <w:rsid w:val="0094504B"/>
    <w:rsid w:val="0096274D"/>
    <w:rsid w:val="00964A38"/>
    <w:rsid w:val="00966A9D"/>
    <w:rsid w:val="0096742B"/>
    <w:rsid w:val="00967943"/>
    <w:rsid w:val="009718C5"/>
    <w:rsid w:val="00980D70"/>
    <w:rsid w:val="009924CF"/>
    <w:rsid w:val="00994100"/>
    <w:rsid w:val="00997ED9"/>
    <w:rsid w:val="009A2E56"/>
    <w:rsid w:val="009A6B17"/>
    <w:rsid w:val="009C3457"/>
    <w:rsid w:val="009D4C29"/>
    <w:rsid w:val="009D5AAD"/>
    <w:rsid w:val="009D69E8"/>
    <w:rsid w:val="009F6AD2"/>
    <w:rsid w:val="00A00D8D"/>
    <w:rsid w:val="00A01BB6"/>
    <w:rsid w:val="00A26A0D"/>
    <w:rsid w:val="00A32A81"/>
    <w:rsid w:val="00A4303C"/>
    <w:rsid w:val="00A470FD"/>
    <w:rsid w:val="00A62DAB"/>
    <w:rsid w:val="00A6757A"/>
    <w:rsid w:val="00A726A6"/>
    <w:rsid w:val="00A74842"/>
    <w:rsid w:val="00A814FC"/>
    <w:rsid w:val="00A97535"/>
    <w:rsid w:val="00AA2BAA"/>
    <w:rsid w:val="00AA73F1"/>
    <w:rsid w:val="00AB0E1A"/>
    <w:rsid w:val="00AB1A30"/>
    <w:rsid w:val="00AB3C36"/>
    <w:rsid w:val="00AB4E23"/>
    <w:rsid w:val="00AD10EB"/>
    <w:rsid w:val="00AD1ED3"/>
    <w:rsid w:val="00B02001"/>
    <w:rsid w:val="00B03C50"/>
    <w:rsid w:val="00B0777D"/>
    <w:rsid w:val="00B11576"/>
    <w:rsid w:val="00B1195F"/>
    <w:rsid w:val="00B11CA3"/>
    <w:rsid w:val="00B14D10"/>
    <w:rsid w:val="00B209C7"/>
    <w:rsid w:val="00B3644F"/>
    <w:rsid w:val="00B3657D"/>
    <w:rsid w:val="00B37F05"/>
    <w:rsid w:val="00B4057A"/>
    <w:rsid w:val="00B40894"/>
    <w:rsid w:val="00B41039"/>
    <w:rsid w:val="00B4333D"/>
    <w:rsid w:val="00B444AE"/>
    <w:rsid w:val="00B45E75"/>
    <w:rsid w:val="00B5072F"/>
    <w:rsid w:val="00B50876"/>
    <w:rsid w:val="00B51074"/>
    <w:rsid w:val="00B54DAA"/>
    <w:rsid w:val="00B55AB0"/>
    <w:rsid w:val="00B55EE5"/>
    <w:rsid w:val="00B63496"/>
    <w:rsid w:val="00B70DF8"/>
    <w:rsid w:val="00B71D1F"/>
    <w:rsid w:val="00B73DE6"/>
    <w:rsid w:val="00B761CD"/>
    <w:rsid w:val="00B851E8"/>
    <w:rsid w:val="00B86EF0"/>
    <w:rsid w:val="00B96969"/>
    <w:rsid w:val="00B97900"/>
    <w:rsid w:val="00BA1229"/>
    <w:rsid w:val="00BA44A8"/>
    <w:rsid w:val="00BA45F6"/>
    <w:rsid w:val="00BA7F7D"/>
    <w:rsid w:val="00BC786E"/>
    <w:rsid w:val="00BD5C92"/>
    <w:rsid w:val="00BE50E6"/>
    <w:rsid w:val="00BF5B57"/>
    <w:rsid w:val="00BF6691"/>
    <w:rsid w:val="00BF6C8C"/>
    <w:rsid w:val="00C028FC"/>
    <w:rsid w:val="00C037F2"/>
    <w:rsid w:val="00C0386D"/>
    <w:rsid w:val="00C065A1"/>
    <w:rsid w:val="00C10ED5"/>
    <w:rsid w:val="00C14C8B"/>
    <w:rsid w:val="00C151A6"/>
    <w:rsid w:val="00C24098"/>
    <w:rsid w:val="00C30A4E"/>
    <w:rsid w:val="00C411F3"/>
    <w:rsid w:val="00C44105"/>
    <w:rsid w:val="00C4416B"/>
    <w:rsid w:val="00C46826"/>
    <w:rsid w:val="00C5313A"/>
    <w:rsid w:val="00C55A33"/>
    <w:rsid w:val="00C66692"/>
    <w:rsid w:val="00C673B5"/>
    <w:rsid w:val="00C7063D"/>
    <w:rsid w:val="00C71245"/>
    <w:rsid w:val="00C72204"/>
    <w:rsid w:val="00C830BC"/>
    <w:rsid w:val="00C8524D"/>
    <w:rsid w:val="00C91123"/>
    <w:rsid w:val="00CA71FF"/>
    <w:rsid w:val="00CB5276"/>
    <w:rsid w:val="00CB5BFC"/>
    <w:rsid w:val="00CB68D7"/>
    <w:rsid w:val="00CB7F51"/>
    <w:rsid w:val="00CC1D88"/>
    <w:rsid w:val="00CC793E"/>
    <w:rsid w:val="00CC7E68"/>
    <w:rsid w:val="00CD7132"/>
    <w:rsid w:val="00CE0E6F"/>
    <w:rsid w:val="00CE13DE"/>
    <w:rsid w:val="00CE3B21"/>
    <w:rsid w:val="00CE46B4"/>
    <w:rsid w:val="00CE56FC"/>
    <w:rsid w:val="00CF4CFE"/>
    <w:rsid w:val="00D02E0F"/>
    <w:rsid w:val="00D03EE8"/>
    <w:rsid w:val="00D13535"/>
    <w:rsid w:val="00D15497"/>
    <w:rsid w:val="00D17B79"/>
    <w:rsid w:val="00D23FEA"/>
    <w:rsid w:val="00D269CA"/>
    <w:rsid w:val="00D27E70"/>
    <w:rsid w:val="00D30B48"/>
    <w:rsid w:val="00D3168A"/>
    <w:rsid w:val="00D46FAA"/>
    <w:rsid w:val="00D47A40"/>
    <w:rsid w:val="00D51D33"/>
    <w:rsid w:val="00D57BB2"/>
    <w:rsid w:val="00D57E57"/>
    <w:rsid w:val="00D600BF"/>
    <w:rsid w:val="00D70752"/>
    <w:rsid w:val="00D77BD4"/>
    <w:rsid w:val="00D80E2D"/>
    <w:rsid w:val="00D82C4D"/>
    <w:rsid w:val="00D84D5E"/>
    <w:rsid w:val="00D8560E"/>
    <w:rsid w:val="00D8758F"/>
    <w:rsid w:val="00DA4EDD"/>
    <w:rsid w:val="00DA6B78"/>
    <w:rsid w:val="00DC1D94"/>
    <w:rsid w:val="00DC42CF"/>
    <w:rsid w:val="00DD222E"/>
    <w:rsid w:val="00DD5E15"/>
    <w:rsid w:val="00DD6BAF"/>
    <w:rsid w:val="00DD7E17"/>
    <w:rsid w:val="00DE057F"/>
    <w:rsid w:val="00DE2082"/>
    <w:rsid w:val="00DE2289"/>
    <w:rsid w:val="00DF09A7"/>
    <w:rsid w:val="00DF6BAE"/>
    <w:rsid w:val="00E001D6"/>
    <w:rsid w:val="00E03A76"/>
    <w:rsid w:val="00E04410"/>
    <w:rsid w:val="00E07484"/>
    <w:rsid w:val="00E11351"/>
    <w:rsid w:val="00E4225C"/>
    <w:rsid w:val="00E44879"/>
    <w:rsid w:val="00E64117"/>
    <w:rsid w:val="00E726E9"/>
    <w:rsid w:val="00E72914"/>
    <w:rsid w:val="00E75AE0"/>
    <w:rsid w:val="00E83C1F"/>
    <w:rsid w:val="00E97656"/>
    <w:rsid w:val="00EA172C"/>
    <w:rsid w:val="00EA259B"/>
    <w:rsid w:val="00EA3548"/>
    <w:rsid w:val="00EA35A3"/>
    <w:rsid w:val="00EA3E6A"/>
    <w:rsid w:val="00EB18EF"/>
    <w:rsid w:val="00EB459C"/>
    <w:rsid w:val="00EB7951"/>
    <w:rsid w:val="00ED6A79"/>
    <w:rsid w:val="00ED6D02"/>
    <w:rsid w:val="00EE17DF"/>
    <w:rsid w:val="00EF4621"/>
    <w:rsid w:val="00EF4D52"/>
    <w:rsid w:val="00EF6312"/>
    <w:rsid w:val="00F038B0"/>
    <w:rsid w:val="00F04296"/>
    <w:rsid w:val="00F11E69"/>
    <w:rsid w:val="00F22B27"/>
    <w:rsid w:val="00F234A7"/>
    <w:rsid w:val="00F277B6"/>
    <w:rsid w:val="00F27DA5"/>
    <w:rsid w:val="00F37E07"/>
    <w:rsid w:val="00F4182A"/>
    <w:rsid w:val="00F54380"/>
    <w:rsid w:val="00F54B47"/>
    <w:rsid w:val="00F56CEC"/>
    <w:rsid w:val="00F61247"/>
    <w:rsid w:val="00F6702E"/>
    <w:rsid w:val="00F70E84"/>
    <w:rsid w:val="00FA092B"/>
    <w:rsid w:val="00FA4F6C"/>
    <w:rsid w:val="00FA6EFD"/>
    <w:rsid w:val="00FB0F67"/>
    <w:rsid w:val="00FB74EA"/>
    <w:rsid w:val="00FD2C9E"/>
    <w:rsid w:val="00FD4786"/>
    <w:rsid w:val="00FD616C"/>
    <w:rsid w:val="00FE53F2"/>
    <w:rsid w:val="00FF0A00"/>
    <w:rsid w:val="00FF1C57"/>
    <w:rsid w:val="00FF1F0A"/>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E9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67943"/>
    <w:pPr>
      <w:autoSpaceDE w:val="0"/>
      <w:autoSpaceDN w:val="0"/>
      <w:adjustRightInd w:val="0"/>
      <w:ind w:left="1440"/>
    </w:pPr>
    <w:rPr>
      <w:sz w:val="24"/>
      <w:szCs w:val="24"/>
    </w:rPr>
  </w:style>
  <w:style w:type="paragraph" w:styleId="NoSpacing">
    <w:name w:val="No Spacing"/>
    <w:uiPriority w:val="1"/>
    <w:qFormat/>
    <w:rsid w:val="00E726E9"/>
    <w:rPr>
      <w:sz w:val="24"/>
      <w:szCs w:val="24"/>
    </w:rPr>
  </w:style>
  <w:style w:type="paragraph" w:customStyle="1" w:styleId="PositionHeading">
    <w:name w:val="Position Heading"/>
    <w:basedOn w:val="Normal"/>
    <w:next w:val="Normal"/>
    <w:rsid w:val="00D27E70"/>
    <w:pPr>
      <w:spacing w:before="240" w:after="60"/>
      <w:jc w:val="both"/>
      <w:outlineLvl w:val="3"/>
    </w:pPr>
    <w:rPr>
      <w:rFonts w:cs="Arial"/>
      <w:b/>
      <w:bCs/>
      <w:szCs w:val="26"/>
    </w:rPr>
  </w:style>
  <w:style w:type="paragraph" w:styleId="BalloonText">
    <w:name w:val="Balloon Text"/>
    <w:basedOn w:val="Normal"/>
    <w:link w:val="BalloonTextChar"/>
    <w:rsid w:val="00C72204"/>
    <w:rPr>
      <w:rFonts w:ascii="Tahoma" w:hAnsi="Tahoma" w:cs="Tahoma"/>
      <w:sz w:val="16"/>
      <w:szCs w:val="16"/>
    </w:rPr>
  </w:style>
  <w:style w:type="character" w:customStyle="1" w:styleId="BalloonTextChar">
    <w:name w:val="Balloon Text Char"/>
    <w:basedOn w:val="DefaultParagraphFont"/>
    <w:link w:val="BalloonText"/>
    <w:rsid w:val="00C72204"/>
    <w:rPr>
      <w:rFonts w:ascii="Tahoma" w:hAnsi="Tahoma" w:cs="Tahoma"/>
      <w:sz w:val="16"/>
      <w:szCs w:val="16"/>
    </w:rPr>
  </w:style>
  <w:style w:type="paragraph" w:styleId="ListParagraph">
    <w:name w:val="List Paragraph"/>
    <w:basedOn w:val="Normal"/>
    <w:uiPriority w:val="34"/>
    <w:qFormat/>
    <w:rsid w:val="008226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E9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67943"/>
    <w:pPr>
      <w:autoSpaceDE w:val="0"/>
      <w:autoSpaceDN w:val="0"/>
      <w:adjustRightInd w:val="0"/>
      <w:ind w:left="1440"/>
    </w:pPr>
    <w:rPr>
      <w:sz w:val="24"/>
      <w:szCs w:val="24"/>
    </w:rPr>
  </w:style>
  <w:style w:type="paragraph" w:styleId="NoSpacing">
    <w:name w:val="No Spacing"/>
    <w:uiPriority w:val="1"/>
    <w:qFormat/>
    <w:rsid w:val="00E726E9"/>
    <w:rPr>
      <w:sz w:val="24"/>
      <w:szCs w:val="24"/>
    </w:rPr>
  </w:style>
  <w:style w:type="paragraph" w:customStyle="1" w:styleId="PositionHeading">
    <w:name w:val="Position Heading"/>
    <w:basedOn w:val="Normal"/>
    <w:next w:val="Normal"/>
    <w:rsid w:val="00D27E70"/>
    <w:pPr>
      <w:spacing w:before="240" w:after="60"/>
      <w:jc w:val="both"/>
      <w:outlineLvl w:val="3"/>
    </w:pPr>
    <w:rPr>
      <w:rFonts w:cs="Arial"/>
      <w:b/>
      <w:bCs/>
      <w:szCs w:val="26"/>
    </w:rPr>
  </w:style>
  <w:style w:type="paragraph" w:styleId="BalloonText">
    <w:name w:val="Balloon Text"/>
    <w:basedOn w:val="Normal"/>
    <w:link w:val="BalloonTextChar"/>
    <w:rsid w:val="00C72204"/>
    <w:rPr>
      <w:rFonts w:ascii="Tahoma" w:hAnsi="Tahoma" w:cs="Tahoma"/>
      <w:sz w:val="16"/>
      <w:szCs w:val="16"/>
    </w:rPr>
  </w:style>
  <w:style w:type="character" w:customStyle="1" w:styleId="BalloonTextChar">
    <w:name w:val="Balloon Text Char"/>
    <w:basedOn w:val="DefaultParagraphFont"/>
    <w:link w:val="BalloonText"/>
    <w:rsid w:val="00C72204"/>
    <w:rPr>
      <w:rFonts w:ascii="Tahoma" w:hAnsi="Tahoma" w:cs="Tahoma"/>
      <w:sz w:val="16"/>
      <w:szCs w:val="16"/>
    </w:rPr>
  </w:style>
  <w:style w:type="paragraph" w:styleId="ListParagraph">
    <w:name w:val="List Paragraph"/>
    <w:basedOn w:val="Normal"/>
    <w:uiPriority w:val="34"/>
    <w:qFormat/>
    <w:rsid w:val="00822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89175-DF11-44C3-BF44-116F9C20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3114</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2019-10-10T20:40:00Z</dcterms:created>
  <dcterms:modified xsi:type="dcterms:W3CDTF">2019-10-11T12:39:00Z</dcterms:modified>
</cp:coreProperties>
</file>