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E1552" w:rsidP="006E1552">
      <w:pPr>
        <w:pStyle w:val="OrderHeading"/>
      </w:pPr>
      <w:bookmarkStart w:id="0" w:name="_GoBack"/>
      <w:bookmarkEnd w:id="0"/>
      <w:r>
        <w:t>BEFORE THE FLORIDA PUBLIC SERVICE COMMISSION</w:t>
      </w:r>
    </w:p>
    <w:p w:rsidR="006E1552" w:rsidRDefault="006E1552" w:rsidP="006E1552">
      <w:pPr>
        <w:pStyle w:val="OrderBody"/>
      </w:pPr>
    </w:p>
    <w:p w:rsidR="006E1552" w:rsidRDefault="006E1552" w:rsidP="006E15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1552" w:rsidRPr="00C63FCF" w:rsidTr="00E40BFA">
        <w:trPr>
          <w:trHeight w:val="828"/>
        </w:trPr>
        <w:tc>
          <w:tcPr>
            <w:tcW w:w="4788" w:type="dxa"/>
            <w:tcBorders>
              <w:bottom w:val="single" w:sz="8" w:space="0" w:color="auto"/>
              <w:right w:val="double" w:sz="6" w:space="0" w:color="auto"/>
            </w:tcBorders>
            <w:shd w:val="clear" w:color="auto" w:fill="auto"/>
          </w:tcPr>
          <w:p w:rsidR="006E1552" w:rsidRDefault="006E1552" w:rsidP="00E40BFA">
            <w:pPr>
              <w:pStyle w:val="OrderBody"/>
              <w:tabs>
                <w:tab w:val="center" w:pos="4320"/>
                <w:tab w:val="right" w:pos="8640"/>
              </w:tabs>
              <w:jc w:val="left"/>
            </w:pPr>
            <w:r>
              <w:t xml:space="preserve">In re: </w:t>
            </w:r>
            <w:bookmarkStart w:id="1" w:name="SSInRe"/>
            <w:bookmarkEnd w:id="1"/>
            <w:r w:rsidR="006E6CF4" w:rsidRPr="006E6CF4">
              <w:t>Environmental cost recovery clause.</w:t>
            </w:r>
          </w:p>
        </w:tc>
        <w:tc>
          <w:tcPr>
            <w:tcW w:w="4788" w:type="dxa"/>
            <w:tcBorders>
              <w:left w:val="double" w:sz="6" w:space="0" w:color="auto"/>
            </w:tcBorders>
            <w:shd w:val="clear" w:color="auto" w:fill="auto"/>
          </w:tcPr>
          <w:p w:rsidR="006E1552" w:rsidRDefault="006E1552" w:rsidP="006E1552">
            <w:pPr>
              <w:pStyle w:val="OrderBody"/>
            </w:pPr>
            <w:r>
              <w:t xml:space="preserve">DOCKET NO. </w:t>
            </w:r>
            <w:bookmarkStart w:id="2" w:name="SSDocketNo"/>
            <w:bookmarkEnd w:id="2"/>
            <w:r>
              <w:t>2019000</w:t>
            </w:r>
            <w:r w:rsidR="006E6CF4">
              <w:t>7</w:t>
            </w:r>
            <w:r>
              <w:t>-</w:t>
            </w:r>
            <w:r w:rsidR="006E6CF4">
              <w:t>EI</w:t>
            </w:r>
          </w:p>
          <w:p w:rsidR="006E1552" w:rsidRDefault="006E1552" w:rsidP="00E40BFA">
            <w:pPr>
              <w:pStyle w:val="OrderBody"/>
              <w:tabs>
                <w:tab w:val="center" w:pos="4320"/>
                <w:tab w:val="right" w:pos="8640"/>
              </w:tabs>
              <w:jc w:val="left"/>
            </w:pPr>
            <w:r>
              <w:t xml:space="preserve">ORDER NO. </w:t>
            </w:r>
            <w:bookmarkStart w:id="3" w:name="OrderNo0462"/>
            <w:r w:rsidR="000A7424">
              <w:t>PSC-2019-0462-PHO-EI</w:t>
            </w:r>
            <w:bookmarkEnd w:id="3"/>
          </w:p>
          <w:p w:rsidR="006E1552" w:rsidRDefault="006E1552" w:rsidP="00E40BFA">
            <w:pPr>
              <w:pStyle w:val="OrderBody"/>
              <w:tabs>
                <w:tab w:val="center" w:pos="4320"/>
                <w:tab w:val="right" w:pos="8640"/>
              </w:tabs>
              <w:jc w:val="left"/>
            </w:pPr>
            <w:r>
              <w:t xml:space="preserve">ISSUED: </w:t>
            </w:r>
            <w:r w:rsidR="000A7424">
              <w:t>October 29, 2019</w:t>
            </w:r>
          </w:p>
        </w:tc>
      </w:tr>
    </w:tbl>
    <w:p w:rsidR="006E1552" w:rsidRDefault="006E1552" w:rsidP="006E1552"/>
    <w:p w:rsidR="006E1552" w:rsidRDefault="006E1552" w:rsidP="006E1552"/>
    <w:p w:rsidR="006E1552" w:rsidRPr="00701945" w:rsidRDefault="006E1552" w:rsidP="006E1552">
      <w:pPr>
        <w:ind w:firstLine="720"/>
        <w:jc w:val="both"/>
      </w:pPr>
      <w:r w:rsidRPr="00701945">
        <w:t xml:space="preserve">Pursuant to Notice and in accordance with Rule 28-106.209, </w:t>
      </w:r>
      <w:r>
        <w:t>Florida Administrative Code (F.A.C.)</w:t>
      </w:r>
      <w:r w:rsidRPr="00701945">
        <w:t>, a Prehearing Conference was held on</w:t>
      </w:r>
      <w:r>
        <w:t xml:space="preserve"> October 22, 2019</w:t>
      </w:r>
      <w:r w:rsidRPr="00701945">
        <w:t xml:space="preserve">, in Tallahassee, Florida, before Commissioner </w:t>
      </w:r>
      <w:r>
        <w:t>Gary F. Clark</w:t>
      </w:r>
      <w:r w:rsidRPr="00701945">
        <w:t>, as Prehearing Officer.</w:t>
      </w:r>
    </w:p>
    <w:p w:rsidR="006E1552" w:rsidRPr="00701945" w:rsidRDefault="006E1552" w:rsidP="006E1552">
      <w:pPr>
        <w:jc w:val="both"/>
      </w:pPr>
    </w:p>
    <w:p w:rsidR="006E1552" w:rsidRPr="00701945" w:rsidRDefault="006E1552" w:rsidP="006E1552">
      <w:pPr>
        <w:jc w:val="both"/>
      </w:pPr>
      <w:r w:rsidRPr="00701945">
        <w:t>APPEARANCES:</w:t>
      </w:r>
    </w:p>
    <w:p w:rsidR="006E1552" w:rsidRPr="00701945" w:rsidRDefault="006E1552" w:rsidP="006E1552">
      <w:pPr>
        <w:jc w:val="both"/>
      </w:pPr>
    </w:p>
    <w:p w:rsidR="00DD38ED" w:rsidRDefault="00DD38ED" w:rsidP="00DD38ED">
      <w:pPr>
        <w:ind w:left="1440"/>
        <w:jc w:val="both"/>
      </w:pPr>
      <w:r>
        <w:t>MARIA JOSE MONCADA</w:t>
      </w:r>
      <w:r w:rsidR="00D8078E">
        <w:t xml:space="preserve">, </w:t>
      </w:r>
      <w:r w:rsidR="00D8078E" w:rsidRPr="00134C31">
        <w:t>R. WADE LITCHFIELD, DAVID LEE,</w:t>
      </w:r>
      <w:r>
        <w:t xml:space="preserve"> and JOEL T. BAKER,</w:t>
      </w:r>
      <w:r w:rsidRPr="00F0678D">
        <w:t xml:space="preserve"> </w:t>
      </w:r>
      <w:r w:rsidRPr="00701945">
        <w:t>ESQUIRE</w:t>
      </w:r>
      <w:r>
        <w:t>S, 700 Universe Boulevard, Juno Beach, Florida 33408</w:t>
      </w:r>
    </w:p>
    <w:p w:rsidR="00DD38ED" w:rsidRDefault="00DD38ED" w:rsidP="00DD38ED">
      <w:pPr>
        <w:ind w:left="1440" w:hanging="1440"/>
        <w:jc w:val="both"/>
      </w:pPr>
      <w:r>
        <w:tab/>
      </w:r>
      <w:proofErr w:type="gramStart"/>
      <w:r w:rsidRPr="00701945">
        <w:rPr>
          <w:u w:val="single"/>
        </w:rPr>
        <w:t xml:space="preserve">On behalf of </w:t>
      </w:r>
      <w:r>
        <w:rPr>
          <w:u w:val="single"/>
        </w:rPr>
        <w:t>Florida Power &amp; Light Company (FPL)</w:t>
      </w:r>
      <w:r w:rsidRPr="00701945">
        <w:t>.</w:t>
      </w:r>
      <w:proofErr w:type="gramEnd"/>
    </w:p>
    <w:p w:rsidR="00DD38ED" w:rsidRDefault="00DD38ED" w:rsidP="00B739AF">
      <w:pPr>
        <w:ind w:left="1440" w:hanging="1440"/>
        <w:jc w:val="both"/>
      </w:pPr>
    </w:p>
    <w:p w:rsidR="00DD38ED" w:rsidRDefault="00DD38ED" w:rsidP="00DD38ED">
      <w:pPr>
        <w:ind w:left="1440" w:hanging="720"/>
        <w:jc w:val="both"/>
      </w:pPr>
      <w:r>
        <w:tab/>
        <w:t>RUSSELL A. BADDERS, ESQUIRE, One Energy Place, Pensacola, Florida 32520, STEVEN R. GRIFFIN, ESQUIRE, Beggs &amp; Lane, P.O. Box 12950, Pensacola, Florida 32591</w:t>
      </w:r>
    </w:p>
    <w:p w:rsidR="00DD38ED" w:rsidRPr="00DD38ED" w:rsidRDefault="00DD38ED" w:rsidP="00DD38ED">
      <w:pPr>
        <w:ind w:left="1440" w:hanging="1440"/>
        <w:jc w:val="both"/>
      </w:pPr>
      <w:r>
        <w:tab/>
      </w:r>
      <w:proofErr w:type="gramStart"/>
      <w:r>
        <w:rPr>
          <w:u w:val="single"/>
        </w:rPr>
        <w:t>On behalf of Gulf Power Company (G</w:t>
      </w:r>
      <w:r w:rsidR="00C17FEF">
        <w:rPr>
          <w:u w:val="single"/>
        </w:rPr>
        <w:t>ulf</w:t>
      </w:r>
      <w:r>
        <w:rPr>
          <w:u w:val="single"/>
        </w:rPr>
        <w:t>)</w:t>
      </w:r>
      <w:r>
        <w:t>.</w:t>
      </w:r>
      <w:proofErr w:type="gramEnd"/>
    </w:p>
    <w:p w:rsidR="00DD38ED" w:rsidRDefault="00DD38ED" w:rsidP="00DD38ED">
      <w:pPr>
        <w:ind w:left="1440" w:hanging="1440"/>
        <w:jc w:val="both"/>
      </w:pPr>
    </w:p>
    <w:p w:rsidR="00DD38ED" w:rsidRDefault="00DD38ED" w:rsidP="00DD38ED">
      <w:pPr>
        <w:ind w:left="1440" w:hanging="720"/>
        <w:jc w:val="both"/>
      </w:pPr>
      <w:r>
        <w:tab/>
        <w:t>DIANNE M. TRIPLETT, ESQUIRE, 299 First Avenue North, St. Petersburg, Florida 33701, MATTHEW R. BERNIER, ESQUIRE, 106 East College Avenue, Suite 800, Tallahassee, Florida 32301</w:t>
      </w:r>
    </w:p>
    <w:p w:rsidR="006E1552" w:rsidRDefault="00DD38ED" w:rsidP="00DD38ED">
      <w:pPr>
        <w:ind w:left="1440" w:hanging="1440"/>
        <w:jc w:val="both"/>
      </w:pPr>
      <w:r>
        <w:tab/>
      </w:r>
      <w:proofErr w:type="gramStart"/>
      <w:r>
        <w:rPr>
          <w:u w:val="single"/>
        </w:rPr>
        <w:t>On behalf of Duke Energy Florida, LLC (DEF)</w:t>
      </w:r>
      <w:r>
        <w:t>.</w:t>
      </w:r>
      <w:proofErr w:type="gramEnd"/>
    </w:p>
    <w:p w:rsidR="00DD38ED" w:rsidRDefault="00DD38ED" w:rsidP="00DD38ED">
      <w:pPr>
        <w:ind w:left="1440" w:hanging="1440"/>
        <w:jc w:val="both"/>
      </w:pPr>
    </w:p>
    <w:p w:rsidR="00DD38ED" w:rsidRDefault="00DD38ED" w:rsidP="00DD38ED">
      <w:pPr>
        <w:ind w:left="1440" w:hanging="720"/>
        <w:jc w:val="both"/>
      </w:pPr>
      <w:r>
        <w:tab/>
        <w:t>JAMES D. BEASLEY, J. JEFFRY WAHLEN, and MALCOLM N. MEANS, ESQUIRES, Ausley McMullen, P.O. Box 391, Tallahassee, Florida 32302</w:t>
      </w:r>
    </w:p>
    <w:p w:rsidR="00DD38ED" w:rsidRDefault="00DD38ED" w:rsidP="00DD38ED">
      <w:pPr>
        <w:ind w:left="1440" w:hanging="1440"/>
        <w:jc w:val="both"/>
      </w:pPr>
      <w:r>
        <w:tab/>
      </w:r>
      <w:proofErr w:type="gramStart"/>
      <w:r>
        <w:rPr>
          <w:u w:val="single"/>
        </w:rPr>
        <w:t>On behalf of Tampa Electric Company (TECO)</w:t>
      </w:r>
      <w:r>
        <w:t>.</w:t>
      </w:r>
      <w:proofErr w:type="gramEnd"/>
    </w:p>
    <w:p w:rsidR="00DD38ED" w:rsidRPr="00701945" w:rsidRDefault="00DD38ED" w:rsidP="00DD38ED">
      <w:pPr>
        <w:ind w:left="1440" w:hanging="1440"/>
        <w:jc w:val="both"/>
      </w:pPr>
    </w:p>
    <w:p w:rsidR="00DD38ED" w:rsidRDefault="00DD38ED" w:rsidP="00DD38ED">
      <w:pPr>
        <w:ind w:left="1440"/>
        <w:jc w:val="both"/>
      </w:pPr>
      <w:r>
        <w:t>JAMES W. BREW, and LAURA A. WYNN, ESQUIRES, Stone Mattheis Xenopoulos &amp; Brew, PC, 1025 Thomas Jefferson Street, NW, Eighth Floor, West Tower, Washington, D.C. 20007</w:t>
      </w:r>
    </w:p>
    <w:p w:rsidR="00B739AF" w:rsidRDefault="00DD38ED" w:rsidP="00DD38ED">
      <w:pPr>
        <w:ind w:left="1440" w:hanging="720"/>
        <w:jc w:val="both"/>
      </w:pPr>
      <w:r>
        <w:tab/>
      </w:r>
      <w:r>
        <w:rPr>
          <w:u w:val="single"/>
        </w:rPr>
        <w:t>On behalf of White Springs Agricultural Chemicals, Inc. d/b/a PCS Phosphate – White Springs (PCS)</w:t>
      </w:r>
      <w:r>
        <w:t>.</w:t>
      </w:r>
    </w:p>
    <w:p w:rsidR="00DD38ED" w:rsidRDefault="00DD38ED" w:rsidP="00DD38ED">
      <w:pPr>
        <w:ind w:left="1440" w:hanging="720"/>
        <w:jc w:val="both"/>
      </w:pPr>
    </w:p>
    <w:p w:rsidR="00DD38ED" w:rsidRDefault="00DD38ED" w:rsidP="00DD38ED">
      <w:pPr>
        <w:ind w:left="1440" w:hanging="720"/>
        <w:jc w:val="both"/>
      </w:pPr>
      <w:r>
        <w:tab/>
        <w:t xml:space="preserve">JON C. MOYLE, </w:t>
      </w:r>
      <w:r w:rsidR="00D8078E">
        <w:t xml:space="preserve">and </w:t>
      </w:r>
      <w:r w:rsidR="00D8078E" w:rsidRPr="00134C31">
        <w:t>KAREN PUTNAL</w:t>
      </w:r>
      <w:r w:rsidR="00D8078E">
        <w:t xml:space="preserve">, </w:t>
      </w:r>
      <w:r>
        <w:t>ESQUIRE</w:t>
      </w:r>
      <w:r w:rsidR="00D8078E">
        <w:t>S</w:t>
      </w:r>
      <w:r>
        <w:t>, Moyle Law Firm, P.A., 118 North Gadsden Street, Tallahassee, Florida 32301</w:t>
      </w:r>
    </w:p>
    <w:p w:rsidR="00DD38ED" w:rsidRPr="00B739AF" w:rsidRDefault="00DD38ED" w:rsidP="00DD38ED">
      <w:pPr>
        <w:ind w:left="1440" w:hanging="720"/>
        <w:jc w:val="both"/>
      </w:pPr>
      <w:r w:rsidRPr="0012596D">
        <w:tab/>
      </w:r>
      <w:proofErr w:type="gramStart"/>
      <w:r w:rsidRPr="0012596D">
        <w:rPr>
          <w:u w:val="single"/>
        </w:rPr>
        <w:t>On behalf of Florida Industrial Power Users Group (FIPUG)</w:t>
      </w:r>
      <w:r>
        <w:t>.</w:t>
      </w:r>
      <w:proofErr w:type="gramEnd"/>
    </w:p>
    <w:p w:rsidR="00B739AF" w:rsidRDefault="00B739AF" w:rsidP="00B739AF">
      <w:pPr>
        <w:ind w:left="1440" w:hanging="720"/>
        <w:jc w:val="both"/>
      </w:pPr>
    </w:p>
    <w:p w:rsidR="00DD38ED" w:rsidRDefault="00B20E2F" w:rsidP="00B739AF">
      <w:pPr>
        <w:ind w:left="1440" w:hanging="720"/>
        <w:jc w:val="both"/>
      </w:pPr>
      <w:r>
        <w:tab/>
        <w:t>DIANA CSANK, ESQUIRE, Sierra Club, 50 F Street NW, Eighth Floor, Washington, District of Columbia 20001</w:t>
      </w:r>
      <w:r w:rsidR="000F306D">
        <w:t xml:space="preserve">, </w:t>
      </w:r>
      <w:r w:rsidR="000F306D" w:rsidRPr="00134C31">
        <w:t>BR</w:t>
      </w:r>
      <w:r w:rsidR="00385717" w:rsidRPr="00134C31">
        <w:t>ADLEY MARSHALL, ESQUIRE, Earthjustice, 111 S. Martin Luther King Jr. Blvd., Tallahassee, FL 32301</w:t>
      </w:r>
    </w:p>
    <w:p w:rsidR="00DD38ED" w:rsidRPr="00FB63DD" w:rsidRDefault="00B20E2F" w:rsidP="00FB63DD">
      <w:pPr>
        <w:ind w:left="1440" w:hanging="720"/>
        <w:jc w:val="both"/>
        <w:rPr>
          <w:u w:val="single"/>
        </w:rPr>
      </w:pPr>
      <w:r>
        <w:tab/>
      </w:r>
      <w:proofErr w:type="gramStart"/>
      <w:r w:rsidRPr="00B20E2F">
        <w:rPr>
          <w:u w:val="single"/>
        </w:rPr>
        <w:t>On behalf of Sierra Club (S</w:t>
      </w:r>
      <w:r w:rsidR="00C17FEF">
        <w:rPr>
          <w:u w:val="single"/>
        </w:rPr>
        <w:t>ierra</w:t>
      </w:r>
      <w:r w:rsidRPr="00B20E2F">
        <w:rPr>
          <w:u w:val="single"/>
        </w:rPr>
        <w:t>)</w:t>
      </w:r>
      <w:r w:rsidR="009F71F2">
        <w:rPr>
          <w:u w:val="single"/>
        </w:rPr>
        <w:t>.</w:t>
      </w:r>
      <w:proofErr w:type="gramEnd"/>
    </w:p>
    <w:p w:rsidR="00B739AF" w:rsidRDefault="00B739AF" w:rsidP="00B739AF">
      <w:pPr>
        <w:ind w:left="1440" w:hanging="720"/>
        <w:jc w:val="both"/>
      </w:pPr>
      <w:r>
        <w:lastRenderedPageBreak/>
        <w:tab/>
        <w:t>J.R. KELLY</w:t>
      </w:r>
      <w:r w:rsidR="006E6CF4">
        <w:t>, PATRICIA A. CHRISTENSEN, S</w:t>
      </w:r>
      <w:r w:rsidR="000F306D">
        <w:t>TEPHANIE</w:t>
      </w:r>
      <w:r w:rsidR="006E6CF4">
        <w:t xml:space="preserve"> MORSE, T</w:t>
      </w:r>
      <w:r w:rsidR="000F306D">
        <w:t>HOMAS A</w:t>
      </w:r>
      <w:r w:rsidR="006E6CF4">
        <w:t>. DAVID</w:t>
      </w:r>
      <w:r w:rsidR="009F71F2">
        <w:t>,</w:t>
      </w:r>
      <w:r>
        <w:t xml:space="preserve"> and CHARLES J. REHWINKEL, ESQUIRES, Associate Public Counsels, Office of Public Counsel, c/o The Florida Legislature, 111 W. Madison Street, Room 812, Tallahassee, Florida 32399</w:t>
      </w:r>
    </w:p>
    <w:p w:rsidR="006E1552" w:rsidRPr="00701945" w:rsidRDefault="00B739AF" w:rsidP="00B739AF">
      <w:pPr>
        <w:ind w:left="720" w:firstLine="720"/>
        <w:jc w:val="both"/>
      </w:pPr>
      <w:proofErr w:type="gramStart"/>
      <w:r w:rsidRPr="0012596D">
        <w:rPr>
          <w:u w:val="single"/>
        </w:rPr>
        <w:t xml:space="preserve">On behalf of the </w:t>
      </w:r>
      <w:r>
        <w:rPr>
          <w:u w:val="single"/>
        </w:rPr>
        <w:t>Citizens of the State of Florida (OPC)</w:t>
      </w:r>
      <w:r>
        <w:t>.</w:t>
      </w:r>
      <w:proofErr w:type="gramEnd"/>
      <w:r w:rsidR="006E1552" w:rsidRPr="00701945">
        <w:t xml:space="preserve"> </w:t>
      </w:r>
    </w:p>
    <w:p w:rsidR="006E1552" w:rsidRPr="00701945" w:rsidRDefault="00B739AF" w:rsidP="008B5218">
      <w:pPr>
        <w:jc w:val="both"/>
      </w:pPr>
      <w:r>
        <w:tab/>
      </w:r>
    </w:p>
    <w:p w:rsidR="006E1552" w:rsidRPr="00701945" w:rsidRDefault="006E6CF4" w:rsidP="006E1552">
      <w:pPr>
        <w:ind w:left="1440"/>
        <w:jc w:val="both"/>
      </w:pPr>
      <w:r>
        <w:t xml:space="preserve">ASHLEY </w:t>
      </w:r>
      <w:r w:rsidR="009F71F2">
        <w:t xml:space="preserve">J. </w:t>
      </w:r>
      <w:r>
        <w:t>WEISENFELD and CHARLES MURPHY,</w:t>
      </w:r>
      <w:r w:rsidR="006E1552" w:rsidRPr="00701945">
        <w:t xml:space="preserve"> ESQUIRE</w:t>
      </w:r>
      <w:r>
        <w:t>S</w:t>
      </w:r>
      <w:r w:rsidR="006E1552" w:rsidRPr="00701945">
        <w:t>, Florida Public Service Commission, 2540 Shumard Oak Boulevard, Tallahassee, Florida 32399-0850</w:t>
      </w:r>
    </w:p>
    <w:p w:rsidR="006E1552" w:rsidRPr="00701945" w:rsidRDefault="006E1552" w:rsidP="006E1552">
      <w:pPr>
        <w:ind w:left="720" w:firstLine="720"/>
        <w:jc w:val="both"/>
      </w:pPr>
      <w:proofErr w:type="gramStart"/>
      <w:r w:rsidRPr="00701945">
        <w:rPr>
          <w:u w:val="single"/>
        </w:rPr>
        <w:t>On behalf of the Florida Public Service Commission</w:t>
      </w:r>
      <w:r>
        <w:rPr>
          <w:u w:val="single"/>
        </w:rPr>
        <w:t xml:space="preserve"> (Staff)</w:t>
      </w:r>
      <w:r w:rsidRPr="00701945">
        <w:t>.</w:t>
      </w:r>
      <w:proofErr w:type="gramEnd"/>
    </w:p>
    <w:p w:rsidR="006E1552" w:rsidRPr="00701945" w:rsidRDefault="006E1552" w:rsidP="006E1552">
      <w:pPr>
        <w:jc w:val="both"/>
      </w:pPr>
    </w:p>
    <w:p w:rsidR="006E1552" w:rsidRPr="00701945" w:rsidRDefault="006E1552" w:rsidP="006E1552">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6E1552" w:rsidRPr="00701945" w:rsidRDefault="006E1552" w:rsidP="006E1552">
      <w:pPr>
        <w:ind w:left="720" w:firstLine="720"/>
        <w:jc w:val="both"/>
      </w:pPr>
      <w:r>
        <w:rPr>
          <w:u w:val="single"/>
        </w:rPr>
        <w:t>Advisor to the</w:t>
      </w:r>
      <w:r w:rsidRPr="00701945">
        <w:rPr>
          <w:u w:val="single"/>
        </w:rPr>
        <w:t xml:space="preserve"> Florida Public Service Commission</w:t>
      </w:r>
      <w:r w:rsidRPr="00701945">
        <w:t>.</w:t>
      </w:r>
    </w:p>
    <w:p w:rsidR="006E1552" w:rsidRPr="00701945" w:rsidRDefault="006E1552" w:rsidP="006E1552">
      <w:pPr>
        <w:jc w:val="center"/>
        <w:rPr>
          <w:b/>
          <w:bCs/>
          <w:u w:val="single"/>
        </w:rPr>
      </w:pPr>
    </w:p>
    <w:p w:rsidR="006E1552" w:rsidRPr="00D033EB" w:rsidRDefault="006E1552" w:rsidP="006E1552">
      <w:pPr>
        <w:ind w:left="1440"/>
        <w:jc w:val="both"/>
      </w:pPr>
      <w:r w:rsidRPr="00D033EB">
        <w:t>K</w:t>
      </w:r>
      <w:r>
        <w:t>EITH C. HETRICK</w:t>
      </w:r>
      <w:r w:rsidRPr="00D033EB">
        <w:t>, ESQUIRE, General Counsel, Florida Public Service Commission, 2540 Shumard Oak Boulevard, Tallahassee, Florida 32399-0850</w:t>
      </w:r>
    </w:p>
    <w:p w:rsidR="006E1552" w:rsidRPr="00D033EB" w:rsidRDefault="006E1552" w:rsidP="006E1552">
      <w:pPr>
        <w:ind w:left="720" w:firstLine="720"/>
        <w:jc w:val="both"/>
      </w:pPr>
      <w:r w:rsidRPr="00D033EB">
        <w:rPr>
          <w:u w:val="single"/>
        </w:rPr>
        <w:t>Florida Public Service Commission General Counsel</w:t>
      </w:r>
      <w:r w:rsidR="009F71F2">
        <w:rPr>
          <w:u w:val="single"/>
        </w:rPr>
        <w:t>.</w:t>
      </w:r>
    </w:p>
    <w:p w:rsidR="006E1552" w:rsidRDefault="006E1552" w:rsidP="00385717">
      <w:pPr>
        <w:rPr>
          <w:b/>
          <w:bCs/>
          <w:u w:val="single"/>
        </w:rPr>
      </w:pPr>
    </w:p>
    <w:p w:rsidR="006E1552" w:rsidRPr="00701945" w:rsidRDefault="006E1552" w:rsidP="006E1552">
      <w:pPr>
        <w:jc w:val="center"/>
        <w:rPr>
          <w:b/>
          <w:bCs/>
          <w:u w:val="single"/>
        </w:rPr>
      </w:pPr>
    </w:p>
    <w:p w:rsidR="006E1552" w:rsidRPr="00701945" w:rsidRDefault="006E1552" w:rsidP="006E1552">
      <w:pPr>
        <w:jc w:val="center"/>
      </w:pPr>
      <w:r w:rsidRPr="00701945">
        <w:rPr>
          <w:b/>
          <w:bCs/>
          <w:u w:val="single"/>
        </w:rPr>
        <w:t>PREHEARING ORDER</w:t>
      </w:r>
    </w:p>
    <w:p w:rsidR="006E1552" w:rsidRDefault="006E1552" w:rsidP="006E1552">
      <w:pPr>
        <w:jc w:val="both"/>
      </w:pPr>
    </w:p>
    <w:p w:rsidR="006E1552" w:rsidRPr="00701945" w:rsidRDefault="006E1552" w:rsidP="006E1552">
      <w:pPr>
        <w:jc w:val="both"/>
      </w:pPr>
    </w:p>
    <w:p w:rsidR="006E1552" w:rsidRPr="00A32DC5" w:rsidRDefault="006E1552" w:rsidP="006E1552">
      <w:pPr>
        <w:jc w:val="both"/>
        <w:rPr>
          <w:b/>
        </w:rPr>
      </w:pPr>
      <w:r w:rsidRPr="00A32DC5">
        <w:rPr>
          <w:b/>
        </w:rPr>
        <w:t>I.</w:t>
      </w:r>
      <w:r w:rsidRPr="00A32DC5">
        <w:rPr>
          <w:b/>
        </w:rPr>
        <w:tab/>
      </w:r>
      <w:r w:rsidRPr="00A32DC5">
        <w:rPr>
          <w:b/>
          <w:u w:val="single"/>
        </w:rPr>
        <w:t>CASE BACKGROUND</w:t>
      </w:r>
    </w:p>
    <w:p w:rsidR="006E1552" w:rsidRPr="00701945" w:rsidRDefault="006E1552" w:rsidP="006E1552">
      <w:pPr>
        <w:jc w:val="both"/>
      </w:pPr>
    </w:p>
    <w:p w:rsidR="00B145F3" w:rsidRDefault="006E1552" w:rsidP="001C6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1C6958">
        <w:t xml:space="preserve">As part of the Florida Public Service Commission’s (Commission) continuing Environmental Cost Recovery Clause (ECRC) proceeding, undertaken pursuant to Section 366.8255, Florida Statutes (F.S.), a hearing has been set in this Docket for </w:t>
      </w:r>
      <w:r w:rsidR="001C6958" w:rsidRPr="001C6958">
        <w:t>November 5 – 7, 2019.</w:t>
      </w:r>
      <w:r w:rsidR="001C6958">
        <w:t xml:space="preserve">  The ECRC proceeding allows investor-owned electric utilities to seek recovery of their costs for approved </w:t>
      </w:r>
      <w:r w:rsidR="00FF7061">
        <w:t>environmental</w:t>
      </w:r>
      <w:r w:rsidR="001C6958">
        <w:t xml:space="preserve"> programs on an annual bas</w:t>
      </w:r>
      <w:r w:rsidR="001C6958" w:rsidRPr="000F306D">
        <w:t xml:space="preserve">is. </w:t>
      </w:r>
    </w:p>
    <w:p w:rsidR="00B145F3" w:rsidRDefault="00B145F3" w:rsidP="001C6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552" w:rsidRDefault="00B145F3" w:rsidP="001C6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FF0000"/>
        </w:rPr>
      </w:pPr>
      <w:r>
        <w:tab/>
      </w:r>
      <w:r w:rsidR="00D878F5">
        <w:t xml:space="preserve">As discussed </w:t>
      </w:r>
      <w:r>
        <w:t xml:space="preserve">more fully </w:t>
      </w:r>
      <w:r w:rsidR="00D878F5">
        <w:t>at Section X</w:t>
      </w:r>
      <w:r>
        <w:t xml:space="preserve"> and referenced throughout this Order, </w:t>
      </w:r>
      <w:r w:rsidR="00D878F5">
        <w:t xml:space="preserve">all issues </w:t>
      </w:r>
      <w:r>
        <w:t xml:space="preserve">in this case </w:t>
      </w:r>
      <w:r w:rsidR="00D878F5">
        <w:t xml:space="preserve">have been stipulated with testimony and exhibits </w:t>
      </w:r>
      <w:r>
        <w:t>included in the record and witnesses excused.</w:t>
      </w:r>
    </w:p>
    <w:p w:rsidR="006E1552" w:rsidRDefault="006E1552" w:rsidP="006E1552">
      <w:pPr>
        <w:jc w:val="both"/>
      </w:pPr>
    </w:p>
    <w:p w:rsidR="006E1552" w:rsidRPr="00A32DC5" w:rsidRDefault="006E1552" w:rsidP="006E1552">
      <w:pPr>
        <w:jc w:val="both"/>
        <w:rPr>
          <w:b/>
        </w:rPr>
      </w:pPr>
      <w:r w:rsidRPr="00A32DC5">
        <w:rPr>
          <w:b/>
        </w:rPr>
        <w:t>II.</w:t>
      </w:r>
      <w:r w:rsidRPr="00A32DC5">
        <w:rPr>
          <w:b/>
        </w:rPr>
        <w:tab/>
      </w:r>
      <w:r w:rsidRPr="00A32DC5">
        <w:rPr>
          <w:b/>
          <w:u w:val="single"/>
        </w:rPr>
        <w:t>CONDUCT OF PROCEEDINGS</w:t>
      </w:r>
    </w:p>
    <w:p w:rsidR="006E1552" w:rsidRPr="00701945" w:rsidRDefault="006E1552" w:rsidP="006E1552">
      <w:pPr>
        <w:jc w:val="both"/>
      </w:pPr>
    </w:p>
    <w:p w:rsidR="006E1552" w:rsidRPr="00701945" w:rsidRDefault="006E1552" w:rsidP="006E155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6E1552" w:rsidRDefault="006E1552" w:rsidP="006E1552">
      <w:pPr>
        <w:jc w:val="both"/>
      </w:pPr>
    </w:p>
    <w:p w:rsidR="006E1552" w:rsidRPr="00701945" w:rsidRDefault="006E1552" w:rsidP="006E1552">
      <w:pPr>
        <w:jc w:val="both"/>
      </w:pPr>
    </w:p>
    <w:p w:rsidR="00C17FEF" w:rsidRDefault="00C17FEF" w:rsidP="006E1552">
      <w:pPr>
        <w:jc w:val="both"/>
        <w:rPr>
          <w:b/>
        </w:rPr>
      </w:pPr>
    </w:p>
    <w:p w:rsidR="00FB63DD" w:rsidRDefault="00FB63DD" w:rsidP="006E1552">
      <w:pPr>
        <w:jc w:val="both"/>
        <w:rPr>
          <w:b/>
        </w:rPr>
      </w:pPr>
    </w:p>
    <w:p w:rsidR="00FB63DD" w:rsidRDefault="00FB63DD" w:rsidP="006E1552">
      <w:pPr>
        <w:jc w:val="both"/>
        <w:rPr>
          <w:b/>
        </w:rPr>
      </w:pPr>
    </w:p>
    <w:p w:rsidR="006E1552" w:rsidRPr="00A32DC5" w:rsidRDefault="006E1552" w:rsidP="006E1552">
      <w:pPr>
        <w:jc w:val="both"/>
        <w:rPr>
          <w:b/>
        </w:rPr>
      </w:pPr>
      <w:smartTag w:uri="urn:schemas-microsoft-com:office:smarttags" w:element="stockticker">
        <w:r w:rsidRPr="00A32DC5">
          <w:rPr>
            <w:b/>
          </w:rPr>
          <w:lastRenderedPageBreak/>
          <w:t>III</w:t>
        </w:r>
      </w:smartTag>
      <w:r w:rsidRPr="00A32DC5">
        <w:rPr>
          <w:b/>
        </w:rPr>
        <w:t>.</w:t>
      </w:r>
      <w:r w:rsidRPr="00A32DC5">
        <w:rPr>
          <w:b/>
        </w:rPr>
        <w:tab/>
      </w:r>
      <w:r w:rsidRPr="00A32DC5">
        <w:rPr>
          <w:b/>
          <w:u w:val="single"/>
        </w:rPr>
        <w:t>JURISDICTION</w:t>
      </w:r>
    </w:p>
    <w:p w:rsidR="006E1552" w:rsidRPr="00701945" w:rsidRDefault="006E1552" w:rsidP="006E1552">
      <w:pPr>
        <w:jc w:val="both"/>
      </w:pPr>
    </w:p>
    <w:p w:rsidR="006E1552" w:rsidRPr="00701945" w:rsidRDefault="006E1552" w:rsidP="006E1552">
      <w:pPr>
        <w:jc w:val="both"/>
      </w:pPr>
      <w:r w:rsidRPr="00701945">
        <w:tab/>
        <w:t>This Commission is vested with jurisdiction over the subject matter by the provisions of Chapter</w:t>
      </w:r>
      <w:r w:rsidR="001C6958">
        <w:t xml:space="preserve"> 366, </w:t>
      </w:r>
      <w:r>
        <w:t>F.S</w:t>
      </w:r>
      <w:r w:rsidRPr="00701945">
        <w:t>. This hearing will be governed by said Chapter</w:t>
      </w:r>
      <w:r w:rsidR="009F71F2">
        <w:t>,</w:t>
      </w:r>
      <w:r w:rsidRPr="00701945">
        <w:t xml:space="preserve"> and </w:t>
      </w:r>
      <w:r w:rsidR="009F71F2">
        <w:t xml:space="preserve">by </w:t>
      </w:r>
      <w:r w:rsidRPr="00701945">
        <w:t>Chapters</w:t>
      </w:r>
      <w:r>
        <w:t xml:space="preserve"> 25-6</w:t>
      </w:r>
      <w:r w:rsidRPr="00701945">
        <w:t xml:space="preserve">, 25-22, and 28-106, </w:t>
      </w:r>
      <w:r>
        <w:t>F.A.C., as well as any other applicable provisions of law</w:t>
      </w:r>
      <w:r w:rsidRPr="00701945">
        <w:t>.</w:t>
      </w:r>
    </w:p>
    <w:p w:rsidR="006E1552" w:rsidRDefault="006E1552" w:rsidP="006E1552">
      <w:pPr>
        <w:jc w:val="both"/>
      </w:pPr>
    </w:p>
    <w:p w:rsidR="006E1552" w:rsidRPr="00701945" w:rsidRDefault="006E1552" w:rsidP="006E1552">
      <w:pPr>
        <w:jc w:val="both"/>
      </w:pPr>
    </w:p>
    <w:p w:rsidR="006E1552" w:rsidRPr="00237584" w:rsidRDefault="006E1552" w:rsidP="006E1552">
      <w:pPr>
        <w:jc w:val="both"/>
        <w:rPr>
          <w:b/>
        </w:rPr>
      </w:pPr>
      <w:r w:rsidRPr="00237584">
        <w:rPr>
          <w:b/>
        </w:rPr>
        <w:t>IV.</w:t>
      </w:r>
      <w:r w:rsidRPr="00237584">
        <w:rPr>
          <w:b/>
        </w:rPr>
        <w:tab/>
      </w:r>
      <w:r w:rsidRPr="00237584">
        <w:rPr>
          <w:b/>
          <w:u w:val="single"/>
        </w:rPr>
        <w:t>PROCEDURE FOR HANDLING CONFIDENTIAL INFORMATION</w:t>
      </w:r>
    </w:p>
    <w:p w:rsidR="006E1552" w:rsidRPr="00237584" w:rsidRDefault="006E1552" w:rsidP="006E1552">
      <w:pPr>
        <w:jc w:val="both"/>
        <w:rPr>
          <w:b/>
        </w:rPr>
      </w:pPr>
    </w:p>
    <w:p w:rsidR="006E1552" w:rsidRDefault="006E1552" w:rsidP="006E1552">
      <w:pPr>
        <w:jc w:val="both"/>
      </w:pPr>
      <w:r w:rsidRPr="00701945">
        <w:tab/>
      </w:r>
      <w:r>
        <w:t>Information for which proprietary confidential business information status is requested</w:t>
      </w:r>
      <w:r w:rsidRPr="00A72918">
        <w:t xml:space="preserve"> pursuant to</w:t>
      </w:r>
      <w:r>
        <w:t xml:space="preserve"> Section </w:t>
      </w:r>
      <w:r w:rsidR="001C6958">
        <w:t>366.093</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w:t>
      </w:r>
      <w:r w:rsidR="00F0682F">
        <w:t xml:space="preserve"> </w:t>
      </w:r>
      <w:r w:rsidRPr="005555EC">
        <w:t>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F0682F">
        <w:t>366.093</w:t>
      </w:r>
      <w:r>
        <w:t>, F.S.  T</w:t>
      </w:r>
      <w:r w:rsidRPr="00B2317F">
        <w:t>he Commission may determine that continued possession of the information is necessary for the Commission to conduct its business.</w:t>
      </w:r>
    </w:p>
    <w:p w:rsidR="006E1552" w:rsidRDefault="006E1552" w:rsidP="006E1552">
      <w:pPr>
        <w:jc w:val="both"/>
      </w:pPr>
    </w:p>
    <w:p w:rsidR="006E1552" w:rsidRDefault="006E1552" w:rsidP="006E15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F0682F">
        <w:t>366.093</w:t>
      </w:r>
      <w:r>
        <w:t xml:space="preserve">,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w:t>
      </w:r>
      <w:r w:rsidR="00F0682F">
        <w:t>366.093,</w:t>
      </w:r>
      <w:r w:rsidR="00F0682F" w:rsidRPr="00853180">
        <w:rPr>
          <w:color w:val="FF0000"/>
        </w:rPr>
        <w:t xml:space="preserve"> </w:t>
      </w:r>
      <w:r>
        <w:t>F.S., at the hearing shall adhere to the following:</w:t>
      </w:r>
    </w:p>
    <w:p w:rsidR="006E1552" w:rsidRDefault="006E1552" w:rsidP="006E15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552" w:rsidRDefault="006E1552" w:rsidP="006E1552">
      <w:pPr>
        <w:spacing w:line="2" w:lineRule="exact"/>
        <w:jc w:val="both"/>
      </w:pPr>
    </w:p>
    <w:p w:rsidR="006E1552" w:rsidRDefault="006E1552" w:rsidP="006E155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w:t>
      </w:r>
      <w:proofErr w:type="spellStart"/>
      <w:r>
        <w:t>prefiled</w:t>
      </w:r>
      <w:proofErr w:type="spellEnd"/>
      <w:r>
        <w:t xml:space="preserve"> testimony or </w:t>
      </w:r>
      <w:proofErr w:type="spellStart"/>
      <w:r>
        <w:t>prefiled</w:t>
      </w:r>
      <w:proofErr w:type="spellEnd"/>
      <w:r>
        <w:t xml:space="preserve">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E1552" w:rsidRDefault="006E1552" w:rsidP="006E15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552" w:rsidRDefault="006E1552" w:rsidP="006E155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6E1552" w:rsidRDefault="006E1552" w:rsidP="006E15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E1552" w:rsidRDefault="006E1552" w:rsidP="006E15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t>
      </w:r>
      <w:r w:rsidRPr="00B2317F">
        <w:lastRenderedPageBreak/>
        <w:t xml:space="preserve">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6E1552" w:rsidRDefault="006E1552" w:rsidP="006E1552">
      <w:pPr>
        <w:jc w:val="both"/>
      </w:pPr>
    </w:p>
    <w:p w:rsidR="006E1552" w:rsidRDefault="006E1552" w:rsidP="006E1552">
      <w:pPr>
        <w:jc w:val="both"/>
      </w:pPr>
    </w:p>
    <w:p w:rsidR="006E1552" w:rsidRPr="00A32DC5" w:rsidRDefault="006E1552" w:rsidP="006E1552">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6E1552" w:rsidRPr="00701945" w:rsidRDefault="006E1552" w:rsidP="006E1552">
      <w:pPr>
        <w:jc w:val="both"/>
      </w:pPr>
    </w:p>
    <w:p w:rsidR="006E1552" w:rsidRPr="00B75F84" w:rsidRDefault="006E1552" w:rsidP="00D878F5">
      <w:pPr>
        <w:jc w:val="both"/>
        <w:rPr>
          <w:color w:val="000000"/>
        </w:rPr>
      </w:pPr>
      <w:r w:rsidRPr="00701945">
        <w:tab/>
      </w:r>
      <w:r w:rsidR="00D878F5">
        <w:t xml:space="preserve">All </w:t>
      </w:r>
      <w:proofErr w:type="spellStart"/>
      <w:r w:rsidR="00D878F5">
        <w:t>prefiled</w:t>
      </w:r>
      <w:proofErr w:type="spellEnd"/>
      <w:r w:rsidR="00D878F5">
        <w:t xml:space="preserve"> testimony and exhibits have been stipulated into the record. </w:t>
      </w:r>
    </w:p>
    <w:p w:rsidR="006E1552" w:rsidRDefault="006E1552" w:rsidP="006E1552">
      <w:pPr>
        <w:jc w:val="both"/>
      </w:pPr>
    </w:p>
    <w:p w:rsidR="006E1552" w:rsidRPr="00701945" w:rsidRDefault="006E1552" w:rsidP="006E1552">
      <w:pPr>
        <w:jc w:val="both"/>
      </w:pPr>
    </w:p>
    <w:p w:rsidR="006E1552" w:rsidRPr="00A32DC5" w:rsidRDefault="006E1552" w:rsidP="006E1552">
      <w:pPr>
        <w:jc w:val="both"/>
        <w:rPr>
          <w:b/>
        </w:rPr>
      </w:pPr>
      <w:r w:rsidRPr="00A32DC5">
        <w:rPr>
          <w:b/>
        </w:rPr>
        <w:t>VI.</w:t>
      </w:r>
      <w:r w:rsidRPr="00A32DC5">
        <w:rPr>
          <w:b/>
        </w:rPr>
        <w:tab/>
      </w:r>
      <w:r w:rsidRPr="00A32DC5">
        <w:rPr>
          <w:b/>
          <w:u w:val="single"/>
        </w:rPr>
        <w:t>ORDER OF WITNESSES</w:t>
      </w:r>
    </w:p>
    <w:p w:rsidR="006E1552" w:rsidRDefault="006E1552" w:rsidP="006E1552">
      <w:pPr>
        <w:jc w:val="both"/>
      </w:pPr>
    </w:p>
    <w:p w:rsidR="00D878F5" w:rsidRDefault="00D878F5" w:rsidP="006E1552">
      <w:pPr>
        <w:jc w:val="both"/>
      </w:pPr>
      <w:r>
        <w:tab/>
        <w:t>All witnesses have been excused with testimony and exhibits included in the record.</w:t>
      </w:r>
    </w:p>
    <w:p w:rsidR="00B145F3" w:rsidRPr="00701945" w:rsidRDefault="00B145F3" w:rsidP="006E155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6E1552" w:rsidRPr="00701945" w:rsidTr="00E40BFA">
        <w:trPr>
          <w:cantSplit/>
          <w:trHeight w:val="362"/>
          <w:tblHeader/>
        </w:trPr>
        <w:tc>
          <w:tcPr>
            <w:tcW w:w="3507" w:type="dxa"/>
            <w:tcBorders>
              <w:top w:val="nil"/>
              <w:left w:val="nil"/>
              <w:bottom w:val="nil"/>
              <w:right w:val="nil"/>
            </w:tcBorders>
          </w:tcPr>
          <w:p w:rsidR="006E1552" w:rsidRPr="00701945" w:rsidRDefault="006E1552" w:rsidP="00E40BFA">
            <w:pPr>
              <w:jc w:val="both"/>
            </w:pPr>
            <w:r w:rsidRPr="00701945">
              <w:rPr>
                <w:u w:val="single"/>
              </w:rPr>
              <w:t>Witness</w:t>
            </w:r>
          </w:p>
        </w:tc>
        <w:tc>
          <w:tcPr>
            <w:tcW w:w="2511" w:type="dxa"/>
            <w:tcBorders>
              <w:top w:val="nil"/>
              <w:left w:val="nil"/>
              <w:bottom w:val="nil"/>
              <w:right w:val="nil"/>
            </w:tcBorders>
          </w:tcPr>
          <w:p w:rsidR="006E1552" w:rsidRPr="00701945" w:rsidRDefault="006E1552" w:rsidP="00E40BFA">
            <w:pPr>
              <w:jc w:val="center"/>
            </w:pPr>
            <w:r w:rsidRPr="00701945">
              <w:rPr>
                <w:u w:val="single"/>
              </w:rPr>
              <w:t>Proffered By</w:t>
            </w:r>
          </w:p>
        </w:tc>
        <w:tc>
          <w:tcPr>
            <w:tcW w:w="3546" w:type="dxa"/>
            <w:tcBorders>
              <w:top w:val="nil"/>
              <w:left w:val="nil"/>
              <w:bottom w:val="nil"/>
              <w:right w:val="nil"/>
            </w:tcBorders>
          </w:tcPr>
          <w:p w:rsidR="006E1552" w:rsidRPr="00701945" w:rsidRDefault="006E1552" w:rsidP="00E40BFA">
            <w:pPr>
              <w:jc w:val="both"/>
            </w:pPr>
            <w:r w:rsidRPr="00701945">
              <w:rPr>
                <w:u w:val="single"/>
              </w:rPr>
              <w:t>Issues #</w:t>
            </w:r>
          </w:p>
        </w:tc>
      </w:tr>
      <w:tr w:rsidR="006E1552" w:rsidRPr="00701945" w:rsidTr="00E40BFA">
        <w:trPr>
          <w:cantSplit/>
          <w:trHeight w:val="362"/>
        </w:trPr>
        <w:tc>
          <w:tcPr>
            <w:tcW w:w="3507" w:type="dxa"/>
            <w:tcBorders>
              <w:top w:val="nil"/>
              <w:left w:val="nil"/>
              <w:bottom w:val="nil"/>
              <w:right w:val="nil"/>
            </w:tcBorders>
          </w:tcPr>
          <w:p w:rsidR="006E1552" w:rsidRPr="00AC105C" w:rsidRDefault="006E1552" w:rsidP="00E40BFA">
            <w:pPr>
              <w:jc w:val="both"/>
              <w:rPr>
                <w:u w:val="single"/>
              </w:rPr>
            </w:pPr>
            <w:r w:rsidRPr="00AC105C">
              <w:tab/>
            </w:r>
            <w:r w:rsidRPr="00AC105C">
              <w:rPr>
                <w:u w:val="single"/>
              </w:rPr>
              <w:t>Direct</w:t>
            </w:r>
          </w:p>
        </w:tc>
        <w:tc>
          <w:tcPr>
            <w:tcW w:w="2511" w:type="dxa"/>
            <w:tcBorders>
              <w:top w:val="nil"/>
              <w:left w:val="nil"/>
              <w:bottom w:val="nil"/>
              <w:right w:val="nil"/>
            </w:tcBorders>
          </w:tcPr>
          <w:p w:rsidR="006E1552" w:rsidRPr="00701945" w:rsidRDefault="006E1552" w:rsidP="00E40BFA">
            <w:pPr>
              <w:jc w:val="center"/>
            </w:pPr>
          </w:p>
        </w:tc>
        <w:tc>
          <w:tcPr>
            <w:tcW w:w="3546" w:type="dxa"/>
            <w:tcBorders>
              <w:top w:val="nil"/>
              <w:left w:val="nil"/>
              <w:bottom w:val="nil"/>
              <w:right w:val="nil"/>
            </w:tcBorders>
          </w:tcPr>
          <w:p w:rsidR="006E1552" w:rsidRPr="00701945" w:rsidRDefault="006E1552" w:rsidP="00E40BFA"/>
        </w:tc>
      </w:tr>
      <w:tr w:rsidR="006E1552" w:rsidRPr="00701945" w:rsidTr="00E40BFA">
        <w:trPr>
          <w:cantSplit/>
          <w:trHeight w:val="382"/>
        </w:trPr>
        <w:tc>
          <w:tcPr>
            <w:tcW w:w="3507" w:type="dxa"/>
            <w:tcBorders>
              <w:top w:val="nil"/>
              <w:left w:val="nil"/>
              <w:bottom w:val="nil"/>
              <w:right w:val="nil"/>
            </w:tcBorders>
          </w:tcPr>
          <w:p w:rsidR="006E1552" w:rsidRPr="00701945" w:rsidRDefault="00477123" w:rsidP="00D878F5">
            <w:pPr>
              <w:jc w:val="both"/>
            </w:pPr>
            <w:proofErr w:type="spellStart"/>
            <w:r>
              <w:t>Renae</w:t>
            </w:r>
            <w:proofErr w:type="spellEnd"/>
            <w:r>
              <w:t xml:space="preserve"> B. Deaton</w:t>
            </w:r>
          </w:p>
        </w:tc>
        <w:tc>
          <w:tcPr>
            <w:tcW w:w="2511" w:type="dxa"/>
            <w:tcBorders>
              <w:top w:val="nil"/>
              <w:left w:val="nil"/>
              <w:bottom w:val="nil"/>
              <w:right w:val="nil"/>
            </w:tcBorders>
          </w:tcPr>
          <w:p w:rsidR="006E1552" w:rsidRPr="00701945" w:rsidRDefault="00E40BFA" w:rsidP="00E40BFA">
            <w:pPr>
              <w:jc w:val="center"/>
            </w:pPr>
            <w:r>
              <w:t>FPL</w:t>
            </w:r>
          </w:p>
        </w:tc>
        <w:tc>
          <w:tcPr>
            <w:tcW w:w="3546" w:type="dxa"/>
            <w:tcBorders>
              <w:top w:val="nil"/>
              <w:left w:val="nil"/>
              <w:bottom w:val="nil"/>
              <w:right w:val="nil"/>
            </w:tcBorders>
          </w:tcPr>
          <w:p w:rsidR="006E1552" w:rsidRPr="00701945" w:rsidRDefault="00477123" w:rsidP="00E40BFA">
            <w:r>
              <w:t>1-10</w:t>
            </w:r>
          </w:p>
        </w:tc>
      </w:tr>
      <w:tr w:rsidR="00477123" w:rsidRPr="00701945" w:rsidTr="00E40BFA">
        <w:trPr>
          <w:cantSplit/>
          <w:trHeight w:val="382"/>
        </w:trPr>
        <w:tc>
          <w:tcPr>
            <w:tcW w:w="3507" w:type="dxa"/>
            <w:tcBorders>
              <w:top w:val="nil"/>
              <w:left w:val="nil"/>
              <w:bottom w:val="nil"/>
              <w:right w:val="nil"/>
            </w:tcBorders>
          </w:tcPr>
          <w:p w:rsidR="00477123" w:rsidRDefault="00477123" w:rsidP="00D878F5">
            <w:pPr>
              <w:jc w:val="both"/>
            </w:pPr>
            <w:r>
              <w:t>Michael W. Sole</w:t>
            </w:r>
          </w:p>
        </w:tc>
        <w:tc>
          <w:tcPr>
            <w:tcW w:w="2511" w:type="dxa"/>
            <w:tcBorders>
              <w:top w:val="nil"/>
              <w:left w:val="nil"/>
              <w:bottom w:val="nil"/>
              <w:right w:val="nil"/>
            </w:tcBorders>
          </w:tcPr>
          <w:p w:rsidR="00477123" w:rsidRDefault="00477123" w:rsidP="00E40BFA">
            <w:pPr>
              <w:jc w:val="center"/>
            </w:pPr>
            <w:r>
              <w:t>FPL</w:t>
            </w:r>
          </w:p>
        </w:tc>
        <w:tc>
          <w:tcPr>
            <w:tcW w:w="3546" w:type="dxa"/>
            <w:tcBorders>
              <w:top w:val="nil"/>
              <w:left w:val="nil"/>
              <w:bottom w:val="nil"/>
              <w:right w:val="nil"/>
            </w:tcBorders>
          </w:tcPr>
          <w:p w:rsidR="00477123" w:rsidRPr="00701945" w:rsidRDefault="00477123" w:rsidP="00E40BFA">
            <w:r>
              <w:t>1-3</w:t>
            </w:r>
          </w:p>
        </w:tc>
      </w:tr>
      <w:tr w:rsidR="006E1552" w:rsidRPr="00701945" w:rsidTr="00E40BFA">
        <w:trPr>
          <w:cantSplit/>
          <w:trHeight w:val="362"/>
        </w:trPr>
        <w:tc>
          <w:tcPr>
            <w:tcW w:w="3507" w:type="dxa"/>
            <w:tcBorders>
              <w:top w:val="nil"/>
              <w:left w:val="nil"/>
              <w:bottom w:val="nil"/>
              <w:right w:val="nil"/>
            </w:tcBorders>
          </w:tcPr>
          <w:p w:rsidR="006E1552" w:rsidRPr="00701945" w:rsidRDefault="00E34217" w:rsidP="00D878F5">
            <w:pPr>
              <w:jc w:val="both"/>
            </w:pPr>
            <w:r>
              <w:t>R. M. Markey</w:t>
            </w:r>
          </w:p>
        </w:tc>
        <w:tc>
          <w:tcPr>
            <w:tcW w:w="2511" w:type="dxa"/>
            <w:tcBorders>
              <w:top w:val="nil"/>
              <w:left w:val="nil"/>
              <w:bottom w:val="nil"/>
              <w:right w:val="nil"/>
            </w:tcBorders>
          </w:tcPr>
          <w:p w:rsidR="006E1552" w:rsidRPr="00701945" w:rsidRDefault="00E40BFA" w:rsidP="00C17FEF">
            <w:pPr>
              <w:jc w:val="center"/>
            </w:pPr>
            <w:r>
              <w:t>G</w:t>
            </w:r>
            <w:r w:rsidR="00C17FEF">
              <w:t>ulf</w:t>
            </w:r>
          </w:p>
        </w:tc>
        <w:tc>
          <w:tcPr>
            <w:tcW w:w="3546" w:type="dxa"/>
            <w:tcBorders>
              <w:top w:val="nil"/>
              <w:left w:val="nil"/>
              <w:bottom w:val="nil"/>
              <w:right w:val="nil"/>
            </w:tcBorders>
          </w:tcPr>
          <w:p w:rsidR="006E1552" w:rsidRPr="00701945" w:rsidRDefault="00E34217" w:rsidP="00E40BFA">
            <w:r>
              <w:t>1, 2, 3, 14, 15</w:t>
            </w:r>
          </w:p>
        </w:tc>
      </w:tr>
      <w:tr w:rsidR="00E34217" w:rsidRPr="00701945" w:rsidTr="00E40BFA">
        <w:trPr>
          <w:cantSplit/>
          <w:trHeight w:val="362"/>
        </w:trPr>
        <w:tc>
          <w:tcPr>
            <w:tcW w:w="3507" w:type="dxa"/>
            <w:tcBorders>
              <w:top w:val="nil"/>
              <w:left w:val="nil"/>
              <w:bottom w:val="nil"/>
              <w:right w:val="nil"/>
            </w:tcBorders>
          </w:tcPr>
          <w:p w:rsidR="00E34217" w:rsidRDefault="00E34217" w:rsidP="00D878F5">
            <w:pPr>
              <w:jc w:val="both"/>
            </w:pPr>
            <w:r>
              <w:t>C. S. Boyett</w:t>
            </w:r>
          </w:p>
        </w:tc>
        <w:tc>
          <w:tcPr>
            <w:tcW w:w="2511" w:type="dxa"/>
            <w:tcBorders>
              <w:top w:val="nil"/>
              <w:left w:val="nil"/>
              <w:bottom w:val="nil"/>
              <w:right w:val="nil"/>
            </w:tcBorders>
          </w:tcPr>
          <w:p w:rsidR="00E34217" w:rsidRDefault="00E34217" w:rsidP="00C17FEF">
            <w:pPr>
              <w:jc w:val="center"/>
            </w:pPr>
            <w:r>
              <w:t>G</w:t>
            </w:r>
            <w:r w:rsidR="00C17FEF">
              <w:t>ulf</w:t>
            </w:r>
          </w:p>
        </w:tc>
        <w:tc>
          <w:tcPr>
            <w:tcW w:w="3546" w:type="dxa"/>
            <w:tcBorders>
              <w:top w:val="nil"/>
              <w:left w:val="nil"/>
              <w:bottom w:val="nil"/>
              <w:right w:val="nil"/>
            </w:tcBorders>
          </w:tcPr>
          <w:p w:rsidR="00E34217" w:rsidRDefault="00E34217" w:rsidP="00E40BFA">
            <w:r>
              <w:t>1, 2, 3, 4, 5, 6, 7, 8, 9, 10</w:t>
            </w:r>
            <w:r w:rsidR="00737E01">
              <w:t>, 16</w:t>
            </w:r>
          </w:p>
        </w:tc>
      </w:tr>
      <w:tr w:rsidR="006E1552" w:rsidRPr="00701945" w:rsidTr="00E40BFA">
        <w:trPr>
          <w:cantSplit/>
          <w:trHeight w:val="362"/>
        </w:trPr>
        <w:tc>
          <w:tcPr>
            <w:tcW w:w="3507" w:type="dxa"/>
            <w:tcBorders>
              <w:top w:val="nil"/>
              <w:left w:val="nil"/>
              <w:bottom w:val="nil"/>
              <w:right w:val="nil"/>
            </w:tcBorders>
          </w:tcPr>
          <w:p w:rsidR="006E1552" w:rsidRPr="00701945" w:rsidRDefault="00E40BFA" w:rsidP="00D878F5">
            <w:pPr>
              <w:jc w:val="both"/>
            </w:pPr>
            <w:r>
              <w:t>Christopher Menendez</w:t>
            </w:r>
          </w:p>
        </w:tc>
        <w:tc>
          <w:tcPr>
            <w:tcW w:w="2511" w:type="dxa"/>
            <w:tcBorders>
              <w:top w:val="nil"/>
              <w:left w:val="nil"/>
              <w:bottom w:val="nil"/>
              <w:right w:val="nil"/>
            </w:tcBorders>
          </w:tcPr>
          <w:p w:rsidR="006E1552" w:rsidRPr="00701945" w:rsidRDefault="00E40BFA" w:rsidP="00E40BFA">
            <w:pPr>
              <w:jc w:val="center"/>
            </w:pPr>
            <w:r>
              <w:t>DEF</w:t>
            </w:r>
          </w:p>
        </w:tc>
        <w:tc>
          <w:tcPr>
            <w:tcW w:w="3546" w:type="dxa"/>
            <w:tcBorders>
              <w:top w:val="nil"/>
              <w:left w:val="nil"/>
              <w:bottom w:val="nil"/>
              <w:right w:val="nil"/>
            </w:tcBorders>
          </w:tcPr>
          <w:p w:rsidR="006E1552" w:rsidRPr="00701945" w:rsidRDefault="00E40BFA" w:rsidP="00E40BFA">
            <w:r>
              <w:t>1-13</w:t>
            </w:r>
          </w:p>
        </w:tc>
      </w:tr>
      <w:tr w:rsidR="006E1552" w:rsidRPr="00701945" w:rsidTr="00E40BFA">
        <w:trPr>
          <w:cantSplit/>
          <w:trHeight w:val="362"/>
        </w:trPr>
        <w:tc>
          <w:tcPr>
            <w:tcW w:w="3507" w:type="dxa"/>
            <w:tcBorders>
              <w:top w:val="nil"/>
              <w:left w:val="nil"/>
              <w:bottom w:val="nil"/>
              <w:right w:val="nil"/>
            </w:tcBorders>
          </w:tcPr>
          <w:p w:rsidR="006E1552" w:rsidRPr="00701945" w:rsidRDefault="00E40BFA" w:rsidP="00D878F5">
            <w:pPr>
              <w:jc w:val="both"/>
            </w:pPr>
            <w:r>
              <w:t>Timothy Hill</w:t>
            </w:r>
          </w:p>
        </w:tc>
        <w:tc>
          <w:tcPr>
            <w:tcW w:w="2511" w:type="dxa"/>
            <w:tcBorders>
              <w:top w:val="nil"/>
              <w:left w:val="nil"/>
              <w:bottom w:val="nil"/>
              <w:right w:val="nil"/>
            </w:tcBorders>
          </w:tcPr>
          <w:p w:rsidR="006E1552" w:rsidRPr="00701945" w:rsidRDefault="00E40BFA" w:rsidP="00E40BFA">
            <w:pPr>
              <w:jc w:val="center"/>
            </w:pPr>
            <w:r>
              <w:t>DEF</w:t>
            </w:r>
          </w:p>
        </w:tc>
        <w:tc>
          <w:tcPr>
            <w:tcW w:w="3546" w:type="dxa"/>
            <w:tcBorders>
              <w:top w:val="nil"/>
              <w:left w:val="nil"/>
              <w:bottom w:val="nil"/>
              <w:right w:val="nil"/>
            </w:tcBorders>
          </w:tcPr>
          <w:p w:rsidR="006E1552" w:rsidRPr="00701945" w:rsidRDefault="00E40BFA" w:rsidP="00E40BFA">
            <w:r w:rsidRPr="00097DB0">
              <w:t>1-3</w:t>
            </w:r>
            <w:r>
              <w:t>, 11</w:t>
            </w:r>
          </w:p>
        </w:tc>
      </w:tr>
      <w:tr w:rsidR="006E1552" w:rsidRPr="00701945" w:rsidTr="00E40BFA">
        <w:trPr>
          <w:cantSplit/>
          <w:trHeight w:val="362"/>
        </w:trPr>
        <w:tc>
          <w:tcPr>
            <w:tcW w:w="3507" w:type="dxa"/>
            <w:tcBorders>
              <w:top w:val="nil"/>
              <w:left w:val="nil"/>
              <w:bottom w:val="nil"/>
              <w:right w:val="nil"/>
            </w:tcBorders>
          </w:tcPr>
          <w:p w:rsidR="006E1552" w:rsidRPr="00701945" w:rsidRDefault="00E40BFA" w:rsidP="00D878F5">
            <w:pPr>
              <w:jc w:val="both"/>
            </w:pPr>
            <w:r>
              <w:t>Jeffrey Swartz</w:t>
            </w:r>
          </w:p>
        </w:tc>
        <w:tc>
          <w:tcPr>
            <w:tcW w:w="2511" w:type="dxa"/>
            <w:tcBorders>
              <w:top w:val="nil"/>
              <w:left w:val="nil"/>
              <w:bottom w:val="nil"/>
              <w:right w:val="nil"/>
            </w:tcBorders>
          </w:tcPr>
          <w:p w:rsidR="006E1552" w:rsidRPr="00701945" w:rsidRDefault="00E40BFA" w:rsidP="00E40BFA">
            <w:pPr>
              <w:jc w:val="center"/>
            </w:pPr>
            <w:r>
              <w:t>DEF</w:t>
            </w:r>
          </w:p>
        </w:tc>
        <w:tc>
          <w:tcPr>
            <w:tcW w:w="3546" w:type="dxa"/>
            <w:tcBorders>
              <w:top w:val="nil"/>
              <w:left w:val="nil"/>
              <w:bottom w:val="nil"/>
              <w:right w:val="nil"/>
            </w:tcBorders>
          </w:tcPr>
          <w:p w:rsidR="006E1552" w:rsidRPr="00701945" w:rsidRDefault="00E40BFA" w:rsidP="00E40BFA">
            <w:r>
              <w:t>1-3</w:t>
            </w:r>
          </w:p>
        </w:tc>
      </w:tr>
      <w:tr w:rsidR="006E1552" w:rsidRPr="00701945" w:rsidTr="00E40BFA">
        <w:trPr>
          <w:cantSplit/>
          <w:trHeight w:val="362"/>
        </w:trPr>
        <w:tc>
          <w:tcPr>
            <w:tcW w:w="3507" w:type="dxa"/>
            <w:tcBorders>
              <w:top w:val="nil"/>
              <w:left w:val="nil"/>
              <w:bottom w:val="nil"/>
              <w:right w:val="nil"/>
            </w:tcBorders>
          </w:tcPr>
          <w:p w:rsidR="006E1552" w:rsidRPr="00701945" w:rsidRDefault="00E40BFA" w:rsidP="00D878F5">
            <w:pPr>
              <w:jc w:val="both"/>
            </w:pPr>
            <w:r>
              <w:t>Kim Spence McDaniel</w:t>
            </w:r>
          </w:p>
        </w:tc>
        <w:tc>
          <w:tcPr>
            <w:tcW w:w="2511" w:type="dxa"/>
            <w:tcBorders>
              <w:top w:val="nil"/>
              <w:left w:val="nil"/>
              <w:bottom w:val="nil"/>
              <w:right w:val="nil"/>
            </w:tcBorders>
          </w:tcPr>
          <w:p w:rsidR="006E1552" w:rsidRPr="00701945" w:rsidRDefault="00E40BFA" w:rsidP="00E40BFA">
            <w:pPr>
              <w:jc w:val="center"/>
            </w:pPr>
            <w:r>
              <w:t>DEF</w:t>
            </w:r>
          </w:p>
        </w:tc>
        <w:tc>
          <w:tcPr>
            <w:tcW w:w="3546" w:type="dxa"/>
            <w:tcBorders>
              <w:top w:val="nil"/>
              <w:left w:val="nil"/>
              <w:bottom w:val="nil"/>
              <w:right w:val="nil"/>
            </w:tcBorders>
          </w:tcPr>
          <w:p w:rsidR="006E1552" w:rsidRPr="00701945" w:rsidRDefault="00E40BFA" w:rsidP="00E40BFA">
            <w:r>
              <w:t>1-3</w:t>
            </w:r>
          </w:p>
        </w:tc>
      </w:tr>
      <w:tr w:rsidR="006E1552" w:rsidRPr="00701945" w:rsidTr="00E40BFA">
        <w:trPr>
          <w:cantSplit/>
          <w:trHeight w:val="362"/>
        </w:trPr>
        <w:tc>
          <w:tcPr>
            <w:tcW w:w="3507" w:type="dxa"/>
            <w:tcBorders>
              <w:top w:val="nil"/>
              <w:left w:val="nil"/>
              <w:bottom w:val="nil"/>
              <w:right w:val="nil"/>
            </w:tcBorders>
          </w:tcPr>
          <w:p w:rsidR="006E1552" w:rsidRPr="00701945" w:rsidRDefault="00BE7D8A" w:rsidP="00D878F5">
            <w:pPr>
              <w:jc w:val="both"/>
            </w:pPr>
            <w:r w:rsidRPr="00EF08DA">
              <w:t>Penelope A. Rusk</w:t>
            </w:r>
          </w:p>
        </w:tc>
        <w:tc>
          <w:tcPr>
            <w:tcW w:w="2511" w:type="dxa"/>
            <w:tcBorders>
              <w:top w:val="nil"/>
              <w:left w:val="nil"/>
              <w:bottom w:val="nil"/>
              <w:right w:val="nil"/>
            </w:tcBorders>
          </w:tcPr>
          <w:p w:rsidR="006E1552" w:rsidRPr="00701945" w:rsidRDefault="00A07CEF" w:rsidP="00E40BFA">
            <w:pPr>
              <w:jc w:val="center"/>
            </w:pPr>
            <w:r>
              <w:t>TECO</w:t>
            </w:r>
          </w:p>
        </w:tc>
        <w:tc>
          <w:tcPr>
            <w:tcW w:w="3546" w:type="dxa"/>
            <w:tcBorders>
              <w:top w:val="nil"/>
              <w:left w:val="nil"/>
              <w:bottom w:val="nil"/>
              <w:right w:val="nil"/>
            </w:tcBorders>
          </w:tcPr>
          <w:p w:rsidR="006E1552" w:rsidRPr="00701945" w:rsidRDefault="00BE7D8A" w:rsidP="00E40BFA">
            <w:r w:rsidRPr="00EF08DA">
              <w:t>1, 2, 3, 4, 5, 6, 7, 8</w:t>
            </w:r>
            <w:r>
              <w:t>, 9, 17</w:t>
            </w:r>
          </w:p>
        </w:tc>
      </w:tr>
      <w:tr w:rsidR="006E1552" w:rsidRPr="00701945" w:rsidTr="00E40BFA">
        <w:trPr>
          <w:cantSplit/>
          <w:trHeight w:val="362"/>
        </w:trPr>
        <w:tc>
          <w:tcPr>
            <w:tcW w:w="3507" w:type="dxa"/>
            <w:tcBorders>
              <w:top w:val="nil"/>
              <w:left w:val="nil"/>
              <w:bottom w:val="nil"/>
              <w:right w:val="nil"/>
            </w:tcBorders>
          </w:tcPr>
          <w:p w:rsidR="006E1552" w:rsidRPr="00701945" w:rsidRDefault="00BE7D8A" w:rsidP="00D878F5">
            <w:pPr>
              <w:jc w:val="both"/>
            </w:pPr>
            <w:r w:rsidRPr="00EF08DA">
              <w:t xml:space="preserve">Paul L. </w:t>
            </w:r>
            <w:proofErr w:type="spellStart"/>
            <w:r w:rsidRPr="00EF08DA">
              <w:t>Carpinone</w:t>
            </w:r>
            <w:proofErr w:type="spellEnd"/>
          </w:p>
        </w:tc>
        <w:tc>
          <w:tcPr>
            <w:tcW w:w="2511" w:type="dxa"/>
            <w:tcBorders>
              <w:top w:val="nil"/>
              <w:left w:val="nil"/>
              <w:bottom w:val="nil"/>
              <w:right w:val="nil"/>
            </w:tcBorders>
          </w:tcPr>
          <w:p w:rsidR="006E1552" w:rsidRPr="00701945" w:rsidRDefault="00BE7D8A" w:rsidP="00E40BFA">
            <w:pPr>
              <w:jc w:val="center"/>
            </w:pPr>
            <w:r>
              <w:t>TECO</w:t>
            </w:r>
          </w:p>
        </w:tc>
        <w:tc>
          <w:tcPr>
            <w:tcW w:w="3546" w:type="dxa"/>
            <w:tcBorders>
              <w:top w:val="nil"/>
              <w:left w:val="nil"/>
              <w:bottom w:val="nil"/>
              <w:right w:val="nil"/>
            </w:tcBorders>
          </w:tcPr>
          <w:p w:rsidR="006E1552" w:rsidRPr="00701945" w:rsidRDefault="00BE7D8A" w:rsidP="00E40BFA">
            <w:r>
              <w:t>3</w:t>
            </w:r>
          </w:p>
        </w:tc>
      </w:tr>
    </w:tbl>
    <w:p w:rsidR="006E1552" w:rsidRDefault="006E1552" w:rsidP="006E1552">
      <w:pPr>
        <w:jc w:val="both"/>
      </w:pPr>
    </w:p>
    <w:p w:rsidR="00FB63DD" w:rsidRDefault="00FB63DD" w:rsidP="006E1552">
      <w:pPr>
        <w:jc w:val="both"/>
      </w:pPr>
    </w:p>
    <w:p w:rsidR="006E1552" w:rsidRPr="00A32DC5" w:rsidRDefault="006E1552" w:rsidP="006E1552">
      <w:pPr>
        <w:jc w:val="both"/>
        <w:rPr>
          <w:b/>
        </w:rPr>
      </w:pPr>
      <w:r w:rsidRPr="00A32DC5">
        <w:rPr>
          <w:b/>
        </w:rPr>
        <w:t>VII.</w:t>
      </w:r>
      <w:r w:rsidRPr="00A32DC5">
        <w:rPr>
          <w:b/>
        </w:rPr>
        <w:tab/>
      </w:r>
      <w:r w:rsidRPr="00A32DC5">
        <w:rPr>
          <w:b/>
          <w:u w:val="single"/>
        </w:rPr>
        <w:t>BASIC POSITIONS</w:t>
      </w:r>
    </w:p>
    <w:p w:rsidR="006E1552" w:rsidRPr="00701945" w:rsidRDefault="006E1552" w:rsidP="006E1552">
      <w:pPr>
        <w:jc w:val="both"/>
      </w:pPr>
    </w:p>
    <w:p w:rsidR="00B145F3" w:rsidRDefault="00B145F3" w:rsidP="0032368E">
      <w:pPr>
        <w:ind w:left="2160" w:hanging="2160"/>
        <w:jc w:val="both"/>
        <w:rPr>
          <w:b/>
          <w:bCs/>
        </w:rPr>
      </w:pPr>
    </w:p>
    <w:p w:rsidR="00CD38E4" w:rsidRDefault="00CD38E4" w:rsidP="0032368E">
      <w:pPr>
        <w:ind w:left="2160" w:hanging="2160"/>
        <w:jc w:val="both"/>
      </w:pPr>
      <w:r>
        <w:rPr>
          <w:b/>
          <w:bCs/>
        </w:rPr>
        <w:t>FPL</w:t>
      </w:r>
      <w:r w:rsidRPr="00701945">
        <w:rPr>
          <w:b/>
          <w:bCs/>
        </w:rPr>
        <w:t>:</w:t>
      </w:r>
      <w:r w:rsidRPr="00701945">
        <w:tab/>
      </w:r>
      <w:r w:rsidR="00483AE9" w:rsidRPr="00076FF1">
        <w:t>FPL’s 20</w:t>
      </w:r>
      <w:r w:rsidR="00483AE9">
        <w:t>20</w:t>
      </w:r>
      <w:r w:rsidR="00483AE9" w:rsidRPr="00076FF1">
        <w:t xml:space="preserve"> </w:t>
      </w:r>
      <w:r w:rsidR="00483AE9">
        <w:t xml:space="preserve">ECRC </w:t>
      </w:r>
      <w:r w:rsidR="00483AE9" w:rsidRPr="00076FF1">
        <w:t xml:space="preserve">factors, including </w:t>
      </w:r>
      <w:r w:rsidR="00483AE9">
        <w:t>p</w:t>
      </w:r>
      <w:r w:rsidR="00483AE9" w:rsidRPr="00076FF1">
        <w:t>rior period true-ups, are reasonable and should be approved.</w:t>
      </w:r>
      <w:r w:rsidR="00483AE9">
        <w:rPr>
          <w:bCs/>
        </w:rPr>
        <w:t xml:space="preserve">  Additionally, the</w:t>
      </w:r>
      <w:r w:rsidR="00483AE9" w:rsidRPr="000A5DD9">
        <w:t xml:space="preserve"> Joint Motion to Modify Order No. PSC-2012-0425-PAA-EU Regarding Weighted Average Cost of </w:t>
      </w:r>
      <w:r w:rsidR="00483AE9" w:rsidRPr="000A5DD9">
        <w:lastRenderedPageBreak/>
        <w:t xml:space="preserve">Capital Methodology </w:t>
      </w:r>
      <w:r w:rsidR="00483AE9">
        <w:t xml:space="preserve">is consistent with Internal Revenue Service requirements and should therefore </w:t>
      </w:r>
      <w:r w:rsidR="00483AE9" w:rsidRPr="000A5DD9">
        <w:t>be approved</w:t>
      </w:r>
      <w:r w:rsidR="00483AE9">
        <w:t>.</w:t>
      </w:r>
    </w:p>
    <w:p w:rsidR="00CD38E4" w:rsidRDefault="00CD38E4" w:rsidP="0032368E">
      <w:pPr>
        <w:ind w:left="1440" w:hanging="1440"/>
        <w:jc w:val="both"/>
      </w:pPr>
    </w:p>
    <w:p w:rsidR="00CD38E4" w:rsidRDefault="00CD38E4" w:rsidP="0032368E">
      <w:pPr>
        <w:ind w:left="2160" w:hanging="2160"/>
        <w:jc w:val="both"/>
      </w:pPr>
      <w:r>
        <w:rPr>
          <w:b/>
        </w:rPr>
        <w:t>GULF:</w:t>
      </w:r>
      <w:r>
        <w:tab/>
      </w:r>
      <w:r w:rsidR="0097710F">
        <w:t>It is the basic position of Gulf Power Company that the environmental cost recovery factors proposed by the Company present the best estimate of Gulf's environmental compliance costs recoverable through the Environmental Cost Recovery Clause (ECRC) for the period January 2020 through December 2020, including the true-up calculations and other adjustments allowed by the Commission.</w:t>
      </w:r>
    </w:p>
    <w:p w:rsidR="00CD38E4" w:rsidRDefault="00CD38E4" w:rsidP="0032368E">
      <w:pPr>
        <w:ind w:left="1440" w:hanging="1440"/>
        <w:jc w:val="both"/>
      </w:pPr>
    </w:p>
    <w:p w:rsidR="00CD38E4" w:rsidRDefault="00CD38E4" w:rsidP="0032368E">
      <w:pPr>
        <w:ind w:left="2160" w:hanging="2160"/>
        <w:jc w:val="both"/>
      </w:pPr>
      <w:r>
        <w:rPr>
          <w:b/>
        </w:rPr>
        <w:t>DEF:</w:t>
      </w:r>
      <w:r>
        <w:tab/>
      </w:r>
      <w:r w:rsidRPr="00881C12">
        <w:t>DEF’s positions to specific issues are listed below</w:t>
      </w:r>
      <w:r>
        <w:t>.</w:t>
      </w:r>
    </w:p>
    <w:p w:rsidR="00CD38E4" w:rsidRDefault="00CD38E4" w:rsidP="0032368E">
      <w:pPr>
        <w:ind w:left="1440" w:hanging="1440"/>
        <w:jc w:val="both"/>
      </w:pPr>
    </w:p>
    <w:p w:rsidR="00CD38E4" w:rsidRDefault="00CD38E4" w:rsidP="0032368E">
      <w:pPr>
        <w:ind w:left="2160" w:hanging="2160"/>
        <w:jc w:val="both"/>
      </w:pPr>
      <w:r>
        <w:rPr>
          <w:b/>
        </w:rPr>
        <w:t>TECO:</w:t>
      </w:r>
      <w:r>
        <w:tab/>
      </w:r>
      <w:r w:rsidR="00BE7D8A" w:rsidRPr="00EF08DA">
        <w:t xml:space="preserve">The Commission should approve the compliance programs described in the testimony and exhibits of Tampa Electric </w:t>
      </w:r>
      <w:r w:rsidR="00BE7D8A">
        <w:t>w</w:t>
      </w:r>
      <w:r w:rsidR="00BE7D8A" w:rsidRPr="00EF08DA">
        <w:t xml:space="preserve">itnesses Rusk and </w:t>
      </w:r>
      <w:proofErr w:type="spellStart"/>
      <w:r w:rsidR="00BE7D8A" w:rsidRPr="00EF08DA">
        <w:t>Carpinone</w:t>
      </w:r>
      <w:proofErr w:type="spellEnd"/>
      <w:r w:rsidR="00BE7D8A" w:rsidRPr="00EF08DA">
        <w:t xml:space="preserve"> for environmental cost recovery</w:t>
      </w:r>
      <w:r w:rsidR="00BE7D8A">
        <w:t xml:space="preserve">. </w:t>
      </w:r>
      <w:r w:rsidR="00BE7D8A" w:rsidRPr="00EF08DA">
        <w:t xml:space="preserve">The Commission should also approve Tampa Electric’s calculation of its environmental cost recovery final true-up for the period January </w:t>
      </w:r>
      <w:r w:rsidR="00BE7D8A">
        <w:t>2018</w:t>
      </w:r>
      <w:r w:rsidR="00BE7D8A" w:rsidRPr="00EF08DA">
        <w:t xml:space="preserve"> through December </w:t>
      </w:r>
      <w:r w:rsidR="00BE7D8A">
        <w:t>2018</w:t>
      </w:r>
      <w:r w:rsidR="00BE7D8A" w:rsidRPr="00EF08DA">
        <w:t xml:space="preserve">, the actual/estimated environmental cost recovery true-up for the current period January </w:t>
      </w:r>
      <w:r w:rsidR="00BE7D8A">
        <w:t>2019</w:t>
      </w:r>
      <w:r w:rsidR="00BE7D8A" w:rsidRPr="00EF08DA">
        <w:t xml:space="preserve"> through December </w:t>
      </w:r>
      <w:r w:rsidR="00BE7D8A">
        <w:t>2019</w:t>
      </w:r>
      <w:r w:rsidR="00BE7D8A" w:rsidRPr="00EF08DA">
        <w:t xml:space="preserve">, and the company’s projected ECRC revenue requirement and the company’s proposed ECRC factors for the period January </w:t>
      </w:r>
      <w:r w:rsidR="00BE7D8A">
        <w:t>2020</w:t>
      </w:r>
      <w:r w:rsidR="00BE7D8A" w:rsidRPr="00EF08DA">
        <w:t xml:space="preserve"> through December </w:t>
      </w:r>
      <w:r w:rsidR="00BE7D8A">
        <w:t>2020</w:t>
      </w:r>
      <w:r w:rsidR="00BE7D8A" w:rsidRPr="00EF08DA">
        <w:t>.</w:t>
      </w:r>
    </w:p>
    <w:p w:rsidR="00CD38E4" w:rsidRDefault="00CD38E4" w:rsidP="0032368E">
      <w:pPr>
        <w:ind w:left="1440" w:hanging="1440"/>
        <w:jc w:val="both"/>
      </w:pPr>
    </w:p>
    <w:p w:rsidR="00CD38E4" w:rsidRPr="008B5218" w:rsidRDefault="00CD38E4" w:rsidP="0032368E">
      <w:pPr>
        <w:pStyle w:val="NoSpacing"/>
        <w:ind w:left="2160" w:hanging="2160"/>
        <w:jc w:val="both"/>
      </w:pPr>
      <w:r w:rsidRPr="00E21996">
        <w:rPr>
          <w:rFonts w:ascii="Times New Roman" w:hAnsi="Times New Roman" w:cs="Times New Roman"/>
          <w:b/>
          <w:sz w:val="24"/>
          <w:szCs w:val="24"/>
        </w:rPr>
        <w:t>PCS:</w:t>
      </w:r>
      <w:r>
        <w:tab/>
      </w:r>
      <w:r w:rsidR="00E21996" w:rsidRPr="00295E6F">
        <w:rPr>
          <w:rFonts w:ascii="Times New Roman" w:hAnsi="Times New Roman" w:cs="Times New Roman"/>
          <w:sz w:val="24"/>
          <w:szCs w:val="24"/>
        </w:rPr>
        <w:t>PCS Phosphate generally accepts and adopts the positions taken by the Florida Office of</w:t>
      </w:r>
      <w:r w:rsidR="00E21996">
        <w:rPr>
          <w:rFonts w:ascii="Times New Roman" w:hAnsi="Times New Roman" w:cs="Times New Roman"/>
          <w:sz w:val="24"/>
          <w:szCs w:val="24"/>
        </w:rPr>
        <w:t xml:space="preserve"> </w:t>
      </w:r>
      <w:r w:rsidR="00E21996" w:rsidRPr="00295E6F">
        <w:rPr>
          <w:rFonts w:ascii="Times New Roman" w:hAnsi="Times New Roman" w:cs="Times New Roman"/>
          <w:sz w:val="24"/>
          <w:szCs w:val="24"/>
        </w:rPr>
        <w:t>Public Counsel (“OPC”) unless a differing position is stated with respect to an issue.</w:t>
      </w:r>
    </w:p>
    <w:p w:rsidR="00CD38E4" w:rsidRDefault="00CD38E4" w:rsidP="0032368E">
      <w:pPr>
        <w:jc w:val="both"/>
      </w:pPr>
    </w:p>
    <w:p w:rsidR="00CD38E4" w:rsidRPr="00493E1B" w:rsidRDefault="00CD38E4" w:rsidP="0032368E">
      <w:pPr>
        <w:ind w:left="2160" w:hanging="2160"/>
        <w:jc w:val="both"/>
      </w:pPr>
      <w:r>
        <w:rPr>
          <w:b/>
        </w:rPr>
        <w:t>FIPUG:</w:t>
      </w:r>
      <w:r>
        <w:tab/>
      </w:r>
      <w:r w:rsidR="00A07CEF" w:rsidRPr="00271E56">
        <w:rPr>
          <w:bCs/>
        </w:rPr>
        <w:t>Only costs legally authorized should be recovered through the environmental cost recovery clause.</w:t>
      </w:r>
      <w:r w:rsidR="00A07CEF">
        <w:rPr>
          <w:bCs/>
        </w:rPr>
        <w:t xml:space="preserve"> </w:t>
      </w:r>
      <w:r w:rsidR="00A07CEF" w:rsidRPr="00271E56">
        <w:rPr>
          <w:bCs/>
        </w:rPr>
        <w:t xml:space="preserve"> FIPUG maintains that the respective utilities must satisfy their burden of proof for any and all monies or other relief sought in this proceeding.</w:t>
      </w:r>
    </w:p>
    <w:p w:rsidR="00CD38E4" w:rsidRDefault="00CD38E4" w:rsidP="0032368E">
      <w:pPr>
        <w:ind w:left="2160" w:hanging="2160"/>
        <w:jc w:val="both"/>
        <w:rPr>
          <w:bCs/>
        </w:rPr>
      </w:pPr>
    </w:p>
    <w:p w:rsidR="00232DE0" w:rsidRDefault="00232DE0" w:rsidP="0032368E">
      <w:pPr>
        <w:pStyle w:val="Default"/>
        <w:ind w:left="2160" w:hanging="2160"/>
        <w:jc w:val="both"/>
        <w:rPr>
          <w:sz w:val="23"/>
          <w:szCs w:val="23"/>
        </w:rPr>
      </w:pPr>
      <w:r>
        <w:rPr>
          <w:b/>
          <w:bCs/>
        </w:rPr>
        <w:t>SIERRA</w:t>
      </w:r>
      <w:r>
        <w:rPr>
          <w:bCs/>
        </w:rPr>
        <w:t>:</w:t>
      </w:r>
      <w:r>
        <w:rPr>
          <w:bCs/>
        </w:rPr>
        <w:tab/>
      </w:r>
      <w:r w:rsidR="004F5674">
        <w:rPr>
          <w:sz w:val="23"/>
          <w:szCs w:val="23"/>
        </w:rPr>
        <w:t>Certain costs associated with Gulf Power Company’s projects to clean up waste from a coal-burning power plant in Mississippi, known as the “Plant Daniel CCR projects,” should be disapproved. Under the Environmental Cost Recovery Clause, the Commission can approve costs only if they meet a two-prong test: (1) the costs are necessary for compliance with environmental laws or regulations, and (2) the costs were prudently incurred.</w:t>
      </w:r>
      <w:r w:rsidR="004F5674">
        <w:rPr>
          <w:rStyle w:val="FootnoteReference"/>
          <w:sz w:val="16"/>
          <w:szCs w:val="16"/>
        </w:rPr>
        <w:footnoteReference w:id="1"/>
      </w:r>
      <w:r w:rsidR="004F5674">
        <w:rPr>
          <w:sz w:val="16"/>
          <w:szCs w:val="16"/>
        </w:rPr>
        <w:t xml:space="preserve">  </w:t>
      </w:r>
      <w:r w:rsidR="004F5674">
        <w:rPr>
          <w:sz w:val="23"/>
          <w:szCs w:val="23"/>
        </w:rPr>
        <w:t>The burden of proof is on the utility. The standard of proof is a preponderance of the competent, substantial evidence presented at the hearing.</w:t>
      </w:r>
      <w:r w:rsidR="004F5674">
        <w:rPr>
          <w:rStyle w:val="FootnoteReference"/>
          <w:sz w:val="23"/>
          <w:szCs w:val="23"/>
        </w:rPr>
        <w:footnoteReference w:id="2"/>
      </w:r>
      <w:r w:rsidR="004F5674">
        <w:rPr>
          <w:sz w:val="23"/>
          <w:szCs w:val="23"/>
        </w:rPr>
        <w:t xml:space="preserve">  While discovery is still ongoing, it appears that Gulf cannot carry its burden of proof with respect to Plant Daniel CCR projects.</w:t>
      </w:r>
    </w:p>
    <w:p w:rsidR="004F5674" w:rsidRDefault="004F5674" w:rsidP="0032368E">
      <w:pPr>
        <w:pStyle w:val="Default"/>
        <w:ind w:left="2160" w:hanging="2160"/>
        <w:jc w:val="both"/>
        <w:rPr>
          <w:sz w:val="23"/>
          <w:szCs w:val="23"/>
        </w:rPr>
      </w:pPr>
    </w:p>
    <w:p w:rsidR="004F5674" w:rsidRDefault="004F5674" w:rsidP="0032368E">
      <w:pPr>
        <w:autoSpaceDE w:val="0"/>
        <w:autoSpaceDN w:val="0"/>
        <w:adjustRightInd w:val="0"/>
        <w:ind w:left="2160" w:hanging="2160"/>
        <w:jc w:val="both"/>
      </w:pPr>
      <w:r>
        <w:rPr>
          <w:sz w:val="23"/>
          <w:szCs w:val="23"/>
        </w:rPr>
        <w:lastRenderedPageBreak/>
        <w:tab/>
        <w:t xml:space="preserve">Gulf expects to spend more than $23 million on the Plant Daniel CCR projects in 2020, and more than $62 million by 2026. But in its petition and pre-filed testimony and exhibits, the Company makes mere conclusory statements that these projects and their associated costs are necessary and prudent. The Company does not even cite the specific regulatory provisions that </w:t>
      </w:r>
      <w:r>
        <w:t>would require such projects. Nor does it identify, much less substantiate, any steps taken to minimize their costs. Clearly, this falls far short of the required evidence, because in cases that, like this one, involve multi-million-dollar cost-recovery requests, the Commission has held and the Florida Supreme Court has affirmed that a utility should substantiate its conclusions with detailed analysis.</w:t>
      </w:r>
      <w:r>
        <w:rPr>
          <w:rStyle w:val="FootnoteReference"/>
        </w:rPr>
        <w:footnoteReference w:id="3"/>
      </w:r>
    </w:p>
    <w:p w:rsidR="004F5674" w:rsidRDefault="004F5674" w:rsidP="0032368E">
      <w:pPr>
        <w:autoSpaceDE w:val="0"/>
        <w:autoSpaceDN w:val="0"/>
        <w:adjustRightInd w:val="0"/>
        <w:ind w:left="2160" w:hanging="2160"/>
        <w:jc w:val="both"/>
      </w:pPr>
    </w:p>
    <w:p w:rsidR="004F5674" w:rsidRPr="00232DE0" w:rsidRDefault="004F5674" w:rsidP="0032368E">
      <w:pPr>
        <w:autoSpaceDE w:val="0"/>
        <w:autoSpaceDN w:val="0"/>
        <w:adjustRightInd w:val="0"/>
        <w:ind w:left="2160" w:hanging="2160"/>
        <w:jc w:val="both"/>
      </w:pPr>
      <w:r>
        <w:rPr>
          <w:sz w:val="23"/>
          <w:szCs w:val="23"/>
        </w:rPr>
        <w:tab/>
        <w:t xml:space="preserve">Moreover, the Company’s reliance on the U.S. Environmental Protection Agency’s coal combustion residuals (CCR) rule in </w:t>
      </w:r>
      <w:r>
        <w:rPr>
          <w:i/>
          <w:iCs/>
          <w:sz w:val="23"/>
          <w:szCs w:val="23"/>
        </w:rPr>
        <w:t xml:space="preserve">general </w:t>
      </w:r>
      <w:r>
        <w:rPr>
          <w:sz w:val="23"/>
          <w:szCs w:val="23"/>
        </w:rPr>
        <w:t>appears to be misplaced. This rule includes exemptions for power plants that cease coal-burning operations by October 2023.</w:t>
      </w:r>
      <w:r>
        <w:rPr>
          <w:rStyle w:val="FootnoteReference"/>
          <w:sz w:val="23"/>
          <w:szCs w:val="23"/>
        </w:rPr>
        <w:footnoteReference w:id="4"/>
      </w:r>
      <w:r>
        <w:rPr>
          <w:sz w:val="16"/>
          <w:szCs w:val="16"/>
        </w:rPr>
        <w:t xml:space="preserve">   </w:t>
      </w:r>
      <w:r>
        <w:rPr>
          <w:sz w:val="23"/>
          <w:szCs w:val="23"/>
        </w:rPr>
        <w:t>Gulf itself admits that it should “retire” its undivided interest in Plant Daniel “as early as practicable” and no later than January 15, 2024.</w:t>
      </w:r>
      <w:r>
        <w:rPr>
          <w:rStyle w:val="FootnoteReference"/>
          <w:sz w:val="23"/>
          <w:szCs w:val="23"/>
        </w:rPr>
        <w:footnoteReference w:id="5"/>
      </w:r>
      <w:r>
        <w:rPr>
          <w:sz w:val="16"/>
          <w:szCs w:val="16"/>
        </w:rPr>
        <w:t xml:space="preserve"> </w:t>
      </w:r>
      <w:r>
        <w:rPr>
          <w:sz w:val="23"/>
          <w:szCs w:val="23"/>
        </w:rPr>
        <w:t>And Plant Daniel’s co-owner, Mississippi Power Company, has developed a schedule to cease coal-burning operations before October 2023.</w:t>
      </w:r>
      <w:r>
        <w:rPr>
          <w:rStyle w:val="FootnoteReference"/>
          <w:sz w:val="23"/>
          <w:szCs w:val="23"/>
        </w:rPr>
        <w:footnoteReference w:id="6"/>
      </w:r>
      <w:r>
        <w:rPr>
          <w:sz w:val="16"/>
          <w:szCs w:val="16"/>
        </w:rPr>
        <w:t xml:space="preserve"> </w:t>
      </w:r>
      <w:r>
        <w:rPr>
          <w:sz w:val="23"/>
          <w:szCs w:val="23"/>
        </w:rPr>
        <w:t xml:space="preserve">It is undisputed that this schedule could qualify for the CCR rule exemptions and largely obviate any need for the Plant Daniel CCR projects. As such, the projects and their associated costs do not meet the two-prong test under the Environmental Cost Recovery Clause, because they appear to be neither necessary nor prudent; a reasonable utility manager certainly would not spend </w:t>
      </w:r>
      <w:r>
        <w:rPr>
          <w:i/>
          <w:iCs/>
          <w:sz w:val="23"/>
          <w:szCs w:val="23"/>
        </w:rPr>
        <w:t xml:space="preserve">tens of millions of dollars </w:t>
      </w:r>
      <w:r>
        <w:rPr>
          <w:sz w:val="23"/>
          <w:szCs w:val="23"/>
        </w:rPr>
        <w:t>to needlessly extend coal-burning operations by four months (from October 2023 to January 2024). The Plant Daniel CCR projects and their associated costs should be disapproved.</w:t>
      </w:r>
    </w:p>
    <w:p w:rsidR="00232DE0" w:rsidRPr="00232DE0" w:rsidRDefault="00232DE0" w:rsidP="0032368E">
      <w:pPr>
        <w:ind w:left="2160" w:hanging="2160"/>
        <w:jc w:val="both"/>
        <w:rPr>
          <w:bCs/>
        </w:rPr>
      </w:pPr>
    </w:p>
    <w:p w:rsidR="00616AA3" w:rsidRDefault="00CD38E4" w:rsidP="0032368E">
      <w:pPr>
        <w:ind w:left="2160" w:hanging="2160"/>
        <w:jc w:val="both"/>
        <w:rPr>
          <w:bCs/>
        </w:rPr>
      </w:pPr>
      <w:r>
        <w:rPr>
          <w:b/>
          <w:bCs/>
        </w:rPr>
        <w:t>OPC:</w:t>
      </w:r>
      <w:r>
        <w:rPr>
          <w:bCs/>
        </w:rPr>
        <w:tab/>
      </w:r>
      <w:r w:rsidR="00616AA3" w:rsidRPr="00616AA3">
        <w:t xml:space="preserve">The utilities bear the burden of proof to justify the recovery of costs they request in this docket.  </w:t>
      </w:r>
      <w:r w:rsidR="00616AA3" w:rsidRPr="00616AA3">
        <w:rPr>
          <w:bCs/>
        </w:rPr>
        <w:t>The utilities must carry this burden regardless of whether or not the Interveners provide evidence to the contrary.  Further, the utilities bear the burden of proof to support</w:t>
      </w:r>
      <w:r w:rsidR="00616AA3" w:rsidRPr="00616AA3">
        <w:t xml:space="preserve"> their proposal(s) seeking the Commission's adoption of policy statements (whether new or changed) or other affirmative relief sought. Even if the Commission has previously approved a program, recovery of a cost, factor, or adjustment as meeting the Commission’s own requirements, the utilities still bear the burden of demonstrating that the costs submitted for final recovery meet any statutory test(s) and are reasonable in amount and prudently incurred.  Further, </w:t>
      </w:r>
      <w:r w:rsidR="00616AA3" w:rsidRPr="00616AA3">
        <w:rPr>
          <w:bCs/>
        </w:rPr>
        <w:t xml:space="preserve">recovery of even prudently incurred costs is constrained by the </w:t>
      </w:r>
      <w:r w:rsidR="00616AA3" w:rsidRPr="00616AA3">
        <w:rPr>
          <w:bCs/>
        </w:rPr>
        <w:lastRenderedPageBreak/>
        <w:t>Commission’s obligation to set fair, just, and reasonable rates.  Further, pursuant to Section 366.01, Florida Statutes, the provisions of Chapter 366 must be liberally construed to protect the public welfare.</w:t>
      </w:r>
    </w:p>
    <w:p w:rsidR="00616AA3" w:rsidRPr="00616AA3" w:rsidRDefault="00616AA3" w:rsidP="0032368E">
      <w:pPr>
        <w:ind w:left="2160" w:hanging="2160"/>
        <w:jc w:val="both"/>
      </w:pPr>
    </w:p>
    <w:p w:rsidR="00CD38E4" w:rsidRPr="008B5218" w:rsidRDefault="00616AA3" w:rsidP="0032368E">
      <w:pPr>
        <w:ind w:left="2160" w:hanging="2160"/>
        <w:jc w:val="both"/>
      </w:pPr>
      <w:r>
        <w:rPr>
          <w:bCs/>
        </w:rPr>
        <w:tab/>
      </w:r>
      <w:r w:rsidRPr="00616AA3">
        <w:rPr>
          <w:bCs/>
        </w:rPr>
        <w:t xml:space="preserve">The Commission must independently determine that each cost submitted for recovery, deferred or new, meets each element of the statutory requirements for recovery through this clause as set out in Section 366.8255, Florida Statutes.  Specifically, each activity proposed for recovery must be legally </w:t>
      </w:r>
      <w:r w:rsidRPr="00616AA3">
        <w:rPr>
          <w:bCs/>
          <w:i/>
        </w:rPr>
        <w:t>required</w:t>
      </w:r>
      <w:r w:rsidRPr="00616AA3">
        <w:rPr>
          <w:bCs/>
        </w:rPr>
        <w:t xml:space="preserve"> to comply with a governmentally imposed environmental regulation that was enacted, became effective, or whose effect was triggered after the company's last test year upon which rates are based, and such costs may not be costs that are recovered through base rates or any other cost recovery mechanism.</w:t>
      </w:r>
    </w:p>
    <w:p w:rsidR="006E1552" w:rsidRPr="00701945" w:rsidRDefault="006E1552" w:rsidP="0032368E">
      <w:pPr>
        <w:jc w:val="both"/>
      </w:pPr>
    </w:p>
    <w:p w:rsidR="006E1552" w:rsidRDefault="006E1552" w:rsidP="00FB63DD">
      <w:pPr>
        <w:ind w:left="2160" w:hanging="2160"/>
        <w:jc w:val="both"/>
      </w:pPr>
      <w:r w:rsidRPr="005D4B47">
        <w:rPr>
          <w:b/>
          <w:bCs/>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6E1552" w:rsidRDefault="006E1552" w:rsidP="0032368E">
      <w:pPr>
        <w:ind w:left="1440" w:hanging="1440"/>
        <w:jc w:val="both"/>
      </w:pPr>
    </w:p>
    <w:p w:rsidR="005B7BEC" w:rsidRPr="00701945" w:rsidRDefault="005B7BEC" w:rsidP="00D4507F">
      <w:pPr>
        <w:jc w:val="both"/>
      </w:pPr>
    </w:p>
    <w:p w:rsidR="006E1552" w:rsidRDefault="006E1552" w:rsidP="006E1552">
      <w:pPr>
        <w:jc w:val="both"/>
        <w:rPr>
          <w:b/>
          <w:u w:val="single"/>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414AC5" w:rsidRDefault="00414AC5" w:rsidP="006E1552">
      <w:pPr>
        <w:jc w:val="both"/>
        <w:rPr>
          <w:b/>
          <w:u w:val="single"/>
        </w:rPr>
      </w:pPr>
    </w:p>
    <w:p w:rsidR="006C6230" w:rsidRPr="007D5D23" w:rsidRDefault="00414AC5" w:rsidP="006E1552">
      <w:pPr>
        <w:jc w:val="both"/>
        <w:rPr>
          <w:u w:val="single"/>
        </w:rPr>
      </w:pPr>
      <w:r>
        <w:rPr>
          <w:b/>
        </w:rPr>
        <w:tab/>
      </w:r>
      <w:r w:rsidR="00D938C2" w:rsidRPr="007D5D23">
        <w:t xml:space="preserve">Please see Section X of this Order for the proposed stipulation of each of the issues in this Docket. </w:t>
      </w:r>
    </w:p>
    <w:p w:rsidR="000D6DD0" w:rsidRDefault="000D6DD0" w:rsidP="000D6DD0">
      <w:pPr>
        <w:jc w:val="both"/>
      </w:pPr>
    </w:p>
    <w:p w:rsidR="009A0670" w:rsidRPr="00493E1B" w:rsidRDefault="009A0670" w:rsidP="000D6DD0">
      <w:pPr>
        <w:jc w:val="both"/>
      </w:pPr>
    </w:p>
    <w:p w:rsidR="006E1552" w:rsidRPr="00A32DC5" w:rsidRDefault="006E1552" w:rsidP="006E1552">
      <w:pPr>
        <w:jc w:val="both"/>
        <w:rPr>
          <w:b/>
        </w:rPr>
      </w:pPr>
      <w:r w:rsidRPr="00A32DC5">
        <w:rPr>
          <w:b/>
        </w:rPr>
        <w:t>IX.</w:t>
      </w:r>
      <w:r w:rsidRPr="00A32DC5">
        <w:rPr>
          <w:b/>
        </w:rPr>
        <w:tab/>
      </w:r>
      <w:r w:rsidRPr="00A32DC5">
        <w:rPr>
          <w:b/>
          <w:u w:val="single"/>
        </w:rPr>
        <w:t>EXHIBIT LIST</w:t>
      </w:r>
    </w:p>
    <w:p w:rsidR="00B37A5B" w:rsidRDefault="00B37A5B" w:rsidP="006E1552">
      <w:pPr>
        <w:jc w:val="both"/>
      </w:pPr>
    </w:p>
    <w:p w:rsidR="006E1552" w:rsidRPr="00701945" w:rsidRDefault="00D878F5" w:rsidP="006E1552">
      <w:pPr>
        <w:jc w:val="both"/>
      </w:pPr>
      <w:r>
        <w:tab/>
      </w:r>
      <w:r w:rsidR="00B37A5B">
        <w:t xml:space="preserve">All exhibits </w:t>
      </w:r>
      <w:r>
        <w:t xml:space="preserve">have been </w:t>
      </w:r>
      <w:r w:rsidR="00B37A5B">
        <w:t>stipulated into the record.</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50"/>
        <w:gridCol w:w="48"/>
        <w:gridCol w:w="1662"/>
        <w:gridCol w:w="18"/>
        <w:gridCol w:w="1482"/>
        <w:gridCol w:w="30"/>
        <w:gridCol w:w="3150"/>
        <w:gridCol w:w="25"/>
      </w:tblGrid>
      <w:tr w:rsidR="006E1552" w:rsidRPr="00701945" w:rsidTr="0007567A">
        <w:trPr>
          <w:cantSplit/>
          <w:trHeight w:val="373"/>
          <w:tblHeader/>
        </w:trPr>
        <w:tc>
          <w:tcPr>
            <w:tcW w:w="3198" w:type="dxa"/>
            <w:gridSpan w:val="2"/>
            <w:tcBorders>
              <w:top w:val="nil"/>
              <w:left w:val="nil"/>
              <w:bottom w:val="nil"/>
              <w:right w:val="nil"/>
            </w:tcBorders>
          </w:tcPr>
          <w:p w:rsidR="006E1552" w:rsidRPr="00701945" w:rsidRDefault="006E1552" w:rsidP="00E40BFA">
            <w:pPr>
              <w:jc w:val="both"/>
            </w:pPr>
            <w:r w:rsidRPr="00701945">
              <w:rPr>
                <w:u w:val="single"/>
              </w:rPr>
              <w:t>Witness</w:t>
            </w:r>
          </w:p>
        </w:tc>
        <w:tc>
          <w:tcPr>
            <w:tcW w:w="1680" w:type="dxa"/>
            <w:gridSpan w:val="2"/>
            <w:tcBorders>
              <w:top w:val="nil"/>
              <w:left w:val="nil"/>
              <w:bottom w:val="nil"/>
              <w:right w:val="nil"/>
            </w:tcBorders>
          </w:tcPr>
          <w:p w:rsidR="006E1552" w:rsidRPr="00701945" w:rsidRDefault="006E1552" w:rsidP="00E40BFA">
            <w:pPr>
              <w:jc w:val="center"/>
            </w:pPr>
            <w:r w:rsidRPr="00701945">
              <w:rPr>
                <w:u w:val="single"/>
              </w:rPr>
              <w:t>Proffered By</w:t>
            </w:r>
          </w:p>
        </w:tc>
        <w:tc>
          <w:tcPr>
            <w:tcW w:w="1482" w:type="dxa"/>
            <w:tcBorders>
              <w:top w:val="nil"/>
              <w:left w:val="nil"/>
              <w:bottom w:val="nil"/>
              <w:right w:val="nil"/>
            </w:tcBorders>
          </w:tcPr>
          <w:p w:rsidR="006E1552" w:rsidRPr="004515FB" w:rsidRDefault="006E1552" w:rsidP="00E40BFA">
            <w:pPr>
              <w:jc w:val="center"/>
            </w:pPr>
          </w:p>
        </w:tc>
        <w:tc>
          <w:tcPr>
            <w:tcW w:w="3205" w:type="dxa"/>
            <w:gridSpan w:val="3"/>
            <w:tcBorders>
              <w:top w:val="nil"/>
              <w:left w:val="nil"/>
              <w:bottom w:val="nil"/>
              <w:right w:val="nil"/>
            </w:tcBorders>
          </w:tcPr>
          <w:p w:rsidR="006E1552" w:rsidRPr="00701945" w:rsidRDefault="006E1552" w:rsidP="00E40BFA">
            <w:pPr>
              <w:jc w:val="both"/>
            </w:pPr>
            <w:r w:rsidRPr="00701945">
              <w:rPr>
                <w:u w:val="single"/>
              </w:rPr>
              <w:t>Description</w:t>
            </w:r>
          </w:p>
        </w:tc>
      </w:tr>
      <w:tr w:rsidR="006E1552" w:rsidRPr="00701945" w:rsidTr="0007567A">
        <w:trPr>
          <w:cantSplit/>
          <w:trHeight w:val="353"/>
        </w:trPr>
        <w:tc>
          <w:tcPr>
            <w:tcW w:w="3198" w:type="dxa"/>
            <w:gridSpan w:val="2"/>
            <w:tcBorders>
              <w:top w:val="nil"/>
              <w:left w:val="nil"/>
              <w:bottom w:val="nil"/>
              <w:right w:val="nil"/>
            </w:tcBorders>
          </w:tcPr>
          <w:p w:rsidR="006E1552" w:rsidRPr="00701945" w:rsidRDefault="006E1552" w:rsidP="00E40BFA">
            <w:pPr>
              <w:jc w:val="both"/>
            </w:pPr>
            <w:r w:rsidRPr="00701945">
              <w:tab/>
            </w:r>
            <w:r w:rsidRPr="00701945">
              <w:rPr>
                <w:u w:val="single"/>
              </w:rPr>
              <w:t>Direct</w:t>
            </w:r>
          </w:p>
        </w:tc>
        <w:tc>
          <w:tcPr>
            <w:tcW w:w="1680" w:type="dxa"/>
            <w:gridSpan w:val="2"/>
            <w:tcBorders>
              <w:top w:val="nil"/>
              <w:left w:val="nil"/>
              <w:bottom w:val="nil"/>
              <w:right w:val="nil"/>
            </w:tcBorders>
          </w:tcPr>
          <w:p w:rsidR="006E1552" w:rsidRPr="00701945" w:rsidRDefault="006E1552" w:rsidP="00E40BFA">
            <w:pPr>
              <w:jc w:val="center"/>
            </w:pPr>
          </w:p>
        </w:tc>
        <w:tc>
          <w:tcPr>
            <w:tcW w:w="1482" w:type="dxa"/>
            <w:tcBorders>
              <w:top w:val="nil"/>
              <w:left w:val="nil"/>
              <w:bottom w:val="nil"/>
              <w:right w:val="nil"/>
            </w:tcBorders>
          </w:tcPr>
          <w:p w:rsidR="006E1552" w:rsidRPr="004515FB" w:rsidRDefault="006E1552" w:rsidP="00E40BFA">
            <w:pPr>
              <w:jc w:val="center"/>
            </w:pPr>
          </w:p>
        </w:tc>
        <w:tc>
          <w:tcPr>
            <w:tcW w:w="3205" w:type="dxa"/>
            <w:gridSpan w:val="3"/>
            <w:tcBorders>
              <w:top w:val="nil"/>
              <w:left w:val="nil"/>
              <w:bottom w:val="nil"/>
              <w:right w:val="nil"/>
            </w:tcBorders>
          </w:tcPr>
          <w:p w:rsidR="006E1552" w:rsidRPr="00701945" w:rsidRDefault="006E1552" w:rsidP="00E40BFA"/>
        </w:tc>
      </w:tr>
      <w:tr w:rsidR="006E1552" w:rsidRPr="00701945" w:rsidTr="0007567A">
        <w:trPr>
          <w:cantSplit/>
          <w:trHeight w:val="726"/>
        </w:trPr>
        <w:tc>
          <w:tcPr>
            <w:tcW w:w="3198" w:type="dxa"/>
            <w:gridSpan w:val="2"/>
            <w:tcBorders>
              <w:top w:val="nil"/>
              <w:left w:val="nil"/>
              <w:bottom w:val="nil"/>
              <w:right w:val="nil"/>
            </w:tcBorders>
          </w:tcPr>
          <w:p w:rsidR="006E1552" w:rsidRPr="00701945" w:rsidRDefault="00477123" w:rsidP="00E40BFA">
            <w:pPr>
              <w:jc w:val="both"/>
            </w:pPr>
            <w:r w:rsidRPr="00C01CC6">
              <w:rPr>
                <w:color w:val="000000"/>
              </w:rPr>
              <w:t>R.B. D</w:t>
            </w:r>
            <w:r>
              <w:rPr>
                <w:color w:val="000000"/>
              </w:rPr>
              <w:t>eaton</w:t>
            </w:r>
          </w:p>
        </w:tc>
        <w:tc>
          <w:tcPr>
            <w:tcW w:w="1680" w:type="dxa"/>
            <w:gridSpan w:val="2"/>
            <w:tcBorders>
              <w:top w:val="nil"/>
              <w:left w:val="nil"/>
              <w:bottom w:val="nil"/>
              <w:right w:val="nil"/>
            </w:tcBorders>
          </w:tcPr>
          <w:p w:rsidR="006E1552" w:rsidRPr="00701945" w:rsidRDefault="00E40BFA" w:rsidP="00E40BFA">
            <w:pPr>
              <w:jc w:val="center"/>
            </w:pPr>
            <w:r>
              <w:t>FPL</w:t>
            </w:r>
          </w:p>
        </w:tc>
        <w:tc>
          <w:tcPr>
            <w:tcW w:w="1482" w:type="dxa"/>
            <w:tcBorders>
              <w:top w:val="nil"/>
              <w:left w:val="nil"/>
              <w:bottom w:val="nil"/>
              <w:right w:val="nil"/>
            </w:tcBorders>
          </w:tcPr>
          <w:p w:rsidR="006E1552" w:rsidRPr="004515FB" w:rsidRDefault="00477123" w:rsidP="00E40BFA">
            <w:pPr>
              <w:jc w:val="center"/>
            </w:pPr>
            <w:r>
              <w:t>RBD-1</w:t>
            </w:r>
          </w:p>
        </w:tc>
        <w:tc>
          <w:tcPr>
            <w:tcW w:w="3205" w:type="dxa"/>
            <w:gridSpan w:val="3"/>
            <w:tcBorders>
              <w:top w:val="nil"/>
              <w:left w:val="nil"/>
              <w:bottom w:val="nil"/>
              <w:right w:val="nil"/>
            </w:tcBorders>
          </w:tcPr>
          <w:p w:rsidR="00483AE9" w:rsidRDefault="00483AE9" w:rsidP="00483AE9">
            <w:pPr>
              <w:rPr>
                <w:color w:val="000000"/>
              </w:rPr>
            </w:pPr>
            <w:r w:rsidRPr="00C01CC6">
              <w:rPr>
                <w:color w:val="000000"/>
              </w:rPr>
              <w:t>Environmental Cost Rec</w:t>
            </w:r>
            <w:r>
              <w:rPr>
                <w:color w:val="000000"/>
              </w:rPr>
              <w:t>overy Final True-up January 2018 - December 2018</w:t>
            </w:r>
            <w:r w:rsidRPr="00C01CC6">
              <w:rPr>
                <w:color w:val="000000"/>
              </w:rPr>
              <w:t xml:space="preserve">  </w:t>
            </w:r>
          </w:p>
          <w:p w:rsidR="006E1552" w:rsidRPr="00701945" w:rsidRDefault="00483AE9" w:rsidP="00483AE9">
            <w:r w:rsidRPr="00C01CC6">
              <w:rPr>
                <w:color w:val="000000"/>
              </w:rPr>
              <w:t>Commission Forms 42-1A through 42-9A</w:t>
            </w:r>
          </w:p>
        </w:tc>
      </w:tr>
      <w:tr w:rsidR="00477123" w:rsidRPr="00701945" w:rsidTr="0007567A">
        <w:trPr>
          <w:cantSplit/>
          <w:trHeight w:val="726"/>
        </w:trPr>
        <w:tc>
          <w:tcPr>
            <w:tcW w:w="3198" w:type="dxa"/>
            <w:gridSpan w:val="2"/>
            <w:tcBorders>
              <w:top w:val="nil"/>
              <w:left w:val="nil"/>
              <w:bottom w:val="nil"/>
              <w:right w:val="nil"/>
            </w:tcBorders>
          </w:tcPr>
          <w:p w:rsidR="00477123" w:rsidRPr="00C01CC6" w:rsidRDefault="00477123" w:rsidP="00E40BFA">
            <w:pPr>
              <w:jc w:val="both"/>
              <w:rPr>
                <w:color w:val="000000"/>
              </w:rPr>
            </w:pPr>
            <w:r w:rsidRPr="00C01CC6">
              <w:rPr>
                <w:color w:val="000000"/>
              </w:rPr>
              <w:lastRenderedPageBreak/>
              <w:t>R.B. D</w:t>
            </w:r>
            <w:r>
              <w:rPr>
                <w:color w:val="000000"/>
              </w:rPr>
              <w:t>eaton</w:t>
            </w:r>
          </w:p>
        </w:tc>
        <w:tc>
          <w:tcPr>
            <w:tcW w:w="1680" w:type="dxa"/>
            <w:gridSpan w:val="2"/>
            <w:tcBorders>
              <w:top w:val="nil"/>
              <w:left w:val="nil"/>
              <w:bottom w:val="nil"/>
              <w:right w:val="nil"/>
            </w:tcBorders>
          </w:tcPr>
          <w:p w:rsidR="00477123" w:rsidRDefault="00477123" w:rsidP="00E40BFA">
            <w:pPr>
              <w:jc w:val="center"/>
            </w:pPr>
            <w:r>
              <w:t>FPL</w:t>
            </w:r>
          </w:p>
        </w:tc>
        <w:tc>
          <w:tcPr>
            <w:tcW w:w="1482" w:type="dxa"/>
            <w:tcBorders>
              <w:top w:val="nil"/>
              <w:left w:val="nil"/>
              <w:bottom w:val="nil"/>
              <w:right w:val="nil"/>
            </w:tcBorders>
          </w:tcPr>
          <w:p w:rsidR="00477123" w:rsidRDefault="00477123" w:rsidP="00E40BFA">
            <w:pPr>
              <w:jc w:val="center"/>
            </w:pPr>
            <w:r>
              <w:t>RBD-2</w:t>
            </w:r>
          </w:p>
        </w:tc>
        <w:tc>
          <w:tcPr>
            <w:tcW w:w="3205" w:type="dxa"/>
            <w:gridSpan w:val="3"/>
            <w:tcBorders>
              <w:top w:val="nil"/>
              <w:left w:val="nil"/>
              <w:bottom w:val="nil"/>
              <w:right w:val="nil"/>
            </w:tcBorders>
          </w:tcPr>
          <w:p w:rsidR="00483AE9" w:rsidRDefault="00483AE9" w:rsidP="00483AE9">
            <w:pPr>
              <w:rPr>
                <w:color w:val="000000"/>
              </w:rPr>
            </w:pPr>
            <w:r w:rsidRPr="00C01CC6">
              <w:rPr>
                <w:color w:val="000000"/>
              </w:rPr>
              <w:t>Environmental Cost Recovery Actual/Estimated True-up January 201</w:t>
            </w:r>
            <w:r>
              <w:rPr>
                <w:color w:val="000000"/>
              </w:rPr>
              <w:t>9 -</w:t>
            </w:r>
            <w:r w:rsidRPr="00C01CC6">
              <w:rPr>
                <w:color w:val="000000"/>
              </w:rPr>
              <w:t xml:space="preserve"> December 201</w:t>
            </w:r>
            <w:r>
              <w:rPr>
                <w:color w:val="000000"/>
              </w:rPr>
              <w:t>9</w:t>
            </w:r>
            <w:r w:rsidRPr="00C01CC6">
              <w:rPr>
                <w:color w:val="000000"/>
              </w:rPr>
              <w:t xml:space="preserve"> </w:t>
            </w:r>
          </w:p>
          <w:p w:rsidR="00477123" w:rsidRPr="00701945" w:rsidRDefault="00483AE9" w:rsidP="00483AE9">
            <w:r w:rsidRPr="00C01CC6">
              <w:rPr>
                <w:color w:val="000000"/>
              </w:rPr>
              <w:t>Commission Forms 42-1E through 42-9E</w:t>
            </w:r>
          </w:p>
        </w:tc>
      </w:tr>
      <w:tr w:rsidR="00477123" w:rsidRPr="00701945" w:rsidTr="0007567A">
        <w:trPr>
          <w:cantSplit/>
          <w:trHeight w:val="726"/>
        </w:trPr>
        <w:tc>
          <w:tcPr>
            <w:tcW w:w="3198" w:type="dxa"/>
            <w:gridSpan w:val="2"/>
            <w:tcBorders>
              <w:top w:val="nil"/>
              <w:left w:val="nil"/>
              <w:bottom w:val="nil"/>
              <w:right w:val="nil"/>
            </w:tcBorders>
          </w:tcPr>
          <w:p w:rsidR="00477123" w:rsidRPr="00C01CC6" w:rsidRDefault="00477123" w:rsidP="00E40BFA">
            <w:pPr>
              <w:jc w:val="both"/>
              <w:rPr>
                <w:color w:val="000000"/>
              </w:rPr>
            </w:pPr>
            <w:r w:rsidRPr="00C01CC6">
              <w:rPr>
                <w:color w:val="000000"/>
              </w:rPr>
              <w:t>R.B. D</w:t>
            </w:r>
            <w:r>
              <w:rPr>
                <w:color w:val="000000"/>
              </w:rPr>
              <w:t>eaton</w:t>
            </w:r>
          </w:p>
        </w:tc>
        <w:tc>
          <w:tcPr>
            <w:tcW w:w="1680" w:type="dxa"/>
            <w:gridSpan w:val="2"/>
            <w:tcBorders>
              <w:top w:val="nil"/>
              <w:left w:val="nil"/>
              <w:bottom w:val="nil"/>
              <w:right w:val="nil"/>
            </w:tcBorders>
          </w:tcPr>
          <w:p w:rsidR="00477123" w:rsidRDefault="00477123" w:rsidP="00E40BFA">
            <w:pPr>
              <w:jc w:val="center"/>
            </w:pPr>
            <w:r>
              <w:t>FPL</w:t>
            </w:r>
          </w:p>
        </w:tc>
        <w:tc>
          <w:tcPr>
            <w:tcW w:w="1482" w:type="dxa"/>
            <w:tcBorders>
              <w:top w:val="nil"/>
              <w:left w:val="nil"/>
              <w:bottom w:val="nil"/>
              <w:right w:val="nil"/>
            </w:tcBorders>
          </w:tcPr>
          <w:p w:rsidR="00477123" w:rsidRDefault="00477123" w:rsidP="00E40BFA">
            <w:pPr>
              <w:jc w:val="center"/>
            </w:pPr>
            <w:r>
              <w:t>RBD-3</w:t>
            </w:r>
          </w:p>
        </w:tc>
        <w:tc>
          <w:tcPr>
            <w:tcW w:w="3205" w:type="dxa"/>
            <w:gridSpan w:val="3"/>
            <w:tcBorders>
              <w:top w:val="nil"/>
              <w:left w:val="nil"/>
              <w:bottom w:val="nil"/>
              <w:right w:val="nil"/>
            </w:tcBorders>
          </w:tcPr>
          <w:p w:rsidR="00477123" w:rsidRPr="00701945" w:rsidRDefault="00483AE9" w:rsidP="00E40BFA">
            <w:r>
              <w:rPr>
                <w:color w:val="000000"/>
              </w:rPr>
              <w:t>Revised Environmental Cost Recovery Capital Schedules for Actual/Estimated True-up January 2019 – December 2019</w:t>
            </w:r>
          </w:p>
        </w:tc>
      </w:tr>
      <w:tr w:rsidR="00477123" w:rsidRPr="00701945" w:rsidTr="0007567A">
        <w:trPr>
          <w:cantSplit/>
          <w:trHeight w:val="726"/>
        </w:trPr>
        <w:tc>
          <w:tcPr>
            <w:tcW w:w="3198" w:type="dxa"/>
            <w:gridSpan w:val="2"/>
            <w:tcBorders>
              <w:top w:val="nil"/>
              <w:left w:val="nil"/>
              <w:bottom w:val="nil"/>
              <w:right w:val="nil"/>
            </w:tcBorders>
          </w:tcPr>
          <w:p w:rsidR="00477123" w:rsidRPr="00C01CC6" w:rsidRDefault="00477123" w:rsidP="00E40BFA">
            <w:pPr>
              <w:jc w:val="both"/>
              <w:rPr>
                <w:color w:val="000000"/>
              </w:rPr>
            </w:pPr>
            <w:r w:rsidRPr="00C01CC6">
              <w:rPr>
                <w:color w:val="000000"/>
              </w:rPr>
              <w:t>R.B. D</w:t>
            </w:r>
            <w:r>
              <w:rPr>
                <w:color w:val="000000"/>
              </w:rPr>
              <w:t>eaton</w:t>
            </w:r>
          </w:p>
        </w:tc>
        <w:tc>
          <w:tcPr>
            <w:tcW w:w="1680" w:type="dxa"/>
            <w:gridSpan w:val="2"/>
            <w:tcBorders>
              <w:top w:val="nil"/>
              <w:left w:val="nil"/>
              <w:bottom w:val="nil"/>
              <w:right w:val="nil"/>
            </w:tcBorders>
          </w:tcPr>
          <w:p w:rsidR="00477123" w:rsidRDefault="00477123" w:rsidP="00E40BFA">
            <w:pPr>
              <w:jc w:val="center"/>
            </w:pPr>
            <w:r>
              <w:t>FPL</w:t>
            </w:r>
          </w:p>
        </w:tc>
        <w:tc>
          <w:tcPr>
            <w:tcW w:w="1482" w:type="dxa"/>
            <w:tcBorders>
              <w:top w:val="nil"/>
              <w:left w:val="nil"/>
              <w:bottom w:val="nil"/>
              <w:right w:val="nil"/>
            </w:tcBorders>
          </w:tcPr>
          <w:p w:rsidR="00477123" w:rsidRDefault="00477123" w:rsidP="00E40BFA">
            <w:pPr>
              <w:jc w:val="center"/>
            </w:pPr>
            <w:r>
              <w:t>RBD-4</w:t>
            </w:r>
          </w:p>
        </w:tc>
        <w:tc>
          <w:tcPr>
            <w:tcW w:w="3205" w:type="dxa"/>
            <w:gridSpan w:val="3"/>
            <w:tcBorders>
              <w:top w:val="nil"/>
              <w:left w:val="nil"/>
              <w:bottom w:val="nil"/>
              <w:right w:val="nil"/>
            </w:tcBorders>
          </w:tcPr>
          <w:p w:rsidR="00483AE9" w:rsidRDefault="00483AE9" w:rsidP="00483AE9">
            <w:pPr>
              <w:rPr>
                <w:color w:val="000000"/>
              </w:rPr>
            </w:pPr>
            <w:r w:rsidRPr="00C01CC6">
              <w:rPr>
                <w:color w:val="000000"/>
              </w:rPr>
              <w:t>Appendix I - Environmental Cost Recovery Projections - January 20</w:t>
            </w:r>
            <w:r>
              <w:rPr>
                <w:color w:val="000000"/>
              </w:rPr>
              <w:t xml:space="preserve">20 - </w:t>
            </w:r>
            <w:r w:rsidRPr="00C01CC6">
              <w:rPr>
                <w:color w:val="000000"/>
              </w:rPr>
              <w:t>December 20</w:t>
            </w:r>
            <w:r>
              <w:rPr>
                <w:color w:val="000000"/>
              </w:rPr>
              <w:t>20</w:t>
            </w:r>
            <w:r w:rsidRPr="00C01CC6">
              <w:rPr>
                <w:color w:val="000000"/>
              </w:rPr>
              <w:t xml:space="preserve"> Commission Forms 42-1P through 42-8P</w:t>
            </w:r>
          </w:p>
          <w:p w:rsidR="00483AE9" w:rsidRDefault="00483AE9" w:rsidP="00483AE9">
            <w:pPr>
              <w:rPr>
                <w:color w:val="000000"/>
              </w:rPr>
            </w:pPr>
          </w:p>
          <w:p w:rsidR="00477123" w:rsidRPr="00701945" w:rsidRDefault="00483AE9" w:rsidP="00483AE9">
            <w:r w:rsidRPr="00C01CC6">
              <w:rPr>
                <w:color w:val="000000"/>
              </w:rPr>
              <w:t>Appendix II - Calculation of Stratified Separation Factors</w:t>
            </w:r>
          </w:p>
        </w:tc>
      </w:tr>
      <w:tr w:rsidR="00483AE9" w:rsidRPr="00701945" w:rsidTr="0007567A">
        <w:trPr>
          <w:cantSplit/>
          <w:trHeight w:val="726"/>
        </w:trPr>
        <w:tc>
          <w:tcPr>
            <w:tcW w:w="3198" w:type="dxa"/>
            <w:gridSpan w:val="2"/>
            <w:tcBorders>
              <w:top w:val="nil"/>
              <w:left w:val="nil"/>
              <w:bottom w:val="nil"/>
              <w:right w:val="nil"/>
            </w:tcBorders>
          </w:tcPr>
          <w:p w:rsidR="00483AE9" w:rsidRPr="00C01CC6" w:rsidRDefault="00483AE9" w:rsidP="00E40BFA">
            <w:pPr>
              <w:jc w:val="both"/>
              <w:rPr>
                <w:color w:val="000000"/>
              </w:rPr>
            </w:pPr>
            <w:r w:rsidRPr="00C01CC6">
              <w:rPr>
                <w:color w:val="000000"/>
              </w:rPr>
              <w:t>M.W. S</w:t>
            </w:r>
            <w:r>
              <w:rPr>
                <w:color w:val="000000"/>
              </w:rPr>
              <w:t>ole</w:t>
            </w:r>
          </w:p>
        </w:tc>
        <w:tc>
          <w:tcPr>
            <w:tcW w:w="1680" w:type="dxa"/>
            <w:gridSpan w:val="2"/>
            <w:tcBorders>
              <w:top w:val="nil"/>
              <w:left w:val="nil"/>
              <w:bottom w:val="nil"/>
              <w:right w:val="nil"/>
            </w:tcBorders>
          </w:tcPr>
          <w:p w:rsidR="00483AE9" w:rsidRDefault="00483AE9" w:rsidP="00E40BFA">
            <w:pPr>
              <w:jc w:val="center"/>
            </w:pPr>
            <w:r>
              <w:t>FPL</w:t>
            </w:r>
          </w:p>
        </w:tc>
        <w:tc>
          <w:tcPr>
            <w:tcW w:w="1482" w:type="dxa"/>
            <w:tcBorders>
              <w:top w:val="nil"/>
              <w:left w:val="nil"/>
              <w:bottom w:val="nil"/>
              <w:right w:val="nil"/>
            </w:tcBorders>
          </w:tcPr>
          <w:p w:rsidR="00483AE9" w:rsidRDefault="00483AE9" w:rsidP="00E40BFA">
            <w:pPr>
              <w:jc w:val="center"/>
            </w:pPr>
            <w:r>
              <w:t>MWS-1</w:t>
            </w:r>
          </w:p>
        </w:tc>
        <w:tc>
          <w:tcPr>
            <w:tcW w:w="3205" w:type="dxa"/>
            <w:gridSpan w:val="3"/>
            <w:tcBorders>
              <w:top w:val="nil"/>
              <w:left w:val="nil"/>
              <w:bottom w:val="nil"/>
              <w:right w:val="nil"/>
            </w:tcBorders>
          </w:tcPr>
          <w:p w:rsidR="00483AE9" w:rsidRPr="00C01CC6" w:rsidRDefault="00483AE9" w:rsidP="00483AE9">
            <w:pPr>
              <w:rPr>
                <w:color w:val="000000"/>
              </w:rPr>
            </w:pPr>
            <w:r w:rsidRPr="00C01CC6">
              <w:rPr>
                <w:color w:val="000000"/>
              </w:rPr>
              <w:t>FPL Supplemental CAIR/MATS/CAVR Filing</w:t>
            </w:r>
          </w:p>
        </w:tc>
      </w:tr>
      <w:tr w:rsidR="006E1552" w:rsidRPr="00701945" w:rsidTr="0007567A">
        <w:trPr>
          <w:cantSplit/>
          <w:trHeight w:val="353"/>
        </w:trPr>
        <w:tc>
          <w:tcPr>
            <w:tcW w:w="3198" w:type="dxa"/>
            <w:gridSpan w:val="2"/>
            <w:tcBorders>
              <w:top w:val="nil"/>
              <w:left w:val="nil"/>
              <w:bottom w:val="nil"/>
              <w:right w:val="nil"/>
            </w:tcBorders>
          </w:tcPr>
          <w:p w:rsidR="006E1552" w:rsidRPr="00701945" w:rsidRDefault="00E34217" w:rsidP="00E40BFA">
            <w:pPr>
              <w:jc w:val="both"/>
            </w:pPr>
            <w:r>
              <w:t>C.S. Boyett</w:t>
            </w:r>
          </w:p>
        </w:tc>
        <w:tc>
          <w:tcPr>
            <w:tcW w:w="1680" w:type="dxa"/>
            <w:gridSpan w:val="2"/>
            <w:tcBorders>
              <w:top w:val="nil"/>
              <w:left w:val="nil"/>
              <w:bottom w:val="nil"/>
              <w:right w:val="nil"/>
            </w:tcBorders>
          </w:tcPr>
          <w:p w:rsidR="006E1552" w:rsidRPr="00701945" w:rsidRDefault="00E40BFA" w:rsidP="00C17FEF">
            <w:pPr>
              <w:jc w:val="center"/>
            </w:pPr>
            <w:r>
              <w:t>G</w:t>
            </w:r>
            <w:r w:rsidR="00C17FEF">
              <w:t>ulf</w:t>
            </w:r>
          </w:p>
        </w:tc>
        <w:tc>
          <w:tcPr>
            <w:tcW w:w="1482" w:type="dxa"/>
            <w:tcBorders>
              <w:top w:val="nil"/>
              <w:left w:val="nil"/>
              <w:bottom w:val="nil"/>
              <w:right w:val="nil"/>
            </w:tcBorders>
          </w:tcPr>
          <w:p w:rsidR="006E1552" w:rsidRPr="004515FB" w:rsidRDefault="0097710F" w:rsidP="00E40BFA">
            <w:pPr>
              <w:jc w:val="center"/>
            </w:pPr>
            <w:r>
              <w:t>CSB-1</w:t>
            </w:r>
          </w:p>
        </w:tc>
        <w:tc>
          <w:tcPr>
            <w:tcW w:w="3205" w:type="dxa"/>
            <w:gridSpan w:val="3"/>
            <w:tcBorders>
              <w:top w:val="nil"/>
              <w:left w:val="nil"/>
              <w:bottom w:val="nil"/>
              <w:right w:val="nil"/>
            </w:tcBorders>
          </w:tcPr>
          <w:p w:rsidR="006E1552" w:rsidRPr="00701945" w:rsidRDefault="00C9603A" w:rsidP="00E40BFA">
            <w:r>
              <w:t>Calculation of Final True-Up 1/18 – 12/18</w:t>
            </w:r>
          </w:p>
        </w:tc>
      </w:tr>
      <w:tr w:rsidR="00E34217" w:rsidRPr="00701945" w:rsidTr="0007567A">
        <w:trPr>
          <w:cantSplit/>
          <w:trHeight w:val="353"/>
        </w:trPr>
        <w:tc>
          <w:tcPr>
            <w:tcW w:w="3198" w:type="dxa"/>
            <w:gridSpan w:val="2"/>
            <w:tcBorders>
              <w:top w:val="nil"/>
              <w:left w:val="nil"/>
              <w:bottom w:val="nil"/>
              <w:right w:val="nil"/>
            </w:tcBorders>
          </w:tcPr>
          <w:p w:rsidR="00E34217" w:rsidRPr="00701945" w:rsidRDefault="00E34217" w:rsidP="00E40BFA">
            <w:pPr>
              <w:jc w:val="both"/>
            </w:pPr>
            <w:r>
              <w:t>C.S. Boyett</w:t>
            </w:r>
          </w:p>
        </w:tc>
        <w:tc>
          <w:tcPr>
            <w:tcW w:w="1680" w:type="dxa"/>
            <w:gridSpan w:val="2"/>
            <w:tcBorders>
              <w:top w:val="nil"/>
              <w:left w:val="nil"/>
              <w:bottom w:val="nil"/>
              <w:right w:val="nil"/>
            </w:tcBorders>
          </w:tcPr>
          <w:p w:rsidR="00E34217" w:rsidRDefault="00E34217" w:rsidP="00C17FEF">
            <w:pPr>
              <w:jc w:val="center"/>
            </w:pPr>
            <w:r>
              <w:t>G</w:t>
            </w:r>
            <w:r w:rsidR="00C17FEF">
              <w:t>ulf</w:t>
            </w:r>
          </w:p>
        </w:tc>
        <w:tc>
          <w:tcPr>
            <w:tcW w:w="1482" w:type="dxa"/>
            <w:tcBorders>
              <w:top w:val="nil"/>
              <w:left w:val="nil"/>
              <w:bottom w:val="nil"/>
              <w:right w:val="nil"/>
            </w:tcBorders>
          </w:tcPr>
          <w:p w:rsidR="00E34217" w:rsidRPr="004515FB" w:rsidRDefault="0097710F" w:rsidP="00E40BFA">
            <w:pPr>
              <w:jc w:val="center"/>
            </w:pPr>
            <w:r>
              <w:t>CSB-2</w:t>
            </w:r>
          </w:p>
        </w:tc>
        <w:tc>
          <w:tcPr>
            <w:tcW w:w="3205" w:type="dxa"/>
            <w:gridSpan w:val="3"/>
            <w:tcBorders>
              <w:top w:val="nil"/>
              <w:left w:val="nil"/>
              <w:bottom w:val="nil"/>
              <w:right w:val="nil"/>
            </w:tcBorders>
          </w:tcPr>
          <w:p w:rsidR="00E34217" w:rsidRPr="00701945" w:rsidRDefault="00C9603A" w:rsidP="00E40BFA">
            <w:r>
              <w:t>Calculation of Estimated True-Up 1/19 – 12/19</w:t>
            </w:r>
          </w:p>
        </w:tc>
      </w:tr>
      <w:tr w:rsidR="00E34217" w:rsidRPr="00701945" w:rsidTr="0007567A">
        <w:trPr>
          <w:cantSplit/>
          <w:trHeight w:val="353"/>
        </w:trPr>
        <w:tc>
          <w:tcPr>
            <w:tcW w:w="3198" w:type="dxa"/>
            <w:gridSpan w:val="2"/>
            <w:tcBorders>
              <w:top w:val="nil"/>
              <w:left w:val="nil"/>
              <w:bottom w:val="nil"/>
              <w:right w:val="nil"/>
            </w:tcBorders>
          </w:tcPr>
          <w:p w:rsidR="00E34217" w:rsidRPr="00701945" w:rsidRDefault="00E34217" w:rsidP="00E40BFA">
            <w:pPr>
              <w:jc w:val="both"/>
            </w:pPr>
            <w:r>
              <w:t>C.S. Boyett</w:t>
            </w:r>
          </w:p>
        </w:tc>
        <w:tc>
          <w:tcPr>
            <w:tcW w:w="1680" w:type="dxa"/>
            <w:gridSpan w:val="2"/>
            <w:tcBorders>
              <w:top w:val="nil"/>
              <w:left w:val="nil"/>
              <w:bottom w:val="nil"/>
              <w:right w:val="nil"/>
            </w:tcBorders>
          </w:tcPr>
          <w:p w:rsidR="00E34217" w:rsidRDefault="00E34217" w:rsidP="00C17FEF">
            <w:pPr>
              <w:jc w:val="center"/>
            </w:pPr>
            <w:r>
              <w:t>G</w:t>
            </w:r>
            <w:r w:rsidR="00C17FEF">
              <w:t>ulf</w:t>
            </w:r>
          </w:p>
        </w:tc>
        <w:tc>
          <w:tcPr>
            <w:tcW w:w="1482" w:type="dxa"/>
            <w:tcBorders>
              <w:top w:val="nil"/>
              <w:left w:val="nil"/>
              <w:bottom w:val="nil"/>
              <w:right w:val="nil"/>
            </w:tcBorders>
          </w:tcPr>
          <w:p w:rsidR="00E34217" w:rsidRPr="004515FB" w:rsidRDefault="0097710F" w:rsidP="00E40BFA">
            <w:pPr>
              <w:jc w:val="center"/>
            </w:pPr>
            <w:r>
              <w:t>CSB-3</w:t>
            </w:r>
          </w:p>
        </w:tc>
        <w:tc>
          <w:tcPr>
            <w:tcW w:w="3205" w:type="dxa"/>
            <w:gridSpan w:val="3"/>
            <w:tcBorders>
              <w:top w:val="nil"/>
              <w:left w:val="nil"/>
              <w:bottom w:val="nil"/>
              <w:right w:val="nil"/>
            </w:tcBorders>
          </w:tcPr>
          <w:p w:rsidR="00E34217" w:rsidRPr="00701945" w:rsidRDefault="00C9603A" w:rsidP="00E40BFA">
            <w:r>
              <w:t>Calculation of Projection 1/20 – 12/20</w:t>
            </w:r>
          </w:p>
        </w:tc>
      </w:tr>
      <w:tr w:rsidR="00E34217" w:rsidRPr="00701945" w:rsidTr="0007567A">
        <w:trPr>
          <w:cantSplit/>
          <w:trHeight w:val="353"/>
        </w:trPr>
        <w:tc>
          <w:tcPr>
            <w:tcW w:w="3198" w:type="dxa"/>
            <w:gridSpan w:val="2"/>
            <w:tcBorders>
              <w:top w:val="nil"/>
              <w:left w:val="nil"/>
              <w:bottom w:val="nil"/>
              <w:right w:val="nil"/>
            </w:tcBorders>
          </w:tcPr>
          <w:p w:rsidR="00E34217" w:rsidRPr="00701945" w:rsidRDefault="00E34217" w:rsidP="00E40BFA">
            <w:pPr>
              <w:jc w:val="both"/>
            </w:pPr>
            <w:r>
              <w:t>C.S. Boyett</w:t>
            </w:r>
          </w:p>
        </w:tc>
        <w:tc>
          <w:tcPr>
            <w:tcW w:w="1680" w:type="dxa"/>
            <w:gridSpan w:val="2"/>
            <w:tcBorders>
              <w:top w:val="nil"/>
              <w:left w:val="nil"/>
              <w:bottom w:val="nil"/>
              <w:right w:val="nil"/>
            </w:tcBorders>
          </w:tcPr>
          <w:p w:rsidR="00E34217" w:rsidRDefault="00E34217" w:rsidP="00C17FEF">
            <w:pPr>
              <w:jc w:val="center"/>
            </w:pPr>
            <w:r>
              <w:t>G</w:t>
            </w:r>
            <w:r w:rsidR="00C17FEF">
              <w:t>ulf</w:t>
            </w:r>
          </w:p>
        </w:tc>
        <w:tc>
          <w:tcPr>
            <w:tcW w:w="1482" w:type="dxa"/>
            <w:tcBorders>
              <w:top w:val="nil"/>
              <w:left w:val="nil"/>
              <w:bottom w:val="nil"/>
              <w:right w:val="nil"/>
            </w:tcBorders>
          </w:tcPr>
          <w:p w:rsidR="00E34217" w:rsidRPr="004515FB" w:rsidRDefault="0097710F" w:rsidP="00E40BFA">
            <w:pPr>
              <w:jc w:val="center"/>
            </w:pPr>
            <w:r>
              <w:t>CSB-4</w:t>
            </w:r>
          </w:p>
        </w:tc>
        <w:tc>
          <w:tcPr>
            <w:tcW w:w="3205" w:type="dxa"/>
            <w:gridSpan w:val="3"/>
            <w:tcBorders>
              <w:top w:val="nil"/>
              <w:left w:val="nil"/>
              <w:bottom w:val="nil"/>
              <w:right w:val="nil"/>
            </w:tcBorders>
          </w:tcPr>
          <w:p w:rsidR="00E34217" w:rsidRPr="00701945" w:rsidRDefault="00C9603A" w:rsidP="00E40BFA">
            <w:r>
              <w:t>Recalculation of Estimated True-Up (Revised Cost of Capital) 1/19 – 12/19</w:t>
            </w:r>
          </w:p>
        </w:tc>
      </w:tr>
      <w:tr w:rsidR="00E34217" w:rsidRPr="00701945" w:rsidTr="0007567A">
        <w:trPr>
          <w:cantSplit/>
          <w:trHeight w:val="353"/>
        </w:trPr>
        <w:tc>
          <w:tcPr>
            <w:tcW w:w="3198" w:type="dxa"/>
            <w:gridSpan w:val="2"/>
            <w:tcBorders>
              <w:top w:val="nil"/>
              <w:left w:val="nil"/>
              <w:bottom w:val="nil"/>
              <w:right w:val="nil"/>
            </w:tcBorders>
          </w:tcPr>
          <w:p w:rsidR="00E34217" w:rsidRPr="00701945" w:rsidRDefault="0097710F" w:rsidP="00E40BFA">
            <w:pPr>
              <w:jc w:val="both"/>
            </w:pPr>
            <w:r>
              <w:t>R. M. Markey</w:t>
            </w:r>
          </w:p>
        </w:tc>
        <w:tc>
          <w:tcPr>
            <w:tcW w:w="1680" w:type="dxa"/>
            <w:gridSpan w:val="2"/>
            <w:tcBorders>
              <w:top w:val="nil"/>
              <w:left w:val="nil"/>
              <w:bottom w:val="nil"/>
              <w:right w:val="nil"/>
            </w:tcBorders>
          </w:tcPr>
          <w:p w:rsidR="00E34217" w:rsidRDefault="0097710F" w:rsidP="00C17FEF">
            <w:pPr>
              <w:jc w:val="center"/>
            </w:pPr>
            <w:r>
              <w:t>G</w:t>
            </w:r>
            <w:r w:rsidR="00C17FEF">
              <w:t>ulf</w:t>
            </w:r>
          </w:p>
        </w:tc>
        <w:tc>
          <w:tcPr>
            <w:tcW w:w="1482" w:type="dxa"/>
            <w:tcBorders>
              <w:top w:val="nil"/>
              <w:left w:val="nil"/>
              <w:bottom w:val="nil"/>
              <w:right w:val="nil"/>
            </w:tcBorders>
          </w:tcPr>
          <w:p w:rsidR="00E34217" w:rsidRPr="004515FB" w:rsidRDefault="0097710F" w:rsidP="00E40BFA">
            <w:pPr>
              <w:jc w:val="center"/>
            </w:pPr>
            <w:r>
              <w:t>RMM-1</w:t>
            </w:r>
          </w:p>
        </w:tc>
        <w:tc>
          <w:tcPr>
            <w:tcW w:w="3205" w:type="dxa"/>
            <w:gridSpan w:val="3"/>
            <w:tcBorders>
              <w:top w:val="nil"/>
              <w:left w:val="nil"/>
              <w:bottom w:val="nil"/>
              <w:right w:val="nil"/>
            </w:tcBorders>
          </w:tcPr>
          <w:p w:rsidR="00E34217" w:rsidRPr="00701945" w:rsidRDefault="00C9603A" w:rsidP="00E40BFA">
            <w:r>
              <w:t>Schedule 5P – Description and Progress Report of Enviro</w:t>
            </w:r>
            <w:r w:rsidR="00FF7061">
              <w:t>n</w:t>
            </w:r>
            <w:r>
              <w:t>mental Compliance Activities and Projects</w:t>
            </w:r>
          </w:p>
        </w:tc>
      </w:tr>
      <w:tr w:rsidR="006E1552" w:rsidRPr="00701945" w:rsidTr="0007567A">
        <w:trPr>
          <w:cantSplit/>
          <w:trHeight w:val="373"/>
        </w:trPr>
        <w:tc>
          <w:tcPr>
            <w:tcW w:w="3198" w:type="dxa"/>
            <w:gridSpan w:val="2"/>
            <w:tcBorders>
              <w:top w:val="nil"/>
              <w:left w:val="nil"/>
              <w:bottom w:val="nil"/>
              <w:right w:val="nil"/>
            </w:tcBorders>
          </w:tcPr>
          <w:p w:rsidR="006E1552" w:rsidRPr="00701945" w:rsidRDefault="00E40BFA" w:rsidP="00E40BFA">
            <w:pPr>
              <w:jc w:val="both"/>
            </w:pPr>
            <w:r w:rsidRPr="00B41239">
              <w:t>Christopher Menendez</w:t>
            </w:r>
          </w:p>
        </w:tc>
        <w:tc>
          <w:tcPr>
            <w:tcW w:w="1680" w:type="dxa"/>
            <w:gridSpan w:val="2"/>
            <w:tcBorders>
              <w:top w:val="nil"/>
              <w:left w:val="nil"/>
              <w:bottom w:val="nil"/>
              <w:right w:val="nil"/>
            </w:tcBorders>
          </w:tcPr>
          <w:p w:rsidR="006E1552" w:rsidRPr="00701945" w:rsidRDefault="00E40BFA" w:rsidP="00E40BFA">
            <w:pPr>
              <w:jc w:val="center"/>
            </w:pPr>
            <w:r>
              <w:t>DEF</w:t>
            </w:r>
          </w:p>
        </w:tc>
        <w:tc>
          <w:tcPr>
            <w:tcW w:w="1482" w:type="dxa"/>
            <w:tcBorders>
              <w:top w:val="nil"/>
              <w:left w:val="nil"/>
              <w:bottom w:val="nil"/>
              <w:right w:val="nil"/>
            </w:tcBorders>
          </w:tcPr>
          <w:p w:rsidR="006E1552" w:rsidRPr="004515FB" w:rsidRDefault="00E40BFA" w:rsidP="00E40BFA">
            <w:pPr>
              <w:jc w:val="center"/>
            </w:pPr>
            <w:r>
              <w:t>CAM-1</w:t>
            </w:r>
          </w:p>
        </w:tc>
        <w:tc>
          <w:tcPr>
            <w:tcW w:w="3205" w:type="dxa"/>
            <w:gridSpan w:val="3"/>
            <w:tcBorders>
              <w:top w:val="nil"/>
              <w:left w:val="nil"/>
              <w:bottom w:val="nil"/>
              <w:right w:val="nil"/>
            </w:tcBorders>
          </w:tcPr>
          <w:p w:rsidR="006E1552" w:rsidRPr="00701945" w:rsidRDefault="00E40BFA" w:rsidP="00E40BFA">
            <w:r w:rsidRPr="00166E94">
              <w:t>Forms 42-1A - 42-9A January 2018 – December 2018</w:t>
            </w:r>
          </w:p>
        </w:tc>
      </w:tr>
      <w:tr w:rsidR="006E1552" w:rsidRPr="00701945" w:rsidTr="0007567A">
        <w:trPr>
          <w:cantSplit/>
          <w:trHeight w:val="353"/>
        </w:trPr>
        <w:tc>
          <w:tcPr>
            <w:tcW w:w="3198" w:type="dxa"/>
            <w:gridSpan w:val="2"/>
            <w:tcBorders>
              <w:top w:val="nil"/>
              <w:left w:val="nil"/>
              <w:bottom w:val="nil"/>
              <w:right w:val="nil"/>
            </w:tcBorders>
          </w:tcPr>
          <w:p w:rsidR="006E1552" w:rsidRPr="00701945" w:rsidRDefault="00E40BFA" w:rsidP="00E40BFA">
            <w:pPr>
              <w:jc w:val="both"/>
            </w:pPr>
            <w:r w:rsidRPr="00B41239">
              <w:lastRenderedPageBreak/>
              <w:t>Christopher Menendez</w:t>
            </w:r>
          </w:p>
        </w:tc>
        <w:tc>
          <w:tcPr>
            <w:tcW w:w="1680" w:type="dxa"/>
            <w:gridSpan w:val="2"/>
            <w:tcBorders>
              <w:top w:val="nil"/>
              <w:left w:val="nil"/>
              <w:bottom w:val="nil"/>
              <w:right w:val="nil"/>
            </w:tcBorders>
          </w:tcPr>
          <w:p w:rsidR="006E1552" w:rsidRPr="00701945" w:rsidRDefault="00E40BFA" w:rsidP="00E40BFA">
            <w:pPr>
              <w:jc w:val="center"/>
            </w:pPr>
            <w:r>
              <w:t>DEF</w:t>
            </w:r>
          </w:p>
        </w:tc>
        <w:tc>
          <w:tcPr>
            <w:tcW w:w="1482" w:type="dxa"/>
            <w:tcBorders>
              <w:top w:val="nil"/>
              <w:left w:val="nil"/>
              <w:bottom w:val="nil"/>
              <w:right w:val="nil"/>
            </w:tcBorders>
          </w:tcPr>
          <w:p w:rsidR="006E1552" w:rsidRPr="004515FB" w:rsidRDefault="00E40BFA" w:rsidP="00E40BFA">
            <w:pPr>
              <w:jc w:val="center"/>
            </w:pPr>
            <w:r>
              <w:t>CAM-2</w:t>
            </w:r>
          </w:p>
        </w:tc>
        <w:tc>
          <w:tcPr>
            <w:tcW w:w="3205" w:type="dxa"/>
            <w:gridSpan w:val="3"/>
            <w:tcBorders>
              <w:top w:val="nil"/>
              <w:left w:val="nil"/>
              <w:bottom w:val="nil"/>
              <w:right w:val="nil"/>
            </w:tcBorders>
          </w:tcPr>
          <w:p w:rsidR="00E40BFA" w:rsidRPr="00166E94" w:rsidRDefault="00E40BFA" w:rsidP="00E40BFA">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166E94">
              <w:t>Capital Program Detail</w:t>
            </w:r>
          </w:p>
          <w:p w:rsidR="006E1552" w:rsidRPr="00701945" w:rsidRDefault="00E40BFA" w:rsidP="00E40BFA">
            <w:r w:rsidRPr="00166E94">
              <w:t>January 2018– December 2018</w:t>
            </w:r>
          </w:p>
        </w:tc>
      </w:tr>
      <w:tr w:rsidR="006E1552" w:rsidRPr="00701945" w:rsidTr="0007567A">
        <w:trPr>
          <w:cantSplit/>
          <w:trHeight w:val="353"/>
        </w:trPr>
        <w:tc>
          <w:tcPr>
            <w:tcW w:w="3198" w:type="dxa"/>
            <w:gridSpan w:val="2"/>
            <w:tcBorders>
              <w:top w:val="nil"/>
              <w:left w:val="nil"/>
              <w:bottom w:val="nil"/>
              <w:right w:val="nil"/>
            </w:tcBorders>
          </w:tcPr>
          <w:p w:rsidR="006E1552" w:rsidRPr="00701945" w:rsidRDefault="00E40BFA" w:rsidP="00E40BFA">
            <w:pPr>
              <w:jc w:val="both"/>
            </w:pPr>
            <w:r w:rsidRPr="00B41239">
              <w:t>Christopher Menendez</w:t>
            </w:r>
          </w:p>
        </w:tc>
        <w:tc>
          <w:tcPr>
            <w:tcW w:w="1680" w:type="dxa"/>
            <w:gridSpan w:val="2"/>
            <w:tcBorders>
              <w:top w:val="nil"/>
              <w:left w:val="nil"/>
              <w:bottom w:val="nil"/>
              <w:right w:val="nil"/>
            </w:tcBorders>
          </w:tcPr>
          <w:p w:rsidR="006E1552" w:rsidRPr="00701945" w:rsidRDefault="00E40BFA" w:rsidP="00E40BFA">
            <w:pPr>
              <w:jc w:val="center"/>
            </w:pPr>
            <w:r>
              <w:t>DEF</w:t>
            </w:r>
          </w:p>
        </w:tc>
        <w:tc>
          <w:tcPr>
            <w:tcW w:w="1482" w:type="dxa"/>
            <w:tcBorders>
              <w:top w:val="nil"/>
              <w:left w:val="nil"/>
              <w:bottom w:val="nil"/>
              <w:right w:val="nil"/>
            </w:tcBorders>
          </w:tcPr>
          <w:p w:rsidR="006E1552" w:rsidRPr="004515FB" w:rsidRDefault="00E40BFA" w:rsidP="00E40BFA">
            <w:pPr>
              <w:jc w:val="center"/>
            </w:pPr>
            <w:r>
              <w:t>CAM-3</w:t>
            </w:r>
          </w:p>
        </w:tc>
        <w:tc>
          <w:tcPr>
            <w:tcW w:w="3205" w:type="dxa"/>
            <w:gridSpan w:val="3"/>
            <w:tcBorders>
              <w:top w:val="nil"/>
              <w:left w:val="nil"/>
              <w:bottom w:val="nil"/>
              <w:right w:val="nil"/>
            </w:tcBorders>
          </w:tcPr>
          <w:p w:rsidR="00E40BFA" w:rsidRPr="00B41239" w:rsidRDefault="00E40BFA" w:rsidP="00E40BFA">
            <w:pPr>
              <w:autoSpaceDE w:val="0"/>
              <w:autoSpaceDN w:val="0"/>
              <w:adjustRightInd w:val="0"/>
              <w:ind w:left="720" w:hanging="720"/>
            </w:pPr>
            <w:r w:rsidRPr="00B41239">
              <w:t>Forms 42-1E – 42-9E</w:t>
            </w:r>
          </w:p>
          <w:p w:rsidR="006E1552" w:rsidRPr="00701945" w:rsidRDefault="00E40BFA" w:rsidP="00E40BFA">
            <w:r w:rsidRPr="00B41239">
              <w:t>January 2019– December 2019</w:t>
            </w:r>
          </w:p>
        </w:tc>
      </w:tr>
      <w:tr w:rsidR="006E1552" w:rsidRPr="00701945" w:rsidTr="0007567A">
        <w:trPr>
          <w:cantSplit/>
          <w:trHeight w:val="373"/>
        </w:trPr>
        <w:tc>
          <w:tcPr>
            <w:tcW w:w="3198" w:type="dxa"/>
            <w:gridSpan w:val="2"/>
            <w:tcBorders>
              <w:top w:val="nil"/>
              <w:left w:val="nil"/>
              <w:bottom w:val="nil"/>
              <w:right w:val="nil"/>
            </w:tcBorders>
          </w:tcPr>
          <w:p w:rsidR="006E1552" w:rsidRPr="00701945" w:rsidRDefault="00E40BFA" w:rsidP="00E40BFA">
            <w:pPr>
              <w:jc w:val="both"/>
            </w:pPr>
            <w:r w:rsidRPr="00B41239">
              <w:t>Christopher Menendez</w:t>
            </w:r>
          </w:p>
        </w:tc>
        <w:tc>
          <w:tcPr>
            <w:tcW w:w="1680" w:type="dxa"/>
            <w:gridSpan w:val="2"/>
            <w:tcBorders>
              <w:top w:val="nil"/>
              <w:left w:val="nil"/>
              <w:bottom w:val="nil"/>
              <w:right w:val="nil"/>
            </w:tcBorders>
          </w:tcPr>
          <w:p w:rsidR="006E1552" w:rsidRPr="00701945" w:rsidRDefault="00E40BFA" w:rsidP="00E40BFA">
            <w:pPr>
              <w:jc w:val="center"/>
            </w:pPr>
            <w:r>
              <w:t>DEF</w:t>
            </w:r>
          </w:p>
        </w:tc>
        <w:tc>
          <w:tcPr>
            <w:tcW w:w="1482" w:type="dxa"/>
            <w:tcBorders>
              <w:top w:val="nil"/>
              <w:left w:val="nil"/>
              <w:bottom w:val="nil"/>
              <w:right w:val="nil"/>
            </w:tcBorders>
          </w:tcPr>
          <w:p w:rsidR="006E1552" w:rsidRPr="004515FB" w:rsidRDefault="00E40BFA" w:rsidP="00E40BFA">
            <w:pPr>
              <w:jc w:val="center"/>
            </w:pPr>
            <w:r>
              <w:t>CAM-4</w:t>
            </w:r>
          </w:p>
        </w:tc>
        <w:tc>
          <w:tcPr>
            <w:tcW w:w="3205" w:type="dxa"/>
            <w:gridSpan w:val="3"/>
            <w:tcBorders>
              <w:top w:val="nil"/>
              <w:left w:val="nil"/>
              <w:bottom w:val="nil"/>
              <w:right w:val="nil"/>
            </w:tcBorders>
          </w:tcPr>
          <w:p w:rsidR="00E40BFA" w:rsidRPr="00B41239" w:rsidRDefault="00E40BFA" w:rsidP="00E40BFA">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B41239">
              <w:t>Capital Program Detail</w:t>
            </w:r>
          </w:p>
          <w:p w:rsidR="006E1552" w:rsidRPr="00701945" w:rsidRDefault="00E40BFA" w:rsidP="00E40BFA">
            <w:r w:rsidRPr="00B41239">
              <w:t>January 2019 – December 2019</w:t>
            </w:r>
          </w:p>
        </w:tc>
      </w:tr>
      <w:tr w:rsidR="006E1552" w:rsidRPr="00701945" w:rsidTr="0007567A">
        <w:trPr>
          <w:cantSplit/>
          <w:trHeight w:val="353"/>
        </w:trPr>
        <w:tc>
          <w:tcPr>
            <w:tcW w:w="3198" w:type="dxa"/>
            <w:gridSpan w:val="2"/>
            <w:tcBorders>
              <w:top w:val="nil"/>
              <w:left w:val="nil"/>
              <w:bottom w:val="nil"/>
              <w:right w:val="nil"/>
            </w:tcBorders>
          </w:tcPr>
          <w:p w:rsidR="006E1552" w:rsidRPr="00701945" w:rsidRDefault="00E40BFA" w:rsidP="00E40BFA">
            <w:pPr>
              <w:jc w:val="both"/>
            </w:pPr>
            <w:r w:rsidRPr="00B41239">
              <w:t>Christopher Menendez</w:t>
            </w:r>
          </w:p>
        </w:tc>
        <w:tc>
          <w:tcPr>
            <w:tcW w:w="1680" w:type="dxa"/>
            <w:gridSpan w:val="2"/>
            <w:tcBorders>
              <w:top w:val="nil"/>
              <w:left w:val="nil"/>
              <w:bottom w:val="nil"/>
              <w:right w:val="nil"/>
            </w:tcBorders>
          </w:tcPr>
          <w:p w:rsidR="006E1552" w:rsidRPr="00701945" w:rsidRDefault="00E40BFA" w:rsidP="00E40BFA">
            <w:pPr>
              <w:jc w:val="center"/>
            </w:pPr>
            <w:r>
              <w:t>DEF</w:t>
            </w:r>
          </w:p>
        </w:tc>
        <w:tc>
          <w:tcPr>
            <w:tcW w:w="1482" w:type="dxa"/>
            <w:tcBorders>
              <w:top w:val="nil"/>
              <w:left w:val="nil"/>
              <w:bottom w:val="nil"/>
              <w:right w:val="nil"/>
            </w:tcBorders>
          </w:tcPr>
          <w:p w:rsidR="006E1552" w:rsidRPr="004515FB" w:rsidRDefault="00E40BFA" w:rsidP="00E40BFA">
            <w:pPr>
              <w:jc w:val="center"/>
            </w:pPr>
            <w:r>
              <w:t>CAM-5</w:t>
            </w:r>
          </w:p>
        </w:tc>
        <w:tc>
          <w:tcPr>
            <w:tcW w:w="3205" w:type="dxa"/>
            <w:gridSpan w:val="3"/>
            <w:tcBorders>
              <w:top w:val="nil"/>
              <w:left w:val="nil"/>
              <w:bottom w:val="nil"/>
              <w:right w:val="nil"/>
            </w:tcBorders>
          </w:tcPr>
          <w:p w:rsidR="00E40BFA" w:rsidRPr="00FE1CEE" w:rsidRDefault="00E40BFA" w:rsidP="00E40BFA">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FE1CEE">
              <w:t>Forms 42-1P – 42-8P</w:t>
            </w:r>
          </w:p>
          <w:p w:rsidR="006E1552" w:rsidRPr="00701945" w:rsidRDefault="00E40BFA" w:rsidP="00E40BFA">
            <w:r w:rsidRPr="00FE1CEE">
              <w:t>January 2020– December 2020</w:t>
            </w:r>
          </w:p>
        </w:tc>
      </w:tr>
      <w:tr w:rsidR="006E1552" w:rsidRPr="00701945" w:rsidTr="0007567A">
        <w:trPr>
          <w:cantSplit/>
          <w:trHeight w:val="373"/>
        </w:trPr>
        <w:tc>
          <w:tcPr>
            <w:tcW w:w="3198" w:type="dxa"/>
            <w:gridSpan w:val="2"/>
            <w:tcBorders>
              <w:top w:val="nil"/>
              <w:left w:val="nil"/>
              <w:bottom w:val="nil"/>
              <w:right w:val="nil"/>
            </w:tcBorders>
          </w:tcPr>
          <w:p w:rsidR="006E1552" w:rsidRPr="00701945" w:rsidRDefault="00E40BFA" w:rsidP="00E40BFA">
            <w:pPr>
              <w:jc w:val="both"/>
            </w:pPr>
            <w:r w:rsidRPr="00B41239">
              <w:t>Christopher Menendez</w:t>
            </w:r>
          </w:p>
        </w:tc>
        <w:tc>
          <w:tcPr>
            <w:tcW w:w="1680" w:type="dxa"/>
            <w:gridSpan w:val="2"/>
            <w:tcBorders>
              <w:top w:val="nil"/>
              <w:left w:val="nil"/>
              <w:bottom w:val="nil"/>
              <w:right w:val="nil"/>
            </w:tcBorders>
          </w:tcPr>
          <w:p w:rsidR="006E1552" w:rsidRPr="00701945" w:rsidRDefault="00E40BFA" w:rsidP="00E40BFA">
            <w:pPr>
              <w:jc w:val="center"/>
            </w:pPr>
            <w:r>
              <w:t>DEF</w:t>
            </w:r>
          </w:p>
        </w:tc>
        <w:tc>
          <w:tcPr>
            <w:tcW w:w="1482" w:type="dxa"/>
            <w:tcBorders>
              <w:top w:val="nil"/>
              <w:left w:val="nil"/>
              <w:bottom w:val="nil"/>
              <w:right w:val="nil"/>
            </w:tcBorders>
          </w:tcPr>
          <w:p w:rsidR="006E1552" w:rsidRPr="004515FB" w:rsidRDefault="00E40BFA" w:rsidP="00E40BFA">
            <w:pPr>
              <w:jc w:val="center"/>
            </w:pPr>
            <w:r>
              <w:t>CAM-6</w:t>
            </w:r>
          </w:p>
        </w:tc>
        <w:tc>
          <w:tcPr>
            <w:tcW w:w="3205" w:type="dxa"/>
            <w:gridSpan w:val="3"/>
            <w:tcBorders>
              <w:top w:val="nil"/>
              <w:left w:val="nil"/>
              <w:bottom w:val="nil"/>
              <w:right w:val="nil"/>
            </w:tcBorders>
          </w:tcPr>
          <w:p w:rsidR="00E40BFA" w:rsidRPr="00FE1CEE" w:rsidRDefault="00E40BFA" w:rsidP="00E40BFA">
            <w:pPr>
              <w:autoSpaceDE w:val="0"/>
              <w:autoSpaceDN w:val="0"/>
              <w:adjustRightInd w:val="0"/>
              <w:ind w:left="720" w:hanging="720"/>
            </w:pPr>
            <w:r w:rsidRPr="00FE1CEE">
              <w:t>Capital Program Detail</w:t>
            </w:r>
          </w:p>
          <w:p w:rsidR="006E1552" w:rsidRPr="00701945" w:rsidRDefault="00E40BFA" w:rsidP="00E40BFA">
            <w:r w:rsidRPr="00FE1CEE">
              <w:t>January 2020 – December 2020</w:t>
            </w:r>
          </w:p>
        </w:tc>
      </w:tr>
      <w:tr w:rsidR="006E1552" w:rsidRPr="00701945" w:rsidTr="0007567A">
        <w:trPr>
          <w:cantSplit/>
          <w:trHeight w:val="353"/>
        </w:trPr>
        <w:tc>
          <w:tcPr>
            <w:tcW w:w="3198" w:type="dxa"/>
            <w:gridSpan w:val="2"/>
            <w:tcBorders>
              <w:top w:val="nil"/>
              <w:left w:val="nil"/>
              <w:bottom w:val="nil"/>
              <w:right w:val="nil"/>
            </w:tcBorders>
          </w:tcPr>
          <w:p w:rsidR="006E1552" w:rsidRPr="00701945" w:rsidRDefault="00E40BFA" w:rsidP="00E40BFA">
            <w:pPr>
              <w:jc w:val="both"/>
            </w:pPr>
            <w:r>
              <w:t>Timothy Hill</w:t>
            </w:r>
          </w:p>
        </w:tc>
        <w:tc>
          <w:tcPr>
            <w:tcW w:w="1680" w:type="dxa"/>
            <w:gridSpan w:val="2"/>
            <w:tcBorders>
              <w:top w:val="nil"/>
              <w:left w:val="nil"/>
              <w:bottom w:val="nil"/>
              <w:right w:val="nil"/>
            </w:tcBorders>
          </w:tcPr>
          <w:p w:rsidR="006E1552" w:rsidRPr="00701945" w:rsidRDefault="00E40BFA" w:rsidP="00E40BFA">
            <w:pPr>
              <w:jc w:val="center"/>
            </w:pPr>
            <w:r>
              <w:t>DEF</w:t>
            </w:r>
          </w:p>
        </w:tc>
        <w:tc>
          <w:tcPr>
            <w:tcW w:w="1482" w:type="dxa"/>
            <w:tcBorders>
              <w:top w:val="nil"/>
              <w:left w:val="nil"/>
              <w:bottom w:val="nil"/>
              <w:right w:val="nil"/>
            </w:tcBorders>
          </w:tcPr>
          <w:p w:rsidR="006E1552" w:rsidRPr="004515FB" w:rsidRDefault="00E40BFA" w:rsidP="00E40BFA">
            <w:pPr>
              <w:jc w:val="center"/>
            </w:pPr>
            <w:r>
              <w:t>CAM-5</w:t>
            </w:r>
          </w:p>
        </w:tc>
        <w:tc>
          <w:tcPr>
            <w:tcW w:w="3205" w:type="dxa"/>
            <w:gridSpan w:val="3"/>
            <w:tcBorders>
              <w:top w:val="nil"/>
              <w:left w:val="nil"/>
              <w:bottom w:val="nil"/>
              <w:right w:val="nil"/>
            </w:tcBorders>
          </w:tcPr>
          <w:p w:rsidR="006E1552" w:rsidRPr="00701945" w:rsidRDefault="00E40BFA" w:rsidP="00E40BFA">
            <w:r w:rsidRPr="00FE1CEE">
              <w:t>Form 42-5P, page 23 of 23</w:t>
            </w:r>
          </w:p>
        </w:tc>
      </w:tr>
      <w:tr w:rsidR="00E40BFA" w:rsidRPr="00701945" w:rsidTr="0007567A">
        <w:trPr>
          <w:cantSplit/>
          <w:trHeight w:val="353"/>
        </w:trPr>
        <w:tc>
          <w:tcPr>
            <w:tcW w:w="3198" w:type="dxa"/>
            <w:gridSpan w:val="2"/>
            <w:tcBorders>
              <w:top w:val="nil"/>
              <w:left w:val="nil"/>
              <w:bottom w:val="nil"/>
              <w:right w:val="nil"/>
            </w:tcBorders>
          </w:tcPr>
          <w:p w:rsidR="00E40BFA" w:rsidRPr="00701945" w:rsidRDefault="00E40BFA" w:rsidP="00E40BFA">
            <w:pPr>
              <w:jc w:val="both"/>
            </w:pPr>
            <w:r w:rsidRPr="00166E94">
              <w:t>Jeffrey Swartz</w:t>
            </w:r>
          </w:p>
        </w:tc>
        <w:tc>
          <w:tcPr>
            <w:tcW w:w="1680" w:type="dxa"/>
            <w:gridSpan w:val="2"/>
            <w:tcBorders>
              <w:top w:val="nil"/>
              <w:left w:val="nil"/>
              <w:bottom w:val="nil"/>
              <w:right w:val="nil"/>
            </w:tcBorders>
          </w:tcPr>
          <w:p w:rsidR="00E40BFA" w:rsidRPr="00701945" w:rsidRDefault="00E40BFA" w:rsidP="00E40BFA">
            <w:pPr>
              <w:jc w:val="center"/>
            </w:pPr>
            <w:r>
              <w:t>DEF</w:t>
            </w:r>
          </w:p>
        </w:tc>
        <w:tc>
          <w:tcPr>
            <w:tcW w:w="1482" w:type="dxa"/>
            <w:tcBorders>
              <w:top w:val="nil"/>
              <w:left w:val="nil"/>
              <w:bottom w:val="nil"/>
              <w:right w:val="nil"/>
            </w:tcBorders>
          </w:tcPr>
          <w:p w:rsidR="00E40BFA" w:rsidRPr="004515FB" w:rsidRDefault="00E40BFA" w:rsidP="00E40BFA">
            <w:pPr>
              <w:jc w:val="center"/>
            </w:pPr>
            <w:r>
              <w:t>JS-1</w:t>
            </w:r>
          </w:p>
        </w:tc>
        <w:tc>
          <w:tcPr>
            <w:tcW w:w="3205" w:type="dxa"/>
            <w:gridSpan w:val="3"/>
            <w:tcBorders>
              <w:top w:val="nil"/>
              <w:left w:val="nil"/>
              <w:bottom w:val="nil"/>
              <w:right w:val="nil"/>
            </w:tcBorders>
          </w:tcPr>
          <w:p w:rsidR="00E40BFA" w:rsidRPr="00FE1CEE" w:rsidRDefault="00E40BFA" w:rsidP="00E40BFA">
            <w:pPr>
              <w:autoSpaceDE w:val="0"/>
              <w:autoSpaceDN w:val="0"/>
              <w:adjustRightInd w:val="0"/>
              <w:ind w:left="720" w:hanging="720"/>
            </w:pPr>
            <w:r w:rsidRPr="00FE1CEE">
              <w:t>Crystal River Clean Air</w:t>
            </w:r>
          </w:p>
          <w:p w:rsidR="00E40BFA" w:rsidRPr="00701945" w:rsidRDefault="00E40BFA" w:rsidP="00E40BFA">
            <w:r w:rsidRPr="00FE1CEE">
              <w:t>Projects Organizational Chart</w:t>
            </w:r>
            <w:r w:rsidRPr="00FE1CEE">
              <w:tab/>
            </w:r>
          </w:p>
        </w:tc>
      </w:tr>
      <w:tr w:rsidR="00E40BFA" w:rsidRPr="00701945" w:rsidTr="0007567A">
        <w:trPr>
          <w:cantSplit/>
          <w:trHeight w:val="353"/>
        </w:trPr>
        <w:tc>
          <w:tcPr>
            <w:tcW w:w="3198" w:type="dxa"/>
            <w:gridSpan w:val="2"/>
            <w:tcBorders>
              <w:top w:val="nil"/>
              <w:left w:val="nil"/>
              <w:bottom w:val="nil"/>
              <w:right w:val="nil"/>
            </w:tcBorders>
          </w:tcPr>
          <w:p w:rsidR="00E40BFA" w:rsidRPr="00701945" w:rsidRDefault="00E40BFA" w:rsidP="00E40BFA">
            <w:pPr>
              <w:jc w:val="both"/>
            </w:pPr>
            <w:r w:rsidRPr="00166E94">
              <w:t>Jeffrey Swartz</w:t>
            </w:r>
          </w:p>
        </w:tc>
        <w:tc>
          <w:tcPr>
            <w:tcW w:w="1680" w:type="dxa"/>
            <w:gridSpan w:val="2"/>
            <w:tcBorders>
              <w:top w:val="nil"/>
              <w:left w:val="nil"/>
              <w:bottom w:val="nil"/>
              <w:right w:val="nil"/>
            </w:tcBorders>
          </w:tcPr>
          <w:p w:rsidR="00E40BFA" w:rsidRPr="00701945" w:rsidRDefault="00E40BFA" w:rsidP="00E40BFA">
            <w:pPr>
              <w:jc w:val="center"/>
            </w:pPr>
            <w:r>
              <w:t>DEF</w:t>
            </w:r>
          </w:p>
        </w:tc>
        <w:tc>
          <w:tcPr>
            <w:tcW w:w="1482" w:type="dxa"/>
            <w:tcBorders>
              <w:top w:val="nil"/>
              <w:left w:val="nil"/>
              <w:bottom w:val="nil"/>
              <w:right w:val="nil"/>
            </w:tcBorders>
          </w:tcPr>
          <w:p w:rsidR="00E40BFA" w:rsidRPr="004515FB" w:rsidRDefault="00E40BFA" w:rsidP="00E40BFA">
            <w:pPr>
              <w:jc w:val="center"/>
            </w:pPr>
            <w:r>
              <w:t>CAM-5</w:t>
            </w:r>
          </w:p>
        </w:tc>
        <w:tc>
          <w:tcPr>
            <w:tcW w:w="3205" w:type="dxa"/>
            <w:gridSpan w:val="3"/>
            <w:tcBorders>
              <w:top w:val="nil"/>
              <w:left w:val="nil"/>
              <w:bottom w:val="nil"/>
              <w:right w:val="nil"/>
            </w:tcBorders>
          </w:tcPr>
          <w:p w:rsidR="00E40BFA" w:rsidRPr="00701945" w:rsidRDefault="00E40BFA" w:rsidP="00E40BFA">
            <w:r w:rsidRPr="00FE1CEE">
              <w:t>Form 42-5P, pages 7, 21 and 22 of 23</w:t>
            </w:r>
          </w:p>
        </w:tc>
      </w:tr>
      <w:tr w:rsidR="00E40BFA" w:rsidRPr="00701945" w:rsidTr="0007567A">
        <w:trPr>
          <w:cantSplit/>
          <w:trHeight w:val="353"/>
        </w:trPr>
        <w:tc>
          <w:tcPr>
            <w:tcW w:w="3198" w:type="dxa"/>
            <w:gridSpan w:val="2"/>
            <w:tcBorders>
              <w:top w:val="nil"/>
              <w:left w:val="nil"/>
              <w:bottom w:val="nil"/>
              <w:right w:val="nil"/>
            </w:tcBorders>
          </w:tcPr>
          <w:p w:rsidR="00E40BFA" w:rsidRPr="00701945" w:rsidRDefault="00E40BFA" w:rsidP="00E40BFA">
            <w:pPr>
              <w:jc w:val="both"/>
            </w:pPr>
            <w:r w:rsidRPr="00166E94">
              <w:t>Kim Spence McDaniel</w:t>
            </w:r>
          </w:p>
        </w:tc>
        <w:tc>
          <w:tcPr>
            <w:tcW w:w="1680" w:type="dxa"/>
            <w:gridSpan w:val="2"/>
            <w:tcBorders>
              <w:top w:val="nil"/>
              <w:left w:val="nil"/>
              <w:bottom w:val="nil"/>
              <w:right w:val="nil"/>
            </w:tcBorders>
          </w:tcPr>
          <w:p w:rsidR="00E40BFA" w:rsidRPr="00701945" w:rsidRDefault="00E40BFA" w:rsidP="00E40BFA">
            <w:pPr>
              <w:jc w:val="center"/>
            </w:pPr>
            <w:r>
              <w:t>DEF</w:t>
            </w:r>
          </w:p>
        </w:tc>
        <w:tc>
          <w:tcPr>
            <w:tcW w:w="1482" w:type="dxa"/>
            <w:tcBorders>
              <w:top w:val="nil"/>
              <w:left w:val="nil"/>
              <w:bottom w:val="nil"/>
              <w:right w:val="nil"/>
            </w:tcBorders>
          </w:tcPr>
          <w:p w:rsidR="00E40BFA" w:rsidRPr="004515FB" w:rsidRDefault="00E40BFA" w:rsidP="00E40BFA">
            <w:pPr>
              <w:jc w:val="center"/>
            </w:pPr>
            <w:r>
              <w:t>KSM-1</w:t>
            </w:r>
          </w:p>
        </w:tc>
        <w:tc>
          <w:tcPr>
            <w:tcW w:w="3205" w:type="dxa"/>
            <w:gridSpan w:val="3"/>
            <w:tcBorders>
              <w:top w:val="nil"/>
              <w:left w:val="nil"/>
              <w:bottom w:val="nil"/>
              <w:right w:val="nil"/>
            </w:tcBorders>
          </w:tcPr>
          <w:p w:rsidR="00763558" w:rsidRPr="00701945" w:rsidRDefault="00E40BFA" w:rsidP="00E40BFA">
            <w:r>
              <w:t xml:space="preserve">Review of </w:t>
            </w:r>
            <w:r w:rsidRPr="00166E94">
              <w:t>Integrated Clean Air Compliance Plan</w:t>
            </w:r>
          </w:p>
        </w:tc>
      </w:tr>
      <w:tr w:rsidR="00E40BFA" w:rsidRPr="00701945" w:rsidTr="0007567A">
        <w:trPr>
          <w:cantSplit/>
          <w:trHeight w:val="353"/>
        </w:trPr>
        <w:tc>
          <w:tcPr>
            <w:tcW w:w="3198" w:type="dxa"/>
            <w:gridSpan w:val="2"/>
            <w:tcBorders>
              <w:top w:val="nil"/>
              <w:left w:val="nil"/>
              <w:bottom w:val="nil"/>
              <w:right w:val="nil"/>
            </w:tcBorders>
          </w:tcPr>
          <w:p w:rsidR="00E40BFA" w:rsidRPr="00166E94" w:rsidRDefault="00E40BFA" w:rsidP="00E40BFA">
            <w:pPr>
              <w:jc w:val="both"/>
            </w:pPr>
            <w:r w:rsidRPr="00166E94">
              <w:t>Kim Spence McDaniel</w:t>
            </w:r>
          </w:p>
        </w:tc>
        <w:tc>
          <w:tcPr>
            <w:tcW w:w="1680" w:type="dxa"/>
            <w:gridSpan w:val="2"/>
            <w:tcBorders>
              <w:top w:val="nil"/>
              <w:left w:val="nil"/>
              <w:bottom w:val="nil"/>
              <w:right w:val="nil"/>
            </w:tcBorders>
          </w:tcPr>
          <w:p w:rsidR="00E40BFA" w:rsidRPr="00701945" w:rsidRDefault="00E40BFA" w:rsidP="00E40BFA">
            <w:pPr>
              <w:jc w:val="center"/>
            </w:pPr>
            <w:r>
              <w:t>DEF</w:t>
            </w:r>
          </w:p>
        </w:tc>
        <w:tc>
          <w:tcPr>
            <w:tcW w:w="1482" w:type="dxa"/>
            <w:tcBorders>
              <w:top w:val="nil"/>
              <w:left w:val="nil"/>
              <w:bottom w:val="nil"/>
              <w:right w:val="nil"/>
            </w:tcBorders>
          </w:tcPr>
          <w:p w:rsidR="00E40BFA" w:rsidRPr="004515FB" w:rsidRDefault="00E40BFA" w:rsidP="00E40BFA">
            <w:pPr>
              <w:jc w:val="center"/>
            </w:pPr>
            <w:r>
              <w:t>CAM-5</w:t>
            </w:r>
          </w:p>
        </w:tc>
        <w:tc>
          <w:tcPr>
            <w:tcW w:w="3205" w:type="dxa"/>
            <w:gridSpan w:val="3"/>
            <w:tcBorders>
              <w:top w:val="nil"/>
              <w:left w:val="nil"/>
              <w:bottom w:val="nil"/>
              <w:right w:val="nil"/>
            </w:tcBorders>
          </w:tcPr>
          <w:p w:rsidR="00E40BFA" w:rsidRPr="00701945" w:rsidRDefault="00E40BFA" w:rsidP="00E40BFA">
            <w:r w:rsidRPr="00FE1CEE">
              <w:t>Form 42-5P, pages 1-4 and 6- 20 of 23</w:t>
            </w:r>
          </w:p>
        </w:tc>
      </w:tr>
      <w:tr w:rsidR="00E40BFA" w:rsidRPr="00701945" w:rsidTr="0007567A">
        <w:trPr>
          <w:cantSplit/>
          <w:trHeight w:val="353"/>
        </w:trPr>
        <w:tc>
          <w:tcPr>
            <w:tcW w:w="3198" w:type="dxa"/>
            <w:gridSpan w:val="2"/>
            <w:tcBorders>
              <w:top w:val="nil"/>
              <w:left w:val="nil"/>
              <w:bottom w:val="nil"/>
              <w:right w:val="nil"/>
            </w:tcBorders>
          </w:tcPr>
          <w:p w:rsidR="00E40BFA" w:rsidRPr="00166E94" w:rsidRDefault="00BE7D8A" w:rsidP="00E40BFA">
            <w:pPr>
              <w:jc w:val="both"/>
            </w:pPr>
            <w:r w:rsidRPr="00EF08DA">
              <w:t>Penelope A. Rusk</w:t>
            </w:r>
          </w:p>
        </w:tc>
        <w:tc>
          <w:tcPr>
            <w:tcW w:w="1680" w:type="dxa"/>
            <w:gridSpan w:val="2"/>
            <w:tcBorders>
              <w:top w:val="nil"/>
              <w:left w:val="nil"/>
              <w:bottom w:val="nil"/>
              <w:right w:val="nil"/>
            </w:tcBorders>
          </w:tcPr>
          <w:p w:rsidR="00E40BFA" w:rsidRPr="00701945" w:rsidRDefault="00BE7D8A" w:rsidP="00E40BFA">
            <w:pPr>
              <w:jc w:val="center"/>
            </w:pPr>
            <w:r>
              <w:t>TECO</w:t>
            </w:r>
          </w:p>
        </w:tc>
        <w:tc>
          <w:tcPr>
            <w:tcW w:w="1482" w:type="dxa"/>
            <w:tcBorders>
              <w:top w:val="nil"/>
              <w:left w:val="nil"/>
              <w:bottom w:val="nil"/>
              <w:right w:val="nil"/>
            </w:tcBorders>
          </w:tcPr>
          <w:p w:rsidR="00E40BFA" w:rsidRPr="004515FB" w:rsidRDefault="00BE7D8A" w:rsidP="00E40BFA">
            <w:pPr>
              <w:jc w:val="center"/>
            </w:pPr>
            <w:r>
              <w:t>PAR-1</w:t>
            </w:r>
          </w:p>
        </w:tc>
        <w:tc>
          <w:tcPr>
            <w:tcW w:w="3205" w:type="dxa"/>
            <w:gridSpan w:val="3"/>
            <w:tcBorders>
              <w:top w:val="nil"/>
              <w:left w:val="nil"/>
              <w:bottom w:val="nil"/>
              <w:right w:val="nil"/>
            </w:tcBorders>
          </w:tcPr>
          <w:p w:rsidR="00E40BFA" w:rsidRPr="00701945" w:rsidRDefault="00BE7D8A" w:rsidP="00E40BFA">
            <w:r w:rsidRPr="00EF08DA">
              <w:t>Final Environmental Cost Recovery</w:t>
            </w:r>
            <w:r>
              <w:t xml:space="preserve"> </w:t>
            </w:r>
            <w:r w:rsidRPr="00EF08DA">
              <w:t xml:space="preserve">Commission Forms 42-1A through 42-9A for the period January </w:t>
            </w:r>
            <w:r>
              <w:t>2018</w:t>
            </w:r>
            <w:r w:rsidRPr="00EF08DA">
              <w:t xml:space="preserve"> through December </w:t>
            </w:r>
            <w:r>
              <w:t>2018</w:t>
            </w:r>
          </w:p>
        </w:tc>
      </w:tr>
      <w:tr w:rsidR="00E40BFA" w:rsidRPr="00701945" w:rsidTr="0007567A">
        <w:trPr>
          <w:cantSplit/>
          <w:trHeight w:val="353"/>
        </w:trPr>
        <w:tc>
          <w:tcPr>
            <w:tcW w:w="3198" w:type="dxa"/>
            <w:gridSpan w:val="2"/>
            <w:tcBorders>
              <w:top w:val="nil"/>
              <w:left w:val="nil"/>
              <w:bottom w:val="nil"/>
              <w:right w:val="nil"/>
            </w:tcBorders>
          </w:tcPr>
          <w:p w:rsidR="00E40BFA" w:rsidRPr="00166E94" w:rsidRDefault="00BE7D8A" w:rsidP="00E40BFA">
            <w:pPr>
              <w:jc w:val="both"/>
            </w:pPr>
            <w:r w:rsidRPr="00EF08DA">
              <w:t>Penelope A. Rusk</w:t>
            </w:r>
          </w:p>
        </w:tc>
        <w:tc>
          <w:tcPr>
            <w:tcW w:w="1680" w:type="dxa"/>
            <w:gridSpan w:val="2"/>
            <w:tcBorders>
              <w:top w:val="nil"/>
              <w:left w:val="nil"/>
              <w:bottom w:val="nil"/>
              <w:right w:val="nil"/>
            </w:tcBorders>
          </w:tcPr>
          <w:p w:rsidR="00E40BFA" w:rsidRPr="00701945" w:rsidRDefault="00BE7D8A" w:rsidP="00E40BFA">
            <w:pPr>
              <w:jc w:val="center"/>
            </w:pPr>
            <w:r>
              <w:t>TECO</w:t>
            </w:r>
          </w:p>
        </w:tc>
        <w:tc>
          <w:tcPr>
            <w:tcW w:w="1482" w:type="dxa"/>
            <w:tcBorders>
              <w:top w:val="nil"/>
              <w:left w:val="nil"/>
              <w:bottom w:val="nil"/>
              <w:right w:val="nil"/>
            </w:tcBorders>
          </w:tcPr>
          <w:p w:rsidR="00E40BFA" w:rsidRPr="004515FB" w:rsidRDefault="00BE7D8A" w:rsidP="00E40BFA">
            <w:pPr>
              <w:jc w:val="center"/>
            </w:pPr>
            <w:r>
              <w:t>PAR-2</w:t>
            </w:r>
          </w:p>
        </w:tc>
        <w:tc>
          <w:tcPr>
            <w:tcW w:w="3205" w:type="dxa"/>
            <w:gridSpan w:val="3"/>
            <w:tcBorders>
              <w:top w:val="nil"/>
              <w:left w:val="nil"/>
              <w:bottom w:val="nil"/>
              <w:right w:val="nil"/>
            </w:tcBorders>
          </w:tcPr>
          <w:p w:rsidR="00E40BFA" w:rsidRPr="00701945" w:rsidRDefault="00BE7D8A" w:rsidP="00E40BFA">
            <w:r w:rsidRPr="00EF08DA">
              <w:t>Environmental Cost Recovery</w:t>
            </w:r>
            <w:r>
              <w:t xml:space="preserve"> </w:t>
            </w:r>
            <w:r w:rsidRPr="00EF08DA">
              <w:t xml:space="preserve">Commission Forms 42-1E through 42-9E for the Period January </w:t>
            </w:r>
            <w:r>
              <w:t>2019</w:t>
            </w:r>
            <w:r w:rsidRPr="00EF08DA">
              <w:t xml:space="preserve"> through December </w:t>
            </w:r>
            <w:r>
              <w:t>2019</w:t>
            </w:r>
          </w:p>
        </w:tc>
      </w:tr>
      <w:tr w:rsidR="00E40BFA" w:rsidRPr="00701945" w:rsidTr="0007567A">
        <w:trPr>
          <w:cantSplit/>
          <w:trHeight w:val="353"/>
        </w:trPr>
        <w:tc>
          <w:tcPr>
            <w:tcW w:w="3198" w:type="dxa"/>
            <w:gridSpan w:val="2"/>
            <w:tcBorders>
              <w:top w:val="nil"/>
              <w:left w:val="nil"/>
              <w:bottom w:val="nil"/>
              <w:right w:val="nil"/>
            </w:tcBorders>
          </w:tcPr>
          <w:p w:rsidR="00E40BFA" w:rsidRPr="00166E94" w:rsidRDefault="00BE7D8A" w:rsidP="00E40BFA">
            <w:pPr>
              <w:jc w:val="both"/>
            </w:pPr>
            <w:r w:rsidRPr="00EF08DA">
              <w:lastRenderedPageBreak/>
              <w:t>Penelope A. Rusk</w:t>
            </w:r>
          </w:p>
        </w:tc>
        <w:tc>
          <w:tcPr>
            <w:tcW w:w="1680" w:type="dxa"/>
            <w:gridSpan w:val="2"/>
            <w:tcBorders>
              <w:top w:val="nil"/>
              <w:left w:val="nil"/>
              <w:bottom w:val="nil"/>
              <w:right w:val="nil"/>
            </w:tcBorders>
          </w:tcPr>
          <w:p w:rsidR="00E40BFA" w:rsidRPr="00701945" w:rsidRDefault="00BE7D8A" w:rsidP="00E40BFA">
            <w:pPr>
              <w:jc w:val="center"/>
            </w:pPr>
            <w:r>
              <w:t>TECO</w:t>
            </w:r>
          </w:p>
        </w:tc>
        <w:tc>
          <w:tcPr>
            <w:tcW w:w="1482" w:type="dxa"/>
            <w:tcBorders>
              <w:top w:val="nil"/>
              <w:left w:val="nil"/>
              <w:bottom w:val="nil"/>
              <w:right w:val="nil"/>
            </w:tcBorders>
          </w:tcPr>
          <w:p w:rsidR="00E40BFA" w:rsidRPr="004515FB" w:rsidRDefault="00BE7D8A" w:rsidP="00E40BFA">
            <w:pPr>
              <w:jc w:val="center"/>
            </w:pPr>
            <w:r>
              <w:t>PAR-3</w:t>
            </w:r>
          </w:p>
        </w:tc>
        <w:tc>
          <w:tcPr>
            <w:tcW w:w="3205" w:type="dxa"/>
            <w:gridSpan w:val="3"/>
            <w:tcBorders>
              <w:top w:val="nil"/>
              <w:left w:val="nil"/>
              <w:bottom w:val="nil"/>
              <w:right w:val="nil"/>
            </w:tcBorders>
          </w:tcPr>
          <w:p w:rsidR="00E40BFA" w:rsidRDefault="00BE7D8A" w:rsidP="00E40BFA">
            <w:r w:rsidRPr="00EF08DA">
              <w:t>Environmental Cost Recovery</w:t>
            </w:r>
          </w:p>
          <w:p w:rsidR="00BE7D8A" w:rsidRDefault="00BE7D8A" w:rsidP="00E40BFA">
            <w:r w:rsidRPr="00EF08DA">
              <w:t xml:space="preserve">Forms 42-1P through 42-8P Forms for the </w:t>
            </w:r>
            <w:r>
              <w:t xml:space="preserve">Period </w:t>
            </w:r>
            <w:r w:rsidRPr="00EF08DA">
              <w:t xml:space="preserve">January </w:t>
            </w:r>
            <w:r>
              <w:t>2020</w:t>
            </w:r>
            <w:r w:rsidRPr="00EF08DA">
              <w:t xml:space="preserve"> through December </w:t>
            </w:r>
            <w:r>
              <w:t>2020</w:t>
            </w:r>
          </w:p>
          <w:p w:rsidR="0007567A" w:rsidRPr="00701945" w:rsidRDefault="0007567A" w:rsidP="00E40BFA"/>
        </w:tc>
      </w:tr>
      <w:tr w:rsidR="00966708"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966708" w:rsidRDefault="00966708" w:rsidP="00966708">
            <w:r w:rsidRPr="00EF08DA">
              <w:t>Penelope A. Rusk</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TECO’s response to Staff’s First Set of Interrogatories No. 1</w:t>
            </w:r>
          </w:p>
          <w:p w:rsidR="0007567A" w:rsidRPr="0007567A" w:rsidRDefault="0007567A" w:rsidP="0007567A"/>
        </w:tc>
      </w:tr>
      <w:tr w:rsidR="00966708" w:rsidRPr="00C6342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539"/>
        </w:trPr>
        <w:tc>
          <w:tcPr>
            <w:tcW w:w="3150" w:type="dxa"/>
          </w:tcPr>
          <w:p w:rsidR="00966708" w:rsidRDefault="00966708" w:rsidP="00966708">
            <w:r>
              <w:t xml:space="preserve">Benjamin Borsch </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DEF’s response to Staff’s First Set of Interrogatories No. 1</w:t>
            </w:r>
          </w:p>
          <w:p w:rsidR="0007567A" w:rsidRPr="0007567A" w:rsidRDefault="0007567A" w:rsidP="0007567A"/>
        </w:tc>
      </w:tr>
      <w:tr w:rsidR="00966708" w:rsidRPr="00C6342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966708" w:rsidRDefault="00966708" w:rsidP="00966708">
            <w:r>
              <w:t xml:space="preserve">Juan </w:t>
            </w:r>
            <w:proofErr w:type="spellStart"/>
            <w:r>
              <w:t>Enjamio</w:t>
            </w:r>
            <w:proofErr w:type="spellEnd"/>
            <w:r>
              <w:t xml:space="preserve"> </w:t>
            </w:r>
          </w:p>
          <w:p w:rsidR="00966708" w:rsidRDefault="00966708" w:rsidP="00966708">
            <w:r>
              <w:t xml:space="preserve">Michael W. Sole </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FPL’s response to Staff’s First Set of Interrogatories Nos. 1-2 with attachments I and II.</w:t>
            </w:r>
          </w:p>
          <w:p w:rsidR="0007567A" w:rsidRPr="0007567A" w:rsidRDefault="0007567A" w:rsidP="0007567A"/>
        </w:tc>
      </w:tr>
      <w:tr w:rsidR="00966708" w:rsidRPr="00C6342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966708" w:rsidRDefault="00966708" w:rsidP="00966708">
            <w:r>
              <w:t xml:space="preserve">Michael Sole </w:t>
            </w:r>
          </w:p>
          <w:p w:rsidR="00966708" w:rsidRDefault="00966708" w:rsidP="00966708">
            <w:proofErr w:type="spellStart"/>
            <w:r>
              <w:t>Renae</w:t>
            </w:r>
            <w:proofErr w:type="spellEnd"/>
            <w:r>
              <w:t xml:space="preserve"> Deaton </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FPL’s response to Staff’s Second Set of Interrogatories Nos. 3-11</w:t>
            </w:r>
          </w:p>
          <w:p w:rsidR="0007567A" w:rsidRPr="0007567A" w:rsidRDefault="0007567A" w:rsidP="0007567A"/>
        </w:tc>
      </w:tr>
      <w:tr w:rsidR="00966708" w:rsidRPr="00C6342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575"/>
        </w:trPr>
        <w:tc>
          <w:tcPr>
            <w:tcW w:w="3150" w:type="dxa"/>
          </w:tcPr>
          <w:p w:rsidR="00966708" w:rsidRDefault="00966708" w:rsidP="00966708"/>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FPL’s response to Staff’s First Request for Production of Documents No. 1</w:t>
            </w:r>
          </w:p>
          <w:p w:rsidR="0007567A" w:rsidRPr="0007567A" w:rsidRDefault="0007567A" w:rsidP="0007567A"/>
        </w:tc>
      </w:tr>
      <w:tr w:rsidR="00966708" w:rsidRPr="00C6342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566"/>
        </w:trPr>
        <w:tc>
          <w:tcPr>
            <w:tcW w:w="3150" w:type="dxa"/>
          </w:tcPr>
          <w:p w:rsidR="00966708" w:rsidRDefault="00966708" w:rsidP="00966708">
            <w:r w:rsidRPr="00EF08DA">
              <w:t>Penelope A. Rusk</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TECO’s response to Staff’s Second Set of Interrogatories No. 2</w:t>
            </w:r>
          </w:p>
          <w:p w:rsidR="00FF7061" w:rsidRPr="00FF7061" w:rsidRDefault="00FF7061" w:rsidP="00FF7061"/>
        </w:tc>
      </w:tr>
      <w:tr w:rsidR="00966708" w:rsidRPr="00C6342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566"/>
        </w:trPr>
        <w:tc>
          <w:tcPr>
            <w:tcW w:w="3150" w:type="dxa"/>
          </w:tcPr>
          <w:p w:rsidR="00966708" w:rsidRDefault="00966708" w:rsidP="00966708">
            <w:r>
              <w:t xml:space="preserve">Jeffery Swartz </w:t>
            </w:r>
          </w:p>
          <w:p w:rsidR="00966708" w:rsidRDefault="00966708" w:rsidP="00966708">
            <w:r>
              <w:t xml:space="preserve">Kimberly McDaniel </w:t>
            </w:r>
          </w:p>
          <w:p w:rsidR="00966708" w:rsidRDefault="00966708" w:rsidP="00966708">
            <w:r>
              <w:t>Tim Hill</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DEF’s response to Staff’s Second Set of Interrogatories Nos. 2-10</w:t>
            </w:r>
          </w:p>
          <w:p w:rsidR="0007567A" w:rsidRPr="0007567A" w:rsidRDefault="0007567A" w:rsidP="0007567A"/>
        </w:tc>
      </w:tr>
      <w:tr w:rsidR="00966708" w:rsidRPr="002D69EB"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966708" w:rsidRDefault="00966708" w:rsidP="00966708">
            <w:r>
              <w:t xml:space="preserve">C.S. Boyett </w:t>
            </w:r>
          </w:p>
          <w:p w:rsidR="00966708" w:rsidRDefault="00966708" w:rsidP="00966708">
            <w:r>
              <w:t xml:space="preserve">R. M. Markey </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Gulf’s response to Staff’s First Set of Interrogatories Nos. 1-9</w:t>
            </w:r>
          </w:p>
          <w:p w:rsidR="0007567A" w:rsidRPr="0007567A" w:rsidRDefault="0007567A" w:rsidP="0007567A"/>
        </w:tc>
      </w:tr>
      <w:tr w:rsidR="00966708" w:rsidRPr="00C6342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966708" w:rsidRDefault="00966708" w:rsidP="00966708">
            <w:r w:rsidRPr="00EF08DA">
              <w:t>Penelope A. Rusk</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TECO’s response to Staff’s Third Set of Interrogatories Nos. 3-7</w:t>
            </w:r>
          </w:p>
          <w:p w:rsidR="0007567A" w:rsidRPr="0007567A" w:rsidRDefault="0007567A" w:rsidP="0007567A"/>
        </w:tc>
      </w:tr>
      <w:tr w:rsidR="00966708"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966708" w:rsidRDefault="00966708" w:rsidP="00966708">
            <w:proofErr w:type="spellStart"/>
            <w:r>
              <w:lastRenderedPageBreak/>
              <w:t>Renae</w:t>
            </w:r>
            <w:proofErr w:type="spellEnd"/>
            <w:r>
              <w:t xml:space="preserve"> Deaton </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FPL’s response to Staff’s Third Set of Interrogatories No. 12</w:t>
            </w:r>
          </w:p>
          <w:p w:rsidR="0007567A" w:rsidRPr="0007567A" w:rsidRDefault="0007567A" w:rsidP="0007567A"/>
        </w:tc>
      </w:tr>
      <w:tr w:rsidR="00966708" w:rsidRPr="00923D98"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548"/>
        </w:trPr>
        <w:tc>
          <w:tcPr>
            <w:tcW w:w="3150" w:type="dxa"/>
          </w:tcPr>
          <w:p w:rsidR="00966708" w:rsidRDefault="00966708" w:rsidP="00966708">
            <w:r>
              <w:t xml:space="preserve">Tim Hill </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DEF’s response to Staff’s Third Set of Interrogatories Nos. 11-12</w:t>
            </w:r>
          </w:p>
          <w:p w:rsidR="0007567A" w:rsidRPr="0007567A" w:rsidRDefault="0007567A" w:rsidP="0007567A"/>
        </w:tc>
      </w:tr>
      <w:tr w:rsidR="00966708" w:rsidRPr="00923D98"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966708" w:rsidRDefault="00966708" w:rsidP="00966708"/>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DEF’s response to Staff’s First Request for Production of Documents No. 1 with attachment</w:t>
            </w:r>
          </w:p>
          <w:p w:rsidR="0007567A" w:rsidRPr="0007567A" w:rsidRDefault="0007567A" w:rsidP="0007567A"/>
        </w:tc>
      </w:tr>
      <w:tr w:rsidR="00966708"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966708" w:rsidRDefault="00966708" w:rsidP="00966708">
            <w:r>
              <w:t xml:space="preserve">Juan </w:t>
            </w:r>
            <w:proofErr w:type="spellStart"/>
            <w:r>
              <w:t>Enjamio</w:t>
            </w:r>
            <w:proofErr w:type="spellEnd"/>
          </w:p>
          <w:p w:rsidR="00966708" w:rsidRDefault="00966708" w:rsidP="00966708">
            <w:r>
              <w:t xml:space="preserve">Charles Rote </w:t>
            </w:r>
          </w:p>
          <w:p w:rsidR="00966708" w:rsidRDefault="00966708" w:rsidP="00966708">
            <w:r>
              <w:t xml:space="preserve">Gerry </w:t>
            </w:r>
            <w:proofErr w:type="spellStart"/>
            <w:r>
              <w:t>Yupp</w:t>
            </w:r>
            <w:proofErr w:type="spellEnd"/>
          </w:p>
          <w:p w:rsidR="00966708" w:rsidRDefault="00966708" w:rsidP="00966708"/>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FPL’s response to OPC’s First Set of Interrogatories Nos. 1-15 with attachment for ROG 14</w:t>
            </w:r>
          </w:p>
          <w:p w:rsidR="0007567A" w:rsidRPr="0007567A" w:rsidRDefault="0007567A" w:rsidP="0007567A"/>
        </w:tc>
      </w:tr>
      <w:tr w:rsidR="00966708" w:rsidRPr="00B210D5"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966708" w:rsidRDefault="00FF7061" w:rsidP="00966708">
            <w:r>
              <w:t>R.M.</w:t>
            </w:r>
            <w:r w:rsidR="00780D43">
              <w:t xml:space="preserve"> </w:t>
            </w:r>
            <w:r>
              <w:t>Markey</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Gulf’s response to OPC’s First Set of Interrogatories Nos. 1-4</w:t>
            </w:r>
          </w:p>
          <w:p w:rsidR="0007567A" w:rsidRPr="0007567A" w:rsidRDefault="0007567A" w:rsidP="0007567A"/>
        </w:tc>
      </w:tr>
      <w:tr w:rsidR="00966708" w:rsidRPr="00B210D5"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966708" w:rsidRDefault="00966708" w:rsidP="00966708"/>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Gulf’s response to OPC’s First Request for Production of Documents Nos. 1-4</w:t>
            </w:r>
          </w:p>
          <w:p w:rsidR="0007567A" w:rsidRPr="0007567A" w:rsidRDefault="0007567A" w:rsidP="0007567A"/>
        </w:tc>
      </w:tr>
      <w:tr w:rsidR="00966708"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966708" w:rsidRDefault="00966708" w:rsidP="00966708">
            <w:r w:rsidRPr="00EF08DA">
              <w:t>Penelope A. Rusk</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TECO’s response to Staff’s Fourth Set of Interrogatories Nos. 8-10</w:t>
            </w:r>
          </w:p>
          <w:p w:rsidR="00FF7061" w:rsidRPr="00FF7061" w:rsidRDefault="00FF7061" w:rsidP="00FF7061"/>
        </w:tc>
      </w:tr>
      <w:tr w:rsidR="00966708"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966708" w:rsidRDefault="00966708" w:rsidP="00966708">
            <w:r>
              <w:t xml:space="preserve">R. M. Markey </w:t>
            </w:r>
          </w:p>
          <w:p w:rsidR="00966708" w:rsidRDefault="00966708" w:rsidP="00966708">
            <w:r>
              <w:t>C.S. Boyett</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Gulf’s response to Staff’s Second Set of Interrogatories Nos. 10-12</w:t>
            </w:r>
          </w:p>
          <w:p w:rsidR="0007567A" w:rsidRPr="0007567A" w:rsidRDefault="0007567A" w:rsidP="0007567A"/>
        </w:tc>
      </w:tr>
      <w:tr w:rsidR="00966708"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966708" w:rsidRDefault="00966708" w:rsidP="00966708">
            <w:r>
              <w:t>Kimberly McDaniel</w:t>
            </w:r>
          </w:p>
          <w:p w:rsidR="00966708" w:rsidRDefault="00966708" w:rsidP="00966708">
            <w:r>
              <w:t>Jeffery Swartz</w:t>
            </w:r>
          </w:p>
          <w:p w:rsidR="00966708" w:rsidRDefault="00966708" w:rsidP="00966708">
            <w:r>
              <w:t xml:space="preserve">Christopher Menendez </w:t>
            </w:r>
          </w:p>
        </w:tc>
        <w:tc>
          <w:tcPr>
            <w:tcW w:w="1710" w:type="dxa"/>
            <w:gridSpan w:val="2"/>
          </w:tcPr>
          <w:p w:rsidR="00966708" w:rsidRDefault="00AE5733" w:rsidP="00966708">
            <w:pPr>
              <w:jc w:val="center"/>
            </w:pPr>
            <w:r>
              <w:t>STAFF</w:t>
            </w:r>
          </w:p>
        </w:tc>
        <w:tc>
          <w:tcPr>
            <w:tcW w:w="1530" w:type="dxa"/>
            <w:gridSpan w:val="3"/>
          </w:tcPr>
          <w:p w:rsidR="00966708" w:rsidRDefault="00966708" w:rsidP="00966708">
            <w:pPr>
              <w:pStyle w:val="PleadingSig"/>
              <w:jc w:val="left"/>
            </w:pPr>
          </w:p>
        </w:tc>
        <w:tc>
          <w:tcPr>
            <w:tcW w:w="3150" w:type="dxa"/>
          </w:tcPr>
          <w:p w:rsidR="00966708" w:rsidRDefault="00966708" w:rsidP="00966708">
            <w:pPr>
              <w:pStyle w:val="PleadingSig"/>
              <w:jc w:val="left"/>
            </w:pPr>
            <w:r>
              <w:t>DEF’s response to Staff’s Fourth Set of Interrogatories Nos. 13-18</w:t>
            </w:r>
          </w:p>
          <w:p w:rsidR="0007567A" w:rsidRPr="0007567A" w:rsidRDefault="0007567A" w:rsidP="0007567A"/>
        </w:tc>
      </w:tr>
      <w:tr w:rsidR="0007567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07567A" w:rsidRDefault="0007567A" w:rsidP="00966708">
            <w:r>
              <w:t xml:space="preserve">Michael W. Sole </w:t>
            </w:r>
          </w:p>
          <w:p w:rsidR="0007567A" w:rsidRPr="00AE5733" w:rsidRDefault="0007567A" w:rsidP="00D878F5">
            <w:pPr>
              <w:rPr>
                <w:u w:val="single"/>
              </w:rPr>
            </w:pPr>
            <w:proofErr w:type="spellStart"/>
            <w:r>
              <w:t>Renae</w:t>
            </w:r>
            <w:proofErr w:type="spellEnd"/>
            <w:r>
              <w:t xml:space="preserve"> Deaton </w:t>
            </w:r>
          </w:p>
        </w:tc>
        <w:tc>
          <w:tcPr>
            <w:tcW w:w="1710" w:type="dxa"/>
            <w:gridSpan w:val="2"/>
          </w:tcPr>
          <w:p w:rsidR="0007567A" w:rsidRPr="00AE5733" w:rsidRDefault="0007567A" w:rsidP="00D878F5">
            <w:pPr>
              <w:jc w:val="center"/>
              <w:rPr>
                <w:u w:val="single"/>
              </w:rPr>
            </w:pPr>
            <w:r>
              <w:t>STAFF</w:t>
            </w:r>
          </w:p>
        </w:tc>
        <w:tc>
          <w:tcPr>
            <w:tcW w:w="1530" w:type="dxa"/>
            <w:gridSpan w:val="3"/>
          </w:tcPr>
          <w:p w:rsidR="0007567A" w:rsidRDefault="0007567A" w:rsidP="00D878F5">
            <w:pPr>
              <w:pStyle w:val="PleadingSig"/>
              <w:jc w:val="left"/>
            </w:pPr>
          </w:p>
        </w:tc>
        <w:tc>
          <w:tcPr>
            <w:tcW w:w="3150" w:type="dxa"/>
          </w:tcPr>
          <w:p w:rsidR="0007567A" w:rsidRDefault="0007567A" w:rsidP="00D878F5">
            <w:pPr>
              <w:pStyle w:val="PleadingSig"/>
              <w:jc w:val="left"/>
            </w:pPr>
            <w:r>
              <w:t>FPL’s response to Staff’s Fourth Set of Interrogatories Nos. 13-14</w:t>
            </w:r>
          </w:p>
          <w:p w:rsidR="0007567A" w:rsidRPr="0007567A" w:rsidRDefault="0007567A" w:rsidP="0007567A"/>
        </w:tc>
      </w:tr>
      <w:tr w:rsidR="0007567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07567A" w:rsidRDefault="0007567A" w:rsidP="00966708">
            <w:r>
              <w:lastRenderedPageBreak/>
              <w:t xml:space="preserve">Tim Hill </w:t>
            </w:r>
          </w:p>
          <w:p w:rsidR="0007567A" w:rsidRDefault="0007567A" w:rsidP="00966708">
            <w:r>
              <w:t xml:space="preserve">Christopher Menendez </w:t>
            </w:r>
          </w:p>
        </w:tc>
        <w:tc>
          <w:tcPr>
            <w:tcW w:w="1710" w:type="dxa"/>
            <w:gridSpan w:val="2"/>
          </w:tcPr>
          <w:p w:rsidR="0007567A" w:rsidRDefault="0007567A" w:rsidP="00966708">
            <w:pPr>
              <w:jc w:val="center"/>
            </w:pPr>
            <w:r>
              <w:t>STAFF</w:t>
            </w:r>
          </w:p>
        </w:tc>
        <w:tc>
          <w:tcPr>
            <w:tcW w:w="1530" w:type="dxa"/>
            <w:gridSpan w:val="3"/>
          </w:tcPr>
          <w:p w:rsidR="0007567A" w:rsidRDefault="0007567A" w:rsidP="00966708">
            <w:pPr>
              <w:pStyle w:val="PleadingSig"/>
              <w:jc w:val="left"/>
            </w:pPr>
          </w:p>
        </w:tc>
        <w:tc>
          <w:tcPr>
            <w:tcW w:w="3150" w:type="dxa"/>
          </w:tcPr>
          <w:p w:rsidR="0007567A" w:rsidRDefault="0007567A" w:rsidP="00966708">
            <w:pPr>
              <w:pStyle w:val="PleadingSig"/>
              <w:jc w:val="left"/>
            </w:pPr>
            <w:r>
              <w:t>DEF’s response to Staff’s Fifth Set of Interrogatories Nos. 19-21</w:t>
            </w:r>
          </w:p>
          <w:p w:rsidR="0007567A" w:rsidRPr="0007567A" w:rsidRDefault="0007567A" w:rsidP="0007567A"/>
        </w:tc>
      </w:tr>
      <w:tr w:rsidR="0007567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07567A" w:rsidRDefault="0007567A" w:rsidP="00966708"/>
        </w:tc>
        <w:tc>
          <w:tcPr>
            <w:tcW w:w="1710" w:type="dxa"/>
            <w:gridSpan w:val="2"/>
          </w:tcPr>
          <w:p w:rsidR="0007567A" w:rsidRDefault="0007567A" w:rsidP="00966708">
            <w:pPr>
              <w:jc w:val="center"/>
            </w:pPr>
            <w:r>
              <w:t>STAFF</w:t>
            </w:r>
          </w:p>
        </w:tc>
        <w:tc>
          <w:tcPr>
            <w:tcW w:w="1530" w:type="dxa"/>
            <w:gridSpan w:val="3"/>
          </w:tcPr>
          <w:p w:rsidR="0007567A" w:rsidRDefault="0007567A" w:rsidP="00966708">
            <w:pPr>
              <w:pStyle w:val="PleadingSig"/>
              <w:jc w:val="left"/>
            </w:pPr>
          </w:p>
        </w:tc>
        <w:tc>
          <w:tcPr>
            <w:tcW w:w="3150" w:type="dxa"/>
          </w:tcPr>
          <w:p w:rsidR="0007567A" w:rsidRDefault="0007567A" w:rsidP="00966708">
            <w:pPr>
              <w:pStyle w:val="PleadingSig"/>
              <w:jc w:val="left"/>
            </w:pPr>
            <w:r>
              <w:t>DEF’s response to Staff’s Second Request for Production of Documents Nos. 2-3</w:t>
            </w:r>
          </w:p>
          <w:p w:rsidR="0007567A" w:rsidRPr="0007567A" w:rsidRDefault="0007567A" w:rsidP="0007567A"/>
        </w:tc>
      </w:tr>
      <w:tr w:rsidR="0007567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07567A" w:rsidRDefault="0007567A" w:rsidP="00966708">
            <w:proofErr w:type="spellStart"/>
            <w:r>
              <w:t>Renae</w:t>
            </w:r>
            <w:proofErr w:type="spellEnd"/>
            <w:r>
              <w:t xml:space="preserve"> Deaton</w:t>
            </w:r>
          </w:p>
        </w:tc>
        <w:tc>
          <w:tcPr>
            <w:tcW w:w="1710" w:type="dxa"/>
            <w:gridSpan w:val="2"/>
          </w:tcPr>
          <w:p w:rsidR="0007567A" w:rsidRDefault="0007567A" w:rsidP="00966708">
            <w:pPr>
              <w:jc w:val="center"/>
            </w:pPr>
            <w:r>
              <w:t>STAFF</w:t>
            </w:r>
          </w:p>
        </w:tc>
        <w:tc>
          <w:tcPr>
            <w:tcW w:w="1530" w:type="dxa"/>
            <w:gridSpan w:val="3"/>
          </w:tcPr>
          <w:p w:rsidR="0007567A" w:rsidRDefault="0007567A" w:rsidP="00966708">
            <w:pPr>
              <w:pStyle w:val="PleadingSig"/>
              <w:jc w:val="left"/>
            </w:pPr>
          </w:p>
        </w:tc>
        <w:tc>
          <w:tcPr>
            <w:tcW w:w="3150" w:type="dxa"/>
          </w:tcPr>
          <w:p w:rsidR="0007567A" w:rsidRDefault="0007567A" w:rsidP="00966708">
            <w:pPr>
              <w:pStyle w:val="PleadingSig"/>
              <w:jc w:val="left"/>
            </w:pPr>
            <w:r>
              <w:t>FPL’s response to Staff’s Fifth Set of Interrogatories Nos. 15-16</w:t>
            </w:r>
          </w:p>
          <w:p w:rsidR="0007567A" w:rsidRPr="0007567A" w:rsidRDefault="0007567A" w:rsidP="0007567A"/>
        </w:tc>
      </w:tr>
      <w:tr w:rsidR="0007567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07567A" w:rsidRDefault="0007567A" w:rsidP="00966708">
            <w:r>
              <w:t xml:space="preserve">R. M. Markey </w:t>
            </w:r>
          </w:p>
          <w:p w:rsidR="0007567A" w:rsidRDefault="0007567A" w:rsidP="00966708">
            <w:r>
              <w:t>C.S. Boyett</w:t>
            </w:r>
          </w:p>
        </w:tc>
        <w:tc>
          <w:tcPr>
            <w:tcW w:w="1710" w:type="dxa"/>
            <w:gridSpan w:val="2"/>
          </w:tcPr>
          <w:p w:rsidR="0007567A" w:rsidRDefault="0007567A" w:rsidP="00966708">
            <w:pPr>
              <w:jc w:val="center"/>
            </w:pPr>
            <w:r>
              <w:t>STAFF</w:t>
            </w:r>
          </w:p>
        </w:tc>
        <w:tc>
          <w:tcPr>
            <w:tcW w:w="1530" w:type="dxa"/>
            <w:gridSpan w:val="3"/>
          </w:tcPr>
          <w:p w:rsidR="0007567A" w:rsidRDefault="0007567A" w:rsidP="00966708">
            <w:pPr>
              <w:pStyle w:val="PleadingSig"/>
              <w:jc w:val="left"/>
            </w:pPr>
          </w:p>
        </w:tc>
        <w:tc>
          <w:tcPr>
            <w:tcW w:w="3150" w:type="dxa"/>
          </w:tcPr>
          <w:p w:rsidR="0007567A" w:rsidRDefault="0007567A" w:rsidP="00966708">
            <w:pPr>
              <w:pStyle w:val="PleadingSig"/>
              <w:jc w:val="left"/>
            </w:pPr>
            <w:r>
              <w:t>Gulf’s response to Staff’s Third Set of Interrogatories Nos. 13-17</w:t>
            </w:r>
          </w:p>
          <w:p w:rsidR="0007567A" w:rsidRPr="0007567A" w:rsidRDefault="0007567A" w:rsidP="0007567A"/>
        </w:tc>
      </w:tr>
      <w:tr w:rsidR="0007567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07567A" w:rsidRDefault="0007567A" w:rsidP="00966708"/>
        </w:tc>
        <w:tc>
          <w:tcPr>
            <w:tcW w:w="1710" w:type="dxa"/>
            <w:gridSpan w:val="2"/>
          </w:tcPr>
          <w:p w:rsidR="0007567A" w:rsidRDefault="0007567A" w:rsidP="00966708">
            <w:pPr>
              <w:jc w:val="center"/>
            </w:pPr>
            <w:r>
              <w:t>STAFF</w:t>
            </w:r>
          </w:p>
        </w:tc>
        <w:tc>
          <w:tcPr>
            <w:tcW w:w="1530" w:type="dxa"/>
            <w:gridSpan w:val="3"/>
          </w:tcPr>
          <w:p w:rsidR="0007567A" w:rsidRDefault="0007567A" w:rsidP="00966708">
            <w:pPr>
              <w:pStyle w:val="PleadingSig"/>
              <w:jc w:val="left"/>
            </w:pPr>
          </w:p>
        </w:tc>
        <w:tc>
          <w:tcPr>
            <w:tcW w:w="3150" w:type="dxa"/>
          </w:tcPr>
          <w:p w:rsidR="0007567A" w:rsidRDefault="0007567A" w:rsidP="00966708">
            <w:pPr>
              <w:pStyle w:val="PleadingSig"/>
              <w:jc w:val="left"/>
            </w:pPr>
            <w:r>
              <w:t xml:space="preserve">Gulf’s response to Staff’s First Request for Production of Documents Nos. 1-3 </w:t>
            </w:r>
            <w:r w:rsidRPr="00305467">
              <w:t>with attachments</w:t>
            </w:r>
          </w:p>
          <w:p w:rsidR="0007567A" w:rsidRPr="0007567A" w:rsidRDefault="0007567A" w:rsidP="0007567A"/>
        </w:tc>
      </w:tr>
      <w:tr w:rsidR="0007567A"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07567A" w:rsidRDefault="0007567A" w:rsidP="00966708">
            <w:r w:rsidRPr="006617DB">
              <w:t xml:space="preserve">Paul </w:t>
            </w:r>
            <w:proofErr w:type="spellStart"/>
            <w:r w:rsidRPr="006617DB">
              <w:t>Carpinone</w:t>
            </w:r>
            <w:proofErr w:type="spellEnd"/>
          </w:p>
          <w:p w:rsidR="0007567A" w:rsidRDefault="0007567A" w:rsidP="00966708">
            <w:r w:rsidRPr="00EF08DA">
              <w:t>Penelope A. Rusk</w:t>
            </w:r>
          </w:p>
        </w:tc>
        <w:tc>
          <w:tcPr>
            <w:tcW w:w="1710" w:type="dxa"/>
            <w:gridSpan w:val="2"/>
          </w:tcPr>
          <w:p w:rsidR="0007567A" w:rsidRDefault="0007567A" w:rsidP="00966708">
            <w:pPr>
              <w:jc w:val="center"/>
            </w:pPr>
            <w:r>
              <w:t>STAFF</w:t>
            </w:r>
          </w:p>
        </w:tc>
        <w:tc>
          <w:tcPr>
            <w:tcW w:w="1530" w:type="dxa"/>
            <w:gridSpan w:val="3"/>
          </w:tcPr>
          <w:p w:rsidR="0007567A" w:rsidRDefault="0007567A" w:rsidP="00966708">
            <w:pPr>
              <w:pStyle w:val="PleadingSig"/>
              <w:jc w:val="left"/>
            </w:pPr>
          </w:p>
        </w:tc>
        <w:tc>
          <w:tcPr>
            <w:tcW w:w="3150" w:type="dxa"/>
          </w:tcPr>
          <w:p w:rsidR="0007567A" w:rsidRDefault="0007567A" w:rsidP="00966708">
            <w:pPr>
              <w:pStyle w:val="PleadingSig"/>
              <w:jc w:val="left"/>
            </w:pPr>
            <w:r>
              <w:t>TECO’s response to Staff’s Fifth Set of Interrogatories Nos. 11-15</w:t>
            </w:r>
          </w:p>
          <w:p w:rsidR="0007567A" w:rsidRPr="0007567A" w:rsidRDefault="0007567A" w:rsidP="0007567A"/>
        </w:tc>
      </w:tr>
      <w:tr w:rsidR="0007567A" w:rsidRPr="00923D98"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07567A" w:rsidRDefault="0007567A" w:rsidP="00966708">
            <w:r>
              <w:t xml:space="preserve">C.S. Boyett </w:t>
            </w:r>
          </w:p>
          <w:p w:rsidR="0007567A" w:rsidRDefault="0007567A" w:rsidP="00966708">
            <w:r>
              <w:t>R. M. Markey</w:t>
            </w:r>
          </w:p>
        </w:tc>
        <w:tc>
          <w:tcPr>
            <w:tcW w:w="1710" w:type="dxa"/>
            <w:gridSpan w:val="2"/>
          </w:tcPr>
          <w:p w:rsidR="0007567A" w:rsidRDefault="0007567A" w:rsidP="00966708">
            <w:pPr>
              <w:jc w:val="center"/>
            </w:pPr>
            <w:r>
              <w:t>STAFF</w:t>
            </w:r>
          </w:p>
        </w:tc>
        <w:tc>
          <w:tcPr>
            <w:tcW w:w="1530" w:type="dxa"/>
            <w:gridSpan w:val="3"/>
          </w:tcPr>
          <w:p w:rsidR="0007567A" w:rsidRDefault="0007567A" w:rsidP="00966708">
            <w:pPr>
              <w:pStyle w:val="PleadingSig"/>
              <w:jc w:val="left"/>
            </w:pPr>
          </w:p>
        </w:tc>
        <w:tc>
          <w:tcPr>
            <w:tcW w:w="3150" w:type="dxa"/>
          </w:tcPr>
          <w:p w:rsidR="0007567A" w:rsidRDefault="0007567A" w:rsidP="00966708">
            <w:pPr>
              <w:pStyle w:val="PleadingSig"/>
              <w:jc w:val="left"/>
            </w:pPr>
            <w:r>
              <w:t>Gulf’s response to OPC’s Second Set of Interrogatories Nos. 5-10</w:t>
            </w:r>
          </w:p>
        </w:tc>
      </w:tr>
      <w:tr w:rsidR="0007567A" w:rsidRPr="00923D98"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07567A" w:rsidRDefault="0007567A" w:rsidP="00966708"/>
        </w:tc>
        <w:tc>
          <w:tcPr>
            <w:tcW w:w="1710" w:type="dxa"/>
            <w:gridSpan w:val="2"/>
          </w:tcPr>
          <w:p w:rsidR="0007567A" w:rsidRDefault="0007567A" w:rsidP="00966708">
            <w:pPr>
              <w:jc w:val="center"/>
            </w:pPr>
            <w:r>
              <w:t>STAFF</w:t>
            </w:r>
          </w:p>
        </w:tc>
        <w:tc>
          <w:tcPr>
            <w:tcW w:w="1530" w:type="dxa"/>
            <w:gridSpan w:val="3"/>
          </w:tcPr>
          <w:p w:rsidR="0007567A" w:rsidRDefault="0007567A" w:rsidP="00966708">
            <w:pPr>
              <w:pStyle w:val="PleadingSig"/>
              <w:jc w:val="left"/>
            </w:pPr>
          </w:p>
        </w:tc>
        <w:tc>
          <w:tcPr>
            <w:tcW w:w="3150" w:type="dxa"/>
          </w:tcPr>
          <w:p w:rsidR="0007567A" w:rsidRDefault="0007567A" w:rsidP="00966708">
            <w:pPr>
              <w:pStyle w:val="PleadingSig"/>
              <w:jc w:val="left"/>
            </w:pPr>
            <w:r>
              <w:t>Gulf’s response to OPC’s Second Request for Production of Documents Nos. 5-10</w:t>
            </w:r>
          </w:p>
          <w:p w:rsidR="0007567A" w:rsidRPr="0007567A" w:rsidRDefault="0007567A" w:rsidP="0007567A"/>
        </w:tc>
      </w:tr>
      <w:tr w:rsidR="0007567A" w:rsidRPr="00923D98"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07567A" w:rsidRDefault="0007567A" w:rsidP="00966708"/>
        </w:tc>
        <w:tc>
          <w:tcPr>
            <w:tcW w:w="1710" w:type="dxa"/>
            <w:gridSpan w:val="2"/>
          </w:tcPr>
          <w:p w:rsidR="0007567A" w:rsidRDefault="0007567A" w:rsidP="00966708">
            <w:pPr>
              <w:jc w:val="center"/>
            </w:pPr>
            <w:r>
              <w:t>STAFF</w:t>
            </w:r>
          </w:p>
        </w:tc>
        <w:tc>
          <w:tcPr>
            <w:tcW w:w="1530" w:type="dxa"/>
            <w:gridSpan w:val="3"/>
          </w:tcPr>
          <w:p w:rsidR="0007567A" w:rsidRDefault="0007567A" w:rsidP="00966708">
            <w:pPr>
              <w:pStyle w:val="PleadingSig"/>
              <w:jc w:val="left"/>
            </w:pPr>
          </w:p>
        </w:tc>
        <w:tc>
          <w:tcPr>
            <w:tcW w:w="3150" w:type="dxa"/>
          </w:tcPr>
          <w:p w:rsidR="0007567A" w:rsidRDefault="0007567A" w:rsidP="00966708">
            <w:pPr>
              <w:pStyle w:val="PleadingSig"/>
              <w:jc w:val="left"/>
            </w:pPr>
            <w:r>
              <w:t>DEF’s Letter A</w:t>
            </w:r>
            <w:r w:rsidRPr="002E3DFB">
              <w:t xml:space="preserve">dvising the Commission of </w:t>
            </w:r>
            <w:r>
              <w:t>New E</w:t>
            </w:r>
            <w:r w:rsidRPr="002E3DFB">
              <w:t xml:space="preserve">nvironmental </w:t>
            </w:r>
            <w:r>
              <w:t>P</w:t>
            </w:r>
            <w:r w:rsidRPr="002E3DFB">
              <w:t>roject</w:t>
            </w:r>
            <w:r>
              <w:t xml:space="preserve"> dated July 3, 2019 (Document No. 05320-2019)</w:t>
            </w:r>
          </w:p>
          <w:p w:rsidR="0007567A" w:rsidRPr="0007567A" w:rsidRDefault="0007567A" w:rsidP="0007567A"/>
        </w:tc>
      </w:tr>
      <w:tr w:rsidR="0007567A" w:rsidRPr="00923D98"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07567A" w:rsidRDefault="0007567A" w:rsidP="00966708"/>
        </w:tc>
        <w:tc>
          <w:tcPr>
            <w:tcW w:w="1710" w:type="dxa"/>
            <w:gridSpan w:val="2"/>
          </w:tcPr>
          <w:p w:rsidR="0007567A" w:rsidRDefault="0007567A" w:rsidP="00966708">
            <w:pPr>
              <w:jc w:val="center"/>
            </w:pPr>
            <w:r>
              <w:t>STAFF</w:t>
            </w:r>
          </w:p>
        </w:tc>
        <w:tc>
          <w:tcPr>
            <w:tcW w:w="1530" w:type="dxa"/>
            <w:gridSpan w:val="3"/>
          </w:tcPr>
          <w:p w:rsidR="0007567A" w:rsidRDefault="0007567A" w:rsidP="00966708">
            <w:pPr>
              <w:pStyle w:val="PleadingSig"/>
              <w:jc w:val="left"/>
            </w:pPr>
          </w:p>
        </w:tc>
        <w:tc>
          <w:tcPr>
            <w:tcW w:w="3150" w:type="dxa"/>
          </w:tcPr>
          <w:p w:rsidR="0007567A" w:rsidRDefault="0007567A" w:rsidP="00966708">
            <w:pPr>
              <w:pStyle w:val="PleadingSig"/>
              <w:jc w:val="left"/>
            </w:pPr>
            <w:r>
              <w:t>Gulf’s Petition for Approval of Environmental Cost Recovery True-up and 2020 Environmental Cost Recovery Clause F</w:t>
            </w:r>
            <w:r w:rsidRPr="002E3DFB">
              <w:t>actors</w:t>
            </w:r>
            <w:r>
              <w:t xml:space="preserve"> dated August 30, 2019 (Document No. 08542-2019)</w:t>
            </w:r>
          </w:p>
        </w:tc>
      </w:tr>
      <w:tr w:rsidR="0007567A" w:rsidRPr="00923D98" w:rsidTr="0007567A">
        <w:tblPrEx>
          <w:tblCellMar>
            <w:top w:w="0" w:type="dxa"/>
            <w:left w:w="108" w:type="dxa"/>
            <w:bottom w:w="0" w:type="dxa"/>
            <w:right w:w="108" w:type="dxa"/>
          </w:tblCellMar>
          <w:tblLook w:val="01E0" w:firstRow="1" w:lastRow="1" w:firstColumn="1" w:lastColumn="1" w:noHBand="0" w:noVBand="0"/>
        </w:tblPrEx>
        <w:trPr>
          <w:gridAfter w:val="1"/>
          <w:wAfter w:w="25" w:type="dxa"/>
          <w:cantSplit/>
          <w:trHeight w:val="720"/>
        </w:trPr>
        <w:tc>
          <w:tcPr>
            <w:tcW w:w="3150" w:type="dxa"/>
          </w:tcPr>
          <w:p w:rsidR="0007567A" w:rsidRDefault="0007567A" w:rsidP="00966708"/>
        </w:tc>
        <w:tc>
          <w:tcPr>
            <w:tcW w:w="1710" w:type="dxa"/>
            <w:gridSpan w:val="2"/>
          </w:tcPr>
          <w:p w:rsidR="0007567A" w:rsidRDefault="0007567A" w:rsidP="00966708">
            <w:pPr>
              <w:jc w:val="center"/>
            </w:pPr>
          </w:p>
        </w:tc>
        <w:tc>
          <w:tcPr>
            <w:tcW w:w="1530" w:type="dxa"/>
            <w:gridSpan w:val="3"/>
          </w:tcPr>
          <w:p w:rsidR="0007567A" w:rsidRDefault="0007567A" w:rsidP="00966708">
            <w:pPr>
              <w:pStyle w:val="PleadingSig"/>
              <w:jc w:val="left"/>
            </w:pPr>
          </w:p>
        </w:tc>
        <w:tc>
          <w:tcPr>
            <w:tcW w:w="3150" w:type="dxa"/>
          </w:tcPr>
          <w:p w:rsidR="0007567A" w:rsidRDefault="0007567A" w:rsidP="00966708">
            <w:pPr>
              <w:pStyle w:val="PleadingSig"/>
              <w:jc w:val="left"/>
            </w:pPr>
          </w:p>
        </w:tc>
      </w:tr>
    </w:tbl>
    <w:p w:rsidR="006E1552" w:rsidRPr="00A32DC5" w:rsidRDefault="006E1552" w:rsidP="006E1552">
      <w:pPr>
        <w:jc w:val="both"/>
        <w:rPr>
          <w:b/>
        </w:rPr>
      </w:pPr>
      <w:r w:rsidRPr="00A32DC5">
        <w:rPr>
          <w:b/>
        </w:rPr>
        <w:t>X.</w:t>
      </w:r>
      <w:r w:rsidRPr="00A32DC5">
        <w:rPr>
          <w:b/>
        </w:rPr>
        <w:tab/>
      </w:r>
      <w:r w:rsidRPr="00A32DC5">
        <w:rPr>
          <w:b/>
          <w:u w:val="single"/>
        </w:rPr>
        <w:t>PROPOSED STIPULATIONS</w:t>
      </w:r>
    </w:p>
    <w:p w:rsidR="00B8196F" w:rsidRDefault="00B8196F" w:rsidP="007D25E4">
      <w:pPr>
        <w:jc w:val="both"/>
      </w:pPr>
    </w:p>
    <w:p w:rsidR="005B2609" w:rsidRDefault="00D17A5D" w:rsidP="00D878F5">
      <w:pPr>
        <w:ind w:left="720"/>
        <w:jc w:val="both"/>
      </w:pPr>
      <w:r w:rsidRPr="00D17A5D">
        <w:t xml:space="preserve">DEF, FPL, Gulf, and TECO support the </w:t>
      </w:r>
      <w:r w:rsidR="005B2609">
        <w:t xml:space="preserve">proposed </w:t>
      </w:r>
      <w:r w:rsidRPr="00D17A5D">
        <w:t xml:space="preserve">stipulations. </w:t>
      </w:r>
      <w:r>
        <w:t xml:space="preserve">OPC, FIPUG, and PCS Phosphate take no position on </w:t>
      </w:r>
      <w:r w:rsidR="005B2609">
        <w:t>the</w:t>
      </w:r>
      <w:r>
        <w:t xml:space="preserve"> proposed stipulations. Sierra Club intervened to address Issue 14 only and takes no position on the proposed stipulation of that issue.  </w:t>
      </w:r>
    </w:p>
    <w:p w:rsidR="005B2609" w:rsidRDefault="005B2609" w:rsidP="00B8196F">
      <w:pPr>
        <w:jc w:val="both"/>
      </w:pPr>
    </w:p>
    <w:p w:rsidR="00D17A5D" w:rsidRDefault="005B2609" w:rsidP="00D878F5">
      <w:pPr>
        <w:ind w:left="720"/>
        <w:jc w:val="both"/>
      </w:pPr>
      <w:r>
        <w:t xml:space="preserve">All witnesses are excused. Testimony and hearing exhibits are included in the record. </w:t>
      </w:r>
      <w:r w:rsidR="00D17A5D">
        <w:t xml:space="preserve"> </w:t>
      </w:r>
    </w:p>
    <w:p w:rsidR="00D17A5D" w:rsidRDefault="00D17A5D" w:rsidP="00B8196F">
      <w:pPr>
        <w:jc w:val="both"/>
      </w:pPr>
    </w:p>
    <w:p w:rsidR="00B8196F" w:rsidRPr="00D34D55" w:rsidRDefault="00D17A5D" w:rsidP="00D878F5">
      <w:pPr>
        <w:ind w:left="720"/>
        <w:jc w:val="both"/>
      </w:pPr>
      <w:r w:rsidRPr="00D17A5D">
        <w:t xml:space="preserve">Gulf’s numbers in Issues 3, 4, </w:t>
      </w:r>
      <w:r>
        <w:t xml:space="preserve">and </w:t>
      </w:r>
      <w:r w:rsidRPr="00D17A5D">
        <w:t xml:space="preserve">7 have been reduced consistent with the proposed stipulation of Issue 14. </w:t>
      </w:r>
    </w:p>
    <w:p w:rsidR="00B8196F" w:rsidRDefault="00B8196F" w:rsidP="00B8196F">
      <w:pPr>
        <w:spacing w:line="276" w:lineRule="auto"/>
        <w:ind w:left="1440" w:hanging="1440"/>
        <w:jc w:val="both"/>
        <w:rPr>
          <w:rFonts w:eastAsia="Calibri"/>
          <w:b/>
          <w:bCs/>
        </w:rPr>
      </w:pPr>
    </w:p>
    <w:p w:rsidR="00B8196F" w:rsidRDefault="00B8196F" w:rsidP="00B8196F">
      <w:pPr>
        <w:ind w:left="1440" w:hanging="1440"/>
        <w:jc w:val="both"/>
        <w:rPr>
          <w:rFonts w:eastAsia="Calibri"/>
          <w:b/>
        </w:rPr>
      </w:pPr>
      <w:r w:rsidRPr="003D6A96">
        <w:rPr>
          <w:rFonts w:eastAsia="Calibri"/>
          <w:b/>
          <w:bCs/>
          <w:u w:val="single"/>
        </w:rPr>
        <w:t>ISSUE 1</w:t>
      </w:r>
      <w:r>
        <w:rPr>
          <w:rFonts w:eastAsia="Calibri"/>
          <w:b/>
          <w:bCs/>
        </w:rPr>
        <w:t>:</w:t>
      </w:r>
      <w:r>
        <w:rPr>
          <w:rFonts w:eastAsia="Calibri"/>
          <w:b/>
          <w:bCs/>
        </w:rPr>
        <w:tab/>
      </w:r>
      <w:r w:rsidRPr="00C26029">
        <w:rPr>
          <w:rFonts w:eastAsia="Calibri"/>
          <w:b/>
        </w:rPr>
        <w:t>What are the final environmental cost recovery true-up amounts for the period January 2018 through December 2018?</w:t>
      </w:r>
    </w:p>
    <w:p w:rsidR="00B8196F" w:rsidRDefault="00B8196F" w:rsidP="00B8196F">
      <w:pPr>
        <w:spacing w:line="276" w:lineRule="auto"/>
        <w:ind w:left="900" w:hanging="900"/>
        <w:jc w:val="both"/>
        <w:rPr>
          <w:rFonts w:eastAsia="Calibri"/>
          <w:b/>
        </w:rPr>
      </w:pPr>
    </w:p>
    <w:tbl>
      <w:tblPr>
        <w:tblW w:w="4571"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6"/>
        <w:gridCol w:w="2195"/>
      </w:tblGrid>
      <w:tr w:rsidR="00B8196F" w:rsidRPr="00D90DAE" w:rsidTr="00B8196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90DAE" w:rsidRDefault="00B8196F" w:rsidP="00B8196F">
            <w:pPr>
              <w:jc w:val="both"/>
              <w:rPr>
                <w:sz w:val="22"/>
                <w:szCs w:val="22"/>
              </w:rPr>
            </w:pPr>
            <w:r w:rsidRPr="00D90DAE">
              <w:rPr>
                <w:sz w:val="22"/>
                <w:szCs w:val="22"/>
              </w:rPr>
              <w:t xml:space="preserve">FPL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8196F" w:rsidRPr="00D90DAE" w:rsidRDefault="00B8196F" w:rsidP="00B8196F">
            <w:pPr>
              <w:jc w:val="both"/>
              <w:rPr>
                <w:sz w:val="22"/>
                <w:szCs w:val="22"/>
              </w:rPr>
            </w:pPr>
            <w:r w:rsidRPr="004A4383">
              <w:rPr>
                <w:sz w:val="22"/>
                <w:szCs w:val="22"/>
              </w:rPr>
              <w:t>$22,191,591</w:t>
            </w:r>
          </w:p>
        </w:tc>
        <w:tc>
          <w:tcPr>
            <w:tcW w:w="2195" w:type="dxa"/>
            <w:tcBorders>
              <w:top w:val="single" w:sz="4" w:space="0" w:color="auto"/>
              <w:left w:val="single" w:sz="4" w:space="0" w:color="auto"/>
              <w:bottom w:val="single" w:sz="4" w:space="0" w:color="auto"/>
              <w:right w:val="single" w:sz="4" w:space="0" w:color="auto"/>
            </w:tcBorders>
            <w:noWrap/>
            <w:vAlign w:val="bottom"/>
            <w:hideMark/>
          </w:tcPr>
          <w:p w:rsidR="00B8196F" w:rsidRPr="00D90DAE" w:rsidRDefault="00B8196F" w:rsidP="00B8196F">
            <w:pPr>
              <w:jc w:val="both"/>
              <w:rPr>
                <w:sz w:val="22"/>
                <w:szCs w:val="22"/>
              </w:rPr>
            </w:pPr>
            <w:r>
              <w:rPr>
                <w:sz w:val="22"/>
                <w:szCs w:val="22"/>
              </w:rPr>
              <w:t>Over-recovery</w:t>
            </w:r>
          </w:p>
        </w:tc>
      </w:tr>
      <w:tr w:rsidR="00B8196F" w:rsidRPr="00D90DAE" w:rsidTr="00B8196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90DAE" w:rsidRDefault="00B8196F" w:rsidP="00B8196F">
            <w:pPr>
              <w:jc w:val="both"/>
              <w:rPr>
                <w:sz w:val="22"/>
                <w:szCs w:val="22"/>
              </w:rPr>
            </w:pPr>
            <w:r w:rsidRPr="00D90DAE">
              <w:rPr>
                <w:sz w:val="22"/>
                <w:szCs w:val="22"/>
              </w:rPr>
              <w:t xml:space="preserve">DEF </w:t>
            </w:r>
          </w:p>
        </w:tc>
        <w:tc>
          <w:tcPr>
            <w:tcW w:w="1416" w:type="dxa"/>
            <w:tcBorders>
              <w:top w:val="single" w:sz="4" w:space="0" w:color="auto"/>
              <w:left w:val="single" w:sz="4" w:space="0" w:color="auto"/>
              <w:bottom w:val="single" w:sz="4" w:space="0" w:color="auto"/>
              <w:right w:val="single" w:sz="4" w:space="0" w:color="auto"/>
            </w:tcBorders>
            <w:noWrap/>
            <w:vAlign w:val="bottom"/>
          </w:tcPr>
          <w:p w:rsidR="00B8196F" w:rsidRPr="00D90DAE" w:rsidRDefault="00B8196F" w:rsidP="00B8196F">
            <w:pPr>
              <w:jc w:val="both"/>
              <w:rPr>
                <w:sz w:val="22"/>
                <w:szCs w:val="22"/>
              </w:rPr>
            </w:pPr>
            <w:r w:rsidRPr="00E84D6C">
              <w:rPr>
                <w:sz w:val="22"/>
                <w:szCs w:val="22"/>
              </w:rPr>
              <w:t>$1,988,942</w:t>
            </w:r>
          </w:p>
        </w:tc>
        <w:tc>
          <w:tcPr>
            <w:tcW w:w="2195" w:type="dxa"/>
            <w:tcBorders>
              <w:top w:val="single" w:sz="4" w:space="0" w:color="auto"/>
              <w:left w:val="single" w:sz="4" w:space="0" w:color="auto"/>
              <w:bottom w:val="single" w:sz="4" w:space="0" w:color="auto"/>
              <w:right w:val="single" w:sz="4" w:space="0" w:color="auto"/>
            </w:tcBorders>
            <w:noWrap/>
            <w:vAlign w:val="bottom"/>
          </w:tcPr>
          <w:p w:rsidR="00B8196F" w:rsidRPr="00D90DAE" w:rsidRDefault="00B8196F" w:rsidP="00B8196F">
            <w:pPr>
              <w:jc w:val="both"/>
              <w:rPr>
                <w:sz w:val="22"/>
                <w:szCs w:val="22"/>
              </w:rPr>
            </w:pPr>
            <w:r>
              <w:rPr>
                <w:sz w:val="22"/>
                <w:szCs w:val="22"/>
              </w:rPr>
              <w:t>Over-recovery</w:t>
            </w:r>
          </w:p>
        </w:tc>
      </w:tr>
      <w:tr w:rsidR="00B8196F" w:rsidRPr="00D90DAE" w:rsidTr="00B819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90DAE" w:rsidRDefault="00B8196F" w:rsidP="00B8196F">
            <w:pPr>
              <w:jc w:val="both"/>
              <w:rPr>
                <w:sz w:val="22"/>
                <w:szCs w:val="22"/>
              </w:rPr>
            </w:pPr>
            <w:r w:rsidRPr="00D90DAE">
              <w:rPr>
                <w:sz w:val="22"/>
                <w:szCs w:val="22"/>
              </w:rPr>
              <w:t xml:space="preserve">TECO </w:t>
            </w:r>
          </w:p>
        </w:tc>
        <w:tc>
          <w:tcPr>
            <w:tcW w:w="1416" w:type="dxa"/>
            <w:tcBorders>
              <w:top w:val="single" w:sz="4" w:space="0" w:color="auto"/>
              <w:left w:val="single" w:sz="4" w:space="0" w:color="auto"/>
              <w:bottom w:val="single" w:sz="4" w:space="0" w:color="auto"/>
              <w:right w:val="single" w:sz="4" w:space="0" w:color="auto"/>
            </w:tcBorders>
            <w:noWrap/>
            <w:vAlign w:val="bottom"/>
          </w:tcPr>
          <w:p w:rsidR="00B8196F" w:rsidRPr="00D90DAE" w:rsidRDefault="00B8196F" w:rsidP="00B8196F">
            <w:pPr>
              <w:jc w:val="both"/>
              <w:rPr>
                <w:sz w:val="22"/>
                <w:szCs w:val="22"/>
              </w:rPr>
            </w:pPr>
            <w:r w:rsidRPr="00E84D6C">
              <w:rPr>
                <w:sz w:val="22"/>
                <w:szCs w:val="22"/>
              </w:rPr>
              <w:t>$2,396,214</w:t>
            </w:r>
          </w:p>
        </w:tc>
        <w:tc>
          <w:tcPr>
            <w:tcW w:w="2195" w:type="dxa"/>
            <w:tcBorders>
              <w:top w:val="single" w:sz="4" w:space="0" w:color="auto"/>
              <w:left w:val="single" w:sz="4" w:space="0" w:color="auto"/>
              <w:bottom w:val="single" w:sz="4" w:space="0" w:color="auto"/>
              <w:right w:val="single" w:sz="4" w:space="0" w:color="auto"/>
            </w:tcBorders>
            <w:noWrap/>
            <w:vAlign w:val="bottom"/>
          </w:tcPr>
          <w:p w:rsidR="00B8196F" w:rsidRPr="00D90DAE" w:rsidRDefault="00B8196F" w:rsidP="00B8196F">
            <w:pPr>
              <w:jc w:val="both"/>
              <w:rPr>
                <w:sz w:val="22"/>
                <w:szCs w:val="22"/>
              </w:rPr>
            </w:pPr>
            <w:r>
              <w:rPr>
                <w:sz w:val="22"/>
                <w:szCs w:val="22"/>
              </w:rPr>
              <w:t>Over-recovery</w:t>
            </w:r>
          </w:p>
        </w:tc>
      </w:tr>
      <w:tr w:rsidR="00B8196F" w:rsidRPr="00D90DAE" w:rsidTr="00B819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90DAE" w:rsidRDefault="00B8196F" w:rsidP="00B8196F">
            <w:pPr>
              <w:jc w:val="both"/>
              <w:rPr>
                <w:sz w:val="22"/>
                <w:szCs w:val="22"/>
              </w:rPr>
            </w:pPr>
            <w:r w:rsidRPr="00D90DAE">
              <w:rPr>
                <w:sz w:val="22"/>
                <w:szCs w:val="22"/>
              </w:rPr>
              <w:t xml:space="preserve">GULF </w:t>
            </w:r>
          </w:p>
        </w:tc>
        <w:tc>
          <w:tcPr>
            <w:tcW w:w="1416" w:type="dxa"/>
            <w:tcBorders>
              <w:top w:val="single" w:sz="4" w:space="0" w:color="auto"/>
              <w:left w:val="single" w:sz="4" w:space="0" w:color="auto"/>
              <w:bottom w:val="single" w:sz="4" w:space="0" w:color="auto"/>
              <w:right w:val="single" w:sz="4" w:space="0" w:color="auto"/>
            </w:tcBorders>
            <w:noWrap/>
            <w:vAlign w:val="bottom"/>
          </w:tcPr>
          <w:p w:rsidR="00B8196F" w:rsidRPr="00D90DAE" w:rsidRDefault="00B8196F" w:rsidP="00B8196F">
            <w:pPr>
              <w:jc w:val="both"/>
              <w:rPr>
                <w:sz w:val="22"/>
                <w:szCs w:val="22"/>
              </w:rPr>
            </w:pPr>
            <w:r w:rsidRPr="00823565">
              <w:rPr>
                <w:sz w:val="22"/>
                <w:szCs w:val="22"/>
              </w:rPr>
              <w:t>$1,896,136</w:t>
            </w:r>
          </w:p>
        </w:tc>
        <w:tc>
          <w:tcPr>
            <w:tcW w:w="2195" w:type="dxa"/>
            <w:tcBorders>
              <w:top w:val="single" w:sz="4" w:space="0" w:color="auto"/>
              <w:left w:val="single" w:sz="4" w:space="0" w:color="auto"/>
              <w:bottom w:val="single" w:sz="4" w:space="0" w:color="auto"/>
              <w:right w:val="single" w:sz="4" w:space="0" w:color="auto"/>
            </w:tcBorders>
            <w:noWrap/>
            <w:vAlign w:val="bottom"/>
          </w:tcPr>
          <w:p w:rsidR="00B8196F" w:rsidRPr="00D90DAE" w:rsidRDefault="00B8196F" w:rsidP="00B8196F">
            <w:pPr>
              <w:jc w:val="both"/>
              <w:rPr>
                <w:sz w:val="22"/>
                <w:szCs w:val="22"/>
              </w:rPr>
            </w:pPr>
            <w:r>
              <w:rPr>
                <w:sz w:val="22"/>
                <w:szCs w:val="22"/>
              </w:rPr>
              <w:t>Over-recovery</w:t>
            </w:r>
          </w:p>
        </w:tc>
      </w:tr>
    </w:tbl>
    <w:p w:rsidR="00B8196F" w:rsidRPr="00D90DAE" w:rsidRDefault="00B8196F" w:rsidP="00B8196F">
      <w:pPr>
        <w:spacing w:after="200" w:line="276" w:lineRule="auto"/>
        <w:jc w:val="both"/>
        <w:rPr>
          <w:rFonts w:eastAsia="Calibri"/>
        </w:rPr>
      </w:pPr>
      <w:r>
        <w:rPr>
          <w:rFonts w:eastAsia="Calibri"/>
          <w:sz w:val="22"/>
          <w:szCs w:val="22"/>
        </w:rPr>
        <w:tab/>
      </w:r>
      <w:r>
        <w:rPr>
          <w:rFonts w:eastAsia="Calibri"/>
          <w:sz w:val="22"/>
          <w:szCs w:val="22"/>
        </w:rPr>
        <w:tab/>
      </w:r>
    </w:p>
    <w:p w:rsidR="00B8196F" w:rsidRDefault="00B8196F" w:rsidP="00B8196F">
      <w:pPr>
        <w:ind w:left="1440" w:hanging="1440"/>
        <w:jc w:val="both"/>
        <w:rPr>
          <w:rFonts w:eastAsia="Calibri"/>
          <w:b/>
        </w:rPr>
      </w:pPr>
      <w:r w:rsidRPr="003D6A96">
        <w:rPr>
          <w:rFonts w:eastAsia="Calibri"/>
          <w:b/>
          <w:bCs/>
          <w:u w:val="single"/>
        </w:rPr>
        <w:t>ISSUE 2</w:t>
      </w:r>
      <w:r>
        <w:rPr>
          <w:rFonts w:eastAsia="Calibri"/>
          <w:b/>
          <w:bCs/>
        </w:rPr>
        <w:t>:</w:t>
      </w:r>
      <w:r>
        <w:rPr>
          <w:rFonts w:eastAsia="Calibri"/>
          <w:b/>
          <w:bCs/>
        </w:rPr>
        <w:tab/>
      </w:r>
      <w:r w:rsidRPr="00C26029">
        <w:rPr>
          <w:rFonts w:eastAsia="Calibri"/>
          <w:b/>
        </w:rPr>
        <w:t>What are the actual/estimated environmenta</w:t>
      </w:r>
      <w:r>
        <w:rPr>
          <w:rFonts w:eastAsia="Calibri"/>
          <w:b/>
        </w:rPr>
        <w:t xml:space="preserve">l cost recovery true-up amounts </w:t>
      </w:r>
      <w:r w:rsidRPr="00C26029">
        <w:rPr>
          <w:rFonts w:eastAsia="Calibri"/>
          <w:b/>
        </w:rPr>
        <w:t>for the period January 2019 through December 2019?</w:t>
      </w:r>
    </w:p>
    <w:p w:rsidR="00B8196F" w:rsidRPr="00D90DAE" w:rsidRDefault="00B8196F" w:rsidP="00B8196F">
      <w:pPr>
        <w:ind w:left="1080" w:hanging="1080"/>
        <w:jc w:val="both"/>
        <w:rPr>
          <w:rFonts w:eastAsia="Calibri"/>
          <w:b/>
        </w:rPr>
      </w:pPr>
    </w:p>
    <w:tbl>
      <w:tblPr>
        <w:tblW w:w="4211"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6"/>
        <w:gridCol w:w="1835"/>
      </w:tblGrid>
      <w:tr w:rsidR="00B8196F" w:rsidRPr="00D90DAE" w:rsidTr="00B8196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90DAE" w:rsidRDefault="00B8196F" w:rsidP="00B8196F">
            <w:pPr>
              <w:jc w:val="both"/>
              <w:rPr>
                <w:sz w:val="22"/>
                <w:szCs w:val="22"/>
              </w:rPr>
            </w:pPr>
            <w:r w:rsidRPr="00D90DAE">
              <w:rPr>
                <w:sz w:val="22"/>
                <w:szCs w:val="22"/>
              </w:rPr>
              <w:t xml:space="preserve">FPL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8196F" w:rsidRPr="00D90DAE" w:rsidRDefault="00B8196F" w:rsidP="00B8196F">
            <w:pPr>
              <w:jc w:val="both"/>
              <w:rPr>
                <w:sz w:val="22"/>
                <w:szCs w:val="22"/>
              </w:rPr>
            </w:pPr>
            <w:r w:rsidRPr="004A4383">
              <w:rPr>
                <w:sz w:val="22"/>
                <w:szCs w:val="22"/>
              </w:rPr>
              <w:t>$7,117,811</w:t>
            </w:r>
          </w:p>
        </w:tc>
        <w:tc>
          <w:tcPr>
            <w:tcW w:w="1835" w:type="dxa"/>
            <w:tcBorders>
              <w:top w:val="single" w:sz="4" w:space="0" w:color="auto"/>
              <w:left w:val="single" w:sz="4" w:space="0" w:color="auto"/>
              <w:bottom w:val="single" w:sz="4" w:space="0" w:color="auto"/>
              <w:right w:val="single" w:sz="4" w:space="0" w:color="auto"/>
            </w:tcBorders>
            <w:noWrap/>
            <w:vAlign w:val="bottom"/>
            <w:hideMark/>
          </w:tcPr>
          <w:p w:rsidR="00B8196F" w:rsidRPr="00D90DAE" w:rsidRDefault="00B8196F" w:rsidP="00B8196F">
            <w:pPr>
              <w:jc w:val="both"/>
              <w:rPr>
                <w:sz w:val="22"/>
                <w:szCs w:val="22"/>
              </w:rPr>
            </w:pPr>
            <w:r>
              <w:rPr>
                <w:sz w:val="22"/>
                <w:szCs w:val="22"/>
              </w:rPr>
              <w:t>O</w:t>
            </w:r>
            <w:r w:rsidRPr="004A4383">
              <w:rPr>
                <w:sz w:val="22"/>
                <w:szCs w:val="22"/>
              </w:rPr>
              <w:t>ver-recovery</w:t>
            </w:r>
          </w:p>
        </w:tc>
      </w:tr>
      <w:tr w:rsidR="00B8196F" w:rsidRPr="00D90DAE" w:rsidTr="00B8196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90DAE" w:rsidRDefault="00B8196F" w:rsidP="00B8196F">
            <w:pPr>
              <w:jc w:val="both"/>
              <w:rPr>
                <w:sz w:val="22"/>
                <w:szCs w:val="22"/>
              </w:rPr>
            </w:pPr>
            <w:r w:rsidRPr="00D90DAE">
              <w:rPr>
                <w:sz w:val="22"/>
                <w:szCs w:val="22"/>
              </w:rPr>
              <w:t xml:space="preserve">DEF </w:t>
            </w:r>
          </w:p>
        </w:tc>
        <w:tc>
          <w:tcPr>
            <w:tcW w:w="1416" w:type="dxa"/>
            <w:tcBorders>
              <w:top w:val="single" w:sz="4" w:space="0" w:color="auto"/>
              <w:left w:val="single" w:sz="4" w:space="0" w:color="auto"/>
              <w:bottom w:val="single" w:sz="4" w:space="0" w:color="auto"/>
              <w:right w:val="single" w:sz="4" w:space="0" w:color="auto"/>
            </w:tcBorders>
            <w:noWrap/>
            <w:vAlign w:val="bottom"/>
          </w:tcPr>
          <w:p w:rsidR="00B8196F" w:rsidRPr="00D90DAE" w:rsidRDefault="00B8196F" w:rsidP="00B8196F">
            <w:pPr>
              <w:jc w:val="both"/>
              <w:rPr>
                <w:sz w:val="22"/>
                <w:szCs w:val="22"/>
              </w:rPr>
            </w:pPr>
            <w:r w:rsidRPr="00E84D6C">
              <w:rPr>
                <w:sz w:val="22"/>
                <w:szCs w:val="22"/>
              </w:rPr>
              <w:t>$16,666,006</w:t>
            </w:r>
          </w:p>
        </w:tc>
        <w:tc>
          <w:tcPr>
            <w:tcW w:w="1835" w:type="dxa"/>
            <w:tcBorders>
              <w:top w:val="single" w:sz="4" w:space="0" w:color="auto"/>
              <w:left w:val="single" w:sz="4" w:space="0" w:color="auto"/>
              <w:bottom w:val="single" w:sz="4" w:space="0" w:color="auto"/>
              <w:right w:val="single" w:sz="4" w:space="0" w:color="auto"/>
            </w:tcBorders>
            <w:noWrap/>
            <w:vAlign w:val="bottom"/>
          </w:tcPr>
          <w:p w:rsidR="00B8196F" w:rsidRPr="00D90DAE" w:rsidRDefault="00B8196F" w:rsidP="00B8196F">
            <w:pPr>
              <w:jc w:val="both"/>
              <w:rPr>
                <w:sz w:val="22"/>
                <w:szCs w:val="22"/>
              </w:rPr>
            </w:pPr>
            <w:r>
              <w:rPr>
                <w:sz w:val="22"/>
                <w:szCs w:val="22"/>
              </w:rPr>
              <w:t>Over-recovery</w:t>
            </w:r>
          </w:p>
        </w:tc>
      </w:tr>
      <w:tr w:rsidR="00B8196F" w:rsidRPr="00D90DAE" w:rsidTr="00B819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90DAE" w:rsidRDefault="00B8196F" w:rsidP="00B8196F">
            <w:pPr>
              <w:jc w:val="both"/>
              <w:rPr>
                <w:sz w:val="22"/>
                <w:szCs w:val="22"/>
              </w:rPr>
            </w:pPr>
            <w:r w:rsidRPr="00D90DAE">
              <w:rPr>
                <w:sz w:val="22"/>
                <w:szCs w:val="22"/>
              </w:rPr>
              <w:t xml:space="preserve">TECO </w:t>
            </w:r>
          </w:p>
        </w:tc>
        <w:tc>
          <w:tcPr>
            <w:tcW w:w="1416" w:type="dxa"/>
            <w:tcBorders>
              <w:top w:val="single" w:sz="4" w:space="0" w:color="auto"/>
              <w:left w:val="single" w:sz="4" w:space="0" w:color="auto"/>
              <w:bottom w:val="single" w:sz="4" w:space="0" w:color="auto"/>
              <w:right w:val="single" w:sz="4" w:space="0" w:color="auto"/>
            </w:tcBorders>
            <w:noWrap/>
            <w:vAlign w:val="bottom"/>
          </w:tcPr>
          <w:p w:rsidR="00B8196F" w:rsidRPr="00D90DAE" w:rsidRDefault="00B8196F" w:rsidP="00B8196F">
            <w:pPr>
              <w:jc w:val="both"/>
              <w:rPr>
                <w:sz w:val="22"/>
                <w:szCs w:val="22"/>
              </w:rPr>
            </w:pPr>
            <w:r>
              <w:rPr>
                <w:sz w:val="22"/>
                <w:szCs w:val="22"/>
              </w:rPr>
              <w:t>$</w:t>
            </w:r>
            <w:r w:rsidRPr="00823565">
              <w:rPr>
                <w:sz w:val="22"/>
                <w:szCs w:val="22"/>
              </w:rPr>
              <w:t>4,108,435</w:t>
            </w:r>
          </w:p>
        </w:tc>
        <w:tc>
          <w:tcPr>
            <w:tcW w:w="1835" w:type="dxa"/>
            <w:tcBorders>
              <w:top w:val="single" w:sz="4" w:space="0" w:color="auto"/>
              <w:left w:val="single" w:sz="4" w:space="0" w:color="auto"/>
              <w:bottom w:val="single" w:sz="4" w:space="0" w:color="auto"/>
              <w:right w:val="single" w:sz="4" w:space="0" w:color="auto"/>
            </w:tcBorders>
            <w:noWrap/>
            <w:vAlign w:val="bottom"/>
          </w:tcPr>
          <w:p w:rsidR="00B8196F" w:rsidRPr="00D90DAE" w:rsidRDefault="00B8196F" w:rsidP="00B8196F">
            <w:pPr>
              <w:jc w:val="both"/>
              <w:rPr>
                <w:sz w:val="22"/>
                <w:szCs w:val="22"/>
              </w:rPr>
            </w:pPr>
            <w:r>
              <w:rPr>
                <w:sz w:val="22"/>
                <w:szCs w:val="22"/>
              </w:rPr>
              <w:t>O</w:t>
            </w:r>
            <w:r w:rsidRPr="004A4383">
              <w:rPr>
                <w:sz w:val="22"/>
                <w:szCs w:val="22"/>
              </w:rPr>
              <w:t>ver-recovery</w:t>
            </w:r>
          </w:p>
        </w:tc>
      </w:tr>
      <w:tr w:rsidR="00B8196F" w:rsidRPr="00D90DAE" w:rsidTr="00B819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90DAE" w:rsidRDefault="00B8196F" w:rsidP="00B8196F">
            <w:pPr>
              <w:jc w:val="both"/>
              <w:rPr>
                <w:sz w:val="22"/>
                <w:szCs w:val="22"/>
              </w:rPr>
            </w:pPr>
            <w:r w:rsidRPr="00D90DAE">
              <w:rPr>
                <w:sz w:val="22"/>
                <w:szCs w:val="22"/>
              </w:rPr>
              <w:t xml:space="preserve">GULF </w:t>
            </w:r>
          </w:p>
        </w:tc>
        <w:tc>
          <w:tcPr>
            <w:tcW w:w="1416" w:type="dxa"/>
            <w:tcBorders>
              <w:top w:val="single" w:sz="4" w:space="0" w:color="auto"/>
              <w:left w:val="single" w:sz="4" w:space="0" w:color="auto"/>
              <w:bottom w:val="single" w:sz="4" w:space="0" w:color="auto"/>
              <w:right w:val="single" w:sz="4" w:space="0" w:color="auto"/>
            </w:tcBorders>
            <w:noWrap/>
            <w:vAlign w:val="bottom"/>
          </w:tcPr>
          <w:p w:rsidR="00B8196F" w:rsidRPr="00D90DAE" w:rsidRDefault="00B8196F" w:rsidP="00B8196F">
            <w:pPr>
              <w:jc w:val="both"/>
              <w:rPr>
                <w:sz w:val="22"/>
                <w:szCs w:val="22"/>
              </w:rPr>
            </w:pPr>
            <w:r w:rsidRPr="00823565">
              <w:rPr>
                <w:sz w:val="22"/>
                <w:szCs w:val="22"/>
              </w:rPr>
              <w:t>$4,609,567</w:t>
            </w:r>
          </w:p>
        </w:tc>
        <w:tc>
          <w:tcPr>
            <w:tcW w:w="1835" w:type="dxa"/>
            <w:tcBorders>
              <w:top w:val="single" w:sz="4" w:space="0" w:color="auto"/>
              <w:left w:val="single" w:sz="4" w:space="0" w:color="auto"/>
              <w:bottom w:val="single" w:sz="4" w:space="0" w:color="auto"/>
              <w:right w:val="single" w:sz="4" w:space="0" w:color="auto"/>
            </w:tcBorders>
            <w:noWrap/>
            <w:vAlign w:val="bottom"/>
          </w:tcPr>
          <w:p w:rsidR="00B8196F" w:rsidRPr="00D90DAE" w:rsidRDefault="00B8196F" w:rsidP="00B8196F">
            <w:pPr>
              <w:jc w:val="both"/>
              <w:rPr>
                <w:sz w:val="22"/>
                <w:szCs w:val="22"/>
              </w:rPr>
            </w:pPr>
            <w:r w:rsidRPr="00823565">
              <w:rPr>
                <w:sz w:val="22"/>
                <w:szCs w:val="22"/>
              </w:rPr>
              <w:t>Over-recovery</w:t>
            </w:r>
          </w:p>
        </w:tc>
      </w:tr>
    </w:tbl>
    <w:p w:rsidR="00B8196F" w:rsidRDefault="00B8196F" w:rsidP="00B8196F">
      <w:pPr>
        <w:spacing w:after="240"/>
        <w:jc w:val="both"/>
        <w:rPr>
          <w:rFonts w:eastAsia="Calibri"/>
          <w:b/>
          <w:bCs/>
        </w:rPr>
      </w:pPr>
    </w:p>
    <w:p w:rsidR="00B65DE8" w:rsidRDefault="00B65DE8" w:rsidP="00B8196F">
      <w:pPr>
        <w:spacing w:after="200"/>
        <w:ind w:left="1440" w:hanging="1440"/>
        <w:jc w:val="both"/>
        <w:rPr>
          <w:rFonts w:eastAsia="Calibri"/>
          <w:b/>
          <w:bCs/>
          <w:u w:val="single"/>
        </w:rPr>
      </w:pPr>
    </w:p>
    <w:p w:rsidR="00B8196F" w:rsidRPr="00D351D9" w:rsidRDefault="00B8196F" w:rsidP="00B8196F">
      <w:pPr>
        <w:spacing w:after="200"/>
        <w:ind w:left="1440" w:hanging="1440"/>
        <w:jc w:val="both"/>
        <w:rPr>
          <w:rFonts w:eastAsia="Calibri"/>
          <w:b/>
        </w:rPr>
      </w:pPr>
      <w:r w:rsidRPr="00D351D9">
        <w:rPr>
          <w:rFonts w:eastAsia="Calibri"/>
          <w:b/>
          <w:bCs/>
          <w:u w:val="single"/>
        </w:rPr>
        <w:lastRenderedPageBreak/>
        <w:t>ISSUE 3</w:t>
      </w:r>
      <w:r w:rsidRPr="00D351D9">
        <w:rPr>
          <w:rFonts w:eastAsia="Calibri"/>
          <w:b/>
        </w:rPr>
        <w:t xml:space="preserve">: </w:t>
      </w:r>
      <w:r w:rsidRPr="00D351D9">
        <w:rPr>
          <w:rFonts w:eastAsia="Calibri"/>
          <w:b/>
        </w:rPr>
        <w:tab/>
        <w:t>What are the projected environmental cost recovery amounts for the period January 2020 through December 2020?</w:t>
      </w:r>
    </w:p>
    <w:tbl>
      <w:tblPr>
        <w:tblW w:w="2496"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36"/>
      </w:tblGrid>
      <w:tr w:rsidR="00B8196F" w:rsidRPr="00D351D9" w:rsidTr="00B8196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351D9" w:rsidRDefault="00B8196F" w:rsidP="00B8196F">
            <w:pPr>
              <w:jc w:val="both"/>
              <w:rPr>
                <w:sz w:val="22"/>
                <w:szCs w:val="22"/>
              </w:rPr>
            </w:pPr>
            <w:r w:rsidRPr="00D351D9">
              <w:rPr>
                <w:sz w:val="22"/>
                <w:szCs w:val="22"/>
              </w:rPr>
              <w:t xml:space="preserve">FPL </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B8196F" w:rsidRPr="00D351D9" w:rsidRDefault="00B8196F" w:rsidP="00B8196F">
            <w:pPr>
              <w:jc w:val="both"/>
              <w:rPr>
                <w:sz w:val="22"/>
                <w:szCs w:val="22"/>
              </w:rPr>
            </w:pPr>
            <w:r w:rsidRPr="00D351D9">
              <w:rPr>
                <w:sz w:val="22"/>
                <w:szCs w:val="22"/>
              </w:rPr>
              <w:t>$191,146,927</w:t>
            </w:r>
          </w:p>
        </w:tc>
      </w:tr>
      <w:tr w:rsidR="00B8196F" w:rsidRPr="00D351D9" w:rsidTr="00B8196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351D9" w:rsidRDefault="00B8196F" w:rsidP="00B8196F">
            <w:pPr>
              <w:jc w:val="both"/>
              <w:rPr>
                <w:sz w:val="22"/>
                <w:szCs w:val="22"/>
              </w:rPr>
            </w:pPr>
            <w:r w:rsidRPr="00D351D9">
              <w:rPr>
                <w:sz w:val="22"/>
                <w:szCs w:val="22"/>
              </w:rPr>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tcPr>
          <w:p w:rsidR="00B8196F" w:rsidRPr="00D351D9" w:rsidRDefault="00B8196F" w:rsidP="00B8196F">
            <w:pPr>
              <w:jc w:val="both"/>
              <w:rPr>
                <w:sz w:val="22"/>
                <w:szCs w:val="22"/>
              </w:rPr>
            </w:pPr>
            <w:r w:rsidRPr="00D351D9">
              <w:rPr>
                <w:sz w:val="22"/>
                <w:szCs w:val="22"/>
              </w:rPr>
              <w:t>$49,255,523</w:t>
            </w:r>
          </w:p>
        </w:tc>
      </w:tr>
      <w:tr w:rsidR="00B8196F" w:rsidRPr="00D351D9" w:rsidTr="00B819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351D9" w:rsidRDefault="00B8196F" w:rsidP="00B8196F">
            <w:pPr>
              <w:jc w:val="both"/>
              <w:rPr>
                <w:sz w:val="22"/>
                <w:szCs w:val="22"/>
              </w:rPr>
            </w:pPr>
            <w:r w:rsidRPr="00D351D9">
              <w:rPr>
                <w:sz w:val="22"/>
                <w:szCs w:val="22"/>
              </w:rPr>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tcPr>
          <w:p w:rsidR="00B8196F" w:rsidRPr="00D351D9" w:rsidRDefault="00B8196F" w:rsidP="00B8196F">
            <w:pPr>
              <w:jc w:val="both"/>
              <w:rPr>
                <w:sz w:val="22"/>
                <w:szCs w:val="22"/>
              </w:rPr>
            </w:pPr>
            <w:r w:rsidRPr="00D351D9">
              <w:rPr>
                <w:sz w:val="22"/>
                <w:szCs w:val="22"/>
              </w:rPr>
              <w:t>$53,963,728</w:t>
            </w:r>
          </w:p>
        </w:tc>
      </w:tr>
      <w:tr w:rsidR="00B8196F" w:rsidRPr="00D351D9" w:rsidTr="00B819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351D9" w:rsidRDefault="00B8196F" w:rsidP="00B8196F">
            <w:pPr>
              <w:jc w:val="both"/>
              <w:rPr>
                <w:sz w:val="22"/>
                <w:szCs w:val="22"/>
              </w:rPr>
            </w:pPr>
            <w:r w:rsidRPr="00D351D9">
              <w:rPr>
                <w:sz w:val="22"/>
                <w:szCs w:val="22"/>
              </w:rPr>
              <w:t xml:space="preserve">Gulf </w:t>
            </w:r>
          </w:p>
        </w:tc>
        <w:tc>
          <w:tcPr>
            <w:tcW w:w="1536" w:type="dxa"/>
            <w:tcBorders>
              <w:top w:val="single" w:sz="4" w:space="0" w:color="auto"/>
              <w:left w:val="single" w:sz="4" w:space="0" w:color="auto"/>
              <w:bottom w:val="single" w:sz="4" w:space="0" w:color="auto"/>
              <w:right w:val="single" w:sz="4" w:space="0" w:color="auto"/>
            </w:tcBorders>
            <w:noWrap/>
            <w:vAlign w:val="bottom"/>
          </w:tcPr>
          <w:p w:rsidR="00B8196F" w:rsidRPr="00D351D9" w:rsidRDefault="00B8196F" w:rsidP="00CE283D">
            <w:pPr>
              <w:jc w:val="both"/>
              <w:rPr>
                <w:sz w:val="22"/>
                <w:szCs w:val="22"/>
              </w:rPr>
            </w:pPr>
            <w:r w:rsidRPr="00D351D9">
              <w:rPr>
                <w:sz w:val="22"/>
                <w:szCs w:val="22"/>
              </w:rPr>
              <w:t>$18</w:t>
            </w:r>
            <w:r w:rsidR="00CE283D" w:rsidRPr="00D351D9">
              <w:rPr>
                <w:sz w:val="22"/>
                <w:szCs w:val="22"/>
              </w:rPr>
              <w:t>8,610,975</w:t>
            </w:r>
          </w:p>
        </w:tc>
      </w:tr>
    </w:tbl>
    <w:p w:rsidR="00B8196F" w:rsidRPr="00D351D9" w:rsidRDefault="00B8196F" w:rsidP="00B8196F">
      <w:pPr>
        <w:spacing w:after="200" w:line="276" w:lineRule="auto"/>
        <w:jc w:val="both"/>
        <w:rPr>
          <w:rFonts w:eastAsia="Calibri"/>
        </w:rPr>
      </w:pPr>
      <w:r w:rsidRPr="00D351D9">
        <w:rPr>
          <w:rFonts w:eastAsia="Calibri"/>
          <w:sz w:val="22"/>
          <w:szCs w:val="22"/>
        </w:rPr>
        <w:tab/>
      </w:r>
      <w:r w:rsidRPr="00D351D9">
        <w:rPr>
          <w:rFonts w:eastAsia="Calibri"/>
          <w:sz w:val="22"/>
          <w:szCs w:val="22"/>
        </w:rPr>
        <w:tab/>
      </w:r>
    </w:p>
    <w:p w:rsidR="00B8196F" w:rsidRPr="00D351D9" w:rsidRDefault="00B8196F" w:rsidP="00B8196F">
      <w:pPr>
        <w:spacing w:after="200"/>
        <w:ind w:left="1440" w:hanging="1440"/>
        <w:jc w:val="both"/>
        <w:rPr>
          <w:rFonts w:eastAsia="Calibri"/>
          <w:b/>
        </w:rPr>
      </w:pPr>
      <w:r w:rsidRPr="00D351D9">
        <w:rPr>
          <w:rFonts w:eastAsia="Calibri"/>
          <w:b/>
          <w:bCs/>
          <w:u w:val="single"/>
        </w:rPr>
        <w:t>ISSUE 4</w:t>
      </w:r>
      <w:r w:rsidRPr="00D351D9">
        <w:rPr>
          <w:rFonts w:eastAsia="Calibri"/>
          <w:b/>
        </w:rPr>
        <w:t xml:space="preserve">: </w:t>
      </w:r>
      <w:r w:rsidRPr="00D351D9">
        <w:rPr>
          <w:rFonts w:eastAsia="Calibri"/>
          <w:b/>
        </w:rPr>
        <w:tab/>
        <w:t>What are the environmental cost recovery amounts, including true-up amounts, for the period January 2020 through December 2020?</w:t>
      </w:r>
    </w:p>
    <w:tbl>
      <w:tblPr>
        <w:tblW w:w="2496"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36"/>
      </w:tblGrid>
      <w:tr w:rsidR="00B8196F" w:rsidRPr="00D351D9" w:rsidTr="00B8196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351D9" w:rsidRDefault="00B8196F" w:rsidP="00B8196F">
            <w:pPr>
              <w:jc w:val="both"/>
              <w:rPr>
                <w:sz w:val="22"/>
                <w:szCs w:val="22"/>
              </w:rPr>
            </w:pPr>
            <w:r w:rsidRPr="00D351D9">
              <w:rPr>
                <w:sz w:val="22"/>
                <w:szCs w:val="22"/>
              </w:rPr>
              <w:t>FPL</w:t>
            </w:r>
          </w:p>
        </w:tc>
        <w:tc>
          <w:tcPr>
            <w:tcW w:w="1536" w:type="dxa"/>
            <w:tcBorders>
              <w:top w:val="single" w:sz="4" w:space="0" w:color="auto"/>
              <w:left w:val="single" w:sz="4" w:space="0" w:color="auto"/>
              <w:bottom w:val="single" w:sz="4" w:space="0" w:color="auto"/>
              <w:right w:val="single" w:sz="4" w:space="0" w:color="auto"/>
            </w:tcBorders>
            <w:noWrap/>
            <w:vAlign w:val="bottom"/>
            <w:hideMark/>
          </w:tcPr>
          <w:p w:rsidR="00B8196F" w:rsidRPr="00D351D9" w:rsidRDefault="00B8196F" w:rsidP="00B8196F">
            <w:pPr>
              <w:jc w:val="both"/>
              <w:rPr>
                <w:sz w:val="22"/>
                <w:szCs w:val="22"/>
              </w:rPr>
            </w:pPr>
            <w:r w:rsidRPr="00D351D9">
              <w:rPr>
                <w:sz w:val="22"/>
                <w:szCs w:val="22"/>
              </w:rPr>
              <w:t>$161,954,048</w:t>
            </w:r>
          </w:p>
        </w:tc>
      </w:tr>
      <w:tr w:rsidR="00B8196F" w:rsidRPr="00D351D9" w:rsidTr="00B8196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351D9" w:rsidRDefault="00B8196F" w:rsidP="00B8196F">
            <w:pPr>
              <w:jc w:val="both"/>
              <w:rPr>
                <w:sz w:val="22"/>
                <w:szCs w:val="22"/>
              </w:rPr>
            </w:pPr>
            <w:r w:rsidRPr="00D351D9">
              <w:rPr>
                <w:sz w:val="22"/>
                <w:szCs w:val="22"/>
              </w:rPr>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tcPr>
          <w:p w:rsidR="00B8196F" w:rsidRPr="00D351D9" w:rsidRDefault="00B8196F" w:rsidP="00B8196F">
            <w:pPr>
              <w:jc w:val="both"/>
              <w:rPr>
                <w:sz w:val="22"/>
                <w:szCs w:val="22"/>
              </w:rPr>
            </w:pPr>
            <w:r w:rsidRPr="00D351D9">
              <w:rPr>
                <w:sz w:val="22"/>
                <w:szCs w:val="22"/>
              </w:rPr>
              <w:t>$30,622,607</w:t>
            </w:r>
          </w:p>
        </w:tc>
      </w:tr>
      <w:tr w:rsidR="00B8196F" w:rsidRPr="00D351D9" w:rsidTr="00B819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351D9" w:rsidRDefault="00B8196F" w:rsidP="00B8196F">
            <w:pPr>
              <w:jc w:val="both"/>
              <w:rPr>
                <w:sz w:val="22"/>
                <w:szCs w:val="22"/>
              </w:rPr>
            </w:pPr>
            <w:r w:rsidRPr="00D351D9">
              <w:rPr>
                <w:sz w:val="22"/>
                <w:szCs w:val="22"/>
              </w:rPr>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tcPr>
          <w:p w:rsidR="00B8196F" w:rsidRPr="00D351D9" w:rsidRDefault="00B8196F" w:rsidP="00B8196F">
            <w:pPr>
              <w:jc w:val="both"/>
              <w:rPr>
                <w:sz w:val="22"/>
                <w:szCs w:val="22"/>
              </w:rPr>
            </w:pPr>
            <w:r w:rsidRPr="00D351D9">
              <w:rPr>
                <w:sz w:val="22"/>
                <w:szCs w:val="22"/>
              </w:rPr>
              <w:t>$47,493,250</w:t>
            </w:r>
          </w:p>
        </w:tc>
      </w:tr>
      <w:tr w:rsidR="00B8196F" w:rsidRPr="00D90DAE" w:rsidTr="00B819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B8196F" w:rsidRPr="00D351D9" w:rsidRDefault="00B8196F" w:rsidP="00B8196F">
            <w:pPr>
              <w:jc w:val="both"/>
              <w:rPr>
                <w:sz w:val="22"/>
                <w:szCs w:val="22"/>
              </w:rPr>
            </w:pPr>
            <w:r w:rsidRPr="00D351D9">
              <w:rPr>
                <w:sz w:val="22"/>
                <w:szCs w:val="22"/>
              </w:rPr>
              <w:t xml:space="preserve">Gulf </w:t>
            </w:r>
          </w:p>
        </w:tc>
        <w:tc>
          <w:tcPr>
            <w:tcW w:w="1536" w:type="dxa"/>
            <w:tcBorders>
              <w:top w:val="single" w:sz="4" w:space="0" w:color="auto"/>
              <w:left w:val="single" w:sz="4" w:space="0" w:color="auto"/>
              <w:bottom w:val="single" w:sz="4" w:space="0" w:color="auto"/>
              <w:right w:val="single" w:sz="4" w:space="0" w:color="auto"/>
            </w:tcBorders>
            <w:noWrap/>
            <w:vAlign w:val="bottom"/>
          </w:tcPr>
          <w:p w:rsidR="00B8196F" w:rsidRPr="00D351D9" w:rsidRDefault="00B8196F" w:rsidP="00CE283D">
            <w:pPr>
              <w:jc w:val="both"/>
              <w:rPr>
                <w:sz w:val="22"/>
                <w:szCs w:val="22"/>
              </w:rPr>
            </w:pPr>
            <w:r w:rsidRPr="00D351D9">
              <w:rPr>
                <w:sz w:val="22"/>
                <w:szCs w:val="22"/>
              </w:rPr>
              <w:t>$18</w:t>
            </w:r>
            <w:r w:rsidR="00CE283D" w:rsidRPr="00D351D9">
              <w:rPr>
                <w:sz w:val="22"/>
                <w:szCs w:val="22"/>
              </w:rPr>
              <w:t>2,236,387</w:t>
            </w:r>
          </w:p>
        </w:tc>
      </w:tr>
    </w:tbl>
    <w:p w:rsidR="00B8196F" w:rsidRDefault="00B8196F" w:rsidP="00B8196F">
      <w:pPr>
        <w:keepNext/>
        <w:spacing w:after="200"/>
        <w:ind w:left="1440" w:hanging="1440"/>
        <w:jc w:val="both"/>
        <w:rPr>
          <w:rFonts w:eastAsia="Calibri"/>
          <w:b/>
          <w:bCs/>
          <w:u w:val="single"/>
        </w:rPr>
      </w:pPr>
    </w:p>
    <w:p w:rsidR="00B8196F" w:rsidRPr="00D90DAE" w:rsidRDefault="00B8196F" w:rsidP="00B8196F">
      <w:pPr>
        <w:keepNext/>
        <w:spacing w:after="200"/>
        <w:ind w:left="1440" w:hanging="1440"/>
        <w:jc w:val="both"/>
        <w:rPr>
          <w:rFonts w:eastAsia="Calibri"/>
          <w:b/>
        </w:rPr>
      </w:pPr>
      <w:r w:rsidRPr="003D6A96">
        <w:rPr>
          <w:rFonts w:eastAsia="Calibri"/>
          <w:b/>
          <w:bCs/>
          <w:u w:val="single"/>
        </w:rPr>
        <w:t>ISSUE 5</w:t>
      </w:r>
      <w:r w:rsidRPr="00D90DAE">
        <w:rPr>
          <w:rFonts w:eastAsia="Calibri"/>
          <w:b/>
        </w:rPr>
        <w:t xml:space="preserve">: </w:t>
      </w:r>
      <w:r>
        <w:rPr>
          <w:rFonts w:eastAsia="Calibri"/>
          <w:b/>
        </w:rPr>
        <w:tab/>
      </w:r>
      <w:r w:rsidRPr="00C26029">
        <w:rPr>
          <w:rFonts w:eastAsia="Calibri"/>
          <w:b/>
        </w:rPr>
        <w:t>What depreciation rates should be used to develop the depreciation expense included in the total environmental cost recovery amounts for the period January 2020 through December 2020</w:t>
      </w:r>
      <w:r w:rsidRPr="00D90DAE">
        <w:rPr>
          <w:rFonts w:eastAsia="Calibri"/>
          <w:b/>
        </w:rPr>
        <w:t>?</w:t>
      </w:r>
    </w:p>
    <w:p w:rsidR="00B8196F" w:rsidRDefault="00B8196F" w:rsidP="00B8196F">
      <w:pPr>
        <w:keepNext/>
        <w:spacing w:after="200"/>
        <w:ind w:left="1440"/>
        <w:jc w:val="both"/>
        <w:rPr>
          <w:rFonts w:eastAsia="Calibri"/>
        </w:rPr>
      </w:pPr>
      <w:r w:rsidRPr="00D90DAE">
        <w:rPr>
          <w:rFonts w:eastAsia="Calibri"/>
        </w:rPr>
        <w:t>The depreciation rates used to calculate depreciation expense sh</w:t>
      </w:r>
      <w:r>
        <w:rPr>
          <w:rFonts w:eastAsia="Calibri"/>
        </w:rPr>
        <w:t>all</w:t>
      </w:r>
      <w:r w:rsidRPr="00D90DAE">
        <w:rPr>
          <w:rFonts w:eastAsia="Calibri"/>
        </w:rPr>
        <w:t xml:space="preserve"> be the rates that are in effect during the period the allowed capital investment is in service, with the following exception:</w:t>
      </w:r>
      <w:r>
        <w:rPr>
          <w:rFonts w:eastAsia="Calibri"/>
        </w:rPr>
        <w:t xml:space="preserve"> </w:t>
      </w:r>
      <w:r w:rsidRPr="00BF6528">
        <w:rPr>
          <w:rFonts w:eastAsia="Calibri"/>
        </w:rPr>
        <w:t>TECO</w:t>
      </w:r>
      <w:r>
        <w:rPr>
          <w:rFonts w:eastAsia="Calibri"/>
        </w:rPr>
        <w:t xml:space="preserve"> -- </w:t>
      </w:r>
      <w:r w:rsidRPr="00D90DAE">
        <w:rPr>
          <w:rFonts w:eastAsia="Calibri"/>
        </w:rPr>
        <w:t>Big Bend Fuel Oil Tanks I &amp; 2, which were retired in 2016, will be depreciated over a five-year period from the date of retirement.</w:t>
      </w:r>
    </w:p>
    <w:p w:rsidR="00B8196F" w:rsidRDefault="00B8196F" w:rsidP="00B8196F">
      <w:pPr>
        <w:spacing w:line="276" w:lineRule="auto"/>
        <w:ind w:left="1440" w:hanging="1440"/>
        <w:jc w:val="both"/>
        <w:rPr>
          <w:rFonts w:eastAsia="Calibri"/>
          <w:b/>
          <w:bCs/>
          <w:u w:val="single"/>
        </w:rPr>
      </w:pPr>
    </w:p>
    <w:p w:rsidR="00B8196F" w:rsidRPr="00D90DAE" w:rsidRDefault="00B8196F" w:rsidP="00B8196F">
      <w:pPr>
        <w:spacing w:after="200"/>
        <w:ind w:left="1440" w:hanging="1440"/>
        <w:jc w:val="both"/>
        <w:rPr>
          <w:rFonts w:eastAsia="Calibri"/>
          <w:b/>
          <w:bCs/>
        </w:rPr>
      </w:pPr>
      <w:r w:rsidRPr="003D6A96">
        <w:rPr>
          <w:rFonts w:eastAsia="Calibri"/>
          <w:b/>
          <w:bCs/>
          <w:u w:val="single"/>
        </w:rPr>
        <w:t>ISSUE 6</w:t>
      </w:r>
      <w:r w:rsidRPr="00D90DAE">
        <w:rPr>
          <w:rFonts w:eastAsia="Calibri"/>
          <w:b/>
          <w:bCs/>
        </w:rPr>
        <w:t xml:space="preserve">: </w:t>
      </w:r>
      <w:r>
        <w:rPr>
          <w:rFonts w:eastAsia="Calibri"/>
          <w:b/>
          <w:bCs/>
        </w:rPr>
        <w:tab/>
      </w:r>
      <w:r w:rsidRPr="00C26029">
        <w:rPr>
          <w:rFonts w:eastAsia="Calibri"/>
          <w:b/>
          <w:bCs/>
        </w:rPr>
        <w:t>What are the appropriate jurisdictional separation factors for the projected period January 2020 through December 2020</w:t>
      </w:r>
      <w:r w:rsidRPr="00D90DAE">
        <w:rPr>
          <w:rFonts w:eastAsia="Calibri"/>
          <w:b/>
          <w:bCs/>
        </w:rPr>
        <w:t>?</w:t>
      </w:r>
    </w:p>
    <w:p w:rsidR="00B8196F" w:rsidRDefault="00B8196F" w:rsidP="00B8196F">
      <w:pPr>
        <w:spacing w:after="200" w:line="276" w:lineRule="auto"/>
        <w:ind w:left="1440"/>
        <w:jc w:val="both"/>
        <w:rPr>
          <w:rFonts w:eastAsia="Calibri"/>
        </w:rPr>
      </w:pPr>
      <w:r w:rsidRPr="00D90DAE">
        <w:rPr>
          <w:rFonts w:eastAsia="Calibri"/>
        </w:rPr>
        <w:t>The appropriate jurisdictional separation factors for the period January 20</w:t>
      </w:r>
      <w:r>
        <w:rPr>
          <w:rFonts w:eastAsia="Calibri"/>
        </w:rPr>
        <w:t>20</w:t>
      </w:r>
      <w:r w:rsidRPr="00D90DAE">
        <w:rPr>
          <w:rFonts w:eastAsia="Calibri"/>
        </w:rPr>
        <w:t xml:space="preserve"> through December 20</w:t>
      </w:r>
      <w:r>
        <w:rPr>
          <w:rFonts w:eastAsia="Calibri"/>
        </w:rPr>
        <w:t>20</w:t>
      </w:r>
      <w:r w:rsidRPr="00D90DAE">
        <w:rPr>
          <w:rFonts w:eastAsia="Calibri"/>
        </w:rPr>
        <w:t xml:space="preserve"> are as follows:</w:t>
      </w:r>
    </w:p>
    <w:p w:rsidR="00B8196F" w:rsidRDefault="00B8196F" w:rsidP="00B8196F">
      <w:pPr>
        <w:spacing w:line="276" w:lineRule="auto"/>
        <w:jc w:val="both"/>
        <w:rPr>
          <w:rFonts w:eastAsia="Calibri"/>
        </w:rPr>
      </w:pPr>
      <w:r w:rsidRPr="00D90DAE">
        <w:rPr>
          <w:rFonts w:eastAsia="Calibri"/>
          <w:b/>
          <w:bCs/>
        </w:rPr>
        <w:t>FPL</w:t>
      </w:r>
      <w:r>
        <w:rPr>
          <w:rFonts w:eastAsia="Calibri"/>
          <w:b/>
          <w:bCs/>
        </w:rPr>
        <w:t>:</w:t>
      </w:r>
      <w:r w:rsidRPr="004A4383">
        <w:rPr>
          <w:rFonts w:eastAsia="Calibri"/>
          <w:b/>
          <w:bCs/>
        </w:rPr>
        <w:t xml:space="preserve"> </w:t>
      </w:r>
      <w:r>
        <w:rPr>
          <w:rFonts w:eastAsia="Calibri"/>
          <w:b/>
          <w:bCs/>
        </w:rPr>
        <w:tab/>
      </w:r>
      <w:r>
        <w:rPr>
          <w:rFonts w:eastAsia="Calibri"/>
          <w:b/>
          <w:bCs/>
        </w:rPr>
        <w:tab/>
      </w:r>
      <w:r w:rsidRPr="004A4383">
        <w:rPr>
          <w:rFonts w:eastAsia="Calibri"/>
        </w:rPr>
        <w:t>Retail Energy Jurisdiction</w:t>
      </w:r>
      <w:r>
        <w:rPr>
          <w:rFonts w:eastAsia="Calibri"/>
        </w:rPr>
        <w:t>al Factor - Base/Solar 95.8799%</w:t>
      </w:r>
    </w:p>
    <w:p w:rsidR="00B8196F" w:rsidRPr="004A4383" w:rsidRDefault="00B8196F" w:rsidP="00B8196F">
      <w:pPr>
        <w:spacing w:line="276" w:lineRule="auto"/>
        <w:ind w:left="1440"/>
        <w:jc w:val="both"/>
        <w:rPr>
          <w:rFonts w:eastAsia="Calibri"/>
        </w:rPr>
      </w:pPr>
      <w:r w:rsidRPr="004A4383">
        <w:rPr>
          <w:rFonts w:eastAsia="Calibri"/>
        </w:rPr>
        <w:t>Retail Energy Jurisdictional Factor - Intermediate 94.2430%</w:t>
      </w:r>
    </w:p>
    <w:p w:rsidR="00B8196F" w:rsidRPr="004A4383" w:rsidRDefault="00B8196F" w:rsidP="00B8196F">
      <w:pPr>
        <w:spacing w:line="276" w:lineRule="auto"/>
        <w:ind w:left="1440"/>
        <w:jc w:val="both"/>
        <w:rPr>
          <w:rFonts w:eastAsia="Calibri"/>
        </w:rPr>
      </w:pPr>
      <w:r w:rsidRPr="004A4383">
        <w:rPr>
          <w:rFonts w:eastAsia="Calibri"/>
        </w:rPr>
        <w:t>Retail Energy Jurisdictional Factor - Peaking 95.1325%</w:t>
      </w:r>
    </w:p>
    <w:p w:rsidR="00B8196F" w:rsidRPr="004A4383" w:rsidRDefault="00B8196F" w:rsidP="00B8196F">
      <w:pPr>
        <w:spacing w:line="276" w:lineRule="auto"/>
        <w:ind w:left="1440"/>
        <w:jc w:val="both"/>
        <w:rPr>
          <w:rFonts w:eastAsia="Calibri"/>
        </w:rPr>
      </w:pPr>
      <w:r w:rsidRPr="004A4383">
        <w:rPr>
          <w:rFonts w:eastAsia="Calibri"/>
        </w:rPr>
        <w:t>Retail Demand Jurisdictional Factor - Transmission 89.9387%</w:t>
      </w:r>
    </w:p>
    <w:p w:rsidR="00B8196F" w:rsidRPr="004A4383" w:rsidRDefault="00B8196F" w:rsidP="00B8196F">
      <w:pPr>
        <w:spacing w:line="276" w:lineRule="auto"/>
        <w:ind w:left="1440"/>
        <w:jc w:val="both"/>
        <w:rPr>
          <w:rFonts w:eastAsia="Calibri"/>
        </w:rPr>
      </w:pPr>
      <w:r w:rsidRPr="004A4383">
        <w:rPr>
          <w:rFonts w:eastAsia="Calibri"/>
        </w:rPr>
        <w:t>Retail Demand Jurisdictional Factor - Base/Solar 95.7922%</w:t>
      </w:r>
    </w:p>
    <w:p w:rsidR="00B8196F" w:rsidRPr="004A4383" w:rsidRDefault="00B8196F" w:rsidP="00B8196F">
      <w:pPr>
        <w:spacing w:line="276" w:lineRule="auto"/>
        <w:ind w:left="1440"/>
        <w:jc w:val="both"/>
        <w:rPr>
          <w:rFonts w:eastAsia="Calibri"/>
        </w:rPr>
      </w:pPr>
      <w:r w:rsidRPr="004A4383">
        <w:rPr>
          <w:rFonts w:eastAsia="Calibri"/>
        </w:rPr>
        <w:t>Retail Demand Jurisdictional Factor - Intermediate 94.1569%</w:t>
      </w:r>
    </w:p>
    <w:p w:rsidR="00B8196F" w:rsidRPr="004A4383" w:rsidRDefault="00B8196F" w:rsidP="00B8196F">
      <w:pPr>
        <w:spacing w:line="276" w:lineRule="auto"/>
        <w:ind w:left="1440"/>
        <w:jc w:val="both"/>
        <w:rPr>
          <w:rFonts w:eastAsia="Calibri"/>
        </w:rPr>
      </w:pPr>
      <w:r w:rsidRPr="004A4383">
        <w:rPr>
          <w:rFonts w:eastAsia="Calibri"/>
        </w:rPr>
        <w:t>Retail Demand Jurisdictional Factor - Peaking 95.0455%</w:t>
      </w:r>
    </w:p>
    <w:p w:rsidR="00B8196F" w:rsidRPr="004A4383" w:rsidRDefault="00B8196F" w:rsidP="00B8196F">
      <w:pPr>
        <w:spacing w:line="276" w:lineRule="auto"/>
        <w:ind w:left="1440"/>
        <w:jc w:val="both"/>
        <w:rPr>
          <w:rFonts w:eastAsia="Calibri"/>
        </w:rPr>
      </w:pPr>
      <w:r w:rsidRPr="004A4383">
        <w:rPr>
          <w:rFonts w:eastAsia="Calibri"/>
        </w:rPr>
        <w:t>Retail Demand Jurisdictional Factor - General Plant 96.9124%</w:t>
      </w:r>
    </w:p>
    <w:p w:rsidR="00B8196F" w:rsidRPr="008726B2" w:rsidRDefault="00B8196F" w:rsidP="00B8196F">
      <w:pPr>
        <w:spacing w:after="200" w:line="276" w:lineRule="auto"/>
        <w:ind w:left="1440"/>
        <w:jc w:val="both"/>
        <w:rPr>
          <w:rFonts w:eastAsia="Calibri"/>
          <w:b/>
          <w:bCs/>
        </w:rPr>
      </w:pPr>
      <w:r w:rsidRPr="004A4383">
        <w:rPr>
          <w:rFonts w:eastAsia="Calibri"/>
        </w:rPr>
        <w:t>Retail Demand Jurisdictional Factor - Distribution 100.0000%</w:t>
      </w:r>
      <w:r>
        <w:rPr>
          <w:rFonts w:eastAsia="Calibri"/>
          <w:b/>
          <w:bCs/>
        </w:rPr>
        <w:tab/>
      </w:r>
      <w:r>
        <w:rPr>
          <w:rFonts w:eastAsia="Calibri"/>
          <w:b/>
          <w:bCs/>
        </w:rPr>
        <w:tab/>
      </w:r>
    </w:p>
    <w:p w:rsidR="00B8196F" w:rsidRDefault="00B8196F" w:rsidP="00B8196F">
      <w:pPr>
        <w:ind w:left="1440" w:hanging="1440"/>
        <w:jc w:val="both"/>
        <w:rPr>
          <w:rFonts w:eastAsia="Calibri"/>
        </w:rPr>
      </w:pPr>
      <w:r w:rsidRPr="00D90DAE">
        <w:rPr>
          <w:rFonts w:eastAsia="Calibri"/>
          <w:b/>
          <w:bCs/>
        </w:rPr>
        <w:lastRenderedPageBreak/>
        <w:t>DEF</w:t>
      </w:r>
      <w:r>
        <w:rPr>
          <w:rFonts w:eastAsia="Calibri"/>
          <w:b/>
          <w:bCs/>
        </w:rPr>
        <w:t>:</w:t>
      </w:r>
      <w:r>
        <w:rPr>
          <w:rFonts w:eastAsia="Calibri"/>
          <w:b/>
          <w:bCs/>
        </w:rPr>
        <w:tab/>
      </w:r>
      <w:r w:rsidRPr="004A4383">
        <w:rPr>
          <w:rFonts w:eastAsia="Calibri"/>
        </w:rPr>
        <w:t>The Energy separation factor is calculated for each month based on retail kWh sales as a percentage of projected total kWh sales. The remaining separation factors are below and are consistent with DEF’s 2017 Second Revised and Restated Stipulation and Settlement Agreement (“2017 Agreement”) approved in Order No. PSC-2017-0451-AS-EU.</w:t>
      </w:r>
    </w:p>
    <w:p w:rsidR="00B8196F" w:rsidRPr="004A4383" w:rsidRDefault="00B8196F" w:rsidP="00B8196F">
      <w:pPr>
        <w:ind w:left="1440" w:hanging="1440"/>
        <w:jc w:val="both"/>
        <w:rPr>
          <w:rFonts w:eastAsia="Calibri"/>
        </w:rPr>
      </w:pPr>
    </w:p>
    <w:p w:rsidR="00B8196F" w:rsidRPr="004A4383" w:rsidRDefault="00B8196F" w:rsidP="00B8196F">
      <w:pPr>
        <w:ind w:left="2880" w:hanging="1440"/>
        <w:jc w:val="both"/>
        <w:rPr>
          <w:rFonts w:eastAsia="Calibri"/>
        </w:rPr>
      </w:pPr>
      <w:r w:rsidRPr="004A4383">
        <w:rPr>
          <w:rFonts w:eastAsia="Calibri"/>
        </w:rPr>
        <w:t>Transmission Average 12 CP Demand – 70.203%</w:t>
      </w:r>
    </w:p>
    <w:p w:rsidR="00B8196F" w:rsidRDefault="00B8196F" w:rsidP="00B8196F">
      <w:pPr>
        <w:ind w:left="2880" w:hanging="1440"/>
        <w:jc w:val="both"/>
        <w:rPr>
          <w:rFonts w:eastAsia="Calibri"/>
        </w:rPr>
      </w:pPr>
      <w:r w:rsidRPr="004A4383">
        <w:rPr>
          <w:rFonts w:eastAsia="Calibri"/>
        </w:rPr>
        <w:t>Distribution Primary Demand – 99.561%</w:t>
      </w:r>
    </w:p>
    <w:p w:rsidR="00B8196F" w:rsidRPr="004A4383" w:rsidRDefault="00B8196F" w:rsidP="00B8196F">
      <w:pPr>
        <w:ind w:left="2880" w:hanging="1440"/>
        <w:jc w:val="both"/>
        <w:rPr>
          <w:rFonts w:eastAsia="Calibri"/>
        </w:rPr>
      </w:pPr>
    </w:p>
    <w:p w:rsidR="00B8196F" w:rsidRPr="004A4383" w:rsidRDefault="00B8196F" w:rsidP="00B8196F">
      <w:pPr>
        <w:ind w:left="2880" w:hanging="1440"/>
        <w:jc w:val="both"/>
        <w:rPr>
          <w:rFonts w:eastAsia="Calibri"/>
        </w:rPr>
      </w:pPr>
      <w:r w:rsidRPr="004A4383">
        <w:rPr>
          <w:rFonts w:eastAsia="Calibri"/>
        </w:rPr>
        <w:t>Production Demand:</w:t>
      </w:r>
    </w:p>
    <w:p w:rsidR="00B8196F" w:rsidRPr="004A4383" w:rsidRDefault="00B8196F" w:rsidP="00B8196F">
      <w:pPr>
        <w:ind w:left="2880" w:hanging="1440"/>
        <w:jc w:val="both"/>
        <w:rPr>
          <w:rFonts w:eastAsia="Calibri"/>
        </w:rPr>
      </w:pPr>
      <w:r w:rsidRPr="004A4383">
        <w:rPr>
          <w:rFonts w:eastAsia="Calibri"/>
        </w:rPr>
        <w:t>Production Base – 92.885%</w:t>
      </w:r>
    </w:p>
    <w:p w:rsidR="00B8196F" w:rsidRPr="004A4383" w:rsidRDefault="00B8196F" w:rsidP="00B8196F">
      <w:pPr>
        <w:ind w:left="2880" w:hanging="1440"/>
        <w:jc w:val="both"/>
        <w:rPr>
          <w:rFonts w:eastAsia="Calibri"/>
        </w:rPr>
      </w:pPr>
      <w:r w:rsidRPr="004A4383">
        <w:rPr>
          <w:rFonts w:eastAsia="Calibri"/>
        </w:rPr>
        <w:t>Production Intermediate – 72.703%</w:t>
      </w:r>
    </w:p>
    <w:p w:rsidR="00B8196F" w:rsidRPr="004A4383" w:rsidRDefault="00B8196F" w:rsidP="00B8196F">
      <w:pPr>
        <w:ind w:left="2880" w:hanging="1440"/>
        <w:jc w:val="both"/>
        <w:rPr>
          <w:rFonts w:eastAsia="Calibri"/>
        </w:rPr>
      </w:pPr>
      <w:r w:rsidRPr="004A4383">
        <w:rPr>
          <w:rFonts w:eastAsia="Calibri"/>
        </w:rPr>
        <w:t>Production Peaking – 95.924%</w:t>
      </w:r>
    </w:p>
    <w:p w:rsidR="00B8196F" w:rsidRDefault="00B8196F" w:rsidP="00B8196F">
      <w:pPr>
        <w:ind w:left="2880" w:hanging="1440"/>
        <w:jc w:val="both"/>
        <w:rPr>
          <w:rFonts w:eastAsia="Calibri"/>
          <w:bCs/>
        </w:rPr>
      </w:pPr>
      <w:r w:rsidRPr="004A4383">
        <w:rPr>
          <w:rFonts w:eastAsia="Calibri"/>
        </w:rPr>
        <w:t>Production A&amp;G – 93.221%</w:t>
      </w:r>
    </w:p>
    <w:p w:rsidR="00B8196F" w:rsidRPr="00135BDA" w:rsidRDefault="00B8196F" w:rsidP="00B8196F">
      <w:pPr>
        <w:ind w:left="1440"/>
        <w:jc w:val="both"/>
        <w:rPr>
          <w:rFonts w:eastAsia="Calibri"/>
          <w:bCs/>
        </w:rPr>
      </w:pPr>
    </w:p>
    <w:p w:rsidR="00B8196F" w:rsidRPr="008726B2" w:rsidRDefault="00B8196F" w:rsidP="00B8196F">
      <w:pPr>
        <w:jc w:val="both"/>
        <w:rPr>
          <w:rFonts w:eastAsia="Calibri"/>
          <w:b/>
          <w:bCs/>
        </w:rPr>
      </w:pPr>
      <w:r w:rsidRPr="00D90DAE">
        <w:rPr>
          <w:rFonts w:eastAsia="Calibri"/>
          <w:b/>
          <w:bCs/>
        </w:rPr>
        <w:t>TECO</w:t>
      </w:r>
      <w:r>
        <w:rPr>
          <w:rFonts w:eastAsia="Calibri"/>
          <w:b/>
          <w:bCs/>
        </w:rPr>
        <w:t>:</w:t>
      </w:r>
      <w:r>
        <w:rPr>
          <w:rFonts w:eastAsia="Calibri"/>
          <w:b/>
          <w:bCs/>
        </w:rPr>
        <w:tab/>
      </w:r>
      <w:r w:rsidRPr="00D90DAE">
        <w:rPr>
          <w:rFonts w:eastAsia="Calibri"/>
        </w:rPr>
        <w:t>Energy: 100.00%</w:t>
      </w:r>
    </w:p>
    <w:p w:rsidR="00B8196F" w:rsidRPr="00D90DAE" w:rsidRDefault="00B8196F" w:rsidP="00B8196F">
      <w:pPr>
        <w:ind w:left="1440"/>
        <w:jc w:val="both"/>
        <w:rPr>
          <w:rFonts w:eastAsia="Calibri"/>
        </w:rPr>
      </w:pPr>
      <w:r w:rsidRPr="00D90DAE">
        <w:rPr>
          <w:rFonts w:eastAsia="Calibri"/>
        </w:rPr>
        <w:t>Demand: 100.00%</w:t>
      </w:r>
    </w:p>
    <w:p w:rsidR="00B8196F" w:rsidRPr="00D90DAE" w:rsidRDefault="00B8196F" w:rsidP="00B8196F">
      <w:pPr>
        <w:ind w:left="720"/>
        <w:jc w:val="both"/>
        <w:rPr>
          <w:rFonts w:eastAsia="Calibri"/>
          <w:b/>
          <w:bCs/>
        </w:rPr>
      </w:pPr>
    </w:p>
    <w:p w:rsidR="00B8196F" w:rsidRPr="004A4383" w:rsidRDefault="00B8196F" w:rsidP="00B8196F">
      <w:pPr>
        <w:ind w:left="1440" w:hanging="1440"/>
        <w:jc w:val="both"/>
        <w:rPr>
          <w:rFonts w:eastAsia="Calibri"/>
          <w:bCs/>
        </w:rPr>
      </w:pPr>
      <w:r w:rsidRPr="00D90DAE">
        <w:rPr>
          <w:rFonts w:eastAsia="Calibri"/>
          <w:b/>
          <w:bCs/>
        </w:rPr>
        <w:t>GULF</w:t>
      </w:r>
      <w:r>
        <w:rPr>
          <w:rFonts w:eastAsia="Calibri"/>
          <w:b/>
          <w:bCs/>
        </w:rPr>
        <w:t>:</w:t>
      </w:r>
      <w:r>
        <w:rPr>
          <w:rFonts w:eastAsia="Calibri"/>
          <w:b/>
          <w:bCs/>
        </w:rPr>
        <w:tab/>
      </w:r>
      <w:r w:rsidRPr="004A4383">
        <w:rPr>
          <w:rFonts w:eastAsia="Calibri"/>
          <w:bCs/>
        </w:rPr>
        <w:t>The demand jurisdictional separat</w:t>
      </w:r>
      <w:r>
        <w:rPr>
          <w:rFonts w:eastAsia="Calibri"/>
          <w:bCs/>
        </w:rPr>
        <w:t xml:space="preserve">ion factor is 97.23427%. Energy </w:t>
      </w:r>
      <w:r w:rsidRPr="004A4383">
        <w:rPr>
          <w:rFonts w:eastAsia="Calibri"/>
          <w:bCs/>
        </w:rPr>
        <w:t>jurisdictional separation factors are calculated each month based on projected</w:t>
      </w:r>
      <w:r>
        <w:rPr>
          <w:rFonts w:eastAsia="Calibri"/>
          <w:bCs/>
        </w:rPr>
        <w:t xml:space="preserve"> </w:t>
      </w:r>
      <w:r w:rsidRPr="004A4383">
        <w:rPr>
          <w:rFonts w:eastAsia="Calibri"/>
          <w:bCs/>
        </w:rPr>
        <w:t>retail kWh sales as a percentage of projected total territorial kWh sales</w:t>
      </w:r>
      <w:r>
        <w:rPr>
          <w:rFonts w:eastAsia="Calibri"/>
          <w:bCs/>
        </w:rPr>
        <w:t>.</w:t>
      </w:r>
    </w:p>
    <w:p w:rsidR="00B8196F" w:rsidRPr="00D90DAE" w:rsidRDefault="00B8196F" w:rsidP="00B8196F">
      <w:pPr>
        <w:spacing w:after="240"/>
        <w:ind w:left="1440" w:hanging="1440"/>
        <w:jc w:val="both"/>
        <w:rPr>
          <w:rFonts w:eastAsia="Calibri"/>
          <w:b/>
          <w:bCs/>
        </w:rPr>
      </w:pPr>
    </w:p>
    <w:p w:rsidR="00B8196F" w:rsidRPr="00D90DAE" w:rsidRDefault="00B8196F" w:rsidP="00B8196F">
      <w:pPr>
        <w:spacing w:after="200"/>
        <w:ind w:left="1440" w:hanging="1440"/>
        <w:jc w:val="both"/>
        <w:rPr>
          <w:rFonts w:eastAsia="Calibri"/>
          <w:b/>
        </w:rPr>
      </w:pPr>
      <w:r w:rsidRPr="00D90DAE">
        <w:rPr>
          <w:rFonts w:eastAsia="Calibri"/>
          <w:b/>
        </w:rPr>
        <w:t xml:space="preserve">ISSUE 7: </w:t>
      </w:r>
      <w:r>
        <w:rPr>
          <w:rFonts w:eastAsia="Calibri"/>
          <w:b/>
        </w:rPr>
        <w:tab/>
      </w:r>
      <w:r w:rsidRPr="00C26029">
        <w:rPr>
          <w:rFonts w:eastAsia="Calibri"/>
          <w:b/>
        </w:rPr>
        <w:t>What are the appropriate environmental cost recovery factors for the period January 2020 through December 2020 for each rate group</w:t>
      </w:r>
      <w:r w:rsidRPr="00D90DAE">
        <w:rPr>
          <w:rFonts w:eastAsia="Calibri"/>
          <w:b/>
        </w:rPr>
        <w:t>?</w:t>
      </w:r>
    </w:p>
    <w:p w:rsidR="00B8196F" w:rsidRDefault="00B8196F" w:rsidP="00B8196F">
      <w:pPr>
        <w:ind w:left="1440"/>
        <w:jc w:val="both"/>
        <w:rPr>
          <w:rFonts w:eastAsia="Calibri"/>
          <w:bCs/>
        </w:rPr>
      </w:pPr>
      <w:r w:rsidRPr="00D90DAE">
        <w:rPr>
          <w:rFonts w:eastAsia="Calibri"/>
          <w:bCs/>
        </w:rPr>
        <w:t xml:space="preserve">The appropriate environmental cost recovery factors for the period January </w:t>
      </w:r>
      <w:r>
        <w:rPr>
          <w:rFonts w:eastAsia="Calibri"/>
          <w:bCs/>
        </w:rPr>
        <w:t>2020</w:t>
      </w:r>
      <w:r w:rsidRPr="00D90DAE">
        <w:rPr>
          <w:rFonts w:eastAsia="Calibri"/>
          <w:bCs/>
        </w:rPr>
        <w:t xml:space="preserve"> through December </w:t>
      </w:r>
      <w:r>
        <w:rPr>
          <w:rFonts w:eastAsia="Calibri"/>
          <w:bCs/>
        </w:rPr>
        <w:t>2020</w:t>
      </w:r>
      <w:r w:rsidRPr="00D90DAE">
        <w:rPr>
          <w:rFonts w:eastAsia="Calibri"/>
          <w:bCs/>
        </w:rPr>
        <w:t xml:space="preserve"> for each rate group are as follows:</w:t>
      </w:r>
    </w:p>
    <w:p w:rsidR="00B8196F" w:rsidRPr="00D90DAE" w:rsidRDefault="00B8196F" w:rsidP="00B8196F">
      <w:pPr>
        <w:ind w:left="1440"/>
        <w:jc w:val="both"/>
        <w:rPr>
          <w:rFonts w:eastAsia="Calibri"/>
          <w:bCs/>
        </w:rPr>
      </w:pPr>
    </w:p>
    <w:p w:rsidR="00B8196F" w:rsidRDefault="00B8196F" w:rsidP="00B8196F">
      <w:pPr>
        <w:spacing w:after="200" w:line="276" w:lineRule="auto"/>
        <w:jc w:val="both"/>
        <w:rPr>
          <w:rFonts w:eastAsia="Calibri"/>
        </w:rPr>
      </w:pPr>
      <w:r w:rsidRPr="00D90DAE">
        <w:rPr>
          <w:rFonts w:eastAsia="Calibri"/>
          <w:b/>
          <w:bCs/>
        </w:rPr>
        <w:t>FPL:</w:t>
      </w:r>
    </w:p>
    <w:tbl>
      <w:tblPr>
        <w:tblW w:w="6357" w:type="dxa"/>
        <w:tblInd w:w="1440" w:type="dxa"/>
        <w:tblLook w:val="04A0" w:firstRow="1" w:lastRow="0" w:firstColumn="1" w:lastColumn="0" w:noHBand="0" w:noVBand="1"/>
      </w:tblPr>
      <w:tblGrid>
        <w:gridCol w:w="3937"/>
        <w:gridCol w:w="2420"/>
      </w:tblGrid>
      <w:tr w:rsidR="00B8196F" w:rsidRPr="00D033EB" w:rsidTr="00B65DE8">
        <w:trPr>
          <w:trHeight w:val="915"/>
          <w:tblHeader/>
        </w:trPr>
        <w:tc>
          <w:tcPr>
            <w:tcW w:w="393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B8196F" w:rsidRPr="00D033EB" w:rsidRDefault="00B8196F" w:rsidP="00B8196F">
            <w:pPr>
              <w:jc w:val="both"/>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B8196F" w:rsidRPr="00D033EB" w:rsidRDefault="00B8196F" w:rsidP="00B8196F">
            <w:pPr>
              <w:jc w:val="both"/>
              <w:rPr>
                <w:b/>
              </w:rPr>
            </w:pPr>
            <w:r w:rsidRPr="00D033EB">
              <w:rPr>
                <w:b/>
              </w:rPr>
              <w:t>Environmental Cost</w:t>
            </w:r>
          </w:p>
          <w:p w:rsidR="00B8196F" w:rsidRPr="00D033EB" w:rsidRDefault="00B8196F" w:rsidP="00B8196F">
            <w:pPr>
              <w:jc w:val="both"/>
              <w:rPr>
                <w:b/>
              </w:rPr>
            </w:pPr>
            <w:r>
              <w:rPr>
                <w:b/>
              </w:rPr>
              <w:t>Recovery Factor</w:t>
            </w:r>
          </w:p>
          <w:p w:rsidR="00B8196F" w:rsidRPr="00D033EB" w:rsidRDefault="00B8196F" w:rsidP="00B8196F">
            <w:pPr>
              <w:jc w:val="both"/>
              <w:rPr>
                <w:b/>
              </w:rPr>
            </w:pPr>
            <w:r w:rsidRPr="00D033EB">
              <w:rPr>
                <w:b/>
              </w:rPr>
              <w:t>(cents/kWh)</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t>RS1/RTR1</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sidRPr="00E21E1D">
              <w:rPr>
                <w:color w:val="000000"/>
              </w:rPr>
              <w:t>0.155</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t>GS1/GST1</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sidRPr="00E21E1D">
              <w:rPr>
                <w:color w:val="000000"/>
              </w:rPr>
              <w:t>0.152</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t>GSD1/GSDT1/HLFT1</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Pr>
                <w:color w:val="000000"/>
              </w:rPr>
              <w:t>0.139</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t>OS2</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Pr>
                <w:color w:val="000000"/>
              </w:rPr>
              <w:t>0.084</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t>GSLD1/GSLDT1/CS1/CST1/HLFT2</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sidRPr="00E21E1D">
              <w:rPr>
                <w:color w:val="000000"/>
              </w:rPr>
              <w:t>0.138</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t>GSLD2/GSLDT2/CS2/CST2/HLFT3</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sidRPr="00E21E1D">
              <w:rPr>
                <w:color w:val="000000"/>
              </w:rPr>
              <w:t>0.120</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t>GSLD3/GSLDT3/CS3/CST3</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sidRPr="00E21E1D">
              <w:rPr>
                <w:color w:val="000000"/>
              </w:rPr>
              <w:t>0.121</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t>SST1T</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sidRPr="00E21E1D">
              <w:rPr>
                <w:color w:val="000000"/>
              </w:rPr>
              <w:t>0.106</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t>SST1D1/SST1D2/SST1D3</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sidRPr="00E21E1D">
              <w:rPr>
                <w:color w:val="000000"/>
              </w:rPr>
              <w:t>0.161</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t>CILC D/CILC G</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sidRPr="00E21E1D">
              <w:rPr>
                <w:color w:val="000000"/>
              </w:rPr>
              <w:t>0.119</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t>CILC T</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sidRPr="00E21E1D">
              <w:rPr>
                <w:color w:val="000000"/>
              </w:rPr>
              <w:t>0.110</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lastRenderedPageBreak/>
              <w:t>MET</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sidRPr="00E21E1D">
              <w:rPr>
                <w:color w:val="000000"/>
              </w:rPr>
              <w:t>0.128</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t>OL1/SL1/SL1M/PL1</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sidRPr="00E21E1D">
              <w:rPr>
                <w:color w:val="000000"/>
              </w:rPr>
              <w:t>0.035</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pPr>
            <w:r w:rsidRPr="00D033EB">
              <w:t>SL2/SL2M/GSCU1</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r w:rsidRPr="00E21E1D">
              <w:rPr>
                <w:color w:val="000000"/>
              </w:rPr>
              <w:t>0.111</w:t>
            </w:r>
          </w:p>
        </w:tc>
      </w:tr>
      <w:tr w:rsidR="00B8196F" w:rsidRPr="00D033EB" w:rsidTr="00B65DE8">
        <w:trPr>
          <w:trHeight w:val="285"/>
        </w:trPr>
        <w:tc>
          <w:tcPr>
            <w:tcW w:w="3937" w:type="dxa"/>
            <w:tcBorders>
              <w:top w:val="nil"/>
              <w:left w:val="single" w:sz="8" w:space="0" w:color="auto"/>
              <w:bottom w:val="nil"/>
              <w:right w:val="nil"/>
            </w:tcBorders>
            <w:shd w:val="clear" w:color="auto" w:fill="auto"/>
            <w:noWrap/>
            <w:vAlign w:val="bottom"/>
            <w:hideMark/>
          </w:tcPr>
          <w:p w:rsidR="00B8196F" w:rsidRPr="00D033EB" w:rsidRDefault="00B8196F" w:rsidP="00B8196F">
            <w:pPr>
              <w:jc w:val="both"/>
              <w:rPr>
                <w:color w:val="000000"/>
              </w:rPr>
            </w:pPr>
            <w:r w:rsidRPr="00D033EB">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B8196F" w:rsidRPr="00D033EB" w:rsidRDefault="00B8196F" w:rsidP="00B8196F">
            <w:pPr>
              <w:jc w:val="both"/>
              <w:rPr>
                <w:color w:val="000000"/>
              </w:rPr>
            </w:pPr>
          </w:p>
        </w:tc>
      </w:tr>
      <w:tr w:rsidR="00B8196F" w:rsidRPr="00D033EB" w:rsidTr="00B65DE8">
        <w:trPr>
          <w:trHeight w:val="300"/>
        </w:trPr>
        <w:tc>
          <w:tcPr>
            <w:tcW w:w="3937" w:type="dxa"/>
            <w:tcBorders>
              <w:top w:val="nil"/>
              <w:left w:val="single" w:sz="8" w:space="0" w:color="auto"/>
              <w:bottom w:val="single" w:sz="8" w:space="0" w:color="auto"/>
              <w:right w:val="nil"/>
            </w:tcBorders>
            <w:shd w:val="clear" w:color="auto" w:fill="auto"/>
            <w:noWrap/>
            <w:vAlign w:val="bottom"/>
            <w:hideMark/>
          </w:tcPr>
          <w:p w:rsidR="00B8196F" w:rsidRPr="00D033EB" w:rsidRDefault="00B8196F" w:rsidP="00B8196F">
            <w:pPr>
              <w:jc w:val="both"/>
            </w:pPr>
            <w:r w:rsidRPr="00D033EB">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B8196F" w:rsidRPr="00D033EB" w:rsidRDefault="00B8196F" w:rsidP="00B8196F">
            <w:pPr>
              <w:jc w:val="both"/>
              <w:rPr>
                <w:color w:val="000000"/>
              </w:rPr>
            </w:pPr>
            <w:r w:rsidRPr="00E21E1D">
              <w:rPr>
                <w:color w:val="000000"/>
              </w:rPr>
              <w:t>0.146</w:t>
            </w:r>
          </w:p>
        </w:tc>
      </w:tr>
    </w:tbl>
    <w:p w:rsidR="00B8196F" w:rsidRDefault="00B8196F" w:rsidP="00B8196F">
      <w:pPr>
        <w:jc w:val="both"/>
        <w:rPr>
          <w:rFonts w:eastAsia="Calibri"/>
          <w:b/>
          <w:bCs/>
        </w:rPr>
      </w:pPr>
    </w:p>
    <w:p w:rsidR="00B8196F" w:rsidRPr="008726B2" w:rsidRDefault="00B8196F" w:rsidP="00B8196F">
      <w:pPr>
        <w:spacing w:after="200" w:line="276" w:lineRule="auto"/>
        <w:jc w:val="both"/>
        <w:rPr>
          <w:rFonts w:eastAsia="Calibri"/>
        </w:rPr>
      </w:pPr>
      <w:r w:rsidRPr="00D90DAE">
        <w:rPr>
          <w:rFonts w:eastAsia="Calibri"/>
          <w:b/>
          <w:bCs/>
        </w:rPr>
        <w:t>DEF</w:t>
      </w:r>
      <w:r>
        <w:rPr>
          <w:rFonts w:eastAsia="Calibri"/>
          <w:b/>
          <w:bCs/>
        </w:rPr>
        <w:t>:</w:t>
      </w:r>
    </w:p>
    <w:tbl>
      <w:tblPr>
        <w:tblW w:w="532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tblGrid>
      <w:tr w:rsidR="00B8196F" w:rsidRPr="00D90DAE" w:rsidTr="00B8196F">
        <w:trPr>
          <w:trHeight w:val="534"/>
        </w:trPr>
        <w:tc>
          <w:tcPr>
            <w:tcW w:w="3348" w:type="dxa"/>
            <w:tcBorders>
              <w:top w:val="single" w:sz="4" w:space="0" w:color="auto"/>
              <w:left w:val="single" w:sz="4" w:space="0" w:color="auto"/>
              <w:bottom w:val="single" w:sz="4" w:space="0" w:color="auto"/>
              <w:right w:val="single" w:sz="4" w:space="0" w:color="auto"/>
            </w:tcBorders>
            <w:vAlign w:val="center"/>
            <w:hideMark/>
          </w:tcPr>
          <w:p w:rsidR="00B8196F" w:rsidRPr="00D90DAE" w:rsidRDefault="00B8196F" w:rsidP="00B8196F">
            <w:pPr>
              <w:keepNext/>
              <w:suppressLineNumbers/>
              <w:jc w:val="both"/>
              <w:rPr>
                <w:rFonts w:eastAsia="Calibri"/>
                <w:b/>
              </w:rPr>
            </w:pPr>
            <w:r w:rsidRPr="00D90DAE">
              <w:rPr>
                <w:rFonts w:eastAsia="Calibri"/>
                <w:b/>
              </w:rPr>
              <w:t>RATE CLASS</w:t>
            </w:r>
          </w:p>
        </w:tc>
        <w:tc>
          <w:tcPr>
            <w:tcW w:w="1980" w:type="dxa"/>
            <w:tcBorders>
              <w:top w:val="single" w:sz="4" w:space="0" w:color="auto"/>
              <w:left w:val="single" w:sz="4" w:space="0" w:color="auto"/>
              <w:bottom w:val="single" w:sz="4" w:space="0" w:color="auto"/>
              <w:right w:val="single" w:sz="4" w:space="0" w:color="auto"/>
            </w:tcBorders>
            <w:vAlign w:val="center"/>
            <w:hideMark/>
          </w:tcPr>
          <w:p w:rsidR="00B8196F" w:rsidRPr="00D90DAE" w:rsidRDefault="00B8196F" w:rsidP="00B8196F">
            <w:pPr>
              <w:keepNext/>
              <w:suppressLineNumbers/>
              <w:jc w:val="both"/>
              <w:rPr>
                <w:rFonts w:eastAsia="Calibri"/>
                <w:b/>
              </w:rPr>
            </w:pPr>
            <w:r w:rsidRPr="00D90DAE">
              <w:rPr>
                <w:rFonts w:eastAsia="Calibri"/>
                <w:b/>
              </w:rPr>
              <w:t>ECRC FACTORS</w:t>
            </w:r>
          </w:p>
        </w:tc>
      </w:tr>
      <w:tr w:rsidR="00B8196F" w:rsidRPr="00D90DAE" w:rsidTr="00B8196F">
        <w:trPr>
          <w:trHeight w:val="282"/>
        </w:trPr>
        <w:tc>
          <w:tcPr>
            <w:tcW w:w="3348" w:type="dxa"/>
            <w:tcBorders>
              <w:top w:val="single" w:sz="4" w:space="0" w:color="auto"/>
              <w:left w:val="single" w:sz="4" w:space="0" w:color="auto"/>
              <w:bottom w:val="single" w:sz="4" w:space="0" w:color="auto"/>
              <w:right w:val="single" w:sz="4" w:space="0" w:color="auto"/>
            </w:tcBorders>
            <w:hideMark/>
          </w:tcPr>
          <w:p w:rsidR="00B8196F" w:rsidRPr="00D90DAE" w:rsidRDefault="00B8196F" w:rsidP="00B8196F">
            <w:pPr>
              <w:keepNext/>
              <w:suppressLineNumbers/>
              <w:jc w:val="both"/>
              <w:rPr>
                <w:rFonts w:eastAsia="Calibri"/>
              </w:rPr>
            </w:pPr>
            <w:r w:rsidRPr="00D90DAE">
              <w:rPr>
                <w:rFonts w:eastAsia="Calibri"/>
              </w:rPr>
              <w:t>Residential</w:t>
            </w:r>
          </w:p>
        </w:tc>
        <w:tc>
          <w:tcPr>
            <w:tcW w:w="1980" w:type="dxa"/>
            <w:tcBorders>
              <w:top w:val="single" w:sz="4" w:space="0" w:color="auto"/>
              <w:left w:val="single" w:sz="4" w:space="0" w:color="auto"/>
              <w:bottom w:val="single" w:sz="4" w:space="0" w:color="auto"/>
              <w:right w:val="single" w:sz="4" w:space="0" w:color="auto"/>
            </w:tcBorders>
            <w:hideMark/>
          </w:tcPr>
          <w:p w:rsidR="00B8196F" w:rsidRPr="00D90DAE" w:rsidRDefault="00B8196F" w:rsidP="00B8196F">
            <w:pPr>
              <w:keepNext/>
              <w:suppressLineNumbers/>
              <w:jc w:val="both"/>
              <w:rPr>
                <w:rFonts w:eastAsia="Calibri"/>
              </w:rPr>
            </w:pPr>
            <w:r>
              <w:rPr>
                <w:rFonts w:eastAsia="Calibri"/>
              </w:rPr>
              <w:t xml:space="preserve">0.079 </w:t>
            </w:r>
            <w:r w:rsidRPr="00D90DAE">
              <w:rPr>
                <w:rFonts w:eastAsia="Calibri"/>
              </w:rPr>
              <w:t>cents/kWh</w:t>
            </w:r>
          </w:p>
        </w:tc>
      </w:tr>
      <w:tr w:rsidR="00B8196F" w:rsidRPr="00D90DAE" w:rsidTr="00B8196F">
        <w:trPr>
          <w:trHeight w:val="1138"/>
        </w:trPr>
        <w:tc>
          <w:tcPr>
            <w:tcW w:w="3348" w:type="dxa"/>
            <w:tcBorders>
              <w:top w:val="single" w:sz="4" w:space="0" w:color="auto"/>
              <w:left w:val="single" w:sz="4" w:space="0" w:color="auto"/>
              <w:bottom w:val="single" w:sz="4" w:space="0" w:color="auto"/>
              <w:right w:val="single" w:sz="4" w:space="0" w:color="auto"/>
            </w:tcBorders>
            <w:hideMark/>
          </w:tcPr>
          <w:p w:rsidR="00B8196F" w:rsidRPr="00D90DAE" w:rsidRDefault="00B8196F" w:rsidP="00B8196F">
            <w:pPr>
              <w:keepNext/>
              <w:suppressLineNumbers/>
              <w:tabs>
                <w:tab w:val="left" w:pos="576"/>
                <w:tab w:val="left" w:pos="1440"/>
                <w:tab w:val="left" w:pos="1728"/>
                <w:tab w:val="left" w:pos="5904"/>
              </w:tabs>
              <w:jc w:val="both"/>
              <w:rPr>
                <w:rFonts w:eastAsia="Calibri"/>
              </w:rPr>
            </w:pPr>
            <w:r w:rsidRPr="00D90DAE">
              <w:rPr>
                <w:rFonts w:eastAsia="Calibri"/>
              </w:rPr>
              <w:t>General Service Non-Demand</w:t>
            </w:r>
          </w:p>
          <w:p w:rsidR="00B8196F" w:rsidRPr="00D90DAE" w:rsidRDefault="00B8196F" w:rsidP="00B8196F">
            <w:pPr>
              <w:keepNext/>
              <w:suppressLineNumbers/>
              <w:tabs>
                <w:tab w:val="left" w:pos="576"/>
                <w:tab w:val="left" w:pos="1440"/>
                <w:tab w:val="left" w:pos="1728"/>
                <w:tab w:val="left" w:pos="5904"/>
              </w:tabs>
              <w:jc w:val="both"/>
              <w:rPr>
                <w:rFonts w:eastAsia="Calibri"/>
              </w:rPr>
            </w:pPr>
            <w:r w:rsidRPr="00D90DAE">
              <w:rPr>
                <w:rFonts w:eastAsia="Calibri"/>
              </w:rPr>
              <w:t>@ Secondary Voltage</w:t>
            </w:r>
          </w:p>
          <w:p w:rsidR="00B8196F" w:rsidRPr="00D90DAE" w:rsidRDefault="00B8196F" w:rsidP="00B8196F">
            <w:pPr>
              <w:keepNext/>
              <w:suppressLineNumbers/>
              <w:tabs>
                <w:tab w:val="left" w:pos="576"/>
                <w:tab w:val="left" w:pos="1440"/>
                <w:tab w:val="left" w:pos="1728"/>
                <w:tab w:val="left" w:pos="5904"/>
              </w:tabs>
              <w:jc w:val="both"/>
              <w:rPr>
                <w:rFonts w:eastAsia="Calibri"/>
              </w:rPr>
            </w:pPr>
            <w:r w:rsidRPr="00D90DAE">
              <w:rPr>
                <w:rFonts w:eastAsia="Calibri"/>
              </w:rPr>
              <w:t>@ Primary Voltage</w:t>
            </w:r>
          </w:p>
          <w:p w:rsidR="00B8196F" w:rsidRPr="00D90DAE" w:rsidRDefault="00B8196F" w:rsidP="00B8196F">
            <w:pPr>
              <w:keepNext/>
              <w:suppressLineNumbers/>
              <w:tabs>
                <w:tab w:val="left" w:pos="576"/>
                <w:tab w:val="left" w:pos="1440"/>
                <w:tab w:val="left" w:pos="1728"/>
                <w:tab w:val="left" w:pos="5904"/>
              </w:tabs>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B8196F" w:rsidRPr="00D90DAE" w:rsidRDefault="00B8196F" w:rsidP="00B8196F">
            <w:pPr>
              <w:keepNext/>
              <w:suppressLineNumbers/>
              <w:jc w:val="both"/>
              <w:rPr>
                <w:rFonts w:eastAsia="Calibri"/>
              </w:rPr>
            </w:pPr>
          </w:p>
          <w:p w:rsidR="00B8196F" w:rsidRPr="00D90DAE" w:rsidRDefault="00B8196F" w:rsidP="00B8196F">
            <w:pPr>
              <w:keepNext/>
              <w:suppressLineNumbers/>
              <w:jc w:val="both"/>
              <w:rPr>
                <w:rFonts w:eastAsia="Calibri"/>
              </w:rPr>
            </w:pPr>
            <w:r>
              <w:rPr>
                <w:rFonts w:eastAsia="Calibri"/>
              </w:rPr>
              <w:t xml:space="preserve">0.079 </w:t>
            </w:r>
            <w:r w:rsidRPr="00D90DAE">
              <w:rPr>
                <w:rFonts w:eastAsia="Calibri"/>
              </w:rPr>
              <w:t>cents/kWh</w:t>
            </w:r>
          </w:p>
          <w:p w:rsidR="00B8196F" w:rsidRPr="00D90DAE" w:rsidRDefault="00B8196F" w:rsidP="00B8196F">
            <w:pPr>
              <w:keepNext/>
              <w:suppressLineNumbers/>
              <w:jc w:val="both"/>
              <w:rPr>
                <w:rFonts w:eastAsia="Calibri"/>
              </w:rPr>
            </w:pPr>
            <w:r>
              <w:rPr>
                <w:rFonts w:eastAsia="Calibri"/>
              </w:rPr>
              <w:t xml:space="preserve">0.078 </w:t>
            </w:r>
            <w:r w:rsidRPr="00D90DAE">
              <w:rPr>
                <w:rFonts w:eastAsia="Calibri"/>
              </w:rPr>
              <w:t>cents/kWh</w:t>
            </w:r>
          </w:p>
          <w:p w:rsidR="00B8196F" w:rsidRPr="00D90DAE" w:rsidRDefault="00B8196F" w:rsidP="00B8196F">
            <w:pPr>
              <w:keepNext/>
              <w:suppressLineNumbers/>
              <w:jc w:val="both"/>
              <w:rPr>
                <w:rFonts w:eastAsia="Calibri"/>
              </w:rPr>
            </w:pPr>
            <w:r>
              <w:rPr>
                <w:rFonts w:eastAsia="Calibri"/>
              </w:rPr>
              <w:t xml:space="preserve">0.077 </w:t>
            </w:r>
            <w:r w:rsidRPr="00D90DAE">
              <w:rPr>
                <w:rFonts w:eastAsia="Calibri"/>
              </w:rPr>
              <w:t>cents/kWh</w:t>
            </w:r>
          </w:p>
        </w:tc>
      </w:tr>
      <w:tr w:rsidR="00B8196F" w:rsidRPr="00D90DAE" w:rsidTr="00B8196F">
        <w:trPr>
          <w:trHeight w:val="282"/>
        </w:trPr>
        <w:tc>
          <w:tcPr>
            <w:tcW w:w="3348" w:type="dxa"/>
            <w:tcBorders>
              <w:top w:val="single" w:sz="4" w:space="0" w:color="auto"/>
              <w:left w:val="single" w:sz="4" w:space="0" w:color="auto"/>
              <w:bottom w:val="single" w:sz="4" w:space="0" w:color="auto"/>
              <w:right w:val="single" w:sz="4" w:space="0" w:color="auto"/>
            </w:tcBorders>
            <w:hideMark/>
          </w:tcPr>
          <w:p w:rsidR="00B8196F" w:rsidRPr="00D90DAE" w:rsidRDefault="00B8196F" w:rsidP="00B8196F">
            <w:pPr>
              <w:keepNext/>
              <w:suppressLineNumbers/>
              <w:jc w:val="both"/>
              <w:rPr>
                <w:rFonts w:eastAsia="Calibri"/>
              </w:rPr>
            </w:pPr>
            <w:r w:rsidRPr="00D90DAE">
              <w:rPr>
                <w:rFonts w:eastAsia="Calibri"/>
              </w:rPr>
              <w:t>General Service 100% Load Factor</w:t>
            </w:r>
          </w:p>
        </w:tc>
        <w:tc>
          <w:tcPr>
            <w:tcW w:w="1980" w:type="dxa"/>
            <w:tcBorders>
              <w:top w:val="single" w:sz="4" w:space="0" w:color="auto"/>
              <w:left w:val="single" w:sz="4" w:space="0" w:color="auto"/>
              <w:bottom w:val="single" w:sz="4" w:space="0" w:color="auto"/>
              <w:right w:val="single" w:sz="4" w:space="0" w:color="auto"/>
            </w:tcBorders>
            <w:hideMark/>
          </w:tcPr>
          <w:p w:rsidR="00B8196F" w:rsidRPr="00D90DAE" w:rsidRDefault="00B8196F" w:rsidP="00B8196F">
            <w:pPr>
              <w:keepNext/>
              <w:suppressLineNumbers/>
              <w:jc w:val="both"/>
              <w:rPr>
                <w:rFonts w:eastAsia="Calibri"/>
              </w:rPr>
            </w:pPr>
            <w:r>
              <w:rPr>
                <w:rFonts w:eastAsia="Calibri"/>
              </w:rPr>
              <w:t xml:space="preserve">0.075 </w:t>
            </w:r>
            <w:r w:rsidRPr="00D90DAE">
              <w:rPr>
                <w:rFonts w:eastAsia="Calibri"/>
              </w:rPr>
              <w:t>cents/kWh</w:t>
            </w:r>
          </w:p>
        </w:tc>
      </w:tr>
      <w:tr w:rsidR="00B8196F" w:rsidRPr="00D90DAE" w:rsidTr="00B8196F">
        <w:trPr>
          <w:trHeight w:val="1171"/>
        </w:trPr>
        <w:tc>
          <w:tcPr>
            <w:tcW w:w="3348" w:type="dxa"/>
            <w:tcBorders>
              <w:top w:val="single" w:sz="4" w:space="0" w:color="auto"/>
              <w:left w:val="single" w:sz="4" w:space="0" w:color="auto"/>
              <w:bottom w:val="single" w:sz="4" w:space="0" w:color="auto"/>
              <w:right w:val="single" w:sz="4" w:space="0" w:color="auto"/>
            </w:tcBorders>
            <w:hideMark/>
          </w:tcPr>
          <w:p w:rsidR="00B8196F" w:rsidRPr="00D90DAE" w:rsidRDefault="00B8196F" w:rsidP="00B8196F">
            <w:pPr>
              <w:keepNext/>
              <w:suppressLineNumbers/>
              <w:tabs>
                <w:tab w:val="left" w:pos="576"/>
                <w:tab w:val="left" w:pos="1440"/>
                <w:tab w:val="left" w:pos="1728"/>
                <w:tab w:val="left" w:pos="5904"/>
              </w:tabs>
              <w:jc w:val="both"/>
              <w:rPr>
                <w:rFonts w:eastAsia="Calibri"/>
              </w:rPr>
            </w:pPr>
            <w:r w:rsidRPr="00D90DAE">
              <w:rPr>
                <w:rFonts w:eastAsia="Calibri"/>
              </w:rPr>
              <w:t>General Service Demand</w:t>
            </w:r>
          </w:p>
          <w:p w:rsidR="00B8196F" w:rsidRPr="00D90DAE" w:rsidRDefault="00B8196F" w:rsidP="00B8196F">
            <w:pPr>
              <w:keepNext/>
              <w:suppressLineNumbers/>
              <w:jc w:val="both"/>
              <w:rPr>
                <w:rFonts w:eastAsia="Calibri"/>
              </w:rPr>
            </w:pPr>
            <w:r w:rsidRPr="00D90DAE">
              <w:rPr>
                <w:rFonts w:eastAsia="Calibri"/>
              </w:rPr>
              <w:t>@ Secondary Voltage</w:t>
            </w:r>
          </w:p>
          <w:p w:rsidR="00B8196F" w:rsidRPr="00D90DAE" w:rsidRDefault="00B8196F" w:rsidP="00B8196F">
            <w:pPr>
              <w:keepNext/>
              <w:suppressLineNumbers/>
              <w:jc w:val="both"/>
              <w:rPr>
                <w:rFonts w:eastAsia="Calibri"/>
              </w:rPr>
            </w:pPr>
            <w:r w:rsidRPr="00D90DAE">
              <w:rPr>
                <w:rFonts w:eastAsia="Calibri"/>
              </w:rPr>
              <w:t>@ Primary Voltage</w:t>
            </w:r>
          </w:p>
          <w:p w:rsidR="00B8196F" w:rsidRPr="00D90DAE" w:rsidRDefault="00B8196F" w:rsidP="00B8196F">
            <w:pPr>
              <w:keepNext/>
              <w:suppressLineNumbers/>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B8196F" w:rsidRPr="00D90DAE" w:rsidRDefault="00B8196F" w:rsidP="00B8196F">
            <w:pPr>
              <w:keepNext/>
              <w:suppressLineNumbers/>
              <w:suppressAutoHyphens/>
              <w:jc w:val="both"/>
              <w:outlineLvl w:val="2"/>
              <w:rPr>
                <w:rFonts w:eastAsia="Calibri"/>
              </w:rPr>
            </w:pPr>
          </w:p>
          <w:p w:rsidR="00B8196F" w:rsidRPr="00D90DAE" w:rsidRDefault="00B8196F" w:rsidP="00B8196F">
            <w:pPr>
              <w:keepNext/>
              <w:suppressLineNumbers/>
              <w:jc w:val="both"/>
              <w:rPr>
                <w:rFonts w:eastAsia="Calibri"/>
              </w:rPr>
            </w:pPr>
            <w:r>
              <w:rPr>
                <w:rFonts w:eastAsia="Calibri"/>
              </w:rPr>
              <w:t xml:space="preserve">0.076 </w:t>
            </w:r>
            <w:r w:rsidRPr="00D90DAE">
              <w:rPr>
                <w:rFonts w:eastAsia="Calibri"/>
              </w:rPr>
              <w:t>cents/kWh</w:t>
            </w:r>
          </w:p>
          <w:p w:rsidR="00B8196F" w:rsidRPr="00D90DAE" w:rsidRDefault="00B8196F" w:rsidP="00B8196F">
            <w:pPr>
              <w:keepNext/>
              <w:suppressLineNumbers/>
              <w:jc w:val="both"/>
              <w:rPr>
                <w:rFonts w:eastAsia="Calibri"/>
              </w:rPr>
            </w:pPr>
            <w:r>
              <w:rPr>
                <w:rFonts w:eastAsia="Calibri"/>
              </w:rPr>
              <w:t xml:space="preserve">0.075 </w:t>
            </w:r>
            <w:r w:rsidRPr="00D90DAE">
              <w:rPr>
                <w:rFonts w:eastAsia="Calibri"/>
              </w:rPr>
              <w:t>cents/kWh</w:t>
            </w:r>
          </w:p>
          <w:p w:rsidR="00B8196F" w:rsidRPr="00D90DAE" w:rsidRDefault="00B8196F" w:rsidP="00B8196F">
            <w:pPr>
              <w:keepNext/>
              <w:suppressLineNumbers/>
              <w:jc w:val="both"/>
              <w:rPr>
                <w:rFonts w:eastAsia="Calibri"/>
              </w:rPr>
            </w:pPr>
            <w:r>
              <w:rPr>
                <w:rFonts w:eastAsia="Calibri"/>
              </w:rPr>
              <w:t xml:space="preserve">0.074 </w:t>
            </w:r>
            <w:r w:rsidRPr="00D90DAE">
              <w:rPr>
                <w:rFonts w:eastAsia="Calibri"/>
              </w:rPr>
              <w:t>cents/kWh</w:t>
            </w:r>
          </w:p>
        </w:tc>
      </w:tr>
      <w:tr w:rsidR="00B8196F" w:rsidRPr="00D90DAE" w:rsidTr="00B8196F">
        <w:trPr>
          <w:trHeight w:val="1138"/>
        </w:trPr>
        <w:tc>
          <w:tcPr>
            <w:tcW w:w="3348" w:type="dxa"/>
            <w:tcBorders>
              <w:top w:val="single" w:sz="4" w:space="0" w:color="auto"/>
              <w:left w:val="single" w:sz="4" w:space="0" w:color="auto"/>
              <w:bottom w:val="single" w:sz="4" w:space="0" w:color="auto"/>
              <w:right w:val="single" w:sz="4" w:space="0" w:color="auto"/>
            </w:tcBorders>
            <w:hideMark/>
          </w:tcPr>
          <w:p w:rsidR="00B8196F" w:rsidRPr="00D90DAE" w:rsidRDefault="00B8196F" w:rsidP="00B8196F">
            <w:pPr>
              <w:keepNext/>
              <w:suppressLineNumbers/>
              <w:tabs>
                <w:tab w:val="left" w:pos="576"/>
                <w:tab w:val="left" w:pos="1440"/>
                <w:tab w:val="left" w:pos="1728"/>
                <w:tab w:val="left" w:pos="5904"/>
              </w:tabs>
              <w:ind w:firstLine="90"/>
              <w:jc w:val="both"/>
              <w:rPr>
                <w:rFonts w:eastAsia="Calibri"/>
              </w:rPr>
            </w:pPr>
            <w:r w:rsidRPr="00D90DAE">
              <w:rPr>
                <w:rFonts w:eastAsia="Calibri"/>
              </w:rPr>
              <w:t>Curtailable</w:t>
            </w:r>
          </w:p>
          <w:p w:rsidR="00B8196F" w:rsidRPr="00D90DAE" w:rsidRDefault="00B8196F" w:rsidP="00B8196F">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rsidR="00B8196F" w:rsidRPr="00D90DAE" w:rsidRDefault="00B8196F" w:rsidP="00B8196F">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rsidR="00B8196F" w:rsidRPr="00D90DAE" w:rsidRDefault="00B8196F" w:rsidP="00B8196F">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B8196F" w:rsidRPr="00D90DAE" w:rsidRDefault="00B8196F" w:rsidP="00B8196F">
            <w:pPr>
              <w:keepNext/>
              <w:suppressLineNumbers/>
              <w:jc w:val="both"/>
              <w:rPr>
                <w:rFonts w:eastAsia="Calibri"/>
              </w:rPr>
            </w:pPr>
          </w:p>
          <w:p w:rsidR="00B8196F" w:rsidRPr="00D90DAE" w:rsidRDefault="00B8196F" w:rsidP="00B8196F">
            <w:pPr>
              <w:keepNext/>
              <w:suppressLineNumbers/>
              <w:jc w:val="both"/>
              <w:rPr>
                <w:rFonts w:eastAsia="Calibri"/>
              </w:rPr>
            </w:pPr>
            <w:r>
              <w:rPr>
                <w:rFonts w:eastAsia="Calibri"/>
              </w:rPr>
              <w:t xml:space="preserve">0.072 </w:t>
            </w:r>
            <w:r w:rsidRPr="00D90DAE">
              <w:rPr>
                <w:rFonts w:eastAsia="Calibri"/>
              </w:rPr>
              <w:t>cents/kWh</w:t>
            </w:r>
          </w:p>
          <w:p w:rsidR="00B8196F" w:rsidRPr="00D90DAE" w:rsidRDefault="00B8196F" w:rsidP="00B8196F">
            <w:pPr>
              <w:keepNext/>
              <w:suppressLineNumbers/>
              <w:jc w:val="both"/>
              <w:rPr>
                <w:rFonts w:eastAsia="Calibri"/>
              </w:rPr>
            </w:pPr>
            <w:r>
              <w:rPr>
                <w:rFonts w:eastAsia="Calibri"/>
              </w:rPr>
              <w:t xml:space="preserve">0.071 </w:t>
            </w:r>
            <w:r w:rsidRPr="00D90DAE">
              <w:rPr>
                <w:rFonts w:eastAsia="Calibri"/>
              </w:rPr>
              <w:t>cents/kWh</w:t>
            </w:r>
          </w:p>
          <w:p w:rsidR="00B8196F" w:rsidRPr="00D90DAE" w:rsidRDefault="00B8196F" w:rsidP="00B8196F">
            <w:pPr>
              <w:keepNext/>
              <w:suppressLineNumbers/>
              <w:jc w:val="both"/>
              <w:rPr>
                <w:rFonts w:eastAsia="Calibri"/>
              </w:rPr>
            </w:pPr>
            <w:r>
              <w:rPr>
                <w:rFonts w:eastAsia="Calibri"/>
              </w:rPr>
              <w:t xml:space="preserve">0.071 </w:t>
            </w:r>
            <w:r w:rsidRPr="00D90DAE">
              <w:rPr>
                <w:rFonts w:eastAsia="Calibri"/>
              </w:rPr>
              <w:t>cents/kWh</w:t>
            </w:r>
          </w:p>
        </w:tc>
      </w:tr>
      <w:tr w:rsidR="00B8196F" w:rsidRPr="00D90DAE" w:rsidTr="00B8196F">
        <w:trPr>
          <w:trHeight w:val="291"/>
        </w:trPr>
        <w:tc>
          <w:tcPr>
            <w:tcW w:w="3348" w:type="dxa"/>
            <w:tcBorders>
              <w:top w:val="single" w:sz="4" w:space="0" w:color="auto"/>
              <w:left w:val="single" w:sz="4" w:space="0" w:color="auto"/>
              <w:bottom w:val="single" w:sz="4" w:space="0" w:color="auto"/>
              <w:right w:val="single" w:sz="4" w:space="0" w:color="auto"/>
            </w:tcBorders>
            <w:hideMark/>
          </w:tcPr>
          <w:p w:rsidR="00B8196F" w:rsidRPr="00D90DAE" w:rsidRDefault="00B8196F" w:rsidP="00B8196F">
            <w:pPr>
              <w:keepNext/>
              <w:suppressLineNumbers/>
              <w:tabs>
                <w:tab w:val="left" w:pos="576"/>
                <w:tab w:val="left" w:pos="1440"/>
                <w:tab w:val="left" w:pos="1728"/>
                <w:tab w:val="left" w:pos="5904"/>
              </w:tabs>
              <w:ind w:firstLine="90"/>
              <w:jc w:val="both"/>
              <w:rPr>
                <w:rFonts w:eastAsia="Calibri"/>
              </w:rPr>
            </w:pPr>
            <w:r w:rsidRPr="00D90DAE">
              <w:rPr>
                <w:rFonts w:eastAsia="Calibri"/>
              </w:rPr>
              <w:t>Interruptible</w:t>
            </w:r>
          </w:p>
          <w:p w:rsidR="00B8196F" w:rsidRPr="00D90DAE" w:rsidRDefault="00B8196F" w:rsidP="00B8196F">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rsidR="00B8196F" w:rsidRPr="00D90DAE" w:rsidRDefault="00B8196F" w:rsidP="00B8196F">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rsidR="00B8196F" w:rsidRPr="00D90DAE" w:rsidRDefault="00B8196F" w:rsidP="00B8196F">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B8196F" w:rsidRPr="00D90DAE" w:rsidRDefault="00B8196F" w:rsidP="00B8196F">
            <w:pPr>
              <w:keepNext/>
              <w:suppressLineNumbers/>
              <w:jc w:val="both"/>
              <w:rPr>
                <w:rFonts w:eastAsia="Calibri"/>
              </w:rPr>
            </w:pPr>
          </w:p>
          <w:p w:rsidR="00B8196F" w:rsidRPr="00D90DAE" w:rsidRDefault="00B8196F" w:rsidP="00B8196F">
            <w:pPr>
              <w:keepNext/>
              <w:suppressLineNumbers/>
              <w:jc w:val="both"/>
              <w:rPr>
                <w:rFonts w:eastAsia="Calibri"/>
              </w:rPr>
            </w:pPr>
            <w:r>
              <w:rPr>
                <w:rFonts w:eastAsia="Calibri"/>
              </w:rPr>
              <w:t xml:space="preserve">0.073 </w:t>
            </w:r>
            <w:r w:rsidRPr="00D90DAE">
              <w:rPr>
                <w:rFonts w:eastAsia="Calibri"/>
              </w:rPr>
              <w:t>cents/kWh</w:t>
            </w:r>
          </w:p>
          <w:p w:rsidR="00B8196F" w:rsidRPr="00D90DAE" w:rsidRDefault="00B8196F" w:rsidP="00B8196F">
            <w:pPr>
              <w:keepNext/>
              <w:suppressLineNumbers/>
              <w:jc w:val="both"/>
              <w:rPr>
                <w:rFonts w:eastAsia="Calibri"/>
              </w:rPr>
            </w:pPr>
            <w:r>
              <w:rPr>
                <w:rFonts w:eastAsia="Calibri"/>
              </w:rPr>
              <w:t xml:space="preserve">0.072 </w:t>
            </w:r>
            <w:r w:rsidRPr="00D90DAE">
              <w:rPr>
                <w:rFonts w:eastAsia="Calibri"/>
              </w:rPr>
              <w:t>cents/kWh</w:t>
            </w:r>
          </w:p>
          <w:p w:rsidR="00B8196F" w:rsidRPr="00D90DAE" w:rsidRDefault="00B8196F" w:rsidP="00B8196F">
            <w:pPr>
              <w:keepNext/>
              <w:suppressLineNumbers/>
              <w:jc w:val="both"/>
              <w:rPr>
                <w:rFonts w:eastAsia="Calibri"/>
              </w:rPr>
            </w:pPr>
            <w:r>
              <w:rPr>
                <w:rFonts w:eastAsia="Calibri"/>
              </w:rPr>
              <w:t xml:space="preserve">0.072 </w:t>
            </w:r>
            <w:r w:rsidRPr="00D90DAE">
              <w:rPr>
                <w:rFonts w:eastAsia="Calibri"/>
              </w:rPr>
              <w:t>cents/kWh</w:t>
            </w:r>
          </w:p>
        </w:tc>
      </w:tr>
      <w:tr w:rsidR="00B8196F" w:rsidRPr="00D90DAE" w:rsidTr="00B8196F">
        <w:trPr>
          <w:trHeight w:val="291"/>
        </w:trPr>
        <w:tc>
          <w:tcPr>
            <w:tcW w:w="3348" w:type="dxa"/>
            <w:tcBorders>
              <w:top w:val="single" w:sz="4" w:space="0" w:color="auto"/>
              <w:left w:val="single" w:sz="4" w:space="0" w:color="auto"/>
              <w:bottom w:val="single" w:sz="4" w:space="0" w:color="auto"/>
              <w:right w:val="single" w:sz="4" w:space="0" w:color="auto"/>
            </w:tcBorders>
            <w:hideMark/>
          </w:tcPr>
          <w:p w:rsidR="00B8196F" w:rsidRPr="00D90DAE" w:rsidRDefault="00B8196F" w:rsidP="00B8196F">
            <w:pPr>
              <w:suppressLineNumbers/>
              <w:jc w:val="both"/>
              <w:rPr>
                <w:rFonts w:eastAsia="Calibri"/>
              </w:rPr>
            </w:pPr>
            <w:r w:rsidRPr="00D90DAE">
              <w:rPr>
                <w:rFonts w:eastAsia="Calibri"/>
              </w:rPr>
              <w:t>Lighting</w:t>
            </w:r>
          </w:p>
        </w:tc>
        <w:tc>
          <w:tcPr>
            <w:tcW w:w="1980" w:type="dxa"/>
            <w:tcBorders>
              <w:top w:val="single" w:sz="4" w:space="0" w:color="auto"/>
              <w:left w:val="single" w:sz="4" w:space="0" w:color="auto"/>
              <w:bottom w:val="single" w:sz="4" w:space="0" w:color="auto"/>
              <w:right w:val="single" w:sz="4" w:space="0" w:color="auto"/>
            </w:tcBorders>
            <w:hideMark/>
          </w:tcPr>
          <w:p w:rsidR="00B8196F" w:rsidRPr="00D90DAE" w:rsidRDefault="00B8196F" w:rsidP="00B8196F">
            <w:pPr>
              <w:suppressLineNumbers/>
              <w:jc w:val="both"/>
              <w:rPr>
                <w:rFonts w:eastAsia="Calibri"/>
              </w:rPr>
            </w:pPr>
            <w:r>
              <w:rPr>
                <w:rFonts w:eastAsia="Calibri"/>
              </w:rPr>
              <w:t xml:space="preserve">0.070 </w:t>
            </w:r>
            <w:r w:rsidRPr="00D90DAE">
              <w:rPr>
                <w:rFonts w:eastAsia="Calibri"/>
              </w:rPr>
              <w:t>cents/kWh</w:t>
            </w:r>
          </w:p>
        </w:tc>
      </w:tr>
    </w:tbl>
    <w:p w:rsidR="00B8196F" w:rsidRDefault="00B8196F" w:rsidP="00B8196F">
      <w:pPr>
        <w:spacing w:after="200" w:line="276" w:lineRule="auto"/>
        <w:ind w:left="1440" w:right="-360" w:hanging="720"/>
        <w:jc w:val="both"/>
        <w:rPr>
          <w:rFonts w:eastAsia="Calibri"/>
          <w:b/>
          <w:bCs/>
          <w:sz w:val="22"/>
          <w:szCs w:val="22"/>
        </w:rPr>
      </w:pPr>
    </w:p>
    <w:p w:rsidR="00B145F3" w:rsidRDefault="00B145F3" w:rsidP="00B8196F">
      <w:pPr>
        <w:spacing w:after="200" w:line="276" w:lineRule="auto"/>
        <w:ind w:left="1440" w:right="-360" w:hanging="720"/>
        <w:jc w:val="both"/>
        <w:rPr>
          <w:rFonts w:eastAsia="Calibri"/>
          <w:b/>
          <w:bCs/>
          <w:sz w:val="22"/>
          <w:szCs w:val="22"/>
        </w:rPr>
      </w:pPr>
    </w:p>
    <w:p w:rsidR="00B145F3" w:rsidRDefault="00B145F3" w:rsidP="00B8196F">
      <w:pPr>
        <w:spacing w:after="200" w:line="276" w:lineRule="auto"/>
        <w:ind w:left="1440" w:right="-360" w:hanging="720"/>
        <w:jc w:val="both"/>
        <w:rPr>
          <w:rFonts w:eastAsia="Calibri"/>
          <w:b/>
          <w:bCs/>
          <w:sz w:val="22"/>
          <w:szCs w:val="22"/>
        </w:rPr>
      </w:pPr>
    </w:p>
    <w:p w:rsidR="00B145F3" w:rsidRDefault="00B145F3" w:rsidP="00B8196F">
      <w:pPr>
        <w:spacing w:after="200" w:line="276" w:lineRule="auto"/>
        <w:ind w:left="1440" w:right="-360" w:hanging="720"/>
        <w:jc w:val="both"/>
        <w:rPr>
          <w:rFonts w:eastAsia="Calibri"/>
          <w:b/>
          <w:bCs/>
          <w:sz w:val="22"/>
          <w:szCs w:val="22"/>
        </w:rPr>
      </w:pPr>
    </w:p>
    <w:p w:rsidR="00B145F3" w:rsidRDefault="00B145F3" w:rsidP="00B8196F">
      <w:pPr>
        <w:spacing w:after="200" w:line="276" w:lineRule="auto"/>
        <w:ind w:left="1440" w:right="-360" w:hanging="720"/>
        <w:jc w:val="both"/>
        <w:rPr>
          <w:rFonts w:eastAsia="Calibri"/>
          <w:b/>
          <w:bCs/>
          <w:sz w:val="22"/>
          <w:szCs w:val="22"/>
        </w:rPr>
      </w:pPr>
    </w:p>
    <w:p w:rsidR="00B145F3" w:rsidRDefault="00B145F3" w:rsidP="00B65DE8">
      <w:pPr>
        <w:spacing w:after="200" w:line="276" w:lineRule="auto"/>
        <w:ind w:right="-360"/>
        <w:jc w:val="both"/>
        <w:rPr>
          <w:rFonts w:eastAsia="Calibri"/>
          <w:b/>
          <w:bCs/>
          <w:sz w:val="22"/>
          <w:szCs w:val="22"/>
        </w:rPr>
      </w:pPr>
    </w:p>
    <w:p w:rsidR="00B8196F" w:rsidRPr="00D90DAE" w:rsidRDefault="00B8196F" w:rsidP="00B8196F">
      <w:pPr>
        <w:ind w:right="-360"/>
        <w:jc w:val="both"/>
        <w:rPr>
          <w:rFonts w:eastAsia="Calibri"/>
          <w:b/>
          <w:bCs/>
        </w:rPr>
      </w:pPr>
      <w:r w:rsidRPr="00D90DAE">
        <w:rPr>
          <w:rFonts w:eastAsia="Calibri"/>
          <w:b/>
          <w:bCs/>
        </w:rPr>
        <w:lastRenderedPageBreak/>
        <w:t>TECO</w:t>
      </w:r>
      <w:r>
        <w:rPr>
          <w:rFonts w:eastAsia="Calibri"/>
          <w:b/>
          <w:bCs/>
        </w:rPr>
        <w:t>:</w:t>
      </w:r>
      <w:r w:rsidRPr="00D90DAE">
        <w:rPr>
          <w:rFonts w:eastAsia="Calibri"/>
          <w:b/>
          <w:bCs/>
        </w:rPr>
        <w:tab/>
      </w:r>
      <w:r w:rsidRPr="00D90DAE">
        <w:rPr>
          <w:rFonts w:eastAsia="Calibri"/>
          <w:b/>
          <w:bCs/>
        </w:rPr>
        <w:tab/>
      </w:r>
    </w:p>
    <w:p w:rsidR="00B8196F" w:rsidRPr="00D90DAE" w:rsidRDefault="00B8196F" w:rsidP="00B8196F">
      <w:pPr>
        <w:ind w:left="720" w:right="-360" w:firstLine="720"/>
        <w:jc w:val="both"/>
        <w:rPr>
          <w:rFonts w:eastAsia="Calibri"/>
          <w:b/>
          <w:color w:val="000000" w:themeColor="text1"/>
          <w:u w:val="single"/>
        </w:rPr>
      </w:pPr>
      <w:r w:rsidRPr="00D90DAE">
        <w:rPr>
          <w:rFonts w:eastAsia="Calibri"/>
          <w:b/>
          <w:u w:val="single"/>
        </w:rPr>
        <w:t>Rate Class</w:t>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b/>
          <w:u w:val="single"/>
        </w:rPr>
        <w:t>Factor (¢/kWh</w:t>
      </w:r>
      <w:r w:rsidRPr="00D90DAE">
        <w:rPr>
          <w:rFonts w:eastAsia="Calibri"/>
          <w:b/>
          <w:color w:val="000000" w:themeColor="text1"/>
          <w:u w:val="single"/>
        </w:rPr>
        <w:t>)</w:t>
      </w:r>
    </w:p>
    <w:p w:rsidR="00B8196F" w:rsidRPr="00D90DAE" w:rsidRDefault="00B8196F" w:rsidP="00B8196F">
      <w:pPr>
        <w:ind w:left="720" w:right="-360" w:hanging="720"/>
        <w:jc w:val="both"/>
        <w:rPr>
          <w:rFonts w:eastAsia="Calibri"/>
          <w:b/>
          <w:u w:val="single"/>
        </w:rPr>
      </w:pPr>
    </w:p>
    <w:p w:rsidR="00B8196F" w:rsidRPr="00D90DAE" w:rsidRDefault="00B8196F" w:rsidP="00B8196F">
      <w:pPr>
        <w:tabs>
          <w:tab w:val="left" w:pos="-1440"/>
          <w:tab w:val="left" w:pos="-720"/>
          <w:tab w:val="left" w:pos="720"/>
          <w:tab w:val="left" w:pos="1440"/>
          <w:tab w:val="left" w:pos="7200"/>
        </w:tabs>
        <w:ind w:right="-360" w:firstLine="1440"/>
        <w:jc w:val="both"/>
        <w:rPr>
          <w:rFonts w:eastAsia="Calibri"/>
        </w:rPr>
      </w:pPr>
      <w:r w:rsidRPr="00D90DAE">
        <w:rPr>
          <w:rFonts w:eastAsia="Calibri"/>
        </w:rPr>
        <w:t>RS</w:t>
      </w:r>
      <w:r w:rsidRPr="00D90DAE">
        <w:rPr>
          <w:rFonts w:eastAsia="Calibri"/>
        </w:rPr>
        <w:tab/>
      </w:r>
      <w:r>
        <w:rPr>
          <w:rFonts w:eastAsia="Calibri"/>
        </w:rPr>
        <w:t>0.244</w:t>
      </w:r>
    </w:p>
    <w:p w:rsidR="00B8196F" w:rsidRPr="00D90DAE" w:rsidRDefault="00B8196F" w:rsidP="00B8196F">
      <w:pPr>
        <w:tabs>
          <w:tab w:val="left" w:pos="-1440"/>
          <w:tab w:val="left" w:pos="-720"/>
          <w:tab w:val="left" w:pos="720"/>
          <w:tab w:val="left" w:pos="1440"/>
          <w:tab w:val="left" w:pos="7200"/>
        </w:tabs>
        <w:ind w:right="-360" w:firstLine="1440"/>
        <w:jc w:val="both"/>
        <w:rPr>
          <w:rFonts w:eastAsia="Calibri"/>
        </w:rPr>
      </w:pPr>
      <w:r w:rsidRPr="00D90DAE">
        <w:rPr>
          <w:rFonts w:eastAsia="Calibri"/>
        </w:rPr>
        <w:t>GS, CS</w:t>
      </w:r>
      <w:r w:rsidRPr="00D90DAE">
        <w:rPr>
          <w:rFonts w:eastAsia="Calibri"/>
        </w:rPr>
        <w:tab/>
      </w:r>
      <w:r>
        <w:rPr>
          <w:rFonts w:eastAsia="Calibri"/>
        </w:rPr>
        <w:t>0.244</w:t>
      </w:r>
    </w:p>
    <w:p w:rsidR="00B8196F" w:rsidRPr="00D90DAE" w:rsidRDefault="00B8196F" w:rsidP="00B8196F">
      <w:pPr>
        <w:tabs>
          <w:tab w:val="left" w:pos="-1440"/>
          <w:tab w:val="left" w:pos="-720"/>
          <w:tab w:val="left" w:pos="720"/>
          <w:tab w:val="left" w:pos="1440"/>
          <w:tab w:val="left" w:pos="6840"/>
        </w:tabs>
        <w:ind w:right="-360" w:firstLine="1440"/>
        <w:jc w:val="both"/>
        <w:rPr>
          <w:rFonts w:eastAsia="Calibri"/>
        </w:rPr>
      </w:pPr>
      <w:r w:rsidRPr="00D90DAE">
        <w:rPr>
          <w:rFonts w:eastAsia="Calibri"/>
        </w:rPr>
        <w:t>GSD, SBF</w:t>
      </w:r>
    </w:p>
    <w:p w:rsidR="00B8196F" w:rsidRPr="00D90DAE" w:rsidRDefault="00B8196F" w:rsidP="00B8196F">
      <w:pPr>
        <w:tabs>
          <w:tab w:val="left" w:pos="-1440"/>
          <w:tab w:val="left" w:pos="-720"/>
          <w:tab w:val="left" w:pos="720"/>
          <w:tab w:val="left" w:pos="1440"/>
          <w:tab w:val="left" w:pos="1800"/>
          <w:tab w:val="left" w:pos="7200"/>
        </w:tabs>
        <w:ind w:right="-360"/>
        <w:jc w:val="both"/>
        <w:rPr>
          <w:rFonts w:eastAsia="Calibri"/>
        </w:rPr>
      </w:pPr>
      <w:r w:rsidRPr="00D90DAE">
        <w:rPr>
          <w:rFonts w:eastAsia="Calibri"/>
        </w:rPr>
        <w:tab/>
      </w:r>
      <w:r w:rsidRPr="00D90DAE">
        <w:rPr>
          <w:rFonts w:eastAsia="Calibri"/>
        </w:rPr>
        <w:tab/>
      </w:r>
      <w:r w:rsidRPr="00D90DAE">
        <w:rPr>
          <w:rFonts w:eastAsia="Calibri"/>
        </w:rPr>
        <w:tab/>
        <w:t>Secondary</w:t>
      </w:r>
      <w:r w:rsidRPr="00D90DAE">
        <w:rPr>
          <w:rFonts w:eastAsia="Calibri"/>
        </w:rPr>
        <w:tab/>
      </w:r>
      <w:r>
        <w:rPr>
          <w:rFonts w:eastAsia="Calibri"/>
        </w:rPr>
        <w:t>0.243</w:t>
      </w:r>
    </w:p>
    <w:p w:rsidR="00B8196F" w:rsidRPr="00D90DAE" w:rsidRDefault="00B8196F" w:rsidP="00B8196F">
      <w:pPr>
        <w:tabs>
          <w:tab w:val="left" w:pos="-1440"/>
          <w:tab w:val="left" w:pos="-720"/>
          <w:tab w:val="left" w:pos="720"/>
          <w:tab w:val="left" w:pos="1440"/>
          <w:tab w:val="left" w:pos="1800"/>
          <w:tab w:val="left" w:pos="7200"/>
        </w:tabs>
        <w:ind w:right="-360"/>
        <w:jc w:val="both"/>
        <w:rPr>
          <w:rFonts w:eastAsia="Calibri"/>
        </w:rPr>
      </w:pPr>
      <w:r w:rsidRPr="00D90DAE">
        <w:rPr>
          <w:rFonts w:eastAsia="Calibri"/>
        </w:rPr>
        <w:tab/>
      </w:r>
      <w:r w:rsidRPr="00D90DAE">
        <w:rPr>
          <w:rFonts w:eastAsia="Calibri"/>
        </w:rPr>
        <w:tab/>
      </w:r>
      <w:r w:rsidRPr="00D90DAE">
        <w:rPr>
          <w:rFonts w:eastAsia="Calibri"/>
        </w:rPr>
        <w:tab/>
        <w:t>Primary</w:t>
      </w:r>
      <w:r w:rsidRPr="00D90DAE">
        <w:rPr>
          <w:rFonts w:eastAsia="Calibri"/>
        </w:rPr>
        <w:tab/>
      </w:r>
      <w:r>
        <w:rPr>
          <w:rFonts w:eastAsia="Calibri"/>
        </w:rPr>
        <w:t>0.241</w:t>
      </w:r>
    </w:p>
    <w:p w:rsidR="00B8196F" w:rsidRPr="00D90DAE" w:rsidRDefault="00B8196F" w:rsidP="00B8196F">
      <w:pPr>
        <w:tabs>
          <w:tab w:val="left" w:pos="-1440"/>
          <w:tab w:val="left" w:pos="-720"/>
          <w:tab w:val="left" w:pos="720"/>
          <w:tab w:val="left" w:pos="1440"/>
          <w:tab w:val="left" w:pos="1800"/>
          <w:tab w:val="left" w:pos="7200"/>
        </w:tabs>
        <w:ind w:right="-360"/>
        <w:jc w:val="both"/>
        <w:rPr>
          <w:rFonts w:eastAsia="Calibri"/>
        </w:rPr>
      </w:pPr>
      <w:r w:rsidRPr="00D90DAE">
        <w:rPr>
          <w:rFonts w:eastAsia="Calibri"/>
        </w:rPr>
        <w:tab/>
      </w:r>
      <w:r w:rsidRPr="00D90DAE">
        <w:rPr>
          <w:rFonts w:eastAsia="Calibri"/>
        </w:rPr>
        <w:tab/>
      </w:r>
      <w:r w:rsidRPr="00D90DAE">
        <w:rPr>
          <w:rFonts w:eastAsia="Calibri"/>
        </w:rPr>
        <w:tab/>
        <w:t>Transmission</w:t>
      </w:r>
      <w:r w:rsidRPr="00D90DAE">
        <w:rPr>
          <w:rFonts w:eastAsia="Calibri"/>
        </w:rPr>
        <w:tab/>
      </w:r>
      <w:r>
        <w:rPr>
          <w:rFonts w:eastAsia="Calibri"/>
        </w:rPr>
        <w:t>0.238</w:t>
      </w:r>
    </w:p>
    <w:p w:rsidR="00B8196F" w:rsidRPr="00D90DAE" w:rsidRDefault="00B8196F" w:rsidP="00B8196F">
      <w:pPr>
        <w:tabs>
          <w:tab w:val="left" w:pos="4590"/>
          <w:tab w:val="left" w:pos="6660"/>
          <w:tab w:val="left" w:pos="6840"/>
        </w:tabs>
        <w:ind w:right="-360" w:firstLine="1440"/>
        <w:jc w:val="both"/>
        <w:rPr>
          <w:rFonts w:eastAsia="Calibri"/>
        </w:rPr>
      </w:pPr>
      <w:r w:rsidRPr="00D90DAE">
        <w:rPr>
          <w:rFonts w:eastAsia="Calibri"/>
        </w:rPr>
        <w:t>IS</w:t>
      </w:r>
    </w:p>
    <w:p w:rsidR="00B8196F" w:rsidRPr="00D90DAE" w:rsidRDefault="00B8196F" w:rsidP="00B8196F">
      <w:pPr>
        <w:tabs>
          <w:tab w:val="left" w:pos="1800"/>
          <w:tab w:val="left" w:pos="4590"/>
          <w:tab w:val="left" w:pos="6840"/>
        </w:tabs>
        <w:ind w:right="-360" w:firstLine="1440"/>
        <w:jc w:val="both"/>
        <w:rPr>
          <w:rFonts w:eastAsia="Calibri"/>
        </w:rPr>
      </w:pPr>
      <w:r w:rsidRPr="00D90DAE">
        <w:rPr>
          <w:rFonts w:eastAsia="Calibri"/>
        </w:rPr>
        <w:tab/>
        <w:t>Secondary</w:t>
      </w:r>
      <w:r w:rsidRPr="00D90DAE">
        <w:rPr>
          <w:rFonts w:eastAsia="Calibri"/>
        </w:rPr>
        <w:tab/>
      </w:r>
      <w:r w:rsidRPr="00D90DAE">
        <w:rPr>
          <w:rFonts w:eastAsia="Calibri"/>
        </w:rPr>
        <w:tab/>
      </w:r>
      <w:r w:rsidRPr="00D90DAE">
        <w:rPr>
          <w:rFonts w:eastAsia="Calibri"/>
        </w:rPr>
        <w:tab/>
      </w:r>
      <w:r>
        <w:rPr>
          <w:rFonts w:eastAsia="Calibri"/>
        </w:rPr>
        <w:t>0.239</w:t>
      </w:r>
    </w:p>
    <w:p w:rsidR="00B8196F" w:rsidRPr="00D90DAE" w:rsidRDefault="00B8196F" w:rsidP="00B8196F">
      <w:pPr>
        <w:tabs>
          <w:tab w:val="left" w:pos="1800"/>
          <w:tab w:val="left" w:pos="4590"/>
          <w:tab w:val="left" w:pos="6840"/>
        </w:tabs>
        <w:ind w:right="-360" w:firstLine="1440"/>
        <w:jc w:val="both"/>
        <w:rPr>
          <w:rFonts w:eastAsia="Calibri"/>
        </w:rPr>
      </w:pPr>
      <w:r w:rsidRPr="00D90DAE">
        <w:rPr>
          <w:rFonts w:eastAsia="Calibri"/>
        </w:rPr>
        <w:tab/>
        <w:t>Primary</w:t>
      </w:r>
      <w:r w:rsidRPr="00D90DAE">
        <w:rPr>
          <w:rFonts w:eastAsia="Calibri"/>
        </w:rPr>
        <w:tab/>
      </w:r>
      <w:r w:rsidRPr="00D90DAE">
        <w:rPr>
          <w:rFonts w:eastAsia="Calibri"/>
        </w:rPr>
        <w:tab/>
      </w:r>
      <w:r w:rsidRPr="00D90DAE">
        <w:rPr>
          <w:rFonts w:eastAsia="Calibri"/>
        </w:rPr>
        <w:tab/>
      </w:r>
      <w:r>
        <w:rPr>
          <w:rFonts w:eastAsia="Calibri"/>
        </w:rPr>
        <w:t>0.237</w:t>
      </w:r>
    </w:p>
    <w:p w:rsidR="00B8196F" w:rsidRPr="00D90DAE" w:rsidRDefault="00B8196F" w:rsidP="00B8196F">
      <w:pPr>
        <w:tabs>
          <w:tab w:val="left" w:pos="1800"/>
          <w:tab w:val="left" w:pos="4590"/>
          <w:tab w:val="left" w:pos="6840"/>
        </w:tabs>
        <w:ind w:right="-360" w:firstLine="1440"/>
        <w:jc w:val="both"/>
        <w:rPr>
          <w:rFonts w:eastAsia="Calibri"/>
        </w:rPr>
      </w:pPr>
      <w:r w:rsidRPr="00D90DAE">
        <w:rPr>
          <w:rFonts w:eastAsia="Calibri"/>
        </w:rPr>
        <w:tab/>
        <w:t>Transmission</w:t>
      </w:r>
      <w:r w:rsidRPr="00D90DAE">
        <w:rPr>
          <w:rFonts w:eastAsia="Calibri"/>
        </w:rPr>
        <w:tab/>
      </w:r>
      <w:r w:rsidRPr="00D90DAE">
        <w:rPr>
          <w:rFonts w:eastAsia="Calibri"/>
        </w:rPr>
        <w:tab/>
      </w:r>
      <w:r w:rsidRPr="00D90DAE">
        <w:rPr>
          <w:rFonts w:eastAsia="Calibri"/>
        </w:rPr>
        <w:tab/>
      </w:r>
      <w:r>
        <w:rPr>
          <w:rFonts w:eastAsia="Calibri"/>
        </w:rPr>
        <w:t>0.234</w:t>
      </w:r>
    </w:p>
    <w:p w:rsidR="00B8196F" w:rsidRPr="00D90DAE" w:rsidRDefault="00B8196F" w:rsidP="00B8196F">
      <w:pPr>
        <w:tabs>
          <w:tab w:val="left" w:pos="1800"/>
          <w:tab w:val="left" w:pos="4590"/>
          <w:tab w:val="left" w:pos="6840"/>
        </w:tabs>
        <w:ind w:right="-360" w:firstLine="1440"/>
        <w:jc w:val="both"/>
        <w:rPr>
          <w:rFonts w:eastAsia="Calibri"/>
        </w:rPr>
      </w:pPr>
    </w:p>
    <w:p w:rsidR="00B8196F" w:rsidRPr="00D90DAE" w:rsidRDefault="00B8196F" w:rsidP="00B8196F">
      <w:pPr>
        <w:tabs>
          <w:tab w:val="left" w:pos="-1440"/>
          <w:tab w:val="left" w:pos="-720"/>
          <w:tab w:val="left" w:pos="720"/>
          <w:tab w:val="left" w:pos="1440"/>
          <w:tab w:val="left" w:pos="7200"/>
        </w:tabs>
        <w:ind w:right="-360" w:firstLine="1440"/>
        <w:jc w:val="both"/>
        <w:rPr>
          <w:rFonts w:eastAsia="Calibri"/>
        </w:rPr>
      </w:pPr>
      <w:r w:rsidRPr="00D90DAE">
        <w:rPr>
          <w:rFonts w:eastAsia="Calibri"/>
        </w:rPr>
        <w:t>LS1</w:t>
      </w:r>
      <w:r w:rsidRPr="00D90DAE">
        <w:rPr>
          <w:rFonts w:eastAsia="Calibri"/>
        </w:rPr>
        <w:tab/>
      </w:r>
      <w:r>
        <w:rPr>
          <w:rFonts w:eastAsia="Calibri"/>
        </w:rPr>
        <w:t>0.241</w:t>
      </w:r>
    </w:p>
    <w:p w:rsidR="00B8196F" w:rsidRPr="00D90DAE" w:rsidRDefault="00B8196F" w:rsidP="00B8196F">
      <w:pPr>
        <w:tabs>
          <w:tab w:val="left" w:pos="-1440"/>
          <w:tab w:val="left" w:pos="-720"/>
          <w:tab w:val="left" w:pos="720"/>
          <w:tab w:val="left" w:pos="1440"/>
          <w:tab w:val="left" w:pos="7200"/>
        </w:tabs>
        <w:ind w:right="-360" w:firstLine="1440"/>
        <w:jc w:val="both"/>
        <w:rPr>
          <w:rFonts w:eastAsia="Calibri"/>
        </w:rPr>
      </w:pPr>
    </w:p>
    <w:p w:rsidR="00B65DE8" w:rsidRDefault="00B8196F" w:rsidP="00B65DE8">
      <w:pPr>
        <w:tabs>
          <w:tab w:val="left" w:pos="-1440"/>
          <w:tab w:val="left" w:pos="-720"/>
          <w:tab w:val="left" w:pos="720"/>
          <w:tab w:val="left" w:pos="1440"/>
          <w:tab w:val="left" w:pos="7200"/>
          <w:tab w:val="right" w:pos="8640"/>
        </w:tabs>
        <w:ind w:right="-360" w:firstLine="1440"/>
        <w:jc w:val="both"/>
      </w:pPr>
      <w:r w:rsidRPr="00D90DAE">
        <w:t>Average Factor</w:t>
      </w:r>
      <w:r w:rsidRPr="00D90DAE">
        <w:tab/>
      </w:r>
      <w:r>
        <w:t>0.244</w:t>
      </w:r>
    </w:p>
    <w:p w:rsidR="00B65DE8" w:rsidRDefault="00B65DE8" w:rsidP="00B65DE8">
      <w:pPr>
        <w:tabs>
          <w:tab w:val="left" w:pos="-1440"/>
          <w:tab w:val="left" w:pos="-720"/>
          <w:tab w:val="left" w:pos="720"/>
          <w:tab w:val="left" w:pos="1440"/>
          <w:tab w:val="left" w:pos="7200"/>
          <w:tab w:val="right" w:pos="8640"/>
        </w:tabs>
        <w:ind w:right="-360"/>
        <w:jc w:val="both"/>
      </w:pPr>
    </w:p>
    <w:p w:rsidR="00B8196F" w:rsidRPr="00B65DE8" w:rsidRDefault="00B8196F" w:rsidP="00B65DE8">
      <w:pPr>
        <w:tabs>
          <w:tab w:val="left" w:pos="-1440"/>
          <w:tab w:val="left" w:pos="-720"/>
          <w:tab w:val="left" w:pos="720"/>
          <w:tab w:val="left" w:pos="1440"/>
          <w:tab w:val="left" w:pos="7200"/>
          <w:tab w:val="right" w:pos="8640"/>
        </w:tabs>
        <w:ind w:right="-360"/>
        <w:jc w:val="both"/>
      </w:pPr>
      <w:r w:rsidRPr="00D90DAE">
        <w:rPr>
          <w:rFonts w:eastAsia="Calibri"/>
          <w:b/>
          <w:bCs/>
        </w:rPr>
        <w:t>GULF</w:t>
      </w:r>
      <w:r>
        <w:rPr>
          <w:rFonts w:eastAsia="Calibri"/>
          <w:b/>
          <w:bCs/>
        </w:rPr>
        <w:t>:</w:t>
      </w:r>
    </w:p>
    <w:tbl>
      <w:tblPr>
        <w:tblW w:w="0" w:type="auto"/>
        <w:tblInd w:w="1810" w:type="dxa"/>
        <w:tblLayout w:type="fixed"/>
        <w:tblCellMar>
          <w:left w:w="100" w:type="dxa"/>
          <w:right w:w="100" w:type="dxa"/>
        </w:tblCellMar>
        <w:tblLook w:val="04A0" w:firstRow="1" w:lastRow="0" w:firstColumn="1" w:lastColumn="0" w:noHBand="0" w:noVBand="1"/>
      </w:tblPr>
      <w:tblGrid>
        <w:gridCol w:w="2754"/>
        <w:gridCol w:w="3366"/>
      </w:tblGrid>
      <w:tr w:rsidR="00B8196F" w:rsidRPr="00080491" w:rsidTr="00B8196F">
        <w:trPr>
          <w:cantSplit/>
          <w:trHeight w:val="876"/>
        </w:trPr>
        <w:tc>
          <w:tcPr>
            <w:tcW w:w="2754" w:type="dxa"/>
            <w:tcBorders>
              <w:top w:val="single" w:sz="6" w:space="0" w:color="auto"/>
              <w:left w:val="single" w:sz="6" w:space="0" w:color="auto"/>
              <w:bottom w:val="single" w:sz="6" w:space="0" w:color="auto"/>
              <w:right w:val="single" w:sz="6" w:space="0" w:color="auto"/>
            </w:tcBorders>
          </w:tcPr>
          <w:p w:rsidR="00B8196F" w:rsidRPr="00D90DAE" w:rsidRDefault="00B8196F" w:rsidP="00B8196F">
            <w:pPr>
              <w:jc w:val="both"/>
              <w:rPr>
                <w:rFonts w:eastAsia="Calibri"/>
                <w:b/>
                <w:bCs/>
              </w:rPr>
            </w:pPr>
          </w:p>
          <w:p w:rsidR="00B8196F" w:rsidRPr="00080491" w:rsidRDefault="00B8196F" w:rsidP="00B8196F">
            <w:pPr>
              <w:jc w:val="both"/>
              <w:rPr>
                <w:rFonts w:eastAsia="Calibri"/>
                <w:b/>
                <w:bCs/>
              </w:rPr>
            </w:pPr>
            <w:r w:rsidRPr="00080491">
              <w:rPr>
                <w:rFonts w:eastAsia="Calibri"/>
                <w:b/>
                <w:bCs/>
              </w:rPr>
              <w:t>RATE</w:t>
            </w:r>
          </w:p>
          <w:p w:rsidR="00B8196F" w:rsidRPr="00080491" w:rsidRDefault="00B8196F" w:rsidP="00B8196F">
            <w:pPr>
              <w:jc w:val="both"/>
              <w:rPr>
                <w:rFonts w:eastAsia="Calibri"/>
              </w:rPr>
            </w:pPr>
            <w:r w:rsidRPr="00080491">
              <w:rPr>
                <w:rFonts w:eastAsia="Calibri"/>
                <w:b/>
                <w:bCs/>
              </w:rPr>
              <w:t>CLASS</w:t>
            </w:r>
          </w:p>
        </w:tc>
        <w:tc>
          <w:tcPr>
            <w:tcW w:w="3366" w:type="dxa"/>
            <w:tcBorders>
              <w:top w:val="single" w:sz="6" w:space="0" w:color="auto"/>
              <w:left w:val="single" w:sz="6" w:space="0" w:color="auto"/>
              <w:bottom w:val="single" w:sz="6" w:space="0" w:color="auto"/>
              <w:right w:val="single" w:sz="6" w:space="0" w:color="auto"/>
            </w:tcBorders>
            <w:hideMark/>
          </w:tcPr>
          <w:p w:rsidR="00B8196F" w:rsidRPr="00080491" w:rsidRDefault="00B8196F" w:rsidP="00B8196F">
            <w:pPr>
              <w:jc w:val="both"/>
              <w:rPr>
                <w:rFonts w:eastAsia="Calibri"/>
              </w:rPr>
            </w:pPr>
            <w:r w:rsidRPr="00080491">
              <w:rPr>
                <w:rFonts w:eastAsia="Calibri"/>
                <w:b/>
                <w:bCs/>
              </w:rPr>
              <w:t>ENVIRONMENTAL COST RECOVERY FACTORS</w:t>
            </w:r>
          </w:p>
          <w:p w:rsidR="00B8196F" w:rsidRPr="00080491" w:rsidRDefault="00B8196F" w:rsidP="00B8196F">
            <w:pPr>
              <w:jc w:val="both"/>
              <w:rPr>
                <w:rFonts w:eastAsia="Calibri"/>
              </w:rPr>
            </w:pPr>
            <w:r w:rsidRPr="00080491">
              <w:rPr>
                <w:rFonts w:eastAsia="Calibri"/>
                <w:b/>
                <w:bCs/>
              </w:rPr>
              <w:t>¢/kWh</w:t>
            </w:r>
          </w:p>
        </w:tc>
      </w:tr>
      <w:tr w:rsidR="00B8196F" w:rsidRPr="00080491" w:rsidTr="00B8196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B8196F" w:rsidRPr="00080491" w:rsidRDefault="00B8196F" w:rsidP="00B8196F">
            <w:pPr>
              <w:jc w:val="both"/>
              <w:rPr>
                <w:rFonts w:eastAsia="Calibri"/>
              </w:rPr>
            </w:pPr>
            <w:r w:rsidRPr="00080491">
              <w:rPr>
                <w:rFonts w:eastAsia="Calibri"/>
              </w:rPr>
              <w:t>RS, RSVP, RSTOU</w:t>
            </w:r>
          </w:p>
        </w:tc>
        <w:tc>
          <w:tcPr>
            <w:tcW w:w="3366" w:type="dxa"/>
            <w:tcBorders>
              <w:top w:val="single" w:sz="6" w:space="0" w:color="auto"/>
              <w:left w:val="single" w:sz="6" w:space="0" w:color="auto"/>
              <w:bottom w:val="single" w:sz="6" w:space="0" w:color="auto"/>
              <w:right w:val="single" w:sz="6" w:space="0" w:color="auto"/>
            </w:tcBorders>
          </w:tcPr>
          <w:p w:rsidR="00B8196F" w:rsidRPr="00080491" w:rsidRDefault="00B8196F" w:rsidP="00CE283D">
            <w:pPr>
              <w:jc w:val="both"/>
              <w:rPr>
                <w:rFonts w:eastAsia="Calibri"/>
              </w:rPr>
            </w:pPr>
            <w:r w:rsidRPr="00080491">
              <w:rPr>
                <w:rFonts w:eastAsia="Calibri"/>
              </w:rPr>
              <w:t>1.8</w:t>
            </w:r>
            <w:r w:rsidR="00CE283D" w:rsidRPr="00080491">
              <w:rPr>
                <w:rFonts w:eastAsia="Calibri"/>
              </w:rPr>
              <w:t>86</w:t>
            </w:r>
          </w:p>
        </w:tc>
      </w:tr>
      <w:tr w:rsidR="00B8196F" w:rsidRPr="00080491" w:rsidTr="00B8196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B8196F" w:rsidRPr="00080491" w:rsidRDefault="00B8196F" w:rsidP="00B8196F">
            <w:pPr>
              <w:jc w:val="both"/>
              <w:rPr>
                <w:rFonts w:eastAsia="Calibri"/>
              </w:rPr>
            </w:pPr>
            <w:r w:rsidRPr="00080491">
              <w:rPr>
                <w:rFonts w:eastAsia="Calibri"/>
              </w:rPr>
              <w:t>GS</w:t>
            </w:r>
          </w:p>
        </w:tc>
        <w:tc>
          <w:tcPr>
            <w:tcW w:w="3366" w:type="dxa"/>
            <w:tcBorders>
              <w:top w:val="single" w:sz="6" w:space="0" w:color="auto"/>
              <w:left w:val="single" w:sz="6" w:space="0" w:color="auto"/>
              <w:bottom w:val="single" w:sz="6" w:space="0" w:color="auto"/>
              <w:right w:val="single" w:sz="6" w:space="0" w:color="auto"/>
            </w:tcBorders>
          </w:tcPr>
          <w:p w:rsidR="00B8196F" w:rsidRPr="00080491" w:rsidRDefault="00B8196F" w:rsidP="00CE283D">
            <w:pPr>
              <w:jc w:val="both"/>
              <w:rPr>
                <w:rFonts w:eastAsia="Calibri"/>
              </w:rPr>
            </w:pPr>
            <w:r w:rsidRPr="00080491">
              <w:rPr>
                <w:rFonts w:eastAsia="Calibri"/>
              </w:rPr>
              <w:t>1.9</w:t>
            </w:r>
            <w:r w:rsidR="00CE283D" w:rsidRPr="00080491">
              <w:rPr>
                <w:rFonts w:eastAsia="Calibri"/>
              </w:rPr>
              <w:t>15</w:t>
            </w:r>
          </w:p>
        </w:tc>
      </w:tr>
      <w:tr w:rsidR="00B8196F" w:rsidRPr="00080491" w:rsidTr="00B8196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B8196F" w:rsidRPr="00080491" w:rsidRDefault="00B8196F" w:rsidP="00B8196F">
            <w:pPr>
              <w:jc w:val="both"/>
              <w:rPr>
                <w:rFonts w:eastAsia="Calibri"/>
              </w:rPr>
            </w:pPr>
            <w:r w:rsidRPr="00080491">
              <w:rPr>
                <w:rFonts w:eastAsia="Calibri"/>
              </w:rPr>
              <w:t>GSD, GSDT, GSTOU</w:t>
            </w:r>
          </w:p>
        </w:tc>
        <w:tc>
          <w:tcPr>
            <w:tcW w:w="3366" w:type="dxa"/>
            <w:tcBorders>
              <w:top w:val="single" w:sz="6" w:space="0" w:color="auto"/>
              <w:left w:val="single" w:sz="6" w:space="0" w:color="auto"/>
              <w:bottom w:val="single" w:sz="6" w:space="0" w:color="auto"/>
              <w:right w:val="single" w:sz="6" w:space="0" w:color="auto"/>
            </w:tcBorders>
          </w:tcPr>
          <w:p w:rsidR="00B8196F" w:rsidRPr="00080491" w:rsidRDefault="00B8196F" w:rsidP="00CE283D">
            <w:pPr>
              <w:jc w:val="both"/>
              <w:rPr>
                <w:rFonts w:eastAsia="Calibri"/>
              </w:rPr>
            </w:pPr>
            <w:r w:rsidRPr="00080491">
              <w:rPr>
                <w:rFonts w:eastAsia="Calibri"/>
              </w:rPr>
              <w:t>1.5</w:t>
            </w:r>
            <w:r w:rsidR="00CE283D" w:rsidRPr="00080491">
              <w:rPr>
                <w:rFonts w:eastAsia="Calibri"/>
              </w:rPr>
              <w:t>43</w:t>
            </w:r>
          </w:p>
        </w:tc>
      </w:tr>
      <w:tr w:rsidR="00B8196F" w:rsidRPr="00080491" w:rsidTr="00B8196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B8196F" w:rsidRPr="00080491" w:rsidRDefault="00B8196F" w:rsidP="00B8196F">
            <w:pPr>
              <w:jc w:val="both"/>
              <w:rPr>
                <w:rFonts w:eastAsia="Calibri"/>
              </w:rPr>
            </w:pPr>
            <w:r w:rsidRPr="00080491">
              <w:rPr>
                <w:rFonts w:eastAsia="Calibri"/>
              </w:rPr>
              <w:t>LP, LPT</w:t>
            </w:r>
          </w:p>
        </w:tc>
        <w:tc>
          <w:tcPr>
            <w:tcW w:w="3366" w:type="dxa"/>
            <w:tcBorders>
              <w:top w:val="single" w:sz="6" w:space="0" w:color="auto"/>
              <w:left w:val="single" w:sz="6" w:space="0" w:color="auto"/>
              <w:bottom w:val="single" w:sz="6" w:space="0" w:color="auto"/>
              <w:right w:val="single" w:sz="6" w:space="0" w:color="auto"/>
            </w:tcBorders>
          </w:tcPr>
          <w:p w:rsidR="00B8196F" w:rsidRPr="00080491" w:rsidRDefault="00B8196F" w:rsidP="00CE283D">
            <w:pPr>
              <w:jc w:val="both"/>
              <w:rPr>
                <w:rFonts w:eastAsia="Calibri"/>
              </w:rPr>
            </w:pPr>
            <w:r w:rsidRPr="00080491">
              <w:rPr>
                <w:rFonts w:eastAsia="Calibri"/>
              </w:rPr>
              <w:t>1.3</w:t>
            </w:r>
            <w:r w:rsidR="00CE283D" w:rsidRPr="00080491">
              <w:rPr>
                <w:rFonts w:eastAsia="Calibri"/>
              </w:rPr>
              <w:t>56</w:t>
            </w:r>
          </w:p>
        </w:tc>
      </w:tr>
      <w:tr w:rsidR="00B8196F" w:rsidRPr="00080491" w:rsidTr="00B8196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B8196F" w:rsidRPr="00080491" w:rsidRDefault="00B8196F" w:rsidP="00B8196F">
            <w:pPr>
              <w:jc w:val="both"/>
              <w:rPr>
                <w:rFonts w:eastAsia="Calibri"/>
              </w:rPr>
            </w:pPr>
            <w:r w:rsidRPr="00080491">
              <w:rPr>
                <w:rFonts w:eastAsia="Calibri"/>
              </w:rPr>
              <w:t>PX, PXT, RTP, SBS</w:t>
            </w:r>
          </w:p>
        </w:tc>
        <w:tc>
          <w:tcPr>
            <w:tcW w:w="3366" w:type="dxa"/>
            <w:tcBorders>
              <w:top w:val="single" w:sz="6" w:space="0" w:color="auto"/>
              <w:left w:val="single" w:sz="6" w:space="0" w:color="auto"/>
              <w:bottom w:val="single" w:sz="6" w:space="0" w:color="auto"/>
              <w:right w:val="single" w:sz="6" w:space="0" w:color="auto"/>
            </w:tcBorders>
          </w:tcPr>
          <w:p w:rsidR="00B8196F" w:rsidRPr="00080491" w:rsidRDefault="00B8196F" w:rsidP="00CE283D">
            <w:pPr>
              <w:jc w:val="both"/>
              <w:rPr>
                <w:rFonts w:eastAsia="Calibri"/>
              </w:rPr>
            </w:pPr>
            <w:r w:rsidRPr="00080491">
              <w:rPr>
                <w:rFonts w:eastAsia="Calibri"/>
              </w:rPr>
              <w:t>1.3</w:t>
            </w:r>
            <w:r w:rsidR="00CE283D" w:rsidRPr="00080491">
              <w:rPr>
                <w:rFonts w:eastAsia="Calibri"/>
              </w:rPr>
              <w:t>33</w:t>
            </w:r>
          </w:p>
        </w:tc>
      </w:tr>
      <w:tr w:rsidR="00B8196F" w:rsidRPr="00080491" w:rsidTr="00B8196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B8196F" w:rsidRPr="00080491" w:rsidRDefault="00B8196F" w:rsidP="00B8196F">
            <w:pPr>
              <w:jc w:val="both"/>
              <w:rPr>
                <w:rFonts w:eastAsia="Calibri"/>
              </w:rPr>
            </w:pPr>
            <w:r w:rsidRPr="00080491">
              <w:rPr>
                <w:rFonts w:eastAsia="Calibri"/>
              </w:rPr>
              <w:t>OS-I/II</w:t>
            </w:r>
          </w:p>
        </w:tc>
        <w:tc>
          <w:tcPr>
            <w:tcW w:w="3366" w:type="dxa"/>
            <w:tcBorders>
              <w:top w:val="single" w:sz="6" w:space="0" w:color="auto"/>
              <w:left w:val="single" w:sz="6" w:space="0" w:color="auto"/>
              <w:bottom w:val="single" w:sz="6" w:space="0" w:color="auto"/>
              <w:right w:val="single" w:sz="6" w:space="0" w:color="auto"/>
            </w:tcBorders>
          </w:tcPr>
          <w:p w:rsidR="00B8196F" w:rsidRPr="00080491" w:rsidRDefault="00B8196F" w:rsidP="00CE283D">
            <w:pPr>
              <w:jc w:val="both"/>
              <w:rPr>
                <w:rFonts w:eastAsia="Calibri"/>
              </w:rPr>
            </w:pPr>
            <w:r w:rsidRPr="00080491">
              <w:rPr>
                <w:rFonts w:eastAsia="Calibri"/>
              </w:rPr>
              <w:t>0.40</w:t>
            </w:r>
            <w:r w:rsidR="00CE283D" w:rsidRPr="00080491">
              <w:rPr>
                <w:rFonts w:eastAsia="Calibri"/>
              </w:rPr>
              <w:t>3</w:t>
            </w:r>
          </w:p>
        </w:tc>
      </w:tr>
      <w:tr w:rsidR="00B8196F" w:rsidRPr="00D90DAE" w:rsidTr="00B8196F">
        <w:trPr>
          <w:cantSplit/>
          <w:trHeight w:val="291"/>
        </w:trPr>
        <w:tc>
          <w:tcPr>
            <w:tcW w:w="2754" w:type="dxa"/>
            <w:tcBorders>
              <w:top w:val="single" w:sz="6" w:space="0" w:color="auto"/>
              <w:left w:val="single" w:sz="6" w:space="0" w:color="auto"/>
              <w:bottom w:val="single" w:sz="6" w:space="0" w:color="auto"/>
              <w:right w:val="single" w:sz="6" w:space="0" w:color="auto"/>
            </w:tcBorders>
            <w:hideMark/>
          </w:tcPr>
          <w:p w:rsidR="00B8196F" w:rsidRPr="00080491" w:rsidRDefault="00B8196F" w:rsidP="00B8196F">
            <w:pPr>
              <w:jc w:val="both"/>
              <w:rPr>
                <w:rFonts w:eastAsia="Calibri"/>
              </w:rPr>
            </w:pPr>
            <w:r w:rsidRPr="00080491">
              <w:rPr>
                <w:rFonts w:eastAsia="Calibri"/>
              </w:rPr>
              <w:t>OS-III</w:t>
            </w:r>
          </w:p>
        </w:tc>
        <w:tc>
          <w:tcPr>
            <w:tcW w:w="3366" w:type="dxa"/>
            <w:tcBorders>
              <w:top w:val="single" w:sz="6" w:space="0" w:color="auto"/>
              <w:left w:val="single" w:sz="6" w:space="0" w:color="auto"/>
              <w:bottom w:val="single" w:sz="6" w:space="0" w:color="auto"/>
              <w:right w:val="single" w:sz="6" w:space="0" w:color="auto"/>
            </w:tcBorders>
          </w:tcPr>
          <w:p w:rsidR="00B8196F" w:rsidRPr="00080491" w:rsidRDefault="00B8196F" w:rsidP="00CE283D">
            <w:pPr>
              <w:jc w:val="both"/>
              <w:rPr>
                <w:rFonts w:eastAsia="Calibri"/>
              </w:rPr>
            </w:pPr>
            <w:r w:rsidRPr="00080491">
              <w:rPr>
                <w:rFonts w:eastAsia="Calibri"/>
              </w:rPr>
              <w:t>1.2</w:t>
            </w:r>
            <w:r w:rsidR="00CE283D" w:rsidRPr="00080491">
              <w:rPr>
                <w:rFonts w:eastAsia="Calibri"/>
              </w:rPr>
              <w:t>29</w:t>
            </w:r>
          </w:p>
        </w:tc>
      </w:tr>
    </w:tbl>
    <w:p w:rsidR="00B8196F" w:rsidRPr="00D90DAE" w:rsidRDefault="00B8196F" w:rsidP="00B8196F">
      <w:pPr>
        <w:spacing w:after="200" w:line="276" w:lineRule="auto"/>
        <w:ind w:left="1440" w:hanging="1440"/>
        <w:jc w:val="both"/>
        <w:rPr>
          <w:rFonts w:eastAsia="Calibri"/>
          <w:b/>
          <w:bCs/>
        </w:rPr>
      </w:pPr>
    </w:p>
    <w:p w:rsidR="00B8196F" w:rsidRPr="00D90DAE" w:rsidRDefault="00B8196F" w:rsidP="00B8196F">
      <w:pPr>
        <w:spacing w:after="200"/>
        <w:ind w:left="1440" w:hanging="1440"/>
        <w:jc w:val="both"/>
        <w:rPr>
          <w:rFonts w:eastAsia="Calibri"/>
          <w:b/>
        </w:rPr>
      </w:pPr>
      <w:r w:rsidRPr="003D6A96">
        <w:rPr>
          <w:rFonts w:eastAsia="Calibri"/>
          <w:b/>
          <w:bCs/>
          <w:u w:val="single"/>
        </w:rPr>
        <w:t>ISSUE 8</w:t>
      </w:r>
      <w:r w:rsidRPr="00D90DAE">
        <w:rPr>
          <w:rFonts w:eastAsia="Calibri"/>
          <w:b/>
        </w:rPr>
        <w:t xml:space="preserve">: </w:t>
      </w:r>
      <w:r>
        <w:rPr>
          <w:rFonts w:eastAsia="Calibri"/>
          <w:b/>
        </w:rPr>
        <w:tab/>
      </w:r>
      <w:r w:rsidRPr="00C26029">
        <w:rPr>
          <w:rFonts w:eastAsia="Calibri"/>
          <w:b/>
        </w:rPr>
        <w:t>What should be the effective date of the new environmental cost recovery factors for billing purposes</w:t>
      </w:r>
      <w:r w:rsidRPr="00D90DAE">
        <w:rPr>
          <w:rFonts w:eastAsia="Calibri"/>
          <w:b/>
        </w:rPr>
        <w:t>?</w:t>
      </w:r>
    </w:p>
    <w:p w:rsidR="00B8196F" w:rsidRDefault="00B8196F" w:rsidP="00B8196F">
      <w:pPr>
        <w:spacing w:after="200"/>
        <w:ind w:left="1440"/>
        <w:jc w:val="both"/>
        <w:rPr>
          <w:rFonts w:eastAsia="Calibri"/>
        </w:rPr>
      </w:pPr>
      <w:r w:rsidRPr="00D90DAE">
        <w:rPr>
          <w:rFonts w:eastAsia="Calibri"/>
        </w:rPr>
        <w:t>The factors sh</w:t>
      </w:r>
      <w:r>
        <w:rPr>
          <w:rFonts w:eastAsia="Calibri"/>
        </w:rPr>
        <w:t>all</w:t>
      </w:r>
      <w:r w:rsidRPr="00D90DAE">
        <w:rPr>
          <w:rFonts w:eastAsia="Calibri"/>
        </w:rPr>
        <w:t xml:space="preserve"> be effective beginning with the specified environmental cost recovery cycle and thereafter for the period January 20</w:t>
      </w:r>
      <w:r>
        <w:rPr>
          <w:rFonts w:eastAsia="Calibri"/>
        </w:rPr>
        <w:t>20</w:t>
      </w:r>
      <w:r w:rsidRPr="00D90DAE">
        <w:rPr>
          <w:rFonts w:eastAsia="Calibri"/>
        </w:rPr>
        <w:t xml:space="preserve"> through December 20</w:t>
      </w:r>
      <w:r>
        <w:rPr>
          <w:rFonts w:eastAsia="Calibri"/>
        </w:rPr>
        <w:t>20</w:t>
      </w:r>
      <w:r w:rsidRPr="00D90DAE">
        <w:rPr>
          <w:rFonts w:eastAsia="Calibri"/>
        </w:rPr>
        <w:t>. Billing cycles may start before January 1, 20</w:t>
      </w:r>
      <w:r>
        <w:rPr>
          <w:rFonts w:eastAsia="Calibri"/>
        </w:rPr>
        <w:t>20</w:t>
      </w:r>
      <w:r w:rsidRPr="00D90DAE">
        <w:rPr>
          <w:rFonts w:eastAsia="Calibri"/>
        </w:rPr>
        <w:t xml:space="preserve"> and the last cycle may read after December 31, 20</w:t>
      </w:r>
      <w:r>
        <w:rPr>
          <w:rFonts w:eastAsia="Calibri"/>
        </w:rPr>
        <w:t>20</w:t>
      </w:r>
      <w:r w:rsidRPr="00D90DAE">
        <w:rPr>
          <w:rFonts w:eastAsia="Calibri"/>
        </w:rPr>
        <w:t>, so that each customer is billed for twelve months regardless of when the adjustment factor became effective. These charges will continue in effect until modified by the Commission.</w:t>
      </w:r>
    </w:p>
    <w:p w:rsidR="00B8196F" w:rsidRDefault="00B8196F" w:rsidP="00B8196F">
      <w:pPr>
        <w:jc w:val="both"/>
      </w:pPr>
    </w:p>
    <w:p w:rsidR="00B145F3" w:rsidRDefault="00B145F3" w:rsidP="00B8196F">
      <w:pPr>
        <w:jc w:val="both"/>
      </w:pPr>
    </w:p>
    <w:p w:rsidR="00B8196F" w:rsidRPr="003A183D" w:rsidRDefault="00B8196F" w:rsidP="00B8196F">
      <w:pPr>
        <w:ind w:left="1440" w:hanging="1440"/>
        <w:jc w:val="both"/>
        <w:rPr>
          <w:b/>
          <w:bCs/>
        </w:rPr>
      </w:pPr>
      <w:r w:rsidRPr="00CF5020">
        <w:rPr>
          <w:b/>
          <w:u w:val="single"/>
        </w:rPr>
        <w:lastRenderedPageBreak/>
        <w:t xml:space="preserve">ISSUE </w:t>
      </w:r>
      <w:r>
        <w:rPr>
          <w:b/>
          <w:u w:val="single"/>
        </w:rPr>
        <w:t>9</w:t>
      </w:r>
      <w:r>
        <w:rPr>
          <w:b/>
        </w:rPr>
        <w:t>:</w:t>
      </w:r>
      <w:r>
        <w:rPr>
          <w:b/>
        </w:rPr>
        <w:tab/>
      </w:r>
      <w:r w:rsidRPr="00C26029">
        <w:rPr>
          <w:b/>
          <w:bCs/>
        </w:rPr>
        <w:t>Should the Commission approve revised tariffs reflecting the environmental cost recovery amounts and environmental cost recovery factors determined to be appropriate in this proceeding</w:t>
      </w:r>
      <w:r>
        <w:rPr>
          <w:b/>
          <w:bCs/>
        </w:rPr>
        <w:t>?</w:t>
      </w:r>
    </w:p>
    <w:p w:rsidR="00B8196F" w:rsidRDefault="00B8196F" w:rsidP="00B8196F">
      <w:pPr>
        <w:jc w:val="both"/>
        <w:rPr>
          <w:b/>
          <w:bCs/>
        </w:rPr>
      </w:pPr>
    </w:p>
    <w:p w:rsidR="00B8196F" w:rsidRDefault="00B8196F" w:rsidP="00B8196F">
      <w:pPr>
        <w:ind w:left="1440" w:hanging="1440"/>
        <w:jc w:val="both"/>
        <w:rPr>
          <w:b/>
          <w:bCs/>
        </w:rPr>
      </w:pPr>
      <w:r>
        <w:rPr>
          <w:bCs/>
        </w:rPr>
        <w:tab/>
        <w:t xml:space="preserve">Yes. </w:t>
      </w:r>
      <w:r w:rsidRPr="00BF0BF5">
        <w:rPr>
          <w:bCs/>
        </w:rPr>
        <w:t>The Commission shall approve revised tariffs reflecting the environmental cost recovery factors determined to be appropriate in this proceeding. Staff shall verify that the revised tariffs are consistent with the Commission’s decision</w:t>
      </w:r>
      <w:r>
        <w:rPr>
          <w:bCs/>
        </w:rPr>
        <w:t xml:space="preserve">.  </w:t>
      </w:r>
      <w:r>
        <w:rPr>
          <w:b/>
          <w:bCs/>
        </w:rPr>
        <w:tab/>
      </w:r>
    </w:p>
    <w:p w:rsidR="00B8196F" w:rsidRPr="00D90DAE" w:rsidRDefault="00B8196F" w:rsidP="00B8196F">
      <w:pPr>
        <w:spacing w:after="200"/>
        <w:ind w:left="1440"/>
        <w:jc w:val="both"/>
        <w:rPr>
          <w:rFonts w:eastAsia="Calibri"/>
        </w:rPr>
      </w:pPr>
    </w:p>
    <w:p w:rsidR="00B8196F" w:rsidRPr="00D858C1" w:rsidRDefault="00B8196F" w:rsidP="00B8196F">
      <w:pPr>
        <w:ind w:left="1440" w:hanging="1440"/>
        <w:jc w:val="both"/>
        <w:rPr>
          <w:rFonts w:eastAsia="Calibri"/>
          <w:b/>
        </w:rPr>
      </w:pPr>
      <w:r>
        <w:rPr>
          <w:rFonts w:eastAsia="Calibri"/>
          <w:b/>
          <w:u w:val="single"/>
        </w:rPr>
        <w:t>ISSUE 10</w:t>
      </w:r>
      <w:r w:rsidRPr="00D858C1">
        <w:rPr>
          <w:rFonts w:eastAsia="Calibri"/>
          <w:b/>
          <w:u w:val="single"/>
        </w:rPr>
        <w:t>:</w:t>
      </w:r>
      <w:r>
        <w:rPr>
          <w:rFonts w:eastAsia="Calibri"/>
        </w:rPr>
        <w:tab/>
      </w:r>
      <w:r w:rsidRPr="00C26029">
        <w:rPr>
          <w:rFonts w:eastAsia="Calibri"/>
          <w:b/>
        </w:rPr>
        <w:t>Should this docket be closed</w:t>
      </w:r>
      <w:r w:rsidRPr="00D858C1">
        <w:rPr>
          <w:rFonts w:eastAsia="Calibri"/>
          <w:b/>
        </w:rPr>
        <w:t>?</w:t>
      </w:r>
    </w:p>
    <w:p w:rsidR="00B8196F" w:rsidRPr="00D858C1" w:rsidRDefault="00B8196F" w:rsidP="00B8196F">
      <w:pPr>
        <w:jc w:val="both"/>
        <w:rPr>
          <w:rFonts w:eastAsia="Calibri"/>
          <w:b/>
        </w:rPr>
      </w:pPr>
    </w:p>
    <w:p w:rsidR="00B8196F" w:rsidRDefault="00B8196F" w:rsidP="00B8196F">
      <w:pPr>
        <w:ind w:left="1440"/>
        <w:jc w:val="both"/>
        <w:rPr>
          <w:rFonts w:eastAsia="Calibri"/>
        </w:rPr>
      </w:pPr>
      <w:r w:rsidRPr="00D90DAE">
        <w:rPr>
          <w:rFonts w:eastAsia="Calibri"/>
        </w:rPr>
        <w:t>No. While a separate docket number is assigned each year for administrative convenience, this is a continuing docket and shall remain open.</w:t>
      </w:r>
    </w:p>
    <w:p w:rsidR="00B8196F" w:rsidRDefault="00B8196F" w:rsidP="00B8196F">
      <w:pPr>
        <w:spacing w:after="200"/>
        <w:ind w:left="1440"/>
        <w:jc w:val="both"/>
        <w:rPr>
          <w:rFonts w:eastAsia="Calibri"/>
        </w:rPr>
      </w:pPr>
    </w:p>
    <w:p w:rsidR="00B8196F" w:rsidRDefault="00B8196F" w:rsidP="00B8196F">
      <w:pPr>
        <w:pStyle w:val="OrderBody"/>
        <w:ind w:left="1440" w:hanging="1440"/>
      </w:pPr>
      <w:r>
        <w:t>COMPANY-</w:t>
      </w:r>
      <w:r w:rsidRPr="00616B86">
        <w:t>SPECIFIC ENVIRONMENTAL COST RECOVERY ISSUES</w:t>
      </w:r>
    </w:p>
    <w:p w:rsidR="00B8196F" w:rsidRDefault="00B8196F" w:rsidP="00B8196F">
      <w:pPr>
        <w:pStyle w:val="OrderBody"/>
        <w:ind w:left="1440" w:hanging="1440"/>
      </w:pPr>
    </w:p>
    <w:p w:rsidR="00B8196F" w:rsidRDefault="00B8196F" w:rsidP="00B8196F">
      <w:pPr>
        <w:pStyle w:val="OrderBody"/>
        <w:ind w:left="1440" w:hanging="1440"/>
      </w:pPr>
      <w:r>
        <w:t>Duke Energy Florida, LLC:</w:t>
      </w:r>
    </w:p>
    <w:p w:rsidR="00B8196F" w:rsidRPr="00ED7F1B" w:rsidRDefault="00B8196F" w:rsidP="00B8196F">
      <w:pPr>
        <w:pStyle w:val="OrderBody"/>
        <w:ind w:left="1440" w:hanging="1440"/>
      </w:pPr>
    </w:p>
    <w:p w:rsidR="00B8196F" w:rsidRPr="00D858C1" w:rsidRDefault="00B8196F" w:rsidP="00B8196F">
      <w:pPr>
        <w:ind w:left="1440" w:hanging="1440"/>
        <w:jc w:val="both"/>
        <w:rPr>
          <w:rFonts w:eastAsia="Calibri"/>
          <w:b/>
        </w:rPr>
      </w:pPr>
      <w:r>
        <w:rPr>
          <w:rFonts w:eastAsia="Calibri"/>
          <w:b/>
          <w:u w:val="single"/>
        </w:rPr>
        <w:t>ISSUE 11</w:t>
      </w:r>
      <w:r w:rsidRPr="00D858C1">
        <w:rPr>
          <w:rFonts w:eastAsia="Calibri"/>
          <w:b/>
          <w:u w:val="single"/>
        </w:rPr>
        <w:t>:</w:t>
      </w:r>
      <w:r>
        <w:rPr>
          <w:rFonts w:eastAsia="Calibri"/>
        </w:rPr>
        <w:tab/>
      </w:r>
      <w:r w:rsidRPr="00C26029">
        <w:rPr>
          <w:rFonts w:eastAsia="Calibri"/>
          <w:b/>
        </w:rPr>
        <w:t>Should the Commission approve DEF’s Crystal River Coal Combustion Residual Ash Landfill Project for cost recovery through the Environmental Cost Recovery Clause</w:t>
      </w:r>
      <w:r w:rsidRPr="00D858C1">
        <w:rPr>
          <w:rFonts w:eastAsia="Calibri"/>
          <w:b/>
        </w:rPr>
        <w:t>?</w:t>
      </w:r>
    </w:p>
    <w:p w:rsidR="00B8196F" w:rsidRDefault="00B8196F" w:rsidP="00B8196F">
      <w:pPr>
        <w:jc w:val="both"/>
        <w:rPr>
          <w:rFonts w:eastAsia="Calibri"/>
          <w:b/>
        </w:rPr>
      </w:pPr>
    </w:p>
    <w:p w:rsidR="00B8196F" w:rsidRPr="00E84D6C" w:rsidRDefault="00B8196F" w:rsidP="00B8196F">
      <w:pPr>
        <w:ind w:left="1440"/>
        <w:jc w:val="both"/>
        <w:rPr>
          <w:rFonts w:eastAsia="Calibri"/>
        </w:rPr>
      </w:pPr>
      <w:r w:rsidRPr="00E84D6C">
        <w:rPr>
          <w:rFonts w:eastAsia="Calibri"/>
        </w:rPr>
        <w:t>Yes. In Order Nos. PSC-2015-0536-FOF-EI and PSC-2018-0594-FOF-EI, the Commission found that DEF’s CCR Program (Project 18) met the criteria for recovery through the Environmental Cost Recovery Clause. DEF’s CCR Ash Landfill project meets the criteria for recovery through the Environmental Cost Recovery Clause</w:t>
      </w:r>
    </w:p>
    <w:p w:rsidR="00B8196F" w:rsidRDefault="00B8196F" w:rsidP="00B8196F">
      <w:pPr>
        <w:spacing w:after="240"/>
        <w:jc w:val="both"/>
      </w:pPr>
    </w:p>
    <w:p w:rsidR="00B8196F" w:rsidRPr="00D858C1" w:rsidRDefault="00B8196F" w:rsidP="00B8196F">
      <w:pPr>
        <w:ind w:left="1440" w:hanging="1440"/>
        <w:jc w:val="both"/>
        <w:rPr>
          <w:rFonts w:eastAsia="Calibri"/>
          <w:b/>
        </w:rPr>
      </w:pPr>
      <w:r>
        <w:rPr>
          <w:rFonts w:eastAsia="Calibri"/>
          <w:b/>
          <w:u w:val="single"/>
        </w:rPr>
        <w:t>ISSUE 12</w:t>
      </w:r>
      <w:r w:rsidRPr="00D858C1">
        <w:rPr>
          <w:rFonts w:eastAsia="Calibri"/>
          <w:b/>
          <w:u w:val="single"/>
        </w:rPr>
        <w:t>:</w:t>
      </w:r>
      <w:r>
        <w:rPr>
          <w:rFonts w:eastAsia="Calibri"/>
        </w:rPr>
        <w:tab/>
      </w:r>
      <w:r>
        <w:rPr>
          <w:rFonts w:eastAsia="Calibri"/>
          <w:b/>
        </w:rPr>
        <w:t xml:space="preserve">How should </w:t>
      </w:r>
      <w:r w:rsidRPr="00C26029">
        <w:rPr>
          <w:rFonts w:eastAsia="Calibri"/>
          <w:b/>
        </w:rPr>
        <w:t>any approved Environmental Cost Recovery Clause costs associated with DEF’s Crystal River CCR Ash Landfill Project be allocated to the rate classes</w:t>
      </w:r>
      <w:r w:rsidRPr="00D858C1">
        <w:rPr>
          <w:rFonts w:eastAsia="Calibri"/>
          <w:b/>
        </w:rPr>
        <w:t>?</w:t>
      </w:r>
    </w:p>
    <w:p w:rsidR="00B8196F" w:rsidRDefault="00B8196F" w:rsidP="00B8196F">
      <w:pPr>
        <w:jc w:val="both"/>
      </w:pPr>
    </w:p>
    <w:p w:rsidR="00B8196F" w:rsidRDefault="00B8196F" w:rsidP="00B8196F">
      <w:pPr>
        <w:ind w:left="1440"/>
        <w:jc w:val="both"/>
      </w:pPr>
      <w:r w:rsidRPr="00E84D6C">
        <w:t>Consistent with Order No. PSC-2015-0536-FOF-EI which approved the cost allocation methodology for DEF’s CCR Program, Capital costs for the CCR Ash Landfill Project sh</w:t>
      </w:r>
      <w:r>
        <w:t>all</w:t>
      </w:r>
      <w:r w:rsidRPr="00E84D6C">
        <w:t xml:space="preserve"> be allocated to the rate classes on a demand basis; O&amp;M costs should be allocated to the rate classes on an energy basis</w:t>
      </w:r>
      <w:r>
        <w:t>.</w:t>
      </w:r>
    </w:p>
    <w:p w:rsidR="00B8196F" w:rsidRDefault="00B8196F" w:rsidP="00B8196F">
      <w:pPr>
        <w:spacing w:after="240"/>
        <w:ind w:left="1440"/>
        <w:jc w:val="both"/>
      </w:pPr>
    </w:p>
    <w:p w:rsidR="001A34ED" w:rsidRDefault="001A34ED" w:rsidP="00B8196F">
      <w:pPr>
        <w:ind w:left="1440" w:hanging="1440"/>
        <w:jc w:val="both"/>
        <w:rPr>
          <w:rFonts w:eastAsia="Calibri"/>
          <w:b/>
          <w:u w:val="single"/>
        </w:rPr>
      </w:pPr>
    </w:p>
    <w:p w:rsidR="001A34ED" w:rsidRDefault="001A34ED" w:rsidP="00B8196F">
      <w:pPr>
        <w:ind w:left="1440" w:hanging="1440"/>
        <w:jc w:val="both"/>
        <w:rPr>
          <w:rFonts w:eastAsia="Calibri"/>
          <w:b/>
          <w:u w:val="single"/>
        </w:rPr>
      </w:pPr>
    </w:p>
    <w:p w:rsidR="001A34ED" w:rsidRDefault="001A34ED" w:rsidP="00B8196F">
      <w:pPr>
        <w:ind w:left="1440" w:hanging="1440"/>
        <w:jc w:val="both"/>
        <w:rPr>
          <w:rFonts w:eastAsia="Calibri"/>
          <w:b/>
          <w:u w:val="single"/>
        </w:rPr>
      </w:pPr>
    </w:p>
    <w:p w:rsidR="001A34ED" w:rsidRDefault="001A34ED" w:rsidP="00B8196F">
      <w:pPr>
        <w:ind w:left="1440" w:hanging="1440"/>
        <w:jc w:val="both"/>
        <w:rPr>
          <w:rFonts w:eastAsia="Calibri"/>
          <w:b/>
          <w:u w:val="single"/>
        </w:rPr>
      </w:pPr>
    </w:p>
    <w:p w:rsidR="00B8196F" w:rsidRDefault="00B8196F" w:rsidP="00B8196F">
      <w:pPr>
        <w:ind w:left="1440" w:hanging="1440"/>
        <w:jc w:val="both"/>
        <w:rPr>
          <w:rFonts w:eastAsia="Calibri"/>
          <w:b/>
        </w:rPr>
      </w:pPr>
      <w:r>
        <w:rPr>
          <w:rFonts w:eastAsia="Calibri"/>
          <w:b/>
          <w:u w:val="single"/>
        </w:rPr>
        <w:lastRenderedPageBreak/>
        <w:t>ISSUE 13</w:t>
      </w:r>
      <w:r w:rsidRPr="00D858C1">
        <w:rPr>
          <w:rFonts w:eastAsia="Calibri"/>
          <w:b/>
          <w:u w:val="single"/>
        </w:rPr>
        <w:t>:</w:t>
      </w:r>
      <w:r>
        <w:rPr>
          <w:rFonts w:eastAsia="Calibri"/>
        </w:rPr>
        <w:tab/>
      </w:r>
      <w:r w:rsidRPr="00C26029">
        <w:rPr>
          <w:rFonts w:eastAsia="Calibri"/>
          <w:b/>
        </w:rPr>
        <w:t>Should the Commission approve DEF’s proposed treatment for the ECRC assets associated with the retirement of Avon Park and Higgins, as proposed in DEF’s 2020 Projection Filing</w:t>
      </w:r>
      <w:r w:rsidRPr="00D858C1">
        <w:rPr>
          <w:rFonts w:eastAsia="Calibri"/>
          <w:b/>
        </w:rPr>
        <w:t>?</w:t>
      </w:r>
    </w:p>
    <w:p w:rsidR="00B8196F" w:rsidRPr="00D858C1" w:rsidRDefault="00B8196F" w:rsidP="00B8196F">
      <w:pPr>
        <w:ind w:left="1440" w:hanging="1440"/>
        <w:jc w:val="both"/>
        <w:rPr>
          <w:rFonts w:eastAsia="Calibri"/>
          <w:b/>
        </w:rPr>
      </w:pPr>
    </w:p>
    <w:p w:rsidR="00B8196F" w:rsidRPr="00E84D6C" w:rsidRDefault="00B8196F" w:rsidP="00B8196F">
      <w:pPr>
        <w:ind w:left="1440"/>
        <w:jc w:val="both"/>
        <w:rPr>
          <w:rFonts w:eastAsia="Calibri"/>
        </w:rPr>
      </w:pPr>
      <w:r w:rsidRPr="00E84D6C">
        <w:rPr>
          <w:rFonts w:eastAsia="Calibri"/>
        </w:rPr>
        <w:t>Yes. DEF’s proposed treatment for the Avon Park and Higgins assets is consistent with prior Commission Order Nos PSC-2011-0553-FOF-EI, PSC-2013-0381-PAA-EI and PSC-2016-0535-FOF-EI</w:t>
      </w:r>
      <w:r>
        <w:rPr>
          <w:rFonts w:eastAsia="Calibri"/>
        </w:rPr>
        <w:t>.</w:t>
      </w:r>
    </w:p>
    <w:p w:rsidR="00B8196F" w:rsidRDefault="00B8196F" w:rsidP="00B8196F">
      <w:pPr>
        <w:spacing w:after="240"/>
        <w:jc w:val="both"/>
        <w:rPr>
          <w:rFonts w:eastAsia="Calibri"/>
          <w:b/>
        </w:rPr>
      </w:pPr>
    </w:p>
    <w:p w:rsidR="00B8196F" w:rsidRDefault="00B8196F" w:rsidP="00B8196F">
      <w:pPr>
        <w:ind w:left="1440" w:hanging="1440"/>
        <w:jc w:val="both"/>
        <w:rPr>
          <w:color w:val="000000"/>
        </w:rPr>
      </w:pPr>
      <w:r w:rsidRPr="00503AE4">
        <w:rPr>
          <w:color w:val="000000"/>
        </w:rPr>
        <w:t>Gulf Power Company:</w:t>
      </w:r>
    </w:p>
    <w:p w:rsidR="00B8196F" w:rsidRPr="00E84D6C" w:rsidRDefault="00B8196F" w:rsidP="00B8196F">
      <w:pPr>
        <w:ind w:left="1440" w:hanging="1440"/>
        <w:jc w:val="both"/>
        <w:rPr>
          <w:color w:val="000000"/>
        </w:rPr>
      </w:pPr>
    </w:p>
    <w:p w:rsidR="00B8196F" w:rsidRDefault="00B8196F" w:rsidP="00B8196F">
      <w:pPr>
        <w:ind w:left="1440" w:hanging="1440"/>
        <w:jc w:val="both"/>
        <w:rPr>
          <w:rFonts w:eastAsia="Calibri"/>
          <w:b/>
        </w:rPr>
      </w:pPr>
      <w:r>
        <w:rPr>
          <w:rFonts w:eastAsia="Calibri"/>
          <w:b/>
          <w:u w:val="single"/>
        </w:rPr>
        <w:t>ISSUE 14</w:t>
      </w:r>
      <w:r w:rsidRPr="00D858C1">
        <w:rPr>
          <w:rFonts w:eastAsia="Calibri"/>
          <w:b/>
          <w:u w:val="single"/>
        </w:rPr>
        <w:t>:</w:t>
      </w:r>
      <w:r>
        <w:rPr>
          <w:rFonts w:eastAsia="Calibri"/>
        </w:rPr>
        <w:tab/>
      </w:r>
      <w:r w:rsidRPr="00C26029">
        <w:rPr>
          <w:rFonts w:eastAsia="Calibri"/>
          <w:b/>
        </w:rPr>
        <w:t>Should the Commission approve the 2020 expenditures for Gulf’s ownership portion of the Plant Daniel CCR projects for recovery through the Environmental Cost Recovery Clause</w:t>
      </w:r>
      <w:r w:rsidRPr="00D858C1">
        <w:rPr>
          <w:rFonts w:eastAsia="Calibri"/>
          <w:b/>
        </w:rPr>
        <w:t>?</w:t>
      </w:r>
    </w:p>
    <w:p w:rsidR="00B8196F" w:rsidRDefault="00B8196F" w:rsidP="00B8196F">
      <w:pPr>
        <w:ind w:left="1440" w:hanging="1440"/>
        <w:jc w:val="both"/>
        <w:rPr>
          <w:rFonts w:eastAsia="Calibri"/>
          <w:b/>
        </w:rPr>
      </w:pPr>
    </w:p>
    <w:p w:rsidR="00B8196F" w:rsidRDefault="00B8196F" w:rsidP="00B8196F">
      <w:pPr>
        <w:ind w:left="1440"/>
        <w:jc w:val="both"/>
        <w:rPr>
          <w:rFonts w:eastAsia="Calibri"/>
        </w:rPr>
      </w:pPr>
      <w:r w:rsidRPr="00AE399B">
        <w:rPr>
          <w:rFonts w:eastAsia="Calibri"/>
        </w:rPr>
        <w:t xml:space="preserve">Gulf has discovered possible alternatives for CCR compliance that may be more cost-effective, </w:t>
      </w:r>
      <w:r>
        <w:rPr>
          <w:rFonts w:eastAsia="Calibri"/>
        </w:rPr>
        <w:t>and</w:t>
      </w:r>
      <w:r w:rsidRPr="00AE399B">
        <w:rPr>
          <w:rFonts w:eastAsia="Calibri"/>
        </w:rPr>
        <w:t xml:space="preserve"> requested deferral of  Issue 14 related to the recovery of certain Plant Daniel CCR costs through the ECRC mechanism.  As such, this issue shall be deferred and $23,234,491 associated with Plant Daniel CCR costs shall be removed from the factors in this docket. Gulf’s position</w:t>
      </w:r>
      <w:r>
        <w:rPr>
          <w:rFonts w:eastAsia="Calibri"/>
        </w:rPr>
        <w:t>s</w:t>
      </w:r>
      <w:r w:rsidRPr="00AE399B">
        <w:rPr>
          <w:rFonts w:eastAsia="Calibri"/>
        </w:rPr>
        <w:t xml:space="preserve"> in other issues </w:t>
      </w:r>
      <w:r w:rsidR="00B145F3">
        <w:rPr>
          <w:rFonts w:eastAsia="Calibri"/>
        </w:rPr>
        <w:t>have been</w:t>
      </w:r>
      <w:r w:rsidRPr="00AE399B">
        <w:rPr>
          <w:rFonts w:eastAsia="Calibri"/>
        </w:rPr>
        <w:t xml:space="preserve"> adjusted accordingly.</w:t>
      </w:r>
    </w:p>
    <w:p w:rsidR="00B8196F" w:rsidRDefault="00B8196F" w:rsidP="00B8196F">
      <w:pPr>
        <w:ind w:left="1440"/>
        <w:jc w:val="both"/>
        <w:rPr>
          <w:rFonts w:eastAsia="Calibri"/>
          <w:highlight w:val="yellow"/>
        </w:rPr>
      </w:pPr>
    </w:p>
    <w:p w:rsidR="00B8196F" w:rsidRPr="00433235" w:rsidRDefault="00B8196F" w:rsidP="00B8196F">
      <w:pPr>
        <w:ind w:left="1440"/>
        <w:jc w:val="both"/>
        <w:rPr>
          <w:rFonts w:eastAsia="Calibri"/>
        </w:rPr>
      </w:pPr>
    </w:p>
    <w:p w:rsidR="00B8196F" w:rsidRDefault="00B8196F" w:rsidP="00B8196F">
      <w:pPr>
        <w:ind w:left="1440" w:hanging="1440"/>
        <w:jc w:val="both"/>
        <w:rPr>
          <w:rFonts w:eastAsia="Calibri"/>
          <w:b/>
        </w:rPr>
      </w:pPr>
      <w:r>
        <w:rPr>
          <w:rFonts w:eastAsia="Calibri"/>
          <w:b/>
          <w:u w:val="single"/>
        </w:rPr>
        <w:t>ISSUE 15</w:t>
      </w:r>
      <w:r w:rsidRPr="00D858C1">
        <w:rPr>
          <w:rFonts w:eastAsia="Calibri"/>
          <w:b/>
          <w:u w:val="single"/>
        </w:rPr>
        <w:t>:</w:t>
      </w:r>
      <w:r>
        <w:rPr>
          <w:rFonts w:eastAsia="Calibri"/>
        </w:rPr>
        <w:tab/>
      </w:r>
      <w:r w:rsidRPr="00C26029">
        <w:rPr>
          <w:rFonts w:eastAsia="Calibri"/>
          <w:b/>
        </w:rPr>
        <w:t>Should the Commission approve Gulf’s Crist Closed Ash Landfill Project for cost recovery through the Environmental Cost Recovery Clause</w:t>
      </w:r>
      <w:r w:rsidRPr="00D858C1">
        <w:rPr>
          <w:rFonts w:eastAsia="Calibri"/>
          <w:b/>
        </w:rPr>
        <w:t>?</w:t>
      </w:r>
    </w:p>
    <w:p w:rsidR="00B8196F" w:rsidRDefault="00B8196F" w:rsidP="00B8196F">
      <w:pPr>
        <w:ind w:left="1440" w:hanging="1440"/>
        <w:jc w:val="both"/>
        <w:rPr>
          <w:rFonts w:eastAsia="Calibri"/>
          <w:b/>
        </w:rPr>
      </w:pPr>
    </w:p>
    <w:p w:rsidR="00B8196F" w:rsidRDefault="00B8196F" w:rsidP="00B8196F">
      <w:pPr>
        <w:spacing w:after="240"/>
        <w:ind w:left="1440"/>
        <w:jc w:val="both"/>
      </w:pPr>
      <w:r w:rsidRPr="00E84D6C">
        <w:rPr>
          <w:rFonts w:eastAsia="Calibri"/>
        </w:rPr>
        <w:t xml:space="preserve">Yes. The Plant Crist industrial wastewater permit (FL0002275) and FDEP Order 17-1224 require Gulf to complete FDEP approved rehabilitation actions by July 23, 2023, for the Plant Crist Closed Ash Landfill (CAL). Gulf plans to regrade the surface of the CAL and then cap the CAL with a low permeability synthetic material to reduce water infiltration, to provide separation of ash and </w:t>
      </w:r>
      <w:proofErr w:type="spellStart"/>
      <w:r w:rsidRPr="00E84D6C">
        <w:rPr>
          <w:rFonts w:eastAsia="Calibri"/>
        </w:rPr>
        <w:t>stormwater</w:t>
      </w:r>
      <w:proofErr w:type="spellEnd"/>
      <w:r w:rsidRPr="00E84D6C">
        <w:rPr>
          <w:rFonts w:eastAsia="Calibri"/>
        </w:rPr>
        <w:t>, and to provide stability improvements as recommended in the FDEP approved action plan. The capital expenditures associated with this project are projected to be $10.1 million in 2020. Gulf has not projected O&amp;M costs associated with the project in 2020; however, future O&amp;M costs are expected after the project is completed in the 2021-2022 timeframe</w:t>
      </w:r>
      <w:r>
        <w:rPr>
          <w:rFonts w:eastAsia="Calibri"/>
        </w:rPr>
        <w:t>.</w:t>
      </w:r>
      <w:r w:rsidRPr="00E84D6C">
        <w:t xml:space="preserve"> </w:t>
      </w:r>
    </w:p>
    <w:p w:rsidR="00B8196F" w:rsidRPr="00E84D6C" w:rsidRDefault="00B8196F" w:rsidP="00B8196F">
      <w:pPr>
        <w:spacing w:after="240"/>
        <w:ind w:left="1440"/>
        <w:jc w:val="both"/>
        <w:rPr>
          <w:rFonts w:eastAsia="Calibri"/>
        </w:rPr>
      </w:pPr>
      <w:r w:rsidRPr="00E84D6C">
        <w:rPr>
          <w:rFonts w:eastAsia="Calibri"/>
        </w:rPr>
        <w:t>The proposed Crist CAL project meets the criteri</w:t>
      </w:r>
      <w:r>
        <w:rPr>
          <w:rFonts w:eastAsia="Calibri"/>
        </w:rPr>
        <w:t xml:space="preserve">a for cost recovery established </w:t>
      </w:r>
      <w:r w:rsidRPr="00E84D6C">
        <w:rPr>
          <w:rFonts w:eastAsia="Calibri"/>
        </w:rPr>
        <w:t>by the Commission in Order No. PSC-94-0044-FOF-EI</w:t>
      </w:r>
      <w:r>
        <w:rPr>
          <w:rFonts w:eastAsia="Calibri"/>
        </w:rPr>
        <w:t>.</w:t>
      </w:r>
    </w:p>
    <w:p w:rsidR="001A34ED" w:rsidRDefault="001A34ED" w:rsidP="00B8196F">
      <w:pPr>
        <w:ind w:left="1440" w:hanging="1440"/>
        <w:jc w:val="both"/>
        <w:rPr>
          <w:rFonts w:eastAsia="Calibri"/>
          <w:b/>
          <w:u w:val="single"/>
        </w:rPr>
      </w:pPr>
    </w:p>
    <w:p w:rsidR="001A34ED" w:rsidRDefault="001A34ED" w:rsidP="00B8196F">
      <w:pPr>
        <w:ind w:left="1440" w:hanging="1440"/>
        <w:jc w:val="both"/>
        <w:rPr>
          <w:rFonts w:eastAsia="Calibri"/>
          <w:b/>
          <w:u w:val="single"/>
        </w:rPr>
      </w:pPr>
    </w:p>
    <w:p w:rsidR="001A34ED" w:rsidRDefault="001A34ED" w:rsidP="00B8196F">
      <w:pPr>
        <w:ind w:left="1440" w:hanging="1440"/>
        <w:jc w:val="both"/>
        <w:rPr>
          <w:rFonts w:eastAsia="Calibri"/>
          <w:b/>
          <w:u w:val="single"/>
        </w:rPr>
      </w:pPr>
    </w:p>
    <w:p w:rsidR="00B8196F" w:rsidRPr="00D858C1" w:rsidRDefault="00B8196F" w:rsidP="00B8196F">
      <w:pPr>
        <w:ind w:left="1440" w:hanging="1440"/>
        <w:jc w:val="both"/>
        <w:rPr>
          <w:rFonts w:eastAsia="Calibri"/>
          <w:b/>
        </w:rPr>
      </w:pPr>
      <w:r>
        <w:rPr>
          <w:rFonts w:eastAsia="Calibri"/>
          <w:b/>
          <w:u w:val="single"/>
        </w:rPr>
        <w:lastRenderedPageBreak/>
        <w:t>ISSUE 16</w:t>
      </w:r>
      <w:r w:rsidRPr="00D858C1">
        <w:rPr>
          <w:rFonts w:eastAsia="Calibri"/>
          <w:b/>
          <w:u w:val="single"/>
        </w:rPr>
        <w:t>:</w:t>
      </w:r>
      <w:r>
        <w:rPr>
          <w:rFonts w:eastAsia="Calibri"/>
        </w:rPr>
        <w:tab/>
      </w:r>
      <w:r>
        <w:rPr>
          <w:rFonts w:eastAsia="Calibri"/>
          <w:b/>
        </w:rPr>
        <w:t>How should</w:t>
      </w:r>
      <w:r w:rsidRPr="00C26029">
        <w:rPr>
          <w:rFonts w:eastAsia="Calibri"/>
          <w:b/>
        </w:rPr>
        <w:t xml:space="preserve"> any approved Environmental Cost Recovery Clause costs associated with Gulf’s Crist Closed Ash Landfill Project be allocated to the rate classes</w:t>
      </w:r>
      <w:r w:rsidRPr="00D858C1">
        <w:rPr>
          <w:rFonts w:eastAsia="Calibri"/>
          <w:b/>
        </w:rPr>
        <w:t>?</w:t>
      </w:r>
    </w:p>
    <w:p w:rsidR="00B8196F" w:rsidRDefault="00B8196F" w:rsidP="00B8196F">
      <w:pPr>
        <w:jc w:val="both"/>
      </w:pPr>
    </w:p>
    <w:p w:rsidR="00B8196F" w:rsidRDefault="00B8196F" w:rsidP="00B8196F">
      <w:pPr>
        <w:spacing w:after="240"/>
        <w:ind w:left="1440"/>
        <w:jc w:val="both"/>
      </w:pPr>
      <w:r>
        <w:t>Capital costs for the CAL project should be allocated to the rate classes on an average 12-MCP demand and 1/13th energy basis. O&amp;M cost for the program should be allocated to the rate classes on a demand basis.</w:t>
      </w:r>
    </w:p>
    <w:p w:rsidR="00B8196F" w:rsidRDefault="00B8196F" w:rsidP="00B8196F">
      <w:pPr>
        <w:ind w:left="1440" w:hanging="1440"/>
        <w:jc w:val="both"/>
        <w:rPr>
          <w:color w:val="000000"/>
        </w:rPr>
      </w:pPr>
    </w:p>
    <w:p w:rsidR="00B145F3" w:rsidRDefault="00B145F3" w:rsidP="00B8196F">
      <w:pPr>
        <w:ind w:left="1440" w:hanging="1440"/>
        <w:jc w:val="both"/>
        <w:rPr>
          <w:color w:val="000000"/>
        </w:rPr>
      </w:pPr>
    </w:p>
    <w:p w:rsidR="00B8196F" w:rsidRPr="00B42F84" w:rsidRDefault="00B8196F" w:rsidP="00B8196F">
      <w:pPr>
        <w:ind w:left="1440" w:hanging="1440"/>
        <w:jc w:val="both"/>
        <w:rPr>
          <w:color w:val="000000"/>
        </w:rPr>
      </w:pPr>
      <w:r w:rsidRPr="00B42F84">
        <w:rPr>
          <w:color w:val="000000"/>
        </w:rPr>
        <w:t>MOTION</w:t>
      </w:r>
    </w:p>
    <w:p w:rsidR="00B8196F" w:rsidRDefault="00B8196F" w:rsidP="00B8196F">
      <w:pPr>
        <w:jc w:val="both"/>
      </w:pPr>
    </w:p>
    <w:p w:rsidR="00B8196F" w:rsidRDefault="00B8196F" w:rsidP="00B8196F">
      <w:pPr>
        <w:ind w:left="1440" w:hanging="1440"/>
        <w:jc w:val="both"/>
        <w:rPr>
          <w:rFonts w:eastAsia="Calibri"/>
          <w:b/>
        </w:rPr>
      </w:pPr>
      <w:r>
        <w:rPr>
          <w:rFonts w:eastAsia="Calibri"/>
          <w:b/>
          <w:u w:val="single"/>
        </w:rPr>
        <w:t>ISSUE 17</w:t>
      </w:r>
      <w:r w:rsidRPr="00D858C1">
        <w:rPr>
          <w:rFonts w:eastAsia="Calibri"/>
          <w:b/>
          <w:u w:val="single"/>
        </w:rPr>
        <w:t>:</w:t>
      </w:r>
      <w:r>
        <w:rPr>
          <w:rFonts w:eastAsia="Calibri"/>
        </w:rPr>
        <w:tab/>
      </w:r>
      <w:r w:rsidRPr="00C26029">
        <w:rPr>
          <w:rFonts w:eastAsia="Calibri"/>
          <w:b/>
        </w:rPr>
        <w:t>Should the Joint Motion to Modify Order No. PSC-2012-0425-PAA-EU Regarding Weighted Average Cost of Capital Methodology be approved</w:t>
      </w:r>
      <w:r w:rsidRPr="00D858C1">
        <w:rPr>
          <w:rFonts w:eastAsia="Calibri"/>
          <w:b/>
        </w:rPr>
        <w:t>?</w:t>
      </w:r>
    </w:p>
    <w:p w:rsidR="00B8196F" w:rsidRDefault="00B8196F" w:rsidP="00B8196F">
      <w:pPr>
        <w:ind w:left="1440" w:hanging="1440"/>
        <w:jc w:val="both"/>
        <w:rPr>
          <w:rFonts w:eastAsia="Calibri"/>
          <w:b/>
        </w:rPr>
      </w:pPr>
    </w:p>
    <w:p w:rsidR="00900B9B" w:rsidRPr="00900B9B" w:rsidRDefault="00900B9B" w:rsidP="00735E9F">
      <w:pPr>
        <w:ind w:left="1440"/>
        <w:jc w:val="both"/>
      </w:pPr>
      <w:r w:rsidRPr="00900B9B">
        <w:t xml:space="preserve">No. </w:t>
      </w:r>
      <w:r>
        <w:t>T</w:t>
      </w:r>
      <w:r w:rsidRPr="00900B9B">
        <w:t>he normalization provisions of the Internal Revenue Code (IRC) Treasury Regulation Section 1.167(1)-1(h)(6) sh</w:t>
      </w:r>
      <w:r>
        <w:t>all</w:t>
      </w:r>
      <w:r w:rsidRPr="00900B9B">
        <w:t xml:space="preserve"> be applied to the Weighted Average Cost of Capital (WACC) in this docket</w:t>
      </w:r>
      <w:r w:rsidR="007D25E4">
        <w:t xml:space="preserve">, </w:t>
      </w:r>
      <w:r w:rsidR="007D25E4" w:rsidRPr="005B2609">
        <w:t>subject to true-up</w:t>
      </w:r>
      <w:r w:rsidR="00735E9F" w:rsidRPr="005B2609">
        <w:t>.</w:t>
      </w:r>
      <w:r w:rsidR="00735E9F">
        <w:t xml:space="preserve"> T</w:t>
      </w:r>
      <w:r w:rsidRPr="00900B9B">
        <w:t>he determination of the WACC to be applied in future clause dockets sh</w:t>
      </w:r>
      <w:r>
        <w:t xml:space="preserve">all </w:t>
      </w:r>
      <w:r w:rsidRPr="00900B9B">
        <w:t>be the subject of a workshop to be held by Commission staff.</w:t>
      </w:r>
    </w:p>
    <w:p w:rsidR="006E1552" w:rsidRPr="00F0682F" w:rsidRDefault="006E1552" w:rsidP="00900B9B">
      <w:pPr>
        <w:ind w:firstLine="720"/>
        <w:jc w:val="both"/>
      </w:pPr>
    </w:p>
    <w:p w:rsidR="006E1552" w:rsidRDefault="006E1552" w:rsidP="006E1552">
      <w:pPr>
        <w:ind w:left="1440" w:hanging="1440"/>
        <w:jc w:val="both"/>
        <w:rPr>
          <w:bCs/>
        </w:rPr>
      </w:pPr>
    </w:p>
    <w:p w:rsidR="006E1552" w:rsidRPr="00A32DC5" w:rsidRDefault="006E1552" w:rsidP="006E1552">
      <w:pPr>
        <w:jc w:val="both"/>
        <w:rPr>
          <w:b/>
        </w:rPr>
      </w:pPr>
      <w:r w:rsidRPr="00A32DC5">
        <w:rPr>
          <w:b/>
        </w:rPr>
        <w:t>XI.</w:t>
      </w:r>
      <w:r w:rsidRPr="00A32DC5">
        <w:rPr>
          <w:b/>
        </w:rPr>
        <w:tab/>
      </w:r>
      <w:r w:rsidRPr="00A32DC5">
        <w:rPr>
          <w:b/>
          <w:u w:val="single"/>
        </w:rPr>
        <w:t>PENDING MOTIONS</w:t>
      </w:r>
    </w:p>
    <w:p w:rsidR="006B3959" w:rsidRDefault="006B3959" w:rsidP="006B3959">
      <w:pPr>
        <w:ind w:left="1440"/>
        <w:jc w:val="both"/>
      </w:pPr>
    </w:p>
    <w:p w:rsidR="0032368E" w:rsidRDefault="005B2609" w:rsidP="006B3959">
      <w:pPr>
        <w:ind w:left="810"/>
        <w:jc w:val="both"/>
      </w:pPr>
      <w:r>
        <w:t xml:space="preserve">The pending Joint Motion is resolved by the proposed stipulation of Issue 17. </w:t>
      </w:r>
    </w:p>
    <w:p w:rsidR="006E1552" w:rsidRPr="00701945" w:rsidRDefault="006E1552" w:rsidP="006E1552">
      <w:pPr>
        <w:jc w:val="both"/>
      </w:pPr>
    </w:p>
    <w:p w:rsidR="006E1552" w:rsidRPr="00A32DC5" w:rsidRDefault="006E1552" w:rsidP="006E1552">
      <w:pPr>
        <w:jc w:val="both"/>
        <w:rPr>
          <w:b/>
        </w:rPr>
      </w:pPr>
      <w:r w:rsidRPr="00A32DC5">
        <w:rPr>
          <w:b/>
        </w:rPr>
        <w:t>XII.</w:t>
      </w:r>
      <w:r w:rsidRPr="00A32DC5">
        <w:rPr>
          <w:b/>
        </w:rPr>
        <w:tab/>
      </w:r>
      <w:r w:rsidRPr="00A32DC5">
        <w:rPr>
          <w:b/>
          <w:u w:val="single"/>
        </w:rPr>
        <w:t>PENDING CONFIDENTIALITY MATTERS</w:t>
      </w:r>
    </w:p>
    <w:p w:rsidR="006E1552" w:rsidRDefault="006E1552" w:rsidP="006E1552">
      <w:pPr>
        <w:jc w:val="both"/>
      </w:pPr>
    </w:p>
    <w:p w:rsidR="006E1552" w:rsidRPr="00111502" w:rsidRDefault="00111502" w:rsidP="00111502">
      <w:pPr>
        <w:ind w:firstLine="720"/>
        <w:jc w:val="both"/>
      </w:pPr>
      <w:r w:rsidRPr="00111502">
        <w:t>None.</w:t>
      </w:r>
    </w:p>
    <w:p w:rsidR="006E1552" w:rsidRDefault="006E1552" w:rsidP="006E1552">
      <w:pPr>
        <w:jc w:val="both"/>
      </w:pPr>
    </w:p>
    <w:p w:rsidR="006E1552" w:rsidRDefault="006E1552" w:rsidP="006E1552">
      <w:pPr>
        <w:jc w:val="both"/>
      </w:pPr>
    </w:p>
    <w:p w:rsidR="006E1552" w:rsidRPr="00A32DC5" w:rsidRDefault="006E1552" w:rsidP="006E1552">
      <w:pPr>
        <w:jc w:val="both"/>
        <w:rPr>
          <w:b/>
        </w:rPr>
      </w:pPr>
      <w:r w:rsidRPr="00A32DC5">
        <w:rPr>
          <w:b/>
        </w:rPr>
        <w:t>XIII.</w:t>
      </w:r>
      <w:r w:rsidRPr="00A32DC5">
        <w:rPr>
          <w:b/>
        </w:rPr>
        <w:tab/>
      </w:r>
      <w:r w:rsidRPr="00A32DC5">
        <w:rPr>
          <w:b/>
          <w:u w:val="single"/>
        </w:rPr>
        <w:t>POST-HEARING PROCEDURES</w:t>
      </w:r>
    </w:p>
    <w:p w:rsidR="006E1552" w:rsidRPr="00701945" w:rsidRDefault="006E1552" w:rsidP="006E1552">
      <w:pPr>
        <w:jc w:val="both"/>
      </w:pPr>
    </w:p>
    <w:p w:rsidR="006E1552" w:rsidRPr="00701945" w:rsidRDefault="006E1552" w:rsidP="006E1552">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6E1552" w:rsidRPr="00701945" w:rsidRDefault="006E1552" w:rsidP="006E1552">
      <w:pPr>
        <w:jc w:val="both"/>
      </w:pPr>
    </w:p>
    <w:p w:rsidR="006E1552" w:rsidRPr="00701945" w:rsidRDefault="006E1552" w:rsidP="006E1552">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Pr>
          <w:color w:val="FF0000"/>
        </w:rPr>
        <w:t xml:space="preserve"> </w:t>
      </w:r>
      <w:r w:rsidRPr="00701945">
        <w:t>and shall be filed at the same time.</w:t>
      </w:r>
    </w:p>
    <w:p w:rsidR="006E1552" w:rsidRDefault="006E1552" w:rsidP="006E1552">
      <w:pPr>
        <w:jc w:val="both"/>
      </w:pPr>
    </w:p>
    <w:p w:rsidR="006E1552" w:rsidRPr="00A32DC5" w:rsidRDefault="006E1552" w:rsidP="006E1552">
      <w:pPr>
        <w:jc w:val="both"/>
        <w:rPr>
          <w:b/>
        </w:rPr>
      </w:pPr>
      <w:r w:rsidRPr="00A32DC5">
        <w:rPr>
          <w:b/>
        </w:rPr>
        <w:lastRenderedPageBreak/>
        <w:t>XIV.</w:t>
      </w:r>
      <w:r w:rsidRPr="00A32DC5">
        <w:rPr>
          <w:b/>
        </w:rPr>
        <w:tab/>
      </w:r>
      <w:r w:rsidRPr="00A32DC5">
        <w:rPr>
          <w:b/>
          <w:u w:val="single"/>
        </w:rPr>
        <w:t>RULINGS</w:t>
      </w:r>
    </w:p>
    <w:p w:rsidR="006E1552" w:rsidRPr="00701945" w:rsidRDefault="006E1552" w:rsidP="006E1552">
      <w:pPr>
        <w:jc w:val="both"/>
      </w:pPr>
    </w:p>
    <w:p w:rsidR="006E1552" w:rsidRPr="00701945" w:rsidRDefault="006E1552" w:rsidP="006E1552">
      <w:pPr>
        <w:ind w:firstLine="720"/>
        <w:jc w:val="both"/>
      </w:pPr>
      <w:r w:rsidRPr="00701945">
        <w:t xml:space="preserve">Opening statements, if any, shall not exceed </w:t>
      </w:r>
      <w:r>
        <w:t>five</w:t>
      </w:r>
      <w:r w:rsidRPr="00701945">
        <w:t xml:space="preserve"> minutes per party</w:t>
      </w:r>
      <w:r w:rsidR="005B2609">
        <w:t xml:space="preserve"> and witness summaries shall not exceed three minutes</w:t>
      </w:r>
      <w:r w:rsidRPr="00701945">
        <w:t>.</w:t>
      </w:r>
      <w:r>
        <w:t xml:space="preserve">  </w:t>
      </w:r>
    </w:p>
    <w:p w:rsidR="006E1552" w:rsidRDefault="006E1552" w:rsidP="006E1552">
      <w:pPr>
        <w:jc w:val="both"/>
      </w:pPr>
    </w:p>
    <w:p w:rsidR="006E1552" w:rsidRPr="00701945" w:rsidRDefault="006E1552" w:rsidP="006E1552">
      <w:pPr>
        <w:jc w:val="both"/>
      </w:pPr>
      <w:r w:rsidRPr="00701945">
        <w:tab/>
        <w:t>It is therefore,</w:t>
      </w:r>
    </w:p>
    <w:p w:rsidR="006E1552" w:rsidRPr="00701945" w:rsidRDefault="006E1552" w:rsidP="006E1552">
      <w:pPr>
        <w:jc w:val="both"/>
      </w:pPr>
    </w:p>
    <w:p w:rsidR="006E1552" w:rsidRPr="00701945" w:rsidRDefault="006E1552" w:rsidP="006E1552">
      <w:pPr>
        <w:jc w:val="both"/>
      </w:pPr>
      <w:r w:rsidRPr="00701945">
        <w:tab/>
        <w:t xml:space="preserve">ORDERED by Commissioner </w:t>
      </w:r>
      <w:r w:rsidR="00232DE0">
        <w:t>Gary F. Clark</w:t>
      </w:r>
      <w:r w:rsidRPr="00701945">
        <w:t>, as Prehearing Officer, that this Prehearing Order shall govern the conduct of these proceedings as set forth above unless modified by the Commission.</w:t>
      </w:r>
    </w:p>
    <w:p w:rsidR="006E1552" w:rsidRDefault="006E1552" w:rsidP="006E1552">
      <w:pPr>
        <w:jc w:val="both"/>
      </w:pPr>
    </w:p>
    <w:p w:rsidR="008B5218" w:rsidRDefault="008B5218" w:rsidP="008B5218">
      <w:pPr>
        <w:keepNext/>
        <w:keepLines/>
        <w:jc w:val="both"/>
      </w:pPr>
      <w:r>
        <w:tab/>
      </w:r>
      <w:proofErr w:type="gramStart"/>
      <w:r>
        <w:t xml:space="preserve">By ORDER of Commissioner Gary F. Clark, as Prehearing Officer, this </w:t>
      </w:r>
      <w:bookmarkStart w:id="4" w:name="replaceDate"/>
      <w:bookmarkEnd w:id="4"/>
      <w:r w:rsidR="000A7424">
        <w:rPr>
          <w:u w:val="single"/>
        </w:rPr>
        <w:t>29th</w:t>
      </w:r>
      <w:r w:rsidR="000A7424">
        <w:t xml:space="preserve"> day of </w:t>
      </w:r>
      <w:r w:rsidR="000A7424">
        <w:rPr>
          <w:u w:val="single"/>
        </w:rPr>
        <w:t>October</w:t>
      </w:r>
      <w:r w:rsidR="000A7424">
        <w:t xml:space="preserve">, </w:t>
      </w:r>
      <w:r w:rsidR="000A7424">
        <w:rPr>
          <w:u w:val="single"/>
        </w:rPr>
        <w:t>2019</w:t>
      </w:r>
      <w:r w:rsidR="000A7424">
        <w:t>.</w:t>
      </w:r>
      <w:proofErr w:type="gramEnd"/>
    </w:p>
    <w:p w:rsidR="000A7424" w:rsidRPr="000A7424" w:rsidRDefault="000A7424" w:rsidP="008B5218">
      <w:pPr>
        <w:keepNext/>
        <w:keepLines/>
        <w:jc w:val="both"/>
      </w:pPr>
    </w:p>
    <w:p w:rsidR="008B5218" w:rsidRDefault="008B5218" w:rsidP="008B5218">
      <w:pPr>
        <w:keepNext/>
        <w:keepLines/>
        <w:jc w:val="both"/>
      </w:pPr>
    </w:p>
    <w:p w:rsidR="008B5218" w:rsidRDefault="008B5218" w:rsidP="008B521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B5218" w:rsidTr="008B5218">
        <w:tc>
          <w:tcPr>
            <w:tcW w:w="720" w:type="dxa"/>
            <w:shd w:val="clear" w:color="auto" w:fill="auto"/>
          </w:tcPr>
          <w:p w:rsidR="008B5218" w:rsidRDefault="008B5218" w:rsidP="008B5218">
            <w:pPr>
              <w:keepNext/>
              <w:keepLines/>
              <w:jc w:val="both"/>
            </w:pPr>
            <w:bookmarkStart w:id="5" w:name="bkmrkSignature" w:colFirst="0" w:colLast="0"/>
          </w:p>
        </w:tc>
        <w:tc>
          <w:tcPr>
            <w:tcW w:w="4320" w:type="dxa"/>
            <w:tcBorders>
              <w:bottom w:val="single" w:sz="4" w:space="0" w:color="auto"/>
            </w:tcBorders>
            <w:shd w:val="clear" w:color="auto" w:fill="auto"/>
          </w:tcPr>
          <w:p w:rsidR="008B5218" w:rsidRDefault="008B5218" w:rsidP="008B5218">
            <w:pPr>
              <w:keepNext/>
              <w:keepLines/>
              <w:jc w:val="both"/>
            </w:pPr>
          </w:p>
        </w:tc>
      </w:tr>
      <w:bookmarkEnd w:id="5"/>
      <w:tr w:rsidR="008B5218" w:rsidTr="008B5218">
        <w:tc>
          <w:tcPr>
            <w:tcW w:w="720" w:type="dxa"/>
            <w:shd w:val="clear" w:color="auto" w:fill="auto"/>
          </w:tcPr>
          <w:p w:rsidR="008B5218" w:rsidRDefault="008B5218" w:rsidP="008B5218">
            <w:pPr>
              <w:keepNext/>
              <w:keepLines/>
              <w:jc w:val="both"/>
            </w:pPr>
          </w:p>
        </w:tc>
        <w:tc>
          <w:tcPr>
            <w:tcW w:w="4320" w:type="dxa"/>
            <w:tcBorders>
              <w:top w:val="single" w:sz="4" w:space="0" w:color="auto"/>
            </w:tcBorders>
            <w:shd w:val="clear" w:color="auto" w:fill="auto"/>
          </w:tcPr>
          <w:p w:rsidR="008B5218" w:rsidRDefault="008B5218" w:rsidP="008B5218">
            <w:pPr>
              <w:keepNext/>
              <w:keepLines/>
              <w:jc w:val="both"/>
            </w:pPr>
            <w:r>
              <w:t>GARY F. CLARK</w:t>
            </w:r>
          </w:p>
          <w:p w:rsidR="008B5218" w:rsidRDefault="008B5218" w:rsidP="008B5218">
            <w:pPr>
              <w:keepNext/>
              <w:keepLines/>
              <w:jc w:val="both"/>
            </w:pPr>
            <w:r>
              <w:t>Commissioner and Prehearing Officer</w:t>
            </w:r>
          </w:p>
        </w:tc>
      </w:tr>
    </w:tbl>
    <w:p w:rsidR="008B5218" w:rsidRDefault="008B5218" w:rsidP="008B5218">
      <w:pPr>
        <w:pStyle w:val="OrderSigInfo"/>
        <w:keepNext/>
        <w:keepLines/>
      </w:pPr>
      <w:r>
        <w:t>Florida Public Service Commission</w:t>
      </w:r>
    </w:p>
    <w:p w:rsidR="008B5218" w:rsidRDefault="008B5218" w:rsidP="008B5218">
      <w:pPr>
        <w:pStyle w:val="OrderSigInfo"/>
        <w:keepNext/>
        <w:keepLines/>
      </w:pPr>
      <w:r>
        <w:t>2540 Shumard Oak Boulevard</w:t>
      </w:r>
    </w:p>
    <w:p w:rsidR="008B5218" w:rsidRDefault="008B5218" w:rsidP="008B5218">
      <w:pPr>
        <w:pStyle w:val="OrderSigInfo"/>
        <w:keepNext/>
        <w:keepLines/>
      </w:pPr>
      <w:r>
        <w:t>Tallahassee, Florida 32399</w:t>
      </w:r>
    </w:p>
    <w:p w:rsidR="008B5218" w:rsidRDefault="008B5218" w:rsidP="008B5218">
      <w:pPr>
        <w:pStyle w:val="OrderSigInfo"/>
        <w:keepNext/>
        <w:keepLines/>
      </w:pPr>
      <w:r>
        <w:t>(850) 413</w:t>
      </w:r>
      <w:r>
        <w:noBreakHyphen/>
        <w:t>6770</w:t>
      </w:r>
    </w:p>
    <w:p w:rsidR="008B5218" w:rsidRDefault="008B5218" w:rsidP="008B5218">
      <w:pPr>
        <w:pStyle w:val="OrderSigInfo"/>
        <w:keepNext/>
        <w:keepLines/>
      </w:pPr>
      <w:r>
        <w:t>www.floridapsc.com</w:t>
      </w:r>
    </w:p>
    <w:p w:rsidR="008B5218" w:rsidRDefault="008B5218" w:rsidP="008B5218">
      <w:pPr>
        <w:pStyle w:val="OrderSigInfo"/>
        <w:keepNext/>
        <w:keepLines/>
      </w:pPr>
    </w:p>
    <w:p w:rsidR="008B5218" w:rsidRDefault="008B5218" w:rsidP="008B5218">
      <w:pPr>
        <w:pStyle w:val="OrderSigInfo"/>
        <w:keepNext/>
        <w:keepLines/>
      </w:pPr>
      <w:r>
        <w:t>Copies furnished:  A copy of this document is provided to the parties of record at the time of issuance and, if applicable, interested persons.</w:t>
      </w:r>
    </w:p>
    <w:p w:rsidR="008B5218" w:rsidRDefault="008B5218" w:rsidP="008B5218">
      <w:pPr>
        <w:pStyle w:val="OrderBody"/>
        <w:keepNext/>
        <w:keepLines/>
      </w:pPr>
    </w:p>
    <w:p w:rsidR="008B5218" w:rsidRDefault="008B5218" w:rsidP="008B5218">
      <w:pPr>
        <w:keepNext/>
        <w:keepLines/>
        <w:jc w:val="both"/>
      </w:pPr>
    </w:p>
    <w:p w:rsidR="008B5218" w:rsidRDefault="000D6DD0" w:rsidP="008B5218">
      <w:pPr>
        <w:keepNext/>
        <w:keepLines/>
        <w:jc w:val="both"/>
      </w:pPr>
      <w:r w:rsidRPr="009F71F2">
        <w:t>CWM</w:t>
      </w:r>
    </w:p>
    <w:p w:rsidR="008B5218" w:rsidRDefault="008B5218" w:rsidP="008B5218">
      <w:pPr>
        <w:jc w:val="both"/>
      </w:pPr>
    </w:p>
    <w:p w:rsidR="008B5218" w:rsidRDefault="008B5218" w:rsidP="008B5218">
      <w:pPr>
        <w:jc w:val="both"/>
      </w:pPr>
    </w:p>
    <w:p w:rsidR="00B145F3" w:rsidRDefault="00B145F3" w:rsidP="008B5218">
      <w:pPr>
        <w:jc w:val="both"/>
      </w:pPr>
    </w:p>
    <w:p w:rsidR="00B145F3" w:rsidRDefault="00B145F3">
      <w:r>
        <w:br w:type="page"/>
      </w:r>
    </w:p>
    <w:p w:rsidR="00B145F3" w:rsidRDefault="00B145F3" w:rsidP="008B5218">
      <w:pPr>
        <w:jc w:val="both"/>
      </w:pPr>
    </w:p>
    <w:p w:rsidR="008B5218" w:rsidRDefault="008B5218" w:rsidP="008B5218">
      <w:pPr>
        <w:pStyle w:val="CenterUnderline"/>
      </w:pPr>
      <w:r>
        <w:t>NOTICE OF FURTHER PROCEEDINGS OR JUDICIAL REVIEW</w:t>
      </w:r>
    </w:p>
    <w:p w:rsidR="008B5218" w:rsidRDefault="008B5218" w:rsidP="008B5218">
      <w:pPr>
        <w:pStyle w:val="CenterUnderline"/>
      </w:pPr>
    </w:p>
    <w:p w:rsidR="008B5218" w:rsidRDefault="008B5218" w:rsidP="008B5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B5218" w:rsidRDefault="008B5218" w:rsidP="008B5218">
      <w:pPr>
        <w:pStyle w:val="OrderBody"/>
      </w:pPr>
    </w:p>
    <w:p w:rsidR="008B5218" w:rsidRDefault="008B5218" w:rsidP="008B5218">
      <w:pPr>
        <w:pStyle w:val="OrderBody"/>
      </w:pPr>
      <w:r>
        <w:tab/>
        <w:t>Mediation may be available on a case-by-case basis.  If mediation is conducted, it does not affect a substantially interested person's right to a hearing.</w:t>
      </w:r>
    </w:p>
    <w:p w:rsidR="008B5218" w:rsidRDefault="008B5218" w:rsidP="008B5218">
      <w:pPr>
        <w:pStyle w:val="OrderBody"/>
      </w:pPr>
    </w:p>
    <w:p w:rsidR="008B5218" w:rsidRDefault="008B5218" w:rsidP="008B521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B5218" w:rsidRDefault="008B5218" w:rsidP="008B5218">
      <w:pPr>
        <w:pStyle w:val="OrderBody"/>
      </w:pPr>
    </w:p>
    <w:sectPr w:rsidR="008B5218">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424" w:rsidRDefault="000A7424">
      <w:r>
        <w:separator/>
      </w:r>
    </w:p>
  </w:endnote>
  <w:endnote w:type="continuationSeparator" w:id="0">
    <w:p w:rsidR="000A7424" w:rsidRDefault="000A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424" w:rsidRDefault="000A7424">
    <w:pPr>
      <w:pStyle w:val="Footer"/>
    </w:pPr>
  </w:p>
  <w:p w:rsidR="000A7424" w:rsidRDefault="000A7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424" w:rsidRDefault="000A7424">
      <w:r>
        <w:separator/>
      </w:r>
    </w:p>
  </w:footnote>
  <w:footnote w:type="continuationSeparator" w:id="0">
    <w:p w:rsidR="000A7424" w:rsidRDefault="000A7424">
      <w:r>
        <w:continuationSeparator/>
      </w:r>
    </w:p>
  </w:footnote>
  <w:footnote w:id="1">
    <w:p w:rsidR="000A7424" w:rsidRDefault="000A7424" w:rsidP="004F5674">
      <w:pPr>
        <w:pStyle w:val="Default"/>
      </w:pPr>
      <w:r>
        <w:rPr>
          <w:rStyle w:val="FootnoteReference"/>
        </w:rPr>
        <w:footnoteRef/>
      </w:r>
      <w:r>
        <w:t xml:space="preserve"> </w:t>
      </w:r>
      <w:r>
        <w:rPr>
          <w:color w:val="191919"/>
          <w:sz w:val="23"/>
          <w:szCs w:val="23"/>
        </w:rPr>
        <w:t xml:space="preserve">§ </w:t>
      </w:r>
      <w:r>
        <w:rPr>
          <w:sz w:val="23"/>
          <w:szCs w:val="23"/>
        </w:rPr>
        <w:t>366.8255, Fla. Stat. (2019).</w:t>
      </w:r>
    </w:p>
  </w:footnote>
  <w:footnote w:id="2">
    <w:p w:rsidR="000A7424" w:rsidRDefault="000A7424" w:rsidP="004F5674">
      <w:pPr>
        <w:pStyle w:val="Default"/>
      </w:pPr>
      <w:r>
        <w:rPr>
          <w:rStyle w:val="FootnoteReference"/>
        </w:rPr>
        <w:footnoteRef/>
      </w:r>
      <w:r>
        <w:t xml:space="preserve"> </w:t>
      </w:r>
      <w:r>
        <w:rPr>
          <w:i/>
          <w:iCs/>
          <w:sz w:val="23"/>
          <w:szCs w:val="23"/>
        </w:rPr>
        <w:t xml:space="preserve">See </w:t>
      </w:r>
      <w:proofErr w:type="spellStart"/>
      <w:r>
        <w:rPr>
          <w:i/>
          <w:iCs/>
          <w:sz w:val="23"/>
          <w:szCs w:val="23"/>
        </w:rPr>
        <w:t>Beshore</w:t>
      </w:r>
      <w:proofErr w:type="spellEnd"/>
      <w:r>
        <w:rPr>
          <w:i/>
          <w:iCs/>
          <w:sz w:val="23"/>
          <w:szCs w:val="23"/>
        </w:rPr>
        <w:t xml:space="preserve"> v. Dep’t of Financial </w:t>
      </w:r>
      <w:proofErr w:type="spellStart"/>
      <w:proofErr w:type="gramStart"/>
      <w:r>
        <w:rPr>
          <w:i/>
          <w:iCs/>
          <w:sz w:val="23"/>
          <w:szCs w:val="23"/>
        </w:rPr>
        <w:t>Servs</w:t>
      </w:r>
      <w:proofErr w:type="spellEnd"/>
      <w:r>
        <w:rPr>
          <w:i/>
          <w:iCs/>
          <w:sz w:val="23"/>
          <w:szCs w:val="23"/>
        </w:rPr>
        <w:t>.</w:t>
      </w:r>
      <w:r>
        <w:rPr>
          <w:sz w:val="23"/>
          <w:szCs w:val="23"/>
        </w:rPr>
        <w:t>,</w:t>
      </w:r>
      <w:proofErr w:type="gramEnd"/>
      <w:r>
        <w:rPr>
          <w:sz w:val="23"/>
          <w:szCs w:val="23"/>
        </w:rPr>
        <w:t xml:space="preserve"> 928 So. </w:t>
      </w:r>
      <w:proofErr w:type="gramStart"/>
      <w:r>
        <w:rPr>
          <w:sz w:val="23"/>
          <w:szCs w:val="23"/>
        </w:rPr>
        <w:t xml:space="preserve">2d 411 (1st DCA 2006); </w:t>
      </w:r>
      <w:proofErr w:type="spellStart"/>
      <w:r>
        <w:rPr>
          <w:i/>
          <w:iCs/>
          <w:sz w:val="23"/>
          <w:szCs w:val="23"/>
        </w:rPr>
        <w:t>Ameristeel</w:t>
      </w:r>
      <w:proofErr w:type="spellEnd"/>
      <w:r>
        <w:rPr>
          <w:i/>
          <w:iCs/>
          <w:sz w:val="23"/>
          <w:szCs w:val="23"/>
        </w:rPr>
        <w:t xml:space="preserve"> Corp. v. Clark</w:t>
      </w:r>
      <w:r>
        <w:rPr>
          <w:sz w:val="23"/>
          <w:szCs w:val="23"/>
        </w:rPr>
        <w:t xml:space="preserve">, </w:t>
      </w:r>
      <w:r>
        <w:rPr>
          <w:color w:val="1E1E1E"/>
          <w:sz w:val="23"/>
          <w:szCs w:val="23"/>
        </w:rPr>
        <w:t>691 So.2d 473, 477 (Fla. 1997).</w:t>
      </w:r>
      <w:proofErr w:type="gramEnd"/>
    </w:p>
  </w:footnote>
  <w:footnote w:id="3">
    <w:p w:rsidR="000A7424" w:rsidRDefault="000A7424">
      <w:pPr>
        <w:pStyle w:val="FootnoteText"/>
      </w:pPr>
      <w:r>
        <w:rPr>
          <w:rStyle w:val="FootnoteReference"/>
        </w:rPr>
        <w:footnoteRef/>
      </w:r>
      <w:r>
        <w:t xml:space="preserve"> </w:t>
      </w:r>
      <w:proofErr w:type="gramStart"/>
      <w:r>
        <w:rPr>
          <w:i/>
          <w:iCs/>
          <w:sz w:val="23"/>
          <w:szCs w:val="23"/>
        </w:rPr>
        <w:t>Gulf Power Co. v. Fla. Pub.</w:t>
      </w:r>
      <w:proofErr w:type="gramEnd"/>
      <w:r>
        <w:rPr>
          <w:i/>
          <w:iCs/>
          <w:sz w:val="23"/>
          <w:szCs w:val="23"/>
        </w:rPr>
        <w:t xml:space="preserve"> Serv. </w:t>
      </w:r>
      <w:proofErr w:type="spellStart"/>
      <w:r>
        <w:rPr>
          <w:i/>
          <w:iCs/>
          <w:sz w:val="23"/>
          <w:szCs w:val="23"/>
        </w:rPr>
        <w:t>Comm’n</w:t>
      </w:r>
      <w:proofErr w:type="spellEnd"/>
      <w:r>
        <w:rPr>
          <w:sz w:val="23"/>
          <w:szCs w:val="23"/>
        </w:rPr>
        <w:t xml:space="preserve">, </w:t>
      </w:r>
      <w:proofErr w:type="gramStart"/>
      <w:r>
        <w:rPr>
          <w:sz w:val="23"/>
          <w:szCs w:val="23"/>
        </w:rPr>
        <w:t>453 So.2d 799, 804–805 (Fla. 1984)</w:t>
      </w:r>
      <w:proofErr w:type="gramEnd"/>
      <w:r>
        <w:rPr>
          <w:sz w:val="23"/>
          <w:szCs w:val="23"/>
        </w:rPr>
        <w:t>.</w:t>
      </w:r>
    </w:p>
  </w:footnote>
  <w:footnote w:id="4">
    <w:p w:rsidR="000A7424" w:rsidRDefault="000A7424">
      <w:pPr>
        <w:pStyle w:val="FootnoteText"/>
      </w:pPr>
      <w:r>
        <w:rPr>
          <w:rStyle w:val="FootnoteReference"/>
        </w:rPr>
        <w:footnoteRef/>
      </w:r>
      <w:r>
        <w:t xml:space="preserve"> </w:t>
      </w:r>
      <w:proofErr w:type="gramStart"/>
      <w:r>
        <w:rPr>
          <w:sz w:val="23"/>
          <w:szCs w:val="23"/>
        </w:rPr>
        <w:t>40 C.F.R. § 257.103.</w:t>
      </w:r>
      <w:proofErr w:type="gramEnd"/>
    </w:p>
  </w:footnote>
  <w:footnote w:id="5">
    <w:p w:rsidR="000A7424" w:rsidRDefault="000A7424">
      <w:pPr>
        <w:pStyle w:val="FootnoteText"/>
      </w:pPr>
      <w:r>
        <w:rPr>
          <w:rStyle w:val="FootnoteReference"/>
        </w:rPr>
        <w:footnoteRef/>
      </w:r>
      <w:r>
        <w:t xml:space="preserve"> </w:t>
      </w:r>
      <w:r>
        <w:rPr>
          <w:sz w:val="23"/>
          <w:szCs w:val="23"/>
        </w:rPr>
        <w:t>Gulf Power Company’s Response to Citizens’ First Request for Production of Documents (Nos. 1-4) and Citizens’ First Set of Interrogatories (Nos. 1-4) at 4, No. 20190007-EI (Sept. 10, 2019).</w:t>
      </w:r>
    </w:p>
  </w:footnote>
  <w:footnote w:id="6">
    <w:p w:rsidR="000A7424" w:rsidRDefault="000A7424">
      <w:pPr>
        <w:pStyle w:val="FootnoteText"/>
      </w:pPr>
      <w:r>
        <w:rPr>
          <w:rStyle w:val="FootnoteReference"/>
        </w:rPr>
        <w:footnoteRef/>
      </w:r>
      <w:r>
        <w:t xml:space="preserve"> </w:t>
      </w:r>
      <w:r>
        <w:rPr>
          <w:sz w:val="23"/>
          <w:szCs w:val="23"/>
        </w:rPr>
        <w:t xml:space="preserve">MPC response to MPUS 1-9 </w:t>
      </w:r>
      <w:proofErr w:type="spellStart"/>
      <w:r>
        <w:rPr>
          <w:sz w:val="23"/>
          <w:szCs w:val="23"/>
        </w:rPr>
        <w:t>Supp</w:t>
      </w:r>
      <w:proofErr w:type="spellEnd"/>
      <w:r>
        <w:rPr>
          <w:sz w:val="23"/>
          <w:szCs w:val="23"/>
        </w:rPr>
        <w:t>, MPSC Docket No. 2019-UA-116.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424" w:rsidRDefault="000A7424">
    <w:pPr>
      <w:pStyle w:val="OrderHeader"/>
    </w:pPr>
    <w:r>
      <w:t xml:space="preserve">ORDER NO. </w:t>
    </w:r>
    <w:fldSimple w:instr=" REF OrderNo0462 ">
      <w:r w:rsidR="00CF5AAA">
        <w:t>PSC-2019-0462-PHO-EI</w:t>
      </w:r>
    </w:fldSimple>
  </w:p>
  <w:p w:rsidR="000A7424" w:rsidRDefault="000A7424">
    <w:pPr>
      <w:pStyle w:val="OrderHeader"/>
    </w:pPr>
    <w:bookmarkStart w:id="6" w:name="HeaderDocketNo"/>
    <w:bookmarkEnd w:id="6"/>
    <w:r>
      <w:t>DOCKET NO. 20190007-EI</w:t>
    </w:r>
  </w:p>
  <w:p w:rsidR="000A7424" w:rsidRDefault="000A742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5AAA">
      <w:rPr>
        <w:rStyle w:val="PageNumber"/>
        <w:noProof/>
      </w:rPr>
      <w:t>22</w:t>
    </w:r>
    <w:r>
      <w:rPr>
        <w:rStyle w:val="PageNumber"/>
      </w:rPr>
      <w:fldChar w:fldCharType="end"/>
    </w:r>
  </w:p>
  <w:p w:rsidR="000A7424" w:rsidRDefault="000A7424">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3B7D5FE0"/>
    <w:multiLevelType w:val="hybridMultilevel"/>
    <w:tmpl w:val="0414B44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6773DD"/>
    <w:multiLevelType w:val="hybridMultilevel"/>
    <w:tmpl w:val="15BC30D2"/>
    <w:lvl w:ilvl="0" w:tplc="C1EC26E0">
      <w:start w:val="1"/>
      <w:numFmt w:val="bullet"/>
      <w:lvlText w:val=""/>
      <w:lvlJc w:val="left"/>
      <w:pPr>
        <w:tabs>
          <w:tab w:val="num" w:pos="1440"/>
        </w:tabs>
        <w:ind w:left="1440" w:hanging="360"/>
      </w:pPr>
      <w:rPr>
        <w:rFonts w:ascii="Symbol" w:hAnsi="Symbol" w:hint="default"/>
      </w:rPr>
    </w:lvl>
    <w:lvl w:ilvl="1" w:tplc="C1EC26E0">
      <w:start w:val="1"/>
      <w:numFmt w:val="bullet"/>
      <w:lvlText w:val=""/>
      <w:lvlJc w:val="left"/>
      <w:pPr>
        <w:tabs>
          <w:tab w:val="num" w:pos="2016"/>
        </w:tabs>
        <w:ind w:left="2016" w:hanging="216"/>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4-GU"/>
  </w:docVars>
  <w:rsids>
    <w:rsidRoot w:val="006E1552"/>
    <w:rsid w:val="000022B8"/>
    <w:rsid w:val="0003433F"/>
    <w:rsid w:val="00035A8C"/>
    <w:rsid w:val="00053AB9"/>
    <w:rsid w:val="00056229"/>
    <w:rsid w:val="00057AF1"/>
    <w:rsid w:val="00065FC2"/>
    <w:rsid w:val="00067685"/>
    <w:rsid w:val="0007567A"/>
    <w:rsid w:val="00076E6B"/>
    <w:rsid w:val="00080491"/>
    <w:rsid w:val="0008247D"/>
    <w:rsid w:val="00090AFC"/>
    <w:rsid w:val="00093F26"/>
    <w:rsid w:val="000A7424"/>
    <w:rsid w:val="000B783E"/>
    <w:rsid w:val="000D02B8"/>
    <w:rsid w:val="000D06E8"/>
    <w:rsid w:val="000D6DD0"/>
    <w:rsid w:val="000E050C"/>
    <w:rsid w:val="000E20F0"/>
    <w:rsid w:val="000E344D"/>
    <w:rsid w:val="000E3F6D"/>
    <w:rsid w:val="000F3024"/>
    <w:rsid w:val="000F306D"/>
    <w:rsid w:val="000F359F"/>
    <w:rsid w:val="000F3B2C"/>
    <w:rsid w:val="000F63EB"/>
    <w:rsid w:val="000F648A"/>
    <w:rsid w:val="000F7BE3"/>
    <w:rsid w:val="001052BA"/>
    <w:rsid w:val="001107B3"/>
    <w:rsid w:val="001114B1"/>
    <w:rsid w:val="00111502"/>
    <w:rsid w:val="001139D8"/>
    <w:rsid w:val="00116AD3"/>
    <w:rsid w:val="00121957"/>
    <w:rsid w:val="0012387E"/>
    <w:rsid w:val="00126593"/>
    <w:rsid w:val="00134C31"/>
    <w:rsid w:val="00142A96"/>
    <w:rsid w:val="001513DE"/>
    <w:rsid w:val="00154A71"/>
    <w:rsid w:val="001606CC"/>
    <w:rsid w:val="00187E32"/>
    <w:rsid w:val="00194E81"/>
    <w:rsid w:val="001A15E7"/>
    <w:rsid w:val="001A33C9"/>
    <w:rsid w:val="001A34ED"/>
    <w:rsid w:val="001A58F3"/>
    <w:rsid w:val="001C2847"/>
    <w:rsid w:val="001C3F8C"/>
    <w:rsid w:val="001C6097"/>
    <w:rsid w:val="001C6958"/>
    <w:rsid w:val="001D008A"/>
    <w:rsid w:val="001E0152"/>
    <w:rsid w:val="001E0FF5"/>
    <w:rsid w:val="002002ED"/>
    <w:rsid w:val="002170E5"/>
    <w:rsid w:val="00220D57"/>
    <w:rsid w:val="0022721A"/>
    <w:rsid w:val="00230BB9"/>
    <w:rsid w:val="00232DE0"/>
    <w:rsid w:val="00241CEF"/>
    <w:rsid w:val="0025124E"/>
    <w:rsid w:val="00252B30"/>
    <w:rsid w:val="002613E4"/>
    <w:rsid w:val="0026544B"/>
    <w:rsid w:val="00276CDC"/>
    <w:rsid w:val="00277655"/>
    <w:rsid w:val="002824B7"/>
    <w:rsid w:val="00282AC4"/>
    <w:rsid w:val="00297144"/>
    <w:rsid w:val="002A11AC"/>
    <w:rsid w:val="002A6641"/>
    <w:rsid w:val="002A6F30"/>
    <w:rsid w:val="002B3111"/>
    <w:rsid w:val="002C7908"/>
    <w:rsid w:val="002D391B"/>
    <w:rsid w:val="002D4B1F"/>
    <w:rsid w:val="002D7D15"/>
    <w:rsid w:val="002E1B2E"/>
    <w:rsid w:val="002E27EB"/>
    <w:rsid w:val="002F2A9D"/>
    <w:rsid w:val="002F31C2"/>
    <w:rsid w:val="00303FDE"/>
    <w:rsid w:val="0031266A"/>
    <w:rsid w:val="003140E8"/>
    <w:rsid w:val="003231C7"/>
    <w:rsid w:val="0032368E"/>
    <w:rsid w:val="00323839"/>
    <w:rsid w:val="003270C4"/>
    <w:rsid w:val="00331ED0"/>
    <w:rsid w:val="00332B0A"/>
    <w:rsid w:val="00333A41"/>
    <w:rsid w:val="00345434"/>
    <w:rsid w:val="0035495B"/>
    <w:rsid w:val="00355A93"/>
    <w:rsid w:val="00361522"/>
    <w:rsid w:val="0037196E"/>
    <w:rsid w:val="003744F5"/>
    <w:rsid w:val="00385717"/>
    <w:rsid w:val="00387BDE"/>
    <w:rsid w:val="00390DD8"/>
    <w:rsid w:val="00394DC6"/>
    <w:rsid w:val="00397C3E"/>
    <w:rsid w:val="003B1A09"/>
    <w:rsid w:val="003D3B80"/>
    <w:rsid w:val="003D4CCA"/>
    <w:rsid w:val="003D52A6"/>
    <w:rsid w:val="003D6416"/>
    <w:rsid w:val="003E1D48"/>
    <w:rsid w:val="003F1D2B"/>
    <w:rsid w:val="00411DF2"/>
    <w:rsid w:val="00411E8F"/>
    <w:rsid w:val="00414AC5"/>
    <w:rsid w:val="0042527B"/>
    <w:rsid w:val="0045537F"/>
    <w:rsid w:val="00457DC7"/>
    <w:rsid w:val="00472BCC"/>
    <w:rsid w:val="00477123"/>
    <w:rsid w:val="00480711"/>
    <w:rsid w:val="00483AE9"/>
    <w:rsid w:val="00493E1B"/>
    <w:rsid w:val="004A25CD"/>
    <w:rsid w:val="004A26CC"/>
    <w:rsid w:val="004B2108"/>
    <w:rsid w:val="004B3A2B"/>
    <w:rsid w:val="004B70D3"/>
    <w:rsid w:val="004C312D"/>
    <w:rsid w:val="004D2D1B"/>
    <w:rsid w:val="004D5067"/>
    <w:rsid w:val="004D6838"/>
    <w:rsid w:val="004D72BC"/>
    <w:rsid w:val="004E469D"/>
    <w:rsid w:val="004E7F4F"/>
    <w:rsid w:val="004F2DDE"/>
    <w:rsid w:val="004F5674"/>
    <w:rsid w:val="004F7826"/>
    <w:rsid w:val="0050097F"/>
    <w:rsid w:val="00514B1F"/>
    <w:rsid w:val="00524A2D"/>
    <w:rsid w:val="00525E93"/>
    <w:rsid w:val="0052671D"/>
    <w:rsid w:val="005300C0"/>
    <w:rsid w:val="0055595D"/>
    <w:rsid w:val="00556A10"/>
    <w:rsid w:val="00557F50"/>
    <w:rsid w:val="00571D3D"/>
    <w:rsid w:val="0058264B"/>
    <w:rsid w:val="005868AA"/>
    <w:rsid w:val="00590845"/>
    <w:rsid w:val="00592DB2"/>
    <w:rsid w:val="005963C2"/>
    <w:rsid w:val="005A0D69"/>
    <w:rsid w:val="005A31F4"/>
    <w:rsid w:val="005A73EA"/>
    <w:rsid w:val="005B2609"/>
    <w:rsid w:val="005B45F7"/>
    <w:rsid w:val="005B63EA"/>
    <w:rsid w:val="005B7BEC"/>
    <w:rsid w:val="005C1A88"/>
    <w:rsid w:val="005C5033"/>
    <w:rsid w:val="005E751B"/>
    <w:rsid w:val="005F3354"/>
    <w:rsid w:val="0060005E"/>
    <w:rsid w:val="0060095B"/>
    <w:rsid w:val="00601266"/>
    <w:rsid w:val="00610E73"/>
    <w:rsid w:val="00611251"/>
    <w:rsid w:val="00616AA3"/>
    <w:rsid w:val="00616DF2"/>
    <w:rsid w:val="0063168D"/>
    <w:rsid w:val="006531A4"/>
    <w:rsid w:val="00660774"/>
    <w:rsid w:val="0066389A"/>
    <w:rsid w:val="0066495C"/>
    <w:rsid w:val="00665CC7"/>
    <w:rsid w:val="00672612"/>
    <w:rsid w:val="00677F18"/>
    <w:rsid w:val="00693483"/>
    <w:rsid w:val="006A0BF3"/>
    <w:rsid w:val="006A2AFA"/>
    <w:rsid w:val="006B0DA6"/>
    <w:rsid w:val="006B3959"/>
    <w:rsid w:val="006C547E"/>
    <w:rsid w:val="006C6230"/>
    <w:rsid w:val="006D2B51"/>
    <w:rsid w:val="006D5575"/>
    <w:rsid w:val="006E1552"/>
    <w:rsid w:val="006E42BE"/>
    <w:rsid w:val="006E6CF4"/>
    <w:rsid w:val="0070088C"/>
    <w:rsid w:val="00704C5D"/>
    <w:rsid w:val="007072BC"/>
    <w:rsid w:val="00715275"/>
    <w:rsid w:val="00721B44"/>
    <w:rsid w:val="007232A2"/>
    <w:rsid w:val="00726366"/>
    <w:rsid w:val="0073195C"/>
    <w:rsid w:val="00733B6B"/>
    <w:rsid w:val="00735E9F"/>
    <w:rsid w:val="00737E01"/>
    <w:rsid w:val="00740808"/>
    <w:rsid w:val="007467C4"/>
    <w:rsid w:val="0076170F"/>
    <w:rsid w:val="00763558"/>
    <w:rsid w:val="0076669C"/>
    <w:rsid w:val="00766E46"/>
    <w:rsid w:val="0077295E"/>
    <w:rsid w:val="00777727"/>
    <w:rsid w:val="00780D43"/>
    <w:rsid w:val="00782B79"/>
    <w:rsid w:val="007865E9"/>
    <w:rsid w:val="00792383"/>
    <w:rsid w:val="00794D5A"/>
    <w:rsid w:val="00794DD9"/>
    <w:rsid w:val="007A060F"/>
    <w:rsid w:val="007B350E"/>
    <w:rsid w:val="007C0FBC"/>
    <w:rsid w:val="007C36E3"/>
    <w:rsid w:val="007C7134"/>
    <w:rsid w:val="007D25E4"/>
    <w:rsid w:val="007D3D20"/>
    <w:rsid w:val="007D5D23"/>
    <w:rsid w:val="007D742E"/>
    <w:rsid w:val="007E3AFD"/>
    <w:rsid w:val="00801DAD"/>
    <w:rsid w:val="00803189"/>
    <w:rsid w:val="00804649"/>
    <w:rsid w:val="00804E7A"/>
    <w:rsid w:val="00805FBB"/>
    <w:rsid w:val="008169A4"/>
    <w:rsid w:val="00822C41"/>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5218"/>
    <w:rsid w:val="008C21C8"/>
    <w:rsid w:val="008C6375"/>
    <w:rsid w:val="008C6A5B"/>
    <w:rsid w:val="008E26A5"/>
    <w:rsid w:val="008E42D2"/>
    <w:rsid w:val="008E6328"/>
    <w:rsid w:val="00900B9B"/>
    <w:rsid w:val="009040EE"/>
    <w:rsid w:val="009057FD"/>
    <w:rsid w:val="00906FBA"/>
    <w:rsid w:val="009163E8"/>
    <w:rsid w:val="009228C7"/>
    <w:rsid w:val="00922A7F"/>
    <w:rsid w:val="00923A5E"/>
    <w:rsid w:val="00924FE7"/>
    <w:rsid w:val="00926E27"/>
    <w:rsid w:val="00931C8C"/>
    <w:rsid w:val="0094504B"/>
    <w:rsid w:val="00953823"/>
    <w:rsid w:val="00964A38"/>
    <w:rsid w:val="00966708"/>
    <w:rsid w:val="00966A9D"/>
    <w:rsid w:val="0096742B"/>
    <w:rsid w:val="009718C5"/>
    <w:rsid w:val="0097710F"/>
    <w:rsid w:val="009924CF"/>
    <w:rsid w:val="00994100"/>
    <w:rsid w:val="009A0670"/>
    <w:rsid w:val="009A6B17"/>
    <w:rsid w:val="009D4C29"/>
    <w:rsid w:val="009E4136"/>
    <w:rsid w:val="009F6AD2"/>
    <w:rsid w:val="009F71F2"/>
    <w:rsid w:val="00A00D8D"/>
    <w:rsid w:val="00A01BB6"/>
    <w:rsid w:val="00A07CEF"/>
    <w:rsid w:val="00A4303C"/>
    <w:rsid w:val="00A470FD"/>
    <w:rsid w:val="00A62DAB"/>
    <w:rsid w:val="00A6757A"/>
    <w:rsid w:val="00A726A6"/>
    <w:rsid w:val="00A73CAF"/>
    <w:rsid w:val="00A74842"/>
    <w:rsid w:val="00A90A5E"/>
    <w:rsid w:val="00A97535"/>
    <w:rsid w:val="00AA2BAA"/>
    <w:rsid w:val="00AA73F1"/>
    <w:rsid w:val="00AB0E1A"/>
    <w:rsid w:val="00AB1A30"/>
    <w:rsid w:val="00AB3C36"/>
    <w:rsid w:val="00AD10EB"/>
    <w:rsid w:val="00AD1ED3"/>
    <w:rsid w:val="00AE5733"/>
    <w:rsid w:val="00B02001"/>
    <w:rsid w:val="00B03C50"/>
    <w:rsid w:val="00B0777D"/>
    <w:rsid w:val="00B11576"/>
    <w:rsid w:val="00B1195F"/>
    <w:rsid w:val="00B145F3"/>
    <w:rsid w:val="00B14D10"/>
    <w:rsid w:val="00B209C7"/>
    <w:rsid w:val="00B20E2F"/>
    <w:rsid w:val="00B3644F"/>
    <w:rsid w:val="00B37A5B"/>
    <w:rsid w:val="00B4057A"/>
    <w:rsid w:val="00B40894"/>
    <w:rsid w:val="00B41039"/>
    <w:rsid w:val="00B444AE"/>
    <w:rsid w:val="00B45E75"/>
    <w:rsid w:val="00B50876"/>
    <w:rsid w:val="00B51074"/>
    <w:rsid w:val="00B54DAA"/>
    <w:rsid w:val="00B55AB0"/>
    <w:rsid w:val="00B55EE5"/>
    <w:rsid w:val="00B65DE8"/>
    <w:rsid w:val="00B71D1F"/>
    <w:rsid w:val="00B739AF"/>
    <w:rsid w:val="00B73DE6"/>
    <w:rsid w:val="00B761CD"/>
    <w:rsid w:val="00B8196F"/>
    <w:rsid w:val="00B86EF0"/>
    <w:rsid w:val="00B92C2D"/>
    <w:rsid w:val="00B96431"/>
    <w:rsid w:val="00B96969"/>
    <w:rsid w:val="00B97900"/>
    <w:rsid w:val="00BA1229"/>
    <w:rsid w:val="00BA44A8"/>
    <w:rsid w:val="00BC786E"/>
    <w:rsid w:val="00BD5C92"/>
    <w:rsid w:val="00BE50E6"/>
    <w:rsid w:val="00BE7D8A"/>
    <w:rsid w:val="00BF6691"/>
    <w:rsid w:val="00C028FC"/>
    <w:rsid w:val="00C037F2"/>
    <w:rsid w:val="00C0386D"/>
    <w:rsid w:val="00C065A1"/>
    <w:rsid w:val="00C10ED5"/>
    <w:rsid w:val="00C151A6"/>
    <w:rsid w:val="00C17FEF"/>
    <w:rsid w:val="00C24098"/>
    <w:rsid w:val="00C30A4E"/>
    <w:rsid w:val="00C411F3"/>
    <w:rsid w:val="00C44105"/>
    <w:rsid w:val="00C55A33"/>
    <w:rsid w:val="00C66692"/>
    <w:rsid w:val="00C673B5"/>
    <w:rsid w:val="00C7063D"/>
    <w:rsid w:val="00C830BC"/>
    <w:rsid w:val="00C8524D"/>
    <w:rsid w:val="00C91123"/>
    <w:rsid w:val="00C9603A"/>
    <w:rsid w:val="00CA71FF"/>
    <w:rsid w:val="00CB5276"/>
    <w:rsid w:val="00CB5BFC"/>
    <w:rsid w:val="00CB68D7"/>
    <w:rsid w:val="00CC7E68"/>
    <w:rsid w:val="00CD2865"/>
    <w:rsid w:val="00CD38E4"/>
    <w:rsid w:val="00CD7132"/>
    <w:rsid w:val="00CE0E6F"/>
    <w:rsid w:val="00CE283D"/>
    <w:rsid w:val="00CE3B21"/>
    <w:rsid w:val="00CE56FC"/>
    <w:rsid w:val="00CF4CFE"/>
    <w:rsid w:val="00CF5AAA"/>
    <w:rsid w:val="00D013C9"/>
    <w:rsid w:val="00D02E0F"/>
    <w:rsid w:val="00D03EE8"/>
    <w:rsid w:val="00D13535"/>
    <w:rsid w:val="00D15497"/>
    <w:rsid w:val="00D17A5D"/>
    <w:rsid w:val="00D17B79"/>
    <w:rsid w:val="00D23FEA"/>
    <w:rsid w:val="00D269CA"/>
    <w:rsid w:val="00D30B48"/>
    <w:rsid w:val="00D3168A"/>
    <w:rsid w:val="00D351D9"/>
    <w:rsid w:val="00D4507F"/>
    <w:rsid w:val="00D46FAA"/>
    <w:rsid w:val="00D47A40"/>
    <w:rsid w:val="00D51D33"/>
    <w:rsid w:val="00D57BB2"/>
    <w:rsid w:val="00D57E57"/>
    <w:rsid w:val="00D70752"/>
    <w:rsid w:val="00D8078E"/>
    <w:rsid w:val="00D80E2D"/>
    <w:rsid w:val="00D84D5E"/>
    <w:rsid w:val="00D8560E"/>
    <w:rsid w:val="00D8758F"/>
    <w:rsid w:val="00D878F5"/>
    <w:rsid w:val="00D938C2"/>
    <w:rsid w:val="00DA4EDD"/>
    <w:rsid w:val="00DA6B78"/>
    <w:rsid w:val="00DC1D94"/>
    <w:rsid w:val="00DC42CF"/>
    <w:rsid w:val="00DD38ED"/>
    <w:rsid w:val="00DE057F"/>
    <w:rsid w:val="00DE2082"/>
    <w:rsid w:val="00DE2289"/>
    <w:rsid w:val="00DF09A7"/>
    <w:rsid w:val="00E001D6"/>
    <w:rsid w:val="00E03A76"/>
    <w:rsid w:val="00E04410"/>
    <w:rsid w:val="00E07484"/>
    <w:rsid w:val="00E11351"/>
    <w:rsid w:val="00E21996"/>
    <w:rsid w:val="00E34217"/>
    <w:rsid w:val="00E40BFA"/>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0832"/>
    <w:rsid w:val="00F038B0"/>
    <w:rsid w:val="00F0682F"/>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63DD"/>
    <w:rsid w:val="00FB74EA"/>
    <w:rsid w:val="00FD177D"/>
    <w:rsid w:val="00FD2C9E"/>
    <w:rsid w:val="00FD3144"/>
    <w:rsid w:val="00FD4786"/>
    <w:rsid w:val="00FD616C"/>
    <w:rsid w:val="00FE53F2"/>
    <w:rsid w:val="00FF0A00"/>
    <w:rsid w:val="00FF1C57"/>
    <w:rsid w:val="00FF2581"/>
    <w:rsid w:val="00FF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E1552"/>
    <w:pPr>
      <w:autoSpaceDE w:val="0"/>
      <w:autoSpaceDN w:val="0"/>
      <w:adjustRightInd w:val="0"/>
      <w:ind w:left="1440"/>
    </w:pPr>
    <w:rPr>
      <w:sz w:val="24"/>
      <w:szCs w:val="24"/>
    </w:rPr>
  </w:style>
  <w:style w:type="paragraph" w:customStyle="1" w:styleId="PositionBody">
    <w:name w:val="Position Body"/>
    <w:basedOn w:val="Normal"/>
    <w:rsid w:val="00493E1B"/>
    <w:pPr>
      <w:spacing w:after="240"/>
      <w:ind w:left="1440"/>
      <w:jc w:val="both"/>
    </w:pPr>
    <w:rPr>
      <w:szCs w:val="20"/>
    </w:rPr>
  </w:style>
  <w:style w:type="paragraph" w:styleId="NoSpacing">
    <w:name w:val="No Spacing"/>
    <w:uiPriority w:val="1"/>
    <w:qFormat/>
    <w:rsid w:val="00E21996"/>
    <w:rPr>
      <w:rFonts w:asciiTheme="minorHAnsi" w:eastAsiaTheme="minorHAnsi" w:hAnsiTheme="minorHAnsi" w:cstheme="minorBidi"/>
      <w:sz w:val="22"/>
      <w:szCs w:val="22"/>
    </w:rPr>
  </w:style>
  <w:style w:type="paragraph" w:styleId="BodyTextIndent">
    <w:name w:val="Body Text Indent"/>
    <w:basedOn w:val="Normal"/>
    <w:link w:val="BodyTextIndentChar"/>
    <w:rsid w:val="00483AE9"/>
    <w:pPr>
      <w:spacing w:after="120"/>
      <w:ind w:left="360"/>
    </w:pPr>
  </w:style>
  <w:style w:type="character" w:customStyle="1" w:styleId="BodyTextIndentChar">
    <w:name w:val="Body Text Indent Char"/>
    <w:basedOn w:val="DefaultParagraphFont"/>
    <w:link w:val="BodyTextIndent"/>
    <w:rsid w:val="00483AE9"/>
    <w:rPr>
      <w:sz w:val="24"/>
      <w:szCs w:val="24"/>
    </w:rPr>
  </w:style>
  <w:style w:type="paragraph" w:customStyle="1" w:styleId="Default">
    <w:name w:val="Default"/>
    <w:rsid w:val="00232DE0"/>
    <w:pPr>
      <w:autoSpaceDE w:val="0"/>
      <w:autoSpaceDN w:val="0"/>
      <w:adjustRightInd w:val="0"/>
    </w:pPr>
    <w:rPr>
      <w:color w:val="000000"/>
      <w:sz w:val="24"/>
      <w:szCs w:val="24"/>
    </w:rPr>
  </w:style>
  <w:style w:type="paragraph" w:styleId="BalloonText">
    <w:name w:val="Balloon Text"/>
    <w:basedOn w:val="Normal"/>
    <w:link w:val="BalloonTextChar"/>
    <w:rsid w:val="00FD3144"/>
    <w:rPr>
      <w:rFonts w:ascii="Tahoma" w:hAnsi="Tahoma" w:cs="Tahoma"/>
      <w:sz w:val="16"/>
      <w:szCs w:val="16"/>
    </w:rPr>
  </w:style>
  <w:style w:type="character" w:customStyle="1" w:styleId="BalloonTextChar">
    <w:name w:val="Balloon Text Char"/>
    <w:basedOn w:val="DefaultParagraphFont"/>
    <w:link w:val="BalloonText"/>
    <w:rsid w:val="00FD3144"/>
    <w:rPr>
      <w:rFonts w:ascii="Tahoma" w:hAnsi="Tahoma" w:cs="Tahoma"/>
      <w:sz w:val="16"/>
      <w:szCs w:val="16"/>
    </w:rPr>
  </w:style>
  <w:style w:type="paragraph" w:styleId="ListParagraph">
    <w:name w:val="List Paragraph"/>
    <w:basedOn w:val="Normal"/>
    <w:uiPriority w:val="34"/>
    <w:qFormat/>
    <w:rsid w:val="00093F26"/>
    <w:pPr>
      <w:ind w:left="720"/>
      <w:contextualSpacing/>
    </w:pPr>
  </w:style>
  <w:style w:type="paragraph" w:customStyle="1" w:styleId="PleadingSig">
    <w:name w:val="Pleading Sig"/>
    <w:basedOn w:val="Normal"/>
    <w:next w:val="Normal"/>
    <w:rsid w:val="00966708"/>
    <w:pPr>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E1552"/>
    <w:pPr>
      <w:autoSpaceDE w:val="0"/>
      <w:autoSpaceDN w:val="0"/>
      <w:adjustRightInd w:val="0"/>
      <w:ind w:left="1440"/>
    </w:pPr>
    <w:rPr>
      <w:sz w:val="24"/>
      <w:szCs w:val="24"/>
    </w:rPr>
  </w:style>
  <w:style w:type="paragraph" w:customStyle="1" w:styleId="PositionBody">
    <w:name w:val="Position Body"/>
    <w:basedOn w:val="Normal"/>
    <w:rsid w:val="00493E1B"/>
    <w:pPr>
      <w:spacing w:after="240"/>
      <w:ind w:left="1440"/>
      <w:jc w:val="both"/>
    </w:pPr>
    <w:rPr>
      <w:szCs w:val="20"/>
    </w:rPr>
  </w:style>
  <w:style w:type="paragraph" w:styleId="NoSpacing">
    <w:name w:val="No Spacing"/>
    <w:uiPriority w:val="1"/>
    <w:qFormat/>
    <w:rsid w:val="00E21996"/>
    <w:rPr>
      <w:rFonts w:asciiTheme="minorHAnsi" w:eastAsiaTheme="minorHAnsi" w:hAnsiTheme="minorHAnsi" w:cstheme="minorBidi"/>
      <w:sz w:val="22"/>
      <w:szCs w:val="22"/>
    </w:rPr>
  </w:style>
  <w:style w:type="paragraph" w:styleId="BodyTextIndent">
    <w:name w:val="Body Text Indent"/>
    <w:basedOn w:val="Normal"/>
    <w:link w:val="BodyTextIndentChar"/>
    <w:rsid w:val="00483AE9"/>
    <w:pPr>
      <w:spacing w:after="120"/>
      <w:ind w:left="360"/>
    </w:pPr>
  </w:style>
  <w:style w:type="character" w:customStyle="1" w:styleId="BodyTextIndentChar">
    <w:name w:val="Body Text Indent Char"/>
    <w:basedOn w:val="DefaultParagraphFont"/>
    <w:link w:val="BodyTextIndent"/>
    <w:rsid w:val="00483AE9"/>
    <w:rPr>
      <w:sz w:val="24"/>
      <w:szCs w:val="24"/>
    </w:rPr>
  </w:style>
  <w:style w:type="paragraph" w:customStyle="1" w:styleId="Default">
    <w:name w:val="Default"/>
    <w:rsid w:val="00232DE0"/>
    <w:pPr>
      <w:autoSpaceDE w:val="0"/>
      <w:autoSpaceDN w:val="0"/>
      <w:adjustRightInd w:val="0"/>
    </w:pPr>
    <w:rPr>
      <w:color w:val="000000"/>
      <w:sz w:val="24"/>
      <w:szCs w:val="24"/>
    </w:rPr>
  </w:style>
  <w:style w:type="paragraph" w:styleId="BalloonText">
    <w:name w:val="Balloon Text"/>
    <w:basedOn w:val="Normal"/>
    <w:link w:val="BalloonTextChar"/>
    <w:rsid w:val="00FD3144"/>
    <w:rPr>
      <w:rFonts w:ascii="Tahoma" w:hAnsi="Tahoma" w:cs="Tahoma"/>
      <w:sz w:val="16"/>
      <w:szCs w:val="16"/>
    </w:rPr>
  </w:style>
  <w:style w:type="character" w:customStyle="1" w:styleId="BalloonTextChar">
    <w:name w:val="Balloon Text Char"/>
    <w:basedOn w:val="DefaultParagraphFont"/>
    <w:link w:val="BalloonText"/>
    <w:rsid w:val="00FD3144"/>
    <w:rPr>
      <w:rFonts w:ascii="Tahoma" w:hAnsi="Tahoma" w:cs="Tahoma"/>
      <w:sz w:val="16"/>
      <w:szCs w:val="16"/>
    </w:rPr>
  </w:style>
  <w:style w:type="paragraph" w:styleId="ListParagraph">
    <w:name w:val="List Paragraph"/>
    <w:basedOn w:val="Normal"/>
    <w:uiPriority w:val="34"/>
    <w:qFormat/>
    <w:rsid w:val="00093F26"/>
    <w:pPr>
      <w:ind w:left="720"/>
      <w:contextualSpacing/>
    </w:pPr>
  </w:style>
  <w:style w:type="paragraph" w:customStyle="1" w:styleId="PleadingSig">
    <w:name w:val="Pleading Sig"/>
    <w:basedOn w:val="Normal"/>
    <w:next w:val="Normal"/>
    <w:rsid w:val="00966708"/>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71128034">
      <w:bodyDiv w:val="1"/>
      <w:marLeft w:val="0"/>
      <w:marRight w:val="0"/>
      <w:marTop w:val="0"/>
      <w:marBottom w:val="0"/>
      <w:divBdr>
        <w:top w:val="none" w:sz="0" w:space="0" w:color="auto"/>
        <w:left w:val="none" w:sz="0" w:space="0" w:color="auto"/>
        <w:bottom w:val="none" w:sz="0" w:space="0" w:color="auto"/>
        <w:right w:val="none" w:sz="0" w:space="0" w:color="auto"/>
      </w:divBdr>
    </w:div>
    <w:div w:id="63144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38C0-FD4A-4D81-BC7A-35336DDE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22</Pages>
  <Words>4937</Words>
  <Characters>28469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2019-10-29T15:21:00Z</dcterms:created>
  <dcterms:modified xsi:type="dcterms:W3CDTF">2019-10-29T17:13:00Z</dcterms:modified>
</cp:coreProperties>
</file>