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6A2C" w:rsidP="00B16A2C">
      <w:pPr>
        <w:pStyle w:val="OrderHeading"/>
      </w:pPr>
      <w:r>
        <w:t>BEFO</w:t>
      </w:r>
      <w:bookmarkStart w:id="0" w:name="_GoBack"/>
      <w:bookmarkEnd w:id="0"/>
      <w:r>
        <w:t>RE THE FLORIDA PUBLIC SERVICE COMMISSION</w:t>
      </w:r>
    </w:p>
    <w:p w:rsidR="00B16A2C" w:rsidRDefault="00B16A2C" w:rsidP="00B16A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6A2C" w:rsidRPr="00C63FCF" w:rsidTr="00A44F3F">
        <w:trPr>
          <w:trHeight w:val="828"/>
        </w:trPr>
        <w:tc>
          <w:tcPr>
            <w:tcW w:w="4788" w:type="dxa"/>
            <w:tcBorders>
              <w:bottom w:val="single" w:sz="8" w:space="0" w:color="auto"/>
              <w:right w:val="double" w:sz="6" w:space="0" w:color="auto"/>
            </w:tcBorders>
            <w:shd w:val="clear" w:color="auto" w:fill="auto"/>
          </w:tcPr>
          <w:p w:rsidR="00B16A2C" w:rsidRDefault="00B16A2C" w:rsidP="00A44F3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B16A2C" w:rsidRDefault="00B16A2C" w:rsidP="00B16A2C">
            <w:pPr>
              <w:pStyle w:val="OrderBody"/>
            </w:pPr>
            <w:r>
              <w:t xml:space="preserve">DOCKET NO. </w:t>
            </w:r>
            <w:bookmarkStart w:id="2" w:name="SSDocketNo"/>
            <w:bookmarkEnd w:id="2"/>
            <w:r>
              <w:t>20190001-EI</w:t>
            </w:r>
          </w:p>
          <w:p w:rsidR="00B16A2C" w:rsidRDefault="00B16A2C" w:rsidP="00A44F3F">
            <w:pPr>
              <w:pStyle w:val="OrderBody"/>
              <w:tabs>
                <w:tab w:val="center" w:pos="4320"/>
                <w:tab w:val="right" w:pos="8640"/>
              </w:tabs>
              <w:jc w:val="left"/>
            </w:pPr>
            <w:r>
              <w:t xml:space="preserve">ORDER NO. </w:t>
            </w:r>
            <w:bookmarkStart w:id="3" w:name="OrderNo0479"/>
            <w:r w:rsidR="00AD7651">
              <w:t>PSC-2019-0484</w:t>
            </w:r>
            <w:r w:rsidR="00861392">
              <w:t>-FOF-EI</w:t>
            </w:r>
            <w:bookmarkEnd w:id="3"/>
          </w:p>
          <w:p w:rsidR="00B16A2C" w:rsidRDefault="00B16A2C" w:rsidP="00A44F3F">
            <w:pPr>
              <w:pStyle w:val="OrderBody"/>
              <w:tabs>
                <w:tab w:val="center" w:pos="4320"/>
                <w:tab w:val="right" w:pos="8640"/>
              </w:tabs>
              <w:jc w:val="left"/>
            </w:pPr>
            <w:r>
              <w:t xml:space="preserve">ISSUED: </w:t>
            </w:r>
            <w:r w:rsidR="00861392">
              <w:t>November 18, 2019</w:t>
            </w:r>
          </w:p>
        </w:tc>
      </w:tr>
    </w:tbl>
    <w:p w:rsidR="00B16A2C" w:rsidRDefault="00B16A2C" w:rsidP="00B16A2C"/>
    <w:p w:rsidR="00B16A2C" w:rsidRDefault="00B16A2C">
      <w:pPr>
        <w:ind w:firstLine="720"/>
        <w:jc w:val="both"/>
      </w:pPr>
      <w:bookmarkStart w:id="4" w:name="Commissioners"/>
      <w:bookmarkEnd w:id="4"/>
      <w:r>
        <w:t>The following Commissioners participated in the disposition of this matter:</w:t>
      </w:r>
    </w:p>
    <w:p w:rsidR="00B16A2C" w:rsidRDefault="00B16A2C"/>
    <w:p w:rsidR="00B16A2C" w:rsidRDefault="00B16A2C">
      <w:pPr>
        <w:jc w:val="center"/>
      </w:pPr>
      <w:r>
        <w:t>ART GRAHAM, Chairman</w:t>
      </w:r>
    </w:p>
    <w:p w:rsidR="00B16A2C" w:rsidRDefault="00B16A2C">
      <w:pPr>
        <w:jc w:val="center"/>
      </w:pPr>
      <w:r>
        <w:t xml:space="preserve">JULIE I. BROWN </w:t>
      </w:r>
    </w:p>
    <w:p w:rsidR="00B16A2C" w:rsidRDefault="00B16A2C">
      <w:pPr>
        <w:jc w:val="center"/>
      </w:pPr>
      <w:r>
        <w:t>DONALD J. POLMANN</w:t>
      </w:r>
    </w:p>
    <w:p w:rsidR="00B16A2C" w:rsidRDefault="00B16A2C">
      <w:pPr>
        <w:jc w:val="center"/>
      </w:pPr>
      <w:r>
        <w:t>GARY F. CLARK</w:t>
      </w:r>
    </w:p>
    <w:p w:rsidR="00B16A2C" w:rsidRDefault="00B16A2C">
      <w:pPr>
        <w:jc w:val="center"/>
      </w:pPr>
      <w:r>
        <w:t>ANDREW GILES FAY</w:t>
      </w:r>
    </w:p>
    <w:p w:rsidR="00CB5276" w:rsidRDefault="00CB5276">
      <w:pPr>
        <w:pStyle w:val="OrderBody"/>
      </w:pPr>
    </w:p>
    <w:p w:rsidR="00F81285" w:rsidRDefault="0004473B" w:rsidP="00B16A2C">
      <w:pPr>
        <w:pStyle w:val="CenterUnderline"/>
      </w:pPr>
      <w:bookmarkStart w:id="5" w:name="OrderTitle"/>
      <w:r>
        <w:t>FINAL ORDER APPROVING EXPENDITURES AND TRUE-UP AMOUNTS FOR FUEL</w:t>
      </w:r>
    </w:p>
    <w:p w:rsidR="00F81285" w:rsidRDefault="0004473B" w:rsidP="00B16A2C">
      <w:pPr>
        <w:pStyle w:val="CenterUnderline"/>
      </w:pPr>
      <w:r>
        <w:t>ADJUSTMENT FACTORS; GPIF TARGETS, RANGES, AND REWARDS; AND</w:t>
      </w:r>
    </w:p>
    <w:p w:rsidR="00F81285" w:rsidRDefault="0004473B" w:rsidP="00B16A2C">
      <w:pPr>
        <w:pStyle w:val="CenterUnderline"/>
      </w:pPr>
      <w:r>
        <w:t>PROJECTED EXPENDITURES AND TRUE-UP AMOUNTS FOR CAPACITY COST</w:t>
      </w:r>
    </w:p>
    <w:p w:rsidR="00B16A2C" w:rsidRDefault="0004473B" w:rsidP="00B16A2C">
      <w:pPr>
        <w:pStyle w:val="CenterUnderline"/>
      </w:pPr>
      <w:r>
        <w:t>RECOVERY FACTOR</w:t>
      </w:r>
      <w:r w:rsidR="005647A5">
        <w:t>S</w:t>
      </w:r>
      <w:r>
        <w:t xml:space="preserve"> </w:t>
      </w:r>
      <w:bookmarkEnd w:id="5"/>
    </w:p>
    <w:p w:rsidR="00B16A2C" w:rsidRDefault="00B16A2C" w:rsidP="00B16A2C">
      <w:pPr>
        <w:pStyle w:val="CenterUnderline"/>
      </w:pPr>
    </w:p>
    <w:p w:rsidR="0004473B" w:rsidRPr="0004473B" w:rsidRDefault="0004473B" w:rsidP="0004473B">
      <w:pPr>
        <w:pStyle w:val="CenterUnderline"/>
        <w:jc w:val="both"/>
        <w:rPr>
          <w:u w:val="none"/>
        </w:rPr>
      </w:pPr>
      <w:r w:rsidRPr="0004473B">
        <w:rPr>
          <w:u w:val="none"/>
        </w:rPr>
        <w:t>APPEARANCES:</w:t>
      </w:r>
    </w:p>
    <w:p w:rsidR="0004473B" w:rsidRDefault="0004473B" w:rsidP="0004473B">
      <w:pPr>
        <w:pStyle w:val="CenterUnderline"/>
        <w:jc w:val="both"/>
      </w:pPr>
    </w:p>
    <w:p w:rsidR="0004473B" w:rsidRDefault="0004473B" w:rsidP="0004473B">
      <w:pPr>
        <w:ind w:left="1440"/>
        <w:jc w:val="both"/>
      </w:pPr>
      <w:r w:rsidRPr="00503582">
        <w:t xml:space="preserve">MATTHEW BERNIER, </w:t>
      </w:r>
      <w:r>
        <w:t xml:space="preserve">ESQUIRE,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04473B" w:rsidRPr="00503582" w:rsidRDefault="0004473B" w:rsidP="0004473B">
      <w:pPr>
        <w:ind w:left="720" w:firstLine="720"/>
        <w:jc w:val="both"/>
      </w:pPr>
      <w:r w:rsidRPr="00503582">
        <w:rPr>
          <w:u w:val="single"/>
        </w:rPr>
        <w:t>On beh</w:t>
      </w:r>
      <w:r>
        <w:rPr>
          <w:u w:val="single"/>
        </w:rPr>
        <w:t>alf of Duke Energy Florida, LLC</w:t>
      </w:r>
      <w:r w:rsidRPr="00503582">
        <w:rPr>
          <w:u w:val="single"/>
        </w:rPr>
        <w:t xml:space="preserve"> (DEF)</w:t>
      </w:r>
    </w:p>
    <w:p w:rsidR="0004473B" w:rsidRDefault="0004473B" w:rsidP="0004473B">
      <w:pPr>
        <w:jc w:val="both"/>
        <w:rPr>
          <w:caps/>
        </w:rPr>
      </w:pPr>
    </w:p>
    <w:p w:rsidR="0004473B" w:rsidRPr="00503582" w:rsidRDefault="0004473B" w:rsidP="0004473B">
      <w:pPr>
        <w:ind w:left="1440"/>
        <w:jc w:val="both"/>
      </w:pPr>
      <w:r w:rsidRPr="00503582">
        <w:t>MARIA J. MONCADA,</w:t>
      </w:r>
      <w:r>
        <w:t xml:space="preserve"> WILLIAM P. COX and JOEL BAKER, </w:t>
      </w:r>
      <w:r w:rsidRPr="00503582">
        <w:t>ESQUIRE</w:t>
      </w:r>
      <w:r>
        <w:t>S</w:t>
      </w:r>
      <w:r w:rsidRPr="00503582">
        <w:t>, Florida Power &amp; Light Company, 700 Universe Boulevard, Juno Beach, Florida 33408-0420</w:t>
      </w:r>
    </w:p>
    <w:p w:rsidR="0004473B" w:rsidRPr="00503582" w:rsidRDefault="0004473B" w:rsidP="0004473B">
      <w:pPr>
        <w:ind w:left="1440"/>
        <w:jc w:val="both"/>
        <w:rPr>
          <w:u w:val="single"/>
        </w:rPr>
      </w:pPr>
      <w:r w:rsidRPr="00503582">
        <w:rPr>
          <w:u w:val="single"/>
        </w:rPr>
        <w:t>On behalf of Florida Power &amp; Light Company (FPL)</w:t>
      </w:r>
    </w:p>
    <w:p w:rsidR="0004473B" w:rsidRPr="00503582" w:rsidRDefault="0004473B" w:rsidP="0004473B">
      <w:pPr>
        <w:jc w:val="both"/>
      </w:pPr>
    </w:p>
    <w:p w:rsidR="0004473B" w:rsidRPr="00503582" w:rsidRDefault="0004473B" w:rsidP="0004473B">
      <w:pPr>
        <w:ind w:left="1440"/>
        <w:jc w:val="both"/>
      </w:pPr>
      <w:r w:rsidRPr="00503582">
        <w:t xml:space="preserve">BETH KEATING, ESQUIRE, </w:t>
      </w:r>
      <w:proofErr w:type="spellStart"/>
      <w:r w:rsidRPr="00503582">
        <w:t>Gunster</w:t>
      </w:r>
      <w:proofErr w:type="spellEnd"/>
      <w:r w:rsidRPr="00503582">
        <w:t xml:space="preserve">, </w:t>
      </w:r>
      <w:proofErr w:type="spellStart"/>
      <w:r w:rsidRPr="00503582">
        <w:t>Yoakley</w:t>
      </w:r>
      <w:proofErr w:type="spellEnd"/>
      <w:r w:rsidRPr="00503582">
        <w:t xml:space="preserve"> &amp; Stewart, P.A., 215 South Monroe St., Suite 601, Tallahassee, Florida 32301</w:t>
      </w:r>
    </w:p>
    <w:p w:rsidR="0004473B" w:rsidRPr="00503582" w:rsidRDefault="0004473B" w:rsidP="0004473B">
      <w:pPr>
        <w:jc w:val="both"/>
        <w:rPr>
          <w:u w:val="single"/>
        </w:rPr>
      </w:pPr>
      <w:r w:rsidRPr="00503582">
        <w:tab/>
      </w:r>
      <w:r w:rsidRPr="00503582">
        <w:tab/>
      </w:r>
      <w:r w:rsidRPr="00503582">
        <w:rPr>
          <w:u w:val="single"/>
        </w:rPr>
        <w:t>On behalf of Florida Public Utilities Company (FPUC)</w:t>
      </w:r>
    </w:p>
    <w:p w:rsidR="0004473B" w:rsidRPr="00503582" w:rsidRDefault="0004473B" w:rsidP="0004473B">
      <w:pPr>
        <w:jc w:val="both"/>
      </w:pPr>
    </w:p>
    <w:p w:rsidR="0004473B" w:rsidRPr="00503582" w:rsidRDefault="0004473B" w:rsidP="0004473B">
      <w:pPr>
        <w:ind w:left="1440" w:hanging="1440"/>
        <w:jc w:val="both"/>
      </w:pPr>
      <w:r w:rsidRPr="00503582">
        <w:tab/>
        <w:t>JEFFREY A. STONE,</w:t>
      </w:r>
      <w:r>
        <w:t xml:space="preserve"> ESQUIRE, </w:t>
      </w:r>
      <w:r w:rsidRPr="00AA4900">
        <w:t>One Energy Place</w:t>
      </w:r>
      <w:r>
        <w:t xml:space="preserve">, </w:t>
      </w:r>
      <w:r w:rsidRPr="00AA4900">
        <w:t>Pensacola, Florida 32520-0780</w:t>
      </w:r>
      <w:r>
        <w:t xml:space="preserve">; and </w:t>
      </w:r>
      <w:r w:rsidRPr="00503582">
        <w:t xml:space="preserve">RUSSELL A. BADDERS and STEVEN R. GRIFFIN, ESQUIRES, </w:t>
      </w:r>
      <w:proofErr w:type="spellStart"/>
      <w:r w:rsidRPr="00503582">
        <w:t>Beggs</w:t>
      </w:r>
      <w:proofErr w:type="spellEnd"/>
      <w:r w:rsidRPr="00503582">
        <w:t xml:space="preserve"> &amp; Lane, Post Office Box 12950, Pensacola, Florida 32591</w:t>
      </w:r>
      <w:r w:rsidRPr="00503582">
        <w:noBreakHyphen/>
        <w:t>2950</w:t>
      </w:r>
    </w:p>
    <w:p w:rsidR="0004473B" w:rsidRPr="00503582" w:rsidRDefault="0004473B" w:rsidP="0004473B">
      <w:pPr>
        <w:ind w:left="1440" w:hanging="1440"/>
        <w:jc w:val="both"/>
        <w:rPr>
          <w:u w:val="single"/>
        </w:rPr>
      </w:pPr>
      <w:r w:rsidRPr="00503582">
        <w:tab/>
      </w:r>
      <w:r w:rsidRPr="00503582">
        <w:rPr>
          <w:u w:val="single"/>
        </w:rPr>
        <w:t>On behalf of Gulf Power Company (G</w:t>
      </w:r>
      <w:r>
        <w:rPr>
          <w:u w:val="single"/>
        </w:rPr>
        <w:t>ulf</w:t>
      </w:r>
      <w:r w:rsidRPr="00503582">
        <w:rPr>
          <w:u w:val="single"/>
        </w:rPr>
        <w:t>)</w:t>
      </w:r>
    </w:p>
    <w:p w:rsidR="0004473B" w:rsidRPr="00503582" w:rsidRDefault="0004473B" w:rsidP="0004473B">
      <w:pPr>
        <w:jc w:val="both"/>
      </w:pPr>
    </w:p>
    <w:p w:rsidR="0004473B" w:rsidRPr="00503582" w:rsidRDefault="0004473B" w:rsidP="0004473B">
      <w:pPr>
        <w:ind w:left="1440" w:hanging="1440"/>
        <w:jc w:val="both"/>
        <w:rPr>
          <w:rFonts w:cs="Arial"/>
          <w:spacing w:val="-3"/>
        </w:rPr>
      </w:pPr>
      <w:r w:rsidRPr="00503582">
        <w:tab/>
      </w:r>
      <w:r w:rsidR="003F3118" w:rsidRPr="00503582">
        <w:rPr>
          <w:rFonts w:cs="Arial"/>
          <w:spacing w:val="-3"/>
        </w:rPr>
        <w:t>JAMES D. BEASLEY</w:t>
      </w:r>
      <w:r w:rsidR="003F3118">
        <w:rPr>
          <w:rFonts w:cs="Arial"/>
          <w:spacing w:val="-3"/>
        </w:rPr>
        <w:t>,</w:t>
      </w:r>
      <w:r w:rsidR="003F3118">
        <w:t xml:space="preserve"> MALCOLM N. MEANS, </w:t>
      </w:r>
      <w:r w:rsidR="003F3118">
        <w:rPr>
          <w:rFonts w:cs="Arial"/>
          <w:spacing w:val="-3"/>
        </w:rPr>
        <w:t xml:space="preserve">and </w:t>
      </w:r>
      <w:r w:rsidRPr="00503582">
        <w:rPr>
          <w:rFonts w:cs="Arial"/>
          <w:spacing w:val="-3"/>
        </w:rPr>
        <w:t>J. JEFFRY WAHLEN</w:t>
      </w:r>
      <w:r>
        <w:rPr>
          <w:rFonts w:cs="Arial"/>
          <w:spacing w:val="-3"/>
        </w:rPr>
        <w:t>,</w:t>
      </w:r>
      <w:r w:rsidRPr="00503582">
        <w:rPr>
          <w:rFonts w:cs="Arial"/>
          <w:spacing w:val="-3"/>
        </w:rPr>
        <w:t xml:space="preserve"> </w:t>
      </w:r>
      <w:r>
        <w:rPr>
          <w:rFonts w:cs="Arial"/>
          <w:spacing w:val="-3"/>
        </w:rPr>
        <w:t xml:space="preserve"> </w:t>
      </w:r>
      <w:r w:rsidRPr="00503582">
        <w:rPr>
          <w:rFonts w:cs="Arial"/>
          <w:spacing w:val="-3"/>
        </w:rPr>
        <w:t xml:space="preserve">ESQUIRES, </w:t>
      </w:r>
      <w:proofErr w:type="spellStart"/>
      <w:r w:rsidRPr="00503582">
        <w:rPr>
          <w:rFonts w:cs="Arial"/>
          <w:spacing w:val="-3"/>
        </w:rPr>
        <w:t>Ausley</w:t>
      </w:r>
      <w:proofErr w:type="spellEnd"/>
      <w:r w:rsidRPr="00503582">
        <w:rPr>
          <w:rFonts w:cs="Arial"/>
          <w:spacing w:val="-3"/>
        </w:rPr>
        <w:t xml:space="preserve"> McMullen, Post Office Box 391, Tallahassee, Florida 32302</w:t>
      </w:r>
    </w:p>
    <w:p w:rsidR="0004473B" w:rsidRPr="00503582" w:rsidRDefault="0004473B" w:rsidP="0004473B">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04473B" w:rsidRPr="00503582" w:rsidRDefault="0004473B" w:rsidP="0004473B">
      <w:pPr>
        <w:ind w:left="1440" w:hanging="1440"/>
        <w:jc w:val="both"/>
        <w:rPr>
          <w:rFonts w:cs="Arial"/>
          <w:spacing w:val="-3"/>
        </w:rPr>
      </w:pPr>
    </w:p>
    <w:p w:rsidR="0004473B" w:rsidRPr="00503582" w:rsidRDefault="0004473B" w:rsidP="0004473B">
      <w:pPr>
        <w:ind w:left="1440" w:hanging="1440"/>
        <w:jc w:val="both"/>
      </w:pPr>
      <w:r>
        <w:rPr>
          <w:rFonts w:cs="Arial"/>
          <w:spacing w:val="-3"/>
        </w:rPr>
        <w:tab/>
      </w:r>
      <w:r w:rsidRPr="00503582">
        <w:rPr>
          <w:rFonts w:cs="Arial"/>
          <w:spacing w:val="-3"/>
        </w:rPr>
        <w:t>J.R. KELLY,</w:t>
      </w:r>
      <w:r>
        <w:rPr>
          <w:rFonts w:cs="Arial"/>
          <w:spacing w:val="-3"/>
        </w:rPr>
        <w:t xml:space="preserve"> </w:t>
      </w:r>
      <w:r w:rsidRPr="00503582">
        <w:t>CHARLES REHWINKEL</w:t>
      </w:r>
      <w:r>
        <w:t xml:space="preserve"> and </w:t>
      </w:r>
      <w:r w:rsidRPr="004A6555">
        <w:t>PATRICIA A. CHRISTENSEN</w:t>
      </w:r>
      <w:r>
        <w:t>,</w:t>
      </w:r>
      <w:r w:rsidRPr="00F67112">
        <w:t xml:space="preserve"> </w:t>
      </w:r>
      <w:r>
        <w:t xml:space="preserve"> </w:t>
      </w:r>
      <w:r w:rsidRPr="00503582">
        <w:t xml:space="preserve"> </w:t>
      </w:r>
      <w:r w:rsidR="00B17A8F">
        <w:t xml:space="preserve">STEPHANIE MORSE, and THOMAS A. DAVID, </w:t>
      </w:r>
      <w:r w:rsidRPr="00503582">
        <w:t xml:space="preserve">ESQUIRES, Office of Public </w:t>
      </w:r>
      <w:r w:rsidRPr="00503582">
        <w:lastRenderedPageBreak/>
        <w:t>Counsel, c/o The Florida Legislature, 111 West Madison Street, Room 812, Tallahassee, Florida 32399-1400</w:t>
      </w:r>
    </w:p>
    <w:p w:rsidR="0004473B" w:rsidRPr="00503582" w:rsidRDefault="0004473B" w:rsidP="0004473B">
      <w:pPr>
        <w:ind w:left="1440" w:hanging="1440"/>
        <w:jc w:val="both"/>
      </w:pPr>
      <w:r w:rsidRPr="00503582">
        <w:tab/>
      </w:r>
      <w:r w:rsidRPr="00503582">
        <w:rPr>
          <w:u w:val="single"/>
        </w:rPr>
        <w:t>On behalf of the Citizens of the State of Florida (OPC)</w:t>
      </w:r>
    </w:p>
    <w:p w:rsidR="0004473B" w:rsidRPr="00503582" w:rsidRDefault="0004473B" w:rsidP="0004473B">
      <w:pPr>
        <w:jc w:val="both"/>
      </w:pPr>
    </w:p>
    <w:p w:rsidR="0004473B" w:rsidRPr="00503582" w:rsidRDefault="0004473B" w:rsidP="0004473B">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04473B" w:rsidRPr="00503582" w:rsidRDefault="0004473B" w:rsidP="0004473B">
      <w:pPr>
        <w:ind w:left="1440" w:hanging="1440"/>
        <w:jc w:val="both"/>
        <w:rPr>
          <w:u w:val="single"/>
        </w:rPr>
      </w:pPr>
      <w:r w:rsidRPr="00503582">
        <w:rPr>
          <w:bCs/>
        </w:rPr>
        <w:tab/>
      </w:r>
      <w:r w:rsidRPr="00503582">
        <w:rPr>
          <w:bCs/>
          <w:u w:val="single"/>
        </w:rPr>
        <w:t>On behalf of the Florida Industrial Power Users Group (FIPUG)</w:t>
      </w:r>
    </w:p>
    <w:p w:rsidR="0004473B" w:rsidRPr="00503582" w:rsidRDefault="0004473B" w:rsidP="0004473B">
      <w:pPr>
        <w:jc w:val="both"/>
      </w:pPr>
    </w:p>
    <w:p w:rsidR="0004473B" w:rsidRPr="00503582" w:rsidRDefault="0004473B" w:rsidP="0004473B">
      <w:pPr>
        <w:ind w:left="1440" w:hanging="1440"/>
        <w:jc w:val="both"/>
      </w:pPr>
      <w:r w:rsidRPr="00503582">
        <w:tab/>
        <w:t>JAMES W. BREW</w:t>
      </w:r>
      <w:r w:rsidRPr="00503582">
        <w:rPr>
          <w:caps/>
        </w:rPr>
        <w:t xml:space="preserve"> </w:t>
      </w:r>
      <w:r w:rsidRPr="00503582">
        <w:t xml:space="preserve">and LAURA A. WYNN, ESQUIRES, Stone </w:t>
      </w:r>
      <w:proofErr w:type="spellStart"/>
      <w:r w:rsidRPr="00503582">
        <w:t>Mattheis</w:t>
      </w:r>
      <w:proofErr w:type="spellEnd"/>
      <w:r w:rsidRPr="00503582">
        <w:t xml:space="preserve"> </w:t>
      </w:r>
      <w:proofErr w:type="spellStart"/>
      <w:r w:rsidRPr="00503582">
        <w:t>Xenopoulos</w:t>
      </w:r>
      <w:proofErr w:type="spellEnd"/>
      <w:r w:rsidRPr="00503582">
        <w:t xml:space="preserve"> &amp; Brew, PC, 1025 Thomas Jefferson St., NW, Eighth Floor, West Tower, Washington, DC 20007</w:t>
      </w:r>
    </w:p>
    <w:p w:rsidR="0004473B" w:rsidRPr="00503582" w:rsidRDefault="0004473B" w:rsidP="0004473B">
      <w:pPr>
        <w:ind w:left="1440" w:hanging="1440"/>
        <w:jc w:val="both"/>
      </w:pPr>
      <w:r w:rsidRPr="00503582">
        <w:tab/>
      </w:r>
      <w:r w:rsidRPr="00503582">
        <w:rPr>
          <w:u w:val="single"/>
        </w:rPr>
        <w:t>On behalf of White Springs Agricultural Chemicals, Inc. d/b/a PCS Phosphate – White Springs (PCS Phosphate)</w:t>
      </w:r>
    </w:p>
    <w:p w:rsidR="0004473B" w:rsidRPr="00503582" w:rsidRDefault="0004473B" w:rsidP="0004473B">
      <w:pPr>
        <w:jc w:val="both"/>
      </w:pPr>
      <w:r w:rsidRPr="00503582">
        <w:tab/>
      </w:r>
      <w:r w:rsidRPr="00503582">
        <w:tab/>
      </w:r>
    </w:p>
    <w:p w:rsidR="0004473B" w:rsidRPr="00503582" w:rsidRDefault="0004473B" w:rsidP="0004473B">
      <w:pPr>
        <w:ind w:left="1440"/>
        <w:jc w:val="both"/>
      </w:pPr>
      <w:r w:rsidRPr="00503582">
        <w:t>SUZANNE BROWNLESS, ESQUIRE, Florida Public Service Commission, 2540 Shumard Oak Boulevard, Tallahassee, Florida 32399-0850</w:t>
      </w:r>
    </w:p>
    <w:p w:rsidR="0004473B" w:rsidRPr="00503582" w:rsidRDefault="0004473B" w:rsidP="0004473B">
      <w:pPr>
        <w:ind w:left="720" w:firstLine="720"/>
        <w:jc w:val="both"/>
      </w:pPr>
      <w:r w:rsidRPr="00503582">
        <w:rPr>
          <w:u w:val="single"/>
        </w:rPr>
        <w:t>On behalf of the Florida Public Service Commission (Staff)</w:t>
      </w:r>
    </w:p>
    <w:p w:rsidR="0004473B" w:rsidRPr="00701945" w:rsidRDefault="0004473B" w:rsidP="0004473B">
      <w:pPr>
        <w:jc w:val="center"/>
        <w:rPr>
          <w:b/>
          <w:bCs/>
          <w:u w:val="single"/>
        </w:rPr>
      </w:pPr>
    </w:p>
    <w:p w:rsidR="0004473B" w:rsidRPr="00701945" w:rsidRDefault="00B17A8F" w:rsidP="0004473B">
      <w:pPr>
        <w:ind w:left="1440"/>
        <w:jc w:val="both"/>
      </w:pPr>
      <w:r>
        <w:t>LEE ENG TAN</w:t>
      </w:r>
      <w:r w:rsidR="0004473B">
        <w:t xml:space="preserve">, ESQUIRE, </w:t>
      </w:r>
      <w:r w:rsidR="0004473B" w:rsidRPr="00701945">
        <w:t>Florida Public Service Commission, 2540 Shumard Oak Boulevard, Tallahassee, Florida 32399-0850</w:t>
      </w:r>
    </w:p>
    <w:p w:rsidR="0004473B" w:rsidRPr="00701945" w:rsidRDefault="0004473B" w:rsidP="0004473B">
      <w:pPr>
        <w:ind w:left="720" w:firstLine="720"/>
        <w:jc w:val="both"/>
      </w:pPr>
      <w:r>
        <w:rPr>
          <w:u w:val="single"/>
        </w:rPr>
        <w:t>Advisor to the</w:t>
      </w:r>
      <w:r w:rsidRPr="00701945">
        <w:rPr>
          <w:u w:val="single"/>
        </w:rPr>
        <w:t xml:space="preserve"> Florida Public Service Commission</w:t>
      </w:r>
    </w:p>
    <w:p w:rsidR="0004473B" w:rsidRDefault="0004473B" w:rsidP="0004473B">
      <w:pPr>
        <w:ind w:left="1440"/>
        <w:jc w:val="both"/>
        <w:rPr>
          <w:caps/>
        </w:rPr>
      </w:pPr>
    </w:p>
    <w:p w:rsidR="0004473B" w:rsidRPr="00503582" w:rsidRDefault="0004473B" w:rsidP="0004473B">
      <w:pPr>
        <w:ind w:left="1440"/>
        <w:jc w:val="both"/>
      </w:pPr>
      <w:r w:rsidRPr="00503582">
        <w:rPr>
          <w:caps/>
        </w:rPr>
        <w:t>Keith hetrick</w:t>
      </w:r>
      <w:r w:rsidRPr="00503582">
        <w:t>, ESQUIRE, General Counsel, Florida Public Service Commission, 2540 Shumard Oak Boulevard, Tallahassee, Florida 32399-0850</w:t>
      </w:r>
    </w:p>
    <w:p w:rsidR="0004473B" w:rsidRDefault="0004473B" w:rsidP="0004473B">
      <w:pPr>
        <w:pStyle w:val="CenterUnderline"/>
        <w:jc w:val="both"/>
      </w:pPr>
      <w:r>
        <w:rPr>
          <w:u w:val="none"/>
        </w:rPr>
        <w:tab/>
      </w:r>
      <w:r>
        <w:rPr>
          <w:u w:val="none"/>
        </w:rPr>
        <w:tab/>
      </w:r>
      <w:r w:rsidRPr="00503582">
        <w:t>Florida Public Service Commission General Counsel</w:t>
      </w:r>
    </w:p>
    <w:p w:rsidR="0004473B" w:rsidRDefault="0004473B" w:rsidP="00B16A2C">
      <w:pPr>
        <w:pStyle w:val="OrderBody"/>
      </w:pPr>
    </w:p>
    <w:p w:rsidR="00B16A2C" w:rsidRDefault="00B16A2C" w:rsidP="00B16A2C">
      <w:pPr>
        <w:pStyle w:val="OrderBody"/>
      </w:pPr>
      <w:r>
        <w:t>BY THE COMMISSION:</w:t>
      </w:r>
    </w:p>
    <w:p w:rsidR="00B16A2C" w:rsidRDefault="00B16A2C" w:rsidP="00B16A2C">
      <w:pPr>
        <w:pStyle w:val="OrderBody"/>
      </w:pPr>
    </w:p>
    <w:p w:rsidR="00B17A8F" w:rsidRDefault="0004473B" w:rsidP="00B17A8F">
      <w:pPr>
        <w:pStyle w:val="BodyText"/>
        <w:jc w:val="both"/>
        <w:rPr>
          <w:sz w:val="23"/>
          <w:szCs w:val="23"/>
        </w:rPr>
      </w:pPr>
      <w:r>
        <w:tab/>
      </w:r>
      <w:r w:rsidR="00B17A8F" w:rsidRPr="00B168D3">
        <w:t>As p</w:t>
      </w:r>
      <w:r w:rsidR="00B17A8F">
        <w:rPr>
          <w:sz w:val="23"/>
          <w:szCs w:val="23"/>
        </w:rPr>
        <w:t>art of the continuing fuel and purchased power adjustment and generating performance incentive clause proceedings, an administrative hearing was held on November 5, 201</w:t>
      </w:r>
      <w:r w:rsidR="003F3118">
        <w:rPr>
          <w:sz w:val="23"/>
          <w:szCs w:val="23"/>
        </w:rPr>
        <w:t>9</w:t>
      </w:r>
      <w:r w:rsidR="00B17A8F">
        <w:rPr>
          <w:sz w:val="23"/>
          <w:szCs w:val="23"/>
        </w:rPr>
        <w:t xml:space="preserve">, in this docket. </w:t>
      </w:r>
    </w:p>
    <w:p w:rsidR="00B17A8F" w:rsidRPr="00B168D3" w:rsidRDefault="00B17A8F" w:rsidP="00B17A8F">
      <w:pPr>
        <w:pStyle w:val="BodyText"/>
        <w:jc w:val="both"/>
        <w:rPr>
          <w:sz w:val="23"/>
          <w:szCs w:val="23"/>
        </w:rPr>
      </w:pPr>
      <w:r>
        <w:tab/>
        <w:t xml:space="preserve">At the hearing, we voted to approve stipulated issues </w:t>
      </w:r>
      <w:r w:rsidR="003F3118">
        <w:t xml:space="preserve">1A, 2A, 2B-2G, 2I-2N, 4A, 5A, 5B, 6-11, 16-21, 22 (as amended for DEF corrections), 23A, 23B, 24A-24D, 27-37 </w:t>
      </w:r>
      <w:r>
        <w:t>as set forth in Attachment A</w:t>
      </w:r>
      <w:r w:rsidR="00CF1A57">
        <w:t xml:space="preserve">.  </w:t>
      </w:r>
      <w:r>
        <w:t xml:space="preserve">As a result of our bench decisions on these issues, we </w:t>
      </w:r>
      <w:r w:rsidR="00E3615B">
        <w:t xml:space="preserve">have </w:t>
      </w:r>
      <w:r>
        <w:t xml:space="preserve">approved all issues associated </w:t>
      </w:r>
      <w:proofErr w:type="gramStart"/>
      <w:r>
        <w:t xml:space="preserve">with </w:t>
      </w:r>
      <w:r w:rsidR="00E3615B">
        <w:t xml:space="preserve"> FPL</w:t>
      </w:r>
      <w:proofErr w:type="gramEnd"/>
      <w:r w:rsidR="00E3615B">
        <w:t>,</w:t>
      </w:r>
      <w:r>
        <w:t xml:space="preserve"> FPUC, Gulf</w:t>
      </w:r>
      <w:r w:rsidR="00E3615B">
        <w:t>, and TECO</w:t>
      </w:r>
      <w:r>
        <w:t xml:space="preserve">.  The remaining </w:t>
      </w:r>
      <w:r w:rsidR="00E3615B">
        <w:t>DEF</w:t>
      </w:r>
      <w:r>
        <w:t xml:space="preserve"> issues, Issues</w:t>
      </w:r>
      <w:r w:rsidR="00E3615B">
        <w:t xml:space="preserve"> 1B and 1C</w:t>
      </w:r>
      <w:r w:rsidR="00126B18">
        <w:t>,</w:t>
      </w:r>
      <w:r w:rsidR="00E34654">
        <w:rPr>
          <w:rStyle w:val="FootnoteReference"/>
        </w:rPr>
        <w:footnoteReference w:id="1"/>
      </w:r>
      <w:r w:rsidR="00E3615B">
        <w:t xml:space="preserve"> </w:t>
      </w:r>
      <w:r w:rsidR="005647A5">
        <w:t xml:space="preserve">which concern </w:t>
      </w:r>
      <w:r w:rsidR="00E3615B">
        <w:t xml:space="preserve">the 2017 Bartow outage, have been referred by Chairman Graham to </w:t>
      </w:r>
      <w:r w:rsidR="00CF1A57">
        <w:t xml:space="preserve">the </w:t>
      </w:r>
      <w:r w:rsidR="00E3615B">
        <w:t>D</w:t>
      </w:r>
      <w:r w:rsidR="00CF1A57">
        <w:t>ivision of Administrative Hearings.</w:t>
      </w:r>
      <w:r w:rsidR="00E3615B">
        <w:t xml:space="preserve">  </w:t>
      </w:r>
      <w:r>
        <w:t xml:space="preserve">  </w:t>
      </w:r>
    </w:p>
    <w:p w:rsidR="00B17A8F" w:rsidRDefault="00B17A8F" w:rsidP="00B17A8F">
      <w:pPr>
        <w:pStyle w:val="CenterUnderline"/>
        <w:jc w:val="both"/>
        <w:rPr>
          <w:u w:val="none"/>
        </w:rPr>
      </w:pPr>
      <w:r w:rsidRPr="00337073">
        <w:rPr>
          <w:sz w:val="23"/>
          <w:szCs w:val="23"/>
          <w:u w:val="none"/>
        </w:rPr>
        <w:tab/>
        <w:t>We have</w:t>
      </w:r>
      <w:r w:rsidRPr="00337073">
        <w:rPr>
          <w:u w:val="none"/>
        </w:rPr>
        <w:t xml:space="preserve"> jurisdiction over this subject matter pursuant to the provisions of Chapter 366, Florida Statutes (F.S.), including Sections 366.04, 366.05, and 366.06, F.S.</w:t>
      </w:r>
    </w:p>
    <w:p w:rsidR="00CF1A57" w:rsidRPr="00126B18" w:rsidRDefault="00126B18" w:rsidP="00B17A8F">
      <w:pPr>
        <w:pStyle w:val="CenterUnderline"/>
        <w:jc w:val="both"/>
      </w:pPr>
      <w:r w:rsidRPr="00126B18">
        <w:lastRenderedPageBreak/>
        <w:t>FPL 2020 Solar Base Rate Adjustment (</w:t>
      </w:r>
      <w:proofErr w:type="spellStart"/>
      <w:r w:rsidRPr="00126B18">
        <w:t>SoBRA</w:t>
      </w:r>
      <w:proofErr w:type="spellEnd"/>
      <w:r w:rsidRPr="00126B18">
        <w:t xml:space="preserve">) Projects </w:t>
      </w:r>
    </w:p>
    <w:p w:rsidR="00CF1A57" w:rsidRDefault="00CF1A57" w:rsidP="00B17A8F">
      <w:pPr>
        <w:pStyle w:val="CenterUnderline"/>
        <w:jc w:val="both"/>
        <w:rPr>
          <w:b/>
          <w:u w:val="none"/>
        </w:rPr>
      </w:pPr>
    </w:p>
    <w:p w:rsidR="00A90C3E" w:rsidRPr="00126B18" w:rsidRDefault="00CF1A57" w:rsidP="00126B18">
      <w:pPr>
        <w:pStyle w:val="CenterUnderline"/>
        <w:jc w:val="both"/>
        <w:rPr>
          <w:u w:val="none"/>
        </w:rPr>
      </w:pPr>
      <w:r>
        <w:rPr>
          <w:b/>
          <w:u w:val="none"/>
        </w:rPr>
        <w:tab/>
      </w:r>
      <w:r w:rsidR="00126B18" w:rsidRPr="00126B18">
        <w:rPr>
          <w:u w:val="none"/>
        </w:rPr>
        <w:t>Issue 2H</w:t>
      </w:r>
      <w:r w:rsidR="00126B18">
        <w:rPr>
          <w:rStyle w:val="FootnoteReference"/>
          <w:u w:val="none"/>
        </w:rPr>
        <w:footnoteReference w:id="2"/>
      </w:r>
      <w:r w:rsidR="00126B18">
        <w:rPr>
          <w:u w:val="none"/>
        </w:rPr>
        <w:t>,</w:t>
      </w:r>
      <w:r w:rsidR="00200817">
        <w:rPr>
          <w:u w:val="none"/>
        </w:rPr>
        <w:t xml:space="preserve"> </w:t>
      </w:r>
      <w:r w:rsidR="00126B18">
        <w:rPr>
          <w:u w:val="none"/>
        </w:rPr>
        <w:t xml:space="preserve">FPL’s 2020 </w:t>
      </w:r>
      <w:proofErr w:type="spellStart"/>
      <w:r w:rsidR="00126B18">
        <w:rPr>
          <w:u w:val="none"/>
        </w:rPr>
        <w:t>SoBRA</w:t>
      </w:r>
      <w:proofErr w:type="spellEnd"/>
      <w:r w:rsidR="00126B18">
        <w:rPr>
          <w:u w:val="none"/>
        </w:rPr>
        <w:t xml:space="preserve"> projects, </w:t>
      </w:r>
      <w:r w:rsidR="00126B18" w:rsidRPr="00126B18">
        <w:rPr>
          <w:u w:val="none"/>
        </w:rPr>
        <w:t xml:space="preserve">was not stipulated, and </w:t>
      </w:r>
      <w:r w:rsidR="00AE02E6" w:rsidRPr="00126B18">
        <w:rPr>
          <w:u w:val="none"/>
        </w:rPr>
        <w:t>FIPUG and FPL presented opening statements which addressed this issue with both parties waiving the filing of briefs.  In its opening statements</w:t>
      </w:r>
      <w:r w:rsidR="00865BD0" w:rsidRPr="00126B18">
        <w:rPr>
          <w:u w:val="none"/>
        </w:rPr>
        <w:t>,</w:t>
      </w:r>
      <w:r w:rsidR="00AE02E6" w:rsidRPr="00126B18">
        <w:rPr>
          <w:u w:val="none"/>
        </w:rPr>
        <w:t xml:space="preserve"> F</w:t>
      </w:r>
      <w:r w:rsidR="00BB4DA4" w:rsidRPr="00126B18">
        <w:rPr>
          <w:u w:val="none"/>
        </w:rPr>
        <w:t xml:space="preserve">PL stated that the procedures for recovery of the 2020 </w:t>
      </w:r>
      <w:proofErr w:type="spellStart"/>
      <w:r w:rsidR="00BB4DA4" w:rsidRPr="00126B18">
        <w:rPr>
          <w:u w:val="none"/>
        </w:rPr>
        <w:t>SoBRA</w:t>
      </w:r>
      <w:proofErr w:type="spellEnd"/>
      <w:r w:rsidR="00BB4DA4" w:rsidRPr="00126B18">
        <w:rPr>
          <w:u w:val="none"/>
        </w:rPr>
        <w:t xml:space="preserve"> projects are outlined in </w:t>
      </w:r>
      <w:r w:rsidR="00865BD0" w:rsidRPr="00126B18">
        <w:rPr>
          <w:u w:val="none"/>
        </w:rPr>
        <w:t xml:space="preserve">Section 10 of </w:t>
      </w:r>
      <w:r w:rsidR="00BB4DA4" w:rsidRPr="00126B18">
        <w:rPr>
          <w:u w:val="none"/>
        </w:rPr>
        <w:t>the 2016 Settlement</w:t>
      </w:r>
      <w:r w:rsidR="00865BD0" w:rsidRPr="00126B18">
        <w:rPr>
          <w:u w:val="none"/>
        </w:rPr>
        <w:t xml:space="preserve"> and have been fully complied with. </w:t>
      </w:r>
      <w:r w:rsidR="002B5957" w:rsidRPr="00126B18">
        <w:rPr>
          <w:u w:val="none"/>
        </w:rPr>
        <w:t xml:space="preserve">There are several conditions which must be met in order to get recovery for </w:t>
      </w:r>
      <w:proofErr w:type="spellStart"/>
      <w:r w:rsidR="002B5957" w:rsidRPr="00126B18">
        <w:rPr>
          <w:u w:val="none"/>
        </w:rPr>
        <w:t>SoBRA</w:t>
      </w:r>
      <w:proofErr w:type="spellEnd"/>
      <w:r w:rsidR="002B5957" w:rsidRPr="00126B18">
        <w:rPr>
          <w:u w:val="none"/>
        </w:rPr>
        <w:t xml:space="preserve"> projects.  First, FPL must request recovery for these projects during the term of the 2016 Settlement, or prior to December 31, 2020.  Second, the cost of the components, engineering, and construction for the solar project is capped at $1,750 per kilowatt alternating current (</w:t>
      </w:r>
      <w:proofErr w:type="spellStart"/>
      <w:r w:rsidR="002B5957" w:rsidRPr="00126B18">
        <w:rPr>
          <w:u w:val="none"/>
        </w:rPr>
        <w:t>kWac</w:t>
      </w:r>
      <w:proofErr w:type="spellEnd"/>
      <w:r w:rsidR="002B5957" w:rsidRPr="00126B18">
        <w:rPr>
          <w:u w:val="none"/>
        </w:rPr>
        <w:t xml:space="preserve">).  Third, for projects less than 75 MW </w:t>
      </w:r>
      <w:r w:rsidR="00713098" w:rsidRPr="00126B18">
        <w:rPr>
          <w:u w:val="none"/>
        </w:rPr>
        <w:t>(</w:t>
      </w:r>
      <w:r w:rsidR="002B5957" w:rsidRPr="00126B18">
        <w:rPr>
          <w:u w:val="none"/>
        </w:rPr>
        <w:t xml:space="preserve">as are </w:t>
      </w:r>
      <w:r w:rsidR="00713098" w:rsidRPr="00126B18">
        <w:rPr>
          <w:u w:val="none"/>
        </w:rPr>
        <w:t xml:space="preserve">all </w:t>
      </w:r>
      <w:r w:rsidR="002B5957" w:rsidRPr="00126B18">
        <w:rPr>
          <w:u w:val="none"/>
        </w:rPr>
        <w:t>the projects here</w:t>
      </w:r>
      <w:r w:rsidR="00713098" w:rsidRPr="00126B18">
        <w:rPr>
          <w:u w:val="none"/>
        </w:rPr>
        <w:t>): 1) the request for base rate recovery must be filed in the fuel clause docket as part of its final true-up filing; and 2) the issues are limited to the cost</w:t>
      </w:r>
      <w:r w:rsidR="005647A5" w:rsidRPr="00126B18">
        <w:rPr>
          <w:u w:val="none"/>
        </w:rPr>
        <w:t>-</w:t>
      </w:r>
      <w:r w:rsidR="00713098" w:rsidRPr="00126B18">
        <w:rPr>
          <w:u w:val="none"/>
        </w:rPr>
        <w:t>effectiveness of each such project</w:t>
      </w:r>
      <w:r w:rsidR="00734180" w:rsidRPr="00126B18">
        <w:rPr>
          <w:u w:val="none"/>
        </w:rPr>
        <w:t xml:space="preserve"> </w:t>
      </w:r>
      <w:r w:rsidR="00713098" w:rsidRPr="00126B18">
        <w:rPr>
          <w:u w:val="none"/>
        </w:rPr>
        <w:t xml:space="preserve">(i.e., will the project lower the projected system cumulative present value </w:t>
      </w:r>
      <w:r w:rsidR="005647A5" w:rsidRPr="00126B18">
        <w:rPr>
          <w:u w:val="none"/>
        </w:rPr>
        <w:t xml:space="preserve">of </w:t>
      </w:r>
      <w:r w:rsidR="00713098" w:rsidRPr="00126B18">
        <w:rPr>
          <w:u w:val="none"/>
        </w:rPr>
        <w:t>revenue requirement</w:t>
      </w:r>
      <w:r w:rsidR="005647A5" w:rsidRPr="00126B18">
        <w:rPr>
          <w:u w:val="none"/>
        </w:rPr>
        <w:t>s</w:t>
      </w:r>
      <w:r w:rsidR="00713098" w:rsidRPr="00126B18">
        <w:rPr>
          <w:u w:val="none"/>
        </w:rPr>
        <w:t xml:space="preserve"> </w:t>
      </w:r>
      <w:r w:rsidR="005D152F" w:rsidRPr="00126B18">
        <w:rPr>
          <w:u w:val="none"/>
        </w:rPr>
        <w:t>(C</w:t>
      </w:r>
      <w:r w:rsidR="00713098" w:rsidRPr="00126B18">
        <w:rPr>
          <w:u w:val="none"/>
        </w:rPr>
        <w:t>PVRR</w:t>
      </w:r>
      <w:r w:rsidR="005D152F" w:rsidRPr="00126B18">
        <w:rPr>
          <w:u w:val="none"/>
        </w:rPr>
        <w:t>)</w:t>
      </w:r>
      <w:r w:rsidR="00713098" w:rsidRPr="00126B18">
        <w:rPr>
          <w:u w:val="none"/>
        </w:rPr>
        <w:t xml:space="preserve"> as compared to each CPVRR without the solar project</w:t>
      </w:r>
      <w:r w:rsidR="00734180" w:rsidRPr="00126B18">
        <w:rPr>
          <w:u w:val="none"/>
        </w:rPr>
        <w:t xml:space="preserve">) and </w:t>
      </w:r>
      <w:r w:rsidR="005647A5" w:rsidRPr="00126B18">
        <w:rPr>
          <w:u w:val="none"/>
        </w:rPr>
        <w:t xml:space="preserve">the </w:t>
      </w:r>
      <w:r w:rsidR="00734180" w:rsidRPr="00126B18">
        <w:rPr>
          <w:u w:val="none"/>
        </w:rPr>
        <w:t xml:space="preserve">appropriate percentage </w:t>
      </w:r>
      <w:r w:rsidR="005647A5" w:rsidRPr="00126B18">
        <w:rPr>
          <w:u w:val="none"/>
        </w:rPr>
        <w:t xml:space="preserve">increase </w:t>
      </w:r>
      <w:r w:rsidR="00734180" w:rsidRPr="00126B18">
        <w:rPr>
          <w:u w:val="none"/>
        </w:rPr>
        <w:t>in base rates needed to collect the estimated revenue requirements.</w:t>
      </w:r>
    </w:p>
    <w:p w:rsidR="00A90C3E" w:rsidRDefault="00A90C3E" w:rsidP="002543BC">
      <w:pPr>
        <w:autoSpaceDE w:val="0"/>
        <w:autoSpaceDN w:val="0"/>
        <w:adjustRightInd w:val="0"/>
        <w:jc w:val="both"/>
      </w:pPr>
    </w:p>
    <w:p w:rsidR="00CF1A57" w:rsidRDefault="00A90C3E" w:rsidP="002543BC">
      <w:pPr>
        <w:autoSpaceDE w:val="0"/>
        <w:autoSpaceDN w:val="0"/>
        <w:adjustRightInd w:val="0"/>
        <w:jc w:val="both"/>
      </w:pPr>
      <w:r>
        <w:tab/>
      </w:r>
      <w:r w:rsidR="002543BC">
        <w:t xml:space="preserve">The </w:t>
      </w:r>
      <w:proofErr w:type="spellStart"/>
      <w:r w:rsidR="002543BC">
        <w:t>uncontradicted</w:t>
      </w:r>
      <w:proofErr w:type="spellEnd"/>
      <w:r w:rsidR="002543BC">
        <w:t xml:space="preserve"> testimony of </w:t>
      </w:r>
      <w:r w:rsidR="00865BD0">
        <w:t xml:space="preserve">Witness </w:t>
      </w:r>
      <w:proofErr w:type="spellStart"/>
      <w:r w:rsidR="00865BD0">
        <w:t>Enjamio</w:t>
      </w:r>
      <w:proofErr w:type="spellEnd"/>
      <w:r w:rsidR="00865BD0">
        <w:t xml:space="preserve"> </w:t>
      </w:r>
      <w:r w:rsidR="002543BC">
        <w:t>is that the project cost is $410.7 million or $1</w:t>
      </w:r>
      <w:r w:rsidR="00D8358E">
        <w:t>,</w:t>
      </w:r>
      <w:r w:rsidR="002543BC">
        <w:t>378/</w:t>
      </w:r>
      <w:proofErr w:type="spellStart"/>
      <w:r w:rsidR="002543BC">
        <w:t>kWac</w:t>
      </w:r>
      <w:proofErr w:type="spellEnd"/>
      <w:r w:rsidR="002543BC">
        <w:t xml:space="preserve"> and that CPVRR savings are $26 million.  Further, on an average annual basis, the 2020 </w:t>
      </w:r>
      <w:proofErr w:type="spellStart"/>
      <w:r w:rsidR="002543BC">
        <w:t>SoBRA</w:t>
      </w:r>
      <w:proofErr w:type="spellEnd"/>
      <w:r w:rsidR="002543BC">
        <w:t xml:space="preserve"> projects are projected to reduce </w:t>
      </w:r>
      <w:r w:rsidR="005647A5">
        <w:t xml:space="preserve">FPL’s </w:t>
      </w:r>
      <w:r w:rsidR="002543BC">
        <w:t xml:space="preserve">use of natural gas by 4,734 million cubic feet and </w:t>
      </w:r>
      <w:r w:rsidR="005647A5">
        <w:t xml:space="preserve">to reduce the use of </w:t>
      </w:r>
      <w:r w:rsidR="002543BC">
        <w:t>coal by 459 tons. The reduced use of fossil fuel will, in turn, reduce CO</w:t>
      </w:r>
      <w:r w:rsidR="002543BC">
        <w:rPr>
          <w:sz w:val="16"/>
          <w:szCs w:val="16"/>
        </w:rPr>
        <w:t xml:space="preserve">2 </w:t>
      </w:r>
      <w:r w:rsidR="002543BC">
        <w:t>emissions by an average of 281,000 tons annually. Sulfur dioxide (SO</w:t>
      </w:r>
      <w:r w:rsidR="002543BC">
        <w:rPr>
          <w:sz w:val="16"/>
          <w:szCs w:val="16"/>
        </w:rPr>
        <w:t>2</w:t>
      </w:r>
      <w:r w:rsidR="002543BC">
        <w:t>) and nitrogen oxide (NO</w:t>
      </w:r>
      <w:r w:rsidR="00D8358E">
        <w:t xml:space="preserve">x) </w:t>
      </w:r>
      <w:r w:rsidR="002543BC">
        <w:t>emissions also are projected to decline by an annual average of 1 ton and 29 tons, respectively.</w:t>
      </w:r>
      <w:r>
        <w:t xml:space="preserve">  As stated by the Florida Supreme Court in reviewing FPL’s 2017 and 2018 </w:t>
      </w:r>
      <w:proofErr w:type="spellStart"/>
      <w:r>
        <w:t>SoBRA</w:t>
      </w:r>
      <w:proofErr w:type="spellEnd"/>
      <w:r>
        <w:t xml:space="preserve"> projects, there is no need to conduct either a need or prudence review of </w:t>
      </w:r>
      <w:proofErr w:type="spellStart"/>
      <w:r>
        <w:t>SoBRA</w:t>
      </w:r>
      <w:proofErr w:type="spellEnd"/>
      <w:r>
        <w:t xml:space="preserve"> projects which meet the criteria established by the 2016 Settlement.</w:t>
      </w:r>
      <w:r>
        <w:rPr>
          <w:rStyle w:val="FootnoteReference"/>
        </w:rPr>
        <w:footnoteReference w:id="3"/>
      </w:r>
      <w:r>
        <w:t xml:space="preserve">  For these reasons, FPL argues that </w:t>
      </w:r>
      <w:r w:rsidR="00D607E7">
        <w:t>these projects are cost</w:t>
      </w:r>
      <w:r w:rsidR="005647A5">
        <w:t>-</w:t>
      </w:r>
      <w:r w:rsidR="00D607E7">
        <w:t>effective</w:t>
      </w:r>
      <w:r w:rsidR="00F06FDB">
        <w:t xml:space="preserve"> and should be approved</w:t>
      </w:r>
      <w:r w:rsidR="00D607E7">
        <w:t>.</w:t>
      </w:r>
    </w:p>
    <w:p w:rsidR="00D607E7" w:rsidRDefault="00D607E7" w:rsidP="002543BC">
      <w:pPr>
        <w:autoSpaceDE w:val="0"/>
        <w:autoSpaceDN w:val="0"/>
        <w:adjustRightInd w:val="0"/>
        <w:jc w:val="both"/>
      </w:pPr>
    </w:p>
    <w:p w:rsidR="00F06FDB" w:rsidRDefault="00D607E7" w:rsidP="002543BC">
      <w:pPr>
        <w:autoSpaceDE w:val="0"/>
        <w:autoSpaceDN w:val="0"/>
        <w:adjustRightInd w:val="0"/>
        <w:jc w:val="both"/>
      </w:pPr>
      <w:r>
        <w:tab/>
        <w:t xml:space="preserve">In its opening statement FIPUG conceded that the Florida Supreme Court has ruled that the cost recovery criteria set forth in Section 10 of the 2016 Settlement control and are met by the 2020 </w:t>
      </w:r>
      <w:proofErr w:type="spellStart"/>
      <w:r>
        <w:t>SoBRA</w:t>
      </w:r>
      <w:proofErr w:type="spellEnd"/>
      <w:r>
        <w:t xml:space="preserve"> projects at issue here.  However, FIPUG </w:t>
      </w:r>
      <w:r w:rsidR="00C2351B">
        <w:t>argues that the</w:t>
      </w:r>
      <w:r w:rsidR="005D152F">
        <w:t xml:space="preserve"> </w:t>
      </w:r>
      <w:r w:rsidR="00D8358E">
        <w:t xml:space="preserve">Commission should </w:t>
      </w:r>
      <w:r w:rsidR="005647A5">
        <w:t>review</w:t>
      </w:r>
      <w:r w:rsidR="00D8358E">
        <w:t xml:space="preserve"> all solar projects from a broader perspective taking into account need as well as cost</w:t>
      </w:r>
      <w:r w:rsidR="005647A5">
        <w:t>-</w:t>
      </w:r>
      <w:r w:rsidR="00D8358E">
        <w:t xml:space="preserve"> effectiveness based on market conditions, not simply one number agreed to in a settlement.   Further, </w:t>
      </w:r>
      <w:r w:rsidR="00F06FDB">
        <w:t xml:space="preserve">FIPUG argues that </w:t>
      </w:r>
      <w:r w:rsidR="00D8358E">
        <w:t>the need for the</w:t>
      </w:r>
      <w:r w:rsidR="00F06FDB">
        <w:t xml:space="preserve"> 2020 </w:t>
      </w:r>
      <w:proofErr w:type="spellStart"/>
      <w:r w:rsidR="00F06FDB">
        <w:t>SoBRA</w:t>
      </w:r>
      <w:proofErr w:type="spellEnd"/>
      <w:r w:rsidR="00F06FDB">
        <w:t xml:space="preserve"> projects, none of which were subject to a Section 403.519, F.S., need determination proceeding, has not been established.  In FIPUG’s opinion, these plants could be pushing FPL’s reserve margins to historically high percentages while being unable to provide reliable 24-hour base load capacity.  In sum, FIPUG understands that the 2016 Settlement terms for recovery of the 2020 </w:t>
      </w:r>
      <w:proofErr w:type="spellStart"/>
      <w:r w:rsidR="00F06FDB">
        <w:t>SoBRAs</w:t>
      </w:r>
      <w:proofErr w:type="spellEnd"/>
      <w:r w:rsidR="00F06FDB">
        <w:t xml:space="preserve"> have been met</w:t>
      </w:r>
      <w:r w:rsidR="007B6BD9">
        <w:t>,</w:t>
      </w:r>
      <w:r w:rsidR="00F06FDB">
        <w:t xml:space="preserve"> but wished to raise these issues for consideration in the Commission’s future decisions regarding solar power.</w:t>
      </w:r>
    </w:p>
    <w:p w:rsidR="007B6BD9" w:rsidRDefault="00F06FDB" w:rsidP="002543BC">
      <w:pPr>
        <w:autoSpaceDE w:val="0"/>
        <w:autoSpaceDN w:val="0"/>
        <w:adjustRightInd w:val="0"/>
        <w:jc w:val="both"/>
      </w:pPr>
      <w:r>
        <w:lastRenderedPageBreak/>
        <w:tab/>
      </w:r>
      <w:r w:rsidR="007B6BD9">
        <w:t xml:space="preserve">The record before us clearly has </w:t>
      </w:r>
      <w:proofErr w:type="spellStart"/>
      <w:r w:rsidR="007B6BD9">
        <w:t>uncontradicted</w:t>
      </w:r>
      <w:proofErr w:type="spellEnd"/>
      <w:r w:rsidR="007B6BD9">
        <w:t xml:space="preserve">, competent, and substantial evidence supporting the cost effectiveness of FPL’s 2020 </w:t>
      </w:r>
      <w:proofErr w:type="spellStart"/>
      <w:r w:rsidR="007B6BD9">
        <w:t>SoBRA</w:t>
      </w:r>
      <w:proofErr w:type="spellEnd"/>
      <w:r w:rsidR="007B6BD9">
        <w:t xml:space="preserve"> projects: construction costs of $1,378/</w:t>
      </w:r>
      <w:proofErr w:type="spellStart"/>
      <w:r w:rsidR="007B6BD9">
        <w:t>kWac</w:t>
      </w:r>
      <w:proofErr w:type="spellEnd"/>
      <w:r w:rsidR="007B6BD9">
        <w:t xml:space="preserve"> and CPVRR savings of $26 million.  That being the case, we find that the 2020 </w:t>
      </w:r>
      <w:proofErr w:type="spellStart"/>
      <w:r w:rsidR="007B6BD9">
        <w:t>SoBRA</w:t>
      </w:r>
      <w:proofErr w:type="spellEnd"/>
      <w:r w:rsidR="007B6BD9">
        <w:t xml:space="preserve"> projects proposed by FPL are cost effective. </w:t>
      </w:r>
    </w:p>
    <w:p w:rsidR="007B6BD9" w:rsidRDefault="007B6BD9" w:rsidP="002543BC">
      <w:pPr>
        <w:autoSpaceDE w:val="0"/>
        <w:autoSpaceDN w:val="0"/>
        <w:adjustRightInd w:val="0"/>
        <w:jc w:val="both"/>
      </w:pPr>
    </w:p>
    <w:p w:rsidR="00D607E7" w:rsidRPr="00126B18" w:rsidRDefault="00126B18" w:rsidP="002543BC">
      <w:pPr>
        <w:autoSpaceDE w:val="0"/>
        <w:autoSpaceDN w:val="0"/>
        <w:adjustRightInd w:val="0"/>
        <w:jc w:val="both"/>
        <w:rPr>
          <w:u w:val="single"/>
        </w:rPr>
      </w:pPr>
      <w:r w:rsidRPr="00126B18">
        <w:rPr>
          <w:u w:val="single"/>
        </w:rPr>
        <w:t>Other Matters</w:t>
      </w:r>
    </w:p>
    <w:p w:rsidR="007B6BD9" w:rsidRDefault="007B6BD9" w:rsidP="002543BC">
      <w:pPr>
        <w:autoSpaceDE w:val="0"/>
        <w:autoSpaceDN w:val="0"/>
        <w:adjustRightInd w:val="0"/>
        <w:jc w:val="both"/>
        <w:rPr>
          <w:b/>
        </w:rPr>
      </w:pPr>
    </w:p>
    <w:p w:rsidR="007B6BD9" w:rsidRDefault="007B6BD9" w:rsidP="002543BC">
      <w:pPr>
        <w:autoSpaceDE w:val="0"/>
        <w:autoSpaceDN w:val="0"/>
        <w:adjustRightInd w:val="0"/>
        <w:jc w:val="both"/>
      </w:pPr>
      <w:r>
        <w:rPr>
          <w:b/>
        </w:rPr>
        <w:tab/>
      </w:r>
      <w:r>
        <w:t>Per stipulation of the parties, the new fuel adjustment and capacity factors shall become effective beginning with the first billing cycle for January</w:t>
      </w:r>
      <w:r w:rsidR="009A6E35">
        <w:t xml:space="preserve"> 2020 through the last billing cycle for December 2020.  The first billing cycle may start before January 1, 2020, and the last cycle may be read after December 31, 2020, so that each customer is billed for twelve months regardless of when the recovery factors became effective.  The new factors shall continue in effect until modified by us.</w:t>
      </w:r>
    </w:p>
    <w:p w:rsidR="009A6E35" w:rsidRDefault="009A6E35" w:rsidP="002543BC">
      <w:pPr>
        <w:autoSpaceDE w:val="0"/>
        <w:autoSpaceDN w:val="0"/>
        <w:adjustRightInd w:val="0"/>
        <w:jc w:val="both"/>
      </w:pPr>
    </w:p>
    <w:p w:rsidR="009A6E35" w:rsidRDefault="009A6E35" w:rsidP="002543BC">
      <w:pPr>
        <w:autoSpaceDE w:val="0"/>
        <w:autoSpaceDN w:val="0"/>
        <w:adjustRightInd w:val="0"/>
        <w:jc w:val="both"/>
      </w:pPr>
      <w:r>
        <w:tab/>
        <w:t>We hereby approve revised tariffs reflecting the fuel adjustment factors and capacity cost recovery factors determined to be appropriate in this proceeding.  We direct staff to verify that the revised tariffs are consistent with our decision.</w:t>
      </w:r>
    </w:p>
    <w:p w:rsidR="009A6E35" w:rsidRDefault="009A6E35" w:rsidP="002543BC">
      <w:pPr>
        <w:autoSpaceDE w:val="0"/>
        <w:autoSpaceDN w:val="0"/>
        <w:adjustRightInd w:val="0"/>
        <w:jc w:val="both"/>
      </w:pPr>
    </w:p>
    <w:p w:rsidR="009A6E35" w:rsidRDefault="009A6E35" w:rsidP="002543BC">
      <w:pPr>
        <w:autoSpaceDE w:val="0"/>
        <w:autoSpaceDN w:val="0"/>
        <w:adjustRightInd w:val="0"/>
        <w:jc w:val="both"/>
      </w:pPr>
      <w:r>
        <w:tab/>
        <w:t xml:space="preserve">Based on the foregoing, it is </w:t>
      </w:r>
    </w:p>
    <w:p w:rsidR="009A6E35" w:rsidRDefault="009A6E35" w:rsidP="002543BC">
      <w:pPr>
        <w:autoSpaceDE w:val="0"/>
        <w:autoSpaceDN w:val="0"/>
        <w:adjustRightInd w:val="0"/>
        <w:jc w:val="both"/>
      </w:pPr>
    </w:p>
    <w:p w:rsidR="009A6E35" w:rsidRDefault="009A6E35" w:rsidP="009A6E35">
      <w:pPr>
        <w:pStyle w:val="BodyText"/>
        <w:jc w:val="both"/>
        <w:rPr>
          <w:bCs/>
        </w:rPr>
      </w:pPr>
      <w:r>
        <w:rPr>
          <w:bCs/>
        </w:rPr>
        <w:tab/>
        <w:t xml:space="preserve">ORDERED by the Florida Public Service Commission that the findings set forth in the body </w:t>
      </w:r>
      <w:proofErr w:type="gramStart"/>
      <w:r>
        <w:rPr>
          <w:bCs/>
        </w:rPr>
        <w:t>of,</w:t>
      </w:r>
      <w:proofErr w:type="gramEnd"/>
      <w:r>
        <w:rPr>
          <w:bCs/>
        </w:rPr>
        <w:t xml:space="preserve"> and Attachment A hereto, this Order are hereby approved.  It is further</w:t>
      </w:r>
    </w:p>
    <w:p w:rsidR="008F0E20" w:rsidRDefault="008F0E20" w:rsidP="009A6E35">
      <w:pPr>
        <w:pStyle w:val="BodyText"/>
        <w:jc w:val="both"/>
        <w:rPr>
          <w:bCs/>
        </w:rPr>
      </w:pPr>
    </w:p>
    <w:p w:rsidR="009A6E35" w:rsidRDefault="009A6E35" w:rsidP="009A6E35">
      <w:pPr>
        <w:pStyle w:val="BodyText"/>
        <w:jc w:val="both"/>
      </w:pPr>
      <w:r>
        <w:rPr>
          <w:bCs/>
        </w:rPr>
        <w:tab/>
        <w:t xml:space="preserve">ORDERED that Florida Power &amp; Light Company, </w:t>
      </w:r>
      <w:r>
        <w:t>Florida Public Utilities Company, Gulf Power Company, Duke Energy Florida, LLC, and Tampa Electric Company are hereby authorized to apply the fuel cost recovery factors set forth herein during the period January 2020 through December 2020.  It is further</w:t>
      </w:r>
    </w:p>
    <w:p w:rsidR="008F0E20" w:rsidRPr="00773A9E" w:rsidRDefault="008F0E20" w:rsidP="009A6E35">
      <w:pPr>
        <w:pStyle w:val="BodyText"/>
        <w:jc w:val="both"/>
        <w:rPr>
          <w:bCs/>
        </w:rPr>
      </w:pPr>
    </w:p>
    <w:p w:rsidR="009A6E35" w:rsidRDefault="009A6E35" w:rsidP="009A6E35">
      <w:pPr>
        <w:pStyle w:val="BodyText"/>
        <w:jc w:val="both"/>
      </w:pPr>
      <w:r w:rsidRPr="00773A9E">
        <w:rPr>
          <w:bCs/>
        </w:rPr>
        <w:tab/>
      </w:r>
      <w:r>
        <w:t>ORDERED that the estimated true-up amounts contained in the fuel cost recovery factors approved herein are hereby authorized subject to final true-up and further subject to proof of the reasonableness and prudence of the expenditures upon which the amounts are based.  It is further</w:t>
      </w:r>
    </w:p>
    <w:p w:rsidR="008F0E20" w:rsidRDefault="008F0E20" w:rsidP="009A6E35">
      <w:pPr>
        <w:pStyle w:val="BodyText"/>
        <w:jc w:val="both"/>
      </w:pPr>
    </w:p>
    <w:p w:rsidR="009A6E35" w:rsidRDefault="009A6E35" w:rsidP="009A6E35">
      <w:pPr>
        <w:pStyle w:val="BodyText"/>
        <w:jc w:val="both"/>
      </w:pPr>
      <w:r>
        <w:tab/>
        <w:t>ORDERED that Florida Power &amp; Light Company, Florida Public Utilities Company, Gulf Power Company, Duke Energy Florida, LLC, and Tampa Electric Company are hereby authorized to apply the capacity cost recovery factors set forth herein during the period January 2020 through December 2020.  It is further</w:t>
      </w:r>
    </w:p>
    <w:p w:rsidR="008F0E20" w:rsidRDefault="008F0E20" w:rsidP="009A6E35">
      <w:pPr>
        <w:pStyle w:val="BodyText"/>
        <w:jc w:val="both"/>
      </w:pPr>
    </w:p>
    <w:p w:rsidR="009A6E35" w:rsidRDefault="009A6E35" w:rsidP="009A6E35">
      <w:pPr>
        <w:pStyle w:val="BodyText"/>
        <w:jc w:val="both"/>
      </w:pPr>
      <w:r>
        <w:tab/>
        <w:t>ORDERED that the estimated true-up amounts contained in the capacity cost recovery factors approved herein are hereby authorized subject to final true-up and further subject to proof of the reasonableness and prudence of the expenditures upon which the amounts are based.  It is further</w:t>
      </w:r>
    </w:p>
    <w:p w:rsidR="009A6E35" w:rsidRDefault="009A6E35" w:rsidP="009A6E35">
      <w:pPr>
        <w:pStyle w:val="BodyText"/>
        <w:jc w:val="both"/>
      </w:pPr>
      <w:r>
        <w:lastRenderedPageBreak/>
        <w:tab/>
        <w:t xml:space="preserve">ORDERED that the revised tariffs reflecting the fuel adjustment factors and capacity cost recovery factors determined to be appropriate in this proceeding are hereby approved and we direct Commission staff to verify that the revised tariffs are consistent with our decision.  It is further   </w:t>
      </w:r>
    </w:p>
    <w:p w:rsidR="008F0E20" w:rsidRDefault="008F0E20" w:rsidP="009A6E35">
      <w:pPr>
        <w:pStyle w:val="BodyText"/>
        <w:jc w:val="both"/>
      </w:pPr>
    </w:p>
    <w:p w:rsidR="009A6E35" w:rsidRDefault="009A6E35" w:rsidP="009A6E35">
      <w:pPr>
        <w:autoSpaceDE w:val="0"/>
        <w:autoSpaceDN w:val="0"/>
        <w:adjustRightInd w:val="0"/>
        <w:jc w:val="both"/>
      </w:pPr>
      <w:r>
        <w:t xml:space="preserve">     </w:t>
      </w:r>
      <w:r>
        <w:tab/>
        <w:t>ORDERED that while the Fuel and Purchased Power Cost Recovery Clause with Generating Performance Incentive Factor docket is assigned a separate docket number each year for administrative convenience, it is a continuing docket and shall remain open.</w:t>
      </w:r>
    </w:p>
    <w:p w:rsidR="009A6E35" w:rsidRDefault="009A6E35" w:rsidP="009A6E35">
      <w:pPr>
        <w:autoSpaceDE w:val="0"/>
        <w:autoSpaceDN w:val="0"/>
        <w:adjustRightInd w:val="0"/>
        <w:jc w:val="both"/>
      </w:pPr>
    </w:p>
    <w:p w:rsidR="009A6E35" w:rsidRDefault="009A6E35" w:rsidP="009A6E35">
      <w:pPr>
        <w:keepNext/>
        <w:keepLines/>
        <w:autoSpaceDE w:val="0"/>
        <w:autoSpaceDN w:val="0"/>
        <w:adjustRightInd w:val="0"/>
        <w:jc w:val="both"/>
      </w:pPr>
      <w:r>
        <w:tab/>
        <w:t xml:space="preserve">By ORDER of the Florida Public Service Commission this </w:t>
      </w:r>
      <w:bookmarkStart w:id="6" w:name="replaceDate"/>
      <w:bookmarkEnd w:id="6"/>
      <w:r w:rsidR="00861392">
        <w:rPr>
          <w:u w:val="single"/>
        </w:rPr>
        <w:t>18th</w:t>
      </w:r>
      <w:r w:rsidR="00861392">
        <w:t xml:space="preserve"> day of </w:t>
      </w:r>
      <w:r w:rsidR="00861392">
        <w:rPr>
          <w:u w:val="single"/>
        </w:rPr>
        <w:t>November</w:t>
      </w:r>
      <w:r w:rsidR="00861392">
        <w:t xml:space="preserve">, </w:t>
      </w:r>
      <w:r w:rsidR="00861392">
        <w:rPr>
          <w:u w:val="single"/>
        </w:rPr>
        <w:t>2019</w:t>
      </w:r>
      <w:r w:rsidR="00861392">
        <w:t>.</w:t>
      </w:r>
    </w:p>
    <w:p w:rsidR="00861392" w:rsidRPr="00861392" w:rsidRDefault="00861392" w:rsidP="009A6E35">
      <w:pPr>
        <w:keepNext/>
        <w:keepLines/>
        <w:autoSpaceDE w:val="0"/>
        <w:autoSpaceDN w:val="0"/>
        <w:adjustRightInd w:val="0"/>
        <w:jc w:val="both"/>
      </w:pPr>
    </w:p>
    <w:p w:rsidR="009A6E35" w:rsidRDefault="009A6E35" w:rsidP="009A6E35">
      <w:pPr>
        <w:keepNext/>
        <w:keepLines/>
        <w:autoSpaceDE w:val="0"/>
        <w:autoSpaceDN w:val="0"/>
        <w:adjustRightInd w:val="0"/>
        <w:jc w:val="both"/>
      </w:pPr>
    </w:p>
    <w:p w:rsidR="009A6E35" w:rsidRDefault="009A6E35" w:rsidP="009A6E35">
      <w:pPr>
        <w:keepNext/>
        <w:keepLines/>
        <w:autoSpaceDE w:val="0"/>
        <w:autoSpaceDN w:val="0"/>
        <w:adjustRightInd w:val="0"/>
        <w:jc w:val="both"/>
      </w:pPr>
    </w:p>
    <w:p w:rsidR="009A6E35" w:rsidRDefault="009A6E35" w:rsidP="009A6E35">
      <w:pPr>
        <w:keepNext/>
        <w:keepLines/>
        <w:autoSpaceDE w:val="0"/>
        <w:autoSpaceDN w:val="0"/>
        <w:adjustRightInd w:val="0"/>
        <w:jc w:val="both"/>
      </w:pPr>
    </w:p>
    <w:tbl>
      <w:tblPr>
        <w:tblW w:w="4720" w:type="dxa"/>
        <w:tblInd w:w="3800" w:type="dxa"/>
        <w:tblLayout w:type="fixed"/>
        <w:tblLook w:val="0000" w:firstRow="0" w:lastRow="0" w:firstColumn="0" w:lastColumn="0" w:noHBand="0" w:noVBand="0"/>
      </w:tblPr>
      <w:tblGrid>
        <w:gridCol w:w="686"/>
        <w:gridCol w:w="4034"/>
      </w:tblGrid>
      <w:tr w:rsidR="009A6E35" w:rsidTr="009A6E35">
        <w:tc>
          <w:tcPr>
            <w:tcW w:w="720" w:type="dxa"/>
            <w:shd w:val="clear" w:color="auto" w:fill="auto"/>
          </w:tcPr>
          <w:p w:rsidR="009A6E35" w:rsidRDefault="009A6E35" w:rsidP="009A6E35">
            <w:pPr>
              <w:keepNext/>
              <w:keepLines/>
              <w:autoSpaceDE w:val="0"/>
              <w:autoSpaceDN w:val="0"/>
              <w:adjustRightInd w:val="0"/>
              <w:jc w:val="both"/>
            </w:pPr>
            <w:bookmarkStart w:id="7" w:name="bkmrkSignature" w:colFirst="0" w:colLast="0"/>
          </w:p>
        </w:tc>
        <w:tc>
          <w:tcPr>
            <w:tcW w:w="4320" w:type="dxa"/>
            <w:tcBorders>
              <w:bottom w:val="single" w:sz="4" w:space="0" w:color="auto"/>
            </w:tcBorders>
            <w:shd w:val="clear" w:color="auto" w:fill="auto"/>
          </w:tcPr>
          <w:p w:rsidR="009A6E35" w:rsidRDefault="00AD7651" w:rsidP="009A6E35">
            <w:pPr>
              <w:keepNext/>
              <w:keepLines/>
              <w:autoSpaceDE w:val="0"/>
              <w:autoSpaceDN w:val="0"/>
              <w:adjustRightInd w:val="0"/>
              <w:jc w:val="both"/>
            </w:pPr>
            <w:r>
              <w:t>/s/ Adam J. Teitzman</w:t>
            </w:r>
          </w:p>
        </w:tc>
      </w:tr>
      <w:bookmarkEnd w:id="7"/>
      <w:tr w:rsidR="009A6E35" w:rsidTr="009A6E35">
        <w:tc>
          <w:tcPr>
            <w:tcW w:w="720" w:type="dxa"/>
            <w:shd w:val="clear" w:color="auto" w:fill="auto"/>
          </w:tcPr>
          <w:p w:rsidR="009A6E35" w:rsidRDefault="009A6E35" w:rsidP="009A6E35">
            <w:pPr>
              <w:keepNext/>
              <w:keepLines/>
              <w:autoSpaceDE w:val="0"/>
              <w:autoSpaceDN w:val="0"/>
              <w:adjustRightInd w:val="0"/>
              <w:jc w:val="both"/>
            </w:pPr>
          </w:p>
        </w:tc>
        <w:tc>
          <w:tcPr>
            <w:tcW w:w="4320" w:type="dxa"/>
            <w:tcBorders>
              <w:top w:val="single" w:sz="4" w:space="0" w:color="auto"/>
            </w:tcBorders>
            <w:shd w:val="clear" w:color="auto" w:fill="auto"/>
          </w:tcPr>
          <w:p w:rsidR="009A6E35" w:rsidRDefault="009A6E35" w:rsidP="009A6E35">
            <w:pPr>
              <w:keepNext/>
              <w:keepLines/>
              <w:autoSpaceDE w:val="0"/>
              <w:autoSpaceDN w:val="0"/>
              <w:adjustRightInd w:val="0"/>
              <w:jc w:val="both"/>
            </w:pPr>
            <w:r>
              <w:t>ADAM J. TEITZMAN</w:t>
            </w:r>
          </w:p>
          <w:p w:rsidR="009A6E35" w:rsidRDefault="009A6E35" w:rsidP="009A6E35">
            <w:pPr>
              <w:keepNext/>
              <w:keepLines/>
              <w:autoSpaceDE w:val="0"/>
              <w:autoSpaceDN w:val="0"/>
              <w:adjustRightInd w:val="0"/>
              <w:jc w:val="both"/>
            </w:pPr>
            <w:r>
              <w:t>Commission Clerk</w:t>
            </w:r>
          </w:p>
        </w:tc>
      </w:tr>
    </w:tbl>
    <w:p w:rsidR="009A6E35" w:rsidRDefault="009A6E35" w:rsidP="009A6E35">
      <w:pPr>
        <w:pStyle w:val="OrderSigInfo"/>
        <w:keepNext/>
        <w:keepLines/>
      </w:pPr>
      <w:r>
        <w:t>Florida Public Service Commission</w:t>
      </w:r>
    </w:p>
    <w:p w:rsidR="009A6E35" w:rsidRDefault="009A6E35" w:rsidP="009A6E35">
      <w:pPr>
        <w:pStyle w:val="OrderSigInfo"/>
        <w:keepNext/>
        <w:keepLines/>
      </w:pPr>
      <w:r>
        <w:t>2540 Shumard Oak Boulevard</w:t>
      </w:r>
    </w:p>
    <w:p w:rsidR="009A6E35" w:rsidRDefault="009A6E35" w:rsidP="009A6E35">
      <w:pPr>
        <w:pStyle w:val="OrderSigInfo"/>
        <w:keepNext/>
        <w:keepLines/>
      </w:pPr>
      <w:r>
        <w:t>Tallahassee, Florida 32399</w:t>
      </w:r>
    </w:p>
    <w:p w:rsidR="009A6E35" w:rsidRDefault="009A6E35" w:rsidP="009A6E35">
      <w:pPr>
        <w:pStyle w:val="OrderSigInfo"/>
        <w:keepNext/>
        <w:keepLines/>
      </w:pPr>
      <w:r>
        <w:t>(850) 413</w:t>
      </w:r>
      <w:r>
        <w:noBreakHyphen/>
        <w:t>6770</w:t>
      </w:r>
    </w:p>
    <w:p w:rsidR="009A6E35" w:rsidRDefault="009A6E35" w:rsidP="009A6E35">
      <w:pPr>
        <w:pStyle w:val="OrderSigInfo"/>
        <w:keepNext/>
        <w:keepLines/>
      </w:pPr>
      <w:r>
        <w:t>www.floridapsc.com</w:t>
      </w:r>
    </w:p>
    <w:p w:rsidR="009A6E35" w:rsidRDefault="009A6E35" w:rsidP="009A6E35">
      <w:pPr>
        <w:pStyle w:val="OrderSigInfo"/>
        <w:keepNext/>
        <w:keepLines/>
      </w:pPr>
    </w:p>
    <w:p w:rsidR="009A6E35" w:rsidRDefault="009A6E35" w:rsidP="009A6E35">
      <w:pPr>
        <w:pStyle w:val="OrderSigInfo"/>
        <w:keepNext/>
        <w:keepLines/>
      </w:pPr>
      <w:r>
        <w:t>Copies furnished:  A copy of this document is provided to the parties of record at the time of issuance and, if applicable, interested persons.</w:t>
      </w:r>
    </w:p>
    <w:p w:rsidR="009A6E35" w:rsidRDefault="009A6E35" w:rsidP="009A6E35">
      <w:pPr>
        <w:pStyle w:val="OrderBody"/>
        <w:keepNext/>
        <w:keepLines/>
      </w:pPr>
    </w:p>
    <w:p w:rsidR="009A6E35" w:rsidRDefault="009A6E35" w:rsidP="009A6E35">
      <w:pPr>
        <w:autoSpaceDE w:val="0"/>
        <w:autoSpaceDN w:val="0"/>
        <w:adjustRightInd w:val="0"/>
        <w:jc w:val="both"/>
      </w:pPr>
    </w:p>
    <w:p w:rsidR="009A6E35" w:rsidRDefault="009A6E35" w:rsidP="009A6E35">
      <w:pPr>
        <w:autoSpaceDE w:val="0"/>
        <w:autoSpaceDN w:val="0"/>
        <w:adjustRightInd w:val="0"/>
        <w:jc w:val="both"/>
      </w:pPr>
      <w:proofErr w:type="spellStart"/>
      <w:r>
        <w:t>SBr</w:t>
      </w:r>
      <w:proofErr w:type="spellEnd"/>
    </w:p>
    <w:p w:rsidR="009A6E35" w:rsidRDefault="009A6E35" w:rsidP="009A6E35">
      <w:pPr>
        <w:autoSpaceDE w:val="0"/>
        <w:autoSpaceDN w:val="0"/>
        <w:adjustRightInd w:val="0"/>
        <w:jc w:val="both"/>
      </w:pPr>
    </w:p>
    <w:p w:rsidR="008F0E20" w:rsidRDefault="008F0E20" w:rsidP="009A6E35">
      <w:pPr>
        <w:autoSpaceDE w:val="0"/>
        <w:autoSpaceDN w:val="0"/>
        <w:adjustRightInd w:val="0"/>
        <w:jc w:val="both"/>
      </w:pPr>
    </w:p>
    <w:p w:rsidR="008F0E20" w:rsidRDefault="008F0E20" w:rsidP="009A6E35">
      <w:pPr>
        <w:autoSpaceDE w:val="0"/>
        <w:autoSpaceDN w:val="0"/>
        <w:adjustRightInd w:val="0"/>
        <w:jc w:val="both"/>
      </w:pPr>
    </w:p>
    <w:p w:rsidR="008F0E20" w:rsidRDefault="008F0E20" w:rsidP="009A6E35">
      <w:pPr>
        <w:autoSpaceDE w:val="0"/>
        <w:autoSpaceDN w:val="0"/>
        <w:adjustRightInd w:val="0"/>
        <w:jc w:val="both"/>
      </w:pPr>
    </w:p>
    <w:p w:rsidR="009A6E35" w:rsidRDefault="009A6E35" w:rsidP="009A6E35">
      <w:pPr>
        <w:pStyle w:val="CenterUnderline"/>
      </w:pPr>
      <w:r>
        <w:t>NOTICE OF FURTHER PROCEEDINGS OR JUDICIAL REVIEW</w:t>
      </w:r>
    </w:p>
    <w:p w:rsidR="009A6E35" w:rsidRDefault="009A6E35" w:rsidP="009A6E35">
      <w:pPr>
        <w:pStyle w:val="CenterUnderline"/>
      </w:pPr>
    </w:p>
    <w:p w:rsidR="009A6E35" w:rsidRDefault="009A6E35" w:rsidP="009A6E35">
      <w:pPr>
        <w:pStyle w:val="OrderBody"/>
      </w:pPr>
    </w:p>
    <w:p w:rsidR="009A6E35" w:rsidRDefault="009A6E35" w:rsidP="009A6E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A6E35" w:rsidRDefault="009A6E35" w:rsidP="009A6E35">
      <w:pPr>
        <w:pStyle w:val="OrderBody"/>
      </w:pPr>
    </w:p>
    <w:p w:rsidR="009A6E35" w:rsidRDefault="009A6E35" w:rsidP="009A6E35">
      <w:pPr>
        <w:pStyle w:val="OrderBody"/>
      </w:pPr>
      <w:r>
        <w:tab/>
        <w:t xml:space="preserve">Any party adversely affected by the Commission's final action in this matter may request: 1) reconsideration of the decision by filing a motion for reconsideration with the Office of </w:t>
      </w:r>
      <w:r>
        <w:lastRenderedPageBreak/>
        <w:t>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10674" w:rsidRDefault="00910674" w:rsidP="009A6E35">
      <w:pPr>
        <w:pStyle w:val="OrderBody"/>
      </w:pPr>
    </w:p>
    <w:p w:rsidR="002D5713" w:rsidRDefault="002D5713" w:rsidP="009A6E35">
      <w:pPr>
        <w:pStyle w:val="OrderBody"/>
      </w:pPr>
    </w:p>
    <w:p w:rsidR="002D5713" w:rsidRDefault="002D5713">
      <w:r>
        <w:br w:type="page"/>
      </w:r>
    </w:p>
    <w:p w:rsidR="002D5713" w:rsidRDefault="002D5713" w:rsidP="002D5713">
      <w:pPr>
        <w:pStyle w:val="OrderBody"/>
        <w:jc w:val="right"/>
      </w:pPr>
      <w:r>
        <w:lastRenderedPageBreak/>
        <w:t>ATTACHMENT A</w:t>
      </w:r>
    </w:p>
    <w:p w:rsidR="002D5713" w:rsidRDefault="002D5713" w:rsidP="002D5713">
      <w:pPr>
        <w:ind w:left="720" w:hanging="720"/>
        <w:jc w:val="center"/>
        <w:rPr>
          <w:b/>
          <w:bCs/>
          <w:u w:val="single"/>
        </w:rPr>
      </w:pPr>
    </w:p>
    <w:p w:rsidR="002D5713" w:rsidRPr="00551560" w:rsidRDefault="002D5713" w:rsidP="002D5713">
      <w:pPr>
        <w:ind w:left="720" w:hanging="720"/>
        <w:jc w:val="center"/>
        <w:rPr>
          <w:b/>
          <w:bCs/>
          <w:u w:val="single"/>
        </w:rPr>
      </w:pPr>
      <w:r>
        <w:rPr>
          <w:b/>
          <w:bCs/>
          <w:u w:val="single"/>
        </w:rPr>
        <w:t>APPROVED TYPE 2 STIPULATIONS</w:t>
      </w:r>
      <w:r>
        <w:rPr>
          <w:rStyle w:val="FootnoteReference"/>
          <w:b/>
          <w:bCs/>
          <w:u w:val="single"/>
        </w:rPr>
        <w:footnoteReference w:id="4"/>
      </w:r>
    </w:p>
    <w:p w:rsidR="002D5713" w:rsidRDefault="002D5713" w:rsidP="002D5713">
      <w:pPr>
        <w:ind w:left="720" w:hanging="720"/>
        <w:jc w:val="both"/>
        <w:rPr>
          <w:bCs/>
        </w:rPr>
      </w:pPr>
    </w:p>
    <w:p w:rsidR="002D5713" w:rsidRDefault="002D5713" w:rsidP="002D5713">
      <w:pPr>
        <w:ind w:left="720" w:hanging="720"/>
        <w:jc w:val="both"/>
        <w:rPr>
          <w:b/>
          <w:bCs/>
        </w:rPr>
      </w:pPr>
      <w:r>
        <w:rPr>
          <w:b/>
          <w:bCs/>
        </w:rPr>
        <w:t>I.</w:t>
      </w:r>
      <w:r>
        <w:rPr>
          <w:b/>
          <w:bCs/>
        </w:rPr>
        <w:tab/>
      </w:r>
      <w:r w:rsidRPr="00A27C99">
        <w:rPr>
          <w:b/>
          <w:bCs/>
          <w:u w:val="single"/>
        </w:rPr>
        <w:t xml:space="preserve">FUEL </w:t>
      </w:r>
      <w:r w:rsidRPr="00A27C99">
        <w:rPr>
          <w:b/>
          <w:bCs/>
          <w:u w:val="single"/>
        </w:rPr>
        <w:tab/>
        <w:t>ISSUES</w:t>
      </w:r>
    </w:p>
    <w:p w:rsidR="002D5713" w:rsidRPr="00F740AF" w:rsidRDefault="002D5713" w:rsidP="002D5713">
      <w:pPr>
        <w:ind w:left="720" w:hanging="720"/>
        <w:jc w:val="both"/>
        <w:rPr>
          <w:b/>
          <w:bCs/>
        </w:rPr>
      </w:pPr>
    </w:p>
    <w:p w:rsidR="002D5713" w:rsidRPr="007455C0" w:rsidRDefault="002D5713" w:rsidP="002D5713">
      <w:pPr>
        <w:autoSpaceDE w:val="0"/>
        <w:autoSpaceDN w:val="0"/>
        <w:adjustRightInd w:val="0"/>
        <w:ind w:left="1440" w:hanging="1440"/>
        <w:jc w:val="both"/>
      </w:pPr>
      <w:r w:rsidRPr="007455C0">
        <w:rPr>
          <w:b/>
          <w:bCs/>
          <w:u w:val="single"/>
        </w:rPr>
        <w:t>ISSUE 1A</w:t>
      </w:r>
      <w:r w:rsidRPr="007455C0">
        <w:rPr>
          <w:b/>
          <w:bCs/>
        </w:rPr>
        <w:t>:</w:t>
      </w:r>
      <w:r w:rsidRPr="007455C0">
        <w:tab/>
      </w:r>
      <w:r w:rsidRPr="00EF0C45">
        <w:rPr>
          <w:b/>
        </w:rPr>
        <w:t>Should the Commission approve as prudent DEF’s actions to mitigate the volatility of natural gas, residual oil, and purchased power prices, as reported in DEF’s April 2019 and August 2019 hedging reports?</w:t>
      </w:r>
      <w:r w:rsidRPr="007455C0">
        <w:t xml:space="preserve"> </w:t>
      </w:r>
    </w:p>
    <w:p w:rsidR="002D5713" w:rsidRPr="007455C0" w:rsidRDefault="002D5713" w:rsidP="002D5713">
      <w:pPr>
        <w:tabs>
          <w:tab w:val="left" w:pos="8571"/>
        </w:tabs>
        <w:autoSpaceDE w:val="0"/>
        <w:autoSpaceDN w:val="0"/>
        <w:adjustRightInd w:val="0"/>
        <w:jc w:val="both"/>
        <w:rPr>
          <w:b/>
          <w:u w:val="single"/>
        </w:rPr>
      </w:pPr>
    </w:p>
    <w:p w:rsidR="002D5713" w:rsidRDefault="002D5713" w:rsidP="002D5713">
      <w:pPr>
        <w:tabs>
          <w:tab w:val="left" w:pos="8571"/>
        </w:tabs>
        <w:autoSpaceDE w:val="0"/>
        <w:autoSpaceDN w:val="0"/>
        <w:adjustRightInd w:val="0"/>
        <w:ind w:left="1440" w:hanging="1440"/>
        <w:jc w:val="both"/>
      </w:pPr>
      <w:r w:rsidRPr="007455C0">
        <w:rPr>
          <w:b/>
          <w:u w:val="single"/>
        </w:rPr>
        <w:t>STIPULATION</w:t>
      </w:r>
      <w:r w:rsidRPr="007455C0">
        <w:t>:</w:t>
      </w:r>
    </w:p>
    <w:p w:rsidR="002D5713" w:rsidRPr="007455C0" w:rsidRDefault="002D5713" w:rsidP="002D5713">
      <w:pPr>
        <w:tabs>
          <w:tab w:val="left" w:pos="8571"/>
        </w:tabs>
        <w:autoSpaceDE w:val="0"/>
        <w:autoSpaceDN w:val="0"/>
        <w:adjustRightInd w:val="0"/>
        <w:ind w:left="1440" w:hanging="1440"/>
        <w:jc w:val="both"/>
      </w:pPr>
      <w:r w:rsidRPr="007455C0">
        <w:tab/>
      </w:r>
    </w:p>
    <w:p w:rsidR="002D5713" w:rsidRDefault="002D5713" w:rsidP="002D5713">
      <w:pPr>
        <w:tabs>
          <w:tab w:val="left" w:pos="8571"/>
        </w:tabs>
        <w:autoSpaceDE w:val="0"/>
        <w:autoSpaceDN w:val="0"/>
        <w:adjustRightInd w:val="0"/>
        <w:ind w:left="1440" w:hanging="1440"/>
        <w:jc w:val="both"/>
        <w:rPr>
          <w:b/>
          <w:bCs/>
          <w:u w:val="single"/>
        </w:rPr>
      </w:pPr>
      <w:r w:rsidRPr="007455C0">
        <w:tab/>
        <w:t xml:space="preserve">Yes, the Commission should approve as prudent DEF’s actions to mitigate the volatility of natural gas, residual oil, and purchased power prices that are reported in the August 2019 filing in Docket No. 20190001-EI. For the period </w:t>
      </w:r>
      <w:r>
        <w:t>reported in the April report,</w:t>
      </w:r>
      <w:r w:rsidRPr="007455C0">
        <w:t xml:space="preserve"> DEF’s hedging activities resulted in a net savings of </w:t>
      </w:r>
      <w:r>
        <w:t xml:space="preserve">$588,460. </w:t>
      </w:r>
      <w:r w:rsidRPr="007455C0">
        <w:t xml:space="preserve">For the period </w:t>
      </w:r>
      <w:r>
        <w:t>reported in the August report,</w:t>
      </w:r>
      <w:r w:rsidRPr="007455C0">
        <w:t xml:space="preserve"> DEF’s hedging activities resulted in a net savings of $100,700</w:t>
      </w:r>
      <w:r>
        <w:t>, and the</w:t>
      </w:r>
      <w:r w:rsidRPr="007455C0">
        <w:t xml:space="preserve"> activities </w:t>
      </w:r>
      <w:r>
        <w:t xml:space="preserve">in these reports </w:t>
      </w:r>
      <w:r w:rsidRPr="007455C0">
        <w:t>were pursuant to, and were consistent with,</w:t>
      </w:r>
      <w:r>
        <w:t xml:space="preserve"> previously approved risk management plans. Pursuant to the 2017 RRSSA, DEF agreed not to enter into any additional hedges during the term of the Agreement. </w:t>
      </w:r>
    </w:p>
    <w:p w:rsidR="002D5713" w:rsidRDefault="002D5713" w:rsidP="002D5713">
      <w:pPr>
        <w:autoSpaceDE w:val="0"/>
        <w:autoSpaceDN w:val="0"/>
        <w:adjustRightInd w:val="0"/>
        <w:ind w:left="1440" w:hanging="1440"/>
        <w:jc w:val="both"/>
        <w:rPr>
          <w:b/>
          <w:u w:val="single"/>
        </w:rPr>
      </w:pPr>
    </w:p>
    <w:p w:rsidR="002D5713" w:rsidRPr="00C612E8" w:rsidRDefault="002D5713" w:rsidP="002D5713">
      <w:pPr>
        <w:autoSpaceDE w:val="0"/>
        <w:autoSpaceDN w:val="0"/>
        <w:adjustRightInd w:val="0"/>
        <w:ind w:left="1440" w:hanging="1440"/>
        <w:jc w:val="both"/>
      </w:pPr>
      <w:r w:rsidRPr="00C612E8">
        <w:rPr>
          <w:b/>
          <w:u w:val="single"/>
        </w:rPr>
        <w:t>ISSUE 2A</w:t>
      </w:r>
      <w:r w:rsidRPr="00C612E8">
        <w:rPr>
          <w:b/>
        </w:rPr>
        <w:t>:</w:t>
      </w:r>
      <w:r w:rsidRPr="00C612E8">
        <w:rPr>
          <w:b/>
        </w:rPr>
        <w:tab/>
      </w:r>
      <w:r w:rsidRPr="00EF0C45">
        <w:rPr>
          <w:b/>
        </w:rPr>
        <w:t xml:space="preserve">What is the appropriate revised </w:t>
      </w:r>
      <w:proofErr w:type="spellStart"/>
      <w:r w:rsidRPr="00EF0C45">
        <w:rPr>
          <w:b/>
        </w:rPr>
        <w:t>SoBRA</w:t>
      </w:r>
      <w:proofErr w:type="spellEnd"/>
      <w:r w:rsidRPr="00EF0C45">
        <w:rPr>
          <w:b/>
        </w:rPr>
        <w:t xml:space="preserve"> factor for the 2017 projects to reflect actual construction costs that are less than the projected costs used to develop the initial </w:t>
      </w:r>
      <w:proofErr w:type="spellStart"/>
      <w:r w:rsidRPr="00EF0C45">
        <w:rPr>
          <w:b/>
        </w:rPr>
        <w:t>SoBRA</w:t>
      </w:r>
      <w:proofErr w:type="spellEnd"/>
      <w:r w:rsidRPr="00EF0C45">
        <w:rPr>
          <w:b/>
        </w:rPr>
        <w:t xml:space="preserve"> factor?</w:t>
      </w:r>
      <w:r w:rsidRPr="00C612E8">
        <w:t xml:space="preserve"> </w:t>
      </w:r>
    </w:p>
    <w:p w:rsidR="002D5713" w:rsidRPr="00C612E8" w:rsidRDefault="002D5713" w:rsidP="002D5713">
      <w:pPr>
        <w:tabs>
          <w:tab w:val="left" w:pos="8571"/>
        </w:tabs>
        <w:autoSpaceDE w:val="0"/>
        <w:autoSpaceDN w:val="0"/>
        <w:adjustRightInd w:val="0"/>
        <w:ind w:left="1440" w:hanging="1440"/>
        <w:jc w:val="both"/>
        <w:rPr>
          <w:b/>
          <w:u w:val="single"/>
        </w:rPr>
      </w:pPr>
    </w:p>
    <w:p w:rsidR="002D5713" w:rsidRDefault="002D5713" w:rsidP="002D5713">
      <w:pPr>
        <w:tabs>
          <w:tab w:val="left" w:pos="8571"/>
        </w:tabs>
        <w:autoSpaceDE w:val="0"/>
        <w:autoSpaceDN w:val="0"/>
        <w:adjustRightInd w:val="0"/>
        <w:ind w:left="1440" w:hanging="1440"/>
        <w:jc w:val="both"/>
      </w:pPr>
      <w:r w:rsidRPr="00C612E8">
        <w:rPr>
          <w:b/>
          <w:u w:val="single"/>
        </w:rPr>
        <w:t>STIPULATION</w:t>
      </w:r>
      <w:r w:rsidRPr="00C612E8">
        <w:t>:</w:t>
      </w:r>
    </w:p>
    <w:p w:rsidR="002D5713" w:rsidRPr="00C612E8" w:rsidRDefault="002D5713" w:rsidP="002D5713">
      <w:pPr>
        <w:tabs>
          <w:tab w:val="left" w:pos="8571"/>
        </w:tabs>
        <w:autoSpaceDE w:val="0"/>
        <w:autoSpaceDN w:val="0"/>
        <w:adjustRightInd w:val="0"/>
        <w:ind w:left="1440" w:hanging="1440"/>
        <w:jc w:val="both"/>
      </w:pPr>
      <w:r w:rsidRPr="00C612E8">
        <w:tab/>
      </w:r>
    </w:p>
    <w:p w:rsidR="002D5713" w:rsidRPr="00C612E8" w:rsidRDefault="002D5713" w:rsidP="002D5713">
      <w:pPr>
        <w:tabs>
          <w:tab w:val="left" w:pos="8571"/>
        </w:tabs>
        <w:autoSpaceDE w:val="0"/>
        <w:autoSpaceDN w:val="0"/>
        <w:adjustRightInd w:val="0"/>
        <w:ind w:left="1440" w:hanging="1440"/>
        <w:jc w:val="both"/>
        <w:rPr>
          <w:b/>
          <w:bCs/>
          <w:u w:val="single"/>
        </w:rPr>
      </w:pPr>
      <w:r w:rsidRPr="00C612E8">
        <w:tab/>
      </w:r>
      <w:r>
        <w:t xml:space="preserve">The appropriate revised </w:t>
      </w:r>
      <w:proofErr w:type="spellStart"/>
      <w:r>
        <w:t>SoBRA</w:t>
      </w:r>
      <w:proofErr w:type="spellEnd"/>
      <w:r>
        <w:t xml:space="preserve"> factor for the 2017 projects is 0.888%, as reflected in Line E of Exhibit EJA-4, Page 1 of 1.</w:t>
      </w:r>
    </w:p>
    <w:p w:rsidR="002D5713" w:rsidRPr="00C612E8" w:rsidRDefault="002D5713" w:rsidP="002D5713">
      <w:pPr>
        <w:autoSpaceDE w:val="0"/>
        <w:autoSpaceDN w:val="0"/>
        <w:adjustRightInd w:val="0"/>
        <w:jc w:val="both"/>
        <w:rPr>
          <w:b/>
          <w:u w:val="single"/>
        </w:rPr>
      </w:pPr>
    </w:p>
    <w:p w:rsidR="002D5713" w:rsidRPr="00C612E8" w:rsidRDefault="002D5713" w:rsidP="002D5713">
      <w:pPr>
        <w:autoSpaceDE w:val="0"/>
        <w:autoSpaceDN w:val="0"/>
        <w:adjustRightInd w:val="0"/>
        <w:ind w:left="1440" w:hanging="1440"/>
        <w:jc w:val="both"/>
      </w:pPr>
      <w:r w:rsidRPr="00C612E8">
        <w:rPr>
          <w:b/>
          <w:u w:val="single"/>
        </w:rPr>
        <w:t>ISSUE 2B</w:t>
      </w:r>
      <w:r w:rsidRPr="00C612E8">
        <w:rPr>
          <w:b/>
        </w:rPr>
        <w:t>:</w:t>
      </w:r>
      <w:r w:rsidRPr="00C612E8">
        <w:rPr>
          <w:b/>
        </w:rPr>
        <w:tab/>
      </w:r>
      <w:r w:rsidRPr="00EF0C45">
        <w:rPr>
          <w:b/>
        </w:rPr>
        <w:t xml:space="preserve">What is the appropriate revised </w:t>
      </w:r>
      <w:proofErr w:type="spellStart"/>
      <w:r w:rsidRPr="00EF0C45">
        <w:rPr>
          <w:b/>
        </w:rPr>
        <w:t>SoBRA</w:t>
      </w:r>
      <w:proofErr w:type="spellEnd"/>
      <w:r w:rsidRPr="00EF0C45">
        <w:rPr>
          <w:b/>
        </w:rPr>
        <w:t xml:space="preserve"> factor for the 2018 projects to reflect actual construction costs that are less than the projected costs used to develop the initial </w:t>
      </w:r>
      <w:proofErr w:type="spellStart"/>
      <w:r w:rsidRPr="00EF0C45">
        <w:rPr>
          <w:b/>
        </w:rPr>
        <w:t>SoBRA</w:t>
      </w:r>
      <w:proofErr w:type="spellEnd"/>
      <w:r w:rsidRPr="00EF0C45">
        <w:rPr>
          <w:b/>
        </w:rPr>
        <w:t xml:space="preserve"> factor? </w:t>
      </w:r>
    </w:p>
    <w:p w:rsidR="002D5713" w:rsidRPr="00C612E8" w:rsidRDefault="002D5713" w:rsidP="002D5713">
      <w:pPr>
        <w:autoSpaceDE w:val="0"/>
        <w:autoSpaceDN w:val="0"/>
        <w:adjustRightInd w:val="0"/>
        <w:ind w:left="1440" w:hanging="1440"/>
        <w:jc w:val="both"/>
      </w:pPr>
    </w:p>
    <w:p w:rsidR="002D5713" w:rsidRDefault="002D5713" w:rsidP="002D5713">
      <w:pPr>
        <w:tabs>
          <w:tab w:val="left" w:pos="8571"/>
        </w:tabs>
        <w:autoSpaceDE w:val="0"/>
        <w:autoSpaceDN w:val="0"/>
        <w:adjustRightInd w:val="0"/>
        <w:ind w:left="1440" w:hanging="1440"/>
        <w:jc w:val="both"/>
      </w:pPr>
      <w:r w:rsidRPr="00C612E8">
        <w:rPr>
          <w:b/>
          <w:u w:val="single"/>
        </w:rPr>
        <w:t>STIPULATIO</w:t>
      </w:r>
      <w:r w:rsidRPr="007455C0">
        <w:rPr>
          <w:b/>
          <w:u w:val="single"/>
        </w:rPr>
        <w:t>N</w:t>
      </w:r>
      <w:r w:rsidRPr="007455C0">
        <w:t>:</w:t>
      </w:r>
    </w:p>
    <w:p w:rsidR="002D5713" w:rsidRDefault="002D5713" w:rsidP="002D5713">
      <w:pPr>
        <w:tabs>
          <w:tab w:val="left" w:pos="8571"/>
        </w:tabs>
        <w:autoSpaceDE w:val="0"/>
        <w:autoSpaceDN w:val="0"/>
        <w:adjustRightInd w:val="0"/>
        <w:ind w:left="1440" w:hanging="1440"/>
        <w:jc w:val="both"/>
      </w:pPr>
    </w:p>
    <w:p w:rsidR="002D5713" w:rsidRPr="007455C0" w:rsidRDefault="002D5713" w:rsidP="002D5713">
      <w:pPr>
        <w:tabs>
          <w:tab w:val="left" w:pos="8571"/>
        </w:tabs>
        <w:autoSpaceDE w:val="0"/>
        <w:autoSpaceDN w:val="0"/>
        <w:adjustRightInd w:val="0"/>
        <w:ind w:left="1440" w:hanging="1440"/>
        <w:jc w:val="both"/>
      </w:pPr>
      <w:r>
        <w:tab/>
        <w:t xml:space="preserve">By agreement of the parties </w:t>
      </w:r>
      <w:r w:rsidRPr="007455C0">
        <w:t xml:space="preserve">this matter </w:t>
      </w:r>
      <w:r>
        <w:t xml:space="preserve">will be addressed </w:t>
      </w:r>
      <w:r w:rsidRPr="007455C0">
        <w:t>during the 2020 Fuel Clause cycle.</w:t>
      </w:r>
      <w:r w:rsidRPr="007455C0">
        <w:tab/>
      </w:r>
    </w:p>
    <w:p w:rsidR="002D5713" w:rsidRDefault="002D5713" w:rsidP="002D5713">
      <w:pPr>
        <w:autoSpaceDE w:val="0"/>
        <w:autoSpaceDN w:val="0"/>
        <w:adjustRightInd w:val="0"/>
        <w:ind w:left="1440" w:hanging="1440"/>
        <w:jc w:val="both"/>
        <w:rPr>
          <w:b/>
          <w:u w:val="single"/>
        </w:rPr>
      </w:pPr>
    </w:p>
    <w:p w:rsidR="002D5713" w:rsidRDefault="002D5713" w:rsidP="002D5713">
      <w:pPr>
        <w:autoSpaceDE w:val="0"/>
        <w:autoSpaceDN w:val="0"/>
        <w:adjustRightInd w:val="0"/>
        <w:ind w:left="1440" w:hanging="1440"/>
        <w:jc w:val="both"/>
        <w:rPr>
          <w:b/>
        </w:rPr>
      </w:pPr>
      <w:r w:rsidRPr="007455C0">
        <w:rPr>
          <w:b/>
          <w:u w:val="single"/>
        </w:rPr>
        <w:t>ISSUE 2C:</w:t>
      </w:r>
      <w:r w:rsidRPr="007455C0">
        <w:t xml:space="preserve"> </w:t>
      </w:r>
      <w:r w:rsidRPr="007455C0">
        <w:tab/>
      </w:r>
      <w:r w:rsidRPr="00EF0C45">
        <w:rPr>
          <w:b/>
        </w:rPr>
        <w:t xml:space="preserve">What was the total gain under FPL’s Incentive Mechanism approved by Order No. </w:t>
      </w:r>
      <w:proofErr w:type="gramStart"/>
      <w:r w:rsidRPr="00EF0C45">
        <w:rPr>
          <w:b/>
        </w:rPr>
        <w:t xml:space="preserve">PSC-2016-0560-AS-EI that FPL may recover for the period </w:t>
      </w:r>
      <w:r w:rsidRPr="00EF0C45">
        <w:rPr>
          <w:b/>
        </w:rPr>
        <w:lastRenderedPageBreak/>
        <w:t>January 2018 through December 2018, and how should that gain to be shared between FPL and customers?</w:t>
      </w:r>
      <w:proofErr w:type="gramEnd"/>
      <w:r w:rsidRPr="00EF0C45">
        <w:rPr>
          <w:b/>
        </w:rPr>
        <w:t xml:space="preserve"> </w:t>
      </w:r>
    </w:p>
    <w:p w:rsidR="002D5713" w:rsidRPr="007455C0" w:rsidRDefault="002D5713" w:rsidP="002D5713">
      <w:pPr>
        <w:autoSpaceDE w:val="0"/>
        <w:autoSpaceDN w:val="0"/>
        <w:adjustRightInd w:val="0"/>
        <w:ind w:left="1440" w:hanging="1440"/>
        <w:jc w:val="both"/>
      </w:pPr>
    </w:p>
    <w:p w:rsidR="002D5713" w:rsidRDefault="002D5713" w:rsidP="002D5713">
      <w:r w:rsidRPr="007455C0">
        <w:rPr>
          <w:b/>
          <w:u w:val="single"/>
        </w:rPr>
        <w:t>STIPULATION</w:t>
      </w:r>
      <w:r w:rsidRPr="007455C0">
        <w:t>:</w:t>
      </w:r>
    </w:p>
    <w:p w:rsidR="002D5713" w:rsidRPr="007455C0" w:rsidRDefault="002D5713" w:rsidP="002D5713">
      <w:pPr>
        <w:tabs>
          <w:tab w:val="left" w:pos="8571"/>
        </w:tabs>
        <w:autoSpaceDE w:val="0"/>
        <w:autoSpaceDN w:val="0"/>
        <w:adjustRightInd w:val="0"/>
        <w:ind w:left="1440" w:hanging="1440"/>
        <w:jc w:val="both"/>
      </w:pPr>
      <w:r w:rsidRPr="007455C0">
        <w:tab/>
      </w:r>
    </w:p>
    <w:p w:rsidR="002D5713" w:rsidRDefault="002D5713" w:rsidP="002D5713">
      <w:pPr>
        <w:tabs>
          <w:tab w:val="left" w:pos="8571"/>
        </w:tabs>
        <w:autoSpaceDE w:val="0"/>
        <w:autoSpaceDN w:val="0"/>
        <w:adjustRightInd w:val="0"/>
        <w:ind w:left="1440" w:hanging="1440"/>
        <w:jc w:val="both"/>
      </w:pPr>
      <w:r w:rsidRPr="007455C0">
        <w:tab/>
      </w:r>
      <w:proofErr w:type="gramStart"/>
      <w:r w:rsidRPr="007455C0">
        <w:t>The total gain under FPL’s Incentive Mechanism approved by Order No.</w:t>
      </w:r>
      <w:proofErr w:type="gramEnd"/>
      <w:r w:rsidRPr="007455C0">
        <w:t xml:space="preserve"> PSC-2016-0560-AS-EI that FPL may recover for the period January 2018 through December 2018 was $62,404,332, as reflected in Column 5 of Table 1, Total Gains Schedule, (Exhibit GJY-1, </w:t>
      </w:r>
      <w:proofErr w:type="gramStart"/>
      <w:r w:rsidRPr="007455C0">
        <w:t>Page</w:t>
      </w:r>
      <w:proofErr w:type="gramEnd"/>
      <w:r w:rsidRPr="007455C0">
        <w:t xml:space="preserve"> 1 of 4). This amount exceeded the sharing threshold of $40 million, and therefore the incremental gain above that amount should be shared between FPL and customers (60% and 40%, respectively), with FPL retaining $13,442,599, as reflected in Column 9 of Table 2, Total Gains Schedule (Exhibit GJY-1, Page 1 of 4).</w:t>
      </w:r>
    </w:p>
    <w:p w:rsidR="002D5713" w:rsidRDefault="002D5713" w:rsidP="002D5713">
      <w:pPr>
        <w:autoSpaceDE w:val="0"/>
        <w:autoSpaceDN w:val="0"/>
        <w:adjustRightInd w:val="0"/>
        <w:ind w:left="1440" w:hanging="1440"/>
        <w:jc w:val="both"/>
        <w:rPr>
          <w:b/>
          <w:u w:val="single"/>
        </w:rPr>
      </w:pPr>
    </w:p>
    <w:p w:rsidR="002D5713" w:rsidRPr="007455C0" w:rsidRDefault="002D5713" w:rsidP="002D5713">
      <w:pPr>
        <w:autoSpaceDE w:val="0"/>
        <w:autoSpaceDN w:val="0"/>
        <w:adjustRightInd w:val="0"/>
        <w:ind w:left="1440" w:hanging="1440"/>
        <w:jc w:val="both"/>
      </w:pPr>
      <w:r w:rsidRPr="007455C0">
        <w:rPr>
          <w:b/>
          <w:u w:val="single"/>
        </w:rPr>
        <w:t>ISSUE 2D:</w:t>
      </w:r>
      <w:r w:rsidRPr="007455C0">
        <w:tab/>
      </w:r>
      <w:r w:rsidRPr="00EF0C45">
        <w:rPr>
          <w:b/>
        </w:rPr>
        <w:t>What is the appropriate amount of Incremental Optimization Costs under FPL’s Incentive Mechanism approved by Order No. PSC-2016-0560-AS-EI that FPL should be allowed to recover through the fuel clause for Personnel, Software, and Hardware costs for the period January 2018 through December 2018?</w:t>
      </w:r>
      <w:r w:rsidRPr="007455C0">
        <w:t xml:space="preserve"> </w:t>
      </w:r>
    </w:p>
    <w:p w:rsidR="002D5713" w:rsidRPr="007455C0" w:rsidRDefault="002D5713" w:rsidP="002D5713">
      <w:pPr>
        <w:autoSpaceDE w:val="0"/>
        <w:autoSpaceDN w:val="0"/>
        <w:adjustRightInd w:val="0"/>
        <w:ind w:left="1440"/>
        <w:jc w:val="both"/>
      </w:pPr>
      <w:r w:rsidRPr="007455C0">
        <w:t xml:space="preserve">                                                                        </w:t>
      </w:r>
    </w:p>
    <w:p w:rsidR="002D5713" w:rsidRDefault="002D5713" w:rsidP="002D5713">
      <w:pPr>
        <w:tabs>
          <w:tab w:val="left" w:pos="8571"/>
        </w:tabs>
        <w:autoSpaceDE w:val="0"/>
        <w:autoSpaceDN w:val="0"/>
        <w:adjustRightInd w:val="0"/>
        <w:ind w:left="1440" w:hanging="1440"/>
        <w:jc w:val="both"/>
      </w:pPr>
      <w:r w:rsidRPr="007455C0">
        <w:rPr>
          <w:b/>
          <w:u w:val="single"/>
        </w:rPr>
        <w:t>STIPULATION</w:t>
      </w:r>
      <w:r w:rsidRPr="007455C0">
        <w:t>:</w:t>
      </w:r>
    </w:p>
    <w:p w:rsidR="002D5713" w:rsidRPr="007455C0" w:rsidRDefault="002D5713" w:rsidP="002D5713">
      <w:pPr>
        <w:tabs>
          <w:tab w:val="left" w:pos="8571"/>
        </w:tabs>
        <w:autoSpaceDE w:val="0"/>
        <w:autoSpaceDN w:val="0"/>
        <w:adjustRightInd w:val="0"/>
        <w:ind w:left="1440" w:hanging="1440"/>
        <w:jc w:val="both"/>
      </w:pPr>
      <w:r w:rsidRPr="007455C0">
        <w:tab/>
      </w:r>
    </w:p>
    <w:p w:rsidR="002D5713" w:rsidRPr="007455C0" w:rsidRDefault="002D5713" w:rsidP="002D5713">
      <w:pPr>
        <w:tabs>
          <w:tab w:val="left" w:pos="8571"/>
        </w:tabs>
        <w:autoSpaceDE w:val="0"/>
        <w:autoSpaceDN w:val="0"/>
        <w:adjustRightInd w:val="0"/>
        <w:ind w:left="1440" w:hanging="1440"/>
        <w:jc w:val="both"/>
      </w:pPr>
      <w:r w:rsidRPr="007455C0">
        <w:tab/>
      </w:r>
      <w:proofErr w:type="gramStart"/>
      <w:r w:rsidRPr="007455C0">
        <w:t>The appropriate amount of Incremental Optimization Costs under FPL’s Incentive Mechanism approved by Order No.</w:t>
      </w:r>
      <w:proofErr w:type="gramEnd"/>
      <w:r w:rsidRPr="007455C0">
        <w:t xml:space="preserve"> PSC-2016-0560-AS-EI that FPL should be allowed to recover through the fuel clause for Personnel, Software, and Hardware costs for the period January 2018 through December 2018 is $516,451, as reflected in Columns 2 and 3 of the Incremental Optimization Costs Schedule (Exhibit GJY-1, Page 4 of 4).</w:t>
      </w:r>
    </w:p>
    <w:p w:rsidR="002D5713" w:rsidRDefault="002D5713" w:rsidP="002D5713">
      <w:pPr>
        <w:autoSpaceDE w:val="0"/>
        <w:autoSpaceDN w:val="0"/>
        <w:adjustRightInd w:val="0"/>
        <w:ind w:left="1440" w:hanging="1440"/>
        <w:jc w:val="both"/>
        <w:rPr>
          <w:b/>
          <w:u w:val="single"/>
        </w:rPr>
      </w:pPr>
    </w:p>
    <w:p w:rsidR="002D5713" w:rsidRPr="007455C0" w:rsidRDefault="002D5713" w:rsidP="002D5713">
      <w:pPr>
        <w:autoSpaceDE w:val="0"/>
        <w:autoSpaceDN w:val="0"/>
        <w:adjustRightInd w:val="0"/>
        <w:ind w:left="1440" w:hanging="1440"/>
        <w:jc w:val="both"/>
      </w:pPr>
      <w:r w:rsidRPr="007455C0">
        <w:rPr>
          <w:b/>
          <w:u w:val="single"/>
        </w:rPr>
        <w:t>ISSUE 2E:</w:t>
      </w:r>
      <w:r w:rsidRPr="007455C0">
        <w:tab/>
      </w:r>
      <w:r w:rsidRPr="00EF0C45">
        <w:rPr>
          <w:b/>
        </w:rPr>
        <w:t xml:space="preserve">What is the appropriate amount of Variable Power Plant O&amp;M Attributable to Off-System Sales under FPL’s Incentive Mechanism approved by Order No. PSC-2016-0560-AS-EI that FPL should be allowed to recover through the fuel clause for the period January 2018 through December 2018? </w:t>
      </w:r>
      <w:r w:rsidRPr="007455C0">
        <w:t xml:space="preserve">  </w:t>
      </w:r>
    </w:p>
    <w:p w:rsidR="002D5713" w:rsidRPr="007455C0" w:rsidRDefault="002D5713" w:rsidP="002D5713">
      <w:pPr>
        <w:autoSpaceDE w:val="0"/>
        <w:autoSpaceDN w:val="0"/>
        <w:adjustRightInd w:val="0"/>
        <w:ind w:left="1440" w:hanging="1440"/>
        <w:jc w:val="both"/>
      </w:pPr>
      <w:r w:rsidRPr="007455C0">
        <w:t xml:space="preserve">                                                                      </w:t>
      </w:r>
    </w:p>
    <w:p w:rsidR="002D5713" w:rsidRDefault="002D5713" w:rsidP="002D5713">
      <w:pPr>
        <w:tabs>
          <w:tab w:val="left" w:pos="8571"/>
        </w:tabs>
        <w:autoSpaceDE w:val="0"/>
        <w:autoSpaceDN w:val="0"/>
        <w:adjustRightInd w:val="0"/>
        <w:ind w:left="1440" w:hanging="1440"/>
        <w:jc w:val="both"/>
      </w:pPr>
      <w:r w:rsidRPr="007455C0">
        <w:rPr>
          <w:b/>
          <w:u w:val="single"/>
        </w:rPr>
        <w:t>STIPULATION</w:t>
      </w:r>
      <w:r w:rsidRPr="007455C0">
        <w:t>:</w:t>
      </w:r>
    </w:p>
    <w:p w:rsidR="002D5713" w:rsidRPr="007455C0" w:rsidRDefault="002D5713" w:rsidP="002D5713">
      <w:pPr>
        <w:tabs>
          <w:tab w:val="left" w:pos="8571"/>
        </w:tabs>
        <w:autoSpaceDE w:val="0"/>
        <w:autoSpaceDN w:val="0"/>
        <w:adjustRightInd w:val="0"/>
        <w:ind w:left="1440" w:hanging="1440"/>
        <w:jc w:val="both"/>
      </w:pPr>
      <w:r w:rsidRPr="007455C0">
        <w:tab/>
      </w:r>
    </w:p>
    <w:p w:rsidR="002D5713" w:rsidRDefault="002D5713" w:rsidP="002D5713">
      <w:pPr>
        <w:tabs>
          <w:tab w:val="left" w:pos="8571"/>
        </w:tabs>
        <w:autoSpaceDE w:val="0"/>
        <w:autoSpaceDN w:val="0"/>
        <w:adjustRightInd w:val="0"/>
        <w:ind w:left="1440" w:hanging="1440"/>
        <w:jc w:val="both"/>
      </w:pPr>
      <w:r w:rsidRPr="007455C0">
        <w:tab/>
      </w:r>
      <w:proofErr w:type="gramStart"/>
      <w:r w:rsidRPr="007455C0">
        <w:t>The appropriate amount of Variable Power Plant O&amp;M Attributable to Off-System Sales under FPL’s Incentive Mechanism approved by Order No.</w:t>
      </w:r>
      <w:proofErr w:type="gramEnd"/>
      <w:r w:rsidRPr="007455C0">
        <w:t xml:space="preserve"> PSC-2016-0560-AS-EI that FPL should be allowed to recover through the fuel clause for the period January 2018 through December 2018 is $1,611,119, as reflected in Column 6 of the Incremental Optimization </w:t>
      </w:r>
      <w:r>
        <w:t>Costs Schedule (Exhibit GJY-1, P</w:t>
      </w:r>
      <w:r w:rsidRPr="007455C0">
        <w:t>age 4 of 4).</w:t>
      </w:r>
    </w:p>
    <w:p w:rsidR="002D5713" w:rsidRPr="005E0098" w:rsidRDefault="002D5713" w:rsidP="002D5713">
      <w:pPr>
        <w:autoSpaceDE w:val="0"/>
        <w:autoSpaceDN w:val="0"/>
        <w:adjustRightInd w:val="0"/>
        <w:jc w:val="both"/>
        <w:rPr>
          <w:bCs/>
        </w:rPr>
      </w:pPr>
    </w:p>
    <w:p w:rsidR="002D5713" w:rsidRPr="007455C0" w:rsidRDefault="002D5713" w:rsidP="002D5713">
      <w:pPr>
        <w:autoSpaceDE w:val="0"/>
        <w:autoSpaceDN w:val="0"/>
        <w:adjustRightInd w:val="0"/>
        <w:ind w:left="1440" w:hanging="1440"/>
        <w:jc w:val="both"/>
      </w:pPr>
      <w:r w:rsidRPr="007455C0">
        <w:rPr>
          <w:b/>
          <w:u w:val="single"/>
        </w:rPr>
        <w:t>ISSUE 2F:</w:t>
      </w:r>
      <w:r w:rsidRPr="007455C0">
        <w:tab/>
      </w:r>
      <w:r w:rsidRPr="00EF0C45">
        <w:rPr>
          <w:b/>
        </w:rPr>
        <w:t xml:space="preserve">What is the appropriate amount of Variable Power Plant O&amp;M Avoided due to Economy Purchases under FPL’s Incentive Mechanism approved by </w:t>
      </w:r>
      <w:r w:rsidRPr="00EF0C45">
        <w:rPr>
          <w:b/>
        </w:rPr>
        <w:lastRenderedPageBreak/>
        <w:t xml:space="preserve">Order No. PSC-2016-0560-AS-EI that FPL should be allowed to recover through the fuel clause for the period January 2018 through December 2018? </w:t>
      </w:r>
    </w:p>
    <w:p w:rsidR="002D5713" w:rsidRPr="002D5713" w:rsidRDefault="002D5713" w:rsidP="002D5713"/>
    <w:p w:rsidR="002D5713" w:rsidRDefault="002D5713" w:rsidP="002D5713">
      <w:pPr>
        <w:spacing w:after="200" w:line="276" w:lineRule="auto"/>
      </w:pPr>
      <w:r w:rsidRPr="007455C0">
        <w:rPr>
          <w:b/>
          <w:u w:val="single"/>
        </w:rPr>
        <w:t>STIPULATION</w:t>
      </w:r>
      <w:r w:rsidRPr="007455C0">
        <w:t>:</w:t>
      </w:r>
    </w:p>
    <w:p w:rsidR="002D5713" w:rsidRPr="007455C0" w:rsidRDefault="002D5713" w:rsidP="002D5713">
      <w:pPr>
        <w:tabs>
          <w:tab w:val="left" w:pos="8571"/>
        </w:tabs>
        <w:autoSpaceDE w:val="0"/>
        <w:autoSpaceDN w:val="0"/>
        <w:adjustRightInd w:val="0"/>
        <w:ind w:left="1440" w:hanging="1440"/>
        <w:jc w:val="both"/>
      </w:pPr>
      <w:r w:rsidRPr="007455C0">
        <w:tab/>
      </w:r>
    </w:p>
    <w:p w:rsidR="002D5713" w:rsidRDefault="002D5713" w:rsidP="002D5713">
      <w:pPr>
        <w:tabs>
          <w:tab w:val="left" w:pos="8571"/>
        </w:tabs>
        <w:autoSpaceDE w:val="0"/>
        <w:autoSpaceDN w:val="0"/>
        <w:adjustRightInd w:val="0"/>
        <w:ind w:left="1440" w:hanging="1440"/>
        <w:jc w:val="both"/>
      </w:pPr>
      <w:r w:rsidRPr="007455C0">
        <w:tab/>
      </w:r>
      <w:proofErr w:type="gramStart"/>
      <w:r w:rsidRPr="007455C0">
        <w:t>The appropriate amount of Variable Power Plant O&amp;M Avoided due to Economy Purchases under FPL’s Incentive Mechanism approved by Order No.</w:t>
      </w:r>
      <w:proofErr w:type="gramEnd"/>
      <w:r w:rsidRPr="007455C0">
        <w:t xml:space="preserve"> PSC-2016-0560-AS-EI that FPL should be allowed to recover through the fuel clause for the period January 2018 through December 2018 is ($151,215), as reflected in Column 7 of the Incremental Optimization </w:t>
      </w:r>
      <w:r>
        <w:t>Costs Schedule (Exhibit GJY-1, P</w:t>
      </w:r>
      <w:r w:rsidRPr="007455C0">
        <w:t>age 4 of 4).</w:t>
      </w:r>
    </w:p>
    <w:p w:rsidR="002D5713" w:rsidRPr="005E0098" w:rsidRDefault="002D5713" w:rsidP="002D5713">
      <w:pPr>
        <w:autoSpaceDE w:val="0"/>
        <w:autoSpaceDN w:val="0"/>
        <w:adjustRightInd w:val="0"/>
        <w:jc w:val="both"/>
        <w:rPr>
          <w:bCs/>
        </w:rPr>
      </w:pPr>
    </w:p>
    <w:p w:rsidR="002D5713" w:rsidRPr="00921A94" w:rsidRDefault="002D5713" w:rsidP="002D5713">
      <w:pPr>
        <w:autoSpaceDE w:val="0"/>
        <w:autoSpaceDN w:val="0"/>
        <w:adjustRightInd w:val="0"/>
        <w:ind w:left="1440" w:hanging="1440"/>
        <w:jc w:val="both"/>
      </w:pPr>
      <w:r w:rsidRPr="0063189A">
        <w:rPr>
          <w:b/>
          <w:u w:val="single"/>
        </w:rPr>
        <w:t>ISSUE 2G</w:t>
      </w:r>
      <w:r w:rsidRPr="0063189A">
        <w:rPr>
          <w:b/>
        </w:rPr>
        <w:t>:</w:t>
      </w:r>
      <w:r w:rsidRPr="0063189A">
        <w:rPr>
          <w:b/>
        </w:rPr>
        <w:tab/>
      </w:r>
      <w:r w:rsidRPr="00EF0C45">
        <w:rPr>
          <w:b/>
        </w:rPr>
        <w:t xml:space="preserve">If the Commission approves the FPL </w:t>
      </w:r>
      <w:proofErr w:type="spellStart"/>
      <w:r w:rsidRPr="00EF0C45">
        <w:rPr>
          <w:b/>
        </w:rPr>
        <w:t>SolarTogether</w:t>
      </w:r>
      <w:proofErr w:type="spellEnd"/>
      <w:r w:rsidRPr="00EF0C45">
        <w:rPr>
          <w:b/>
        </w:rPr>
        <w:t xml:space="preserve"> Program and Tariff, what is the appropriate total FPL </w:t>
      </w:r>
      <w:proofErr w:type="spellStart"/>
      <w:r w:rsidRPr="00EF0C45">
        <w:rPr>
          <w:b/>
        </w:rPr>
        <w:t>SolarTogether</w:t>
      </w:r>
      <w:proofErr w:type="spellEnd"/>
      <w:r w:rsidRPr="00EF0C45">
        <w:rPr>
          <w:b/>
        </w:rPr>
        <w:t xml:space="preserve"> Credit amount to be recovered through the fuel cost recovery clause for the period January 2020 through December 2020? </w:t>
      </w:r>
    </w:p>
    <w:p w:rsidR="002D5713" w:rsidRDefault="002D5713" w:rsidP="002D5713">
      <w:pPr>
        <w:rPr>
          <w:highlight w:val="cyan"/>
        </w:rPr>
      </w:pPr>
    </w:p>
    <w:p w:rsidR="002D5713" w:rsidRDefault="002D5713" w:rsidP="002D5713">
      <w:pPr>
        <w:tabs>
          <w:tab w:val="left" w:pos="8571"/>
        </w:tabs>
        <w:autoSpaceDE w:val="0"/>
        <w:autoSpaceDN w:val="0"/>
        <w:adjustRightInd w:val="0"/>
        <w:ind w:left="1440" w:hanging="1440"/>
        <w:jc w:val="both"/>
        <w:rPr>
          <w:u w:val="single"/>
        </w:rPr>
      </w:pPr>
      <w:r w:rsidRPr="00694117">
        <w:rPr>
          <w:b/>
          <w:u w:val="single"/>
        </w:rPr>
        <w:t>STIPULATION</w:t>
      </w:r>
      <w:r w:rsidRPr="00694117">
        <w:rPr>
          <w:u w:val="single"/>
        </w:rPr>
        <w:t>:</w:t>
      </w:r>
    </w:p>
    <w:p w:rsidR="002D5713" w:rsidRDefault="002D5713" w:rsidP="002D5713">
      <w:pPr>
        <w:tabs>
          <w:tab w:val="left" w:pos="8571"/>
        </w:tabs>
        <w:autoSpaceDE w:val="0"/>
        <w:autoSpaceDN w:val="0"/>
        <w:adjustRightInd w:val="0"/>
        <w:ind w:left="1440" w:hanging="1440"/>
        <w:jc w:val="both"/>
        <w:rPr>
          <w:u w:val="single"/>
        </w:rPr>
      </w:pPr>
    </w:p>
    <w:p w:rsidR="002D5713" w:rsidRPr="00921A94" w:rsidRDefault="002D5713" w:rsidP="002D5713">
      <w:pPr>
        <w:tabs>
          <w:tab w:val="left" w:pos="8571"/>
        </w:tabs>
        <w:autoSpaceDE w:val="0"/>
        <w:autoSpaceDN w:val="0"/>
        <w:adjustRightInd w:val="0"/>
        <w:ind w:left="1440" w:hanging="1440"/>
        <w:jc w:val="both"/>
      </w:pPr>
      <w:r>
        <w:tab/>
      </w:r>
      <w:proofErr w:type="gramStart"/>
      <w:r>
        <w:t>$0.</w:t>
      </w:r>
      <w:proofErr w:type="gramEnd"/>
      <w:r>
        <w:t xml:space="preserve">  Removal of the FPL </w:t>
      </w:r>
      <w:proofErr w:type="spellStart"/>
      <w:r>
        <w:t>SolarTogether</w:t>
      </w:r>
      <w:proofErr w:type="spellEnd"/>
      <w:r>
        <w:t xml:space="preserve"> Program costs from the cost recovery factors for 2020 is appropriate until a decision is made in FPL’s </w:t>
      </w:r>
      <w:proofErr w:type="spellStart"/>
      <w:r>
        <w:t>SolarTogether</w:t>
      </w:r>
      <w:proofErr w:type="spellEnd"/>
      <w:r>
        <w:t xml:space="preserve"> Program docket (Docket No. 20190061-EI), for which the hearing is currently scheduled to begin on January 14, 2020. If the Program is approved, the actual</w:t>
      </w:r>
      <w:r w:rsidRPr="00F5791A">
        <w:t xml:space="preserve"> </w:t>
      </w:r>
      <w:r>
        <w:t xml:space="preserve">FPL </w:t>
      </w:r>
      <w:proofErr w:type="spellStart"/>
      <w:r>
        <w:t>SolarTogether</w:t>
      </w:r>
      <w:proofErr w:type="spellEnd"/>
      <w:r>
        <w:t xml:space="preserve"> Credit amount for the 2020 calendar year will be reflected in FPL’s True-Up filing to be submitted in 2021.  </w:t>
      </w:r>
    </w:p>
    <w:p w:rsidR="002D5713" w:rsidRDefault="002D5713" w:rsidP="002D5713">
      <w:pPr>
        <w:autoSpaceDE w:val="0"/>
        <w:autoSpaceDN w:val="0"/>
        <w:adjustRightInd w:val="0"/>
        <w:ind w:left="1440" w:hanging="1440"/>
        <w:jc w:val="both"/>
        <w:rPr>
          <w:b/>
          <w:u w:val="single"/>
        </w:rPr>
      </w:pPr>
    </w:p>
    <w:p w:rsidR="002D5713" w:rsidRPr="00921A94" w:rsidRDefault="002D5713" w:rsidP="002D5713">
      <w:pPr>
        <w:autoSpaceDE w:val="0"/>
        <w:autoSpaceDN w:val="0"/>
        <w:adjustRightInd w:val="0"/>
        <w:ind w:left="1440" w:hanging="1440"/>
        <w:jc w:val="both"/>
      </w:pPr>
      <w:r w:rsidRPr="00921A94">
        <w:rPr>
          <w:b/>
          <w:u w:val="single"/>
        </w:rPr>
        <w:t>ISSUE 2I</w:t>
      </w:r>
      <w:r w:rsidRPr="00921A94">
        <w:rPr>
          <w:b/>
        </w:rPr>
        <w:t>:</w:t>
      </w:r>
      <w:r w:rsidRPr="00921A94">
        <w:rPr>
          <w:b/>
        </w:rPr>
        <w:tab/>
      </w:r>
      <w:r w:rsidRPr="00EF0C45">
        <w:rPr>
          <w:b/>
        </w:rPr>
        <w:t xml:space="preserve">What </w:t>
      </w:r>
      <w:proofErr w:type="gramStart"/>
      <w:r w:rsidRPr="00EF0C45">
        <w:rPr>
          <w:b/>
        </w:rPr>
        <w:t>are</w:t>
      </w:r>
      <w:proofErr w:type="gramEnd"/>
      <w:r w:rsidRPr="00EF0C45">
        <w:rPr>
          <w:b/>
        </w:rPr>
        <w:t xml:space="preserve"> the revenue requirements associated with the 2020 </w:t>
      </w:r>
      <w:proofErr w:type="spellStart"/>
      <w:r w:rsidRPr="00EF0C45">
        <w:rPr>
          <w:b/>
        </w:rPr>
        <w:t>SoBRA</w:t>
      </w:r>
      <w:proofErr w:type="spellEnd"/>
      <w:r w:rsidRPr="00EF0C45">
        <w:rPr>
          <w:b/>
        </w:rPr>
        <w:t xml:space="preserve"> projects?</w:t>
      </w:r>
      <w:r w:rsidRPr="00921A94">
        <w:t xml:space="preserve"> </w:t>
      </w:r>
    </w:p>
    <w:p w:rsidR="002D5713" w:rsidRPr="00921A94" w:rsidRDefault="002D5713" w:rsidP="002D5713">
      <w:pPr>
        <w:autoSpaceDE w:val="0"/>
        <w:autoSpaceDN w:val="0"/>
        <w:adjustRightInd w:val="0"/>
        <w:ind w:left="1440" w:hanging="1440"/>
        <w:jc w:val="both"/>
        <w:rPr>
          <w:b/>
        </w:rPr>
      </w:pPr>
    </w:p>
    <w:p w:rsidR="002D5713" w:rsidRDefault="002D5713" w:rsidP="002D5713">
      <w:pPr>
        <w:tabs>
          <w:tab w:val="left" w:pos="8571"/>
        </w:tabs>
        <w:autoSpaceDE w:val="0"/>
        <w:autoSpaceDN w:val="0"/>
        <w:adjustRightInd w:val="0"/>
        <w:ind w:left="1440" w:hanging="1440"/>
        <w:jc w:val="both"/>
      </w:pPr>
      <w:r w:rsidRPr="00921A94">
        <w:rPr>
          <w:b/>
        </w:rPr>
        <w:t>STIPULATION</w:t>
      </w:r>
      <w:r w:rsidRPr="00921A94">
        <w:t>:</w:t>
      </w:r>
    </w:p>
    <w:p w:rsidR="002D5713" w:rsidRPr="00921A94" w:rsidRDefault="002D5713" w:rsidP="002D5713">
      <w:pPr>
        <w:tabs>
          <w:tab w:val="left" w:pos="8571"/>
        </w:tabs>
        <w:autoSpaceDE w:val="0"/>
        <w:autoSpaceDN w:val="0"/>
        <w:adjustRightInd w:val="0"/>
        <w:ind w:left="1440" w:hanging="1440"/>
        <w:jc w:val="both"/>
      </w:pPr>
      <w:r w:rsidRPr="00921A94">
        <w:tab/>
      </w:r>
    </w:p>
    <w:p w:rsidR="002D5713" w:rsidRPr="00921A94" w:rsidRDefault="002D5713" w:rsidP="002D5713">
      <w:pPr>
        <w:autoSpaceDE w:val="0"/>
        <w:autoSpaceDN w:val="0"/>
        <w:adjustRightInd w:val="0"/>
        <w:ind w:left="1440" w:hanging="1440"/>
        <w:jc w:val="both"/>
        <w:rPr>
          <w:b/>
        </w:rPr>
      </w:pPr>
      <w:r w:rsidRPr="00921A94">
        <w:tab/>
        <w:t>The appropriate</w:t>
      </w:r>
      <w:r w:rsidRPr="001466DA">
        <w:t xml:space="preserve"> </w:t>
      </w:r>
      <w:r w:rsidRPr="00921A94">
        <w:t xml:space="preserve">revenue requirements associated with the 2020 </w:t>
      </w:r>
      <w:proofErr w:type="spellStart"/>
      <w:r w:rsidRPr="00921A94">
        <w:t>SoBRA</w:t>
      </w:r>
      <w:proofErr w:type="spellEnd"/>
      <w:r w:rsidRPr="00921A94">
        <w:t xml:space="preserve"> projects</w:t>
      </w:r>
      <w:r>
        <w:t xml:space="preserve"> is $50,491,000, as reflected on Line 7 of the 2020 </w:t>
      </w:r>
      <w:proofErr w:type="spellStart"/>
      <w:r>
        <w:t>SoBRA</w:t>
      </w:r>
      <w:proofErr w:type="spellEnd"/>
      <w:r>
        <w:t xml:space="preserve"> Revenue Requirement Calculation Schedule (Exhibit LF-1, Page 1 of 5).</w:t>
      </w:r>
    </w:p>
    <w:p w:rsidR="002D5713" w:rsidRDefault="002D5713" w:rsidP="002D5713">
      <w:pPr>
        <w:autoSpaceDE w:val="0"/>
        <w:autoSpaceDN w:val="0"/>
        <w:adjustRightInd w:val="0"/>
        <w:ind w:left="1440" w:hanging="1440"/>
        <w:jc w:val="both"/>
        <w:rPr>
          <w:b/>
          <w:u w:val="single"/>
        </w:rPr>
      </w:pPr>
    </w:p>
    <w:p w:rsidR="002D5713" w:rsidRPr="00921A94" w:rsidRDefault="002D5713" w:rsidP="002D5713">
      <w:pPr>
        <w:autoSpaceDE w:val="0"/>
        <w:autoSpaceDN w:val="0"/>
        <w:adjustRightInd w:val="0"/>
        <w:ind w:left="1440" w:hanging="1440"/>
        <w:jc w:val="both"/>
      </w:pPr>
      <w:r w:rsidRPr="00921A94">
        <w:rPr>
          <w:b/>
          <w:u w:val="single"/>
        </w:rPr>
        <w:t>ISSUE 2J</w:t>
      </w:r>
      <w:r w:rsidRPr="00921A94">
        <w:rPr>
          <w:b/>
        </w:rPr>
        <w:t>:</w:t>
      </w:r>
      <w:r w:rsidRPr="00921A94">
        <w:tab/>
      </w:r>
      <w:r w:rsidRPr="00EF0C45">
        <w:rPr>
          <w:b/>
        </w:rPr>
        <w:t xml:space="preserve">What is the appropriate base rate percentage increase to be effective when all of the 2020 </w:t>
      </w:r>
      <w:proofErr w:type="spellStart"/>
      <w:r w:rsidRPr="00EF0C45">
        <w:rPr>
          <w:b/>
        </w:rPr>
        <w:t>SoBRA</w:t>
      </w:r>
      <w:proofErr w:type="spellEnd"/>
      <w:r w:rsidRPr="00EF0C45">
        <w:rPr>
          <w:b/>
        </w:rPr>
        <w:t xml:space="preserve"> projects are in service, currently projected to be May 1, 2020?</w:t>
      </w:r>
    </w:p>
    <w:p w:rsidR="002D5713" w:rsidRPr="00921A94" w:rsidRDefault="002D5713" w:rsidP="002D5713">
      <w:pPr>
        <w:autoSpaceDE w:val="0"/>
        <w:autoSpaceDN w:val="0"/>
        <w:adjustRightInd w:val="0"/>
        <w:ind w:left="1440" w:hanging="1440"/>
        <w:jc w:val="both"/>
      </w:pPr>
    </w:p>
    <w:p w:rsidR="002D5713" w:rsidRDefault="002D5713" w:rsidP="002D5713">
      <w:pPr>
        <w:tabs>
          <w:tab w:val="left" w:pos="8571"/>
        </w:tabs>
        <w:autoSpaceDE w:val="0"/>
        <w:autoSpaceDN w:val="0"/>
        <w:adjustRightInd w:val="0"/>
        <w:ind w:left="1440" w:hanging="1440"/>
        <w:jc w:val="both"/>
      </w:pPr>
      <w:r w:rsidRPr="00921A94">
        <w:rPr>
          <w:b/>
        </w:rPr>
        <w:t>STIPULATION</w:t>
      </w:r>
      <w:r w:rsidRPr="00921A94">
        <w:t>:</w:t>
      </w:r>
    </w:p>
    <w:p w:rsidR="002D5713" w:rsidRPr="00921A94" w:rsidRDefault="002D5713" w:rsidP="002D5713">
      <w:pPr>
        <w:tabs>
          <w:tab w:val="left" w:pos="8571"/>
        </w:tabs>
        <w:autoSpaceDE w:val="0"/>
        <w:autoSpaceDN w:val="0"/>
        <w:adjustRightInd w:val="0"/>
        <w:ind w:left="1440" w:hanging="1440"/>
        <w:jc w:val="both"/>
      </w:pPr>
      <w:r w:rsidRPr="00921A94">
        <w:tab/>
      </w:r>
    </w:p>
    <w:p w:rsidR="002D5713" w:rsidRPr="00921A94" w:rsidRDefault="002D5713" w:rsidP="002D5713">
      <w:pPr>
        <w:autoSpaceDE w:val="0"/>
        <w:autoSpaceDN w:val="0"/>
        <w:adjustRightInd w:val="0"/>
        <w:ind w:left="1440" w:hanging="1440"/>
        <w:jc w:val="both"/>
      </w:pPr>
      <w:r w:rsidRPr="00921A94">
        <w:tab/>
        <w:t xml:space="preserve">The appropriate base rate percentage increase to be effective when all of the 2020 </w:t>
      </w:r>
      <w:proofErr w:type="spellStart"/>
      <w:r w:rsidRPr="00921A94">
        <w:t>SoBRA</w:t>
      </w:r>
      <w:proofErr w:type="spellEnd"/>
      <w:r w:rsidRPr="00921A94">
        <w:t xml:space="preserve"> projects are in service, currently projected to be May 1, 2020</w:t>
      </w:r>
      <w:r>
        <w:t xml:space="preserve">, is 0.732%, </w:t>
      </w:r>
      <w:r>
        <w:lastRenderedPageBreak/>
        <w:t xml:space="preserve">as reflected on Line C of the 2020 </w:t>
      </w:r>
      <w:proofErr w:type="spellStart"/>
      <w:r>
        <w:t>SoBRA</w:t>
      </w:r>
      <w:proofErr w:type="spellEnd"/>
      <w:r>
        <w:t xml:space="preserve"> Factor Calculation Schedule (Exhibit EJA-1, Page 1 of 1).</w:t>
      </w:r>
      <w:r w:rsidRPr="00921A94">
        <w:t xml:space="preserve"> </w:t>
      </w:r>
    </w:p>
    <w:p w:rsidR="002D5713" w:rsidRDefault="002D5713" w:rsidP="002D5713">
      <w:pPr>
        <w:autoSpaceDE w:val="0"/>
        <w:autoSpaceDN w:val="0"/>
        <w:adjustRightInd w:val="0"/>
        <w:ind w:left="1440" w:hanging="1440"/>
        <w:jc w:val="both"/>
        <w:rPr>
          <w:b/>
          <w:u w:val="single"/>
        </w:rPr>
      </w:pPr>
    </w:p>
    <w:p w:rsidR="002D5713" w:rsidRPr="00921A94" w:rsidRDefault="002D5713" w:rsidP="002D5713">
      <w:pPr>
        <w:autoSpaceDE w:val="0"/>
        <w:autoSpaceDN w:val="0"/>
        <w:adjustRightInd w:val="0"/>
        <w:ind w:left="1440" w:hanging="1440"/>
        <w:jc w:val="both"/>
      </w:pPr>
      <w:r w:rsidRPr="00921A94">
        <w:rPr>
          <w:b/>
          <w:u w:val="single"/>
        </w:rPr>
        <w:t>ISSUE 2K</w:t>
      </w:r>
      <w:r w:rsidRPr="00921A94">
        <w:rPr>
          <w:b/>
        </w:rPr>
        <w:t>:</w:t>
      </w:r>
      <w:r w:rsidRPr="00921A94">
        <w:rPr>
          <w:b/>
        </w:rPr>
        <w:tab/>
      </w:r>
      <w:r w:rsidRPr="00921A94">
        <w:t xml:space="preserve">Should the Commission approve revised tariffs for FPL reflecting the base rate percentage increase for the 2020 </w:t>
      </w:r>
      <w:proofErr w:type="spellStart"/>
      <w:r w:rsidRPr="00921A94">
        <w:t>SoBRA</w:t>
      </w:r>
      <w:proofErr w:type="spellEnd"/>
      <w:r w:rsidRPr="00921A94">
        <w:t xml:space="preserve"> projects determined to be appropriate in this proceeding? </w:t>
      </w:r>
    </w:p>
    <w:p w:rsidR="002D5713" w:rsidRDefault="002D5713" w:rsidP="002D5713">
      <w:pPr>
        <w:tabs>
          <w:tab w:val="left" w:pos="8571"/>
        </w:tabs>
        <w:autoSpaceDE w:val="0"/>
        <w:autoSpaceDN w:val="0"/>
        <w:adjustRightInd w:val="0"/>
        <w:ind w:left="1440" w:hanging="1440"/>
        <w:jc w:val="both"/>
      </w:pPr>
      <w:r w:rsidRPr="00921A94">
        <w:rPr>
          <w:b/>
        </w:rPr>
        <w:t>STIPULATION</w:t>
      </w:r>
      <w:r w:rsidRPr="00921A94">
        <w:t>:</w:t>
      </w:r>
      <w:r>
        <w:t xml:space="preserve"> </w:t>
      </w:r>
    </w:p>
    <w:p w:rsidR="002D5713" w:rsidRDefault="002D5713" w:rsidP="002D5713">
      <w:pPr>
        <w:tabs>
          <w:tab w:val="left" w:pos="8571"/>
        </w:tabs>
        <w:autoSpaceDE w:val="0"/>
        <w:autoSpaceDN w:val="0"/>
        <w:adjustRightInd w:val="0"/>
        <w:ind w:left="1440" w:hanging="1440"/>
        <w:jc w:val="both"/>
      </w:pPr>
    </w:p>
    <w:p w:rsidR="002D5713" w:rsidRDefault="002D5713" w:rsidP="002D5713">
      <w:pPr>
        <w:tabs>
          <w:tab w:val="left" w:pos="8571"/>
        </w:tabs>
        <w:autoSpaceDE w:val="0"/>
        <w:autoSpaceDN w:val="0"/>
        <w:adjustRightInd w:val="0"/>
        <w:ind w:left="1440" w:hanging="1440"/>
        <w:jc w:val="both"/>
      </w:pPr>
      <w:r>
        <w:tab/>
        <w:t>Yes.</w:t>
      </w:r>
    </w:p>
    <w:p w:rsidR="002D5713" w:rsidRDefault="002D5713" w:rsidP="002D5713">
      <w:pPr>
        <w:tabs>
          <w:tab w:val="left" w:pos="8571"/>
        </w:tabs>
        <w:autoSpaceDE w:val="0"/>
        <w:autoSpaceDN w:val="0"/>
        <w:adjustRightInd w:val="0"/>
        <w:ind w:left="1440" w:hanging="1440"/>
        <w:jc w:val="both"/>
      </w:pPr>
    </w:p>
    <w:p w:rsidR="002D5713" w:rsidRPr="00921A94" w:rsidRDefault="002D5713" w:rsidP="002D5713">
      <w:pPr>
        <w:autoSpaceDE w:val="0"/>
        <w:autoSpaceDN w:val="0"/>
        <w:adjustRightInd w:val="0"/>
        <w:ind w:left="1440" w:hanging="1440"/>
        <w:jc w:val="both"/>
      </w:pPr>
      <w:r w:rsidRPr="00921A94">
        <w:rPr>
          <w:b/>
          <w:u w:val="single"/>
        </w:rPr>
        <w:t>ISSUE 2</w:t>
      </w:r>
      <w:r>
        <w:rPr>
          <w:b/>
          <w:u w:val="single"/>
        </w:rPr>
        <w:t>L</w:t>
      </w:r>
      <w:r w:rsidRPr="00921A94">
        <w:rPr>
          <w:b/>
        </w:rPr>
        <w:t>:</w:t>
      </w:r>
      <w:r w:rsidRPr="00921A94">
        <w:rPr>
          <w:b/>
        </w:rPr>
        <w:tab/>
      </w:r>
      <w:r w:rsidRPr="00EF0C45">
        <w:rPr>
          <w:b/>
        </w:rPr>
        <w:t xml:space="preserve">Has the Commission made prudent adjustments, if any are needed, to account for replacement power costs associated with the April 2019 forced outage at Saint Lucie Unit 1 generating station? If adjustments are needed and have not been made, what adjustment(s) should be made? </w:t>
      </w:r>
    </w:p>
    <w:p w:rsidR="002D5713" w:rsidRPr="00921A94" w:rsidRDefault="002D5713" w:rsidP="002D5713">
      <w:pPr>
        <w:autoSpaceDE w:val="0"/>
        <w:autoSpaceDN w:val="0"/>
        <w:adjustRightInd w:val="0"/>
        <w:ind w:left="1440" w:hanging="1440"/>
        <w:jc w:val="both"/>
      </w:pPr>
    </w:p>
    <w:p w:rsidR="002D5713" w:rsidRDefault="002D5713" w:rsidP="002D5713">
      <w:pPr>
        <w:ind w:left="2160" w:hanging="2160"/>
        <w:jc w:val="both"/>
      </w:pPr>
      <w:r w:rsidRPr="00921A94">
        <w:rPr>
          <w:b/>
        </w:rPr>
        <w:t>STIPULATION</w:t>
      </w:r>
      <w:r w:rsidRPr="00921A94">
        <w:t>:</w:t>
      </w:r>
    </w:p>
    <w:p w:rsidR="002D5713" w:rsidRDefault="002D5713" w:rsidP="002D5713">
      <w:pPr>
        <w:ind w:left="2160" w:hanging="2160"/>
        <w:jc w:val="both"/>
      </w:pPr>
    </w:p>
    <w:p w:rsidR="002D5713" w:rsidRDefault="002D5713" w:rsidP="002D5713">
      <w:pPr>
        <w:ind w:left="1440" w:hanging="1440"/>
        <w:jc w:val="both"/>
      </w:pPr>
      <w:r>
        <w:tab/>
        <w:t>The parties have agreed to defer this issue to the 2020 Fuel Cost Recovery Clause docket.  It is understood that any amounts associated with the April 2019 St. Lucie outage included in this docket are subject to true-up in the subsequent proceeding in which this issue is heard and that no presumption of prudence attaches.</w:t>
      </w:r>
    </w:p>
    <w:p w:rsidR="002D5713" w:rsidRDefault="002D5713" w:rsidP="002D5713">
      <w:r w:rsidRPr="00921A94">
        <w:tab/>
      </w:r>
    </w:p>
    <w:p w:rsidR="002D5713" w:rsidRPr="00921A94" w:rsidRDefault="002D5713" w:rsidP="002D5713">
      <w:pPr>
        <w:autoSpaceDE w:val="0"/>
        <w:autoSpaceDN w:val="0"/>
        <w:adjustRightInd w:val="0"/>
        <w:ind w:left="1440" w:hanging="1440"/>
        <w:jc w:val="both"/>
      </w:pPr>
      <w:r w:rsidRPr="00921A94">
        <w:rPr>
          <w:b/>
          <w:u w:val="single"/>
        </w:rPr>
        <w:t>ISSUE 2</w:t>
      </w:r>
      <w:r>
        <w:rPr>
          <w:b/>
          <w:u w:val="single"/>
        </w:rPr>
        <w:t>M</w:t>
      </w:r>
      <w:r w:rsidRPr="00921A94">
        <w:rPr>
          <w:b/>
        </w:rPr>
        <w:t>:</w:t>
      </w:r>
      <w:r w:rsidRPr="00921A94">
        <w:rPr>
          <w:b/>
        </w:rPr>
        <w:tab/>
      </w:r>
      <w:r w:rsidRPr="001B4AA6">
        <w:rPr>
          <w:b/>
        </w:rPr>
        <w:t xml:space="preserve">What is the appropriate base rate percentage decrease associated with the true-up of the 2017 </w:t>
      </w:r>
      <w:proofErr w:type="spellStart"/>
      <w:r w:rsidRPr="001B4AA6">
        <w:rPr>
          <w:b/>
        </w:rPr>
        <w:t>SoBRA</w:t>
      </w:r>
      <w:proofErr w:type="spellEnd"/>
      <w:r w:rsidRPr="001B4AA6">
        <w:rPr>
          <w:b/>
        </w:rPr>
        <w:t xml:space="preserve">? </w:t>
      </w:r>
    </w:p>
    <w:p w:rsidR="002D5713" w:rsidRPr="00921A94" w:rsidRDefault="002D5713" w:rsidP="002D5713">
      <w:pPr>
        <w:autoSpaceDE w:val="0"/>
        <w:autoSpaceDN w:val="0"/>
        <w:adjustRightInd w:val="0"/>
        <w:ind w:left="1440" w:hanging="1440"/>
        <w:jc w:val="both"/>
      </w:pPr>
    </w:p>
    <w:p w:rsidR="002D5713" w:rsidRDefault="002D5713" w:rsidP="002D5713">
      <w:pPr>
        <w:ind w:left="2160" w:hanging="2160"/>
        <w:jc w:val="both"/>
      </w:pPr>
      <w:r w:rsidRPr="00921A94">
        <w:rPr>
          <w:b/>
        </w:rPr>
        <w:t>STIPULATION</w:t>
      </w:r>
      <w:r w:rsidRPr="00921A94">
        <w:t>:</w:t>
      </w:r>
    </w:p>
    <w:p w:rsidR="002D5713" w:rsidRDefault="002D5713" w:rsidP="002D5713">
      <w:pPr>
        <w:ind w:left="2160" w:hanging="2160"/>
        <w:jc w:val="both"/>
      </w:pPr>
    </w:p>
    <w:p w:rsidR="002D5713" w:rsidRDefault="002D5713" w:rsidP="002D5713">
      <w:pPr>
        <w:ind w:left="1440" w:hanging="1440"/>
        <w:jc w:val="both"/>
      </w:pPr>
      <w:r>
        <w:tab/>
        <w:t>T</w:t>
      </w:r>
      <w:r w:rsidRPr="00921A94">
        <w:t>he appropriate</w:t>
      </w:r>
      <w:r w:rsidRPr="001466DA">
        <w:t xml:space="preserve"> </w:t>
      </w:r>
      <w:r w:rsidRPr="00B61A50">
        <w:t>base rate percentage de</w:t>
      </w:r>
      <w:r>
        <w:t>crease associated with the true-</w:t>
      </w:r>
      <w:r w:rsidRPr="00B61A50">
        <w:t xml:space="preserve">up of the 2017 </w:t>
      </w:r>
      <w:proofErr w:type="spellStart"/>
      <w:r w:rsidRPr="00B61A50">
        <w:t>SoBRA</w:t>
      </w:r>
      <w:proofErr w:type="spellEnd"/>
      <w:r>
        <w:t xml:space="preserve"> is 0.045%, as reflected on Line C of the 2017 </w:t>
      </w:r>
      <w:proofErr w:type="spellStart"/>
      <w:r>
        <w:t>SoBRA</w:t>
      </w:r>
      <w:proofErr w:type="spellEnd"/>
      <w:r>
        <w:t xml:space="preserve"> Prospective Adjustment Schedule (Exhibit EJA-6, Page 1 of 1).</w:t>
      </w:r>
    </w:p>
    <w:p w:rsidR="002D5713" w:rsidRDefault="002D5713" w:rsidP="002D5713"/>
    <w:p w:rsidR="002D5713" w:rsidRPr="00921A94" w:rsidRDefault="002D5713" w:rsidP="002D5713">
      <w:pPr>
        <w:autoSpaceDE w:val="0"/>
        <w:autoSpaceDN w:val="0"/>
        <w:adjustRightInd w:val="0"/>
        <w:ind w:left="1440" w:hanging="1440"/>
        <w:jc w:val="both"/>
      </w:pPr>
      <w:r w:rsidRPr="00921A94">
        <w:rPr>
          <w:b/>
          <w:u w:val="single"/>
        </w:rPr>
        <w:t>ISSUE 2</w:t>
      </w:r>
      <w:r>
        <w:rPr>
          <w:b/>
          <w:u w:val="single"/>
        </w:rPr>
        <w:t>N</w:t>
      </w:r>
      <w:r w:rsidRPr="00921A94">
        <w:rPr>
          <w:b/>
        </w:rPr>
        <w:t>:</w:t>
      </w:r>
      <w:r w:rsidRPr="00921A94">
        <w:rPr>
          <w:b/>
        </w:rPr>
        <w:tab/>
      </w:r>
      <w:r w:rsidRPr="001B4AA6">
        <w:rPr>
          <w:b/>
        </w:rPr>
        <w:t xml:space="preserve">Should the Commission approve revised tariffs for FPL reflecting the base rate percentage decrease for the true-up of the 2017 </w:t>
      </w:r>
      <w:proofErr w:type="spellStart"/>
      <w:r w:rsidRPr="001B4AA6">
        <w:rPr>
          <w:b/>
        </w:rPr>
        <w:t>SoBRA</w:t>
      </w:r>
      <w:proofErr w:type="spellEnd"/>
      <w:r w:rsidRPr="001B4AA6">
        <w:rPr>
          <w:b/>
        </w:rPr>
        <w:t xml:space="preserve"> projects determined to be reasonable in this proceeding? </w:t>
      </w:r>
    </w:p>
    <w:p w:rsidR="002D5713" w:rsidRPr="00921A94" w:rsidRDefault="002D5713" w:rsidP="002D5713">
      <w:pPr>
        <w:autoSpaceDE w:val="0"/>
        <w:autoSpaceDN w:val="0"/>
        <w:adjustRightInd w:val="0"/>
        <w:ind w:left="1440" w:hanging="1440"/>
        <w:jc w:val="both"/>
      </w:pPr>
    </w:p>
    <w:p w:rsidR="002D5713" w:rsidRDefault="002D5713" w:rsidP="002D5713">
      <w:r w:rsidRPr="00921A94">
        <w:rPr>
          <w:b/>
        </w:rPr>
        <w:t>STIPULATION</w:t>
      </w:r>
      <w:r w:rsidRPr="00921A94">
        <w:t>:</w:t>
      </w:r>
    </w:p>
    <w:p w:rsidR="002D5713" w:rsidRDefault="002D5713" w:rsidP="002D5713"/>
    <w:p w:rsidR="002D5713" w:rsidRDefault="002D5713" w:rsidP="002D5713">
      <w:r>
        <w:tab/>
      </w:r>
      <w:r>
        <w:tab/>
        <w:t>Yes.</w:t>
      </w:r>
    </w:p>
    <w:p w:rsidR="002D5713" w:rsidRDefault="002D5713" w:rsidP="002D5713">
      <w:pPr>
        <w:autoSpaceDE w:val="0"/>
        <w:autoSpaceDN w:val="0"/>
        <w:adjustRightInd w:val="0"/>
        <w:ind w:left="1440" w:hanging="1440"/>
        <w:jc w:val="both"/>
        <w:rPr>
          <w:b/>
        </w:rPr>
      </w:pPr>
    </w:p>
    <w:p w:rsidR="002D5713" w:rsidRDefault="002D5713" w:rsidP="002D5713">
      <w:pPr>
        <w:autoSpaceDE w:val="0"/>
        <w:autoSpaceDN w:val="0"/>
        <w:adjustRightInd w:val="0"/>
        <w:jc w:val="both"/>
        <w:rPr>
          <w:b/>
          <w:bCs/>
        </w:rPr>
      </w:pPr>
      <w:r>
        <w:rPr>
          <w:b/>
          <w:bCs/>
        </w:rPr>
        <w:t>Gulf Power Company</w:t>
      </w:r>
    </w:p>
    <w:p w:rsidR="002D5713" w:rsidRDefault="002D5713" w:rsidP="002D5713">
      <w:pPr>
        <w:autoSpaceDE w:val="0"/>
        <w:autoSpaceDN w:val="0"/>
        <w:adjustRightInd w:val="0"/>
        <w:ind w:left="1440" w:hanging="1440"/>
        <w:jc w:val="both"/>
        <w:rPr>
          <w:b/>
          <w:u w:val="single"/>
        </w:rPr>
      </w:pPr>
    </w:p>
    <w:p w:rsidR="002D5713" w:rsidRPr="00C56EFB" w:rsidRDefault="002D5713" w:rsidP="002D5713">
      <w:pPr>
        <w:autoSpaceDE w:val="0"/>
        <w:autoSpaceDN w:val="0"/>
        <w:adjustRightInd w:val="0"/>
        <w:ind w:left="1440" w:hanging="1440"/>
        <w:jc w:val="both"/>
      </w:pPr>
      <w:r w:rsidRPr="00C56EFB">
        <w:rPr>
          <w:b/>
          <w:u w:val="single"/>
        </w:rPr>
        <w:t>ISSUE 4A</w:t>
      </w:r>
      <w:r w:rsidRPr="00C56EFB">
        <w:rPr>
          <w:b/>
        </w:rPr>
        <w:t>:</w:t>
      </w:r>
      <w:r w:rsidRPr="00C56EFB">
        <w:t xml:space="preserve"> </w:t>
      </w:r>
      <w:r w:rsidRPr="00C56EFB">
        <w:tab/>
      </w:r>
      <w:r w:rsidRPr="001B4AA6">
        <w:rPr>
          <w:b/>
        </w:rPr>
        <w:t xml:space="preserve">Should the Commission approve as prudent </w:t>
      </w:r>
      <w:r>
        <w:rPr>
          <w:b/>
        </w:rPr>
        <w:t>Gulf</w:t>
      </w:r>
      <w:r w:rsidRPr="001B4AA6">
        <w:rPr>
          <w:b/>
        </w:rPr>
        <w:t xml:space="preserve">’s actions to mitigate the volatility of natural gas, residual oil, and purchased power prices, as reported in </w:t>
      </w:r>
      <w:r>
        <w:rPr>
          <w:b/>
        </w:rPr>
        <w:t>Gulf</w:t>
      </w:r>
      <w:r w:rsidRPr="001B4AA6">
        <w:rPr>
          <w:b/>
        </w:rPr>
        <w:t>’s April 2019 and August 2019 hedging reports?</w:t>
      </w:r>
    </w:p>
    <w:p w:rsidR="002D5713" w:rsidRDefault="002D5713" w:rsidP="002D5713">
      <w:pPr>
        <w:rPr>
          <w:b/>
          <w:u w:val="single"/>
        </w:rPr>
      </w:pPr>
    </w:p>
    <w:p w:rsidR="002D5713" w:rsidRDefault="002D5713" w:rsidP="002D5713">
      <w:r w:rsidRPr="00C56EFB">
        <w:rPr>
          <w:b/>
          <w:u w:val="single"/>
        </w:rPr>
        <w:t>STIPULATION</w:t>
      </w:r>
      <w:r w:rsidRPr="00C56EFB">
        <w:t>:</w:t>
      </w:r>
    </w:p>
    <w:p w:rsidR="002D5713" w:rsidRPr="00C56EFB" w:rsidRDefault="002D5713" w:rsidP="002D5713">
      <w:pPr>
        <w:tabs>
          <w:tab w:val="left" w:pos="8571"/>
        </w:tabs>
        <w:autoSpaceDE w:val="0"/>
        <w:autoSpaceDN w:val="0"/>
        <w:adjustRightInd w:val="0"/>
        <w:ind w:left="1440" w:hanging="1440"/>
        <w:jc w:val="both"/>
      </w:pPr>
      <w:r w:rsidRPr="00C56EFB">
        <w:tab/>
      </w:r>
    </w:p>
    <w:p w:rsidR="002D5713" w:rsidRDefault="002D5713" w:rsidP="002D5713">
      <w:pPr>
        <w:autoSpaceDE w:val="0"/>
        <w:autoSpaceDN w:val="0"/>
        <w:adjustRightInd w:val="0"/>
        <w:ind w:left="1440"/>
        <w:jc w:val="both"/>
      </w:pPr>
      <w:r w:rsidRPr="00C56EFB">
        <w:t xml:space="preserve">Yes, the Commission should approve as prudent </w:t>
      </w:r>
      <w:r>
        <w:t>Gulf</w:t>
      </w:r>
      <w:r w:rsidRPr="00C56EFB">
        <w:t xml:space="preserve">’s actions to mitigate the volatility of natural gas, residual oil, and purchased power prices that are reported in April 2019 and August 2019 filings in Docket No. 20190001-EI. For the period </w:t>
      </w:r>
      <w:r>
        <w:t>reported in the April report, Gulf</w:t>
      </w:r>
      <w:r w:rsidRPr="00C56EFB">
        <w:t>’s hedging activities resulted in a net cost of $</w:t>
      </w:r>
      <w:r>
        <w:t xml:space="preserve">3,049,820. </w:t>
      </w:r>
      <w:r w:rsidRPr="00C56EFB">
        <w:t xml:space="preserve">For the period </w:t>
      </w:r>
      <w:r>
        <w:t>reported in the August report, Gulf</w:t>
      </w:r>
      <w:r w:rsidRPr="00C56EFB">
        <w:t>’s hedging activities resulted in a net cost of $</w:t>
      </w:r>
      <w:r>
        <w:t xml:space="preserve">3,629,330. </w:t>
      </w:r>
      <w:proofErr w:type="gramStart"/>
      <w:r>
        <w:t>and</w:t>
      </w:r>
      <w:proofErr w:type="gramEnd"/>
      <w:r>
        <w:t xml:space="preserve"> the</w:t>
      </w:r>
      <w:r w:rsidRPr="00C56EFB">
        <w:t xml:space="preserve"> activities </w:t>
      </w:r>
      <w:r>
        <w:t xml:space="preserve">in these reports </w:t>
      </w:r>
      <w:r w:rsidRPr="00C56EFB">
        <w:t>were pursuant to, and were consistent with, previously approved risk</w:t>
      </w:r>
      <w:r>
        <w:t xml:space="preserve"> management plans. Pursuant to the 2017 Stipulation and Settlement Agreement, Gulf agreed not to enter into any additional hedges during the term of the Agreement.</w:t>
      </w:r>
    </w:p>
    <w:p w:rsidR="002D5713" w:rsidRDefault="002D5713" w:rsidP="002D5713">
      <w:pPr>
        <w:autoSpaceDE w:val="0"/>
        <w:autoSpaceDN w:val="0"/>
        <w:adjustRightInd w:val="0"/>
        <w:ind w:left="1440"/>
        <w:jc w:val="both"/>
        <w:rPr>
          <w:b/>
          <w:u w:val="single"/>
        </w:rPr>
      </w:pPr>
    </w:p>
    <w:p w:rsidR="002D5713" w:rsidRDefault="002D5713" w:rsidP="002D5713">
      <w:pPr>
        <w:rPr>
          <w:b/>
          <w:bCs/>
        </w:rPr>
      </w:pPr>
      <w:r>
        <w:rPr>
          <w:b/>
          <w:bCs/>
        </w:rPr>
        <w:t xml:space="preserve">Tampa Electric Company </w:t>
      </w:r>
    </w:p>
    <w:p w:rsidR="002D5713" w:rsidRDefault="002D5713" w:rsidP="002D5713">
      <w:pPr>
        <w:autoSpaceDE w:val="0"/>
        <w:autoSpaceDN w:val="0"/>
        <w:adjustRightInd w:val="0"/>
        <w:ind w:left="1440" w:hanging="1440"/>
        <w:jc w:val="both"/>
        <w:rPr>
          <w:b/>
          <w:u w:val="single"/>
        </w:rPr>
      </w:pPr>
    </w:p>
    <w:p w:rsidR="002D5713" w:rsidRPr="00C56EFB" w:rsidRDefault="002D5713" w:rsidP="002D5713">
      <w:pPr>
        <w:autoSpaceDE w:val="0"/>
        <w:autoSpaceDN w:val="0"/>
        <w:adjustRightInd w:val="0"/>
        <w:ind w:left="1440" w:hanging="1440"/>
        <w:jc w:val="both"/>
      </w:pPr>
      <w:r w:rsidRPr="00C56EFB">
        <w:rPr>
          <w:b/>
          <w:u w:val="single"/>
        </w:rPr>
        <w:t>ISSUE 5A</w:t>
      </w:r>
      <w:r w:rsidRPr="00C56EFB">
        <w:rPr>
          <w:b/>
        </w:rPr>
        <w:t>:</w:t>
      </w:r>
      <w:r w:rsidRPr="00C56EFB">
        <w:t xml:space="preserve"> </w:t>
      </w:r>
      <w:r w:rsidRPr="00C56EFB">
        <w:tab/>
      </w:r>
      <w:r w:rsidRPr="001B4AA6">
        <w:rPr>
          <w:b/>
        </w:rPr>
        <w:t>Should the Commission approve as prudent TECO’s actions to mitigate the volatility of natural gas, residual oil, and purchased power prices, as reported in TECO’s April 2019 and August 2019 hedging reports?</w:t>
      </w:r>
    </w:p>
    <w:p w:rsidR="002D5713" w:rsidRPr="00C56EFB" w:rsidRDefault="002D5713" w:rsidP="002D5713">
      <w:pPr>
        <w:tabs>
          <w:tab w:val="left" w:pos="8571"/>
        </w:tabs>
        <w:autoSpaceDE w:val="0"/>
        <w:autoSpaceDN w:val="0"/>
        <w:adjustRightInd w:val="0"/>
        <w:ind w:left="1440" w:hanging="1440"/>
        <w:jc w:val="both"/>
        <w:rPr>
          <w:b/>
          <w:u w:val="single"/>
        </w:rPr>
      </w:pPr>
    </w:p>
    <w:p w:rsidR="002D5713" w:rsidRDefault="002D5713" w:rsidP="002D5713">
      <w:pPr>
        <w:tabs>
          <w:tab w:val="left" w:pos="8571"/>
        </w:tabs>
        <w:autoSpaceDE w:val="0"/>
        <w:autoSpaceDN w:val="0"/>
        <w:adjustRightInd w:val="0"/>
        <w:ind w:left="1440" w:hanging="1440"/>
        <w:jc w:val="both"/>
      </w:pPr>
      <w:r w:rsidRPr="00C56EFB">
        <w:rPr>
          <w:b/>
          <w:u w:val="single"/>
        </w:rPr>
        <w:t>STIPULATION</w:t>
      </w:r>
      <w:r w:rsidRPr="00C56EFB">
        <w:t>:</w:t>
      </w:r>
    </w:p>
    <w:p w:rsidR="002D5713" w:rsidRPr="00C56EFB" w:rsidRDefault="002D5713" w:rsidP="002D5713">
      <w:pPr>
        <w:tabs>
          <w:tab w:val="left" w:pos="8571"/>
        </w:tabs>
        <w:autoSpaceDE w:val="0"/>
        <w:autoSpaceDN w:val="0"/>
        <w:adjustRightInd w:val="0"/>
        <w:ind w:left="1440" w:hanging="1440"/>
        <w:jc w:val="both"/>
      </w:pPr>
      <w:r w:rsidRPr="00C56EFB">
        <w:tab/>
      </w:r>
    </w:p>
    <w:p w:rsidR="002D5713" w:rsidRDefault="002D5713" w:rsidP="002D5713">
      <w:pPr>
        <w:tabs>
          <w:tab w:val="left" w:pos="8571"/>
        </w:tabs>
        <w:autoSpaceDE w:val="0"/>
        <w:autoSpaceDN w:val="0"/>
        <w:adjustRightInd w:val="0"/>
        <w:ind w:left="1440" w:hanging="1440"/>
        <w:jc w:val="both"/>
        <w:rPr>
          <w:b/>
          <w:bCs/>
          <w:u w:val="single"/>
        </w:rPr>
      </w:pPr>
      <w:r w:rsidRPr="00C56EFB">
        <w:tab/>
        <w:t>Yes, the Commission should approve as prudent TECO’s actions to mitigate the volatility of natural gas, residual oil, and purchased power prices that are reported in the April 2019 filing in Docket No. 20190001-EI. For the period August 1, 2018</w:t>
      </w:r>
      <w:r w:rsidR="004813E3">
        <w:t>,</w:t>
      </w:r>
      <w:r w:rsidRPr="00C56EFB">
        <w:t xml:space="preserve"> through November 30, 2018, TECO’s hedging activities resulted in a net</w:t>
      </w:r>
      <w:r>
        <w:t xml:space="preserve"> gain of $106,110</w:t>
      </w:r>
      <w:r w:rsidRPr="00C56EFB">
        <w:t>, and these activities were pursuant to, and were consistent with, previously approved risk management plans. Pursuant to the 2017 Amended and Restated Stipulation and Settlement Agreement, TECO agreed not to enter into any additional hedges</w:t>
      </w:r>
      <w:r>
        <w:t xml:space="preserve"> through December 31, 2022</w:t>
      </w:r>
      <w:r w:rsidRPr="00C56EFB">
        <w:t>. TECO did not file an August 2019 hedging report.</w:t>
      </w:r>
    </w:p>
    <w:p w:rsidR="002D5713" w:rsidRDefault="002D5713" w:rsidP="002D5713">
      <w:pPr>
        <w:autoSpaceDE w:val="0"/>
        <w:autoSpaceDN w:val="0"/>
        <w:adjustRightInd w:val="0"/>
        <w:ind w:left="1440" w:hanging="1440"/>
        <w:jc w:val="both"/>
        <w:rPr>
          <w:b/>
          <w:bCs/>
          <w:u w:val="single"/>
        </w:rPr>
      </w:pPr>
    </w:p>
    <w:p w:rsidR="002D5713" w:rsidRPr="002529BA" w:rsidRDefault="002D5713" w:rsidP="002D5713">
      <w:pPr>
        <w:autoSpaceDE w:val="0"/>
        <w:autoSpaceDN w:val="0"/>
        <w:adjustRightInd w:val="0"/>
        <w:ind w:left="1440" w:hanging="1440"/>
        <w:jc w:val="both"/>
        <w:rPr>
          <w:b/>
          <w:bCs/>
          <w:u w:val="single"/>
        </w:rPr>
      </w:pPr>
      <w:r w:rsidRPr="002529BA">
        <w:rPr>
          <w:b/>
          <w:u w:val="single"/>
        </w:rPr>
        <w:t>ISSUE 5B:</w:t>
      </w:r>
      <w:r w:rsidRPr="002529BA">
        <w:t xml:space="preserve"> </w:t>
      </w:r>
      <w:r w:rsidRPr="002529BA">
        <w:tab/>
      </w:r>
      <w:r w:rsidRPr="001B4AA6">
        <w:rPr>
          <w:b/>
        </w:rPr>
        <w:t xml:space="preserve">What was the total gain under TECO’s Optimization Mechanism approved by Order No. </w:t>
      </w:r>
      <w:proofErr w:type="gramStart"/>
      <w:r w:rsidRPr="001B4AA6">
        <w:rPr>
          <w:b/>
        </w:rPr>
        <w:t>PSC-2017-0456-S-EI that TECO may recover for the period January 2018 through December 2018, and how should that gain to be shared between TECO and customers?</w:t>
      </w:r>
      <w:proofErr w:type="gramEnd"/>
      <w:r w:rsidRPr="001B4AA6">
        <w:rPr>
          <w:b/>
        </w:rPr>
        <w:t xml:space="preserve"> </w:t>
      </w:r>
    </w:p>
    <w:p w:rsidR="002D5713" w:rsidRPr="002529BA" w:rsidRDefault="002D5713" w:rsidP="002D5713">
      <w:pPr>
        <w:autoSpaceDE w:val="0"/>
        <w:autoSpaceDN w:val="0"/>
        <w:adjustRightInd w:val="0"/>
        <w:ind w:left="1440" w:hanging="1440"/>
        <w:jc w:val="both"/>
        <w:rPr>
          <w:b/>
          <w:bCs/>
          <w:u w:val="single"/>
        </w:rPr>
      </w:pPr>
    </w:p>
    <w:p w:rsidR="002D5713" w:rsidRDefault="002D5713" w:rsidP="002D5713">
      <w:pPr>
        <w:tabs>
          <w:tab w:val="left" w:pos="8571"/>
        </w:tabs>
        <w:autoSpaceDE w:val="0"/>
        <w:autoSpaceDN w:val="0"/>
        <w:adjustRightInd w:val="0"/>
        <w:ind w:left="1440" w:hanging="1440"/>
        <w:jc w:val="both"/>
      </w:pPr>
      <w:r w:rsidRPr="002529BA">
        <w:rPr>
          <w:b/>
          <w:u w:val="single"/>
        </w:rPr>
        <w:t>STIPULATION</w:t>
      </w:r>
      <w:r w:rsidRPr="002529BA">
        <w:t>:</w:t>
      </w:r>
    </w:p>
    <w:p w:rsidR="002D5713" w:rsidRPr="002529BA" w:rsidRDefault="002D5713" w:rsidP="002D5713">
      <w:pPr>
        <w:tabs>
          <w:tab w:val="left" w:pos="8571"/>
        </w:tabs>
        <w:autoSpaceDE w:val="0"/>
        <w:autoSpaceDN w:val="0"/>
        <w:adjustRightInd w:val="0"/>
        <w:ind w:left="1440" w:hanging="1440"/>
        <w:jc w:val="both"/>
      </w:pPr>
      <w:r w:rsidRPr="002529BA">
        <w:tab/>
      </w:r>
    </w:p>
    <w:p w:rsidR="002D5713" w:rsidRDefault="002D5713" w:rsidP="002D5713">
      <w:pPr>
        <w:tabs>
          <w:tab w:val="left" w:pos="8571"/>
        </w:tabs>
        <w:autoSpaceDE w:val="0"/>
        <w:autoSpaceDN w:val="0"/>
        <w:adjustRightInd w:val="0"/>
        <w:ind w:left="1440" w:hanging="1440"/>
        <w:jc w:val="both"/>
      </w:pPr>
      <w:r w:rsidRPr="002529BA">
        <w:tab/>
      </w:r>
      <w:proofErr w:type="gramStart"/>
      <w:r w:rsidRPr="002529BA">
        <w:t>The total gain under TECO’s Optimization Mechanism approved by Order No.</w:t>
      </w:r>
      <w:proofErr w:type="gramEnd"/>
      <w:r w:rsidRPr="002529BA">
        <w:t xml:space="preserve"> PSC-2017-0456-S-EI for the period January 2018 through December 2018 was $6,367,256, as reflected in Column 5 of Table 1, Total Gains Threshold Schedule (Exhibit JCH-1, Page 1 of 3). This amount should be shared between TECO and customers (60% and 40%, respectively), with TECO customers receiving $5,246,902, and TECO retaining $1,120,353, as reflected in Columns 7 and 8 of Table 2, Total Gains Threshold Schedule (Exhibit JCH-1, Page 1 of 3).</w:t>
      </w:r>
    </w:p>
    <w:p w:rsidR="002D5713" w:rsidRPr="002529BA" w:rsidRDefault="002D5713" w:rsidP="002D5713">
      <w:pPr>
        <w:tabs>
          <w:tab w:val="left" w:pos="8571"/>
        </w:tabs>
        <w:autoSpaceDE w:val="0"/>
        <w:autoSpaceDN w:val="0"/>
        <w:adjustRightInd w:val="0"/>
        <w:ind w:left="1440" w:hanging="1440"/>
        <w:jc w:val="both"/>
        <w:rPr>
          <w:b/>
          <w:bCs/>
          <w:u w:val="single"/>
        </w:rPr>
      </w:pPr>
    </w:p>
    <w:p w:rsidR="002D5713" w:rsidRPr="002529BA" w:rsidRDefault="002D5713" w:rsidP="002D5713">
      <w:pPr>
        <w:autoSpaceDE w:val="0"/>
        <w:autoSpaceDN w:val="0"/>
        <w:adjustRightInd w:val="0"/>
        <w:ind w:left="1440" w:hanging="1440"/>
        <w:jc w:val="both"/>
      </w:pPr>
      <w:r w:rsidRPr="002529BA">
        <w:rPr>
          <w:b/>
          <w:bCs/>
          <w:u w:val="single"/>
        </w:rPr>
        <w:t>ISSUE 6</w:t>
      </w:r>
      <w:r w:rsidRPr="002529BA">
        <w:t>:</w:t>
      </w:r>
      <w:r w:rsidRPr="002529BA">
        <w:tab/>
      </w:r>
      <w:r w:rsidRPr="001B4AA6">
        <w:rPr>
          <w:b/>
        </w:rPr>
        <w:t>What are the appropriate actual benchmark levels for calendar year 2019 for gains on non-separated wholesale energy sales eligible for a shareholder incentive?</w:t>
      </w:r>
      <w:r w:rsidRPr="002529BA">
        <w:t xml:space="preserve"> </w:t>
      </w:r>
    </w:p>
    <w:p w:rsidR="002D5713" w:rsidRDefault="002D5713" w:rsidP="002D5713">
      <w:pPr>
        <w:tabs>
          <w:tab w:val="left" w:pos="8571"/>
        </w:tabs>
        <w:autoSpaceDE w:val="0"/>
        <w:autoSpaceDN w:val="0"/>
        <w:adjustRightInd w:val="0"/>
        <w:ind w:left="1440" w:hanging="1440"/>
        <w:jc w:val="both"/>
        <w:rPr>
          <w:b/>
          <w:u w:val="single"/>
        </w:rPr>
      </w:pPr>
    </w:p>
    <w:p w:rsidR="002D5713" w:rsidRDefault="002D5713" w:rsidP="002D5713">
      <w:pPr>
        <w:tabs>
          <w:tab w:val="left" w:pos="8571"/>
        </w:tabs>
        <w:autoSpaceDE w:val="0"/>
        <w:autoSpaceDN w:val="0"/>
        <w:adjustRightInd w:val="0"/>
        <w:ind w:left="1440" w:hanging="1440"/>
        <w:jc w:val="both"/>
      </w:pPr>
      <w:r w:rsidRPr="002529BA">
        <w:rPr>
          <w:b/>
          <w:u w:val="single"/>
        </w:rPr>
        <w:t>STIPULATION</w:t>
      </w:r>
      <w:r w:rsidRPr="002529BA">
        <w:t>:</w:t>
      </w:r>
    </w:p>
    <w:p w:rsidR="002D5713" w:rsidRPr="002529BA" w:rsidRDefault="002D5713" w:rsidP="002D5713">
      <w:pPr>
        <w:tabs>
          <w:tab w:val="left" w:pos="8571"/>
        </w:tabs>
        <w:autoSpaceDE w:val="0"/>
        <w:autoSpaceDN w:val="0"/>
        <w:adjustRightInd w:val="0"/>
        <w:ind w:left="1440" w:hanging="1440"/>
        <w:jc w:val="both"/>
      </w:pPr>
      <w:r w:rsidRPr="002529BA">
        <w:tab/>
      </w:r>
    </w:p>
    <w:p w:rsidR="002D5713" w:rsidRPr="002529BA" w:rsidRDefault="002D5713" w:rsidP="002D5713">
      <w:pPr>
        <w:tabs>
          <w:tab w:val="left" w:pos="8571"/>
        </w:tabs>
        <w:autoSpaceDE w:val="0"/>
        <w:autoSpaceDN w:val="0"/>
        <w:adjustRightInd w:val="0"/>
        <w:ind w:left="1440" w:hanging="1440"/>
        <w:jc w:val="both"/>
      </w:pPr>
      <w:r w:rsidRPr="002529BA">
        <w:tab/>
        <w:t>The appropriate actual benchmark levels for calendar year 2019 for gains on non-separated wholesale energy sales eligible for a shareholder incentive are as follows:</w:t>
      </w:r>
    </w:p>
    <w:p w:rsidR="002D5713" w:rsidRPr="002529BA" w:rsidRDefault="002D5713" w:rsidP="002D5713">
      <w:pPr>
        <w:tabs>
          <w:tab w:val="left" w:pos="8571"/>
        </w:tabs>
        <w:autoSpaceDE w:val="0"/>
        <w:autoSpaceDN w:val="0"/>
        <w:adjustRightInd w:val="0"/>
        <w:jc w:val="both"/>
      </w:pPr>
    </w:p>
    <w:p w:rsidR="002D5713" w:rsidRPr="002529BA" w:rsidRDefault="002D5713" w:rsidP="002D5713">
      <w:pPr>
        <w:tabs>
          <w:tab w:val="left" w:pos="8571"/>
        </w:tabs>
        <w:autoSpaceDE w:val="0"/>
        <w:autoSpaceDN w:val="0"/>
        <w:adjustRightInd w:val="0"/>
        <w:jc w:val="both"/>
      </w:pPr>
      <w:r w:rsidRPr="00A11E37">
        <w:rPr>
          <w:b/>
        </w:rPr>
        <w:t xml:space="preserve">DEF:  </w:t>
      </w:r>
      <w:r w:rsidRPr="002529BA">
        <w:t xml:space="preserve">             $1,333,709.</w:t>
      </w:r>
    </w:p>
    <w:p w:rsidR="002D5713" w:rsidRPr="002529BA" w:rsidRDefault="002D5713" w:rsidP="002D5713">
      <w:pPr>
        <w:tabs>
          <w:tab w:val="left" w:pos="8571"/>
        </w:tabs>
        <w:autoSpaceDE w:val="0"/>
        <w:autoSpaceDN w:val="0"/>
        <w:adjustRightInd w:val="0"/>
        <w:jc w:val="both"/>
      </w:pPr>
    </w:p>
    <w:p w:rsidR="002D5713" w:rsidRPr="002529BA" w:rsidRDefault="002D5713" w:rsidP="002D5713">
      <w:pPr>
        <w:tabs>
          <w:tab w:val="left" w:pos="8571"/>
        </w:tabs>
        <w:autoSpaceDE w:val="0"/>
        <w:autoSpaceDN w:val="0"/>
        <w:adjustRightInd w:val="0"/>
        <w:ind w:left="1440" w:hanging="1440"/>
        <w:jc w:val="both"/>
      </w:pPr>
      <w:r w:rsidRPr="00A11E37">
        <w:rPr>
          <w:b/>
        </w:rPr>
        <w:t xml:space="preserve">FPL: </w:t>
      </w:r>
      <w:r w:rsidRPr="002529BA">
        <w:tab/>
        <w:t xml:space="preserve">Pursuant to the Stipulation and Settlement that was approved in Order No. PSC-2016-0560-AS-EI, FPL revised its Incentive Mechanism program, which does not rely upon the three-year average Shareholder Incentive Benchmark specified in Order No. </w:t>
      </w:r>
      <w:proofErr w:type="gramStart"/>
      <w:r w:rsidRPr="002529BA">
        <w:t>PSC-00-1744-PAA-EI.</w:t>
      </w:r>
      <w:proofErr w:type="gramEnd"/>
      <w:r w:rsidRPr="002529BA">
        <w:t xml:space="preserve"> Setting the appropriate actual benchmark levels for calendar year 2019 for gains on non-separated wholesale energy sales eligible for a shareholder incentive is not applicable to FPL as part of its revised Incentive Mechanism.</w:t>
      </w:r>
    </w:p>
    <w:p w:rsidR="002D5713" w:rsidRPr="002529BA" w:rsidRDefault="002D5713" w:rsidP="002D5713">
      <w:pPr>
        <w:tabs>
          <w:tab w:val="left" w:pos="8571"/>
        </w:tabs>
        <w:autoSpaceDE w:val="0"/>
        <w:autoSpaceDN w:val="0"/>
        <w:adjustRightInd w:val="0"/>
        <w:ind w:left="1440" w:hanging="1440"/>
        <w:jc w:val="both"/>
      </w:pPr>
      <w:r w:rsidRPr="002529BA">
        <w:tab/>
      </w:r>
    </w:p>
    <w:p w:rsidR="002D5713" w:rsidRPr="002529BA" w:rsidRDefault="002D5713" w:rsidP="002D5713">
      <w:pPr>
        <w:tabs>
          <w:tab w:val="left" w:pos="8571"/>
        </w:tabs>
        <w:autoSpaceDE w:val="0"/>
        <w:autoSpaceDN w:val="0"/>
        <w:adjustRightInd w:val="0"/>
        <w:ind w:left="1440" w:hanging="1440"/>
        <w:jc w:val="both"/>
        <w:rPr>
          <w:color w:val="000000" w:themeColor="text1"/>
        </w:rPr>
      </w:pPr>
      <w:r>
        <w:rPr>
          <w:b/>
        </w:rPr>
        <w:t>Gulf</w:t>
      </w:r>
      <w:r w:rsidRPr="00A11E37">
        <w:rPr>
          <w:b/>
        </w:rPr>
        <w:t xml:space="preserve">: </w:t>
      </w:r>
      <w:r w:rsidRPr="002529BA">
        <w:t xml:space="preserve">           </w:t>
      </w:r>
      <w:r w:rsidRPr="002529BA">
        <w:rPr>
          <w:color w:val="000000" w:themeColor="text1"/>
        </w:rPr>
        <w:t xml:space="preserve">$1,092,804. </w:t>
      </w:r>
    </w:p>
    <w:p w:rsidR="002D5713" w:rsidRPr="002529BA" w:rsidRDefault="002D5713" w:rsidP="002D5713">
      <w:pPr>
        <w:tabs>
          <w:tab w:val="left" w:pos="8571"/>
        </w:tabs>
        <w:autoSpaceDE w:val="0"/>
        <w:autoSpaceDN w:val="0"/>
        <w:adjustRightInd w:val="0"/>
        <w:ind w:left="1440" w:hanging="1440"/>
        <w:jc w:val="both"/>
      </w:pPr>
      <w:r w:rsidRPr="002529BA">
        <w:tab/>
      </w:r>
    </w:p>
    <w:p w:rsidR="002D5713" w:rsidRPr="002529BA" w:rsidRDefault="002D5713" w:rsidP="002D5713">
      <w:pPr>
        <w:tabs>
          <w:tab w:val="left" w:pos="8571"/>
        </w:tabs>
        <w:autoSpaceDE w:val="0"/>
        <w:autoSpaceDN w:val="0"/>
        <w:adjustRightInd w:val="0"/>
        <w:ind w:left="1440" w:hanging="1440"/>
        <w:jc w:val="both"/>
        <w:rPr>
          <w:color w:val="000000" w:themeColor="text1"/>
        </w:rPr>
      </w:pPr>
      <w:r w:rsidRPr="00A11E37">
        <w:rPr>
          <w:b/>
        </w:rPr>
        <w:t>TECO:</w:t>
      </w:r>
      <w:r w:rsidRPr="002529BA">
        <w:t xml:space="preserve">        </w:t>
      </w:r>
      <w:r w:rsidRPr="002529BA">
        <w:tab/>
        <w:t xml:space="preserve">The Company did not set a benchmark level for calendar year 2019. </w:t>
      </w:r>
      <w:r w:rsidRPr="002529BA">
        <w:rPr>
          <w:color w:val="000000" w:themeColor="text1"/>
        </w:rPr>
        <w:t xml:space="preserve">Pursuant to the Stipulation and Settlement that was approved in Order No. PSC-2017-0456-S-EI, the Company’s Optimization Mechanism replaces the incentive program that used benchmark levels for gains on non-separated wholesale energy sales eligible for a shareholder incentive. </w:t>
      </w:r>
    </w:p>
    <w:p w:rsidR="002D5713" w:rsidRDefault="002D5713" w:rsidP="002D5713">
      <w:pPr>
        <w:ind w:left="1440" w:hanging="1440"/>
        <w:jc w:val="both"/>
        <w:rPr>
          <w:b/>
          <w:bCs/>
          <w:u w:val="single"/>
        </w:rPr>
      </w:pPr>
    </w:p>
    <w:p w:rsidR="002D5713" w:rsidRPr="002529BA" w:rsidRDefault="002D5713" w:rsidP="002D5713">
      <w:pPr>
        <w:ind w:left="1440" w:hanging="1440"/>
        <w:jc w:val="both"/>
        <w:rPr>
          <w:b/>
          <w:bCs/>
          <w:u w:val="single"/>
        </w:rPr>
      </w:pPr>
      <w:r w:rsidRPr="002529BA">
        <w:rPr>
          <w:b/>
          <w:bCs/>
          <w:u w:val="single"/>
        </w:rPr>
        <w:t>ISSUE 7</w:t>
      </w:r>
      <w:r w:rsidRPr="002529BA">
        <w:t>:</w:t>
      </w:r>
      <w:r w:rsidRPr="002529BA">
        <w:tab/>
      </w:r>
      <w:r w:rsidRPr="001B4AA6">
        <w:rPr>
          <w:b/>
        </w:rPr>
        <w:t xml:space="preserve">What are the appropriate estimated benchmark levels for calendar year 2020 for gains on non-separated wholesale energy sales eligible for a shareholder incentive? </w:t>
      </w:r>
    </w:p>
    <w:p w:rsidR="002D5713" w:rsidRPr="002529BA" w:rsidRDefault="002D5713" w:rsidP="002D5713">
      <w:pPr>
        <w:autoSpaceDE w:val="0"/>
        <w:autoSpaceDN w:val="0"/>
        <w:adjustRightInd w:val="0"/>
        <w:jc w:val="both"/>
        <w:rPr>
          <w:b/>
          <w:u w:val="single"/>
        </w:rPr>
      </w:pPr>
    </w:p>
    <w:p w:rsidR="002D5713" w:rsidRDefault="002D5713" w:rsidP="002D5713">
      <w:pPr>
        <w:tabs>
          <w:tab w:val="left" w:pos="8571"/>
        </w:tabs>
        <w:autoSpaceDE w:val="0"/>
        <w:autoSpaceDN w:val="0"/>
        <w:adjustRightInd w:val="0"/>
        <w:ind w:left="1440" w:hanging="1440"/>
        <w:jc w:val="both"/>
      </w:pPr>
      <w:r w:rsidRPr="002529BA">
        <w:rPr>
          <w:b/>
          <w:u w:val="single"/>
        </w:rPr>
        <w:t>STIPULATION</w:t>
      </w:r>
      <w:r w:rsidRPr="002529BA">
        <w:t>:</w:t>
      </w:r>
    </w:p>
    <w:p w:rsidR="002D5713" w:rsidRPr="002529BA" w:rsidRDefault="002D5713" w:rsidP="002D5713">
      <w:pPr>
        <w:tabs>
          <w:tab w:val="left" w:pos="8571"/>
        </w:tabs>
        <w:autoSpaceDE w:val="0"/>
        <w:autoSpaceDN w:val="0"/>
        <w:adjustRightInd w:val="0"/>
        <w:ind w:left="1440" w:hanging="1440"/>
        <w:jc w:val="both"/>
      </w:pPr>
      <w:r w:rsidRPr="002529BA">
        <w:tab/>
      </w:r>
    </w:p>
    <w:p w:rsidR="002D5713" w:rsidRPr="002529BA" w:rsidRDefault="002D5713" w:rsidP="002D5713">
      <w:pPr>
        <w:tabs>
          <w:tab w:val="left" w:pos="8571"/>
        </w:tabs>
        <w:autoSpaceDE w:val="0"/>
        <w:autoSpaceDN w:val="0"/>
        <w:adjustRightInd w:val="0"/>
        <w:ind w:left="1440" w:hanging="1440"/>
        <w:jc w:val="both"/>
      </w:pPr>
      <w:r w:rsidRPr="002529BA">
        <w:tab/>
        <w:t>The appropriate estimated benchmark levels for calendar year 2020 for gains on non-separated wholesale energy sales eligible for a shareholder incentive are as follows:</w:t>
      </w:r>
    </w:p>
    <w:p w:rsidR="002D5713" w:rsidRPr="002529BA" w:rsidRDefault="002D5713" w:rsidP="002D5713">
      <w:pPr>
        <w:autoSpaceDE w:val="0"/>
        <w:autoSpaceDN w:val="0"/>
        <w:adjustRightInd w:val="0"/>
        <w:jc w:val="both"/>
        <w:rPr>
          <w:b/>
          <w:u w:val="single"/>
        </w:rPr>
      </w:pPr>
    </w:p>
    <w:p w:rsidR="002D5713" w:rsidRPr="002529BA" w:rsidRDefault="002D5713" w:rsidP="002D5713">
      <w:pPr>
        <w:tabs>
          <w:tab w:val="left" w:pos="8571"/>
        </w:tabs>
        <w:autoSpaceDE w:val="0"/>
        <w:autoSpaceDN w:val="0"/>
        <w:adjustRightInd w:val="0"/>
        <w:ind w:left="1440" w:hanging="1440"/>
        <w:jc w:val="both"/>
      </w:pPr>
      <w:r w:rsidRPr="00A11E37">
        <w:rPr>
          <w:b/>
        </w:rPr>
        <w:t xml:space="preserve">DEF:  </w:t>
      </w:r>
      <w:r w:rsidRPr="002529BA">
        <w:t xml:space="preserve">              $1,604,573.</w:t>
      </w:r>
    </w:p>
    <w:p w:rsidR="002D5713" w:rsidRDefault="002D5713" w:rsidP="002D5713">
      <w:pPr>
        <w:tabs>
          <w:tab w:val="left" w:pos="8571"/>
        </w:tabs>
        <w:autoSpaceDE w:val="0"/>
        <w:autoSpaceDN w:val="0"/>
        <w:adjustRightInd w:val="0"/>
        <w:ind w:left="1440" w:hanging="1440"/>
        <w:jc w:val="both"/>
      </w:pPr>
      <w:r w:rsidRPr="004E070A">
        <w:tab/>
      </w:r>
    </w:p>
    <w:p w:rsidR="002D5713" w:rsidRDefault="002D5713" w:rsidP="002D5713">
      <w:pPr>
        <w:tabs>
          <w:tab w:val="left" w:pos="8571"/>
        </w:tabs>
        <w:autoSpaceDE w:val="0"/>
        <w:autoSpaceDN w:val="0"/>
        <w:adjustRightInd w:val="0"/>
        <w:ind w:left="1440" w:hanging="1440"/>
        <w:jc w:val="both"/>
      </w:pPr>
      <w:r w:rsidRPr="00A11E37">
        <w:rPr>
          <w:b/>
        </w:rPr>
        <w:t>FPL:</w:t>
      </w:r>
      <w:r>
        <w:tab/>
      </w:r>
      <w:r w:rsidRPr="0017572C">
        <w:t xml:space="preserve">Pursuant to the Stipulation and </w:t>
      </w:r>
      <w:r>
        <w:t>Settlement that was approved</w:t>
      </w:r>
      <w:r w:rsidRPr="0017572C">
        <w:t xml:space="preserve"> </w:t>
      </w:r>
      <w:r>
        <w:t>in Order No. PSC-2016-0560</w:t>
      </w:r>
      <w:r w:rsidRPr="0017572C">
        <w:t>-</w:t>
      </w:r>
      <w:r>
        <w:t>A</w:t>
      </w:r>
      <w:r w:rsidRPr="0017572C">
        <w:t xml:space="preserve">S-EI, FPL </w:t>
      </w:r>
      <w:r>
        <w:t>revised its</w:t>
      </w:r>
      <w:r w:rsidRPr="0017572C">
        <w:t xml:space="preserve"> Incentive Mechanism program, which does not rely upon the three-year average Shareholder Incentive Benchmark specified in Order No. </w:t>
      </w:r>
      <w:proofErr w:type="gramStart"/>
      <w:r w:rsidRPr="0017572C">
        <w:t>PSC-00-1744-PAA-EI.</w:t>
      </w:r>
      <w:proofErr w:type="gramEnd"/>
      <w:r>
        <w:t xml:space="preserve"> Setting the appropriate estimated benchmark </w:t>
      </w:r>
      <w:r>
        <w:lastRenderedPageBreak/>
        <w:t>levels for calendar year 2020 for gains on non-separated wholesale energy sales eligible for a shareholder incentive</w:t>
      </w:r>
      <w:r w:rsidRPr="00023554">
        <w:t xml:space="preserve"> is not applicab</w:t>
      </w:r>
      <w:r>
        <w:t>le to FPL as part of its revised Incentive Mechanism.</w:t>
      </w:r>
    </w:p>
    <w:p w:rsidR="002D5713" w:rsidRPr="004E070A" w:rsidRDefault="002D5713" w:rsidP="002D5713">
      <w:pPr>
        <w:tabs>
          <w:tab w:val="left" w:pos="8571"/>
        </w:tabs>
        <w:autoSpaceDE w:val="0"/>
        <w:autoSpaceDN w:val="0"/>
        <w:adjustRightInd w:val="0"/>
        <w:ind w:left="1440" w:hanging="1440"/>
        <w:jc w:val="both"/>
      </w:pPr>
    </w:p>
    <w:p w:rsidR="002D5713" w:rsidRDefault="002D5713" w:rsidP="002D5713">
      <w:pPr>
        <w:tabs>
          <w:tab w:val="left" w:pos="8571"/>
        </w:tabs>
        <w:autoSpaceDE w:val="0"/>
        <w:autoSpaceDN w:val="0"/>
        <w:adjustRightInd w:val="0"/>
        <w:ind w:left="1440" w:hanging="1440"/>
        <w:jc w:val="both"/>
        <w:rPr>
          <w:color w:val="000000" w:themeColor="text1"/>
        </w:rPr>
      </w:pPr>
      <w:r w:rsidRPr="00A11E37">
        <w:rPr>
          <w:b/>
        </w:rPr>
        <w:t xml:space="preserve">Gulf: </w:t>
      </w:r>
      <w:r w:rsidRPr="004E070A">
        <w:t xml:space="preserve"> </w:t>
      </w:r>
      <w:r>
        <w:t xml:space="preserve">          </w:t>
      </w:r>
      <w:r w:rsidRPr="002529BA">
        <w:t>$900,572.</w:t>
      </w:r>
    </w:p>
    <w:p w:rsidR="002D5713" w:rsidRDefault="002D5713" w:rsidP="002D5713">
      <w:pPr>
        <w:tabs>
          <w:tab w:val="left" w:pos="8571"/>
        </w:tabs>
        <w:autoSpaceDE w:val="0"/>
        <w:autoSpaceDN w:val="0"/>
        <w:adjustRightInd w:val="0"/>
        <w:ind w:left="1440" w:hanging="1440"/>
        <w:jc w:val="both"/>
      </w:pPr>
      <w:r w:rsidRPr="004E070A">
        <w:tab/>
      </w:r>
    </w:p>
    <w:p w:rsidR="002D5713" w:rsidRPr="006B5652" w:rsidRDefault="002D5713" w:rsidP="002D5713">
      <w:pPr>
        <w:tabs>
          <w:tab w:val="left" w:pos="8571"/>
        </w:tabs>
        <w:autoSpaceDE w:val="0"/>
        <w:autoSpaceDN w:val="0"/>
        <w:adjustRightInd w:val="0"/>
        <w:ind w:left="1440" w:hanging="1440"/>
        <w:jc w:val="both"/>
        <w:rPr>
          <w:color w:val="000000" w:themeColor="text1"/>
        </w:rPr>
      </w:pPr>
      <w:r w:rsidRPr="00A11E37">
        <w:rPr>
          <w:b/>
        </w:rPr>
        <w:t>TECO:</w:t>
      </w:r>
      <w:r w:rsidRPr="004E070A">
        <w:t xml:space="preserve">  </w:t>
      </w:r>
      <w:r>
        <w:t xml:space="preserve">        </w:t>
      </w:r>
      <w:r>
        <w:tab/>
        <w:t xml:space="preserve">The Company did not set an estimated benchmark level for calendar year 2020. </w:t>
      </w:r>
      <w:r w:rsidRPr="0070395F">
        <w:rPr>
          <w:color w:val="000000" w:themeColor="text1"/>
        </w:rPr>
        <w:t>Pursuant to the Stipulation and Settlement that was approved in Order No. PSC-2017-0456-S-EI</w:t>
      </w:r>
      <w:r>
        <w:rPr>
          <w:color w:val="000000" w:themeColor="text1"/>
        </w:rPr>
        <w:t>, the Company</w:t>
      </w:r>
      <w:r w:rsidRPr="0070395F">
        <w:rPr>
          <w:color w:val="000000" w:themeColor="text1"/>
        </w:rPr>
        <w:t>’s Optimization Mechanism replace</w:t>
      </w:r>
      <w:r>
        <w:rPr>
          <w:color w:val="000000" w:themeColor="text1"/>
        </w:rPr>
        <w:t>s</w:t>
      </w:r>
      <w:r w:rsidRPr="0070395F">
        <w:rPr>
          <w:color w:val="000000" w:themeColor="text1"/>
        </w:rPr>
        <w:t xml:space="preserve"> the incentive program that used benchmark levels for gains on non-separated wholesale energy sales eligible for a shareholder incentive.</w:t>
      </w:r>
    </w:p>
    <w:p w:rsidR="002D5713" w:rsidRPr="00E206B0" w:rsidRDefault="002D5713" w:rsidP="002D5713">
      <w:pPr>
        <w:autoSpaceDE w:val="0"/>
        <w:autoSpaceDN w:val="0"/>
        <w:adjustRightInd w:val="0"/>
        <w:jc w:val="both"/>
        <w:rPr>
          <w:bCs/>
        </w:rPr>
      </w:pPr>
    </w:p>
    <w:p w:rsidR="002D5713" w:rsidRPr="000824D3" w:rsidRDefault="002D5713" w:rsidP="002D5713">
      <w:pPr>
        <w:autoSpaceDE w:val="0"/>
        <w:autoSpaceDN w:val="0"/>
        <w:adjustRightInd w:val="0"/>
        <w:ind w:left="1440" w:hanging="1440"/>
        <w:jc w:val="both"/>
      </w:pPr>
      <w:r w:rsidRPr="000824D3">
        <w:rPr>
          <w:b/>
          <w:bCs/>
          <w:u w:val="single"/>
        </w:rPr>
        <w:t>ISSUE 8</w:t>
      </w:r>
      <w:r w:rsidRPr="000824D3">
        <w:rPr>
          <w:b/>
          <w:bCs/>
        </w:rPr>
        <w:t>:</w:t>
      </w:r>
      <w:r w:rsidRPr="000824D3">
        <w:tab/>
      </w:r>
      <w:r w:rsidRPr="001B4AA6">
        <w:rPr>
          <w:b/>
        </w:rPr>
        <w:t>What are the appropriate final fuel adjustment true-up amounts for the period January 2018 through December 2018?</w:t>
      </w:r>
      <w:r w:rsidRPr="000824D3">
        <w:t xml:space="preserve"> </w:t>
      </w:r>
    </w:p>
    <w:p w:rsidR="002D5713" w:rsidRPr="000824D3" w:rsidRDefault="002D5713" w:rsidP="002D5713">
      <w:pPr>
        <w:tabs>
          <w:tab w:val="left" w:pos="8571"/>
        </w:tabs>
        <w:autoSpaceDE w:val="0"/>
        <w:autoSpaceDN w:val="0"/>
        <w:adjustRightInd w:val="0"/>
        <w:jc w:val="both"/>
        <w:rPr>
          <w:b/>
          <w:u w:val="single"/>
        </w:rPr>
      </w:pPr>
    </w:p>
    <w:p w:rsidR="002D5713" w:rsidRDefault="002D5713" w:rsidP="002D5713">
      <w:pPr>
        <w:tabs>
          <w:tab w:val="left" w:pos="8571"/>
        </w:tabs>
        <w:autoSpaceDE w:val="0"/>
        <w:autoSpaceDN w:val="0"/>
        <w:adjustRightInd w:val="0"/>
        <w:ind w:left="1440" w:hanging="1440"/>
        <w:jc w:val="both"/>
      </w:pPr>
      <w:r w:rsidRPr="000824D3">
        <w:rPr>
          <w:b/>
          <w:u w:val="single"/>
        </w:rPr>
        <w:t>STIPULATION</w:t>
      </w:r>
      <w:r w:rsidRPr="000824D3">
        <w:t>:</w:t>
      </w:r>
    </w:p>
    <w:p w:rsidR="002D5713" w:rsidRPr="000824D3" w:rsidRDefault="002D5713" w:rsidP="002D5713">
      <w:pPr>
        <w:tabs>
          <w:tab w:val="left" w:pos="8571"/>
        </w:tabs>
        <w:autoSpaceDE w:val="0"/>
        <w:autoSpaceDN w:val="0"/>
        <w:adjustRightInd w:val="0"/>
        <w:ind w:left="1440" w:hanging="1440"/>
        <w:jc w:val="both"/>
      </w:pPr>
      <w:r w:rsidRPr="000824D3">
        <w:tab/>
      </w:r>
    </w:p>
    <w:p w:rsidR="002D5713" w:rsidRPr="000824D3" w:rsidRDefault="002D5713" w:rsidP="002D5713">
      <w:pPr>
        <w:tabs>
          <w:tab w:val="left" w:pos="8571"/>
        </w:tabs>
        <w:autoSpaceDE w:val="0"/>
        <w:autoSpaceDN w:val="0"/>
        <w:adjustRightInd w:val="0"/>
        <w:ind w:left="1440" w:hanging="1440"/>
        <w:jc w:val="both"/>
        <w:rPr>
          <w:bCs/>
        </w:rPr>
      </w:pPr>
      <w:r w:rsidRPr="000824D3">
        <w:tab/>
        <w:t>The appropriate final fuel adjustment true-up amounts for the period January 2018 through December 2018 are as follows:</w:t>
      </w:r>
    </w:p>
    <w:p w:rsidR="002D5713" w:rsidRPr="000824D3" w:rsidRDefault="002D5713" w:rsidP="002D5713">
      <w:pPr>
        <w:tabs>
          <w:tab w:val="left" w:pos="8571"/>
        </w:tabs>
        <w:autoSpaceDE w:val="0"/>
        <w:autoSpaceDN w:val="0"/>
        <w:adjustRightInd w:val="0"/>
        <w:ind w:left="1440" w:hanging="1440"/>
        <w:jc w:val="both"/>
      </w:pPr>
    </w:p>
    <w:p w:rsidR="002D5713" w:rsidRPr="000824D3" w:rsidRDefault="002D5713" w:rsidP="002D5713">
      <w:pPr>
        <w:tabs>
          <w:tab w:val="left" w:pos="8571"/>
        </w:tabs>
        <w:autoSpaceDE w:val="0"/>
        <w:autoSpaceDN w:val="0"/>
        <w:adjustRightInd w:val="0"/>
        <w:ind w:left="1440" w:hanging="1440"/>
        <w:jc w:val="both"/>
      </w:pPr>
      <w:r w:rsidRPr="00A11E37">
        <w:rPr>
          <w:b/>
        </w:rPr>
        <w:t xml:space="preserve">DEF: </w:t>
      </w:r>
      <w:r w:rsidRPr="000824D3">
        <w:t xml:space="preserve"> </w:t>
      </w:r>
      <w:r w:rsidRPr="000824D3">
        <w:tab/>
        <w:t xml:space="preserve">$54,428,676, under-recovery, as reflected on Line 13 of the Summary of Actual True-Up Amount Schedule (Exhibit CAM-1T, Sheet 1 of 6). </w:t>
      </w:r>
    </w:p>
    <w:p w:rsidR="002D5713" w:rsidRPr="000824D3" w:rsidRDefault="002D5713" w:rsidP="002D5713">
      <w:pPr>
        <w:tabs>
          <w:tab w:val="left" w:pos="8571"/>
        </w:tabs>
        <w:autoSpaceDE w:val="0"/>
        <w:autoSpaceDN w:val="0"/>
        <w:adjustRightInd w:val="0"/>
        <w:ind w:left="1440" w:hanging="1440"/>
        <w:jc w:val="both"/>
      </w:pPr>
      <w:r w:rsidRPr="000824D3">
        <w:tab/>
      </w:r>
    </w:p>
    <w:p w:rsidR="002D5713" w:rsidRPr="000824D3" w:rsidRDefault="002D5713" w:rsidP="002D5713">
      <w:pPr>
        <w:autoSpaceDE w:val="0"/>
        <w:autoSpaceDN w:val="0"/>
        <w:adjustRightInd w:val="0"/>
        <w:ind w:left="1440" w:hanging="1440"/>
        <w:jc w:val="both"/>
      </w:pPr>
      <w:r w:rsidRPr="00A11E37">
        <w:rPr>
          <w:b/>
        </w:rPr>
        <w:t>FPL:</w:t>
      </w:r>
      <w:r w:rsidRPr="000824D3">
        <w:tab/>
        <w:t xml:space="preserve">$70,653,405, under-recovery, as reflected on Line </w:t>
      </w:r>
      <w:r>
        <w:t>41</w:t>
      </w:r>
      <w:r w:rsidRPr="000824D3">
        <w:t xml:space="preserve"> of Schedule E1b, (2019 FCR Actual/Estimated True-up, Exhibit RBD-3, Page 1 of 27).</w:t>
      </w:r>
    </w:p>
    <w:p w:rsidR="002D5713" w:rsidRPr="000824D3" w:rsidRDefault="002D5713" w:rsidP="002D5713">
      <w:pPr>
        <w:autoSpaceDE w:val="0"/>
        <w:autoSpaceDN w:val="0"/>
        <w:adjustRightInd w:val="0"/>
        <w:ind w:left="1440" w:hanging="1440"/>
        <w:jc w:val="both"/>
      </w:pPr>
    </w:p>
    <w:p w:rsidR="002D5713" w:rsidRPr="000824D3" w:rsidRDefault="002D5713" w:rsidP="002D5713">
      <w:pPr>
        <w:tabs>
          <w:tab w:val="left" w:pos="8571"/>
        </w:tabs>
        <w:autoSpaceDE w:val="0"/>
        <w:autoSpaceDN w:val="0"/>
        <w:adjustRightInd w:val="0"/>
        <w:ind w:left="1440" w:hanging="1440"/>
        <w:jc w:val="both"/>
      </w:pPr>
      <w:r w:rsidRPr="00A11E37">
        <w:rPr>
          <w:b/>
        </w:rPr>
        <w:t xml:space="preserve">FPUC:  </w:t>
      </w:r>
      <w:r w:rsidRPr="000824D3">
        <w:t xml:space="preserve">        </w:t>
      </w:r>
      <w:r w:rsidRPr="000824D3">
        <w:tab/>
        <w:t>$</w:t>
      </w:r>
      <w:r w:rsidRPr="000824D3">
        <w:rPr>
          <w:color w:val="000000" w:themeColor="text1"/>
        </w:rPr>
        <w:t>2,475,441,</w:t>
      </w:r>
      <w:r w:rsidRPr="000824D3">
        <w:t xml:space="preserve"> over-recovery, as reflected on Line 10 of Schedule </w:t>
      </w:r>
      <w:proofErr w:type="gramStart"/>
      <w:r w:rsidRPr="000824D3">
        <w:t>A</w:t>
      </w:r>
      <w:proofErr w:type="gramEnd"/>
      <w:r w:rsidRPr="000824D3">
        <w:t xml:space="preserve"> (Exhibit CDY-1, Page 1 of 3).</w:t>
      </w:r>
    </w:p>
    <w:p w:rsidR="002D5713" w:rsidRPr="000824D3" w:rsidRDefault="002D5713" w:rsidP="002D5713">
      <w:pPr>
        <w:tabs>
          <w:tab w:val="left" w:pos="8571"/>
        </w:tabs>
        <w:autoSpaceDE w:val="0"/>
        <w:autoSpaceDN w:val="0"/>
        <w:adjustRightInd w:val="0"/>
        <w:ind w:left="1440" w:hanging="1440"/>
        <w:jc w:val="both"/>
      </w:pPr>
      <w:r w:rsidRPr="000824D3">
        <w:tab/>
      </w:r>
      <w:r w:rsidRPr="000824D3">
        <w:tab/>
      </w:r>
    </w:p>
    <w:p w:rsidR="002D5713" w:rsidRPr="000824D3" w:rsidRDefault="002D5713" w:rsidP="002D5713">
      <w:pPr>
        <w:tabs>
          <w:tab w:val="left" w:pos="8571"/>
        </w:tabs>
        <w:autoSpaceDE w:val="0"/>
        <w:autoSpaceDN w:val="0"/>
        <w:adjustRightInd w:val="0"/>
        <w:ind w:left="1440" w:hanging="1440"/>
        <w:jc w:val="both"/>
      </w:pPr>
      <w:r w:rsidRPr="00A11E37">
        <w:rPr>
          <w:b/>
        </w:rPr>
        <w:t xml:space="preserve">Gulf:   </w:t>
      </w:r>
      <w:r w:rsidRPr="000824D3">
        <w:t xml:space="preserve">     </w:t>
      </w:r>
      <w:r w:rsidRPr="000824D3">
        <w:tab/>
      </w:r>
      <w:r w:rsidRPr="000824D3">
        <w:rPr>
          <w:color w:val="000000" w:themeColor="text1"/>
        </w:rPr>
        <w:t>$4,512,071,</w:t>
      </w:r>
      <w:r w:rsidRPr="000824D3">
        <w:t xml:space="preserve"> over-recovery, as reflected on Line 3, Schedule 1, 2018 Final True-Up Schedules (Exhibit CSB-1, Page 1 of 8).</w:t>
      </w:r>
    </w:p>
    <w:p w:rsidR="002D5713" w:rsidRPr="000824D3" w:rsidRDefault="002D5713" w:rsidP="002D5713">
      <w:pPr>
        <w:tabs>
          <w:tab w:val="left" w:pos="8571"/>
        </w:tabs>
        <w:autoSpaceDE w:val="0"/>
        <w:autoSpaceDN w:val="0"/>
        <w:adjustRightInd w:val="0"/>
        <w:ind w:left="1440" w:hanging="1440"/>
        <w:jc w:val="both"/>
      </w:pPr>
    </w:p>
    <w:p w:rsidR="002D5713" w:rsidRPr="009F5C6B" w:rsidRDefault="002D5713" w:rsidP="002D5713">
      <w:pPr>
        <w:tabs>
          <w:tab w:val="left" w:pos="8571"/>
        </w:tabs>
        <w:autoSpaceDE w:val="0"/>
        <w:autoSpaceDN w:val="0"/>
        <w:adjustRightInd w:val="0"/>
        <w:ind w:left="1440" w:hanging="1440"/>
        <w:jc w:val="both"/>
      </w:pPr>
      <w:r w:rsidRPr="00A11E37">
        <w:rPr>
          <w:b/>
        </w:rPr>
        <w:t xml:space="preserve">TECO:     </w:t>
      </w:r>
      <w:r w:rsidRPr="000824D3">
        <w:t xml:space="preserve">    </w:t>
      </w:r>
      <w:r w:rsidRPr="000824D3">
        <w:tab/>
      </w:r>
      <w:r w:rsidRPr="000824D3">
        <w:rPr>
          <w:color w:val="000000" w:themeColor="text1"/>
        </w:rPr>
        <w:t>$43,986,397,</w:t>
      </w:r>
      <w:r w:rsidRPr="000824D3">
        <w:t xml:space="preserve"> under-recovery, as reflected on Line 11, Final Fuel and Purchased Power Over/(Under) Recovery Schedule (Exhibit PAR-1, Document No.2, Page 1 of 1). </w:t>
      </w:r>
    </w:p>
    <w:p w:rsidR="002D5713" w:rsidRDefault="002D5713" w:rsidP="002D5713">
      <w:pPr>
        <w:autoSpaceDE w:val="0"/>
        <w:autoSpaceDN w:val="0"/>
        <w:adjustRightInd w:val="0"/>
        <w:jc w:val="both"/>
        <w:rPr>
          <w:b/>
          <w:u w:val="single"/>
        </w:rPr>
      </w:pPr>
    </w:p>
    <w:p w:rsidR="002D5713" w:rsidRDefault="002D5713" w:rsidP="002D5713">
      <w:pPr>
        <w:ind w:left="1440" w:hanging="1440"/>
        <w:jc w:val="both"/>
      </w:pPr>
      <w:r>
        <w:rPr>
          <w:b/>
          <w:bCs/>
          <w:u w:val="single"/>
        </w:rPr>
        <w:t>ISSUE 9</w:t>
      </w:r>
      <w:r>
        <w:rPr>
          <w:b/>
          <w:bCs/>
        </w:rPr>
        <w:t>:</w:t>
      </w:r>
      <w:r>
        <w:rPr>
          <w:b/>
          <w:bCs/>
        </w:rPr>
        <w:tab/>
      </w:r>
      <w:r w:rsidRPr="001B4AA6">
        <w:rPr>
          <w:b/>
        </w:rPr>
        <w:t>What are the appropriate fuel adjustment actual/estimated true-up amounts for the period January 2019 through December 2019?</w:t>
      </w:r>
      <w:r>
        <w:t xml:space="preserve"> </w:t>
      </w:r>
    </w:p>
    <w:p w:rsidR="002D5713" w:rsidRDefault="002D5713" w:rsidP="002D5713">
      <w:pPr>
        <w:ind w:left="1440" w:hanging="1440"/>
        <w:jc w:val="both"/>
        <w:rPr>
          <w:b/>
          <w:u w:val="single"/>
        </w:rPr>
      </w:pPr>
    </w:p>
    <w:p w:rsidR="002D5713" w:rsidRDefault="002D5713" w:rsidP="002D5713">
      <w:pPr>
        <w:tabs>
          <w:tab w:val="left" w:pos="8571"/>
        </w:tabs>
        <w:autoSpaceDE w:val="0"/>
        <w:autoSpaceDN w:val="0"/>
        <w:adjustRightInd w:val="0"/>
        <w:ind w:left="1440" w:hanging="1440"/>
        <w:jc w:val="both"/>
      </w:pPr>
      <w:r>
        <w:rPr>
          <w:b/>
          <w:u w:val="single"/>
        </w:rPr>
        <w:t>STIPULATION</w:t>
      </w:r>
      <w:r>
        <w:t>:</w:t>
      </w:r>
    </w:p>
    <w:p w:rsidR="002D5713" w:rsidRDefault="002D5713" w:rsidP="002D5713">
      <w:pPr>
        <w:tabs>
          <w:tab w:val="left" w:pos="8571"/>
        </w:tabs>
        <w:autoSpaceDE w:val="0"/>
        <w:autoSpaceDN w:val="0"/>
        <w:adjustRightInd w:val="0"/>
        <w:ind w:left="1440" w:hanging="1440"/>
        <w:jc w:val="both"/>
      </w:pPr>
      <w:r>
        <w:tab/>
      </w:r>
    </w:p>
    <w:p w:rsidR="002D5713" w:rsidRDefault="002D5713" w:rsidP="002D5713">
      <w:pPr>
        <w:tabs>
          <w:tab w:val="left" w:pos="8571"/>
        </w:tabs>
        <w:autoSpaceDE w:val="0"/>
        <w:autoSpaceDN w:val="0"/>
        <w:adjustRightInd w:val="0"/>
        <w:ind w:left="1440" w:hanging="1440"/>
        <w:jc w:val="both"/>
        <w:rPr>
          <w:bCs/>
        </w:rPr>
      </w:pPr>
      <w:r>
        <w:tab/>
        <w:t>The appropriate fuel adjustment actual/estimated true-up amounts for the period January 2019 through December 2019 are as follows:</w:t>
      </w:r>
    </w:p>
    <w:p w:rsidR="002D5713" w:rsidRDefault="002D5713" w:rsidP="002D5713">
      <w:pPr>
        <w:tabs>
          <w:tab w:val="left" w:pos="8571"/>
        </w:tabs>
        <w:autoSpaceDE w:val="0"/>
        <w:autoSpaceDN w:val="0"/>
        <w:adjustRightInd w:val="0"/>
        <w:ind w:left="1440" w:hanging="1440"/>
        <w:jc w:val="both"/>
      </w:pPr>
    </w:p>
    <w:p w:rsidR="002D5713" w:rsidRDefault="002D5713" w:rsidP="002D5713">
      <w:pPr>
        <w:tabs>
          <w:tab w:val="left" w:pos="8571"/>
        </w:tabs>
        <w:autoSpaceDE w:val="0"/>
        <w:autoSpaceDN w:val="0"/>
        <w:adjustRightInd w:val="0"/>
        <w:ind w:left="1440" w:hanging="1440"/>
        <w:jc w:val="both"/>
      </w:pPr>
      <w:r w:rsidRPr="00A11E37">
        <w:rPr>
          <w:b/>
        </w:rPr>
        <w:lastRenderedPageBreak/>
        <w:t>DEF:</w:t>
      </w:r>
      <w:r w:rsidRPr="000824D3">
        <w:tab/>
        <w:t>$39,965,991 over-recovery as reflected on Line 8 of Schedule E1-B (Exhibit CAM-2, Part 1, Page 2 of 2).</w:t>
      </w:r>
    </w:p>
    <w:p w:rsidR="004813E3" w:rsidRPr="000824D3" w:rsidRDefault="004813E3" w:rsidP="002D5713">
      <w:pPr>
        <w:tabs>
          <w:tab w:val="left" w:pos="8571"/>
        </w:tabs>
        <w:autoSpaceDE w:val="0"/>
        <w:autoSpaceDN w:val="0"/>
        <w:adjustRightInd w:val="0"/>
        <w:ind w:left="1440" w:hanging="1440"/>
        <w:jc w:val="both"/>
      </w:pPr>
    </w:p>
    <w:p w:rsidR="002D5713" w:rsidRPr="000824D3" w:rsidRDefault="002D5713" w:rsidP="002D5713">
      <w:pPr>
        <w:autoSpaceDE w:val="0"/>
        <w:autoSpaceDN w:val="0"/>
        <w:adjustRightInd w:val="0"/>
        <w:ind w:left="1440" w:hanging="1440"/>
        <w:jc w:val="both"/>
        <w:rPr>
          <w:b/>
          <w:u w:val="single"/>
        </w:rPr>
      </w:pPr>
      <w:r w:rsidRPr="00A11E37">
        <w:rPr>
          <w:b/>
        </w:rPr>
        <w:t xml:space="preserve">FPL:      </w:t>
      </w:r>
      <w:r w:rsidRPr="000824D3">
        <w:t xml:space="preserve">       </w:t>
      </w:r>
      <w:r w:rsidRPr="000824D3">
        <w:tab/>
      </w:r>
      <w:r w:rsidRPr="000824D3">
        <w:rPr>
          <w:color w:val="000000" w:themeColor="text1"/>
        </w:rPr>
        <w:t>$</w:t>
      </w:r>
      <w:r w:rsidRPr="000824D3">
        <w:t xml:space="preserve">128,735,937 over-recovery as reflected on Lines </w:t>
      </w:r>
      <w:r>
        <w:t>38 plus</w:t>
      </w:r>
      <w:r w:rsidRPr="000824D3">
        <w:t xml:space="preserve"> 39 of Schedule E1-B (2019 FCR Actual Estimated, Exhibit RBD-3, Page 1 of 27).</w:t>
      </w:r>
    </w:p>
    <w:p w:rsidR="002D5713" w:rsidRPr="000824D3" w:rsidRDefault="002D5713" w:rsidP="002D5713">
      <w:pPr>
        <w:tabs>
          <w:tab w:val="left" w:pos="8571"/>
        </w:tabs>
        <w:autoSpaceDE w:val="0"/>
        <w:autoSpaceDN w:val="0"/>
        <w:adjustRightInd w:val="0"/>
        <w:jc w:val="both"/>
      </w:pPr>
      <w:r w:rsidRPr="000824D3">
        <w:tab/>
      </w:r>
    </w:p>
    <w:p w:rsidR="002D5713" w:rsidRPr="000824D3" w:rsidRDefault="002D5713" w:rsidP="002D5713">
      <w:pPr>
        <w:tabs>
          <w:tab w:val="left" w:pos="8571"/>
        </w:tabs>
        <w:autoSpaceDE w:val="0"/>
        <w:autoSpaceDN w:val="0"/>
        <w:adjustRightInd w:val="0"/>
        <w:ind w:left="1440" w:hanging="1440"/>
        <w:jc w:val="both"/>
      </w:pPr>
      <w:r w:rsidRPr="00A11E37">
        <w:rPr>
          <w:b/>
        </w:rPr>
        <w:t xml:space="preserve">FPUC: </w:t>
      </w:r>
      <w:r w:rsidRPr="000824D3">
        <w:t xml:space="preserve">       </w:t>
      </w:r>
      <w:r w:rsidRPr="000824D3">
        <w:rPr>
          <w:color w:val="000000" w:themeColor="text1"/>
        </w:rPr>
        <w:t>$</w:t>
      </w:r>
      <w:r w:rsidRPr="000824D3">
        <w:t>4,409,893 under-recovery as reflected on Lines 83 and 84 of Schedule E-1b (Exhibit CDY-2, Page 2 of 3).</w:t>
      </w:r>
    </w:p>
    <w:p w:rsidR="002D5713" w:rsidRPr="000824D3" w:rsidRDefault="002D5713" w:rsidP="002D5713">
      <w:pPr>
        <w:tabs>
          <w:tab w:val="left" w:pos="8571"/>
        </w:tabs>
        <w:autoSpaceDE w:val="0"/>
        <w:autoSpaceDN w:val="0"/>
        <w:adjustRightInd w:val="0"/>
        <w:ind w:left="1440" w:hanging="1440"/>
        <w:jc w:val="both"/>
      </w:pPr>
      <w:r w:rsidRPr="000824D3">
        <w:tab/>
      </w:r>
      <w:r w:rsidRPr="000824D3">
        <w:tab/>
      </w:r>
    </w:p>
    <w:p w:rsidR="002D5713" w:rsidRPr="000824D3" w:rsidRDefault="002D5713" w:rsidP="002D5713">
      <w:pPr>
        <w:tabs>
          <w:tab w:val="left" w:pos="8571"/>
        </w:tabs>
        <w:autoSpaceDE w:val="0"/>
        <w:autoSpaceDN w:val="0"/>
        <w:adjustRightInd w:val="0"/>
        <w:ind w:left="1440" w:hanging="1440"/>
        <w:jc w:val="both"/>
      </w:pPr>
      <w:r w:rsidRPr="00A11E37">
        <w:rPr>
          <w:b/>
        </w:rPr>
        <w:t xml:space="preserve">Gulf: </w:t>
      </w:r>
      <w:r w:rsidRPr="000824D3">
        <w:t xml:space="preserve">         </w:t>
      </w:r>
      <w:r w:rsidRPr="000824D3">
        <w:tab/>
      </w:r>
      <w:r w:rsidRPr="000824D3">
        <w:rPr>
          <w:color w:val="000000" w:themeColor="text1"/>
        </w:rPr>
        <w:t>$</w:t>
      </w:r>
      <w:r w:rsidRPr="000824D3">
        <w:t>5,178,904, under-recovery, as reflected on Line C9 of Schedule E-1B (Exhibit CSB-3, Page 2 of 32).</w:t>
      </w:r>
    </w:p>
    <w:p w:rsidR="002D5713" w:rsidRPr="000824D3" w:rsidRDefault="002D5713" w:rsidP="002D5713">
      <w:pPr>
        <w:tabs>
          <w:tab w:val="left" w:pos="8571"/>
        </w:tabs>
        <w:autoSpaceDE w:val="0"/>
        <w:autoSpaceDN w:val="0"/>
        <w:adjustRightInd w:val="0"/>
        <w:ind w:left="1440" w:hanging="1440"/>
        <w:jc w:val="both"/>
      </w:pPr>
    </w:p>
    <w:p w:rsidR="002D5713" w:rsidRPr="000824D3" w:rsidRDefault="002D5713" w:rsidP="002D5713">
      <w:pPr>
        <w:tabs>
          <w:tab w:val="left" w:pos="8571"/>
        </w:tabs>
        <w:autoSpaceDE w:val="0"/>
        <w:autoSpaceDN w:val="0"/>
        <w:adjustRightInd w:val="0"/>
        <w:ind w:left="1440" w:hanging="1440"/>
        <w:jc w:val="both"/>
      </w:pPr>
      <w:r w:rsidRPr="00A11E37">
        <w:rPr>
          <w:b/>
        </w:rPr>
        <w:t xml:space="preserve">TECO:  </w:t>
      </w:r>
      <w:r w:rsidRPr="000824D3">
        <w:t xml:space="preserve">        </w:t>
      </w:r>
      <w:r w:rsidRPr="000824D3">
        <w:rPr>
          <w:color w:val="000000" w:themeColor="text1"/>
        </w:rPr>
        <w:t>$13,244,371</w:t>
      </w:r>
      <w:r w:rsidRPr="000824D3">
        <w:t>, over-recovery as reflected on Schedule E1-A, Line 4 (Exhibit PAR-2, Document No. 1, Page 2 of 31).</w:t>
      </w:r>
    </w:p>
    <w:p w:rsidR="002D5713" w:rsidRPr="000824D3" w:rsidRDefault="002D5713" w:rsidP="002D5713">
      <w:pPr>
        <w:autoSpaceDE w:val="0"/>
        <w:autoSpaceDN w:val="0"/>
        <w:adjustRightInd w:val="0"/>
        <w:ind w:left="1440" w:hanging="1440"/>
        <w:jc w:val="both"/>
        <w:rPr>
          <w:b/>
          <w:bCs/>
          <w:u w:val="single"/>
        </w:rPr>
      </w:pPr>
    </w:p>
    <w:p w:rsidR="002D5713" w:rsidRPr="001B4AA6" w:rsidRDefault="002D5713" w:rsidP="002D5713">
      <w:pPr>
        <w:autoSpaceDE w:val="0"/>
        <w:autoSpaceDN w:val="0"/>
        <w:adjustRightInd w:val="0"/>
        <w:ind w:left="1440" w:hanging="1440"/>
        <w:jc w:val="both"/>
        <w:rPr>
          <w:b/>
        </w:rPr>
      </w:pPr>
      <w:r w:rsidRPr="000824D3">
        <w:rPr>
          <w:b/>
          <w:bCs/>
          <w:u w:val="single"/>
        </w:rPr>
        <w:t>ISSUE 10</w:t>
      </w:r>
      <w:r w:rsidRPr="000824D3">
        <w:rPr>
          <w:b/>
          <w:bCs/>
        </w:rPr>
        <w:t>:</w:t>
      </w:r>
      <w:r w:rsidRPr="000824D3">
        <w:tab/>
      </w:r>
      <w:r w:rsidRPr="001B4AA6">
        <w:rPr>
          <w:b/>
        </w:rPr>
        <w:t xml:space="preserve">What are the appropriate total fuel adjustment true-up amounts to be collected/refunded from January 2020 through December 2020? </w:t>
      </w:r>
    </w:p>
    <w:p w:rsidR="002D5713" w:rsidRPr="001B4AA6" w:rsidRDefault="002D5713" w:rsidP="002D5713">
      <w:pPr>
        <w:tabs>
          <w:tab w:val="left" w:pos="8571"/>
        </w:tabs>
        <w:autoSpaceDE w:val="0"/>
        <w:autoSpaceDN w:val="0"/>
        <w:adjustRightInd w:val="0"/>
        <w:jc w:val="both"/>
        <w:rPr>
          <w:b/>
          <w:u w:val="single"/>
        </w:rPr>
      </w:pPr>
    </w:p>
    <w:p w:rsidR="002D5713" w:rsidRDefault="002D5713" w:rsidP="002D5713">
      <w:pPr>
        <w:tabs>
          <w:tab w:val="left" w:pos="8571"/>
        </w:tabs>
        <w:autoSpaceDE w:val="0"/>
        <w:autoSpaceDN w:val="0"/>
        <w:adjustRightInd w:val="0"/>
        <w:ind w:left="1440" w:hanging="1440"/>
        <w:jc w:val="both"/>
      </w:pPr>
      <w:r w:rsidRPr="000824D3">
        <w:rPr>
          <w:b/>
          <w:u w:val="single"/>
        </w:rPr>
        <w:t>STIPULATION</w:t>
      </w:r>
      <w:r w:rsidRPr="000824D3">
        <w:t>:</w:t>
      </w:r>
    </w:p>
    <w:p w:rsidR="002D5713" w:rsidRPr="000824D3" w:rsidRDefault="002D5713" w:rsidP="002D5713">
      <w:pPr>
        <w:tabs>
          <w:tab w:val="left" w:pos="8571"/>
        </w:tabs>
        <w:autoSpaceDE w:val="0"/>
        <w:autoSpaceDN w:val="0"/>
        <w:adjustRightInd w:val="0"/>
        <w:ind w:left="1440" w:hanging="1440"/>
        <w:jc w:val="both"/>
      </w:pPr>
      <w:r w:rsidRPr="000824D3">
        <w:tab/>
      </w:r>
    </w:p>
    <w:p w:rsidR="002D5713" w:rsidRPr="000824D3" w:rsidRDefault="002D5713" w:rsidP="002D5713">
      <w:pPr>
        <w:tabs>
          <w:tab w:val="left" w:pos="8571"/>
        </w:tabs>
        <w:autoSpaceDE w:val="0"/>
        <w:autoSpaceDN w:val="0"/>
        <w:adjustRightInd w:val="0"/>
        <w:ind w:left="1440" w:hanging="1440"/>
        <w:jc w:val="both"/>
        <w:rPr>
          <w:bCs/>
        </w:rPr>
      </w:pPr>
      <w:r w:rsidRPr="000824D3">
        <w:tab/>
        <w:t>The appropriate total fuel adjustment true-up amounts to be collected/refunded from January 2020 through December 2020 are as follows:</w:t>
      </w:r>
    </w:p>
    <w:p w:rsidR="002D5713" w:rsidRPr="000824D3" w:rsidRDefault="002D5713" w:rsidP="002D5713">
      <w:pPr>
        <w:keepNext/>
        <w:tabs>
          <w:tab w:val="left" w:pos="8571"/>
        </w:tabs>
        <w:autoSpaceDE w:val="0"/>
        <w:autoSpaceDN w:val="0"/>
        <w:adjustRightInd w:val="0"/>
        <w:ind w:left="1440" w:hanging="1440"/>
        <w:jc w:val="both"/>
      </w:pPr>
      <w:r w:rsidRPr="000824D3">
        <w:tab/>
      </w:r>
    </w:p>
    <w:p w:rsidR="002D5713" w:rsidRPr="000824D3" w:rsidRDefault="002D5713" w:rsidP="002D5713">
      <w:pPr>
        <w:keepNext/>
        <w:tabs>
          <w:tab w:val="left" w:pos="8571"/>
        </w:tabs>
        <w:autoSpaceDE w:val="0"/>
        <w:autoSpaceDN w:val="0"/>
        <w:adjustRightInd w:val="0"/>
        <w:ind w:left="1440" w:hanging="1440"/>
        <w:jc w:val="both"/>
      </w:pPr>
      <w:r w:rsidRPr="00A11E37">
        <w:rPr>
          <w:b/>
        </w:rPr>
        <w:t xml:space="preserve">DEF: </w:t>
      </w:r>
      <w:r w:rsidRPr="000824D3">
        <w:t xml:space="preserve"> </w:t>
      </w:r>
      <w:r w:rsidRPr="000824D3">
        <w:tab/>
        <w:t>$14,462,684 under-recovery as reflected on Line 13 of Schedule E1-B (Exhibit CAM-2, Part 1, Page 2 of 2).</w:t>
      </w:r>
    </w:p>
    <w:p w:rsidR="002D5713" w:rsidRPr="000824D3" w:rsidRDefault="002D5713" w:rsidP="002D5713">
      <w:pPr>
        <w:keepNext/>
        <w:tabs>
          <w:tab w:val="left" w:pos="8571"/>
        </w:tabs>
        <w:autoSpaceDE w:val="0"/>
        <w:autoSpaceDN w:val="0"/>
        <w:adjustRightInd w:val="0"/>
        <w:ind w:left="1440" w:hanging="1440"/>
        <w:jc w:val="both"/>
      </w:pPr>
    </w:p>
    <w:p w:rsidR="002D5713" w:rsidRPr="000824D3" w:rsidRDefault="002D5713" w:rsidP="002D5713">
      <w:pPr>
        <w:pStyle w:val="NoSpacing"/>
        <w:ind w:left="1440" w:hanging="1440"/>
        <w:jc w:val="both"/>
      </w:pPr>
      <w:r w:rsidRPr="00DB4823">
        <w:rPr>
          <w:b/>
        </w:rPr>
        <w:t xml:space="preserve">FPL: </w:t>
      </w:r>
      <w:r w:rsidRPr="000824D3">
        <w:tab/>
      </w:r>
      <w:r w:rsidRPr="000824D3">
        <w:rPr>
          <w:color w:val="000000" w:themeColor="text1"/>
        </w:rPr>
        <w:t>$</w:t>
      </w:r>
      <w:r w:rsidRPr="000824D3">
        <w:t>58,082,532 over-recovery as reflected on Line 43 of Schedule E1-B (2019 FCR Actual Estimated, Exhibit RBD-3, Page 1 of 27).</w:t>
      </w:r>
    </w:p>
    <w:p w:rsidR="002D5713" w:rsidRPr="000824D3" w:rsidRDefault="002D5713" w:rsidP="002D5713">
      <w:pPr>
        <w:tabs>
          <w:tab w:val="left" w:pos="8571"/>
        </w:tabs>
        <w:autoSpaceDE w:val="0"/>
        <w:autoSpaceDN w:val="0"/>
        <w:adjustRightInd w:val="0"/>
        <w:jc w:val="both"/>
      </w:pPr>
    </w:p>
    <w:p w:rsidR="002D5713" w:rsidRPr="000824D3" w:rsidRDefault="002D5713" w:rsidP="002D5713">
      <w:pPr>
        <w:tabs>
          <w:tab w:val="left" w:pos="8571"/>
        </w:tabs>
        <w:autoSpaceDE w:val="0"/>
        <w:autoSpaceDN w:val="0"/>
        <w:adjustRightInd w:val="0"/>
        <w:ind w:left="1440" w:hanging="1440"/>
        <w:jc w:val="both"/>
      </w:pPr>
      <w:r w:rsidRPr="00DB4823">
        <w:rPr>
          <w:b/>
        </w:rPr>
        <w:t>FPUC:</w:t>
      </w:r>
      <w:r w:rsidRPr="000824D3">
        <w:t xml:space="preserve">           </w:t>
      </w:r>
      <w:r w:rsidRPr="000824D3">
        <w:tab/>
      </w:r>
      <w:r w:rsidRPr="000824D3">
        <w:rPr>
          <w:color w:val="000000" w:themeColor="text1"/>
        </w:rPr>
        <w:t>$</w:t>
      </w:r>
      <w:r w:rsidRPr="000824D3">
        <w:t>1,934,452 under-recovery as reflected Line 88 of Schedule E-1b (Exhibit CDY-2, Page 2 of 3).</w:t>
      </w:r>
      <w:r w:rsidRPr="000824D3">
        <w:tab/>
      </w:r>
    </w:p>
    <w:p w:rsidR="002D5713" w:rsidRPr="000824D3" w:rsidRDefault="002D5713" w:rsidP="002D5713">
      <w:pPr>
        <w:tabs>
          <w:tab w:val="left" w:pos="8571"/>
        </w:tabs>
        <w:autoSpaceDE w:val="0"/>
        <w:autoSpaceDN w:val="0"/>
        <w:adjustRightInd w:val="0"/>
        <w:ind w:left="1440" w:hanging="1440"/>
        <w:jc w:val="both"/>
      </w:pPr>
    </w:p>
    <w:p w:rsidR="002D5713" w:rsidRPr="000824D3" w:rsidRDefault="002D5713" w:rsidP="002D5713">
      <w:pPr>
        <w:tabs>
          <w:tab w:val="left" w:pos="8571"/>
        </w:tabs>
        <w:autoSpaceDE w:val="0"/>
        <w:autoSpaceDN w:val="0"/>
        <w:adjustRightInd w:val="0"/>
        <w:ind w:left="1440" w:hanging="1440"/>
        <w:jc w:val="both"/>
      </w:pPr>
      <w:r w:rsidRPr="00DB4823">
        <w:rPr>
          <w:b/>
        </w:rPr>
        <w:t xml:space="preserve">Gulf:  </w:t>
      </w:r>
      <w:r w:rsidRPr="000824D3">
        <w:t xml:space="preserve">    </w:t>
      </w:r>
      <w:r w:rsidRPr="000824D3">
        <w:tab/>
      </w:r>
      <w:r w:rsidRPr="000824D3">
        <w:rPr>
          <w:color w:val="000000" w:themeColor="text1"/>
        </w:rPr>
        <w:t>$</w:t>
      </w:r>
      <w:r w:rsidRPr="000824D3">
        <w:t>666,833, under-recovery, as ref</w:t>
      </w:r>
      <w:r>
        <w:t>lected on Line 22</w:t>
      </w:r>
      <w:r w:rsidRPr="000824D3">
        <w:t>, Schedule E-1</w:t>
      </w:r>
      <w:r>
        <w:t xml:space="preserve"> (Exhibit CSB-5, 2020</w:t>
      </w:r>
      <w:r w:rsidRPr="000824D3">
        <w:t xml:space="preserve"> Projection Filing, Page 1 of 41).</w:t>
      </w:r>
    </w:p>
    <w:p w:rsidR="002D5713" w:rsidRPr="000824D3" w:rsidRDefault="002D5713" w:rsidP="002D5713">
      <w:pPr>
        <w:pStyle w:val="NoSpacing"/>
      </w:pPr>
      <w:r w:rsidRPr="000824D3">
        <w:tab/>
      </w:r>
    </w:p>
    <w:p w:rsidR="002D5713" w:rsidRPr="009F5C6B" w:rsidRDefault="002D5713" w:rsidP="002D5713">
      <w:pPr>
        <w:tabs>
          <w:tab w:val="left" w:pos="8571"/>
        </w:tabs>
        <w:autoSpaceDE w:val="0"/>
        <w:autoSpaceDN w:val="0"/>
        <w:adjustRightInd w:val="0"/>
        <w:ind w:left="1440" w:hanging="1440"/>
        <w:jc w:val="both"/>
      </w:pPr>
      <w:r w:rsidRPr="00DB4823">
        <w:rPr>
          <w:b/>
        </w:rPr>
        <w:t xml:space="preserve">TECO: </w:t>
      </w:r>
      <w:r w:rsidRPr="000824D3">
        <w:t xml:space="preserve">         </w:t>
      </w:r>
      <w:r w:rsidRPr="000824D3">
        <w:rPr>
          <w:color w:val="000000" w:themeColor="text1"/>
        </w:rPr>
        <w:t>$</w:t>
      </w:r>
      <w:r w:rsidRPr="000824D3">
        <w:t xml:space="preserve">30,742,026, under-recovery as reflected on Line 6, Schedule E1-A (Exhibit PAR-2, Document No. 1, </w:t>
      </w:r>
      <w:proofErr w:type="gramStart"/>
      <w:r w:rsidRPr="000824D3">
        <w:t>Page</w:t>
      </w:r>
      <w:proofErr w:type="gramEnd"/>
      <w:r w:rsidRPr="000824D3">
        <w:t xml:space="preserve"> 2 of 31).</w:t>
      </w:r>
    </w:p>
    <w:p w:rsidR="002D5713" w:rsidRPr="00E206B0" w:rsidRDefault="002D5713" w:rsidP="002D5713">
      <w:pPr>
        <w:autoSpaceDE w:val="0"/>
        <w:autoSpaceDN w:val="0"/>
        <w:adjustRightInd w:val="0"/>
        <w:jc w:val="both"/>
        <w:rPr>
          <w:bCs/>
        </w:rPr>
      </w:pPr>
    </w:p>
    <w:p w:rsidR="002D5713" w:rsidRPr="00E206B0" w:rsidRDefault="002D5713" w:rsidP="002D5713">
      <w:pPr>
        <w:ind w:left="1440" w:hanging="1440"/>
        <w:jc w:val="both"/>
        <w:rPr>
          <w:rStyle w:val="Strong"/>
          <w:rFonts w:eastAsiaTheme="minorHAnsi"/>
          <w:b w:val="0"/>
        </w:rPr>
      </w:pPr>
      <w:r w:rsidRPr="0071761C">
        <w:rPr>
          <w:rStyle w:val="Strong"/>
          <w:rFonts w:eastAsiaTheme="minorHAnsi"/>
          <w:u w:val="single"/>
        </w:rPr>
        <w:t>ISSUE 11</w:t>
      </w:r>
      <w:r w:rsidRPr="00E206B0">
        <w:rPr>
          <w:rStyle w:val="Strong"/>
          <w:rFonts w:eastAsiaTheme="minorHAnsi"/>
        </w:rPr>
        <w:t>:</w:t>
      </w:r>
      <w:r w:rsidRPr="00E206B0">
        <w:rPr>
          <w:rStyle w:val="Strong"/>
          <w:rFonts w:eastAsiaTheme="minorHAnsi"/>
        </w:rPr>
        <w:tab/>
        <w:t>What are the appropriate projected total fuel and purchased power cost recovery amounts for the period Ja</w:t>
      </w:r>
      <w:r>
        <w:rPr>
          <w:rStyle w:val="Strong"/>
          <w:rFonts w:eastAsiaTheme="minorHAnsi"/>
        </w:rPr>
        <w:t>nuary 2020 through December 2020</w:t>
      </w:r>
      <w:r w:rsidRPr="00E206B0">
        <w:rPr>
          <w:rStyle w:val="Strong"/>
          <w:rFonts w:eastAsiaTheme="minorHAnsi"/>
        </w:rPr>
        <w:t xml:space="preserve">? </w:t>
      </w:r>
    </w:p>
    <w:p w:rsidR="002D5713" w:rsidRPr="00E206B0" w:rsidRDefault="002D5713" w:rsidP="002D5713">
      <w:pPr>
        <w:tabs>
          <w:tab w:val="left" w:pos="8571"/>
        </w:tabs>
        <w:autoSpaceDE w:val="0"/>
        <w:autoSpaceDN w:val="0"/>
        <w:adjustRightInd w:val="0"/>
        <w:jc w:val="both"/>
        <w:rPr>
          <w:u w:val="single"/>
        </w:rPr>
      </w:pPr>
    </w:p>
    <w:p w:rsidR="002D5713" w:rsidRDefault="002D5713" w:rsidP="002D5713">
      <w:pPr>
        <w:tabs>
          <w:tab w:val="left" w:pos="8571"/>
        </w:tabs>
        <w:autoSpaceDE w:val="0"/>
        <w:autoSpaceDN w:val="0"/>
        <w:adjustRightInd w:val="0"/>
        <w:ind w:left="1440" w:hanging="1440"/>
        <w:jc w:val="both"/>
      </w:pPr>
      <w:r>
        <w:rPr>
          <w:b/>
          <w:u w:val="single"/>
        </w:rPr>
        <w:t>STIPULATION</w:t>
      </w:r>
      <w:r w:rsidRPr="00E206B0">
        <w:t>:</w:t>
      </w:r>
    </w:p>
    <w:p w:rsidR="002D5713" w:rsidRDefault="002D5713" w:rsidP="002D5713">
      <w:pPr>
        <w:tabs>
          <w:tab w:val="left" w:pos="8571"/>
        </w:tabs>
        <w:autoSpaceDE w:val="0"/>
        <w:autoSpaceDN w:val="0"/>
        <w:adjustRightInd w:val="0"/>
        <w:ind w:left="1440" w:hanging="1440"/>
        <w:jc w:val="both"/>
      </w:pPr>
      <w:r w:rsidRPr="00E206B0">
        <w:tab/>
      </w:r>
    </w:p>
    <w:p w:rsidR="002D5713" w:rsidRPr="00E206B0" w:rsidRDefault="002D5713" w:rsidP="002D5713">
      <w:pPr>
        <w:tabs>
          <w:tab w:val="left" w:pos="8571"/>
        </w:tabs>
        <w:autoSpaceDE w:val="0"/>
        <w:autoSpaceDN w:val="0"/>
        <w:adjustRightInd w:val="0"/>
        <w:ind w:left="1440" w:hanging="1440"/>
        <w:jc w:val="both"/>
        <w:rPr>
          <w:bCs/>
        </w:rPr>
      </w:pPr>
      <w:r>
        <w:tab/>
      </w:r>
      <w:r w:rsidRPr="001B4AA6">
        <w:t>The appropriate</w:t>
      </w:r>
      <w:r w:rsidRPr="001B4AA6">
        <w:rPr>
          <w:b/>
        </w:rPr>
        <w:t xml:space="preserve"> </w:t>
      </w:r>
      <w:r w:rsidRPr="00AC5364">
        <w:rPr>
          <w:rStyle w:val="Strong"/>
          <w:rFonts w:eastAsiaTheme="minorHAnsi"/>
          <w:b w:val="0"/>
        </w:rPr>
        <w:t>projected total fuel and purchased power cost recovery amounts for the period January 2020 through December 2020</w:t>
      </w:r>
      <w:r>
        <w:rPr>
          <w:rStyle w:val="Strong"/>
          <w:rFonts w:eastAsiaTheme="minorHAnsi"/>
        </w:rPr>
        <w:t xml:space="preserve"> </w:t>
      </w:r>
      <w:r w:rsidRPr="00E206B0">
        <w:t>are as follows:</w:t>
      </w:r>
    </w:p>
    <w:p w:rsidR="002D5713" w:rsidRDefault="002D5713" w:rsidP="002D5713">
      <w:pPr>
        <w:tabs>
          <w:tab w:val="left" w:pos="8571"/>
        </w:tabs>
        <w:autoSpaceDE w:val="0"/>
        <w:autoSpaceDN w:val="0"/>
        <w:adjustRightInd w:val="0"/>
        <w:ind w:left="1440" w:hanging="1440"/>
        <w:jc w:val="both"/>
      </w:pPr>
    </w:p>
    <w:p w:rsidR="002D5713" w:rsidRDefault="002D5713" w:rsidP="002D5713">
      <w:pPr>
        <w:tabs>
          <w:tab w:val="left" w:pos="8571"/>
        </w:tabs>
        <w:autoSpaceDE w:val="0"/>
        <w:autoSpaceDN w:val="0"/>
        <w:adjustRightInd w:val="0"/>
        <w:ind w:left="1440" w:hanging="1440"/>
        <w:jc w:val="both"/>
      </w:pPr>
      <w:r w:rsidRPr="00DB4823">
        <w:rPr>
          <w:b/>
        </w:rPr>
        <w:t xml:space="preserve">DEF:  </w:t>
      </w:r>
      <w:r>
        <w:tab/>
        <w:t xml:space="preserve">$1,303,329,632. </w:t>
      </w:r>
      <w:proofErr w:type="gramStart"/>
      <w:r>
        <w:t>which</w:t>
      </w:r>
      <w:proofErr w:type="gramEnd"/>
      <w:r>
        <w:t xml:space="preserve"> is adjusted for line losses and excludes prior period true-up amounts, revenue taxes and GPIF amounts, as reflected on Line 21 of Schedule E1.</w:t>
      </w:r>
      <w:r>
        <w:rPr>
          <w:color w:val="FF0000"/>
        </w:rPr>
        <w:t xml:space="preserve"> </w:t>
      </w:r>
      <w:r w:rsidRPr="00AC5364">
        <w:rPr>
          <w:rStyle w:val="Strong"/>
          <w:rFonts w:eastAsiaTheme="minorHAnsi"/>
          <w:b w:val="0"/>
        </w:rPr>
        <w:t>This amount is subject to possible adjustments ordered in Issues 1B and C. If any adjustments are ordered by the Commission in relation to Issues 1B and 1C, that amount will be reflected in Duke’s 2020 filing that reports the final true up of fuel costs for the period January through December, 2019.</w:t>
      </w:r>
      <w:r w:rsidRPr="00AC5364">
        <w:rPr>
          <w:b/>
          <w:color w:val="FF0000"/>
        </w:rPr>
        <w:t xml:space="preserve"> </w:t>
      </w:r>
      <w:r>
        <w:rPr>
          <w:color w:val="FF0000"/>
        </w:rPr>
        <w:t xml:space="preserve"> </w:t>
      </w:r>
    </w:p>
    <w:p w:rsidR="002D5713" w:rsidRDefault="002D5713" w:rsidP="002D5713">
      <w:pPr>
        <w:tabs>
          <w:tab w:val="left" w:pos="8571"/>
        </w:tabs>
        <w:autoSpaceDE w:val="0"/>
        <w:autoSpaceDN w:val="0"/>
        <w:adjustRightInd w:val="0"/>
        <w:jc w:val="both"/>
      </w:pPr>
    </w:p>
    <w:p w:rsidR="002D5713" w:rsidRDefault="002D5713" w:rsidP="002D5713">
      <w:pPr>
        <w:tabs>
          <w:tab w:val="left" w:pos="8571"/>
        </w:tabs>
        <w:autoSpaceDE w:val="0"/>
        <w:autoSpaceDN w:val="0"/>
        <w:adjustRightInd w:val="0"/>
        <w:ind w:left="1440" w:hanging="1440"/>
        <w:jc w:val="both"/>
      </w:pPr>
      <w:r w:rsidRPr="00DB4823">
        <w:rPr>
          <w:b/>
        </w:rPr>
        <w:t xml:space="preserve">FPL:  </w:t>
      </w:r>
      <w:r>
        <w:tab/>
        <w:t>$2,488,782,409</w:t>
      </w:r>
      <w:r w:rsidRPr="00A80530">
        <w:t xml:space="preserve">, which is adjusted for jurisdictional losses, </w:t>
      </w:r>
      <w:r>
        <w:t xml:space="preserve">and includes the </w:t>
      </w:r>
      <w:r w:rsidRPr="00A80530">
        <w:t>jurisdictional savings amount</w:t>
      </w:r>
      <w:r>
        <w:t xml:space="preserve"> associated with t</w:t>
      </w:r>
      <w:r w:rsidRPr="00A80530">
        <w:t xml:space="preserve">he 2020 </w:t>
      </w:r>
      <w:r>
        <w:t xml:space="preserve">solar Project, </w:t>
      </w:r>
      <w:r w:rsidRPr="00A80530">
        <w:t xml:space="preserve">but excludes prior period true-up amounts, revenue taxes, GPIF amounts, and FPL’s portion of Incentive Mechanism gains, as reflected on Line 28 of Schedule E1 </w:t>
      </w:r>
      <w:r w:rsidRPr="00DE1F8F">
        <w:t>(Discovery Response Version of 2020 FCR Projection Schedule, Page FCR-19-029127).</w:t>
      </w:r>
      <w:r w:rsidRPr="00A80530">
        <w:t xml:space="preserve"> </w:t>
      </w:r>
    </w:p>
    <w:p w:rsidR="002D5713" w:rsidRDefault="002D5713" w:rsidP="002D5713">
      <w:pPr>
        <w:tabs>
          <w:tab w:val="left" w:pos="8571"/>
        </w:tabs>
        <w:autoSpaceDE w:val="0"/>
        <w:autoSpaceDN w:val="0"/>
        <w:adjustRightInd w:val="0"/>
        <w:ind w:left="1440" w:hanging="1440"/>
        <w:jc w:val="both"/>
      </w:pPr>
    </w:p>
    <w:p w:rsidR="002D5713" w:rsidRPr="000824D3" w:rsidRDefault="002D5713" w:rsidP="002D5713">
      <w:pPr>
        <w:tabs>
          <w:tab w:val="left" w:pos="8571"/>
        </w:tabs>
        <w:autoSpaceDE w:val="0"/>
        <w:autoSpaceDN w:val="0"/>
        <w:adjustRightInd w:val="0"/>
        <w:ind w:left="1440" w:hanging="1440"/>
        <w:jc w:val="both"/>
      </w:pPr>
      <w:r w:rsidRPr="00DB4823">
        <w:rPr>
          <w:b/>
        </w:rPr>
        <w:t xml:space="preserve">FPUC: </w:t>
      </w:r>
      <w:r>
        <w:tab/>
      </w:r>
      <w:r w:rsidRPr="000824D3">
        <w:t>$42,849,420, as reflected on Line 27, Schedule E1 (</w:t>
      </w:r>
      <w:r>
        <w:t xml:space="preserve">Revised </w:t>
      </w:r>
      <w:r w:rsidRPr="000824D3">
        <w:t>Exhibit M</w:t>
      </w:r>
      <w:r>
        <w:t>DN-1</w:t>
      </w:r>
      <w:r w:rsidRPr="000824D3">
        <w:t>, Page 1 of 8).</w:t>
      </w:r>
    </w:p>
    <w:p w:rsidR="002D5713" w:rsidRPr="000824D3" w:rsidRDefault="002D5713" w:rsidP="002D5713">
      <w:pPr>
        <w:tabs>
          <w:tab w:val="left" w:pos="8571"/>
        </w:tabs>
        <w:autoSpaceDE w:val="0"/>
        <w:autoSpaceDN w:val="0"/>
        <w:adjustRightInd w:val="0"/>
        <w:jc w:val="both"/>
      </w:pPr>
    </w:p>
    <w:p w:rsidR="002D5713" w:rsidRDefault="002D5713" w:rsidP="002D5713">
      <w:pPr>
        <w:tabs>
          <w:tab w:val="left" w:pos="8571"/>
        </w:tabs>
        <w:autoSpaceDE w:val="0"/>
        <w:autoSpaceDN w:val="0"/>
        <w:adjustRightInd w:val="0"/>
        <w:ind w:left="1440" w:hanging="1440"/>
        <w:jc w:val="both"/>
      </w:pPr>
      <w:r w:rsidRPr="00DB4823">
        <w:rPr>
          <w:b/>
        </w:rPr>
        <w:t>G</w:t>
      </w:r>
      <w:r>
        <w:rPr>
          <w:b/>
        </w:rPr>
        <w:t>ulf</w:t>
      </w:r>
      <w:r w:rsidRPr="00DB4823">
        <w:rPr>
          <w:b/>
        </w:rPr>
        <w:t xml:space="preserve">:   </w:t>
      </w:r>
      <w:r w:rsidRPr="000824D3">
        <w:tab/>
        <w:t>$354,335,230, w</w:t>
      </w:r>
      <w:r>
        <w:t xml:space="preserve">hich is </w:t>
      </w:r>
      <w:r w:rsidRPr="00CA16F2">
        <w:t>a</w:t>
      </w:r>
      <w:r>
        <w:t xml:space="preserve">djusted for line losses, but excluding </w:t>
      </w:r>
      <w:r w:rsidRPr="00D45ADB">
        <w:t>prior period true-up</w:t>
      </w:r>
      <w:r>
        <w:t xml:space="preserve"> amounts, revenue taxes and</w:t>
      </w:r>
      <w:r w:rsidRPr="00D45ADB">
        <w:t xml:space="preserve"> </w:t>
      </w:r>
      <w:r>
        <w:t>GPIF amounts, a</w:t>
      </w:r>
      <w:r w:rsidRPr="00CA16F2">
        <w:t xml:space="preserve">s reflected </w:t>
      </w:r>
      <w:r>
        <w:t>on Line 21, Schedule E1 (</w:t>
      </w:r>
      <w:r w:rsidRPr="00CA16F2">
        <w:t>Exhibit C</w:t>
      </w:r>
      <w:r>
        <w:t>SB-5, 2020 Projection Filing, Page 1 of 41)</w:t>
      </w:r>
      <w:r w:rsidRPr="00937E60">
        <w:t>.</w:t>
      </w:r>
      <w:r>
        <w:t xml:space="preserve"> </w:t>
      </w:r>
    </w:p>
    <w:p w:rsidR="002D5713" w:rsidRDefault="002D5713" w:rsidP="002D5713">
      <w:pPr>
        <w:tabs>
          <w:tab w:val="left" w:pos="8571"/>
        </w:tabs>
        <w:autoSpaceDE w:val="0"/>
        <w:autoSpaceDN w:val="0"/>
        <w:adjustRightInd w:val="0"/>
        <w:ind w:left="1440" w:hanging="1440"/>
        <w:jc w:val="both"/>
        <w:rPr>
          <w:highlight w:val="yellow"/>
        </w:rPr>
      </w:pPr>
    </w:p>
    <w:p w:rsidR="002D5713" w:rsidRPr="009F5C6B" w:rsidRDefault="002D5713" w:rsidP="002D5713">
      <w:pPr>
        <w:tabs>
          <w:tab w:val="left" w:pos="8571"/>
        </w:tabs>
        <w:autoSpaceDE w:val="0"/>
        <w:autoSpaceDN w:val="0"/>
        <w:adjustRightInd w:val="0"/>
        <w:ind w:left="1440" w:hanging="1440"/>
        <w:jc w:val="both"/>
      </w:pPr>
      <w:r w:rsidRPr="00DB4823">
        <w:rPr>
          <w:b/>
        </w:rPr>
        <w:t xml:space="preserve">TECO:  </w:t>
      </w:r>
      <w:r>
        <w:tab/>
      </w:r>
      <w:r w:rsidRPr="000824D3">
        <w:t>$582,744,972, which is adjusted for jurisdictional</w:t>
      </w:r>
      <w:r>
        <w:t xml:space="preserve"> separation</w:t>
      </w:r>
      <w:r w:rsidRPr="000824D3">
        <w:t>, the results of the optimization program, and prior period true-up amounts, but excludes revenue taxes and GPIF amounts, as reflected on Line 30, Schedule E1 (Exhibit PAR-3, Document No. 2, Page 2 of 30).</w:t>
      </w:r>
    </w:p>
    <w:p w:rsidR="002D5713" w:rsidRDefault="002D5713" w:rsidP="002D5713">
      <w:pPr>
        <w:tabs>
          <w:tab w:val="left" w:pos="8571"/>
        </w:tabs>
        <w:autoSpaceDE w:val="0"/>
        <w:autoSpaceDN w:val="0"/>
        <w:adjustRightInd w:val="0"/>
        <w:ind w:left="1440" w:hanging="1440"/>
        <w:jc w:val="both"/>
        <w:rPr>
          <w:b/>
          <w:u w:val="single"/>
        </w:rPr>
      </w:pPr>
    </w:p>
    <w:p w:rsidR="002D5713" w:rsidRDefault="002D5713" w:rsidP="002D5713">
      <w:pPr>
        <w:rPr>
          <w:b/>
          <w:bCs/>
        </w:rPr>
      </w:pPr>
      <w:r>
        <w:rPr>
          <w:b/>
          <w:bCs/>
        </w:rPr>
        <w:t>GENERIC GPIF ISSUES</w:t>
      </w:r>
    </w:p>
    <w:p w:rsidR="002D5713" w:rsidRDefault="002D5713" w:rsidP="002D5713">
      <w:pPr>
        <w:autoSpaceDE w:val="0"/>
        <w:autoSpaceDN w:val="0"/>
        <w:adjustRightInd w:val="0"/>
        <w:jc w:val="both"/>
      </w:pPr>
    </w:p>
    <w:p w:rsidR="002D5713" w:rsidRDefault="002D5713" w:rsidP="002D5713">
      <w:pPr>
        <w:autoSpaceDE w:val="0"/>
        <w:autoSpaceDN w:val="0"/>
        <w:adjustRightInd w:val="0"/>
        <w:ind w:left="1440" w:hanging="1440"/>
        <w:jc w:val="both"/>
      </w:pPr>
      <w:r>
        <w:rPr>
          <w:b/>
          <w:bCs/>
          <w:u w:val="single"/>
        </w:rPr>
        <w:t>ISSUE 16</w:t>
      </w:r>
      <w:r>
        <w:t>:</w:t>
      </w:r>
      <w:r>
        <w:tab/>
      </w:r>
      <w:r w:rsidRPr="001B4AA6">
        <w:rPr>
          <w:b/>
        </w:rPr>
        <w:t>What is the appropriate generation performance incentive factor (GPIF) reward or penalty for performance achieved during the period January 2018 through December 2018 for each investor-owned electric utility subject to the GPIF?</w:t>
      </w:r>
      <w:r>
        <w:t xml:space="preserve"> </w:t>
      </w:r>
    </w:p>
    <w:p w:rsidR="002D5713" w:rsidRDefault="002D5713" w:rsidP="002D5713">
      <w:pPr>
        <w:tabs>
          <w:tab w:val="left" w:pos="8571"/>
        </w:tabs>
        <w:autoSpaceDE w:val="0"/>
        <w:autoSpaceDN w:val="0"/>
        <w:adjustRightInd w:val="0"/>
        <w:jc w:val="both"/>
      </w:pPr>
    </w:p>
    <w:p w:rsidR="002D5713" w:rsidRDefault="002D5713" w:rsidP="002D5713">
      <w:pPr>
        <w:tabs>
          <w:tab w:val="left" w:pos="8571"/>
        </w:tabs>
        <w:autoSpaceDE w:val="0"/>
        <w:autoSpaceDN w:val="0"/>
        <w:adjustRightInd w:val="0"/>
        <w:ind w:left="1440" w:hanging="1440"/>
        <w:jc w:val="both"/>
        <w:rPr>
          <w:b/>
        </w:rPr>
      </w:pPr>
      <w:r>
        <w:rPr>
          <w:b/>
          <w:u w:val="single"/>
        </w:rPr>
        <w:t>STIPULATION</w:t>
      </w:r>
      <w:r>
        <w:rPr>
          <w:b/>
        </w:rPr>
        <w:t>:</w:t>
      </w:r>
    </w:p>
    <w:p w:rsidR="002D5713" w:rsidRDefault="002D5713" w:rsidP="002D5713">
      <w:pPr>
        <w:tabs>
          <w:tab w:val="left" w:pos="8571"/>
        </w:tabs>
        <w:autoSpaceDE w:val="0"/>
        <w:autoSpaceDN w:val="0"/>
        <w:adjustRightInd w:val="0"/>
        <w:ind w:left="1440" w:hanging="1440"/>
        <w:jc w:val="both"/>
        <w:rPr>
          <w:b/>
        </w:rPr>
      </w:pPr>
      <w:r>
        <w:rPr>
          <w:b/>
        </w:rPr>
        <w:tab/>
      </w:r>
    </w:p>
    <w:p w:rsidR="002D5713" w:rsidRPr="003532C8" w:rsidRDefault="002D5713" w:rsidP="002D5713">
      <w:pPr>
        <w:tabs>
          <w:tab w:val="left" w:pos="8571"/>
        </w:tabs>
        <w:autoSpaceDE w:val="0"/>
        <w:autoSpaceDN w:val="0"/>
        <w:adjustRightInd w:val="0"/>
        <w:ind w:left="1440" w:hanging="1440"/>
        <w:jc w:val="both"/>
        <w:rPr>
          <w:b/>
          <w:u w:val="single"/>
        </w:rPr>
      </w:pPr>
      <w:r>
        <w:tab/>
      </w:r>
      <w:r w:rsidRPr="00C9072F">
        <w:t xml:space="preserve">The </w:t>
      </w:r>
      <w:r w:rsidRPr="003532C8">
        <w:t>appropriate generation performance incentive factor (GPIF) reward or penalty for performance achieved during the period January 2018 through December 2018 for each investor-owned electric utility subject to the GPIF is as follows:</w:t>
      </w:r>
    </w:p>
    <w:p w:rsidR="002D5713" w:rsidRPr="003532C8" w:rsidRDefault="002D5713" w:rsidP="002D5713">
      <w:pPr>
        <w:autoSpaceDE w:val="0"/>
        <w:autoSpaceDN w:val="0"/>
        <w:adjustRightInd w:val="0"/>
        <w:jc w:val="both"/>
        <w:rPr>
          <w:bCs/>
        </w:rPr>
      </w:pPr>
    </w:p>
    <w:p w:rsidR="002D5713" w:rsidRPr="003532C8" w:rsidRDefault="002D5713" w:rsidP="002D5713">
      <w:pPr>
        <w:keepNext/>
        <w:tabs>
          <w:tab w:val="left" w:pos="8571"/>
        </w:tabs>
        <w:autoSpaceDE w:val="0"/>
        <w:autoSpaceDN w:val="0"/>
        <w:adjustRightInd w:val="0"/>
        <w:ind w:left="1440" w:hanging="1440"/>
        <w:jc w:val="both"/>
        <w:rPr>
          <w:rStyle w:val="Strong"/>
          <w:rFonts w:eastAsiaTheme="minorHAnsi"/>
          <w:b w:val="0"/>
        </w:rPr>
      </w:pPr>
      <w:r w:rsidRPr="00F740AF">
        <w:rPr>
          <w:b/>
          <w:bCs/>
        </w:rPr>
        <w:t>DEF</w:t>
      </w:r>
      <w:r>
        <w:rPr>
          <w:b/>
          <w:bCs/>
        </w:rPr>
        <w:t>:</w:t>
      </w:r>
      <w:r w:rsidRPr="003532C8">
        <w:rPr>
          <w:bCs/>
        </w:rPr>
        <w:tab/>
        <w:t>$2,591,697, reward, as reflected on Original Sheet No. 6.101.1, GPIF Reward/Penalty Table (Exhibit JBD, Page 2 of 24).</w:t>
      </w:r>
    </w:p>
    <w:p w:rsidR="002D5713" w:rsidRPr="003532C8" w:rsidRDefault="002D5713" w:rsidP="002D5713">
      <w:pPr>
        <w:autoSpaceDE w:val="0"/>
        <w:autoSpaceDN w:val="0"/>
        <w:adjustRightInd w:val="0"/>
        <w:jc w:val="both"/>
        <w:rPr>
          <w:bCs/>
        </w:rPr>
      </w:pPr>
    </w:p>
    <w:p w:rsidR="002D5713" w:rsidRPr="003532C8" w:rsidRDefault="002D5713" w:rsidP="002D5713">
      <w:pPr>
        <w:autoSpaceDE w:val="0"/>
        <w:autoSpaceDN w:val="0"/>
        <w:adjustRightInd w:val="0"/>
        <w:ind w:left="1440"/>
        <w:jc w:val="both"/>
        <w:rPr>
          <w:bCs/>
        </w:rPr>
      </w:pPr>
    </w:p>
    <w:p w:rsidR="002D5713" w:rsidRPr="003532C8" w:rsidRDefault="002D5713" w:rsidP="002D5713">
      <w:pPr>
        <w:autoSpaceDE w:val="0"/>
        <w:autoSpaceDN w:val="0"/>
        <w:adjustRightInd w:val="0"/>
        <w:ind w:left="1440" w:hanging="1440"/>
        <w:jc w:val="both"/>
        <w:rPr>
          <w:bCs/>
        </w:rPr>
      </w:pPr>
      <w:r w:rsidRPr="00F740AF">
        <w:rPr>
          <w:b/>
          <w:bCs/>
        </w:rPr>
        <w:lastRenderedPageBreak/>
        <w:t>FPL:</w:t>
      </w:r>
      <w:r w:rsidRPr="003532C8">
        <w:rPr>
          <w:bCs/>
        </w:rPr>
        <w:tab/>
        <w:t>$8,577,071 reward, as reflected in Reward/Penalty Table (Actual) For the Period January through December, 2018 (Exhibit CRR-1, Page 2 of 20).</w:t>
      </w:r>
    </w:p>
    <w:p w:rsidR="002D5713" w:rsidRPr="003532C8" w:rsidRDefault="002D5713" w:rsidP="002D5713">
      <w:pPr>
        <w:autoSpaceDE w:val="0"/>
        <w:autoSpaceDN w:val="0"/>
        <w:adjustRightInd w:val="0"/>
        <w:ind w:left="1440"/>
        <w:jc w:val="both"/>
        <w:rPr>
          <w:bCs/>
        </w:rPr>
      </w:pPr>
    </w:p>
    <w:p w:rsidR="002D5713" w:rsidRPr="003532C8" w:rsidRDefault="002D5713" w:rsidP="002D5713">
      <w:pPr>
        <w:autoSpaceDE w:val="0"/>
        <w:autoSpaceDN w:val="0"/>
        <w:adjustRightInd w:val="0"/>
        <w:ind w:left="1440" w:hanging="1440"/>
        <w:jc w:val="both"/>
        <w:rPr>
          <w:bCs/>
        </w:rPr>
      </w:pPr>
      <w:r w:rsidRPr="00F740AF">
        <w:rPr>
          <w:b/>
          <w:bCs/>
        </w:rPr>
        <w:t>Gulf:</w:t>
      </w:r>
      <w:r w:rsidRPr="003532C8">
        <w:rPr>
          <w:bCs/>
        </w:rPr>
        <w:tab/>
        <w:t>$10,384, reward, as reflected in GPIF 2018 Results Filing (Exhibit CLN-1, Page 28 of 51, Schedule 4, Page 2 of 2).</w:t>
      </w:r>
    </w:p>
    <w:p w:rsidR="002D5713" w:rsidRPr="003532C8" w:rsidRDefault="002D5713" w:rsidP="002D5713">
      <w:pPr>
        <w:autoSpaceDE w:val="0"/>
        <w:autoSpaceDN w:val="0"/>
        <w:adjustRightInd w:val="0"/>
        <w:ind w:left="1440"/>
        <w:jc w:val="both"/>
        <w:rPr>
          <w:bCs/>
        </w:rPr>
      </w:pPr>
    </w:p>
    <w:p w:rsidR="002D5713" w:rsidRDefault="002D5713" w:rsidP="002D5713">
      <w:pPr>
        <w:autoSpaceDE w:val="0"/>
        <w:autoSpaceDN w:val="0"/>
        <w:adjustRightInd w:val="0"/>
        <w:ind w:left="1440" w:hanging="1440"/>
        <w:jc w:val="both"/>
        <w:rPr>
          <w:bCs/>
        </w:rPr>
      </w:pPr>
      <w:r w:rsidRPr="00F740AF">
        <w:rPr>
          <w:b/>
          <w:bCs/>
        </w:rPr>
        <w:t>TECO:</w:t>
      </w:r>
      <w:r w:rsidRPr="003532C8">
        <w:rPr>
          <w:bCs/>
        </w:rPr>
        <w:tab/>
        <w:t>$4,141,330 reward, as reflected GPIF Reward/Penalty Table (Exhibit BSB-1, Document No. 1, Page 2 of 32).</w:t>
      </w:r>
    </w:p>
    <w:p w:rsidR="002D5713" w:rsidRDefault="002D5713" w:rsidP="002D5713">
      <w:pPr>
        <w:autoSpaceDE w:val="0"/>
        <w:autoSpaceDN w:val="0"/>
        <w:adjustRightInd w:val="0"/>
        <w:jc w:val="both"/>
        <w:rPr>
          <w:b/>
          <w:bCs/>
          <w:u w:val="single"/>
        </w:rPr>
      </w:pPr>
    </w:p>
    <w:p w:rsidR="002D5713" w:rsidRDefault="002D5713" w:rsidP="002D5713">
      <w:pPr>
        <w:autoSpaceDE w:val="0"/>
        <w:autoSpaceDN w:val="0"/>
        <w:adjustRightInd w:val="0"/>
        <w:ind w:left="1440" w:hanging="1440"/>
        <w:jc w:val="both"/>
      </w:pPr>
      <w:r>
        <w:rPr>
          <w:b/>
          <w:bCs/>
          <w:u w:val="single"/>
        </w:rPr>
        <w:t>ISSUE 17</w:t>
      </w:r>
      <w:r>
        <w:t>:</w:t>
      </w:r>
      <w:r>
        <w:tab/>
      </w:r>
      <w:r w:rsidRPr="001B4AA6">
        <w:rPr>
          <w:b/>
        </w:rPr>
        <w:t>What should the GPIF targets/ranges be for the period January 2020 through December 2020 for each investor-owned electric utility subject to the GPIF?</w:t>
      </w:r>
      <w:r w:rsidRPr="0063189A">
        <w:t xml:space="preserve"> </w:t>
      </w:r>
    </w:p>
    <w:p w:rsidR="002D5713" w:rsidRDefault="002D5713" w:rsidP="002D5713">
      <w:pPr>
        <w:tabs>
          <w:tab w:val="left" w:pos="8571"/>
        </w:tabs>
        <w:autoSpaceDE w:val="0"/>
        <w:autoSpaceDN w:val="0"/>
        <w:adjustRightInd w:val="0"/>
        <w:ind w:left="1440" w:hanging="1440"/>
        <w:jc w:val="both"/>
      </w:pPr>
    </w:p>
    <w:p w:rsidR="002D5713" w:rsidRDefault="002D5713" w:rsidP="002D5713">
      <w:pPr>
        <w:tabs>
          <w:tab w:val="left" w:pos="8571"/>
        </w:tabs>
        <w:autoSpaceDE w:val="0"/>
        <w:autoSpaceDN w:val="0"/>
        <w:adjustRightInd w:val="0"/>
        <w:ind w:left="1440" w:hanging="1440"/>
        <w:jc w:val="both"/>
        <w:rPr>
          <w:b/>
        </w:rPr>
      </w:pPr>
      <w:r>
        <w:rPr>
          <w:b/>
          <w:u w:val="single"/>
        </w:rPr>
        <w:t>STIPULATION</w:t>
      </w:r>
      <w:r>
        <w:rPr>
          <w:b/>
        </w:rPr>
        <w:t>:</w:t>
      </w:r>
    </w:p>
    <w:p w:rsidR="002D5713" w:rsidRDefault="002D5713" w:rsidP="002D5713">
      <w:pPr>
        <w:tabs>
          <w:tab w:val="left" w:pos="8571"/>
        </w:tabs>
        <w:autoSpaceDE w:val="0"/>
        <w:autoSpaceDN w:val="0"/>
        <w:adjustRightInd w:val="0"/>
        <w:ind w:left="1440" w:hanging="1440"/>
        <w:jc w:val="both"/>
        <w:rPr>
          <w:b/>
        </w:rPr>
      </w:pPr>
      <w:r>
        <w:rPr>
          <w:b/>
        </w:rPr>
        <w:tab/>
      </w:r>
    </w:p>
    <w:p w:rsidR="002D5713" w:rsidRDefault="002D5713" w:rsidP="002D5713">
      <w:pPr>
        <w:tabs>
          <w:tab w:val="left" w:pos="8571"/>
        </w:tabs>
        <w:autoSpaceDE w:val="0"/>
        <w:autoSpaceDN w:val="0"/>
        <w:adjustRightInd w:val="0"/>
        <w:ind w:left="1440" w:hanging="1440"/>
        <w:jc w:val="both"/>
        <w:rPr>
          <w:b/>
          <w:u w:val="single"/>
        </w:rPr>
      </w:pPr>
      <w:r>
        <w:tab/>
        <w:t>The appropriate GPIF targets/ranges be for the period January 2020 through December 2020 for each investor-owned electric utility subject to the GPIF are shown in Tables 17-1 through 17-4 below:</w:t>
      </w:r>
    </w:p>
    <w:p w:rsidR="002D5713" w:rsidRDefault="002D5713" w:rsidP="002D5713">
      <w:pPr>
        <w:tabs>
          <w:tab w:val="left" w:pos="8571"/>
        </w:tabs>
        <w:autoSpaceDE w:val="0"/>
        <w:autoSpaceDN w:val="0"/>
        <w:adjustRightInd w:val="0"/>
        <w:jc w:val="both"/>
        <w:rPr>
          <w:bCs/>
        </w:rPr>
      </w:pPr>
    </w:p>
    <w:p w:rsidR="002D5713" w:rsidRDefault="002D5713" w:rsidP="002D5713">
      <w:pPr>
        <w:tabs>
          <w:tab w:val="left" w:pos="8571"/>
        </w:tabs>
        <w:autoSpaceDE w:val="0"/>
        <w:autoSpaceDN w:val="0"/>
        <w:adjustRightInd w:val="0"/>
        <w:jc w:val="both"/>
        <w:rPr>
          <w:bCs/>
        </w:rPr>
      </w:pPr>
      <w:r w:rsidRPr="00F740AF">
        <w:rPr>
          <w:b/>
          <w:bCs/>
        </w:rPr>
        <w:t xml:space="preserve">DEF:   </w:t>
      </w:r>
      <w:r>
        <w:rPr>
          <w:bCs/>
        </w:rPr>
        <w:t xml:space="preserve">             See Table 17-1 below:</w:t>
      </w:r>
    </w:p>
    <w:p w:rsidR="002D5713" w:rsidRDefault="002D5713" w:rsidP="002D5713">
      <w:pPr>
        <w:tabs>
          <w:tab w:val="left" w:pos="8571"/>
        </w:tabs>
        <w:autoSpaceDE w:val="0"/>
        <w:autoSpaceDN w:val="0"/>
        <w:adjustRightInd w:val="0"/>
        <w:jc w:val="both"/>
        <w:rPr>
          <w:bCs/>
        </w:rPr>
      </w:pPr>
    </w:p>
    <w:p w:rsidR="002D5713" w:rsidRDefault="002D5713" w:rsidP="002D5713">
      <w:pPr>
        <w:jc w:val="center"/>
        <w:rPr>
          <w:rFonts w:ascii="Arial" w:hAnsi="Arial" w:cs="Arial"/>
          <w:b/>
        </w:rPr>
      </w:pPr>
      <w:r>
        <w:rPr>
          <w:rFonts w:ascii="Arial" w:hAnsi="Arial" w:cs="Arial"/>
          <w:b/>
        </w:rPr>
        <w:t>Table 17-1</w:t>
      </w:r>
    </w:p>
    <w:p w:rsidR="002D5713" w:rsidRDefault="002D5713" w:rsidP="002D5713">
      <w:pPr>
        <w:jc w:val="center"/>
        <w:rPr>
          <w:rFonts w:ascii="Arial" w:hAnsi="Arial" w:cs="Arial"/>
        </w:rPr>
      </w:pPr>
      <w:r>
        <w:rPr>
          <w:rFonts w:ascii="Arial" w:hAnsi="Arial" w:cs="Arial"/>
          <w:b/>
        </w:rPr>
        <w:t>GPIF Targets/Ranges for the period January-December, 2020</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2D5713" w:rsidTr="004813E3">
        <w:trPr>
          <w:trHeight w:val="300"/>
        </w:trPr>
        <w:tc>
          <w:tcPr>
            <w:tcW w:w="900" w:type="dxa"/>
            <w:vMerge w:val="restart"/>
            <w:tcBorders>
              <w:top w:val="single" w:sz="4" w:space="0" w:color="auto"/>
              <w:left w:val="single" w:sz="4" w:space="0" w:color="auto"/>
              <w:right w:val="single" w:sz="4" w:space="0" w:color="auto"/>
            </w:tcBorders>
            <w:noWrap/>
            <w:vAlign w:val="center"/>
            <w:hideMark/>
          </w:tcPr>
          <w:p w:rsidR="002D5713" w:rsidRDefault="002D5713" w:rsidP="004813E3">
            <w:pPr>
              <w:jc w:val="center"/>
              <w:rPr>
                <w:rFonts w:cstheme="minorHAnsi"/>
                <w:color w:val="000000"/>
              </w:rPr>
            </w:pPr>
            <w:r>
              <w:t>DEF</w:t>
            </w:r>
          </w:p>
        </w:tc>
        <w:tc>
          <w:tcPr>
            <w:tcW w:w="1710" w:type="dxa"/>
            <w:vMerge w:val="restart"/>
            <w:tcBorders>
              <w:top w:val="single" w:sz="4" w:space="0" w:color="auto"/>
              <w:left w:val="single" w:sz="4" w:space="0" w:color="auto"/>
              <w:bottom w:val="single" w:sz="4" w:space="0" w:color="auto"/>
              <w:right w:val="single" w:sz="4" w:space="0" w:color="auto"/>
            </w:tcBorders>
            <w:noWrap/>
            <w:vAlign w:val="center"/>
            <w:hideMark/>
          </w:tcPr>
          <w:p w:rsidR="002D5713" w:rsidRPr="00DC0EA6" w:rsidRDefault="002D5713" w:rsidP="004813E3">
            <w:pPr>
              <w:jc w:val="center"/>
              <w:rPr>
                <w:rFonts w:cstheme="minorHAnsi"/>
              </w:rPr>
            </w:pPr>
            <w:r w:rsidRPr="00DC0EA6">
              <w:rPr>
                <w:rFonts w:cstheme="minorHAnsi"/>
              </w:rPr>
              <w:t>Plant/Unit</w:t>
            </w:r>
          </w:p>
        </w:tc>
        <w:tc>
          <w:tcPr>
            <w:tcW w:w="2880" w:type="dxa"/>
            <w:gridSpan w:val="3"/>
            <w:tcBorders>
              <w:top w:val="single" w:sz="4" w:space="0" w:color="auto"/>
              <w:left w:val="single" w:sz="4" w:space="0" w:color="auto"/>
              <w:bottom w:val="single" w:sz="4" w:space="0" w:color="auto"/>
              <w:right w:val="single" w:sz="4" w:space="0" w:color="auto"/>
            </w:tcBorders>
            <w:noWrap/>
            <w:hideMark/>
          </w:tcPr>
          <w:p w:rsidR="002D5713" w:rsidRPr="00DC0EA6" w:rsidRDefault="002D5713" w:rsidP="004813E3">
            <w:pPr>
              <w:jc w:val="center"/>
            </w:pPr>
            <w:r w:rsidRPr="00DC0EA6">
              <w:t>EAF</w:t>
            </w:r>
          </w:p>
        </w:tc>
        <w:tc>
          <w:tcPr>
            <w:tcW w:w="3870" w:type="dxa"/>
            <w:gridSpan w:val="3"/>
            <w:tcBorders>
              <w:top w:val="single" w:sz="4" w:space="0" w:color="auto"/>
              <w:left w:val="single" w:sz="4" w:space="0" w:color="auto"/>
              <w:bottom w:val="single" w:sz="4" w:space="0" w:color="auto"/>
              <w:right w:val="single" w:sz="4" w:space="0" w:color="auto"/>
            </w:tcBorders>
            <w:noWrap/>
            <w:vAlign w:val="center"/>
            <w:hideMark/>
          </w:tcPr>
          <w:p w:rsidR="002D5713" w:rsidRPr="00DC0EA6" w:rsidRDefault="002D5713" w:rsidP="004813E3">
            <w:pPr>
              <w:jc w:val="center"/>
            </w:pPr>
            <w:r w:rsidRPr="00DC0EA6">
              <w:t>ANOHR</w:t>
            </w:r>
          </w:p>
        </w:tc>
      </w:tr>
      <w:tr w:rsidR="002D5713" w:rsidTr="004813E3">
        <w:trPr>
          <w:trHeight w:val="300"/>
        </w:trPr>
        <w:tc>
          <w:tcPr>
            <w:tcW w:w="900" w:type="dxa"/>
            <w:vMerge/>
            <w:tcBorders>
              <w:left w:val="single" w:sz="4" w:space="0" w:color="auto"/>
              <w:right w:val="single" w:sz="4" w:space="0" w:color="auto"/>
            </w:tcBorders>
            <w:vAlign w:val="center"/>
            <w:hideMark/>
          </w:tcPr>
          <w:p w:rsidR="002D5713" w:rsidRDefault="002D5713" w:rsidP="004813E3">
            <w:pPr>
              <w:jc w:val="center"/>
              <w:rPr>
                <w:rFonts w:cstheme="minorHAnsi"/>
                <w:color w:val="00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2D5713" w:rsidRPr="00DC0EA6" w:rsidRDefault="002D5713" w:rsidP="004813E3">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D5713" w:rsidRPr="00DC0EA6" w:rsidRDefault="002D5713" w:rsidP="004813E3">
            <w:pPr>
              <w:jc w:val="center"/>
            </w:pPr>
            <w:r w:rsidRPr="00DC0EA6">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2D5713" w:rsidRPr="00DC0EA6" w:rsidRDefault="002D5713" w:rsidP="004813E3">
            <w:pPr>
              <w:jc w:val="center"/>
            </w:pPr>
            <w:r w:rsidRPr="00DC0EA6">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D5713" w:rsidRPr="00DC0EA6" w:rsidRDefault="002D5713" w:rsidP="004813E3">
            <w:pPr>
              <w:jc w:val="center"/>
            </w:pPr>
            <w:r w:rsidRPr="00DC0EA6">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2D5713" w:rsidRPr="00DC0EA6" w:rsidRDefault="002D5713" w:rsidP="004813E3">
            <w:pPr>
              <w:jc w:val="center"/>
            </w:pPr>
            <w:r w:rsidRPr="00DC0EA6">
              <w:t>Maximum</w:t>
            </w:r>
          </w:p>
        </w:tc>
      </w:tr>
      <w:tr w:rsidR="002D5713" w:rsidTr="004813E3">
        <w:trPr>
          <w:trHeight w:val="610"/>
        </w:trPr>
        <w:tc>
          <w:tcPr>
            <w:tcW w:w="900" w:type="dxa"/>
            <w:vMerge/>
            <w:tcBorders>
              <w:left w:val="single" w:sz="4" w:space="0" w:color="auto"/>
              <w:right w:val="single" w:sz="4" w:space="0" w:color="auto"/>
            </w:tcBorders>
            <w:vAlign w:val="center"/>
            <w:hideMark/>
          </w:tcPr>
          <w:p w:rsidR="002D5713" w:rsidRDefault="002D5713" w:rsidP="004813E3">
            <w:pPr>
              <w:jc w:val="center"/>
              <w:rPr>
                <w:rFonts w:cstheme="minorHAnsi"/>
                <w:color w:val="00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2D5713" w:rsidRPr="00DC0EA6" w:rsidRDefault="002D5713" w:rsidP="004813E3">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D5713" w:rsidRPr="00DC0EA6" w:rsidRDefault="002D5713" w:rsidP="004813E3">
            <w:pPr>
              <w:jc w:val="center"/>
            </w:pPr>
            <w:r w:rsidRPr="00DC0EA6">
              <w:t>EAF</w:t>
            </w:r>
          </w:p>
          <w:p w:rsidR="002D5713" w:rsidRPr="00DC0EA6" w:rsidRDefault="002D5713" w:rsidP="004813E3">
            <w:pPr>
              <w:jc w:val="center"/>
            </w:pPr>
            <w:r w:rsidRPr="00DC0EA6">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D5713" w:rsidRPr="00DC0EA6" w:rsidRDefault="002D5713" w:rsidP="004813E3">
            <w:pPr>
              <w:jc w:val="center"/>
            </w:pPr>
            <w:r w:rsidRPr="00DC0EA6">
              <w:t>EAF</w:t>
            </w:r>
          </w:p>
          <w:p w:rsidR="002D5713" w:rsidRPr="00DC0EA6" w:rsidRDefault="002D5713" w:rsidP="004813E3">
            <w:pPr>
              <w:jc w:val="center"/>
            </w:pPr>
            <w:r w:rsidRPr="00DC0EA6">
              <w:t>( % )</w:t>
            </w:r>
          </w:p>
        </w:tc>
        <w:tc>
          <w:tcPr>
            <w:tcW w:w="1080" w:type="dxa"/>
            <w:tcBorders>
              <w:top w:val="single" w:sz="4" w:space="0" w:color="auto"/>
              <w:left w:val="single" w:sz="4" w:space="0" w:color="auto"/>
              <w:bottom w:val="single" w:sz="4" w:space="0" w:color="auto"/>
              <w:right w:val="single" w:sz="4" w:space="0" w:color="auto"/>
            </w:tcBorders>
            <w:noWrap/>
            <w:hideMark/>
          </w:tcPr>
          <w:p w:rsidR="002D5713" w:rsidRPr="00DC0EA6" w:rsidRDefault="002D5713" w:rsidP="004813E3">
            <w:pPr>
              <w:jc w:val="center"/>
            </w:pPr>
            <w:r w:rsidRPr="00DC0EA6">
              <w:t>Savings</w:t>
            </w:r>
          </w:p>
          <w:p w:rsidR="002D5713" w:rsidRPr="00DC0EA6" w:rsidRDefault="002D5713" w:rsidP="004813E3">
            <w:r w:rsidRPr="00DC0EA6">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D5713" w:rsidRPr="00DC0EA6" w:rsidRDefault="002D5713" w:rsidP="004813E3">
            <w:pPr>
              <w:jc w:val="center"/>
              <w:rPr>
                <w:sz w:val="22"/>
                <w:szCs w:val="22"/>
              </w:rPr>
            </w:pPr>
            <w:r w:rsidRPr="00DC0EA6">
              <w:rPr>
                <w:sz w:val="22"/>
                <w:szCs w:val="22"/>
              </w:rPr>
              <w:t>ANOHR</w:t>
            </w:r>
          </w:p>
          <w:p w:rsidR="002D5713" w:rsidRPr="00DC0EA6" w:rsidRDefault="002D5713" w:rsidP="004813E3">
            <w:pPr>
              <w:jc w:val="center"/>
              <w:rPr>
                <w:sz w:val="22"/>
                <w:szCs w:val="22"/>
              </w:rPr>
            </w:pPr>
            <w:r w:rsidRPr="00DC0EA6">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D5713" w:rsidRPr="00DC0EA6" w:rsidRDefault="002D5713" w:rsidP="004813E3">
            <w:pPr>
              <w:jc w:val="center"/>
              <w:rPr>
                <w:sz w:val="22"/>
                <w:szCs w:val="22"/>
              </w:rPr>
            </w:pPr>
            <w:r w:rsidRPr="00DC0EA6">
              <w:rPr>
                <w:sz w:val="22"/>
                <w:szCs w:val="22"/>
              </w:rPr>
              <w:t>ANOHR</w:t>
            </w:r>
          </w:p>
          <w:p w:rsidR="002D5713" w:rsidRPr="00DC0EA6" w:rsidRDefault="002D5713" w:rsidP="004813E3">
            <w:pPr>
              <w:jc w:val="center"/>
              <w:rPr>
                <w:sz w:val="22"/>
                <w:szCs w:val="22"/>
              </w:rPr>
            </w:pPr>
            <w:r w:rsidRPr="00DC0EA6">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D5713" w:rsidRPr="00DC0EA6" w:rsidRDefault="002D5713" w:rsidP="004813E3">
            <w:pPr>
              <w:jc w:val="center"/>
            </w:pPr>
            <w:r w:rsidRPr="00DC0EA6">
              <w:t>Savings</w:t>
            </w:r>
          </w:p>
          <w:p w:rsidR="002D5713" w:rsidRPr="00DC0EA6" w:rsidRDefault="002D5713" w:rsidP="004813E3">
            <w:pPr>
              <w:jc w:val="center"/>
            </w:pPr>
            <w:r w:rsidRPr="00DC0EA6">
              <w:t>($000's)</w:t>
            </w:r>
          </w:p>
        </w:tc>
      </w:tr>
      <w:tr w:rsidR="002D5713" w:rsidRPr="003532C8" w:rsidTr="004813E3">
        <w:trPr>
          <w:trHeight w:val="300"/>
        </w:trPr>
        <w:tc>
          <w:tcPr>
            <w:tcW w:w="900" w:type="dxa"/>
            <w:vMerge/>
            <w:tcBorders>
              <w:left w:val="single" w:sz="4" w:space="0" w:color="auto"/>
              <w:right w:val="single" w:sz="4" w:space="0" w:color="auto"/>
            </w:tcBorders>
            <w:noWrap/>
            <w:vAlign w:val="center"/>
            <w:hideMark/>
          </w:tcPr>
          <w:p w:rsidR="002D5713" w:rsidRDefault="002D5713" w:rsidP="004813E3">
            <w:pPr>
              <w:jc w:val="center"/>
            </w:pPr>
          </w:p>
        </w:tc>
        <w:tc>
          <w:tcPr>
            <w:tcW w:w="1710" w:type="dxa"/>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jc w:val="center"/>
            </w:pPr>
            <w:r w:rsidRPr="003532C8">
              <w:t>Bartow 4</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88.20</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92.74</w:t>
            </w: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1,617</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7,892</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8,289</w:t>
            </w: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6,774</w:t>
            </w:r>
          </w:p>
        </w:tc>
      </w:tr>
      <w:tr w:rsidR="002D5713" w:rsidRPr="003532C8" w:rsidTr="004813E3">
        <w:trPr>
          <w:trHeight w:val="300"/>
        </w:trPr>
        <w:tc>
          <w:tcPr>
            <w:tcW w:w="900" w:type="dxa"/>
            <w:vMerge/>
            <w:tcBorders>
              <w:left w:val="single" w:sz="4" w:space="0" w:color="auto"/>
              <w:right w:val="single" w:sz="4" w:space="0" w:color="auto"/>
            </w:tcBorders>
            <w:vAlign w:val="center"/>
            <w:hideMark/>
          </w:tcPr>
          <w:p w:rsidR="002D5713" w:rsidRPr="003532C8" w:rsidRDefault="002D5713" w:rsidP="004813E3"/>
        </w:tc>
        <w:tc>
          <w:tcPr>
            <w:tcW w:w="1710" w:type="dxa"/>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jc w:val="center"/>
              <w:rPr>
                <w:rFonts w:ascii="Calibri" w:hAnsi="Calibri"/>
                <w:sz w:val="22"/>
                <w:szCs w:val="22"/>
              </w:rPr>
            </w:pPr>
            <w:r w:rsidRPr="003532C8">
              <w:t>Hines 1</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87.02</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89.01</w:t>
            </w: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160</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7,261</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7,600</w:t>
            </w: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2,659</w:t>
            </w:r>
          </w:p>
        </w:tc>
      </w:tr>
      <w:tr w:rsidR="002D5713" w:rsidRPr="003532C8" w:rsidTr="004813E3">
        <w:trPr>
          <w:trHeight w:val="300"/>
        </w:trPr>
        <w:tc>
          <w:tcPr>
            <w:tcW w:w="900" w:type="dxa"/>
            <w:vMerge/>
            <w:tcBorders>
              <w:left w:val="single" w:sz="4" w:space="0" w:color="auto"/>
              <w:right w:val="single" w:sz="4" w:space="0" w:color="auto"/>
            </w:tcBorders>
            <w:vAlign w:val="center"/>
            <w:hideMark/>
          </w:tcPr>
          <w:p w:rsidR="002D5713" w:rsidRPr="003532C8" w:rsidRDefault="002D5713" w:rsidP="004813E3"/>
        </w:tc>
        <w:tc>
          <w:tcPr>
            <w:tcW w:w="1710" w:type="dxa"/>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jc w:val="center"/>
              <w:rPr>
                <w:rFonts w:ascii="Calibri" w:hAnsi="Calibri"/>
                <w:sz w:val="22"/>
                <w:szCs w:val="22"/>
              </w:rPr>
            </w:pPr>
            <w:r w:rsidRPr="003532C8">
              <w:t>Hines 2</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90.32</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91.15</w:t>
            </w: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25</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7,410</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7,660</w:t>
            </w: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1,937</w:t>
            </w:r>
          </w:p>
        </w:tc>
      </w:tr>
      <w:tr w:rsidR="002D5713" w:rsidRPr="003532C8" w:rsidTr="004813E3">
        <w:trPr>
          <w:trHeight w:val="300"/>
        </w:trPr>
        <w:tc>
          <w:tcPr>
            <w:tcW w:w="900" w:type="dxa"/>
            <w:vMerge/>
            <w:tcBorders>
              <w:left w:val="single" w:sz="4" w:space="0" w:color="auto"/>
              <w:right w:val="single" w:sz="4" w:space="0" w:color="auto"/>
            </w:tcBorders>
            <w:vAlign w:val="center"/>
            <w:hideMark/>
          </w:tcPr>
          <w:p w:rsidR="002D5713" w:rsidRPr="003532C8" w:rsidRDefault="002D5713" w:rsidP="004813E3"/>
        </w:tc>
        <w:tc>
          <w:tcPr>
            <w:tcW w:w="171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rPr>
                <w:rFonts w:ascii="Calibri" w:hAnsi="Calibri"/>
                <w:sz w:val="22"/>
                <w:szCs w:val="22"/>
              </w:rPr>
            </w:pPr>
            <w:r w:rsidRPr="003532C8">
              <w:t>Hines 3</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93.73</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94.89</w:t>
            </w: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159</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7,266</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7,514</w:t>
            </w: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2,089</w:t>
            </w:r>
          </w:p>
        </w:tc>
      </w:tr>
      <w:tr w:rsidR="002D5713" w:rsidRPr="003532C8" w:rsidTr="004813E3">
        <w:trPr>
          <w:trHeight w:val="300"/>
        </w:trPr>
        <w:tc>
          <w:tcPr>
            <w:tcW w:w="900" w:type="dxa"/>
            <w:vMerge/>
            <w:tcBorders>
              <w:left w:val="single" w:sz="4" w:space="0" w:color="auto"/>
              <w:right w:val="single" w:sz="4" w:space="0" w:color="auto"/>
            </w:tcBorders>
            <w:vAlign w:val="center"/>
            <w:hideMark/>
          </w:tcPr>
          <w:p w:rsidR="002D5713" w:rsidRPr="003532C8" w:rsidRDefault="002D5713" w:rsidP="004813E3"/>
        </w:tc>
        <w:tc>
          <w:tcPr>
            <w:tcW w:w="171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rPr>
                <w:rFonts w:cstheme="minorHAnsi"/>
                <w:sz w:val="22"/>
                <w:szCs w:val="22"/>
              </w:rPr>
            </w:pPr>
            <w:r w:rsidRPr="003532C8">
              <w:rPr>
                <w:rFonts w:cstheme="minorHAnsi"/>
              </w:rPr>
              <w:t>Hines 4</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83.95</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87.02</w:t>
            </w: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866</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6,982</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7,162</w:t>
            </w: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1,611</w:t>
            </w:r>
          </w:p>
        </w:tc>
      </w:tr>
      <w:tr w:rsidR="002D5713" w:rsidRPr="003532C8" w:rsidTr="004813E3">
        <w:trPr>
          <w:trHeight w:val="300"/>
        </w:trPr>
        <w:tc>
          <w:tcPr>
            <w:tcW w:w="900" w:type="dxa"/>
            <w:vMerge/>
            <w:tcBorders>
              <w:left w:val="single" w:sz="4" w:space="0" w:color="auto"/>
              <w:right w:val="single" w:sz="4" w:space="0" w:color="auto"/>
            </w:tcBorders>
            <w:vAlign w:val="center"/>
            <w:hideMark/>
          </w:tcPr>
          <w:p w:rsidR="002D5713" w:rsidRPr="003532C8" w:rsidRDefault="002D5713" w:rsidP="004813E3"/>
        </w:tc>
        <w:tc>
          <w:tcPr>
            <w:tcW w:w="171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rPr>
                <w:rFonts w:cstheme="minorHAnsi"/>
                <w:sz w:val="22"/>
                <w:szCs w:val="22"/>
              </w:rPr>
            </w:pPr>
            <w:r w:rsidRPr="003532C8">
              <w:rPr>
                <w:rFonts w:cstheme="minorHAnsi"/>
                <w:sz w:val="22"/>
                <w:szCs w:val="22"/>
              </w:rPr>
              <w:t>Osprey 1</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88.14</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91.02</w:t>
            </w: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521</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7,291</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7,866</w:t>
            </w: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3,517</w:t>
            </w:r>
          </w:p>
        </w:tc>
      </w:tr>
      <w:tr w:rsidR="002D5713" w:rsidRPr="003532C8" w:rsidTr="004813E3">
        <w:trPr>
          <w:trHeight w:val="300"/>
        </w:trPr>
        <w:tc>
          <w:tcPr>
            <w:tcW w:w="900" w:type="dxa"/>
            <w:vMerge/>
            <w:tcBorders>
              <w:left w:val="single" w:sz="4" w:space="0" w:color="auto"/>
              <w:right w:val="single" w:sz="4" w:space="0" w:color="auto"/>
            </w:tcBorders>
            <w:vAlign w:val="center"/>
            <w:hideMark/>
          </w:tcPr>
          <w:p w:rsidR="002D5713" w:rsidRPr="003532C8" w:rsidRDefault="002D5713" w:rsidP="004813E3"/>
        </w:tc>
        <w:tc>
          <w:tcPr>
            <w:tcW w:w="171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rPr>
                <w:rFonts w:cstheme="minorHAnsi"/>
              </w:rPr>
            </w:pPr>
            <w:r w:rsidRPr="003532C8">
              <w:rPr>
                <w:rFonts w:cstheme="minorHAnsi"/>
              </w:rPr>
              <w:t>Total</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 xml:space="preserve">3,348 </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18,586</w:t>
            </w:r>
          </w:p>
        </w:tc>
      </w:tr>
    </w:tbl>
    <w:p w:rsidR="002D5713" w:rsidRDefault="002D5713" w:rsidP="002D5713">
      <w:r w:rsidRPr="003532C8">
        <w:t xml:space="preserve">    Source: GPIF Target and Range Summary (Exhibit JBD-1P, Page 4 of 67).</w:t>
      </w:r>
    </w:p>
    <w:p w:rsidR="002D5713" w:rsidRDefault="002D5713" w:rsidP="002D5713">
      <w:pPr>
        <w:tabs>
          <w:tab w:val="left" w:pos="8571"/>
        </w:tabs>
        <w:autoSpaceDE w:val="0"/>
        <w:autoSpaceDN w:val="0"/>
        <w:adjustRightInd w:val="0"/>
        <w:jc w:val="both"/>
        <w:rPr>
          <w:bCs/>
        </w:rPr>
      </w:pPr>
    </w:p>
    <w:p w:rsidR="002D5713" w:rsidRDefault="002D5713">
      <w:pPr>
        <w:rPr>
          <w:b/>
          <w:bCs/>
        </w:rPr>
      </w:pPr>
      <w:r>
        <w:rPr>
          <w:b/>
          <w:bCs/>
        </w:rPr>
        <w:br w:type="page"/>
      </w:r>
    </w:p>
    <w:p w:rsidR="002D5713" w:rsidRDefault="002D5713" w:rsidP="002D5713">
      <w:pPr>
        <w:tabs>
          <w:tab w:val="left" w:pos="8571"/>
        </w:tabs>
        <w:autoSpaceDE w:val="0"/>
        <w:autoSpaceDN w:val="0"/>
        <w:adjustRightInd w:val="0"/>
        <w:jc w:val="both"/>
        <w:rPr>
          <w:bCs/>
        </w:rPr>
      </w:pPr>
      <w:r w:rsidRPr="00F740AF">
        <w:rPr>
          <w:b/>
          <w:bCs/>
        </w:rPr>
        <w:lastRenderedPageBreak/>
        <w:t xml:space="preserve">FPL:   </w:t>
      </w:r>
      <w:r>
        <w:rPr>
          <w:bCs/>
        </w:rPr>
        <w:t xml:space="preserve">              See Table 17-2 below:</w:t>
      </w:r>
    </w:p>
    <w:p w:rsidR="002D5713" w:rsidRDefault="002D5713" w:rsidP="002D5713">
      <w:pPr>
        <w:tabs>
          <w:tab w:val="left" w:pos="8571"/>
        </w:tabs>
        <w:autoSpaceDE w:val="0"/>
        <w:autoSpaceDN w:val="0"/>
        <w:adjustRightInd w:val="0"/>
        <w:jc w:val="both"/>
        <w:rPr>
          <w:bCs/>
        </w:rPr>
      </w:pPr>
    </w:p>
    <w:p w:rsidR="002D5713" w:rsidRDefault="002D5713" w:rsidP="002D5713">
      <w:pPr>
        <w:jc w:val="center"/>
        <w:rPr>
          <w:rFonts w:ascii="Arial" w:hAnsi="Arial" w:cs="Arial"/>
          <w:b/>
        </w:rPr>
      </w:pPr>
      <w:r>
        <w:rPr>
          <w:rFonts w:ascii="Arial" w:hAnsi="Arial" w:cs="Arial"/>
          <w:b/>
        </w:rPr>
        <w:t>Table 17-2</w:t>
      </w:r>
    </w:p>
    <w:p w:rsidR="002D5713" w:rsidRDefault="002D5713" w:rsidP="002D5713">
      <w:pPr>
        <w:jc w:val="center"/>
        <w:rPr>
          <w:rFonts w:ascii="Arial" w:hAnsi="Arial" w:cs="Arial"/>
        </w:rPr>
      </w:pPr>
      <w:r>
        <w:rPr>
          <w:rFonts w:ascii="Arial" w:hAnsi="Arial" w:cs="Arial"/>
          <w:b/>
        </w:rPr>
        <w:t>GPIF Targets/Ranges for the period January-December, 2020</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2D5713" w:rsidTr="004813E3">
        <w:trPr>
          <w:cantSplit/>
          <w:tblHeader/>
        </w:trPr>
        <w:tc>
          <w:tcPr>
            <w:tcW w:w="900" w:type="dxa"/>
            <w:vMerge w:val="restart"/>
            <w:tcBorders>
              <w:top w:val="single" w:sz="4" w:space="0" w:color="auto"/>
              <w:left w:val="single" w:sz="4" w:space="0" w:color="auto"/>
              <w:right w:val="single" w:sz="4" w:space="0" w:color="auto"/>
            </w:tcBorders>
            <w:vAlign w:val="center"/>
            <w:hideMark/>
          </w:tcPr>
          <w:p w:rsidR="002D5713" w:rsidRPr="003532C8" w:rsidRDefault="002D5713" w:rsidP="004813E3">
            <w:pPr>
              <w:rPr>
                <w:rFonts w:cstheme="minorHAnsi"/>
              </w:rPr>
            </w:pPr>
          </w:p>
          <w:p w:rsidR="002D5713" w:rsidRPr="003532C8" w:rsidRDefault="002D5713" w:rsidP="004813E3">
            <w:pPr>
              <w:jc w:val="center"/>
              <w:rPr>
                <w:rFonts w:cstheme="minorHAnsi"/>
              </w:rPr>
            </w:pPr>
            <w:r w:rsidRPr="003532C8">
              <w:t>FPL</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2D5713" w:rsidRPr="003532C8" w:rsidRDefault="002D5713" w:rsidP="004813E3">
            <w:pPr>
              <w:jc w:val="center"/>
              <w:rPr>
                <w:rFonts w:cstheme="minorHAnsi"/>
              </w:rPr>
            </w:pPr>
            <w:r w:rsidRPr="003532C8">
              <w:rPr>
                <w:rFonts w:cstheme="minorHAnsi"/>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rsidR="002D5713" w:rsidRDefault="002D5713" w:rsidP="004813E3">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2D5713" w:rsidRDefault="002D5713" w:rsidP="004813E3">
            <w:pPr>
              <w:jc w:val="center"/>
            </w:pPr>
            <w:r>
              <w:t>ANOHR</w:t>
            </w:r>
          </w:p>
        </w:tc>
      </w:tr>
      <w:tr w:rsidR="002D5713" w:rsidTr="004813E3">
        <w:trPr>
          <w:cantSplit/>
          <w:tblHeader/>
        </w:trPr>
        <w:tc>
          <w:tcPr>
            <w:tcW w:w="900" w:type="dxa"/>
            <w:vMerge/>
            <w:tcBorders>
              <w:left w:val="single" w:sz="4" w:space="0" w:color="auto"/>
              <w:right w:val="single" w:sz="4" w:space="0" w:color="auto"/>
            </w:tcBorders>
            <w:vAlign w:val="center"/>
            <w:hideMark/>
          </w:tcPr>
          <w:p w:rsidR="002D5713" w:rsidRPr="003532C8" w:rsidRDefault="002D5713" w:rsidP="004813E3">
            <w:pPr>
              <w:jc w:val="center"/>
              <w:rPr>
                <w:rFonts w:cstheme="minorHAnsi"/>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2D5713" w:rsidRPr="003532C8" w:rsidRDefault="002D5713" w:rsidP="004813E3">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2D5713" w:rsidRDefault="002D5713" w:rsidP="004813E3">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2D5713" w:rsidRDefault="002D5713" w:rsidP="004813E3">
            <w:pPr>
              <w:jc w:val="center"/>
            </w:pPr>
            <w: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rsidR="002D5713" w:rsidRDefault="002D5713" w:rsidP="004813E3">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2D5713" w:rsidRDefault="002D5713" w:rsidP="004813E3">
            <w:pPr>
              <w:jc w:val="center"/>
            </w:pPr>
            <w:r>
              <w:t>Maximum</w:t>
            </w:r>
          </w:p>
        </w:tc>
      </w:tr>
      <w:tr w:rsidR="002D5713" w:rsidTr="004813E3">
        <w:trPr>
          <w:cantSplit/>
          <w:trHeight w:val="665"/>
          <w:tblHeader/>
        </w:trPr>
        <w:tc>
          <w:tcPr>
            <w:tcW w:w="900" w:type="dxa"/>
            <w:vMerge/>
            <w:tcBorders>
              <w:left w:val="single" w:sz="4" w:space="0" w:color="auto"/>
              <w:right w:val="single" w:sz="4" w:space="0" w:color="auto"/>
            </w:tcBorders>
            <w:vAlign w:val="center"/>
            <w:hideMark/>
          </w:tcPr>
          <w:p w:rsidR="002D5713" w:rsidRPr="003532C8" w:rsidRDefault="002D5713" w:rsidP="004813E3">
            <w:pPr>
              <w:jc w:val="center"/>
              <w:rPr>
                <w:rFonts w:cstheme="minorHAnsi"/>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2D5713" w:rsidRPr="003532C8" w:rsidRDefault="002D5713" w:rsidP="004813E3">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2D5713" w:rsidRDefault="002D5713" w:rsidP="004813E3">
            <w:pPr>
              <w:jc w:val="center"/>
            </w:pPr>
            <w:r>
              <w:t>EAF</w:t>
            </w:r>
          </w:p>
          <w:p w:rsidR="002D5713" w:rsidRDefault="002D5713" w:rsidP="004813E3">
            <w:pPr>
              <w:jc w:val="center"/>
            </w:pPr>
            <w:r>
              <w:t>( % )</w:t>
            </w:r>
          </w:p>
        </w:tc>
        <w:tc>
          <w:tcPr>
            <w:tcW w:w="900" w:type="dxa"/>
            <w:tcBorders>
              <w:top w:val="single" w:sz="4" w:space="0" w:color="auto"/>
              <w:left w:val="single" w:sz="4" w:space="0" w:color="auto"/>
              <w:bottom w:val="single" w:sz="4" w:space="0" w:color="auto"/>
              <w:right w:val="single" w:sz="4" w:space="0" w:color="auto"/>
            </w:tcBorders>
            <w:vAlign w:val="center"/>
            <w:hideMark/>
          </w:tcPr>
          <w:p w:rsidR="002D5713" w:rsidRDefault="002D5713" w:rsidP="004813E3">
            <w:pPr>
              <w:jc w:val="center"/>
            </w:pPr>
            <w:r>
              <w:t>EAF</w:t>
            </w:r>
          </w:p>
          <w:p w:rsidR="002D5713" w:rsidRDefault="002D5713" w:rsidP="004813E3">
            <w:pPr>
              <w:jc w:val="center"/>
            </w:pPr>
            <w:r>
              <w:t>( % )</w:t>
            </w:r>
          </w:p>
        </w:tc>
        <w:tc>
          <w:tcPr>
            <w:tcW w:w="1080" w:type="dxa"/>
            <w:tcBorders>
              <w:top w:val="single" w:sz="4" w:space="0" w:color="auto"/>
              <w:left w:val="single" w:sz="4" w:space="0" w:color="auto"/>
              <w:bottom w:val="single" w:sz="4" w:space="0" w:color="auto"/>
              <w:right w:val="single" w:sz="4" w:space="0" w:color="auto"/>
            </w:tcBorders>
            <w:vAlign w:val="center"/>
            <w:hideMark/>
          </w:tcPr>
          <w:p w:rsidR="002D5713" w:rsidRDefault="002D5713" w:rsidP="004813E3">
            <w:pPr>
              <w:jc w:val="center"/>
            </w:pPr>
            <w:r>
              <w:t>Savings</w:t>
            </w:r>
          </w:p>
          <w:p w:rsidR="002D5713" w:rsidRDefault="002D5713" w:rsidP="004813E3">
            <w:pPr>
              <w:jc w:val="center"/>
            </w:pPr>
            <w:r>
              <w:t>($000's)</w:t>
            </w:r>
          </w:p>
        </w:tc>
        <w:tc>
          <w:tcPr>
            <w:tcW w:w="1260" w:type="dxa"/>
            <w:tcBorders>
              <w:top w:val="single" w:sz="4" w:space="0" w:color="auto"/>
              <w:left w:val="single" w:sz="4" w:space="0" w:color="auto"/>
              <w:bottom w:val="single" w:sz="4" w:space="0" w:color="auto"/>
              <w:right w:val="single" w:sz="4" w:space="0" w:color="auto"/>
            </w:tcBorders>
            <w:vAlign w:val="center"/>
            <w:hideMark/>
          </w:tcPr>
          <w:p w:rsidR="002D5713" w:rsidRDefault="002D5713" w:rsidP="004813E3">
            <w:pPr>
              <w:jc w:val="center"/>
              <w:rPr>
                <w:sz w:val="22"/>
                <w:szCs w:val="22"/>
              </w:rPr>
            </w:pPr>
            <w:r>
              <w:rPr>
                <w:sz w:val="22"/>
                <w:szCs w:val="22"/>
              </w:rPr>
              <w:t>ANOHR</w:t>
            </w:r>
          </w:p>
          <w:p w:rsidR="002D5713" w:rsidRDefault="002D5713" w:rsidP="004813E3">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rsidR="002D5713" w:rsidRDefault="002D5713" w:rsidP="004813E3">
            <w:pPr>
              <w:jc w:val="center"/>
              <w:rPr>
                <w:sz w:val="22"/>
                <w:szCs w:val="22"/>
              </w:rPr>
            </w:pPr>
            <w:r>
              <w:rPr>
                <w:sz w:val="22"/>
                <w:szCs w:val="22"/>
              </w:rPr>
              <w:t>ANOHR</w:t>
            </w:r>
          </w:p>
          <w:p w:rsidR="002D5713" w:rsidRDefault="002D5713" w:rsidP="004813E3">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rsidR="002D5713" w:rsidRDefault="002D5713" w:rsidP="004813E3">
            <w:pPr>
              <w:jc w:val="center"/>
            </w:pPr>
            <w:r>
              <w:t>Savings</w:t>
            </w:r>
          </w:p>
          <w:p w:rsidR="002D5713" w:rsidRDefault="002D5713" w:rsidP="004813E3">
            <w:pPr>
              <w:jc w:val="center"/>
            </w:pPr>
            <w:r>
              <w:t>($000's)</w:t>
            </w:r>
          </w:p>
        </w:tc>
      </w:tr>
      <w:tr w:rsidR="002D5713" w:rsidTr="004813E3">
        <w:trPr>
          <w:trHeight w:val="300"/>
        </w:trPr>
        <w:tc>
          <w:tcPr>
            <w:tcW w:w="900" w:type="dxa"/>
            <w:vMerge/>
            <w:tcBorders>
              <w:left w:val="single" w:sz="4" w:space="0" w:color="auto"/>
              <w:right w:val="single" w:sz="4" w:space="0" w:color="auto"/>
            </w:tcBorders>
            <w:noWrap/>
            <w:vAlign w:val="center"/>
            <w:hideMark/>
          </w:tcPr>
          <w:p w:rsidR="002D5713" w:rsidRPr="003532C8" w:rsidRDefault="002D5713" w:rsidP="004813E3">
            <w:pPr>
              <w:jc w:val="cente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Canaveral 3</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83.4</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85.9</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469</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6,615</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6,737</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2,376</w:t>
            </w:r>
          </w:p>
        </w:tc>
      </w:tr>
      <w:tr w:rsidR="002D5713" w:rsidTr="004813E3">
        <w:trPr>
          <w:trHeight w:val="300"/>
        </w:trPr>
        <w:tc>
          <w:tcPr>
            <w:tcW w:w="900" w:type="dxa"/>
            <w:vMerge/>
            <w:tcBorders>
              <w:left w:val="single" w:sz="4" w:space="0" w:color="auto"/>
              <w:right w:val="single" w:sz="4" w:space="0" w:color="auto"/>
            </w:tcBorders>
            <w:vAlign w:val="center"/>
            <w:hideMark/>
          </w:tcPr>
          <w:p w:rsidR="002D5713" w:rsidRPr="003532C8" w:rsidRDefault="002D5713" w:rsidP="004813E3"/>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Manatee 3</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91.3</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93.8</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158</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6,880</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7,002</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1,264</w:t>
            </w:r>
          </w:p>
        </w:tc>
      </w:tr>
      <w:tr w:rsidR="002D5713" w:rsidTr="004813E3">
        <w:trPr>
          <w:trHeight w:val="300"/>
        </w:trPr>
        <w:tc>
          <w:tcPr>
            <w:tcW w:w="900" w:type="dxa"/>
            <w:vMerge/>
            <w:tcBorders>
              <w:left w:val="single" w:sz="4" w:space="0" w:color="auto"/>
              <w:right w:val="single" w:sz="4" w:space="0" w:color="auto"/>
            </w:tcBorders>
            <w:vAlign w:val="center"/>
            <w:hideMark/>
          </w:tcPr>
          <w:p w:rsidR="002D5713" w:rsidRPr="003532C8" w:rsidRDefault="002D5713" w:rsidP="004813E3"/>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Ft. Myers 2</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90.1</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92.6</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232</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7,342</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7,455</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2,277</w:t>
            </w:r>
          </w:p>
        </w:tc>
      </w:tr>
      <w:tr w:rsidR="002D5713" w:rsidTr="004813E3">
        <w:trPr>
          <w:trHeight w:val="300"/>
        </w:trPr>
        <w:tc>
          <w:tcPr>
            <w:tcW w:w="900" w:type="dxa"/>
            <w:vMerge/>
            <w:tcBorders>
              <w:left w:val="single" w:sz="4" w:space="0" w:color="auto"/>
              <w:right w:val="single" w:sz="4" w:space="0" w:color="auto"/>
            </w:tcBorders>
            <w:vAlign w:val="center"/>
            <w:hideMark/>
          </w:tcPr>
          <w:p w:rsidR="002D5713" w:rsidRPr="003532C8" w:rsidRDefault="002D5713" w:rsidP="004813E3"/>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Port Everglades 5</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81.8</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84.8</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822</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6,525</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6,695</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3,847</w:t>
            </w:r>
          </w:p>
        </w:tc>
      </w:tr>
      <w:tr w:rsidR="002D5713" w:rsidTr="004813E3">
        <w:trPr>
          <w:trHeight w:val="300"/>
        </w:trPr>
        <w:tc>
          <w:tcPr>
            <w:tcW w:w="900" w:type="dxa"/>
            <w:vMerge/>
            <w:tcBorders>
              <w:left w:val="single" w:sz="4" w:space="0" w:color="auto"/>
              <w:right w:val="single" w:sz="4" w:space="0" w:color="auto"/>
            </w:tcBorders>
            <w:vAlign w:val="center"/>
            <w:hideMark/>
          </w:tcPr>
          <w:p w:rsidR="002D5713" w:rsidRPr="003532C8" w:rsidRDefault="002D5713" w:rsidP="004813E3"/>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Riv</w:t>
            </w:r>
            <w:r>
              <w:t>ier</w:t>
            </w:r>
            <w:r w:rsidRPr="003532C8">
              <w:t>a 5</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84.7</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87.2</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446</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6,567</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6,684</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2,389</w:t>
            </w:r>
          </w:p>
        </w:tc>
      </w:tr>
      <w:tr w:rsidR="002D5713" w:rsidTr="004813E3">
        <w:trPr>
          <w:trHeight w:val="300"/>
        </w:trPr>
        <w:tc>
          <w:tcPr>
            <w:tcW w:w="900" w:type="dxa"/>
            <w:vMerge/>
            <w:tcBorders>
              <w:left w:val="single" w:sz="4" w:space="0" w:color="auto"/>
              <w:right w:val="single" w:sz="4" w:space="0" w:color="auto"/>
            </w:tcBorders>
            <w:vAlign w:val="center"/>
            <w:hideMark/>
          </w:tcPr>
          <w:p w:rsidR="002D5713" w:rsidRDefault="002D5713" w:rsidP="004813E3">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St. Lucie 1</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87.4</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90.9</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3,728</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10,421</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10,525</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413</w:t>
            </w:r>
          </w:p>
        </w:tc>
      </w:tr>
      <w:tr w:rsidR="002D5713" w:rsidTr="004813E3">
        <w:trPr>
          <w:trHeight w:val="300"/>
        </w:trPr>
        <w:tc>
          <w:tcPr>
            <w:tcW w:w="900" w:type="dxa"/>
            <w:vMerge/>
            <w:tcBorders>
              <w:left w:val="single" w:sz="4" w:space="0" w:color="auto"/>
              <w:right w:val="single" w:sz="4" w:space="0" w:color="auto"/>
            </w:tcBorders>
            <w:vAlign w:val="center"/>
            <w:hideMark/>
          </w:tcPr>
          <w:p w:rsidR="002D5713" w:rsidRDefault="002D5713" w:rsidP="004813E3">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St. Lucie 2</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85.7</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88.7</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2,576</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10,262</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10,355</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278</w:t>
            </w:r>
          </w:p>
        </w:tc>
      </w:tr>
      <w:tr w:rsidR="002D5713" w:rsidTr="004813E3">
        <w:trPr>
          <w:trHeight w:val="300"/>
        </w:trPr>
        <w:tc>
          <w:tcPr>
            <w:tcW w:w="900" w:type="dxa"/>
            <w:vMerge/>
            <w:tcBorders>
              <w:left w:val="single" w:sz="4" w:space="0" w:color="auto"/>
              <w:right w:val="single" w:sz="4" w:space="0" w:color="auto"/>
            </w:tcBorders>
            <w:vAlign w:val="center"/>
            <w:hideMark/>
          </w:tcPr>
          <w:p w:rsidR="002D5713" w:rsidRDefault="002D5713" w:rsidP="004813E3">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Turkey Point 3</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85.7</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88.7</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2,403</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11,228</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11,418</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661</w:t>
            </w:r>
          </w:p>
        </w:tc>
      </w:tr>
      <w:tr w:rsidR="002D5713" w:rsidTr="004813E3">
        <w:trPr>
          <w:trHeight w:val="300"/>
        </w:trPr>
        <w:tc>
          <w:tcPr>
            <w:tcW w:w="900" w:type="dxa"/>
            <w:vMerge/>
            <w:tcBorders>
              <w:left w:val="single" w:sz="4" w:space="0" w:color="auto"/>
              <w:right w:val="single" w:sz="4" w:space="0" w:color="auto"/>
            </w:tcBorders>
            <w:vAlign w:val="center"/>
            <w:hideMark/>
          </w:tcPr>
          <w:p w:rsidR="002D5713" w:rsidRDefault="002D5713" w:rsidP="004813E3">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Turkey Point 4</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82.7</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85.7</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2,250</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10,865</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11,035</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561</w:t>
            </w:r>
          </w:p>
        </w:tc>
      </w:tr>
      <w:tr w:rsidR="002D5713" w:rsidTr="004813E3">
        <w:trPr>
          <w:trHeight w:val="300"/>
        </w:trPr>
        <w:tc>
          <w:tcPr>
            <w:tcW w:w="900" w:type="dxa"/>
            <w:vMerge/>
            <w:tcBorders>
              <w:left w:val="single" w:sz="4" w:space="0" w:color="auto"/>
              <w:right w:val="single" w:sz="4" w:space="0" w:color="auto"/>
            </w:tcBorders>
            <w:vAlign w:val="center"/>
            <w:hideMark/>
          </w:tcPr>
          <w:p w:rsidR="002D5713" w:rsidRDefault="002D5713" w:rsidP="004813E3">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West County 1</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68.5</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71.0</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496</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7,060</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7,218</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2,532</w:t>
            </w:r>
          </w:p>
        </w:tc>
      </w:tr>
      <w:tr w:rsidR="002D5713" w:rsidTr="004813E3">
        <w:trPr>
          <w:trHeight w:val="300"/>
        </w:trPr>
        <w:tc>
          <w:tcPr>
            <w:tcW w:w="900" w:type="dxa"/>
            <w:vMerge/>
            <w:tcBorders>
              <w:left w:val="single" w:sz="4" w:space="0" w:color="auto"/>
              <w:right w:val="single" w:sz="4" w:space="0" w:color="auto"/>
            </w:tcBorders>
            <w:vAlign w:val="center"/>
            <w:hideMark/>
          </w:tcPr>
          <w:p w:rsidR="002D5713" w:rsidRDefault="002D5713" w:rsidP="004813E3">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West County 2</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90.2</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92.7</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614</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6,918</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7,064</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3,126</w:t>
            </w:r>
          </w:p>
        </w:tc>
      </w:tr>
      <w:tr w:rsidR="002D5713" w:rsidTr="004813E3">
        <w:trPr>
          <w:trHeight w:val="260"/>
        </w:trPr>
        <w:tc>
          <w:tcPr>
            <w:tcW w:w="900" w:type="dxa"/>
            <w:vMerge/>
            <w:tcBorders>
              <w:left w:val="single" w:sz="4" w:space="0" w:color="auto"/>
              <w:right w:val="single" w:sz="4" w:space="0" w:color="auto"/>
            </w:tcBorders>
            <w:vAlign w:val="center"/>
            <w:hideMark/>
          </w:tcPr>
          <w:p w:rsidR="002D5713" w:rsidRDefault="002D5713" w:rsidP="004813E3">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West County 3</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85.3</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88.3</w:t>
            </w: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608</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6,921</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7,084</w:t>
            </w: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3,274</w:t>
            </w:r>
          </w:p>
        </w:tc>
      </w:tr>
      <w:tr w:rsidR="002D5713" w:rsidTr="004813E3">
        <w:trPr>
          <w:trHeight w:val="260"/>
        </w:trPr>
        <w:tc>
          <w:tcPr>
            <w:tcW w:w="900" w:type="dxa"/>
            <w:vMerge/>
            <w:tcBorders>
              <w:left w:val="single" w:sz="4" w:space="0" w:color="auto"/>
              <w:bottom w:val="single" w:sz="4" w:space="0" w:color="auto"/>
              <w:right w:val="single" w:sz="4" w:space="0" w:color="auto"/>
            </w:tcBorders>
            <w:vAlign w:val="center"/>
            <w:hideMark/>
          </w:tcPr>
          <w:p w:rsidR="002D5713" w:rsidRDefault="002D5713" w:rsidP="004813E3">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Total</w:t>
            </w: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14,802</w:t>
            </w: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rPr>
                <w:sz w:val="22"/>
                <w:szCs w:val="22"/>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22,998</w:t>
            </w:r>
          </w:p>
        </w:tc>
      </w:tr>
    </w:tbl>
    <w:p w:rsidR="002D5713" w:rsidRDefault="002D5713" w:rsidP="002D5713">
      <w:r>
        <w:t xml:space="preserve">    </w:t>
      </w:r>
      <w:r w:rsidRPr="00350B17">
        <w:t>Source: GPIF Target and Range Summary (Exhibit CRR-2, Pages 6-7 of 34).</w:t>
      </w:r>
    </w:p>
    <w:p w:rsidR="002D5713" w:rsidRDefault="002D5713" w:rsidP="002D5713">
      <w:pPr>
        <w:tabs>
          <w:tab w:val="left" w:pos="8571"/>
        </w:tabs>
        <w:autoSpaceDE w:val="0"/>
        <w:autoSpaceDN w:val="0"/>
        <w:adjustRightInd w:val="0"/>
        <w:jc w:val="both"/>
        <w:rPr>
          <w:bCs/>
        </w:rPr>
      </w:pPr>
    </w:p>
    <w:p w:rsidR="002D5713" w:rsidRDefault="002D5713" w:rsidP="002D5713">
      <w:pPr>
        <w:tabs>
          <w:tab w:val="left" w:pos="8571"/>
        </w:tabs>
        <w:autoSpaceDE w:val="0"/>
        <w:autoSpaceDN w:val="0"/>
        <w:adjustRightInd w:val="0"/>
        <w:jc w:val="both"/>
        <w:rPr>
          <w:bCs/>
        </w:rPr>
      </w:pPr>
      <w:r w:rsidRPr="00F740AF">
        <w:rPr>
          <w:b/>
          <w:bCs/>
        </w:rPr>
        <w:t xml:space="preserve">Gulf: </w:t>
      </w:r>
      <w:r>
        <w:rPr>
          <w:bCs/>
        </w:rPr>
        <w:t xml:space="preserve">               See Table 17-3 below:</w:t>
      </w:r>
    </w:p>
    <w:p w:rsidR="002D5713" w:rsidRDefault="002D5713" w:rsidP="002D5713">
      <w:pPr>
        <w:jc w:val="center"/>
        <w:rPr>
          <w:bCs/>
        </w:rPr>
      </w:pPr>
    </w:p>
    <w:p w:rsidR="002D5713" w:rsidRDefault="002D5713" w:rsidP="002D5713">
      <w:pPr>
        <w:jc w:val="center"/>
        <w:rPr>
          <w:rFonts w:ascii="Arial" w:hAnsi="Arial" w:cs="Arial"/>
          <w:b/>
        </w:rPr>
      </w:pPr>
      <w:r>
        <w:rPr>
          <w:rFonts w:ascii="Arial" w:hAnsi="Arial" w:cs="Arial"/>
          <w:b/>
        </w:rPr>
        <w:t>Table 17-3</w:t>
      </w:r>
    </w:p>
    <w:p w:rsidR="002D5713" w:rsidRDefault="002D5713" w:rsidP="002D5713">
      <w:pPr>
        <w:jc w:val="center"/>
        <w:rPr>
          <w:rFonts w:ascii="Arial" w:hAnsi="Arial" w:cs="Arial"/>
          <w:b/>
        </w:rPr>
      </w:pPr>
      <w:r>
        <w:rPr>
          <w:rFonts w:ascii="Arial" w:hAnsi="Arial" w:cs="Arial"/>
          <w:b/>
        </w:rPr>
        <w:t>GPIF Targets/Ranges for the period January-December, 2020</w:t>
      </w:r>
    </w:p>
    <w:tbl>
      <w:tblPr>
        <w:tblW w:w="9381" w:type="dxa"/>
        <w:tblInd w:w="93" w:type="dxa"/>
        <w:tblLook w:val="04A0" w:firstRow="1" w:lastRow="0" w:firstColumn="1" w:lastColumn="0" w:noHBand="0" w:noVBand="1"/>
      </w:tblPr>
      <w:tblGrid>
        <w:gridCol w:w="952"/>
        <w:gridCol w:w="1472"/>
        <w:gridCol w:w="843"/>
        <w:gridCol w:w="739"/>
        <w:gridCol w:w="1167"/>
        <w:gridCol w:w="1243"/>
        <w:gridCol w:w="1243"/>
        <w:gridCol w:w="1722"/>
      </w:tblGrid>
      <w:tr w:rsidR="002D5713" w:rsidRPr="00AA7E8B" w:rsidTr="004813E3">
        <w:trPr>
          <w:trHeight w:val="330"/>
        </w:trPr>
        <w:tc>
          <w:tcPr>
            <w:tcW w:w="95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D5713" w:rsidRPr="00AA7E8B" w:rsidRDefault="002D5713" w:rsidP="004813E3">
            <w:pPr>
              <w:jc w:val="center"/>
              <w:rPr>
                <w:color w:val="000000"/>
              </w:rPr>
            </w:pPr>
            <w:r>
              <w:rPr>
                <w:rFonts w:cstheme="minorHAnsi"/>
                <w:color w:val="000000"/>
              </w:rPr>
              <w:t>GULF</w:t>
            </w:r>
          </w:p>
        </w:tc>
        <w:tc>
          <w:tcPr>
            <w:tcW w:w="147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rFonts w:cstheme="minorHAnsi"/>
                <w:color w:val="000000"/>
              </w:rPr>
              <w:t>Plant/Unit</w:t>
            </w:r>
          </w:p>
        </w:tc>
        <w:tc>
          <w:tcPr>
            <w:tcW w:w="274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D5713" w:rsidRPr="00AA7E8B" w:rsidRDefault="002D5713" w:rsidP="004813E3">
            <w:pPr>
              <w:jc w:val="center"/>
              <w:rPr>
                <w:color w:val="000000"/>
              </w:rPr>
            </w:pPr>
            <w:r w:rsidRPr="00AA7E8B">
              <w:rPr>
                <w:color w:val="000000"/>
              </w:rPr>
              <w:t>EAF</w:t>
            </w:r>
          </w:p>
        </w:tc>
        <w:tc>
          <w:tcPr>
            <w:tcW w:w="420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D5713" w:rsidRPr="00AA7E8B" w:rsidRDefault="002D5713" w:rsidP="004813E3">
            <w:pPr>
              <w:jc w:val="center"/>
              <w:rPr>
                <w:color w:val="000000"/>
              </w:rPr>
            </w:pPr>
            <w:r w:rsidRPr="00AA7E8B">
              <w:rPr>
                <w:color w:val="000000"/>
              </w:rPr>
              <w:t>ANOHR</w:t>
            </w:r>
          </w:p>
        </w:tc>
      </w:tr>
      <w:tr w:rsidR="002D5713" w:rsidRPr="00AA7E8B" w:rsidTr="004813E3">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147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8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Target</w:t>
            </w:r>
          </w:p>
        </w:tc>
        <w:tc>
          <w:tcPr>
            <w:tcW w:w="190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2D5713" w:rsidRPr="00AA7E8B" w:rsidRDefault="002D5713" w:rsidP="004813E3">
            <w:pPr>
              <w:jc w:val="center"/>
              <w:rPr>
                <w:color w:val="000000"/>
              </w:rPr>
            </w:pPr>
            <w:r w:rsidRPr="00AA7E8B">
              <w:rPr>
                <w:color w:val="000000"/>
              </w:rPr>
              <w:t>Maximum</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Target</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rPr>
                <w:color w:val="000000"/>
              </w:rPr>
            </w:pPr>
            <w:r w:rsidRPr="00AA7E8B">
              <w:rPr>
                <w:color w:val="000000"/>
              </w:rPr>
              <w:t>Minimum</w:t>
            </w:r>
          </w:p>
        </w:tc>
        <w:tc>
          <w:tcPr>
            <w:tcW w:w="172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Maximum</w:t>
            </w:r>
          </w:p>
        </w:tc>
      </w:tr>
      <w:tr w:rsidR="002D5713" w:rsidRPr="00AA7E8B" w:rsidTr="004813E3">
        <w:trPr>
          <w:trHeight w:val="315"/>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147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843" w:type="dxa"/>
            <w:tcBorders>
              <w:top w:val="nil"/>
              <w:left w:val="nil"/>
              <w:bottom w:val="nil"/>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EAF</w:t>
            </w:r>
          </w:p>
        </w:tc>
        <w:tc>
          <w:tcPr>
            <w:tcW w:w="739" w:type="dxa"/>
            <w:tcBorders>
              <w:top w:val="nil"/>
              <w:left w:val="nil"/>
              <w:bottom w:val="nil"/>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EAF</w:t>
            </w:r>
          </w:p>
        </w:tc>
        <w:tc>
          <w:tcPr>
            <w:tcW w:w="1167" w:type="dxa"/>
            <w:tcBorders>
              <w:top w:val="nil"/>
              <w:left w:val="nil"/>
              <w:bottom w:val="nil"/>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Savings</w:t>
            </w:r>
          </w:p>
        </w:tc>
        <w:tc>
          <w:tcPr>
            <w:tcW w:w="1243" w:type="dxa"/>
            <w:tcBorders>
              <w:top w:val="nil"/>
              <w:left w:val="nil"/>
              <w:bottom w:val="nil"/>
              <w:right w:val="single" w:sz="8" w:space="0" w:color="auto"/>
            </w:tcBorders>
            <w:shd w:val="clear" w:color="auto" w:fill="auto"/>
            <w:noWrap/>
            <w:vAlign w:val="center"/>
            <w:hideMark/>
          </w:tcPr>
          <w:p w:rsidR="002D5713" w:rsidRPr="00AA7E8B" w:rsidRDefault="002D5713" w:rsidP="004813E3">
            <w:pPr>
              <w:jc w:val="center"/>
              <w:rPr>
                <w:color w:val="000000"/>
                <w:sz w:val="22"/>
                <w:szCs w:val="22"/>
              </w:rPr>
            </w:pPr>
            <w:r w:rsidRPr="00AA7E8B">
              <w:rPr>
                <w:color w:val="000000"/>
                <w:sz w:val="22"/>
                <w:szCs w:val="22"/>
              </w:rPr>
              <w:t>ANOHR</w:t>
            </w:r>
          </w:p>
        </w:tc>
        <w:tc>
          <w:tcPr>
            <w:tcW w:w="1243" w:type="dxa"/>
            <w:tcBorders>
              <w:top w:val="nil"/>
              <w:left w:val="nil"/>
              <w:bottom w:val="nil"/>
              <w:right w:val="single" w:sz="8" w:space="0" w:color="auto"/>
            </w:tcBorders>
            <w:shd w:val="clear" w:color="auto" w:fill="auto"/>
            <w:noWrap/>
            <w:vAlign w:val="center"/>
            <w:hideMark/>
          </w:tcPr>
          <w:p w:rsidR="002D5713" w:rsidRPr="00AA7E8B" w:rsidRDefault="002D5713" w:rsidP="004813E3">
            <w:pPr>
              <w:jc w:val="center"/>
              <w:rPr>
                <w:color w:val="000000"/>
                <w:sz w:val="22"/>
                <w:szCs w:val="22"/>
              </w:rPr>
            </w:pPr>
            <w:r w:rsidRPr="00AA7E8B">
              <w:rPr>
                <w:color w:val="000000"/>
                <w:sz w:val="22"/>
                <w:szCs w:val="22"/>
              </w:rPr>
              <w:t>ANOHR</w:t>
            </w:r>
          </w:p>
        </w:tc>
        <w:tc>
          <w:tcPr>
            <w:tcW w:w="1722" w:type="dxa"/>
            <w:tcBorders>
              <w:top w:val="nil"/>
              <w:left w:val="nil"/>
              <w:bottom w:val="nil"/>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Savings</w:t>
            </w:r>
          </w:p>
        </w:tc>
      </w:tr>
      <w:tr w:rsidR="002D5713" w:rsidRPr="00AA7E8B" w:rsidTr="004813E3">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147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8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 % )</w:t>
            </w:r>
          </w:p>
        </w:tc>
        <w:tc>
          <w:tcPr>
            <w:tcW w:w="739"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 % )</w:t>
            </w:r>
          </w:p>
        </w:tc>
        <w:tc>
          <w:tcPr>
            <w:tcW w:w="1167"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rPr>
                <w:color w:val="000000"/>
              </w:rPr>
            </w:pPr>
            <w:r w:rsidRPr="00AA7E8B">
              <w:rPr>
                <w:color w:val="000000"/>
              </w:rPr>
              <w:t>($000's)</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sz w:val="22"/>
                <w:szCs w:val="22"/>
              </w:rPr>
            </w:pPr>
            <w:r w:rsidRPr="00AA7E8B">
              <w:rPr>
                <w:color w:val="000000"/>
                <w:sz w:val="22"/>
                <w:szCs w:val="22"/>
              </w:rPr>
              <w:t>BTU/KWH</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sz w:val="22"/>
                <w:szCs w:val="22"/>
              </w:rPr>
            </w:pPr>
            <w:r w:rsidRPr="00AA7E8B">
              <w:rPr>
                <w:color w:val="000000"/>
                <w:sz w:val="22"/>
                <w:szCs w:val="22"/>
              </w:rPr>
              <w:t>BTU/KWH</w:t>
            </w:r>
          </w:p>
        </w:tc>
        <w:tc>
          <w:tcPr>
            <w:tcW w:w="172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($000's)</w:t>
            </w:r>
          </w:p>
        </w:tc>
      </w:tr>
      <w:tr w:rsidR="002D5713" w:rsidRPr="00AA7E8B" w:rsidTr="004813E3">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147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Scherer 3</w:t>
            </w:r>
          </w:p>
        </w:tc>
        <w:tc>
          <w:tcPr>
            <w:tcW w:w="8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96.8</w:t>
            </w:r>
          </w:p>
        </w:tc>
        <w:tc>
          <w:tcPr>
            <w:tcW w:w="739"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97.8</w:t>
            </w:r>
          </w:p>
        </w:tc>
        <w:tc>
          <w:tcPr>
            <w:tcW w:w="1167"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23</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10,616</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10,298</w:t>
            </w:r>
          </w:p>
        </w:tc>
        <w:tc>
          <w:tcPr>
            <w:tcW w:w="172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1,211</w:t>
            </w:r>
          </w:p>
        </w:tc>
      </w:tr>
      <w:tr w:rsidR="002D5713" w:rsidRPr="00AA7E8B" w:rsidTr="004813E3">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147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Crist 7</w:t>
            </w:r>
          </w:p>
        </w:tc>
        <w:tc>
          <w:tcPr>
            <w:tcW w:w="8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78.4</w:t>
            </w:r>
          </w:p>
        </w:tc>
        <w:tc>
          <w:tcPr>
            <w:tcW w:w="739"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80.9</w:t>
            </w:r>
          </w:p>
        </w:tc>
        <w:tc>
          <w:tcPr>
            <w:tcW w:w="1167"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4</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10,584</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10,266</w:t>
            </w:r>
          </w:p>
        </w:tc>
        <w:tc>
          <w:tcPr>
            <w:tcW w:w="172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365</w:t>
            </w:r>
          </w:p>
        </w:tc>
      </w:tr>
      <w:tr w:rsidR="002D5713" w:rsidRPr="00AA7E8B" w:rsidTr="004813E3">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147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Daniel 1</w:t>
            </w:r>
          </w:p>
        </w:tc>
        <w:tc>
          <w:tcPr>
            <w:tcW w:w="8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70.9</w:t>
            </w:r>
          </w:p>
        </w:tc>
        <w:tc>
          <w:tcPr>
            <w:tcW w:w="739"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73.8</w:t>
            </w:r>
          </w:p>
        </w:tc>
        <w:tc>
          <w:tcPr>
            <w:tcW w:w="1167"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1</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11,404</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11,062</w:t>
            </w:r>
          </w:p>
        </w:tc>
        <w:tc>
          <w:tcPr>
            <w:tcW w:w="172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64</w:t>
            </w:r>
          </w:p>
        </w:tc>
      </w:tr>
      <w:tr w:rsidR="002D5713" w:rsidRPr="00AA7E8B" w:rsidTr="004813E3">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147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Daniel 2</w:t>
            </w:r>
          </w:p>
        </w:tc>
        <w:tc>
          <w:tcPr>
            <w:tcW w:w="8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84.7</w:t>
            </w:r>
          </w:p>
        </w:tc>
        <w:tc>
          <w:tcPr>
            <w:tcW w:w="739"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86.5</w:t>
            </w:r>
          </w:p>
        </w:tc>
        <w:tc>
          <w:tcPr>
            <w:tcW w:w="1167"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3</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11,057</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10,725</w:t>
            </w:r>
          </w:p>
        </w:tc>
        <w:tc>
          <w:tcPr>
            <w:tcW w:w="172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164</w:t>
            </w:r>
          </w:p>
        </w:tc>
      </w:tr>
      <w:tr w:rsidR="002D5713" w:rsidRPr="00AA7E8B" w:rsidTr="004813E3">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147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Smith 3</w:t>
            </w:r>
          </w:p>
        </w:tc>
        <w:tc>
          <w:tcPr>
            <w:tcW w:w="8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89.9</w:t>
            </w:r>
          </w:p>
        </w:tc>
        <w:tc>
          <w:tcPr>
            <w:tcW w:w="739"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90.8</w:t>
            </w:r>
          </w:p>
        </w:tc>
        <w:tc>
          <w:tcPr>
            <w:tcW w:w="1167"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66</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6,900</w:t>
            </w:r>
          </w:p>
        </w:tc>
        <w:tc>
          <w:tcPr>
            <w:tcW w:w="1243"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6,693</w:t>
            </w:r>
          </w:p>
        </w:tc>
        <w:tc>
          <w:tcPr>
            <w:tcW w:w="172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3,011</w:t>
            </w:r>
          </w:p>
        </w:tc>
      </w:tr>
      <w:tr w:rsidR="002D5713" w:rsidRPr="00AA7E8B" w:rsidTr="004813E3">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2D5713" w:rsidRPr="00AA7E8B" w:rsidRDefault="002D5713" w:rsidP="004813E3">
            <w:pPr>
              <w:rPr>
                <w:color w:val="000000"/>
              </w:rPr>
            </w:pPr>
          </w:p>
        </w:tc>
        <w:tc>
          <w:tcPr>
            <w:tcW w:w="305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D5713" w:rsidRPr="00AA7E8B" w:rsidRDefault="002D5713" w:rsidP="004813E3">
            <w:pPr>
              <w:rPr>
                <w:color w:val="000000"/>
              </w:rPr>
            </w:pPr>
            <w:r w:rsidRPr="00AA7E8B">
              <w:rPr>
                <w:color w:val="000000"/>
              </w:rPr>
              <w:t xml:space="preserve">             Total</w:t>
            </w:r>
          </w:p>
        </w:tc>
        <w:tc>
          <w:tcPr>
            <w:tcW w:w="1167"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97</w:t>
            </w:r>
          </w:p>
        </w:tc>
        <w:tc>
          <w:tcPr>
            <w:tcW w:w="2486" w:type="dxa"/>
            <w:gridSpan w:val="2"/>
            <w:tcBorders>
              <w:top w:val="single" w:sz="8" w:space="0" w:color="auto"/>
              <w:left w:val="nil"/>
              <w:bottom w:val="single" w:sz="8" w:space="0" w:color="auto"/>
              <w:right w:val="single" w:sz="8" w:space="0" w:color="000000"/>
            </w:tcBorders>
            <w:shd w:val="clear" w:color="auto" w:fill="auto"/>
            <w:noWrap/>
            <w:hideMark/>
          </w:tcPr>
          <w:p w:rsidR="002D5713" w:rsidRPr="00AA7E8B" w:rsidRDefault="002D5713" w:rsidP="004813E3">
            <w:pPr>
              <w:rPr>
                <w:color w:val="000000"/>
                <w:sz w:val="22"/>
                <w:szCs w:val="22"/>
              </w:rPr>
            </w:pPr>
            <w:r w:rsidRPr="00AA7E8B">
              <w:rPr>
                <w:color w:val="000000"/>
                <w:sz w:val="22"/>
                <w:szCs w:val="22"/>
              </w:rPr>
              <w:t> </w:t>
            </w:r>
          </w:p>
        </w:tc>
        <w:tc>
          <w:tcPr>
            <w:tcW w:w="1722" w:type="dxa"/>
            <w:tcBorders>
              <w:top w:val="nil"/>
              <w:left w:val="nil"/>
              <w:bottom w:val="single" w:sz="8" w:space="0" w:color="auto"/>
              <w:right w:val="single" w:sz="8" w:space="0" w:color="auto"/>
            </w:tcBorders>
            <w:shd w:val="clear" w:color="auto" w:fill="auto"/>
            <w:noWrap/>
            <w:vAlign w:val="center"/>
            <w:hideMark/>
          </w:tcPr>
          <w:p w:rsidR="002D5713" w:rsidRPr="00AA7E8B" w:rsidRDefault="002D5713" w:rsidP="004813E3">
            <w:pPr>
              <w:jc w:val="center"/>
              <w:rPr>
                <w:color w:val="000000"/>
              </w:rPr>
            </w:pPr>
            <w:r w:rsidRPr="00AA7E8B">
              <w:rPr>
                <w:color w:val="000000"/>
              </w:rPr>
              <w:t>4,815</w:t>
            </w:r>
          </w:p>
        </w:tc>
      </w:tr>
    </w:tbl>
    <w:p w:rsidR="002D5713" w:rsidRPr="003532C8" w:rsidRDefault="002D5713" w:rsidP="002D5713">
      <w:r w:rsidRPr="003532C8">
        <w:t xml:space="preserve">    Source: GPIF Unit Performance Summary (Exhibit CLN-2, Schedule 3, Page 41 of 64).</w:t>
      </w:r>
    </w:p>
    <w:p w:rsidR="002D5713" w:rsidRPr="003532C8" w:rsidRDefault="002D5713" w:rsidP="002D5713"/>
    <w:p w:rsidR="002D5713" w:rsidRDefault="002D5713" w:rsidP="002D5713">
      <w:pPr>
        <w:rPr>
          <w:bCs/>
        </w:rPr>
      </w:pPr>
      <w:r>
        <w:rPr>
          <w:bCs/>
        </w:rPr>
        <w:br w:type="page"/>
      </w:r>
      <w:r w:rsidRPr="00F740AF">
        <w:rPr>
          <w:b/>
          <w:bCs/>
        </w:rPr>
        <w:lastRenderedPageBreak/>
        <w:t xml:space="preserve">TECO:  </w:t>
      </w:r>
      <w:r>
        <w:rPr>
          <w:bCs/>
        </w:rPr>
        <w:t xml:space="preserve">           See Table 17-4 below:</w:t>
      </w:r>
    </w:p>
    <w:p w:rsidR="002D5713" w:rsidRPr="003532C8" w:rsidRDefault="002D5713" w:rsidP="002D5713"/>
    <w:p w:rsidR="002D5713" w:rsidRPr="003532C8" w:rsidRDefault="002D5713" w:rsidP="002D5713">
      <w:pPr>
        <w:jc w:val="center"/>
        <w:rPr>
          <w:rFonts w:ascii="Arial" w:hAnsi="Arial" w:cs="Arial"/>
          <w:b/>
        </w:rPr>
      </w:pPr>
      <w:r w:rsidRPr="003532C8">
        <w:rPr>
          <w:rFonts w:ascii="Arial" w:hAnsi="Arial" w:cs="Arial"/>
          <w:b/>
        </w:rPr>
        <w:t>Table 17-4</w:t>
      </w:r>
    </w:p>
    <w:p w:rsidR="002D5713" w:rsidRPr="003532C8" w:rsidRDefault="002D5713" w:rsidP="002D5713">
      <w:pPr>
        <w:jc w:val="center"/>
      </w:pPr>
      <w:r w:rsidRPr="003532C8">
        <w:rPr>
          <w:rFonts w:ascii="Arial" w:hAnsi="Arial" w:cs="Arial"/>
          <w:b/>
        </w:rPr>
        <w:t>GPIF Targets/Ranges for the period January-December, 2020</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2D5713" w:rsidRPr="003532C8" w:rsidTr="004813E3">
        <w:trPr>
          <w:trHeight w:val="300"/>
        </w:trPr>
        <w:tc>
          <w:tcPr>
            <w:tcW w:w="1170" w:type="dxa"/>
            <w:vMerge w:val="restart"/>
            <w:tcBorders>
              <w:top w:val="single" w:sz="4" w:space="0" w:color="auto"/>
              <w:left w:val="single" w:sz="4" w:space="0" w:color="auto"/>
              <w:right w:val="single" w:sz="4" w:space="0" w:color="auto"/>
            </w:tcBorders>
            <w:noWrap/>
            <w:vAlign w:val="center"/>
          </w:tcPr>
          <w:p w:rsidR="002D5713" w:rsidRPr="003532C8" w:rsidRDefault="002D5713" w:rsidP="004813E3">
            <w:pPr>
              <w:jc w:val="center"/>
            </w:pPr>
            <w:r w:rsidRPr="003532C8">
              <w:t>TECO</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2D5713" w:rsidRPr="003532C8" w:rsidRDefault="002D5713" w:rsidP="004813E3">
            <w:pPr>
              <w:jc w:val="center"/>
            </w:pPr>
            <w:r w:rsidRPr="003532C8">
              <w:t>Plant/Unit</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Maximum</w:t>
            </w:r>
          </w:p>
        </w:tc>
      </w:tr>
      <w:tr w:rsidR="002D5713" w:rsidRPr="003532C8" w:rsidTr="004813E3">
        <w:trPr>
          <w:trHeight w:val="610"/>
        </w:trPr>
        <w:tc>
          <w:tcPr>
            <w:tcW w:w="1170" w:type="dxa"/>
            <w:vMerge/>
            <w:tcBorders>
              <w:left w:val="single" w:sz="4" w:space="0" w:color="auto"/>
              <w:right w:val="single" w:sz="4" w:space="0" w:color="auto"/>
            </w:tcBorders>
            <w:vAlign w:val="center"/>
            <w:hideMark/>
          </w:tcPr>
          <w:p w:rsidR="002D5713" w:rsidRPr="003532C8" w:rsidRDefault="002D5713" w:rsidP="004813E3">
            <w:pPr>
              <w:jc w:val="cente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D5713" w:rsidRPr="003532C8" w:rsidRDefault="002D5713" w:rsidP="004813E3"/>
        </w:tc>
        <w:tc>
          <w:tcPr>
            <w:tcW w:w="90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EAF</w:t>
            </w:r>
          </w:p>
          <w:p w:rsidR="002D5713" w:rsidRPr="003532C8" w:rsidRDefault="002D5713" w:rsidP="004813E3">
            <w:pPr>
              <w:jc w:val="center"/>
            </w:pPr>
            <w:r w:rsidRPr="003532C8">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EAF</w:t>
            </w:r>
          </w:p>
          <w:p w:rsidR="002D5713" w:rsidRPr="003532C8" w:rsidRDefault="002D5713" w:rsidP="004813E3">
            <w:pPr>
              <w:jc w:val="center"/>
            </w:pPr>
            <w:r w:rsidRPr="003532C8">
              <w:t>( % )</w:t>
            </w:r>
          </w:p>
        </w:tc>
        <w:tc>
          <w:tcPr>
            <w:tcW w:w="1080" w:type="dxa"/>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jc w:val="center"/>
            </w:pPr>
            <w:r w:rsidRPr="003532C8">
              <w:t>Savings</w:t>
            </w:r>
          </w:p>
          <w:p w:rsidR="002D5713" w:rsidRPr="003532C8" w:rsidRDefault="002D5713" w:rsidP="004813E3">
            <w:r w:rsidRPr="003532C8">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rPr>
                <w:sz w:val="22"/>
                <w:szCs w:val="22"/>
              </w:rPr>
            </w:pPr>
            <w:r w:rsidRPr="003532C8">
              <w:rPr>
                <w:sz w:val="22"/>
                <w:szCs w:val="22"/>
              </w:rPr>
              <w:t>ANOHR</w:t>
            </w:r>
          </w:p>
          <w:p w:rsidR="002D5713" w:rsidRPr="003532C8" w:rsidRDefault="002D5713" w:rsidP="004813E3">
            <w:pPr>
              <w:jc w:val="center"/>
              <w:rPr>
                <w:sz w:val="22"/>
                <w:szCs w:val="22"/>
              </w:rPr>
            </w:pPr>
            <w:r w:rsidRPr="003532C8">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rPr>
                <w:sz w:val="22"/>
                <w:szCs w:val="22"/>
              </w:rPr>
            </w:pPr>
            <w:r w:rsidRPr="003532C8">
              <w:rPr>
                <w:sz w:val="22"/>
                <w:szCs w:val="22"/>
              </w:rPr>
              <w:t>ANOHR</w:t>
            </w:r>
          </w:p>
          <w:p w:rsidR="002D5713" w:rsidRPr="003532C8" w:rsidRDefault="002D5713" w:rsidP="004813E3">
            <w:pPr>
              <w:jc w:val="center"/>
              <w:rPr>
                <w:sz w:val="22"/>
                <w:szCs w:val="22"/>
              </w:rPr>
            </w:pPr>
            <w:r w:rsidRPr="003532C8">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D5713" w:rsidRPr="003532C8" w:rsidRDefault="002D5713" w:rsidP="004813E3">
            <w:pPr>
              <w:jc w:val="center"/>
            </w:pPr>
            <w:r w:rsidRPr="003532C8">
              <w:t>Savings</w:t>
            </w:r>
          </w:p>
          <w:p w:rsidR="002D5713" w:rsidRPr="003532C8" w:rsidRDefault="002D5713" w:rsidP="004813E3">
            <w:pPr>
              <w:jc w:val="center"/>
            </w:pPr>
            <w:r w:rsidRPr="003532C8">
              <w:t>($000's)</w:t>
            </w:r>
          </w:p>
        </w:tc>
      </w:tr>
      <w:tr w:rsidR="002D5713" w:rsidRPr="003532C8" w:rsidTr="004813E3">
        <w:trPr>
          <w:trHeight w:val="300"/>
        </w:trPr>
        <w:tc>
          <w:tcPr>
            <w:tcW w:w="1170" w:type="dxa"/>
            <w:vMerge/>
            <w:tcBorders>
              <w:left w:val="single" w:sz="4" w:space="0" w:color="auto"/>
              <w:right w:val="single" w:sz="4" w:space="0" w:color="auto"/>
            </w:tcBorders>
            <w:vAlign w:val="center"/>
            <w:hideMark/>
          </w:tcPr>
          <w:p w:rsidR="002D5713" w:rsidRPr="003532C8" w:rsidRDefault="002D5713" w:rsidP="004813E3"/>
        </w:tc>
        <w:tc>
          <w:tcPr>
            <w:tcW w:w="1440" w:type="dxa"/>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jc w:val="center"/>
              <w:rPr>
                <w:rFonts w:cstheme="minorHAnsi"/>
              </w:rPr>
            </w:pPr>
            <w:r w:rsidRPr="003532C8">
              <w:rPr>
                <w:rFonts w:cstheme="minorHAnsi"/>
              </w:rPr>
              <w:t>Big Bend 4</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55.4</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61.0</w:t>
            </w: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301.8</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10,837</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11,264</w:t>
            </w: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 xml:space="preserve"> 956.4 </w:t>
            </w:r>
          </w:p>
        </w:tc>
      </w:tr>
      <w:tr w:rsidR="002D5713" w:rsidRPr="003532C8" w:rsidTr="004813E3">
        <w:trPr>
          <w:trHeight w:val="300"/>
        </w:trPr>
        <w:tc>
          <w:tcPr>
            <w:tcW w:w="1170" w:type="dxa"/>
            <w:vMerge/>
            <w:tcBorders>
              <w:left w:val="single" w:sz="4" w:space="0" w:color="auto"/>
              <w:right w:val="single" w:sz="4" w:space="0" w:color="auto"/>
            </w:tcBorders>
            <w:vAlign w:val="center"/>
          </w:tcPr>
          <w:p w:rsidR="002D5713" w:rsidRPr="003532C8" w:rsidRDefault="002D5713" w:rsidP="004813E3"/>
        </w:tc>
        <w:tc>
          <w:tcPr>
            <w:tcW w:w="144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center"/>
            </w:pPr>
            <w:r w:rsidRPr="003532C8">
              <w:t>Polk 1</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75.5</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79.1</w:t>
            </w: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680.0</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10,018</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11,429</w:t>
            </w: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 xml:space="preserve"> 2,408.6 </w:t>
            </w:r>
          </w:p>
        </w:tc>
      </w:tr>
      <w:tr w:rsidR="002D5713" w:rsidRPr="003532C8" w:rsidTr="004813E3">
        <w:trPr>
          <w:trHeight w:val="300"/>
        </w:trPr>
        <w:tc>
          <w:tcPr>
            <w:tcW w:w="1170" w:type="dxa"/>
            <w:vMerge/>
            <w:tcBorders>
              <w:left w:val="single" w:sz="4" w:space="0" w:color="auto"/>
              <w:right w:val="single" w:sz="4" w:space="0" w:color="auto"/>
            </w:tcBorders>
            <w:vAlign w:val="center"/>
            <w:hideMark/>
          </w:tcPr>
          <w:p w:rsidR="002D5713" w:rsidRPr="003532C8" w:rsidRDefault="002D5713" w:rsidP="004813E3"/>
        </w:tc>
        <w:tc>
          <w:tcPr>
            <w:tcW w:w="1440" w:type="dxa"/>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jc w:val="center"/>
              <w:rPr>
                <w:rFonts w:ascii="Calibri" w:hAnsi="Calibri"/>
                <w:sz w:val="22"/>
                <w:szCs w:val="22"/>
              </w:rPr>
            </w:pPr>
            <w:r w:rsidRPr="003532C8">
              <w:t>Polk 2</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84.9</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86.1</w:t>
            </w: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1,477.8</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7,209</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7,603</w:t>
            </w: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 xml:space="preserve"> 7,768.2 </w:t>
            </w:r>
          </w:p>
        </w:tc>
      </w:tr>
      <w:tr w:rsidR="002D5713" w:rsidRPr="003532C8" w:rsidTr="004813E3">
        <w:trPr>
          <w:trHeight w:val="300"/>
        </w:trPr>
        <w:tc>
          <w:tcPr>
            <w:tcW w:w="1170" w:type="dxa"/>
            <w:vMerge/>
            <w:tcBorders>
              <w:left w:val="single" w:sz="4" w:space="0" w:color="auto"/>
              <w:right w:val="single" w:sz="4" w:space="0" w:color="auto"/>
            </w:tcBorders>
            <w:vAlign w:val="center"/>
            <w:hideMark/>
          </w:tcPr>
          <w:p w:rsidR="002D5713" w:rsidRPr="003532C8" w:rsidRDefault="002D5713" w:rsidP="004813E3"/>
        </w:tc>
        <w:tc>
          <w:tcPr>
            <w:tcW w:w="1440" w:type="dxa"/>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jc w:val="center"/>
              <w:rPr>
                <w:rFonts w:ascii="Calibri" w:hAnsi="Calibri"/>
                <w:sz w:val="22"/>
                <w:szCs w:val="22"/>
              </w:rPr>
            </w:pPr>
            <w:r w:rsidRPr="003532C8">
              <w:t>Bayside 1</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91.7</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92.4</w:t>
            </w: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1,216.3</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7,379</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7,498</w:t>
            </w: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 xml:space="preserve"> 1,649.5 </w:t>
            </w:r>
          </w:p>
        </w:tc>
      </w:tr>
      <w:tr w:rsidR="002D5713" w:rsidRPr="003532C8" w:rsidTr="004813E3">
        <w:trPr>
          <w:trHeight w:val="300"/>
        </w:trPr>
        <w:tc>
          <w:tcPr>
            <w:tcW w:w="1170" w:type="dxa"/>
            <w:vMerge/>
            <w:tcBorders>
              <w:left w:val="single" w:sz="4" w:space="0" w:color="auto"/>
              <w:right w:val="single" w:sz="4" w:space="0" w:color="auto"/>
            </w:tcBorders>
            <w:vAlign w:val="center"/>
            <w:hideMark/>
          </w:tcPr>
          <w:p w:rsidR="002D5713" w:rsidRPr="003532C8" w:rsidRDefault="002D5713" w:rsidP="004813E3"/>
        </w:tc>
        <w:tc>
          <w:tcPr>
            <w:tcW w:w="1440" w:type="dxa"/>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jc w:val="center"/>
              <w:rPr>
                <w:rFonts w:ascii="Calibri" w:hAnsi="Calibri"/>
                <w:color w:val="000000"/>
                <w:sz w:val="22"/>
                <w:szCs w:val="22"/>
              </w:rPr>
            </w:pPr>
            <w:r w:rsidRPr="003532C8">
              <w:t>Bayside 2</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88.9</w:t>
            </w:r>
          </w:p>
        </w:tc>
        <w:tc>
          <w:tcPr>
            <w:tcW w:w="90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90.1</w:t>
            </w:r>
          </w:p>
        </w:tc>
        <w:tc>
          <w:tcPr>
            <w:tcW w:w="108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1,811.8</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7,499</w:t>
            </w:r>
          </w:p>
        </w:tc>
        <w:tc>
          <w:tcPr>
            <w:tcW w:w="126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7,749</w:t>
            </w:r>
          </w:p>
        </w:tc>
        <w:tc>
          <w:tcPr>
            <w:tcW w:w="1350" w:type="dxa"/>
            <w:tcBorders>
              <w:top w:val="single" w:sz="4" w:space="0" w:color="auto"/>
              <w:left w:val="single" w:sz="4" w:space="0" w:color="auto"/>
              <w:bottom w:val="single" w:sz="4" w:space="0" w:color="auto"/>
              <w:right w:val="single" w:sz="4" w:space="0" w:color="auto"/>
            </w:tcBorders>
            <w:noWrap/>
          </w:tcPr>
          <w:p w:rsidR="002D5713" w:rsidRPr="003532C8" w:rsidRDefault="002D5713" w:rsidP="004813E3">
            <w:pPr>
              <w:jc w:val="right"/>
            </w:pPr>
            <w:r w:rsidRPr="003532C8">
              <w:t xml:space="preserve"> 3,332.3 </w:t>
            </w:r>
          </w:p>
        </w:tc>
      </w:tr>
      <w:tr w:rsidR="002D5713" w:rsidTr="004813E3">
        <w:trPr>
          <w:trHeight w:val="300"/>
        </w:trPr>
        <w:tc>
          <w:tcPr>
            <w:tcW w:w="1170" w:type="dxa"/>
            <w:vMerge/>
            <w:tcBorders>
              <w:left w:val="single" w:sz="4" w:space="0" w:color="auto"/>
              <w:bottom w:val="single" w:sz="4" w:space="0" w:color="auto"/>
              <w:right w:val="single" w:sz="4" w:space="0" w:color="auto"/>
            </w:tcBorders>
            <w:vAlign w:val="center"/>
            <w:hideMark/>
          </w:tcPr>
          <w:p w:rsidR="002D5713" w:rsidRPr="003532C8" w:rsidRDefault="002D5713" w:rsidP="004813E3"/>
        </w:tc>
        <w:tc>
          <w:tcPr>
            <w:tcW w:w="3240" w:type="dxa"/>
            <w:gridSpan w:val="3"/>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jc w:val="center"/>
              <w:rPr>
                <w:rFonts w:ascii="Calibri" w:hAnsi="Calibri"/>
                <w:sz w:val="22"/>
                <w:szCs w:val="22"/>
              </w:rPr>
            </w:pPr>
            <w:r w:rsidRPr="003532C8">
              <w:t>Total</w:t>
            </w:r>
          </w:p>
        </w:tc>
        <w:tc>
          <w:tcPr>
            <w:tcW w:w="1080" w:type="dxa"/>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jc w:val="right"/>
            </w:pPr>
            <w:r w:rsidRPr="003532C8">
              <w:t>5487.7</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2D5713" w:rsidRPr="003532C8" w:rsidRDefault="002D5713" w:rsidP="004813E3">
            <w:pPr>
              <w:jc w:val="right"/>
            </w:pPr>
            <w:r w:rsidRPr="003532C8">
              <w:t>16,115.0</w:t>
            </w:r>
          </w:p>
        </w:tc>
      </w:tr>
    </w:tbl>
    <w:p w:rsidR="002D5713" w:rsidRDefault="002D5713" w:rsidP="002D5713">
      <w:r>
        <w:t xml:space="preserve">    Source: GPIF T</w:t>
      </w:r>
      <w:r w:rsidRPr="003F06DB">
        <w:t xml:space="preserve">arget and Range Summary (Exhibit </w:t>
      </w:r>
      <w:r>
        <w:t>JC-1</w:t>
      </w:r>
      <w:r w:rsidRPr="003F06DB">
        <w:t xml:space="preserve">, Document 1, Page 4 of </w:t>
      </w:r>
      <w:r>
        <w:t>31</w:t>
      </w:r>
      <w:r w:rsidRPr="003F06DB">
        <w:t>).</w:t>
      </w:r>
    </w:p>
    <w:p w:rsidR="002D5713" w:rsidRDefault="002D5713" w:rsidP="002D5713">
      <w:pPr>
        <w:autoSpaceDE w:val="0"/>
        <w:autoSpaceDN w:val="0"/>
        <w:adjustRightInd w:val="0"/>
        <w:rPr>
          <w:b/>
          <w:bCs/>
          <w:caps/>
        </w:rPr>
      </w:pPr>
    </w:p>
    <w:p w:rsidR="002D5713" w:rsidRDefault="002D5713" w:rsidP="002D5713">
      <w:pPr>
        <w:autoSpaceDE w:val="0"/>
        <w:autoSpaceDN w:val="0"/>
        <w:adjustRightInd w:val="0"/>
        <w:rPr>
          <w:b/>
          <w:bCs/>
        </w:rPr>
      </w:pPr>
      <w:r>
        <w:rPr>
          <w:b/>
          <w:bCs/>
          <w:caps/>
        </w:rPr>
        <w:t xml:space="preserve">Fuel Factor Calculation ISSUES </w:t>
      </w:r>
    </w:p>
    <w:p w:rsidR="002D5713" w:rsidRDefault="002D5713" w:rsidP="002D5713">
      <w:pPr>
        <w:autoSpaceDE w:val="0"/>
        <w:autoSpaceDN w:val="0"/>
        <w:adjustRightInd w:val="0"/>
        <w:jc w:val="both"/>
        <w:rPr>
          <w:b/>
          <w:bCs/>
          <w:u w:val="single"/>
        </w:rPr>
      </w:pPr>
    </w:p>
    <w:p w:rsidR="002D5713" w:rsidRDefault="002D5713" w:rsidP="002D5713">
      <w:pPr>
        <w:autoSpaceDE w:val="0"/>
        <w:autoSpaceDN w:val="0"/>
        <w:adjustRightInd w:val="0"/>
        <w:ind w:left="1440" w:hanging="1440"/>
        <w:jc w:val="both"/>
      </w:pPr>
      <w:r>
        <w:rPr>
          <w:b/>
          <w:bCs/>
          <w:u w:val="single"/>
        </w:rPr>
        <w:t>ISSUE 18</w:t>
      </w:r>
      <w:r>
        <w:t>:</w:t>
      </w:r>
      <w:r>
        <w:tab/>
      </w:r>
      <w:r w:rsidRPr="001B4AA6">
        <w:rPr>
          <w:b/>
        </w:rPr>
        <w:t>What are the appropriate projected net fuel and purchased power cost recovery and Generating Performance Incentive amounts to be included in the recovery factor for the period January 2020 through December 2020?</w:t>
      </w:r>
      <w:r>
        <w:t xml:space="preserve">                           </w:t>
      </w:r>
    </w:p>
    <w:p w:rsidR="002D5713" w:rsidRDefault="002D5713" w:rsidP="002D5713">
      <w:pPr>
        <w:tabs>
          <w:tab w:val="left" w:pos="8571"/>
        </w:tabs>
        <w:autoSpaceDE w:val="0"/>
        <w:autoSpaceDN w:val="0"/>
        <w:adjustRightInd w:val="0"/>
        <w:jc w:val="both"/>
        <w:rPr>
          <w:b/>
          <w:u w:val="single"/>
        </w:rPr>
      </w:pPr>
    </w:p>
    <w:p w:rsidR="002D5713" w:rsidRDefault="002D5713" w:rsidP="002D5713">
      <w:pPr>
        <w:tabs>
          <w:tab w:val="left" w:pos="8571"/>
        </w:tabs>
        <w:autoSpaceDE w:val="0"/>
        <w:autoSpaceDN w:val="0"/>
        <w:adjustRightInd w:val="0"/>
        <w:ind w:left="1440" w:hanging="1440"/>
        <w:jc w:val="both"/>
      </w:pPr>
      <w:r>
        <w:rPr>
          <w:b/>
          <w:u w:val="single"/>
        </w:rPr>
        <w:t>STIPULATION</w:t>
      </w:r>
      <w:r>
        <w:t>:</w:t>
      </w:r>
    </w:p>
    <w:p w:rsidR="002D5713" w:rsidRDefault="002D5713" w:rsidP="002D5713">
      <w:pPr>
        <w:tabs>
          <w:tab w:val="left" w:pos="8571"/>
        </w:tabs>
        <w:autoSpaceDE w:val="0"/>
        <w:autoSpaceDN w:val="0"/>
        <w:adjustRightInd w:val="0"/>
        <w:ind w:left="1440" w:hanging="1440"/>
        <w:jc w:val="both"/>
      </w:pPr>
      <w:r>
        <w:tab/>
      </w:r>
    </w:p>
    <w:p w:rsidR="002D5713" w:rsidRDefault="002D5713" w:rsidP="002D5713">
      <w:pPr>
        <w:tabs>
          <w:tab w:val="left" w:pos="8571"/>
        </w:tabs>
        <w:autoSpaceDE w:val="0"/>
        <w:autoSpaceDN w:val="0"/>
        <w:adjustRightInd w:val="0"/>
        <w:ind w:left="1440" w:hanging="1440"/>
        <w:jc w:val="both"/>
        <w:rPr>
          <w:bCs/>
        </w:rPr>
      </w:pPr>
      <w:r>
        <w:tab/>
        <w:t xml:space="preserve">The appropriate </w:t>
      </w:r>
      <w:r w:rsidRPr="00AC5364">
        <w:rPr>
          <w:rStyle w:val="Strong"/>
          <w:rFonts w:eastAsiaTheme="minorHAnsi"/>
          <w:b w:val="0"/>
        </w:rPr>
        <w:t>projected total fuel and purchased power cost recovery amounts for the period January 2020 through December 2020</w:t>
      </w:r>
      <w:r w:rsidRPr="00AC5364">
        <w:rPr>
          <w:b/>
        </w:rPr>
        <w:t xml:space="preserve"> </w:t>
      </w:r>
      <w:r>
        <w:t>are as follows:</w:t>
      </w:r>
    </w:p>
    <w:p w:rsidR="002D5713" w:rsidRDefault="002D5713" w:rsidP="002D5713">
      <w:pPr>
        <w:tabs>
          <w:tab w:val="left" w:pos="8571"/>
        </w:tabs>
        <w:autoSpaceDE w:val="0"/>
        <w:autoSpaceDN w:val="0"/>
        <w:adjustRightInd w:val="0"/>
        <w:jc w:val="both"/>
        <w:rPr>
          <w:bCs/>
        </w:rPr>
      </w:pPr>
    </w:p>
    <w:p w:rsidR="002D5713" w:rsidRPr="003532C8" w:rsidRDefault="002D5713" w:rsidP="002D5713">
      <w:pPr>
        <w:keepNext/>
        <w:tabs>
          <w:tab w:val="left" w:pos="8571"/>
        </w:tabs>
        <w:autoSpaceDE w:val="0"/>
        <w:autoSpaceDN w:val="0"/>
        <w:adjustRightInd w:val="0"/>
        <w:ind w:left="1440" w:hanging="1440"/>
        <w:jc w:val="both"/>
        <w:rPr>
          <w:rStyle w:val="Strong"/>
          <w:rFonts w:eastAsiaTheme="minorHAnsi"/>
          <w:b w:val="0"/>
        </w:rPr>
      </w:pPr>
      <w:r w:rsidRPr="00F740AF">
        <w:rPr>
          <w:b/>
        </w:rPr>
        <w:t>DEF:</w:t>
      </w:r>
      <w:r>
        <w:t xml:space="preserve">  </w:t>
      </w:r>
      <w:r>
        <w:tab/>
      </w:r>
      <w:r>
        <w:rPr>
          <w:rStyle w:val="Strong"/>
          <w:rFonts w:eastAsiaTheme="minorHAnsi"/>
        </w:rPr>
        <w:t>$</w:t>
      </w:r>
      <w:r w:rsidRPr="00973D95">
        <w:t>1,321,332,823</w:t>
      </w:r>
      <w:r w:rsidRPr="00973D95">
        <w:rPr>
          <w:rStyle w:val="Strong"/>
          <w:rFonts w:eastAsiaTheme="minorHAnsi"/>
        </w:rPr>
        <w:t xml:space="preserve"> </w:t>
      </w:r>
      <w:r w:rsidRPr="00AC5364">
        <w:rPr>
          <w:rStyle w:val="Strong"/>
          <w:rFonts w:eastAsiaTheme="minorHAnsi"/>
          <w:b w:val="0"/>
        </w:rPr>
        <w:t>as reflected on Line 27 of Schedule E1. This amount is subject to possible adjustments ordered in Issues 1B and C. If any adjustments are ordered by the Commission in relation to Issues 1B and 1C, that amount will be reflected in Duke’s 2020 filing that reports the final true up of fuel costs for the period January through December, 2019.</w:t>
      </w:r>
    </w:p>
    <w:p w:rsidR="002D5713" w:rsidRPr="003532C8" w:rsidRDefault="002D5713" w:rsidP="002D5713">
      <w:pPr>
        <w:autoSpaceDE w:val="0"/>
        <w:autoSpaceDN w:val="0"/>
        <w:adjustRightInd w:val="0"/>
        <w:jc w:val="both"/>
      </w:pPr>
    </w:p>
    <w:p w:rsidR="002D5713" w:rsidRPr="003532C8" w:rsidRDefault="002D5713" w:rsidP="002D5713">
      <w:pPr>
        <w:tabs>
          <w:tab w:val="left" w:pos="8571"/>
        </w:tabs>
        <w:autoSpaceDE w:val="0"/>
        <w:autoSpaceDN w:val="0"/>
        <w:adjustRightInd w:val="0"/>
        <w:ind w:left="1440" w:hanging="1440"/>
        <w:jc w:val="both"/>
      </w:pPr>
      <w:r w:rsidRPr="00F740AF">
        <w:rPr>
          <w:b/>
        </w:rPr>
        <w:t xml:space="preserve">FPL: </w:t>
      </w:r>
      <w:r w:rsidRPr="003532C8">
        <w:t xml:space="preserve"> </w:t>
      </w:r>
      <w:r w:rsidRPr="003532C8">
        <w:tab/>
      </w:r>
      <w:r>
        <w:t>$2,453,813,512</w:t>
      </w:r>
      <w:r w:rsidRPr="00A80530">
        <w:t>, which includes prior period true-up amounts, revenue taxes, the GPIF reward, FPL’s portion of Incentive Mechanism gains, and the jurisdictional savings amount</w:t>
      </w:r>
      <w:r>
        <w:t xml:space="preserve">  associated with </w:t>
      </w:r>
      <w:r w:rsidRPr="00A80530">
        <w:t xml:space="preserve">the 2020 </w:t>
      </w:r>
      <w:r>
        <w:t>solar Project</w:t>
      </w:r>
      <w:r w:rsidRPr="00A80530">
        <w:t xml:space="preserve">, as reflected on Line </w:t>
      </w:r>
      <w:r>
        <w:t>35</w:t>
      </w:r>
      <w:r w:rsidRPr="00A80530">
        <w:t xml:space="preserve"> of Schedule E1 </w:t>
      </w:r>
      <w:r w:rsidRPr="00DE1F8F">
        <w:t>(Discovery Response Version of 2020 FCR Projection Schedule, Page FCR-19-029127).</w:t>
      </w:r>
    </w:p>
    <w:p w:rsidR="002D5713" w:rsidRPr="003532C8" w:rsidRDefault="002D5713" w:rsidP="002D5713">
      <w:pPr>
        <w:tabs>
          <w:tab w:val="left" w:pos="8571"/>
        </w:tabs>
        <w:autoSpaceDE w:val="0"/>
        <w:autoSpaceDN w:val="0"/>
        <w:adjustRightInd w:val="0"/>
        <w:ind w:left="1440" w:hanging="1440"/>
        <w:jc w:val="both"/>
      </w:pPr>
      <w:r w:rsidRPr="003532C8">
        <w:tab/>
      </w:r>
      <w:r w:rsidRPr="003532C8">
        <w:tab/>
      </w:r>
    </w:p>
    <w:p w:rsidR="002D5713" w:rsidRPr="003532C8" w:rsidRDefault="002D5713" w:rsidP="002D5713">
      <w:pPr>
        <w:tabs>
          <w:tab w:val="left" w:pos="8571"/>
        </w:tabs>
        <w:autoSpaceDE w:val="0"/>
        <w:autoSpaceDN w:val="0"/>
        <w:adjustRightInd w:val="0"/>
        <w:ind w:left="1440" w:hanging="1440"/>
        <w:jc w:val="both"/>
      </w:pPr>
      <w:r w:rsidRPr="00F740AF">
        <w:rPr>
          <w:b/>
        </w:rPr>
        <w:t>FPUC:</w:t>
      </w:r>
      <w:r w:rsidRPr="003532C8">
        <w:t xml:space="preserve"> </w:t>
      </w:r>
      <w:r w:rsidRPr="003532C8">
        <w:tab/>
        <w:t>$44,783,872 which includes prior period true-up amounts, as reflected on Line 31, Schedule E1 (</w:t>
      </w:r>
      <w:r>
        <w:t xml:space="preserve">Revised </w:t>
      </w:r>
      <w:r w:rsidRPr="000824D3">
        <w:t>Exhibit M</w:t>
      </w:r>
      <w:r>
        <w:t>DN-1</w:t>
      </w:r>
      <w:r w:rsidRPr="003532C8">
        <w:t>, Page 1 of 8).</w:t>
      </w:r>
    </w:p>
    <w:p w:rsidR="002D5713" w:rsidRPr="003532C8" w:rsidRDefault="002D5713" w:rsidP="002D5713">
      <w:pPr>
        <w:tabs>
          <w:tab w:val="left" w:pos="8571"/>
        </w:tabs>
        <w:autoSpaceDE w:val="0"/>
        <w:autoSpaceDN w:val="0"/>
        <w:adjustRightInd w:val="0"/>
        <w:ind w:left="1440" w:hanging="1440"/>
        <w:jc w:val="both"/>
      </w:pPr>
    </w:p>
    <w:p w:rsidR="002D5713" w:rsidRPr="003532C8" w:rsidRDefault="002D5713" w:rsidP="002D5713">
      <w:pPr>
        <w:tabs>
          <w:tab w:val="left" w:pos="8571"/>
        </w:tabs>
        <w:autoSpaceDE w:val="0"/>
        <w:autoSpaceDN w:val="0"/>
        <w:adjustRightInd w:val="0"/>
        <w:ind w:left="1440" w:hanging="1440"/>
        <w:jc w:val="both"/>
      </w:pPr>
      <w:r w:rsidRPr="00F740AF">
        <w:rPr>
          <w:b/>
        </w:rPr>
        <w:t>Gulf:</w:t>
      </w:r>
      <w:r w:rsidRPr="003532C8">
        <w:t xml:space="preserve">   </w:t>
      </w:r>
      <w:r w:rsidRPr="003532C8">
        <w:tab/>
        <w:t xml:space="preserve">$355,268,048 which is adjusted for line losses, and includes prior period </w:t>
      </w:r>
      <w:r>
        <w:t xml:space="preserve">true-up amounts, revenue taxes and </w:t>
      </w:r>
      <w:r w:rsidRPr="003532C8">
        <w:t xml:space="preserve">GPIF amounts, as reflected </w:t>
      </w:r>
      <w:r>
        <w:t>on Line 28</w:t>
      </w:r>
      <w:r w:rsidRPr="003532C8">
        <w:t>, Schedule E1 (Exhibit CSB-5, 2020 Projection Filing, Page 1 of 41).</w:t>
      </w:r>
    </w:p>
    <w:p w:rsidR="002D5713" w:rsidRPr="003532C8" w:rsidRDefault="002D5713" w:rsidP="002D5713">
      <w:pPr>
        <w:tabs>
          <w:tab w:val="left" w:pos="8571"/>
        </w:tabs>
        <w:autoSpaceDE w:val="0"/>
        <w:autoSpaceDN w:val="0"/>
        <w:adjustRightInd w:val="0"/>
        <w:ind w:left="1440" w:hanging="1440"/>
        <w:jc w:val="both"/>
      </w:pPr>
    </w:p>
    <w:p w:rsidR="002D5713" w:rsidRPr="003532C8" w:rsidRDefault="002D5713" w:rsidP="002D5713">
      <w:pPr>
        <w:tabs>
          <w:tab w:val="left" w:pos="8571"/>
        </w:tabs>
        <w:autoSpaceDE w:val="0"/>
        <w:autoSpaceDN w:val="0"/>
        <w:adjustRightInd w:val="0"/>
        <w:ind w:left="1440" w:hanging="1440"/>
        <w:jc w:val="both"/>
      </w:pPr>
      <w:r w:rsidRPr="00F740AF">
        <w:rPr>
          <w:b/>
        </w:rPr>
        <w:t>TECO:</w:t>
      </w:r>
      <w:r w:rsidRPr="003532C8">
        <w:t xml:space="preserve">  </w:t>
      </w:r>
      <w:r w:rsidRPr="003532C8">
        <w:tab/>
        <w:t>$587,305,878</w:t>
      </w:r>
      <w:r>
        <w:t xml:space="preserve"> which is adjusted for jurisdictional separation,</w:t>
      </w:r>
      <w:r w:rsidRPr="003532C8">
        <w:t xml:space="preserve"> and includes prior period true-up amounts, revenue taxes, and GPIF amounts</w:t>
      </w:r>
      <w:r>
        <w:t xml:space="preserve"> and optimization mechanism</w:t>
      </w:r>
      <w:r w:rsidRPr="003532C8">
        <w:t>, as reflected on Line 33, Schedule E1 (Exhibit PAR-3, Document No. 2, Page 2 of 30).</w:t>
      </w:r>
    </w:p>
    <w:p w:rsidR="002D5713" w:rsidRPr="003532C8" w:rsidRDefault="002D5713" w:rsidP="002D5713">
      <w:pPr>
        <w:tabs>
          <w:tab w:val="left" w:pos="8571"/>
        </w:tabs>
        <w:autoSpaceDE w:val="0"/>
        <w:autoSpaceDN w:val="0"/>
        <w:adjustRightInd w:val="0"/>
        <w:ind w:left="1440" w:hanging="1440"/>
        <w:jc w:val="both"/>
      </w:pPr>
    </w:p>
    <w:p w:rsidR="002D5713" w:rsidRPr="003532C8" w:rsidRDefault="002D5713" w:rsidP="002D5713">
      <w:pPr>
        <w:ind w:left="1440" w:hanging="1440"/>
        <w:jc w:val="both"/>
        <w:rPr>
          <w:bCs/>
        </w:rPr>
      </w:pPr>
      <w:r w:rsidRPr="003532C8">
        <w:rPr>
          <w:rStyle w:val="Strong"/>
          <w:rFonts w:eastAsiaTheme="minorHAnsi"/>
          <w:u w:val="single"/>
        </w:rPr>
        <w:t>ISSUE 19</w:t>
      </w:r>
      <w:r w:rsidRPr="003532C8">
        <w:rPr>
          <w:rStyle w:val="Strong"/>
          <w:rFonts w:eastAsiaTheme="minorHAnsi"/>
        </w:rPr>
        <w:t>:</w:t>
      </w:r>
      <w:r w:rsidRPr="003532C8">
        <w:rPr>
          <w:rStyle w:val="Strong"/>
          <w:rFonts w:eastAsiaTheme="minorHAnsi"/>
        </w:rPr>
        <w:tab/>
        <w:t xml:space="preserve">What is the appropriate revenue tax factor to be applied in calculating each investor-owned electric utility’s </w:t>
      </w:r>
      <w:proofErr w:type="spellStart"/>
      <w:r w:rsidRPr="003532C8">
        <w:rPr>
          <w:rStyle w:val="Strong"/>
          <w:rFonts w:eastAsiaTheme="minorHAnsi"/>
        </w:rPr>
        <w:t>levelized</w:t>
      </w:r>
      <w:proofErr w:type="spellEnd"/>
      <w:r w:rsidRPr="003532C8">
        <w:rPr>
          <w:rStyle w:val="Strong"/>
          <w:rFonts w:eastAsiaTheme="minorHAnsi"/>
        </w:rPr>
        <w:t xml:space="preserve"> fuel factor for the projection period January 2020 through December 2020? </w:t>
      </w:r>
    </w:p>
    <w:p w:rsidR="002D5713" w:rsidRPr="003532C8" w:rsidRDefault="002D5713" w:rsidP="002D5713">
      <w:pPr>
        <w:tabs>
          <w:tab w:val="left" w:pos="8571"/>
        </w:tabs>
        <w:autoSpaceDE w:val="0"/>
        <w:autoSpaceDN w:val="0"/>
        <w:adjustRightInd w:val="0"/>
        <w:jc w:val="both"/>
        <w:rPr>
          <w:b/>
          <w:u w:val="single"/>
        </w:rPr>
      </w:pPr>
    </w:p>
    <w:p w:rsidR="002D5713" w:rsidRDefault="002D5713" w:rsidP="002D5713">
      <w:pPr>
        <w:tabs>
          <w:tab w:val="left" w:pos="8571"/>
        </w:tabs>
        <w:autoSpaceDE w:val="0"/>
        <w:autoSpaceDN w:val="0"/>
        <w:adjustRightInd w:val="0"/>
        <w:ind w:left="1440" w:hanging="1440"/>
        <w:jc w:val="both"/>
      </w:pPr>
      <w:r w:rsidRPr="003532C8">
        <w:rPr>
          <w:b/>
          <w:u w:val="single"/>
        </w:rPr>
        <w:t>STIPULATION</w:t>
      </w:r>
      <w:r w:rsidRPr="003532C8">
        <w:t>:</w:t>
      </w:r>
    </w:p>
    <w:p w:rsidR="002D5713" w:rsidRPr="003532C8" w:rsidRDefault="002D5713" w:rsidP="002D5713">
      <w:pPr>
        <w:tabs>
          <w:tab w:val="left" w:pos="8571"/>
        </w:tabs>
        <w:autoSpaceDE w:val="0"/>
        <w:autoSpaceDN w:val="0"/>
        <w:adjustRightInd w:val="0"/>
        <w:ind w:left="1440" w:hanging="1440"/>
        <w:jc w:val="both"/>
      </w:pPr>
      <w:r w:rsidRPr="003532C8">
        <w:tab/>
      </w:r>
    </w:p>
    <w:p w:rsidR="002D5713" w:rsidRPr="00AC5364" w:rsidRDefault="002D5713" w:rsidP="002D5713">
      <w:pPr>
        <w:tabs>
          <w:tab w:val="left" w:pos="8571"/>
        </w:tabs>
        <w:autoSpaceDE w:val="0"/>
        <w:autoSpaceDN w:val="0"/>
        <w:adjustRightInd w:val="0"/>
        <w:ind w:left="1440" w:hanging="1440"/>
        <w:jc w:val="both"/>
      </w:pPr>
      <w:r w:rsidRPr="003532C8">
        <w:tab/>
      </w:r>
      <w:r w:rsidRPr="00AC5364">
        <w:rPr>
          <w:rStyle w:val="Strong"/>
          <w:rFonts w:eastAsiaTheme="minorHAnsi"/>
          <w:b w:val="0"/>
        </w:rPr>
        <w:t xml:space="preserve">The appropriate revenue tax factor to be applied in calculating each investor-owned electric utility’s </w:t>
      </w:r>
      <w:proofErr w:type="spellStart"/>
      <w:r w:rsidRPr="00AC5364">
        <w:rPr>
          <w:rStyle w:val="Strong"/>
          <w:rFonts w:eastAsiaTheme="minorHAnsi"/>
          <w:b w:val="0"/>
        </w:rPr>
        <w:t>levelized</w:t>
      </w:r>
      <w:proofErr w:type="spellEnd"/>
      <w:r w:rsidRPr="00AC5364">
        <w:rPr>
          <w:rStyle w:val="Strong"/>
          <w:rFonts w:eastAsiaTheme="minorHAnsi"/>
          <w:b w:val="0"/>
        </w:rPr>
        <w:t xml:space="preserve"> fuel factor for the projection period January 2020 through December 2020 is 1.00072.</w:t>
      </w:r>
    </w:p>
    <w:p w:rsidR="002D5713" w:rsidRPr="00AC5364" w:rsidRDefault="002D5713" w:rsidP="002D5713">
      <w:pPr>
        <w:autoSpaceDE w:val="0"/>
        <w:autoSpaceDN w:val="0"/>
        <w:adjustRightInd w:val="0"/>
        <w:jc w:val="both"/>
        <w:rPr>
          <w:bCs/>
          <w:u w:val="single"/>
        </w:rPr>
      </w:pPr>
    </w:p>
    <w:p w:rsidR="002D5713" w:rsidRPr="004B0E3C" w:rsidRDefault="002D5713" w:rsidP="002D5713">
      <w:pPr>
        <w:ind w:left="1440" w:hanging="1440"/>
        <w:rPr>
          <w:b/>
          <w:bCs/>
          <w:u w:val="single"/>
        </w:rPr>
      </w:pPr>
      <w:r>
        <w:rPr>
          <w:b/>
          <w:bCs/>
          <w:u w:val="single"/>
        </w:rPr>
        <w:t>ISSUE 20</w:t>
      </w:r>
      <w:r>
        <w:t>:</w:t>
      </w:r>
      <w:r>
        <w:tab/>
      </w:r>
      <w:r w:rsidRPr="001B4AA6">
        <w:rPr>
          <w:b/>
        </w:rPr>
        <w:t xml:space="preserve">What are the appropriate </w:t>
      </w:r>
      <w:proofErr w:type="spellStart"/>
      <w:r w:rsidRPr="001B4AA6">
        <w:rPr>
          <w:b/>
        </w:rPr>
        <w:t>levelized</w:t>
      </w:r>
      <w:proofErr w:type="spellEnd"/>
      <w:r w:rsidRPr="001B4AA6">
        <w:rPr>
          <w:b/>
        </w:rPr>
        <w:t xml:space="preserve"> fuel cost recovery factors for the period January 2020 through December 2020?</w:t>
      </w:r>
      <w:r>
        <w:t xml:space="preserve">                                                  </w:t>
      </w:r>
    </w:p>
    <w:p w:rsidR="002D5713" w:rsidRDefault="002D5713" w:rsidP="002D5713">
      <w:pPr>
        <w:tabs>
          <w:tab w:val="left" w:pos="8571"/>
        </w:tabs>
        <w:autoSpaceDE w:val="0"/>
        <w:autoSpaceDN w:val="0"/>
        <w:adjustRightInd w:val="0"/>
        <w:ind w:left="1440" w:hanging="1440"/>
        <w:jc w:val="both"/>
        <w:rPr>
          <w:b/>
          <w:u w:val="single"/>
        </w:rPr>
      </w:pPr>
    </w:p>
    <w:p w:rsidR="002D5713" w:rsidRDefault="002D5713" w:rsidP="002D5713">
      <w:pPr>
        <w:tabs>
          <w:tab w:val="left" w:pos="8571"/>
        </w:tabs>
        <w:autoSpaceDE w:val="0"/>
        <w:autoSpaceDN w:val="0"/>
        <w:adjustRightInd w:val="0"/>
        <w:ind w:left="1440" w:hanging="1440"/>
        <w:jc w:val="both"/>
      </w:pPr>
      <w:r>
        <w:rPr>
          <w:b/>
          <w:u w:val="single"/>
        </w:rPr>
        <w:t>STIPULATION</w:t>
      </w:r>
      <w:r>
        <w:t>:</w:t>
      </w:r>
    </w:p>
    <w:p w:rsidR="002D5713" w:rsidRDefault="002D5713" w:rsidP="002D5713">
      <w:pPr>
        <w:tabs>
          <w:tab w:val="left" w:pos="8571"/>
        </w:tabs>
        <w:autoSpaceDE w:val="0"/>
        <w:autoSpaceDN w:val="0"/>
        <w:adjustRightInd w:val="0"/>
        <w:ind w:left="1440" w:hanging="1440"/>
        <w:jc w:val="both"/>
      </w:pPr>
      <w:r>
        <w:tab/>
      </w:r>
    </w:p>
    <w:p w:rsidR="002D5713" w:rsidRDefault="002D5713" w:rsidP="002D5713">
      <w:pPr>
        <w:tabs>
          <w:tab w:val="left" w:pos="8571"/>
        </w:tabs>
        <w:autoSpaceDE w:val="0"/>
        <w:autoSpaceDN w:val="0"/>
        <w:adjustRightInd w:val="0"/>
        <w:ind w:left="1440" w:hanging="1440"/>
        <w:jc w:val="both"/>
        <w:rPr>
          <w:bCs/>
        </w:rPr>
      </w:pPr>
      <w:r>
        <w:tab/>
        <w:t xml:space="preserve">The appropriate </w:t>
      </w:r>
      <w:proofErr w:type="spellStart"/>
      <w:r>
        <w:t>levelized</w:t>
      </w:r>
      <w:proofErr w:type="spellEnd"/>
      <w:r>
        <w:t xml:space="preserve"> fuel cost recovery factors for the period January 2020 through December 2020 are as follows: </w:t>
      </w:r>
    </w:p>
    <w:p w:rsidR="002D5713" w:rsidRDefault="002D5713" w:rsidP="002D5713">
      <w:pPr>
        <w:tabs>
          <w:tab w:val="left" w:pos="8571"/>
        </w:tabs>
        <w:autoSpaceDE w:val="0"/>
        <w:autoSpaceDN w:val="0"/>
        <w:adjustRightInd w:val="0"/>
        <w:jc w:val="both"/>
        <w:rPr>
          <w:b/>
        </w:rPr>
      </w:pPr>
    </w:p>
    <w:p w:rsidR="002D5713" w:rsidRPr="003532C8" w:rsidRDefault="002D5713" w:rsidP="002D5713">
      <w:pPr>
        <w:keepNext/>
        <w:tabs>
          <w:tab w:val="left" w:pos="8571"/>
        </w:tabs>
        <w:autoSpaceDE w:val="0"/>
        <w:autoSpaceDN w:val="0"/>
        <w:adjustRightInd w:val="0"/>
        <w:ind w:left="1440" w:hanging="1440"/>
        <w:jc w:val="both"/>
        <w:rPr>
          <w:rStyle w:val="Strong"/>
          <w:rFonts w:eastAsiaTheme="minorHAnsi"/>
          <w:b w:val="0"/>
        </w:rPr>
      </w:pPr>
      <w:r w:rsidRPr="00F740AF">
        <w:rPr>
          <w:b/>
        </w:rPr>
        <w:t xml:space="preserve">DEF: </w:t>
      </w:r>
      <w:r>
        <w:tab/>
      </w:r>
      <w:r w:rsidRPr="00973D95">
        <w:t xml:space="preserve">The appropriate </w:t>
      </w:r>
      <w:proofErr w:type="spellStart"/>
      <w:r w:rsidRPr="00973D95">
        <w:t>levelized</w:t>
      </w:r>
      <w:proofErr w:type="spellEnd"/>
      <w:r w:rsidRPr="00973D95">
        <w:t xml:space="preserve"> factor is 3.345 cents per kWh (adjusted for jurisdictional losses)</w:t>
      </w:r>
      <w:r w:rsidRPr="00973D95">
        <w:rPr>
          <w:rStyle w:val="Strong"/>
          <w:rFonts w:eastAsiaTheme="minorHAnsi"/>
        </w:rPr>
        <w:t xml:space="preserve">, </w:t>
      </w:r>
      <w:r w:rsidRPr="00AC5364">
        <w:rPr>
          <w:rStyle w:val="Strong"/>
          <w:rFonts w:eastAsiaTheme="minorHAnsi"/>
          <w:b w:val="0"/>
        </w:rPr>
        <w:t>as reflected on Line 6, Schedule E1-D (Exhibit CAM-3, Part 2, Page 1 of 1).</w:t>
      </w:r>
      <w:r>
        <w:rPr>
          <w:rStyle w:val="Strong"/>
          <w:rFonts w:eastAsiaTheme="minorHAnsi"/>
        </w:rPr>
        <w:t xml:space="preserve"> </w:t>
      </w:r>
    </w:p>
    <w:p w:rsidR="002D5713" w:rsidRPr="003532C8" w:rsidRDefault="002D5713" w:rsidP="002D5713">
      <w:pPr>
        <w:keepNext/>
        <w:tabs>
          <w:tab w:val="left" w:pos="8571"/>
        </w:tabs>
        <w:autoSpaceDE w:val="0"/>
        <w:autoSpaceDN w:val="0"/>
        <w:adjustRightInd w:val="0"/>
        <w:ind w:left="1440" w:hanging="1440"/>
        <w:jc w:val="both"/>
      </w:pPr>
      <w:r w:rsidRPr="003532C8">
        <w:t xml:space="preserve">  </w:t>
      </w:r>
    </w:p>
    <w:p w:rsidR="002D5713" w:rsidRPr="003532C8" w:rsidRDefault="002D5713" w:rsidP="002D5713">
      <w:pPr>
        <w:tabs>
          <w:tab w:val="left" w:pos="8571"/>
        </w:tabs>
        <w:autoSpaceDE w:val="0"/>
        <w:autoSpaceDN w:val="0"/>
        <w:adjustRightInd w:val="0"/>
        <w:ind w:left="1440" w:hanging="1440"/>
        <w:jc w:val="both"/>
      </w:pPr>
      <w:r w:rsidRPr="00F740AF">
        <w:rPr>
          <w:b/>
        </w:rPr>
        <w:t>FPL:</w:t>
      </w:r>
      <w:r w:rsidRPr="003532C8">
        <w:rPr>
          <w:b/>
        </w:rPr>
        <w:tab/>
      </w:r>
      <w:r w:rsidRPr="003532C8">
        <w:t xml:space="preserve">The appropriate </w:t>
      </w:r>
      <w:proofErr w:type="spellStart"/>
      <w:r w:rsidRPr="003532C8">
        <w:t>levelized</w:t>
      </w:r>
      <w:proofErr w:type="spellEnd"/>
      <w:r w:rsidRPr="003532C8">
        <w:t xml:space="preserve"> factors are as follows:</w:t>
      </w:r>
    </w:p>
    <w:p w:rsidR="002D5713" w:rsidRDefault="002D5713" w:rsidP="002D5713">
      <w:pPr>
        <w:pStyle w:val="ListParagraph"/>
        <w:numPr>
          <w:ilvl w:val="0"/>
          <w:numId w:val="22"/>
        </w:numPr>
        <w:tabs>
          <w:tab w:val="left" w:pos="8571"/>
        </w:tabs>
        <w:autoSpaceDE w:val="0"/>
        <w:autoSpaceDN w:val="0"/>
        <w:adjustRightInd w:val="0"/>
        <w:jc w:val="both"/>
      </w:pPr>
      <w:r>
        <w:t>2.224</w:t>
      </w:r>
      <w:r w:rsidRPr="00A80530">
        <w:t xml:space="preserve"> cents per kWh (adjusted for jurisdictional losses), for January</w:t>
      </w:r>
      <w:r w:rsidRPr="00DE1F8F">
        <w:t xml:space="preserve"> 2020 through </w:t>
      </w:r>
      <w:r>
        <w:t xml:space="preserve">the day prior to the 2020 Project in-service date (projected to be </w:t>
      </w:r>
      <w:r w:rsidRPr="00DE1F8F">
        <w:t>April 30, 2020</w:t>
      </w:r>
      <w:r>
        <w:t>),</w:t>
      </w:r>
      <w:r w:rsidRPr="00DE1F8F">
        <w:t xml:space="preserve"> as reflected on Line 37 of Schedule E1 (Discovery Response Version of 2020 FCR Projection Schedule, Page FCR-19-029115).</w:t>
      </w:r>
    </w:p>
    <w:p w:rsidR="002D5713" w:rsidRDefault="002D5713" w:rsidP="002D5713">
      <w:pPr>
        <w:pStyle w:val="ListParagraph"/>
        <w:tabs>
          <w:tab w:val="left" w:pos="8571"/>
        </w:tabs>
        <w:autoSpaceDE w:val="0"/>
        <w:autoSpaceDN w:val="0"/>
        <w:adjustRightInd w:val="0"/>
        <w:ind w:left="1800"/>
        <w:jc w:val="both"/>
      </w:pPr>
    </w:p>
    <w:p w:rsidR="002D5713" w:rsidRPr="00CC75D8" w:rsidRDefault="002D5713" w:rsidP="002D5713">
      <w:pPr>
        <w:pStyle w:val="ListParagraph"/>
        <w:numPr>
          <w:ilvl w:val="0"/>
          <w:numId w:val="22"/>
        </w:numPr>
        <w:tabs>
          <w:tab w:val="left" w:pos="8571"/>
        </w:tabs>
        <w:autoSpaceDE w:val="0"/>
        <w:autoSpaceDN w:val="0"/>
        <w:adjustRightInd w:val="0"/>
        <w:jc w:val="both"/>
      </w:pPr>
      <w:r w:rsidRPr="00DE1F8F">
        <w:t>2.211 cents per kWh (adjusted for jurisdictional losses), f</w:t>
      </w:r>
      <w:r>
        <w:t xml:space="preserve">rom the 2020 </w:t>
      </w:r>
      <w:proofErr w:type="gramStart"/>
      <w:r>
        <w:t>Project  in</w:t>
      </w:r>
      <w:proofErr w:type="gramEnd"/>
      <w:r>
        <w:t>-service date (projected to be</w:t>
      </w:r>
      <w:r w:rsidRPr="00DE1F8F">
        <w:t xml:space="preserve"> May 1, 2020</w:t>
      </w:r>
      <w:r>
        <w:t>) until the fuel factor is reset by the Commission</w:t>
      </w:r>
      <w:r w:rsidRPr="00DE1F8F">
        <w:t>, as reflected on Line 38 of Schedule E1 (Discovery Response Version of 2020 FCR Projection Schedule, Page FCR-19-029121)</w:t>
      </w:r>
      <w:r>
        <w:t>.</w:t>
      </w:r>
    </w:p>
    <w:p w:rsidR="002D5713" w:rsidRDefault="002D5713" w:rsidP="002D5713">
      <w:pPr>
        <w:tabs>
          <w:tab w:val="left" w:pos="8571"/>
        </w:tabs>
        <w:autoSpaceDE w:val="0"/>
        <w:autoSpaceDN w:val="0"/>
        <w:adjustRightInd w:val="0"/>
        <w:ind w:left="1440" w:hanging="1440"/>
        <w:jc w:val="both"/>
      </w:pPr>
      <w:r>
        <w:t xml:space="preserve"> </w:t>
      </w:r>
    </w:p>
    <w:p w:rsidR="002D5713" w:rsidRPr="00FD2B57" w:rsidRDefault="002D5713" w:rsidP="002D5713">
      <w:pPr>
        <w:ind w:left="1440" w:hanging="1440"/>
        <w:jc w:val="both"/>
      </w:pPr>
      <w:r w:rsidRPr="00F740AF">
        <w:rPr>
          <w:b/>
        </w:rPr>
        <w:t xml:space="preserve"> FPUC:</w:t>
      </w:r>
      <w:r w:rsidRPr="00FD2B57">
        <w:rPr>
          <w:b/>
        </w:rPr>
        <w:tab/>
      </w:r>
      <w:r w:rsidRPr="00FD2B57">
        <w:t xml:space="preserve">The appropriate </w:t>
      </w:r>
      <w:proofErr w:type="spellStart"/>
      <w:r>
        <w:t>le</w:t>
      </w:r>
      <w:r w:rsidRPr="009B29FF">
        <w:t>velized</w:t>
      </w:r>
      <w:proofErr w:type="spellEnd"/>
      <w:r w:rsidRPr="009B29FF">
        <w:t xml:space="preserve"> factor is </w:t>
      </w:r>
      <w:r>
        <w:t>5.109</w:t>
      </w:r>
      <w:r w:rsidRPr="009B29FF">
        <w:t xml:space="preserve"> cents per kWh, as reflected </w:t>
      </w:r>
      <w:r>
        <w:t xml:space="preserve">on Line 43, Schedule E1 (Revised </w:t>
      </w:r>
      <w:r w:rsidRPr="000824D3">
        <w:t>Exhibit M</w:t>
      </w:r>
      <w:r>
        <w:t xml:space="preserve">DN-1, </w:t>
      </w:r>
      <w:r w:rsidRPr="009B29FF">
        <w:t xml:space="preserve">Page 2 of 8). </w:t>
      </w:r>
    </w:p>
    <w:p w:rsidR="002D5713" w:rsidRPr="004A4C2A" w:rsidRDefault="002D5713" w:rsidP="002D5713">
      <w:pPr>
        <w:tabs>
          <w:tab w:val="left" w:pos="8571"/>
        </w:tabs>
        <w:autoSpaceDE w:val="0"/>
        <w:autoSpaceDN w:val="0"/>
        <w:adjustRightInd w:val="0"/>
        <w:jc w:val="both"/>
        <w:rPr>
          <w:b/>
          <w:highlight w:val="yellow"/>
        </w:rPr>
      </w:pPr>
    </w:p>
    <w:p w:rsidR="002D5713" w:rsidRPr="003532C8" w:rsidRDefault="002D5713" w:rsidP="002D5713">
      <w:pPr>
        <w:tabs>
          <w:tab w:val="left" w:pos="8571"/>
        </w:tabs>
        <w:autoSpaceDE w:val="0"/>
        <w:autoSpaceDN w:val="0"/>
        <w:adjustRightInd w:val="0"/>
        <w:ind w:left="1440" w:hanging="1440"/>
        <w:jc w:val="both"/>
      </w:pPr>
      <w:r w:rsidRPr="00F740AF">
        <w:rPr>
          <w:b/>
        </w:rPr>
        <w:t>G</w:t>
      </w:r>
      <w:r>
        <w:rPr>
          <w:b/>
        </w:rPr>
        <w:t>ulf</w:t>
      </w:r>
      <w:r w:rsidRPr="00F740AF">
        <w:rPr>
          <w:b/>
        </w:rPr>
        <w:t>:</w:t>
      </w:r>
      <w:r w:rsidRPr="00FD2B57">
        <w:rPr>
          <w:b/>
        </w:rPr>
        <w:tab/>
      </w:r>
      <w:r w:rsidRPr="00FD2B57">
        <w:t xml:space="preserve">The appropriate </w:t>
      </w:r>
      <w:proofErr w:type="spellStart"/>
      <w:r w:rsidRPr="003532C8">
        <w:t>levelized</w:t>
      </w:r>
      <w:proofErr w:type="spellEnd"/>
      <w:r w:rsidRPr="003532C8">
        <w:t xml:space="preserve"> factor is 3.244 per kWh, as reflected on Line 31, Schedule E-1 (Exhibit CSB-5, 2020 Projection Filing, </w:t>
      </w:r>
      <w:proofErr w:type="gramStart"/>
      <w:r w:rsidRPr="003532C8">
        <w:t>Page</w:t>
      </w:r>
      <w:proofErr w:type="gramEnd"/>
      <w:r w:rsidRPr="003532C8">
        <w:t xml:space="preserve"> 1 of 41).</w:t>
      </w:r>
    </w:p>
    <w:p w:rsidR="002D5713" w:rsidRPr="003532C8" w:rsidRDefault="002D5713" w:rsidP="002D5713">
      <w:pPr>
        <w:ind w:left="1440" w:hanging="1440"/>
        <w:jc w:val="both"/>
      </w:pPr>
      <w:r w:rsidRPr="003532C8">
        <w:t xml:space="preserve"> </w:t>
      </w:r>
    </w:p>
    <w:p w:rsidR="002D5713" w:rsidRPr="009F5C6B" w:rsidRDefault="002D5713" w:rsidP="002D5713">
      <w:pPr>
        <w:tabs>
          <w:tab w:val="left" w:pos="8571"/>
        </w:tabs>
        <w:autoSpaceDE w:val="0"/>
        <w:autoSpaceDN w:val="0"/>
        <w:adjustRightInd w:val="0"/>
        <w:ind w:left="1440" w:hanging="1440"/>
        <w:jc w:val="both"/>
      </w:pPr>
      <w:r w:rsidRPr="00F740AF">
        <w:rPr>
          <w:b/>
        </w:rPr>
        <w:lastRenderedPageBreak/>
        <w:t>TECO:</w:t>
      </w:r>
      <w:r w:rsidRPr="003532C8">
        <w:rPr>
          <w:b/>
        </w:rPr>
        <w:tab/>
      </w:r>
      <w:r w:rsidRPr="003532C8">
        <w:t>The appropriate factor is 3.012 cents per kWh before any application of time of use multipliers for on-peak or off-peak</w:t>
      </w:r>
      <w:r w:rsidRPr="007004EA">
        <w:t xml:space="preserve"> usage, </w:t>
      </w:r>
      <w:r>
        <w:t>as reflected on Line 34, Schedule E1 (Exhibit PAR-3, Document No. 2, Page 2 of 30).</w:t>
      </w:r>
    </w:p>
    <w:p w:rsidR="002D5713" w:rsidRDefault="002D5713" w:rsidP="002D5713">
      <w:pPr>
        <w:rPr>
          <w:b/>
          <w:bCs/>
          <w:u w:val="single"/>
        </w:rPr>
      </w:pPr>
    </w:p>
    <w:p w:rsidR="002D5713" w:rsidRDefault="002D5713" w:rsidP="002D5713">
      <w:pPr>
        <w:autoSpaceDE w:val="0"/>
        <w:autoSpaceDN w:val="0"/>
        <w:adjustRightInd w:val="0"/>
        <w:ind w:left="1440" w:hanging="1440"/>
        <w:jc w:val="both"/>
      </w:pPr>
      <w:r>
        <w:rPr>
          <w:b/>
          <w:bCs/>
          <w:u w:val="single"/>
        </w:rPr>
        <w:t>ISSUE 21</w:t>
      </w:r>
      <w:r>
        <w:t>:</w:t>
      </w:r>
      <w:r>
        <w:tab/>
      </w:r>
      <w:r w:rsidRPr="00C67061">
        <w:rPr>
          <w:b/>
        </w:rPr>
        <w:t xml:space="preserve">What are the appropriate fuel recovery line loss multipliers to be used in calculating the fuel cost recovery factors charged to each rate class/delivery voltage level class? </w:t>
      </w:r>
      <w:r>
        <w:t xml:space="preserve">                                                                         </w:t>
      </w:r>
    </w:p>
    <w:p w:rsidR="002D5713" w:rsidRDefault="002D5713" w:rsidP="002D5713">
      <w:pPr>
        <w:autoSpaceDE w:val="0"/>
        <w:autoSpaceDN w:val="0"/>
        <w:adjustRightInd w:val="0"/>
        <w:jc w:val="both"/>
        <w:rPr>
          <w:b/>
          <w:bCs/>
          <w:u w:val="single"/>
        </w:rPr>
      </w:pPr>
    </w:p>
    <w:p w:rsidR="002D5713" w:rsidRDefault="002D5713" w:rsidP="002D5713">
      <w:pPr>
        <w:tabs>
          <w:tab w:val="left" w:pos="8571"/>
        </w:tabs>
        <w:autoSpaceDE w:val="0"/>
        <w:autoSpaceDN w:val="0"/>
        <w:adjustRightInd w:val="0"/>
        <w:ind w:left="1440" w:hanging="1440"/>
        <w:jc w:val="both"/>
        <w:rPr>
          <w:b/>
        </w:rPr>
      </w:pPr>
      <w:r w:rsidRPr="002D5713">
        <w:rPr>
          <w:b/>
          <w:u w:val="single"/>
        </w:rPr>
        <w:t>STIPULATION</w:t>
      </w:r>
      <w:r>
        <w:rPr>
          <w:b/>
        </w:rPr>
        <w:t xml:space="preserve">:  </w:t>
      </w:r>
    </w:p>
    <w:p w:rsidR="002D5713" w:rsidRDefault="002D5713" w:rsidP="002D5713">
      <w:pPr>
        <w:tabs>
          <w:tab w:val="left" w:pos="8571"/>
        </w:tabs>
        <w:autoSpaceDE w:val="0"/>
        <w:autoSpaceDN w:val="0"/>
        <w:adjustRightInd w:val="0"/>
        <w:ind w:left="1440" w:hanging="1440"/>
        <w:jc w:val="both"/>
        <w:rPr>
          <w:b/>
        </w:rPr>
      </w:pPr>
    </w:p>
    <w:p w:rsidR="002D5713" w:rsidRDefault="002D5713" w:rsidP="002D5713">
      <w:pPr>
        <w:tabs>
          <w:tab w:val="left" w:pos="8571"/>
        </w:tabs>
        <w:autoSpaceDE w:val="0"/>
        <w:autoSpaceDN w:val="0"/>
        <w:adjustRightInd w:val="0"/>
        <w:ind w:left="1440" w:hanging="1440"/>
        <w:jc w:val="both"/>
        <w:rPr>
          <w:b/>
        </w:rPr>
      </w:pPr>
      <w:r>
        <w:rPr>
          <w:b/>
        </w:rPr>
        <w:tab/>
      </w:r>
      <w:r>
        <w:t>The appropriate fuel recovery line loss multipliers to be used in calculating the fuel cost recovery factors charged to each rate class/delivery voltage level class are shown below:</w:t>
      </w:r>
    </w:p>
    <w:p w:rsidR="002D5713" w:rsidRDefault="002D5713" w:rsidP="002D5713">
      <w:pPr>
        <w:jc w:val="both"/>
        <w:rPr>
          <w:highlight w:val="yellow"/>
        </w:rPr>
      </w:pPr>
    </w:p>
    <w:p w:rsidR="002D5713" w:rsidRDefault="002D5713" w:rsidP="002D5713">
      <w:pPr>
        <w:keepNext/>
        <w:keepLines/>
        <w:jc w:val="both"/>
        <w:rPr>
          <w:b/>
        </w:rPr>
      </w:pPr>
      <w:r w:rsidRPr="00F740AF">
        <w:rPr>
          <w:b/>
        </w:rPr>
        <w:t>DEF:</w:t>
      </w:r>
      <w:r>
        <w:rPr>
          <w:b/>
        </w:rPr>
        <w:tab/>
      </w:r>
      <w:r>
        <w:rPr>
          <w:b/>
        </w:rPr>
        <w:tab/>
      </w:r>
      <w:r>
        <w:t>See Table 21-1 below</w:t>
      </w:r>
      <w:r>
        <w:rPr>
          <w:b/>
        </w:rPr>
        <w:t>:</w:t>
      </w:r>
    </w:p>
    <w:p w:rsidR="002D5713" w:rsidRDefault="002D5713" w:rsidP="002D5713">
      <w:pPr>
        <w:keepNext/>
        <w:keepLines/>
        <w:jc w:val="both"/>
        <w:rPr>
          <w:b/>
        </w:rPr>
      </w:pPr>
    </w:p>
    <w:p w:rsidR="002D5713" w:rsidRDefault="002D5713" w:rsidP="002D5713">
      <w:pPr>
        <w:ind w:left="1440" w:hanging="1440"/>
        <w:jc w:val="center"/>
        <w:rPr>
          <w:rFonts w:ascii="Arial" w:hAnsi="Arial" w:cs="Arial"/>
          <w:b/>
        </w:rPr>
      </w:pPr>
      <w:r>
        <w:rPr>
          <w:rFonts w:ascii="Arial" w:hAnsi="Arial" w:cs="Arial"/>
          <w:b/>
        </w:rPr>
        <w:t xml:space="preserve">               Table 21-1</w:t>
      </w:r>
    </w:p>
    <w:p w:rsidR="002D5713" w:rsidRDefault="002D5713" w:rsidP="002D5713">
      <w:pPr>
        <w:keepNext/>
        <w:keepLines/>
        <w:jc w:val="center"/>
        <w:rPr>
          <w:rFonts w:ascii="Arial" w:hAnsi="Arial" w:cs="Arial"/>
          <w:b/>
        </w:rPr>
      </w:pPr>
      <w:r>
        <w:rPr>
          <w:rFonts w:ascii="Arial" w:hAnsi="Arial" w:cs="Arial"/>
          <w:b/>
        </w:rPr>
        <w:t xml:space="preserve">                         DEF Fuel Recovery Line Loss Multipliers</w:t>
      </w:r>
    </w:p>
    <w:p w:rsidR="002D5713" w:rsidRDefault="002D5713" w:rsidP="002D5713">
      <w:pPr>
        <w:keepNext/>
        <w:keepLines/>
        <w:jc w:val="center"/>
      </w:pPr>
      <w:r>
        <w:rPr>
          <w:rFonts w:ascii="Arial" w:hAnsi="Arial" w:cs="Arial"/>
          <w:b/>
        </w:rPr>
        <w:t xml:space="preserve">                        </w:t>
      </w:r>
      <w:proofErr w:type="gramStart"/>
      <w:r>
        <w:rPr>
          <w:rFonts w:ascii="Arial" w:hAnsi="Arial" w:cs="Arial"/>
          <w:b/>
        </w:rPr>
        <w:t>for</w:t>
      </w:r>
      <w:proofErr w:type="gramEnd"/>
      <w:r>
        <w:rPr>
          <w:rFonts w:ascii="Arial" w:hAnsi="Arial" w:cs="Arial"/>
          <w:b/>
        </w:rPr>
        <w:t xml:space="preserve"> the period January-December, 2020</w:t>
      </w:r>
    </w:p>
    <w:tbl>
      <w:tblPr>
        <w:tblStyle w:val="TableGrid"/>
        <w:tblW w:w="0" w:type="auto"/>
        <w:tblInd w:w="1638" w:type="dxa"/>
        <w:tblLook w:val="04A0" w:firstRow="1" w:lastRow="0" w:firstColumn="1" w:lastColumn="0" w:noHBand="0" w:noVBand="1"/>
      </w:tblPr>
      <w:tblGrid>
        <w:gridCol w:w="1890"/>
        <w:gridCol w:w="3207"/>
        <w:gridCol w:w="2733"/>
      </w:tblGrid>
      <w:tr w:rsidR="002D5713" w:rsidTr="004813E3">
        <w:tc>
          <w:tcPr>
            <w:tcW w:w="1890" w:type="dxa"/>
            <w:tcBorders>
              <w:top w:val="single" w:sz="4" w:space="0" w:color="auto"/>
              <w:left w:val="single" w:sz="4" w:space="0" w:color="auto"/>
              <w:bottom w:val="single" w:sz="4" w:space="0" w:color="auto"/>
              <w:right w:val="single" w:sz="4" w:space="0" w:color="auto"/>
            </w:tcBorders>
            <w:hideMark/>
          </w:tcPr>
          <w:p w:rsidR="002D5713" w:rsidRDefault="002D5713" w:rsidP="004813E3">
            <w:pPr>
              <w:jc w:val="center"/>
            </w:pPr>
            <w:r>
              <w:t>Group</w:t>
            </w:r>
          </w:p>
        </w:tc>
        <w:tc>
          <w:tcPr>
            <w:tcW w:w="3207" w:type="dxa"/>
            <w:tcBorders>
              <w:top w:val="single" w:sz="4" w:space="0" w:color="auto"/>
              <w:left w:val="single" w:sz="4" w:space="0" w:color="auto"/>
              <w:bottom w:val="single" w:sz="4" w:space="0" w:color="auto"/>
              <w:right w:val="single" w:sz="4" w:space="0" w:color="auto"/>
            </w:tcBorders>
          </w:tcPr>
          <w:p w:rsidR="002D5713" w:rsidRDefault="002D5713" w:rsidP="004813E3">
            <w:pPr>
              <w:jc w:val="center"/>
            </w:pPr>
            <w:r>
              <w:t>Delivery Voltage Level</w:t>
            </w:r>
          </w:p>
        </w:tc>
        <w:tc>
          <w:tcPr>
            <w:tcW w:w="2733" w:type="dxa"/>
            <w:tcBorders>
              <w:top w:val="single" w:sz="4" w:space="0" w:color="auto"/>
              <w:left w:val="single" w:sz="4" w:space="0" w:color="auto"/>
              <w:bottom w:val="single" w:sz="4" w:space="0" w:color="auto"/>
              <w:right w:val="single" w:sz="4" w:space="0" w:color="auto"/>
            </w:tcBorders>
            <w:hideMark/>
          </w:tcPr>
          <w:p w:rsidR="002D5713" w:rsidRDefault="002D5713" w:rsidP="004813E3">
            <w:pPr>
              <w:jc w:val="center"/>
            </w:pPr>
            <w:r>
              <w:t>Line Loss Multiplier</w:t>
            </w:r>
          </w:p>
        </w:tc>
      </w:tr>
      <w:tr w:rsidR="002D5713" w:rsidTr="004813E3">
        <w:tc>
          <w:tcPr>
            <w:tcW w:w="1890" w:type="dxa"/>
            <w:tcBorders>
              <w:top w:val="single" w:sz="4" w:space="0" w:color="auto"/>
              <w:left w:val="single" w:sz="4" w:space="0" w:color="auto"/>
              <w:bottom w:val="single" w:sz="4" w:space="0" w:color="auto"/>
              <w:right w:val="single" w:sz="4" w:space="0" w:color="auto"/>
            </w:tcBorders>
            <w:hideMark/>
          </w:tcPr>
          <w:p w:rsidR="002D5713" w:rsidRDefault="002D5713" w:rsidP="004813E3">
            <w:pPr>
              <w:jc w:val="center"/>
            </w:pPr>
            <w:r>
              <w:t>A</w:t>
            </w:r>
          </w:p>
        </w:tc>
        <w:tc>
          <w:tcPr>
            <w:tcW w:w="3207"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Transmission</w:t>
            </w:r>
          </w:p>
        </w:tc>
        <w:tc>
          <w:tcPr>
            <w:tcW w:w="2733" w:type="dxa"/>
            <w:tcBorders>
              <w:top w:val="single" w:sz="4" w:space="0" w:color="auto"/>
              <w:left w:val="single" w:sz="4" w:space="0" w:color="auto"/>
              <w:bottom w:val="single" w:sz="4" w:space="0" w:color="auto"/>
              <w:right w:val="single" w:sz="4" w:space="0" w:color="auto"/>
            </w:tcBorders>
            <w:hideMark/>
          </w:tcPr>
          <w:p w:rsidR="002D5713" w:rsidRPr="009D34A4" w:rsidRDefault="002D5713" w:rsidP="004813E3">
            <w:pPr>
              <w:jc w:val="center"/>
            </w:pPr>
            <w:r>
              <w:t>0.98</w:t>
            </w:r>
          </w:p>
        </w:tc>
      </w:tr>
      <w:tr w:rsidR="002D5713" w:rsidTr="004813E3">
        <w:tc>
          <w:tcPr>
            <w:tcW w:w="1890" w:type="dxa"/>
            <w:tcBorders>
              <w:top w:val="single" w:sz="4" w:space="0" w:color="auto"/>
              <w:left w:val="single" w:sz="4" w:space="0" w:color="auto"/>
              <w:bottom w:val="single" w:sz="4" w:space="0" w:color="auto"/>
              <w:right w:val="single" w:sz="4" w:space="0" w:color="auto"/>
            </w:tcBorders>
          </w:tcPr>
          <w:p w:rsidR="002D5713" w:rsidRDefault="002D5713" w:rsidP="004813E3">
            <w:pPr>
              <w:jc w:val="center"/>
            </w:pPr>
            <w:r>
              <w:t>B</w:t>
            </w:r>
          </w:p>
        </w:tc>
        <w:tc>
          <w:tcPr>
            <w:tcW w:w="3207"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Distribution Primary</w:t>
            </w:r>
          </w:p>
        </w:tc>
        <w:tc>
          <w:tcPr>
            <w:tcW w:w="2733"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0.99</w:t>
            </w:r>
          </w:p>
        </w:tc>
      </w:tr>
      <w:tr w:rsidR="002D5713" w:rsidTr="004813E3">
        <w:tc>
          <w:tcPr>
            <w:tcW w:w="1890" w:type="dxa"/>
            <w:tcBorders>
              <w:top w:val="single" w:sz="4" w:space="0" w:color="auto"/>
              <w:left w:val="single" w:sz="4" w:space="0" w:color="auto"/>
              <w:bottom w:val="single" w:sz="4" w:space="0" w:color="auto"/>
              <w:right w:val="single" w:sz="4" w:space="0" w:color="auto"/>
            </w:tcBorders>
          </w:tcPr>
          <w:p w:rsidR="002D5713" w:rsidRDefault="002D5713" w:rsidP="004813E3">
            <w:pPr>
              <w:jc w:val="center"/>
            </w:pPr>
            <w:r>
              <w:t>C</w:t>
            </w:r>
          </w:p>
        </w:tc>
        <w:tc>
          <w:tcPr>
            <w:tcW w:w="3207"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Distribution Secondary</w:t>
            </w:r>
          </w:p>
        </w:tc>
        <w:tc>
          <w:tcPr>
            <w:tcW w:w="2733"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1.00</w:t>
            </w:r>
          </w:p>
        </w:tc>
      </w:tr>
      <w:tr w:rsidR="002D5713" w:rsidTr="004813E3">
        <w:tc>
          <w:tcPr>
            <w:tcW w:w="1890" w:type="dxa"/>
            <w:tcBorders>
              <w:top w:val="single" w:sz="4" w:space="0" w:color="auto"/>
              <w:left w:val="single" w:sz="4" w:space="0" w:color="auto"/>
              <w:bottom w:val="single" w:sz="4" w:space="0" w:color="auto"/>
              <w:right w:val="single" w:sz="4" w:space="0" w:color="auto"/>
            </w:tcBorders>
            <w:hideMark/>
          </w:tcPr>
          <w:p w:rsidR="002D5713" w:rsidRDefault="002D5713" w:rsidP="004813E3">
            <w:pPr>
              <w:jc w:val="center"/>
            </w:pPr>
            <w:r>
              <w:t>D</w:t>
            </w:r>
          </w:p>
        </w:tc>
        <w:tc>
          <w:tcPr>
            <w:tcW w:w="3207"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Lighting Service</w:t>
            </w:r>
          </w:p>
        </w:tc>
        <w:tc>
          <w:tcPr>
            <w:tcW w:w="2733" w:type="dxa"/>
            <w:tcBorders>
              <w:top w:val="single" w:sz="4" w:space="0" w:color="auto"/>
              <w:left w:val="single" w:sz="4" w:space="0" w:color="auto"/>
              <w:bottom w:val="single" w:sz="4" w:space="0" w:color="auto"/>
              <w:right w:val="single" w:sz="4" w:space="0" w:color="auto"/>
            </w:tcBorders>
            <w:hideMark/>
          </w:tcPr>
          <w:p w:rsidR="002D5713" w:rsidRPr="009D34A4" w:rsidRDefault="002D5713" w:rsidP="004813E3">
            <w:pPr>
              <w:jc w:val="center"/>
            </w:pPr>
            <w:r>
              <w:t>1.00</w:t>
            </w:r>
          </w:p>
        </w:tc>
      </w:tr>
    </w:tbl>
    <w:p w:rsidR="002D5713" w:rsidRDefault="002D5713" w:rsidP="002D5713">
      <w:pPr>
        <w:autoSpaceDE w:val="0"/>
        <w:autoSpaceDN w:val="0"/>
        <w:adjustRightInd w:val="0"/>
        <w:ind w:left="1440"/>
        <w:jc w:val="both"/>
        <w:rPr>
          <w:bCs/>
        </w:rPr>
      </w:pPr>
      <w:r>
        <w:rPr>
          <w:sz w:val="22"/>
          <w:szCs w:val="22"/>
        </w:rPr>
        <w:t xml:space="preserve">    Source: Menendez </w:t>
      </w:r>
      <w:proofErr w:type="gramStart"/>
      <w:r>
        <w:rPr>
          <w:sz w:val="22"/>
          <w:szCs w:val="22"/>
        </w:rPr>
        <w:t>Testimony,</w:t>
      </w:r>
      <w:proofErr w:type="gramEnd"/>
      <w:r>
        <w:rPr>
          <w:sz w:val="22"/>
          <w:szCs w:val="22"/>
        </w:rPr>
        <w:t xml:space="preserve"> dated September 3, 2019 (Page 3).</w:t>
      </w:r>
    </w:p>
    <w:p w:rsidR="002D5713" w:rsidRDefault="002D5713" w:rsidP="002D5713">
      <w:pPr>
        <w:jc w:val="both"/>
        <w:rPr>
          <w:highlight w:val="yellow"/>
        </w:rPr>
      </w:pPr>
    </w:p>
    <w:p w:rsidR="002D5713" w:rsidRDefault="002D5713" w:rsidP="002D5713">
      <w:pPr>
        <w:ind w:left="1440" w:hanging="1440"/>
        <w:jc w:val="both"/>
      </w:pPr>
      <w:r w:rsidRPr="00F740AF">
        <w:rPr>
          <w:b/>
          <w:bCs/>
        </w:rPr>
        <w:t>FPL:</w:t>
      </w:r>
      <w:r>
        <w:tab/>
        <w:t xml:space="preserve">The appropriate fuel recovery line loss multipliers to be used in calculating the fuel cost recovery factors charged to each rate class/delivery voltage level class are provided in response to Issue No. 22.  </w:t>
      </w:r>
    </w:p>
    <w:p w:rsidR="002D5713" w:rsidRDefault="002D5713" w:rsidP="002D5713">
      <w:pPr>
        <w:jc w:val="both"/>
        <w:rPr>
          <w:highlight w:val="yellow"/>
        </w:rPr>
      </w:pPr>
    </w:p>
    <w:p w:rsidR="002D5713" w:rsidRDefault="002D5713" w:rsidP="002D5713">
      <w:pPr>
        <w:ind w:left="1440" w:hanging="1440"/>
        <w:jc w:val="both"/>
      </w:pPr>
      <w:r w:rsidRPr="00F740AF">
        <w:rPr>
          <w:b/>
        </w:rPr>
        <w:t>FPUC:</w:t>
      </w:r>
      <w:r>
        <w:rPr>
          <w:b/>
        </w:rPr>
        <w:tab/>
      </w:r>
      <w:r>
        <w:t>The appropriate fuel recovery line loss multiplier to be used in calculating the fuel cost recove</w:t>
      </w:r>
      <w:r w:rsidRPr="009B29FF">
        <w:t>ry factors charged to each rate class/delivery voltage level c</w:t>
      </w:r>
      <w:r>
        <w:t xml:space="preserve">lass is 1.0000, as reflected on Line 26a, Schedule E1 (Revised </w:t>
      </w:r>
      <w:r w:rsidRPr="000824D3">
        <w:t>Exhibit M</w:t>
      </w:r>
      <w:r>
        <w:t xml:space="preserve">DN-1, </w:t>
      </w:r>
      <w:r w:rsidRPr="009B29FF">
        <w:t xml:space="preserve">Page 1 of 8).  </w:t>
      </w:r>
    </w:p>
    <w:p w:rsidR="002D5713" w:rsidRDefault="002D5713" w:rsidP="002D5713">
      <w:pPr>
        <w:rPr>
          <w:b/>
          <w:u w:val="single"/>
        </w:rPr>
      </w:pPr>
    </w:p>
    <w:p w:rsidR="002D5713" w:rsidRDefault="002D5713" w:rsidP="002D5713">
      <w:r>
        <w:br w:type="page"/>
      </w:r>
    </w:p>
    <w:p w:rsidR="002D5713" w:rsidRDefault="002D5713" w:rsidP="002D5713">
      <w:pPr>
        <w:keepNext/>
        <w:keepLines/>
        <w:autoSpaceDE w:val="0"/>
        <w:autoSpaceDN w:val="0"/>
        <w:adjustRightInd w:val="0"/>
        <w:ind w:left="1440" w:hanging="1440"/>
        <w:jc w:val="both"/>
      </w:pPr>
      <w:r w:rsidRPr="00F740AF">
        <w:rPr>
          <w:b/>
        </w:rPr>
        <w:lastRenderedPageBreak/>
        <w:t>Gulf:</w:t>
      </w:r>
      <w:r>
        <w:rPr>
          <w:b/>
        </w:rPr>
        <w:tab/>
      </w:r>
      <w:r>
        <w:t xml:space="preserve">See Table 21-2 below: </w:t>
      </w:r>
    </w:p>
    <w:p w:rsidR="002D5713" w:rsidRDefault="002D5713" w:rsidP="002D5713">
      <w:pPr>
        <w:keepNext/>
        <w:keepLines/>
        <w:autoSpaceDE w:val="0"/>
        <w:autoSpaceDN w:val="0"/>
        <w:adjustRightInd w:val="0"/>
        <w:ind w:left="1440" w:hanging="1440"/>
        <w:jc w:val="both"/>
      </w:pPr>
    </w:p>
    <w:p w:rsidR="002D5713" w:rsidRPr="00952579" w:rsidRDefault="002D5713" w:rsidP="002D5713">
      <w:pPr>
        <w:ind w:left="1440" w:hanging="1440"/>
        <w:jc w:val="center"/>
        <w:rPr>
          <w:rFonts w:ascii="Arial" w:hAnsi="Arial" w:cs="Arial"/>
          <w:b/>
        </w:rPr>
      </w:pPr>
      <w:r w:rsidRPr="00952579">
        <w:rPr>
          <w:rFonts w:ascii="Arial" w:hAnsi="Arial" w:cs="Arial"/>
          <w:b/>
        </w:rPr>
        <w:t xml:space="preserve">Table </w:t>
      </w:r>
      <w:r>
        <w:rPr>
          <w:rFonts w:ascii="Arial" w:hAnsi="Arial" w:cs="Arial"/>
          <w:b/>
        </w:rPr>
        <w:t>21-2</w:t>
      </w:r>
    </w:p>
    <w:p w:rsidR="002D5713" w:rsidRDefault="002D5713" w:rsidP="002D5713">
      <w:pPr>
        <w:keepNext/>
        <w:keepLines/>
        <w:ind w:left="720" w:hanging="720"/>
        <w:jc w:val="center"/>
        <w:rPr>
          <w:rFonts w:ascii="Arial" w:hAnsi="Arial" w:cs="Arial"/>
          <w:b/>
        </w:rPr>
      </w:pPr>
      <w:r>
        <w:rPr>
          <w:rFonts w:ascii="Arial" w:hAnsi="Arial" w:cs="Arial"/>
          <w:b/>
        </w:rPr>
        <w:t xml:space="preserve">GULF </w:t>
      </w:r>
      <w:r w:rsidRPr="00952579">
        <w:rPr>
          <w:rFonts w:ascii="Arial" w:hAnsi="Arial" w:cs="Arial"/>
          <w:b/>
        </w:rPr>
        <w:t>Fu</w:t>
      </w:r>
      <w:r>
        <w:rPr>
          <w:rFonts w:ascii="Arial" w:hAnsi="Arial" w:cs="Arial"/>
          <w:b/>
        </w:rPr>
        <w:t>el Recovery Line Loss Multipliers</w:t>
      </w:r>
    </w:p>
    <w:p w:rsidR="002D5713" w:rsidRPr="00E210A5" w:rsidRDefault="002D5713" w:rsidP="002D5713">
      <w:pPr>
        <w:keepNext/>
        <w:keepLines/>
        <w:ind w:left="720" w:hanging="720"/>
        <w:jc w:val="center"/>
      </w:pPr>
      <w:proofErr w:type="gramStart"/>
      <w:r>
        <w:rPr>
          <w:rFonts w:ascii="Arial" w:hAnsi="Arial" w:cs="Arial"/>
          <w:b/>
        </w:rPr>
        <w:t>for</w:t>
      </w:r>
      <w:proofErr w:type="gramEnd"/>
      <w:r>
        <w:rPr>
          <w:rFonts w:ascii="Arial" w:hAnsi="Arial" w:cs="Arial"/>
          <w:b/>
        </w:rPr>
        <w:t xml:space="preserve"> the period January-December, 2020</w:t>
      </w:r>
    </w:p>
    <w:p w:rsidR="002D5713" w:rsidRDefault="002D5713" w:rsidP="002D5713">
      <w:pPr>
        <w:rPr>
          <w:b/>
          <w:u w:val="single"/>
        </w:rPr>
      </w:pPr>
    </w:p>
    <w:tbl>
      <w:tblPr>
        <w:tblW w:w="9540" w:type="dxa"/>
        <w:tblInd w:w="75" w:type="dxa"/>
        <w:tblLayout w:type="fixed"/>
        <w:tblCellMar>
          <w:left w:w="165" w:type="dxa"/>
          <w:right w:w="165" w:type="dxa"/>
        </w:tblCellMar>
        <w:tblLook w:val="0000" w:firstRow="0" w:lastRow="0" w:firstColumn="0" w:lastColumn="0" w:noHBand="0" w:noVBand="0"/>
      </w:tblPr>
      <w:tblGrid>
        <w:gridCol w:w="990"/>
        <w:gridCol w:w="4950"/>
        <w:gridCol w:w="3600"/>
      </w:tblGrid>
      <w:tr w:rsidR="002D5713" w:rsidRPr="001C4B18" w:rsidTr="004813E3">
        <w:trPr>
          <w:cantSplit/>
          <w:trHeight w:val="276"/>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2D5713" w:rsidRPr="001C4B18" w:rsidRDefault="002D5713" w:rsidP="004813E3">
            <w:pPr>
              <w:keepNext/>
              <w:keepLines/>
              <w:jc w:val="center"/>
              <w:rPr>
                <w:bCs/>
              </w:rPr>
            </w:pPr>
            <w:r w:rsidRPr="001C4B18">
              <w:rPr>
                <w:bCs/>
              </w:rPr>
              <w:t>Group</w:t>
            </w:r>
          </w:p>
        </w:tc>
        <w:tc>
          <w:tcPr>
            <w:tcW w:w="4950" w:type="dxa"/>
            <w:vMerge w:val="restart"/>
            <w:tcBorders>
              <w:top w:val="single" w:sz="4" w:space="0" w:color="auto"/>
              <w:left w:val="single" w:sz="4" w:space="0" w:color="auto"/>
              <w:bottom w:val="single" w:sz="4" w:space="0" w:color="auto"/>
              <w:right w:val="single" w:sz="4" w:space="0" w:color="auto"/>
            </w:tcBorders>
            <w:vAlign w:val="center"/>
          </w:tcPr>
          <w:p w:rsidR="002D5713" w:rsidRPr="001C4B18" w:rsidRDefault="002D5713" w:rsidP="004813E3">
            <w:pPr>
              <w:keepNext/>
              <w:keepLines/>
              <w:jc w:val="center"/>
            </w:pPr>
            <w:r w:rsidRPr="001C4B18">
              <w:rPr>
                <w:bCs/>
              </w:rPr>
              <w:t>Rate Schedules</w:t>
            </w:r>
          </w:p>
        </w:tc>
        <w:tc>
          <w:tcPr>
            <w:tcW w:w="3600" w:type="dxa"/>
            <w:vMerge w:val="restart"/>
            <w:tcBorders>
              <w:top w:val="single" w:sz="4" w:space="0" w:color="auto"/>
              <w:left w:val="single" w:sz="4" w:space="0" w:color="auto"/>
              <w:bottom w:val="single" w:sz="4" w:space="0" w:color="auto"/>
              <w:right w:val="single" w:sz="4" w:space="0" w:color="auto"/>
            </w:tcBorders>
            <w:vAlign w:val="center"/>
          </w:tcPr>
          <w:p w:rsidR="002D5713" w:rsidRPr="001C4B18" w:rsidRDefault="002D5713" w:rsidP="004813E3">
            <w:pPr>
              <w:keepNext/>
              <w:keepLines/>
              <w:jc w:val="center"/>
              <w:rPr>
                <w:bCs/>
              </w:rPr>
            </w:pPr>
            <w:r>
              <w:rPr>
                <w:bCs/>
              </w:rPr>
              <w:t>Fuel Recovery</w:t>
            </w:r>
            <w:r w:rsidRPr="001C4B18">
              <w:rPr>
                <w:bCs/>
              </w:rPr>
              <w:t xml:space="preserve"> Loss Multipliers</w:t>
            </w:r>
          </w:p>
        </w:tc>
      </w:tr>
      <w:tr w:rsidR="002D5713" w:rsidRPr="001C4B18" w:rsidTr="004813E3">
        <w:trPr>
          <w:cantSplit/>
          <w:trHeight w:val="276"/>
        </w:trPr>
        <w:tc>
          <w:tcPr>
            <w:tcW w:w="990" w:type="dxa"/>
            <w:vMerge/>
            <w:tcBorders>
              <w:top w:val="nil"/>
              <w:left w:val="single" w:sz="4" w:space="0" w:color="auto"/>
              <w:bottom w:val="single" w:sz="4" w:space="0" w:color="auto"/>
              <w:right w:val="single" w:sz="4" w:space="0" w:color="auto"/>
            </w:tcBorders>
          </w:tcPr>
          <w:p w:rsidR="002D5713" w:rsidRPr="001C4B18" w:rsidRDefault="002D5713" w:rsidP="004813E3">
            <w:pPr>
              <w:keepNext/>
              <w:keepLines/>
            </w:pPr>
          </w:p>
        </w:tc>
        <w:tc>
          <w:tcPr>
            <w:tcW w:w="4950" w:type="dxa"/>
            <w:vMerge/>
            <w:tcBorders>
              <w:top w:val="nil"/>
              <w:left w:val="single" w:sz="4" w:space="0" w:color="auto"/>
              <w:bottom w:val="single" w:sz="4" w:space="0" w:color="auto"/>
              <w:right w:val="single" w:sz="4" w:space="0" w:color="auto"/>
            </w:tcBorders>
          </w:tcPr>
          <w:p w:rsidR="002D5713" w:rsidRPr="001C4B18" w:rsidRDefault="002D5713" w:rsidP="004813E3">
            <w:pPr>
              <w:keepNext/>
              <w:keepLines/>
            </w:pPr>
          </w:p>
        </w:tc>
        <w:tc>
          <w:tcPr>
            <w:tcW w:w="3600" w:type="dxa"/>
            <w:vMerge/>
            <w:tcBorders>
              <w:top w:val="nil"/>
              <w:left w:val="single" w:sz="4" w:space="0" w:color="auto"/>
              <w:bottom w:val="single" w:sz="4" w:space="0" w:color="auto"/>
              <w:right w:val="single" w:sz="4" w:space="0" w:color="auto"/>
            </w:tcBorders>
          </w:tcPr>
          <w:p w:rsidR="002D5713" w:rsidRPr="001C4B18" w:rsidRDefault="002D5713" w:rsidP="004813E3">
            <w:pPr>
              <w:keepNext/>
              <w:keepLines/>
            </w:pPr>
          </w:p>
        </w:tc>
      </w:tr>
      <w:tr w:rsidR="002D5713" w:rsidRPr="001C4B18" w:rsidTr="004813E3">
        <w:trPr>
          <w:cantSplit/>
          <w:trHeight w:val="366"/>
        </w:trPr>
        <w:tc>
          <w:tcPr>
            <w:tcW w:w="990" w:type="dxa"/>
            <w:vMerge/>
            <w:tcBorders>
              <w:top w:val="nil"/>
              <w:left w:val="single" w:sz="4" w:space="0" w:color="auto"/>
              <w:bottom w:val="single" w:sz="4" w:space="0" w:color="auto"/>
              <w:right w:val="single" w:sz="4" w:space="0" w:color="auto"/>
            </w:tcBorders>
          </w:tcPr>
          <w:p w:rsidR="002D5713" w:rsidRPr="001C4B18" w:rsidRDefault="002D5713" w:rsidP="004813E3">
            <w:pPr>
              <w:keepNext/>
              <w:keepLines/>
              <w:spacing w:after="90"/>
            </w:pPr>
          </w:p>
        </w:tc>
        <w:tc>
          <w:tcPr>
            <w:tcW w:w="4950" w:type="dxa"/>
            <w:vMerge/>
            <w:tcBorders>
              <w:top w:val="nil"/>
              <w:left w:val="single" w:sz="4" w:space="0" w:color="auto"/>
              <w:bottom w:val="single" w:sz="4" w:space="0" w:color="auto"/>
              <w:right w:val="single" w:sz="4" w:space="0" w:color="auto"/>
            </w:tcBorders>
          </w:tcPr>
          <w:p w:rsidR="002D5713" w:rsidRPr="001C4B18" w:rsidRDefault="002D5713" w:rsidP="004813E3">
            <w:pPr>
              <w:keepNext/>
              <w:keepLines/>
              <w:spacing w:after="90"/>
            </w:pPr>
          </w:p>
        </w:tc>
        <w:tc>
          <w:tcPr>
            <w:tcW w:w="3600" w:type="dxa"/>
            <w:vMerge/>
            <w:tcBorders>
              <w:top w:val="nil"/>
              <w:left w:val="single" w:sz="4" w:space="0" w:color="auto"/>
              <w:bottom w:val="single" w:sz="4" w:space="0" w:color="auto"/>
              <w:right w:val="single" w:sz="4" w:space="0" w:color="auto"/>
            </w:tcBorders>
          </w:tcPr>
          <w:p w:rsidR="002D5713" w:rsidRPr="001C4B18" w:rsidRDefault="002D5713" w:rsidP="004813E3">
            <w:pPr>
              <w:keepNext/>
              <w:keepLines/>
              <w:spacing w:after="90"/>
            </w:pPr>
          </w:p>
        </w:tc>
      </w:tr>
      <w:tr w:rsidR="002D5713" w:rsidRPr="001C4B18" w:rsidTr="004813E3">
        <w:trPr>
          <w:cantSplit/>
          <w:trHeight w:val="432"/>
        </w:trPr>
        <w:tc>
          <w:tcPr>
            <w:tcW w:w="990" w:type="dxa"/>
            <w:tcBorders>
              <w:top w:val="single" w:sz="4" w:space="0" w:color="auto"/>
              <w:left w:val="single" w:sz="4" w:space="0" w:color="auto"/>
              <w:bottom w:val="single" w:sz="4" w:space="0" w:color="auto"/>
              <w:right w:val="single" w:sz="4" w:space="0" w:color="auto"/>
            </w:tcBorders>
            <w:vAlign w:val="center"/>
          </w:tcPr>
          <w:p w:rsidR="002D5713" w:rsidRPr="001C4B18" w:rsidRDefault="002D5713" w:rsidP="004813E3">
            <w:pPr>
              <w:keepNext/>
              <w:keepLines/>
              <w:spacing w:line="182" w:lineRule="exact"/>
              <w:jc w:val="center"/>
              <w:rPr>
                <w:b/>
                <w:bCs/>
                <w:sz w:val="12"/>
                <w:szCs w:val="12"/>
              </w:rPr>
            </w:pPr>
          </w:p>
          <w:p w:rsidR="002D5713" w:rsidRPr="001C4B18" w:rsidRDefault="002D5713" w:rsidP="004813E3">
            <w:pPr>
              <w:keepNext/>
              <w:keepLines/>
              <w:jc w:val="center"/>
            </w:pPr>
            <w:r w:rsidRPr="001C4B18">
              <w:t>A</w:t>
            </w:r>
          </w:p>
        </w:tc>
        <w:tc>
          <w:tcPr>
            <w:tcW w:w="4950" w:type="dxa"/>
            <w:tcBorders>
              <w:top w:val="single" w:sz="4" w:space="0" w:color="auto"/>
              <w:left w:val="single" w:sz="4" w:space="0" w:color="auto"/>
              <w:bottom w:val="single" w:sz="6" w:space="0" w:color="FFFFFF"/>
              <w:right w:val="single" w:sz="8" w:space="0" w:color="000000"/>
            </w:tcBorders>
            <w:vAlign w:val="center"/>
          </w:tcPr>
          <w:p w:rsidR="002D5713" w:rsidRPr="001C4B18" w:rsidRDefault="002D5713" w:rsidP="004813E3">
            <w:pPr>
              <w:keepNext/>
              <w:keepLines/>
              <w:jc w:val="center"/>
              <w:rPr>
                <w:sz w:val="8"/>
                <w:szCs w:val="8"/>
              </w:rPr>
            </w:pPr>
          </w:p>
          <w:p w:rsidR="002D5713" w:rsidRPr="001C4B18" w:rsidRDefault="002D5713" w:rsidP="004813E3">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C4B18">
              <w:t>RS, RSVP, RSTOU,</w:t>
            </w:r>
          </w:p>
          <w:p w:rsidR="002D5713" w:rsidRPr="001C4B18" w:rsidRDefault="002D5713" w:rsidP="004813E3">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C4B18">
              <w:t>GS, GSD, GSDT, GSTOU, OSIII, SBS(1)</w:t>
            </w:r>
          </w:p>
        </w:tc>
        <w:tc>
          <w:tcPr>
            <w:tcW w:w="3600" w:type="dxa"/>
            <w:tcBorders>
              <w:top w:val="single" w:sz="4" w:space="0" w:color="auto"/>
              <w:left w:val="single" w:sz="8" w:space="0" w:color="000000"/>
              <w:bottom w:val="single" w:sz="6" w:space="0" w:color="FFFFFF"/>
              <w:right w:val="single" w:sz="4" w:space="0" w:color="auto"/>
            </w:tcBorders>
            <w:vAlign w:val="center"/>
          </w:tcPr>
          <w:p w:rsidR="002D5713" w:rsidRPr="00F61D02" w:rsidRDefault="002D5713" w:rsidP="004813E3">
            <w:pPr>
              <w:keepNext/>
              <w:keepLines/>
              <w:spacing w:line="182" w:lineRule="exact"/>
              <w:jc w:val="center"/>
            </w:pPr>
          </w:p>
          <w:p w:rsidR="002D5713" w:rsidRPr="00F61D02" w:rsidRDefault="002D5713" w:rsidP="004813E3">
            <w:pPr>
              <w:keepNext/>
              <w:keepLines/>
              <w:jc w:val="center"/>
            </w:pPr>
            <w:r w:rsidRPr="00F61D02">
              <w:t>1.00555</w:t>
            </w:r>
          </w:p>
        </w:tc>
      </w:tr>
      <w:tr w:rsidR="002D5713" w:rsidRPr="001C4B18" w:rsidTr="004813E3">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2D5713" w:rsidRPr="001C4B18" w:rsidRDefault="002D5713" w:rsidP="004813E3">
            <w:pPr>
              <w:keepNext/>
              <w:keepLines/>
              <w:jc w:val="center"/>
            </w:pPr>
            <w:r w:rsidRPr="001C4B18">
              <w:t>B</w:t>
            </w:r>
          </w:p>
        </w:tc>
        <w:tc>
          <w:tcPr>
            <w:tcW w:w="4950" w:type="dxa"/>
            <w:tcBorders>
              <w:top w:val="single" w:sz="7" w:space="0" w:color="000000"/>
              <w:left w:val="single" w:sz="4" w:space="0" w:color="auto"/>
              <w:bottom w:val="single" w:sz="6" w:space="0" w:color="FFFFFF"/>
              <w:right w:val="single" w:sz="8" w:space="0" w:color="000000"/>
            </w:tcBorders>
            <w:vAlign w:val="center"/>
          </w:tcPr>
          <w:p w:rsidR="002D5713" w:rsidRPr="001C4B18" w:rsidRDefault="002D5713" w:rsidP="004813E3">
            <w:pPr>
              <w:keepNext/>
              <w:keepLines/>
              <w:jc w:val="center"/>
            </w:pPr>
            <w:r w:rsidRPr="001C4B18">
              <w:t>LP, LPT, SBS(2)</w:t>
            </w:r>
          </w:p>
        </w:tc>
        <w:tc>
          <w:tcPr>
            <w:tcW w:w="3600" w:type="dxa"/>
            <w:tcBorders>
              <w:top w:val="single" w:sz="7" w:space="0" w:color="000000"/>
              <w:left w:val="single" w:sz="8" w:space="0" w:color="000000"/>
              <w:bottom w:val="single" w:sz="6" w:space="0" w:color="FFFFFF"/>
              <w:right w:val="single" w:sz="4" w:space="0" w:color="auto"/>
            </w:tcBorders>
            <w:vAlign w:val="center"/>
          </w:tcPr>
          <w:p w:rsidR="002D5713" w:rsidRPr="00F61D02" w:rsidRDefault="002D5713" w:rsidP="004813E3">
            <w:pPr>
              <w:keepNext/>
              <w:keepLines/>
              <w:jc w:val="center"/>
            </w:pPr>
            <w:r w:rsidRPr="00F61D02">
              <w:t>0.99188</w:t>
            </w:r>
          </w:p>
        </w:tc>
      </w:tr>
      <w:tr w:rsidR="002D5713" w:rsidRPr="001C4B18" w:rsidTr="004813E3">
        <w:trPr>
          <w:cantSplit/>
        </w:trPr>
        <w:tc>
          <w:tcPr>
            <w:tcW w:w="990" w:type="dxa"/>
            <w:tcBorders>
              <w:top w:val="single" w:sz="4" w:space="0" w:color="auto"/>
              <w:left w:val="single" w:sz="4" w:space="0" w:color="auto"/>
              <w:bottom w:val="single" w:sz="4" w:space="0" w:color="auto"/>
              <w:right w:val="single" w:sz="4" w:space="0" w:color="auto"/>
            </w:tcBorders>
            <w:vAlign w:val="center"/>
          </w:tcPr>
          <w:p w:rsidR="002D5713" w:rsidRPr="001C4B18" w:rsidRDefault="002D5713" w:rsidP="004813E3">
            <w:pPr>
              <w:keepNext/>
              <w:keepLines/>
              <w:jc w:val="center"/>
            </w:pPr>
            <w:r w:rsidRPr="001C4B18">
              <w:t>C</w:t>
            </w:r>
          </w:p>
        </w:tc>
        <w:tc>
          <w:tcPr>
            <w:tcW w:w="4950" w:type="dxa"/>
            <w:tcBorders>
              <w:top w:val="single" w:sz="7" w:space="0" w:color="000000"/>
              <w:left w:val="single" w:sz="4" w:space="0" w:color="auto"/>
              <w:bottom w:val="single" w:sz="4" w:space="0" w:color="auto"/>
              <w:right w:val="single" w:sz="8" w:space="0" w:color="000000"/>
            </w:tcBorders>
            <w:vAlign w:val="center"/>
          </w:tcPr>
          <w:p w:rsidR="002D5713" w:rsidRPr="001C4B18" w:rsidRDefault="002D5713" w:rsidP="004813E3">
            <w:pPr>
              <w:keepNext/>
              <w:keepLines/>
              <w:jc w:val="center"/>
            </w:pPr>
            <w:r w:rsidRPr="001C4B18">
              <w:t>PX, PXT, RTP, SBS(3)</w:t>
            </w:r>
          </w:p>
        </w:tc>
        <w:tc>
          <w:tcPr>
            <w:tcW w:w="3600" w:type="dxa"/>
            <w:tcBorders>
              <w:top w:val="single" w:sz="7" w:space="0" w:color="000000"/>
              <w:left w:val="single" w:sz="8" w:space="0" w:color="000000"/>
              <w:bottom w:val="single" w:sz="4" w:space="0" w:color="auto"/>
              <w:right w:val="single" w:sz="4" w:space="0" w:color="auto"/>
            </w:tcBorders>
            <w:vAlign w:val="center"/>
          </w:tcPr>
          <w:p w:rsidR="002D5713" w:rsidRPr="00F61D02" w:rsidRDefault="002D5713" w:rsidP="004813E3">
            <w:pPr>
              <w:keepNext/>
              <w:keepLines/>
              <w:jc w:val="center"/>
            </w:pPr>
            <w:r w:rsidRPr="00F61D02">
              <w:t>0.97668</w:t>
            </w:r>
          </w:p>
        </w:tc>
      </w:tr>
      <w:tr w:rsidR="002D5713" w:rsidRPr="001C4B18" w:rsidTr="004813E3">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2D5713" w:rsidRPr="001C4B18" w:rsidRDefault="002D5713" w:rsidP="004813E3">
            <w:pPr>
              <w:keepNext/>
              <w:keepLines/>
              <w:jc w:val="center"/>
            </w:pPr>
            <w:r w:rsidRPr="001C4B18">
              <w:t>D</w:t>
            </w:r>
          </w:p>
        </w:tc>
        <w:tc>
          <w:tcPr>
            <w:tcW w:w="4950" w:type="dxa"/>
            <w:tcBorders>
              <w:top w:val="single" w:sz="4" w:space="0" w:color="auto"/>
              <w:left w:val="single" w:sz="4" w:space="0" w:color="auto"/>
              <w:bottom w:val="single" w:sz="4" w:space="0" w:color="auto"/>
              <w:right w:val="single" w:sz="4" w:space="0" w:color="auto"/>
            </w:tcBorders>
            <w:vAlign w:val="center"/>
          </w:tcPr>
          <w:p w:rsidR="002D5713" w:rsidRPr="001C4B18" w:rsidRDefault="002D5713" w:rsidP="004813E3">
            <w:pPr>
              <w:keepNext/>
              <w:keepLines/>
              <w:spacing w:after="58"/>
              <w:jc w:val="center"/>
            </w:pPr>
            <w:r w:rsidRPr="001C4B18">
              <w:t>OSI/II</w:t>
            </w:r>
          </w:p>
        </w:tc>
        <w:tc>
          <w:tcPr>
            <w:tcW w:w="3600" w:type="dxa"/>
            <w:tcBorders>
              <w:top w:val="single" w:sz="4" w:space="0" w:color="auto"/>
              <w:left w:val="single" w:sz="4" w:space="0" w:color="auto"/>
              <w:bottom w:val="single" w:sz="4" w:space="0" w:color="auto"/>
              <w:right w:val="single" w:sz="4" w:space="0" w:color="auto"/>
            </w:tcBorders>
            <w:vAlign w:val="center"/>
          </w:tcPr>
          <w:p w:rsidR="002D5713" w:rsidRPr="00F61D02" w:rsidRDefault="002D5713" w:rsidP="004813E3">
            <w:pPr>
              <w:keepNext/>
              <w:keepLines/>
              <w:spacing w:after="58"/>
              <w:jc w:val="center"/>
            </w:pPr>
            <w:r w:rsidRPr="00F61D02">
              <w:t>1.00560</w:t>
            </w:r>
          </w:p>
        </w:tc>
      </w:tr>
      <w:tr w:rsidR="002D5713" w:rsidRPr="001C4B18" w:rsidTr="004813E3">
        <w:trPr>
          <w:cantSplit/>
          <w:trHeight w:val="461"/>
        </w:trPr>
        <w:tc>
          <w:tcPr>
            <w:tcW w:w="9540" w:type="dxa"/>
            <w:gridSpan w:val="3"/>
            <w:tcBorders>
              <w:top w:val="single" w:sz="4" w:space="0" w:color="auto"/>
              <w:left w:val="single" w:sz="4" w:space="0" w:color="auto"/>
              <w:bottom w:val="single" w:sz="4" w:space="0" w:color="auto"/>
              <w:right w:val="single" w:sz="4" w:space="0" w:color="auto"/>
            </w:tcBorders>
            <w:vAlign w:val="center"/>
          </w:tcPr>
          <w:p w:rsidR="002D5713" w:rsidRDefault="002D5713" w:rsidP="004813E3">
            <w:pPr>
              <w:pStyle w:val="ListParagraph"/>
              <w:keepNext/>
              <w:keepLines/>
              <w:numPr>
                <w:ilvl w:val="0"/>
                <w:numId w:val="18"/>
              </w:numPr>
              <w:spacing w:after="58"/>
            </w:pPr>
            <w:r>
              <w:t xml:space="preserve"> Includes SBS customers with a contract demand in the range of 100 to 499 kW</w:t>
            </w:r>
          </w:p>
          <w:p w:rsidR="002D5713" w:rsidRDefault="002D5713" w:rsidP="004813E3">
            <w:pPr>
              <w:pStyle w:val="ListParagraph"/>
              <w:keepNext/>
              <w:keepLines/>
              <w:numPr>
                <w:ilvl w:val="0"/>
                <w:numId w:val="18"/>
              </w:numPr>
              <w:spacing w:after="58"/>
            </w:pPr>
            <w:r>
              <w:t xml:space="preserve"> Includes SBS customers with a contract demand in the range of 500 to 7,499 kW</w:t>
            </w:r>
          </w:p>
          <w:p w:rsidR="002D5713" w:rsidRPr="00F61D02" w:rsidRDefault="002D5713" w:rsidP="004813E3">
            <w:pPr>
              <w:pStyle w:val="ListParagraph"/>
              <w:keepNext/>
              <w:keepLines/>
              <w:numPr>
                <w:ilvl w:val="0"/>
                <w:numId w:val="18"/>
              </w:numPr>
              <w:spacing w:after="58"/>
            </w:pPr>
            <w:r>
              <w:t xml:space="preserve"> Includes SBS customers with a contract demand over 7,499 kW</w:t>
            </w:r>
          </w:p>
        </w:tc>
      </w:tr>
    </w:tbl>
    <w:p w:rsidR="002D5713" w:rsidRDefault="002D5713" w:rsidP="002D5713">
      <w:pPr>
        <w:rPr>
          <w:sz w:val="22"/>
          <w:szCs w:val="22"/>
        </w:rPr>
      </w:pPr>
      <w:r>
        <w:rPr>
          <w:sz w:val="22"/>
          <w:szCs w:val="22"/>
        </w:rPr>
        <w:t>Source: S</w:t>
      </w:r>
      <w:r w:rsidRPr="00F61D02">
        <w:rPr>
          <w:sz w:val="22"/>
          <w:szCs w:val="22"/>
        </w:rPr>
        <w:t>chedule E</w:t>
      </w:r>
      <w:r>
        <w:rPr>
          <w:sz w:val="22"/>
          <w:szCs w:val="22"/>
        </w:rPr>
        <w:t xml:space="preserve">1-E (Exhibit CSB-5, 2020 Projection Filing, </w:t>
      </w:r>
      <w:r w:rsidRPr="00F61D02">
        <w:rPr>
          <w:sz w:val="22"/>
          <w:szCs w:val="22"/>
        </w:rPr>
        <w:t>Page 8 of 41)</w:t>
      </w:r>
      <w:r>
        <w:rPr>
          <w:sz w:val="22"/>
          <w:szCs w:val="22"/>
        </w:rPr>
        <w:t>.</w:t>
      </w:r>
    </w:p>
    <w:p w:rsidR="002D5713" w:rsidRDefault="002D5713" w:rsidP="002D5713">
      <w:pPr>
        <w:rPr>
          <w:sz w:val="22"/>
          <w:szCs w:val="22"/>
        </w:rPr>
      </w:pPr>
    </w:p>
    <w:p w:rsidR="002D5713" w:rsidRDefault="002D5713" w:rsidP="002D5713">
      <w:pPr>
        <w:rPr>
          <w:b/>
        </w:rPr>
      </w:pPr>
      <w:r w:rsidRPr="00F740AF">
        <w:rPr>
          <w:b/>
        </w:rPr>
        <w:t>TECO:</w:t>
      </w:r>
      <w:r w:rsidRPr="00F740AF">
        <w:rPr>
          <w:b/>
        </w:rPr>
        <w:tab/>
      </w:r>
      <w:r>
        <w:rPr>
          <w:b/>
        </w:rPr>
        <w:tab/>
      </w:r>
      <w:r>
        <w:t>See Table 21-3 below</w:t>
      </w:r>
      <w:r>
        <w:rPr>
          <w:b/>
        </w:rPr>
        <w:t>:</w:t>
      </w:r>
    </w:p>
    <w:p w:rsidR="004813E3" w:rsidRDefault="004813E3" w:rsidP="002D5713">
      <w:pPr>
        <w:rPr>
          <w:b/>
        </w:rPr>
      </w:pPr>
    </w:p>
    <w:p w:rsidR="002D5713" w:rsidRDefault="002D5713" w:rsidP="002D5713">
      <w:pPr>
        <w:ind w:left="1440" w:hanging="1440"/>
        <w:jc w:val="center"/>
        <w:rPr>
          <w:rFonts w:ascii="Arial" w:hAnsi="Arial" w:cs="Arial"/>
          <w:b/>
        </w:rPr>
      </w:pPr>
      <w:r>
        <w:rPr>
          <w:rFonts w:ascii="Arial" w:hAnsi="Arial" w:cs="Arial"/>
          <w:b/>
        </w:rPr>
        <w:t xml:space="preserve">               Table 21-3</w:t>
      </w:r>
    </w:p>
    <w:p w:rsidR="002D5713" w:rsidRDefault="002D5713" w:rsidP="002D5713">
      <w:pPr>
        <w:keepNext/>
        <w:keepLines/>
        <w:jc w:val="center"/>
        <w:rPr>
          <w:rFonts w:ascii="Arial" w:hAnsi="Arial" w:cs="Arial"/>
          <w:b/>
        </w:rPr>
      </w:pPr>
      <w:r>
        <w:rPr>
          <w:rFonts w:ascii="Arial" w:hAnsi="Arial" w:cs="Arial"/>
          <w:b/>
        </w:rPr>
        <w:t xml:space="preserve">                         TECO Fuel Recovery Line Loss Multipliers</w:t>
      </w:r>
    </w:p>
    <w:p w:rsidR="002D5713" w:rsidRDefault="002D5713" w:rsidP="002D5713">
      <w:pPr>
        <w:keepNext/>
        <w:keepLines/>
        <w:jc w:val="center"/>
      </w:pPr>
      <w:r>
        <w:rPr>
          <w:rFonts w:ascii="Arial" w:hAnsi="Arial" w:cs="Arial"/>
          <w:b/>
        </w:rPr>
        <w:t xml:space="preserve">                        </w:t>
      </w:r>
      <w:proofErr w:type="gramStart"/>
      <w:r>
        <w:rPr>
          <w:rFonts w:ascii="Arial" w:hAnsi="Arial" w:cs="Arial"/>
          <w:b/>
        </w:rPr>
        <w:t>for</w:t>
      </w:r>
      <w:proofErr w:type="gramEnd"/>
      <w:r>
        <w:rPr>
          <w:rFonts w:ascii="Arial" w:hAnsi="Arial" w:cs="Arial"/>
          <w:b/>
        </w:rPr>
        <w:t xml:space="preserve"> the period January-December, 2020</w:t>
      </w:r>
    </w:p>
    <w:tbl>
      <w:tblPr>
        <w:tblStyle w:val="TableGrid"/>
        <w:tblW w:w="8010" w:type="dxa"/>
        <w:tblInd w:w="1548" w:type="dxa"/>
        <w:tblLook w:val="04A0" w:firstRow="1" w:lastRow="0" w:firstColumn="1" w:lastColumn="0" w:noHBand="0" w:noVBand="1"/>
      </w:tblPr>
      <w:tblGrid>
        <w:gridCol w:w="3690"/>
        <w:gridCol w:w="4320"/>
      </w:tblGrid>
      <w:tr w:rsidR="002D5713" w:rsidTr="004813E3">
        <w:tc>
          <w:tcPr>
            <w:tcW w:w="3690" w:type="dxa"/>
            <w:tcBorders>
              <w:top w:val="single" w:sz="4" w:space="0" w:color="auto"/>
              <w:left w:val="single" w:sz="4" w:space="0" w:color="auto"/>
              <w:bottom w:val="single" w:sz="4" w:space="0" w:color="auto"/>
              <w:right w:val="single" w:sz="4" w:space="0" w:color="auto"/>
            </w:tcBorders>
          </w:tcPr>
          <w:p w:rsidR="002D5713" w:rsidRDefault="002D5713" w:rsidP="004813E3">
            <w:pPr>
              <w:jc w:val="center"/>
            </w:pPr>
            <w:r>
              <w:t>Delivery Voltage Level</w:t>
            </w:r>
          </w:p>
        </w:tc>
        <w:tc>
          <w:tcPr>
            <w:tcW w:w="4320" w:type="dxa"/>
            <w:tcBorders>
              <w:top w:val="single" w:sz="4" w:space="0" w:color="auto"/>
              <w:left w:val="single" w:sz="4" w:space="0" w:color="auto"/>
              <w:bottom w:val="single" w:sz="4" w:space="0" w:color="auto"/>
              <w:right w:val="single" w:sz="4" w:space="0" w:color="auto"/>
            </w:tcBorders>
            <w:hideMark/>
          </w:tcPr>
          <w:p w:rsidR="002D5713" w:rsidRDefault="002D5713" w:rsidP="004813E3">
            <w:pPr>
              <w:jc w:val="center"/>
            </w:pPr>
            <w:r>
              <w:t>Line Loss Multiplier</w:t>
            </w:r>
          </w:p>
        </w:tc>
      </w:tr>
      <w:tr w:rsidR="002D5713" w:rsidTr="004813E3">
        <w:tc>
          <w:tcPr>
            <w:tcW w:w="3690"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Transmission</w:t>
            </w:r>
          </w:p>
        </w:tc>
        <w:tc>
          <w:tcPr>
            <w:tcW w:w="4320" w:type="dxa"/>
            <w:tcBorders>
              <w:top w:val="single" w:sz="4" w:space="0" w:color="auto"/>
              <w:left w:val="single" w:sz="4" w:space="0" w:color="auto"/>
              <w:bottom w:val="single" w:sz="4" w:space="0" w:color="auto"/>
              <w:right w:val="single" w:sz="4" w:space="0" w:color="auto"/>
            </w:tcBorders>
            <w:hideMark/>
          </w:tcPr>
          <w:p w:rsidR="002D5713" w:rsidRPr="009D34A4" w:rsidRDefault="002D5713" w:rsidP="004813E3">
            <w:pPr>
              <w:jc w:val="center"/>
            </w:pPr>
            <w:r>
              <w:t>0.98</w:t>
            </w:r>
          </w:p>
        </w:tc>
      </w:tr>
      <w:tr w:rsidR="002D5713" w:rsidTr="004813E3">
        <w:tc>
          <w:tcPr>
            <w:tcW w:w="3690"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Distribution Primary</w:t>
            </w:r>
          </w:p>
        </w:tc>
        <w:tc>
          <w:tcPr>
            <w:tcW w:w="4320"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0.99</w:t>
            </w:r>
          </w:p>
        </w:tc>
      </w:tr>
      <w:tr w:rsidR="002D5713" w:rsidTr="004813E3">
        <w:tc>
          <w:tcPr>
            <w:tcW w:w="3690"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Distribution Secondary</w:t>
            </w:r>
          </w:p>
        </w:tc>
        <w:tc>
          <w:tcPr>
            <w:tcW w:w="4320"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1.00</w:t>
            </w:r>
          </w:p>
        </w:tc>
      </w:tr>
      <w:tr w:rsidR="002D5713" w:rsidTr="004813E3">
        <w:tc>
          <w:tcPr>
            <w:tcW w:w="3690" w:type="dxa"/>
            <w:tcBorders>
              <w:top w:val="single" w:sz="4" w:space="0" w:color="auto"/>
              <w:left w:val="single" w:sz="4" w:space="0" w:color="auto"/>
              <w:bottom w:val="single" w:sz="4" w:space="0" w:color="auto"/>
              <w:right w:val="single" w:sz="4" w:space="0" w:color="auto"/>
            </w:tcBorders>
          </w:tcPr>
          <w:p w:rsidR="002D5713" w:rsidRPr="009D34A4" w:rsidRDefault="002D5713" w:rsidP="004813E3">
            <w:pPr>
              <w:jc w:val="center"/>
            </w:pPr>
            <w:r>
              <w:t>Lighting Service</w:t>
            </w:r>
          </w:p>
        </w:tc>
        <w:tc>
          <w:tcPr>
            <w:tcW w:w="4320" w:type="dxa"/>
            <w:tcBorders>
              <w:top w:val="single" w:sz="4" w:space="0" w:color="auto"/>
              <w:left w:val="single" w:sz="4" w:space="0" w:color="auto"/>
              <w:bottom w:val="single" w:sz="4" w:space="0" w:color="auto"/>
              <w:right w:val="single" w:sz="4" w:space="0" w:color="auto"/>
            </w:tcBorders>
            <w:hideMark/>
          </w:tcPr>
          <w:p w:rsidR="002D5713" w:rsidRPr="009D34A4" w:rsidRDefault="002D5713" w:rsidP="004813E3">
            <w:pPr>
              <w:jc w:val="center"/>
            </w:pPr>
            <w:r>
              <w:t>1.00</w:t>
            </w:r>
          </w:p>
        </w:tc>
      </w:tr>
    </w:tbl>
    <w:p w:rsidR="002D5713" w:rsidRDefault="002D5713" w:rsidP="002D5713">
      <w:pPr>
        <w:autoSpaceDE w:val="0"/>
        <w:autoSpaceDN w:val="0"/>
        <w:adjustRightInd w:val="0"/>
        <w:ind w:left="1605"/>
        <w:jc w:val="both"/>
        <w:rPr>
          <w:sz w:val="22"/>
          <w:szCs w:val="22"/>
        </w:rPr>
      </w:pPr>
      <w:r>
        <w:rPr>
          <w:sz w:val="22"/>
          <w:szCs w:val="22"/>
        </w:rPr>
        <w:t xml:space="preserve">Source: Schedule E1-D, BSP 23 </w:t>
      </w:r>
      <w:r w:rsidRPr="00D8283F">
        <w:rPr>
          <w:sz w:val="22"/>
          <w:szCs w:val="22"/>
        </w:rPr>
        <w:t>(Exhibit PAR-3</w:t>
      </w:r>
      <w:r>
        <w:rPr>
          <w:sz w:val="22"/>
          <w:szCs w:val="22"/>
        </w:rPr>
        <w:t xml:space="preserve">, </w:t>
      </w:r>
      <w:r w:rsidRPr="00D8283F">
        <w:rPr>
          <w:sz w:val="22"/>
          <w:szCs w:val="22"/>
        </w:rPr>
        <w:t>Document Number 2, Page 6 of 30)</w:t>
      </w:r>
      <w:r>
        <w:rPr>
          <w:sz w:val="22"/>
          <w:szCs w:val="22"/>
        </w:rPr>
        <w:t>.</w:t>
      </w:r>
    </w:p>
    <w:p w:rsidR="002D5713" w:rsidRDefault="002D5713" w:rsidP="002D5713">
      <w:pPr>
        <w:autoSpaceDE w:val="0"/>
        <w:autoSpaceDN w:val="0"/>
        <w:adjustRightInd w:val="0"/>
        <w:ind w:left="1605"/>
        <w:jc w:val="both"/>
        <w:rPr>
          <w:bCs/>
        </w:rPr>
      </w:pPr>
    </w:p>
    <w:p w:rsidR="002D5713" w:rsidRPr="000319E4" w:rsidRDefault="002D5713" w:rsidP="002D5713">
      <w:pPr>
        <w:ind w:left="1440" w:hanging="1440"/>
      </w:pPr>
      <w:r>
        <w:rPr>
          <w:b/>
          <w:bCs/>
          <w:u w:val="single"/>
        </w:rPr>
        <w:t>ISSUE 22</w:t>
      </w:r>
      <w:r>
        <w:t>:</w:t>
      </w:r>
      <w:r>
        <w:tab/>
      </w:r>
      <w:r w:rsidRPr="00C67061">
        <w:rPr>
          <w:b/>
        </w:rPr>
        <w:t>What are the appropriate fuel cost recovery factors for each rate class/delivery voltage level class adjusted for line losses?</w:t>
      </w:r>
      <w:r w:rsidRPr="0063189A">
        <w:t xml:space="preserve"> </w:t>
      </w:r>
    </w:p>
    <w:p w:rsidR="002D5713" w:rsidRDefault="002D5713" w:rsidP="002D5713">
      <w:pPr>
        <w:keepNext/>
        <w:tabs>
          <w:tab w:val="left" w:pos="8571"/>
        </w:tabs>
        <w:autoSpaceDE w:val="0"/>
        <w:autoSpaceDN w:val="0"/>
        <w:adjustRightInd w:val="0"/>
        <w:ind w:left="1440" w:hanging="1440"/>
        <w:jc w:val="both"/>
        <w:rPr>
          <w:b/>
          <w:u w:val="single"/>
        </w:rPr>
      </w:pPr>
    </w:p>
    <w:p w:rsidR="002D5713" w:rsidRDefault="002D5713" w:rsidP="002D5713">
      <w:pPr>
        <w:keepNext/>
        <w:tabs>
          <w:tab w:val="left" w:pos="8571"/>
        </w:tabs>
        <w:autoSpaceDE w:val="0"/>
        <w:autoSpaceDN w:val="0"/>
        <w:adjustRightInd w:val="0"/>
        <w:ind w:left="1440" w:hanging="1440"/>
        <w:jc w:val="both"/>
      </w:pPr>
      <w:r>
        <w:rPr>
          <w:b/>
          <w:u w:val="single"/>
        </w:rPr>
        <w:t>STIPULATION</w:t>
      </w:r>
      <w:r>
        <w:t xml:space="preserve">:   </w:t>
      </w:r>
    </w:p>
    <w:p w:rsidR="002D5713" w:rsidRDefault="002D5713" w:rsidP="002D5713">
      <w:pPr>
        <w:keepNext/>
        <w:tabs>
          <w:tab w:val="left" w:pos="8571"/>
        </w:tabs>
        <w:autoSpaceDE w:val="0"/>
        <w:autoSpaceDN w:val="0"/>
        <w:adjustRightInd w:val="0"/>
        <w:ind w:left="1440" w:hanging="1440"/>
        <w:jc w:val="both"/>
      </w:pPr>
    </w:p>
    <w:p w:rsidR="002D5713" w:rsidRDefault="002D5713" w:rsidP="002D5713">
      <w:pPr>
        <w:keepNext/>
        <w:tabs>
          <w:tab w:val="left" w:pos="8571"/>
        </w:tabs>
        <w:autoSpaceDE w:val="0"/>
        <w:autoSpaceDN w:val="0"/>
        <w:adjustRightInd w:val="0"/>
        <w:ind w:left="1440" w:hanging="1440"/>
        <w:jc w:val="both"/>
      </w:pPr>
      <w:r>
        <w:tab/>
        <w:t>T</w:t>
      </w:r>
      <w:r w:rsidRPr="00C65B10">
        <w:t>he appropriate fuel cost recovery factors for each rate class/delivery voltage level class adjusted for line losses</w:t>
      </w:r>
      <w:r>
        <w:t xml:space="preserve"> are shown in Tables 22-1 through 22-8 below:</w:t>
      </w:r>
    </w:p>
    <w:p w:rsidR="002D5713" w:rsidRDefault="002D5713" w:rsidP="002D5713">
      <w:pPr>
        <w:jc w:val="both"/>
      </w:pPr>
    </w:p>
    <w:p w:rsidR="002D5713" w:rsidRDefault="002D5713" w:rsidP="002D5713">
      <w:pPr>
        <w:keepNext/>
        <w:tabs>
          <w:tab w:val="left" w:pos="8571"/>
        </w:tabs>
        <w:autoSpaceDE w:val="0"/>
        <w:autoSpaceDN w:val="0"/>
        <w:adjustRightInd w:val="0"/>
        <w:ind w:left="1440" w:hanging="1440"/>
        <w:jc w:val="both"/>
      </w:pPr>
      <w:r w:rsidRPr="00F740AF">
        <w:rPr>
          <w:b/>
        </w:rPr>
        <w:lastRenderedPageBreak/>
        <w:t>DEF:</w:t>
      </w:r>
      <w:r>
        <w:tab/>
      </w:r>
      <w:r w:rsidRPr="00973D95">
        <w:t>The appropriate fuel cost recovery factors for each rate class/delivery voltage level class adjusted for line losses for the period January 2020 through December 2020, are shown Table 22-1 below.</w:t>
      </w:r>
      <w:r>
        <w:t xml:space="preserve">  DEF agrees in its next base rate case to consult with PCS Phosphate concerning DEF’s on and off peak rate design.</w:t>
      </w:r>
      <w:r w:rsidRPr="00973D95">
        <w:t xml:space="preserve"> </w:t>
      </w:r>
    </w:p>
    <w:p w:rsidR="002D5713" w:rsidRDefault="002D5713" w:rsidP="002D5713">
      <w:pPr>
        <w:keepNext/>
        <w:tabs>
          <w:tab w:val="left" w:pos="8571"/>
        </w:tabs>
        <w:autoSpaceDE w:val="0"/>
        <w:autoSpaceDN w:val="0"/>
        <w:adjustRightInd w:val="0"/>
        <w:ind w:left="1440" w:hanging="1440"/>
        <w:jc w:val="both"/>
      </w:pPr>
    </w:p>
    <w:p w:rsidR="002D5713" w:rsidRDefault="002D5713" w:rsidP="002D5713">
      <w:pPr>
        <w:ind w:left="1440" w:hanging="1440"/>
        <w:jc w:val="center"/>
        <w:rPr>
          <w:rFonts w:ascii="Arial" w:hAnsi="Arial" w:cs="Arial"/>
          <w:b/>
          <w:bCs/>
        </w:rPr>
      </w:pPr>
    </w:p>
    <w:p w:rsidR="002D5713" w:rsidRDefault="002D5713" w:rsidP="002D5713">
      <w:pPr>
        <w:ind w:left="1440" w:hanging="1440"/>
        <w:jc w:val="center"/>
        <w:rPr>
          <w:rFonts w:ascii="Arial" w:hAnsi="Arial" w:cs="Arial"/>
          <w:b/>
          <w:bCs/>
        </w:rPr>
      </w:pPr>
      <w:r>
        <w:rPr>
          <w:rFonts w:ascii="Arial" w:hAnsi="Arial" w:cs="Arial"/>
          <w:b/>
          <w:bCs/>
        </w:rPr>
        <w:t>Table 22-1</w:t>
      </w:r>
    </w:p>
    <w:p w:rsidR="002D5713" w:rsidRDefault="002D5713" w:rsidP="002D5713">
      <w:pPr>
        <w:keepNext/>
        <w:jc w:val="center"/>
        <w:rPr>
          <w:rFonts w:ascii="Calibri" w:hAnsi="Calibri"/>
        </w:rPr>
      </w:pPr>
      <w:r>
        <w:rPr>
          <w:rFonts w:ascii="Arial" w:hAnsi="Arial" w:cs="Arial"/>
          <w:b/>
          <w:bCs/>
        </w:rPr>
        <w:t>Fuel Cost Recovery Factors for the period January-December, 2020</w:t>
      </w:r>
    </w:p>
    <w:tbl>
      <w:tblPr>
        <w:tblW w:w="9312" w:type="dxa"/>
        <w:jc w:val="center"/>
        <w:tblInd w:w="906" w:type="dxa"/>
        <w:tblCellMar>
          <w:left w:w="0" w:type="dxa"/>
          <w:right w:w="0" w:type="dxa"/>
        </w:tblCellMar>
        <w:tblLook w:val="04A0" w:firstRow="1" w:lastRow="0" w:firstColumn="1" w:lastColumn="0" w:noHBand="0" w:noVBand="1"/>
      </w:tblPr>
      <w:tblGrid>
        <w:gridCol w:w="917"/>
        <w:gridCol w:w="1527"/>
        <w:gridCol w:w="1726"/>
        <w:gridCol w:w="1139"/>
        <w:gridCol w:w="1180"/>
        <w:gridCol w:w="1633"/>
        <w:gridCol w:w="1190"/>
      </w:tblGrid>
      <w:tr w:rsidR="002D5713" w:rsidTr="004813E3">
        <w:trPr>
          <w:jc w:val="center"/>
        </w:trPr>
        <w:tc>
          <w:tcPr>
            <w:tcW w:w="9312"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 xml:space="preserve">Fuel Cost Recovery Factors For the Period January-December, 2020 </w:t>
            </w:r>
          </w:p>
        </w:tc>
      </w:tr>
      <w:tr w:rsidR="002D5713" w:rsidTr="004813E3">
        <w:trPr>
          <w:jc w:val="center"/>
        </w:trPr>
        <w:tc>
          <w:tcPr>
            <w:tcW w:w="9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5713" w:rsidRDefault="002D5713" w:rsidP="004813E3">
            <w:pPr>
              <w:keepNext/>
              <w:jc w:val="center"/>
              <w:rPr>
                <w:rFonts w:ascii="Calibri" w:hAnsi="Calibri"/>
              </w:rPr>
            </w:pPr>
            <w:r>
              <w:t>Group</w:t>
            </w:r>
          </w:p>
        </w:tc>
        <w:tc>
          <w:tcPr>
            <w:tcW w:w="15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5713" w:rsidRDefault="002D5713" w:rsidP="004813E3">
            <w:pPr>
              <w:keepNext/>
              <w:jc w:val="center"/>
              <w:rPr>
                <w:rFonts w:ascii="Calibri" w:hAnsi="Calibri"/>
              </w:rPr>
            </w:pPr>
            <w:r>
              <w:t>Delivery</w:t>
            </w:r>
          </w:p>
          <w:p w:rsidR="002D5713" w:rsidRDefault="002D5713" w:rsidP="004813E3">
            <w:pPr>
              <w:keepNext/>
              <w:jc w:val="center"/>
              <w:rPr>
                <w:rFonts w:ascii="Calibri" w:hAnsi="Calibri"/>
              </w:rPr>
            </w:pPr>
            <w:r>
              <w:t>Voltage Level</w:t>
            </w:r>
          </w:p>
        </w:tc>
        <w:tc>
          <w:tcPr>
            <w:tcW w:w="404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Fuel Cost Recovery Factors (cents/kWh)</w:t>
            </w:r>
          </w:p>
        </w:tc>
        <w:tc>
          <w:tcPr>
            <w:tcW w:w="28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D5713" w:rsidRDefault="002D5713" w:rsidP="004813E3">
            <w:pPr>
              <w:keepNext/>
              <w:jc w:val="center"/>
              <w:rPr>
                <w:rFonts w:ascii="Calibri" w:hAnsi="Calibri"/>
              </w:rPr>
            </w:pPr>
            <w:r>
              <w:t>Time of Use</w:t>
            </w:r>
          </w:p>
        </w:tc>
      </w:tr>
      <w:tr w:rsidR="002D5713" w:rsidTr="004813E3">
        <w:trPr>
          <w:jc w:val="center"/>
        </w:trPr>
        <w:tc>
          <w:tcPr>
            <w:tcW w:w="917" w:type="dxa"/>
            <w:vMerge/>
            <w:tcBorders>
              <w:top w:val="nil"/>
              <w:left w:val="single" w:sz="8" w:space="0" w:color="auto"/>
              <w:bottom w:val="single" w:sz="8" w:space="0" w:color="auto"/>
              <w:right w:val="single" w:sz="8" w:space="0" w:color="auto"/>
            </w:tcBorders>
            <w:vAlign w:val="center"/>
            <w:hideMark/>
          </w:tcPr>
          <w:p w:rsidR="002D5713" w:rsidRDefault="002D5713" w:rsidP="004813E3">
            <w:pPr>
              <w:rPr>
                <w:rFonts w:ascii="Calibri" w:hAnsi="Calibri"/>
              </w:rPr>
            </w:pPr>
          </w:p>
        </w:tc>
        <w:tc>
          <w:tcPr>
            <w:tcW w:w="1527" w:type="dxa"/>
            <w:vMerge/>
            <w:tcBorders>
              <w:top w:val="nil"/>
              <w:left w:val="nil"/>
              <w:bottom w:val="single" w:sz="8" w:space="0" w:color="auto"/>
              <w:right w:val="single" w:sz="8" w:space="0" w:color="auto"/>
            </w:tcBorders>
            <w:vAlign w:val="center"/>
            <w:hideMark/>
          </w:tcPr>
          <w:p w:rsidR="002D5713" w:rsidRDefault="002D5713" w:rsidP="004813E3">
            <w:pPr>
              <w:rPr>
                <w:rFonts w:ascii="Calibri" w:hAnsi="Calibri"/>
              </w:rPr>
            </w:pPr>
          </w:p>
        </w:tc>
        <w:tc>
          <w:tcPr>
            <w:tcW w:w="1726" w:type="dxa"/>
            <w:tcBorders>
              <w:top w:val="nil"/>
              <w:left w:val="nil"/>
              <w:bottom w:val="single" w:sz="8" w:space="0" w:color="auto"/>
              <w:right w:val="single" w:sz="8" w:space="0" w:color="auto"/>
            </w:tcBorders>
            <w:tcMar>
              <w:top w:w="0" w:type="dxa"/>
              <w:left w:w="108" w:type="dxa"/>
              <w:bottom w:w="0" w:type="dxa"/>
              <w:right w:w="108" w:type="dxa"/>
            </w:tcMar>
            <w:vAlign w:val="center"/>
          </w:tcPr>
          <w:p w:rsidR="002D5713" w:rsidRDefault="002D5713" w:rsidP="004813E3">
            <w:pPr>
              <w:keepNext/>
              <w:jc w:val="center"/>
              <w:rPr>
                <w:rFonts w:ascii="Calibri" w:hAnsi="Calibri"/>
              </w:rPr>
            </w:pPr>
            <w:r>
              <w:t>First Tier</w:t>
            </w:r>
          </w:p>
          <w:p w:rsidR="002D5713" w:rsidRDefault="002D5713" w:rsidP="004813E3">
            <w:pPr>
              <w:keepNext/>
              <w:jc w:val="center"/>
              <w:rPr>
                <w:rFonts w:ascii="Calibri" w:hAnsi="Calibri"/>
              </w:rPr>
            </w:pP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tcPr>
          <w:p w:rsidR="002D5713" w:rsidRDefault="002D5713" w:rsidP="004813E3">
            <w:pPr>
              <w:keepNext/>
              <w:jc w:val="center"/>
              <w:rPr>
                <w:rFonts w:ascii="Calibri" w:hAnsi="Calibri"/>
              </w:rPr>
            </w:pPr>
            <w:r>
              <w:t>Second Tier</w:t>
            </w:r>
          </w:p>
          <w:p w:rsidR="002D5713" w:rsidRDefault="002D5713" w:rsidP="004813E3">
            <w:pPr>
              <w:keepNext/>
              <w:jc w:val="center"/>
              <w:rPr>
                <w:rFonts w:ascii="Calibri" w:hAnsi="Calibri"/>
              </w:rPr>
            </w:pP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tcPr>
          <w:p w:rsidR="002D5713" w:rsidRDefault="002D5713" w:rsidP="004813E3">
            <w:pPr>
              <w:keepNext/>
              <w:jc w:val="center"/>
              <w:rPr>
                <w:rFonts w:ascii="Calibri" w:hAnsi="Calibri"/>
              </w:rPr>
            </w:pPr>
            <w:proofErr w:type="spellStart"/>
            <w:r>
              <w:t>Levelized</w:t>
            </w:r>
            <w:proofErr w:type="spellEnd"/>
          </w:p>
          <w:p w:rsidR="002D5713" w:rsidRDefault="002D5713" w:rsidP="004813E3">
            <w:pPr>
              <w:keepNext/>
              <w:jc w:val="center"/>
              <w:rPr>
                <w:rFonts w:ascii="Calibri" w:hAnsi="Calibri"/>
              </w:rPr>
            </w:pP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On-Peak</w:t>
            </w:r>
          </w:p>
          <w:p w:rsidR="002D5713" w:rsidRDefault="002D5713" w:rsidP="004813E3">
            <w:pPr>
              <w:keepNext/>
              <w:jc w:val="center"/>
              <w:rPr>
                <w:sz w:val="22"/>
                <w:szCs w:val="22"/>
              </w:rPr>
            </w:pPr>
            <w:r>
              <w:t>Multiplier</w:t>
            </w:r>
          </w:p>
          <w:p w:rsidR="002D5713" w:rsidRDefault="002D5713" w:rsidP="004813E3">
            <w:pPr>
              <w:keepNext/>
              <w:jc w:val="center"/>
              <w:rPr>
                <w:rFonts w:ascii="Calibri" w:hAnsi="Calibri"/>
              </w:rPr>
            </w:pPr>
            <w:r>
              <w:t>1.286</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Off-Peak Multiplier</w:t>
            </w:r>
          </w:p>
          <w:p w:rsidR="002D5713" w:rsidRDefault="002D5713" w:rsidP="004813E3">
            <w:pPr>
              <w:keepNext/>
              <w:jc w:val="center"/>
              <w:rPr>
                <w:rFonts w:ascii="Calibri" w:hAnsi="Calibri"/>
              </w:rPr>
            </w:pPr>
            <w:r>
              <w:t>0.872</w:t>
            </w:r>
          </w:p>
        </w:tc>
      </w:tr>
      <w:tr w:rsidR="002D5713" w:rsidTr="004813E3">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A</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rPr>
                <w:rFonts w:ascii="Calibri" w:hAnsi="Calibri"/>
              </w:rPr>
            </w:pPr>
            <w:r>
              <w:t>Transmission</w:t>
            </w:r>
          </w:p>
        </w:tc>
        <w:tc>
          <w:tcPr>
            <w:tcW w:w="1726"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w:t>
            </w:r>
          </w:p>
        </w:tc>
        <w:tc>
          <w:tcPr>
            <w:tcW w:w="1180"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3.283</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4.222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2.863</w:t>
            </w:r>
          </w:p>
        </w:tc>
      </w:tr>
      <w:tr w:rsidR="002D5713" w:rsidTr="004813E3">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B</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rPr>
                <w:rFonts w:ascii="Calibri" w:hAnsi="Calibri"/>
              </w:rPr>
            </w:pPr>
            <w:r>
              <w:t>Distribution Primary</w:t>
            </w:r>
          </w:p>
        </w:tc>
        <w:tc>
          <w:tcPr>
            <w:tcW w:w="1726"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w:t>
            </w:r>
          </w:p>
        </w:tc>
        <w:tc>
          <w:tcPr>
            <w:tcW w:w="1180"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3.317</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4.266</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2.892</w:t>
            </w:r>
          </w:p>
        </w:tc>
      </w:tr>
      <w:tr w:rsidR="002D5713" w:rsidTr="004813E3">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C</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rPr>
                <w:rFonts w:ascii="Calibri" w:hAnsi="Calibri"/>
              </w:rPr>
            </w:pPr>
            <w:r>
              <w:t>Distribution Secondary</w:t>
            </w:r>
          </w:p>
        </w:tc>
        <w:tc>
          <w:tcPr>
            <w:tcW w:w="1726"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3.067</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4.067</w:t>
            </w:r>
          </w:p>
        </w:tc>
        <w:tc>
          <w:tcPr>
            <w:tcW w:w="1180"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3.350</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4.308</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2.921</w:t>
            </w:r>
          </w:p>
        </w:tc>
      </w:tr>
      <w:tr w:rsidR="002D5713" w:rsidTr="004813E3">
        <w:trPr>
          <w:trHeight w:val="323"/>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D</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rPr>
                <w:rFonts w:ascii="Calibri" w:hAnsi="Calibri"/>
              </w:rPr>
            </w:pPr>
            <w:r>
              <w:t>Lighting Service</w:t>
            </w:r>
          </w:p>
        </w:tc>
        <w:tc>
          <w:tcPr>
            <w:tcW w:w="1726"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w:t>
            </w:r>
          </w:p>
        </w:tc>
        <w:tc>
          <w:tcPr>
            <w:tcW w:w="1180"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3.181</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2D5713" w:rsidRDefault="002D5713" w:rsidP="004813E3">
            <w:pPr>
              <w:keepNext/>
              <w:jc w:val="center"/>
              <w:rPr>
                <w:rFonts w:ascii="Calibri" w:hAnsi="Calibri"/>
              </w:rPr>
            </w:pPr>
            <w:r>
              <w:t>--</w:t>
            </w:r>
          </w:p>
        </w:tc>
      </w:tr>
    </w:tbl>
    <w:p w:rsidR="002D5713" w:rsidRDefault="002D5713" w:rsidP="002D5713">
      <w:pPr>
        <w:ind w:left="720" w:hanging="720"/>
        <w:jc w:val="both"/>
        <w:rPr>
          <w:sz w:val="22"/>
          <w:szCs w:val="22"/>
        </w:rPr>
      </w:pPr>
      <w:r w:rsidRPr="00A44852">
        <w:fldChar w:fldCharType="begin"/>
      </w:r>
      <w:r w:rsidRPr="00A44852">
        <w:instrText>ADVANCE \u3</w:instrText>
      </w:r>
      <w:r w:rsidRPr="00A44852">
        <w:fldChar w:fldCharType="end"/>
      </w:r>
      <w:r w:rsidRPr="00BE1C8F">
        <w:rPr>
          <w:sz w:val="22"/>
          <w:szCs w:val="22"/>
        </w:rPr>
        <w:t xml:space="preserve"> </w:t>
      </w:r>
      <w:r>
        <w:rPr>
          <w:sz w:val="22"/>
          <w:szCs w:val="22"/>
        </w:rPr>
        <w:t xml:space="preserve">Source: </w:t>
      </w:r>
      <w:r w:rsidRPr="009D34A4">
        <w:rPr>
          <w:sz w:val="22"/>
          <w:szCs w:val="22"/>
        </w:rPr>
        <w:t>Schedule</w:t>
      </w:r>
      <w:r>
        <w:rPr>
          <w:sz w:val="22"/>
          <w:szCs w:val="22"/>
        </w:rPr>
        <w:t xml:space="preserve"> E1-E (Exhibit CAM-3, Part 2, </w:t>
      </w:r>
      <w:r w:rsidRPr="009D34A4">
        <w:rPr>
          <w:sz w:val="22"/>
          <w:szCs w:val="22"/>
        </w:rPr>
        <w:t>Page 1 of 1</w:t>
      </w:r>
      <w:r>
        <w:rPr>
          <w:sz w:val="22"/>
          <w:szCs w:val="22"/>
        </w:rPr>
        <w:t>).</w:t>
      </w:r>
      <w:r w:rsidRPr="009D34A4">
        <w:rPr>
          <w:sz w:val="22"/>
          <w:szCs w:val="22"/>
        </w:rPr>
        <w:t xml:space="preserve"> </w:t>
      </w:r>
    </w:p>
    <w:p w:rsidR="002D5713" w:rsidRDefault="002D5713" w:rsidP="002D5713">
      <w:pPr>
        <w:ind w:left="720" w:hanging="720"/>
        <w:jc w:val="both"/>
      </w:pPr>
    </w:p>
    <w:p w:rsidR="002D5713" w:rsidRPr="00D0648B" w:rsidRDefault="002D5713" w:rsidP="002D5713">
      <w:pPr>
        <w:ind w:left="720" w:hanging="720"/>
        <w:jc w:val="both"/>
        <w:rPr>
          <w:u w:val="single"/>
        </w:rPr>
      </w:pPr>
      <w:r w:rsidRPr="00F740AF">
        <w:rPr>
          <w:b/>
        </w:rPr>
        <w:t>FPL:</w:t>
      </w:r>
      <w:r w:rsidRPr="00A439A0">
        <w:rPr>
          <w:b/>
        </w:rPr>
        <w:tab/>
      </w:r>
      <w:r>
        <w:t>T</w:t>
      </w:r>
      <w:r w:rsidRPr="0051540D">
        <w:t>he appropriate fuel cost recovery factors for each rate class/delivery voltage level class adjusted</w:t>
      </w:r>
      <w:r>
        <w:t xml:space="preserve"> for line losses are shown below in Tables 22-2 through 22-5</w:t>
      </w:r>
      <w:r w:rsidRPr="0051540D">
        <w:t>. The factors for January and April, 2020 are shown in Table</w:t>
      </w:r>
      <w:r>
        <w:t>s 22-2 and 22-3, and the</w:t>
      </w:r>
      <w:r w:rsidRPr="0051540D">
        <w:t xml:space="preserve"> factors for May through December, 2020 are sho</w:t>
      </w:r>
      <w:r>
        <w:t>wn in Tables 22-4 and 22-5</w:t>
      </w:r>
      <w:r w:rsidRPr="0051540D">
        <w:t>:</w:t>
      </w:r>
    </w:p>
    <w:p w:rsidR="002D5713" w:rsidRDefault="002D5713" w:rsidP="002D5713">
      <w:pPr>
        <w:rPr>
          <w:rFonts w:ascii="Arial" w:hAnsi="Arial" w:cs="Arial"/>
          <w:b/>
        </w:rPr>
      </w:pPr>
    </w:p>
    <w:p w:rsidR="002D5713" w:rsidRPr="00952579" w:rsidRDefault="002D5713" w:rsidP="002D5713">
      <w:pPr>
        <w:jc w:val="center"/>
        <w:rPr>
          <w:rFonts w:ascii="Arial" w:hAnsi="Arial" w:cs="Arial"/>
          <w:b/>
        </w:rPr>
      </w:pPr>
      <w:r>
        <w:rPr>
          <w:rFonts w:ascii="Arial" w:hAnsi="Arial" w:cs="Arial"/>
          <w:b/>
        </w:rPr>
        <w:t>T</w:t>
      </w:r>
      <w:r w:rsidRPr="00952579">
        <w:rPr>
          <w:rFonts w:ascii="Arial" w:hAnsi="Arial" w:cs="Arial"/>
          <w:b/>
        </w:rPr>
        <w:t xml:space="preserve">able </w:t>
      </w:r>
      <w:r>
        <w:rPr>
          <w:rFonts w:ascii="Arial" w:hAnsi="Arial" w:cs="Arial"/>
          <w:b/>
        </w:rPr>
        <w:t>22-2</w:t>
      </w:r>
    </w:p>
    <w:p w:rsidR="002D5713" w:rsidRPr="00952579" w:rsidRDefault="002D5713" w:rsidP="002D5713">
      <w:pPr>
        <w:ind w:left="1440" w:hanging="1440"/>
        <w:jc w:val="center"/>
        <w:rPr>
          <w:rFonts w:ascii="Arial" w:hAnsi="Arial" w:cs="Arial"/>
        </w:rPr>
      </w:pPr>
      <w:r>
        <w:rPr>
          <w:rFonts w:ascii="Arial" w:hAnsi="Arial" w:cs="Arial"/>
          <w:b/>
        </w:rPr>
        <w:t xml:space="preserve">FPL </w:t>
      </w:r>
      <w:r w:rsidRPr="00952579">
        <w:rPr>
          <w:rFonts w:ascii="Arial" w:hAnsi="Arial" w:cs="Arial"/>
          <w:b/>
        </w:rPr>
        <w:t>Fu</w:t>
      </w:r>
      <w:r>
        <w:rPr>
          <w:rFonts w:ascii="Arial" w:hAnsi="Arial" w:cs="Arial"/>
          <w:b/>
        </w:rPr>
        <w:t>el Cost Recovery Factors for the period January-April, 2020</w:t>
      </w:r>
      <w:r>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2D5713" w:rsidRPr="000C4D09" w:rsidTr="004813E3">
        <w:tc>
          <w:tcPr>
            <w:tcW w:w="9468" w:type="dxa"/>
            <w:gridSpan w:val="5"/>
          </w:tcPr>
          <w:p w:rsidR="002D5713" w:rsidRPr="000C4D09" w:rsidRDefault="002D5713" w:rsidP="004813E3">
            <w:pPr>
              <w:jc w:val="center"/>
            </w:pPr>
            <w:r w:rsidRPr="000C4D09">
              <w:t>Fuel Recovery Factors – By Rate Group (Adjusted for Line Losses)</w:t>
            </w:r>
          </w:p>
        </w:tc>
      </w:tr>
      <w:tr w:rsidR="002D5713" w:rsidRPr="000C4D09" w:rsidTr="004813E3">
        <w:tc>
          <w:tcPr>
            <w:tcW w:w="9468" w:type="dxa"/>
            <w:gridSpan w:val="5"/>
          </w:tcPr>
          <w:p w:rsidR="002D5713" w:rsidRPr="000C4D09" w:rsidRDefault="002D5713" w:rsidP="004813E3">
            <w:pPr>
              <w:jc w:val="center"/>
            </w:pPr>
            <w:r w:rsidRPr="000C4D09">
              <w:t>For the Period January through April, 2020</w:t>
            </w:r>
          </w:p>
        </w:tc>
      </w:tr>
      <w:tr w:rsidR="002D5713" w:rsidRPr="000C4D09" w:rsidTr="004813E3">
        <w:tc>
          <w:tcPr>
            <w:tcW w:w="900" w:type="dxa"/>
            <w:vAlign w:val="center"/>
          </w:tcPr>
          <w:p w:rsidR="002D5713" w:rsidRPr="000C4D09" w:rsidRDefault="002D5713" w:rsidP="004813E3">
            <w:pPr>
              <w:jc w:val="center"/>
            </w:pPr>
            <w:r w:rsidRPr="000C4D09">
              <w:t>Group</w:t>
            </w:r>
          </w:p>
        </w:tc>
        <w:tc>
          <w:tcPr>
            <w:tcW w:w="5220" w:type="dxa"/>
            <w:vAlign w:val="center"/>
          </w:tcPr>
          <w:p w:rsidR="002D5713" w:rsidRPr="000C4D09" w:rsidRDefault="002D5713" w:rsidP="004813E3">
            <w:pPr>
              <w:jc w:val="center"/>
            </w:pPr>
            <w:r w:rsidRPr="000C4D09">
              <w:t>Rate Schedule</w:t>
            </w:r>
          </w:p>
        </w:tc>
        <w:tc>
          <w:tcPr>
            <w:tcW w:w="900" w:type="dxa"/>
            <w:vAlign w:val="center"/>
          </w:tcPr>
          <w:p w:rsidR="002D5713" w:rsidRPr="000C4D09" w:rsidRDefault="002D5713" w:rsidP="004813E3">
            <w:pPr>
              <w:jc w:val="center"/>
            </w:pPr>
            <w:r w:rsidRPr="000C4D09">
              <w:t>Avg. Factor</w:t>
            </w:r>
          </w:p>
        </w:tc>
        <w:tc>
          <w:tcPr>
            <w:tcW w:w="1260" w:type="dxa"/>
            <w:vAlign w:val="center"/>
          </w:tcPr>
          <w:p w:rsidR="002D5713" w:rsidRPr="000C4D09" w:rsidRDefault="002D5713" w:rsidP="004813E3">
            <w:pPr>
              <w:jc w:val="center"/>
            </w:pPr>
            <w:r w:rsidRPr="000C4D09">
              <w:t>Loss Multiplier</w:t>
            </w:r>
          </w:p>
        </w:tc>
        <w:tc>
          <w:tcPr>
            <w:tcW w:w="1188" w:type="dxa"/>
            <w:vAlign w:val="center"/>
          </w:tcPr>
          <w:p w:rsidR="002D5713" w:rsidRPr="000C4D09" w:rsidRDefault="002D5713" w:rsidP="004813E3">
            <w:pPr>
              <w:jc w:val="center"/>
            </w:pPr>
            <w:r w:rsidRPr="000C4D09">
              <w:t>Fuel Recovery Factor</w:t>
            </w:r>
          </w:p>
        </w:tc>
      </w:tr>
      <w:tr w:rsidR="002D5713" w:rsidRPr="000C4D09" w:rsidTr="004813E3">
        <w:tc>
          <w:tcPr>
            <w:tcW w:w="900" w:type="dxa"/>
            <w:vMerge w:val="restart"/>
            <w:vAlign w:val="center"/>
          </w:tcPr>
          <w:p w:rsidR="002D5713" w:rsidRPr="000C4D09" w:rsidRDefault="002D5713" w:rsidP="004813E3">
            <w:pPr>
              <w:jc w:val="center"/>
            </w:pPr>
            <w:r w:rsidRPr="000C4D09">
              <w:t>A</w:t>
            </w:r>
          </w:p>
        </w:tc>
        <w:tc>
          <w:tcPr>
            <w:tcW w:w="5220" w:type="dxa"/>
          </w:tcPr>
          <w:p w:rsidR="002D5713" w:rsidRPr="000C4D09" w:rsidRDefault="002D5713" w:rsidP="004813E3">
            <w:pPr>
              <w:jc w:val="center"/>
            </w:pPr>
            <w:r w:rsidRPr="000C4D09">
              <w:t>RS-1 first 1,000 kWh</w:t>
            </w:r>
          </w:p>
        </w:tc>
        <w:tc>
          <w:tcPr>
            <w:tcW w:w="900" w:type="dxa"/>
          </w:tcPr>
          <w:p w:rsidR="002D5713" w:rsidRPr="000C4D09" w:rsidRDefault="002D5713" w:rsidP="004813E3">
            <w:pPr>
              <w:jc w:val="center"/>
            </w:pPr>
            <w:r>
              <w:t>2.224</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1.897</w:t>
            </w:r>
          </w:p>
        </w:tc>
      </w:tr>
      <w:tr w:rsidR="002D5713" w:rsidRPr="000C4D09"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RS-1, all addl. kWh</w:t>
            </w:r>
          </w:p>
        </w:tc>
        <w:tc>
          <w:tcPr>
            <w:tcW w:w="900" w:type="dxa"/>
          </w:tcPr>
          <w:p w:rsidR="002D5713" w:rsidRPr="000C4D09" w:rsidRDefault="002D5713" w:rsidP="004813E3">
            <w:pPr>
              <w:jc w:val="center"/>
            </w:pPr>
            <w:r>
              <w:t>2.224</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2.897</w:t>
            </w:r>
          </w:p>
        </w:tc>
      </w:tr>
      <w:tr w:rsidR="002D5713" w:rsidRPr="000C4D09"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GS-1, SL-2, GSCU-1, WIES-1</w:t>
            </w:r>
          </w:p>
        </w:tc>
        <w:tc>
          <w:tcPr>
            <w:tcW w:w="900" w:type="dxa"/>
          </w:tcPr>
          <w:p w:rsidR="002D5713" w:rsidRPr="000C4D09" w:rsidRDefault="002D5713" w:rsidP="004813E3">
            <w:pPr>
              <w:jc w:val="center"/>
            </w:pPr>
            <w:r>
              <w:t>2.224</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2.229</w:t>
            </w:r>
          </w:p>
        </w:tc>
      </w:tr>
      <w:tr w:rsidR="002D5713" w:rsidRPr="000C4D09" w:rsidTr="004813E3">
        <w:tc>
          <w:tcPr>
            <w:tcW w:w="900" w:type="dxa"/>
          </w:tcPr>
          <w:p w:rsidR="002D5713" w:rsidRPr="000C4D09" w:rsidRDefault="002D5713" w:rsidP="004813E3">
            <w:pPr>
              <w:jc w:val="center"/>
            </w:pPr>
            <w:r w:rsidRPr="000C4D09">
              <w:t>A-1</w:t>
            </w:r>
          </w:p>
        </w:tc>
        <w:tc>
          <w:tcPr>
            <w:tcW w:w="5220" w:type="dxa"/>
          </w:tcPr>
          <w:p w:rsidR="002D5713" w:rsidRPr="000C4D09" w:rsidRDefault="002D5713" w:rsidP="004813E3">
            <w:pPr>
              <w:jc w:val="center"/>
            </w:pPr>
            <w:r w:rsidRPr="000C4D09">
              <w:t>SL-1, OL-1, PL-1</w:t>
            </w:r>
          </w:p>
        </w:tc>
        <w:tc>
          <w:tcPr>
            <w:tcW w:w="900" w:type="dxa"/>
          </w:tcPr>
          <w:p w:rsidR="002D5713" w:rsidRPr="000C4D09" w:rsidRDefault="002D5713" w:rsidP="004813E3">
            <w:pPr>
              <w:jc w:val="center"/>
            </w:pPr>
            <w:r w:rsidRPr="000C4D09">
              <w:t>2.1</w:t>
            </w:r>
            <w:r>
              <w:t>58</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2.163</w:t>
            </w:r>
          </w:p>
        </w:tc>
      </w:tr>
      <w:tr w:rsidR="002D5713" w:rsidRPr="000C4D09" w:rsidTr="004813E3">
        <w:tc>
          <w:tcPr>
            <w:tcW w:w="900" w:type="dxa"/>
          </w:tcPr>
          <w:p w:rsidR="002D5713" w:rsidRPr="000C4D09" w:rsidRDefault="002D5713" w:rsidP="004813E3">
            <w:pPr>
              <w:jc w:val="center"/>
            </w:pPr>
            <w:r w:rsidRPr="000C4D09">
              <w:t>B</w:t>
            </w:r>
          </w:p>
        </w:tc>
        <w:tc>
          <w:tcPr>
            <w:tcW w:w="5220" w:type="dxa"/>
          </w:tcPr>
          <w:p w:rsidR="002D5713" w:rsidRPr="000C4D09" w:rsidRDefault="002D5713" w:rsidP="004813E3">
            <w:pPr>
              <w:jc w:val="center"/>
            </w:pPr>
            <w:r w:rsidRPr="000C4D09">
              <w:t>GSD-1</w:t>
            </w:r>
          </w:p>
        </w:tc>
        <w:tc>
          <w:tcPr>
            <w:tcW w:w="900" w:type="dxa"/>
          </w:tcPr>
          <w:p w:rsidR="002D5713" w:rsidRPr="000C4D09" w:rsidRDefault="002D5713" w:rsidP="004813E3">
            <w:pPr>
              <w:jc w:val="center"/>
            </w:pPr>
            <w:r>
              <w:t>2.224</w:t>
            </w:r>
          </w:p>
        </w:tc>
        <w:tc>
          <w:tcPr>
            <w:tcW w:w="1260" w:type="dxa"/>
          </w:tcPr>
          <w:p w:rsidR="002D5713" w:rsidRPr="000C4D09" w:rsidRDefault="002D5713" w:rsidP="004813E3">
            <w:pPr>
              <w:jc w:val="center"/>
            </w:pPr>
            <w:r w:rsidRPr="000C4D09">
              <w:t>1.00207</w:t>
            </w:r>
          </w:p>
        </w:tc>
        <w:tc>
          <w:tcPr>
            <w:tcW w:w="1188" w:type="dxa"/>
          </w:tcPr>
          <w:p w:rsidR="002D5713" w:rsidRPr="000C4D09" w:rsidRDefault="002D5713" w:rsidP="004813E3">
            <w:pPr>
              <w:jc w:val="center"/>
            </w:pPr>
            <w:r>
              <w:t>2.229</w:t>
            </w:r>
          </w:p>
        </w:tc>
      </w:tr>
      <w:tr w:rsidR="002D5713" w:rsidRPr="000C4D09" w:rsidTr="004813E3">
        <w:tc>
          <w:tcPr>
            <w:tcW w:w="900" w:type="dxa"/>
          </w:tcPr>
          <w:p w:rsidR="002D5713" w:rsidRPr="000C4D09" w:rsidRDefault="002D5713" w:rsidP="004813E3">
            <w:pPr>
              <w:jc w:val="center"/>
            </w:pPr>
            <w:r w:rsidRPr="000C4D09">
              <w:t>C</w:t>
            </w:r>
          </w:p>
        </w:tc>
        <w:tc>
          <w:tcPr>
            <w:tcW w:w="5220" w:type="dxa"/>
          </w:tcPr>
          <w:p w:rsidR="002D5713" w:rsidRPr="000C4D09" w:rsidRDefault="002D5713" w:rsidP="004813E3">
            <w:pPr>
              <w:jc w:val="center"/>
            </w:pPr>
            <w:r w:rsidRPr="000C4D09">
              <w:t>GSLD-1, CS-1</w:t>
            </w:r>
          </w:p>
        </w:tc>
        <w:tc>
          <w:tcPr>
            <w:tcW w:w="900" w:type="dxa"/>
          </w:tcPr>
          <w:p w:rsidR="002D5713" w:rsidRPr="000C4D09" w:rsidRDefault="002D5713" w:rsidP="004813E3">
            <w:pPr>
              <w:jc w:val="center"/>
            </w:pPr>
            <w:r>
              <w:t>2.224</w:t>
            </w:r>
          </w:p>
        </w:tc>
        <w:tc>
          <w:tcPr>
            <w:tcW w:w="1260" w:type="dxa"/>
          </w:tcPr>
          <w:p w:rsidR="002D5713" w:rsidRPr="000C4D09" w:rsidRDefault="002D5713" w:rsidP="004813E3">
            <w:pPr>
              <w:jc w:val="center"/>
            </w:pPr>
            <w:r w:rsidRPr="000C4D09">
              <w:t>1.00157</w:t>
            </w:r>
          </w:p>
        </w:tc>
        <w:tc>
          <w:tcPr>
            <w:tcW w:w="1188" w:type="dxa"/>
          </w:tcPr>
          <w:p w:rsidR="002D5713" w:rsidRPr="000C4D09" w:rsidRDefault="002D5713" w:rsidP="004813E3">
            <w:pPr>
              <w:jc w:val="center"/>
            </w:pPr>
            <w:r>
              <w:t>2.227</w:t>
            </w:r>
          </w:p>
        </w:tc>
      </w:tr>
      <w:tr w:rsidR="002D5713" w:rsidRPr="000C4D09" w:rsidTr="004813E3">
        <w:tc>
          <w:tcPr>
            <w:tcW w:w="900" w:type="dxa"/>
          </w:tcPr>
          <w:p w:rsidR="002D5713" w:rsidRPr="000C4D09" w:rsidRDefault="002D5713" w:rsidP="004813E3">
            <w:pPr>
              <w:jc w:val="center"/>
            </w:pPr>
            <w:r w:rsidRPr="000C4D09">
              <w:t>D</w:t>
            </w:r>
          </w:p>
        </w:tc>
        <w:tc>
          <w:tcPr>
            <w:tcW w:w="5220" w:type="dxa"/>
          </w:tcPr>
          <w:p w:rsidR="002D5713" w:rsidRPr="000C4D09" w:rsidRDefault="002D5713" w:rsidP="004813E3">
            <w:pPr>
              <w:jc w:val="center"/>
            </w:pPr>
            <w:r w:rsidRPr="000C4D09">
              <w:t>GSLD-2, CS-2, OS-2, MET</w:t>
            </w:r>
          </w:p>
        </w:tc>
        <w:tc>
          <w:tcPr>
            <w:tcW w:w="900" w:type="dxa"/>
          </w:tcPr>
          <w:p w:rsidR="002D5713" w:rsidRPr="000C4D09" w:rsidRDefault="002D5713" w:rsidP="004813E3">
            <w:pPr>
              <w:jc w:val="center"/>
            </w:pPr>
            <w:r>
              <w:t>2.224</w:t>
            </w:r>
          </w:p>
        </w:tc>
        <w:tc>
          <w:tcPr>
            <w:tcW w:w="1260" w:type="dxa"/>
          </w:tcPr>
          <w:p w:rsidR="002D5713" w:rsidRPr="000C4D09" w:rsidRDefault="002D5713" w:rsidP="004813E3">
            <w:pPr>
              <w:jc w:val="center"/>
            </w:pPr>
            <w:r w:rsidRPr="000C4D09">
              <w:t>0.99555</w:t>
            </w:r>
          </w:p>
        </w:tc>
        <w:tc>
          <w:tcPr>
            <w:tcW w:w="1188" w:type="dxa"/>
          </w:tcPr>
          <w:p w:rsidR="002D5713" w:rsidRPr="000C4D09" w:rsidRDefault="002D5713" w:rsidP="004813E3">
            <w:pPr>
              <w:jc w:val="center"/>
            </w:pPr>
            <w:r>
              <w:t>2.214</w:t>
            </w:r>
          </w:p>
        </w:tc>
      </w:tr>
      <w:tr w:rsidR="002D5713" w:rsidRPr="000C4D09" w:rsidTr="004813E3">
        <w:tc>
          <w:tcPr>
            <w:tcW w:w="900" w:type="dxa"/>
          </w:tcPr>
          <w:p w:rsidR="002D5713" w:rsidRPr="000C4D09" w:rsidRDefault="002D5713" w:rsidP="004813E3">
            <w:pPr>
              <w:jc w:val="center"/>
            </w:pPr>
            <w:r w:rsidRPr="000C4D09">
              <w:t>E</w:t>
            </w:r>
          </w:p>
        </w:tc>
        <w:tc>
          <w:tcPr>
            <w:tcW w:w="5220" w:type="dxa"/>
          </w:tcPr>
          <w:p w:rsidR="002D5713" w:rsidRPr="000C4D09" w:rsidRDefault="002D5713" w:rsidP="004813E3">
            <w:pPr>
              <w:jc w:val="center"/>
            </w:pPr>
            <w:r w:rsidRPr="000C4D09">
              <w:t>GSLD-3, CS-3</w:t>
            </w:r>
          </w:p>
        </w:tc>
        <w:tc>
          <w:tcPr>
            <w:tcW w:w="900" w:type="dxa"/>
          </w:tcPr>
          <w:p w:rsidR="002D5713" w:rsidRPr="000C4D09" w:rsidRDefault="002D5713" w:rsidP="004813E3">
            <w:pPr>
              <w:jc w:val="center"/>
            </w:pPr>
            <w:r>
              <w:t>2.224</w:t>
            </w:r>
          </w:p>
        </w:tc>
        <w:tc>
          <w:tcPr>
            <w:tcW w:w="1260" w:type="dxa"/>
          </w:tcPr>
          <w:p w:rsidR="002D5713" w:rsidRPr="000C4D09" w:rsidRDefault="002D5713" w:rsidP="004813E3">
            <w:pPr>
              <w:jc w:val="center"/>
            </w:pPr>
            <w:r w:rsidRPr="000C4D09">
              <w:t>0.97529</w:t>
            </w:r>
          </w:p>
        </w:tc>
        <w:tc>
          <w:tcPr>
            <w:tcW w:w="1188" w:type="dxa"/>
          </w:tcPr>
          <w:p w:rsidR="002D5713" w:rsidRPr="000C4D09" w:rsidRDefault="002D5713" w:rsidP="004813E3">
            <w:pPr>
              <w:jc w:val="center"/>
            </w:pPr>
            <w:r>
              <w:t>2.169</w:t>
            </w:r>
          </w:p>
        </w:tc>
      </w:tr>
      <w:tr w:rsidR="002D5713" w:rsidRPr="000C4D09" w:rsidTr="004813E3">
        <w:tc>
          <w:tcPr>
            <w:tcW w:w="900" w:type="dxa"/>
            <w:vMerge w:val="restart"/>
            <w:vAlign w:val="center"/>
          </w:tcPr>
          <w:p w:rsidR="002D5713" w:rsidRPr="000C4D09" w:rsidRDefault="002D5713" w:rsidP="004813E3">
            <w:pPr>
              <w:jc w:val="center"/>
            </w:pPr>
            <w:r w:rsidRPr="000C4D09">
              <w:t>A</w:t>
            </w:r>
          </w:p>
        </w:tc>
        <w:tc>
          <w:tcPr>
            <w:tcW w:w="5220" w:type="dxa"/>
          </w:tcPr>
          <w:p w:rsidR="002D5713" w:rsidRPr="000C4D09" w:rsidRDefault="002D5713" w:rsidP="004813E3">
            <w:pPr>
              <w:jc w:val="center"/>
            </w:pPr>
            <w:r w:rsidRPr="000C4D09">
              <w:t>GST-1 On-Peak</w:t>
            </w:r>
          </w:p>
        </w:tc>
        <w:tc>
          <w:tcPr>
            <w:tcW w:w="900" w:type="dxa"/>
          </w:tcPr>
          <w:p w:rsidR="002D5713" w:rsidRPr="000C4D09" w:rsidRDefault="002D5713" w:rsidP="004813E3">
            <w:pPr>
              <w:jc w:val="center"/>
            </w:pPr>
            <w:r>
              <w:t>2.555</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2.560</w:t>
            </w:r>
          </w:p>
        </w:tc>
      </w:tr>
      <w:tr w:rsidR="002D5713" w:rsidRPr="000C4D09"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GST-1 Off Peak</w:t>
            </w:r>
          </w:p>
        </w:tc>
        <w:tc>
          <w:tcPr>
            <w:tcW w:w="900" w:type="dxa"/>
          </w:tcPr>
          <w:p w:rsidR="002D5713" w:rsidRPr="000C4D09" w:rsidRDefault="002D5713" w:rsidP="004813E3">
            <w:pPr>
              <w:jc w:val="center"/>
            </w:pPr>
            <w:r>
              <w:t>2.082</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2.086</w:t>
            </w:r>
          </w:p>
        </w:tc>
      </w:tr>
      <w:tr w:rsidR="002D5713" w:rsidRPr="000C4D09"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RTR-1 On-Peak</w:t>
            </w:r>
          </w:p>
        </w:tc>
        <w:tc>
          <w:tcPr>
            <w:tcW w:w="900" w:type="dxa"/>
          </w:tcPr>
          <w:p w:rsidR="002D5713" w:rsidRPr="000C4D09" w:rsidRDefault="002D5713" w:rsidP="004813E3">
            <w:pPr>
              <w:jc w:val="center"/>
            </w:pPr>
            <w:r w:rsidRPr="000C4D09">
              <w:t>-</w:t>
            </w:r>
          </w:p>
        </w:tc>
        <w:tc>
          <w:tcPr>
            <w:tcW w:w="1260" w:type="dxa"/>
          </w:tcPr>
          <w:p w:rsidR="002D5713" w:rsidRPr="000C4D09" w:rsidRDefault="002D5713" w:rsidP="004813E3">
            <w:pPr>
              <w:jc w:val="center"/>
            </w:pPr>
            <w:r w:rsidRPr="000C4D09">
              <w:t>-</w:t>
            </w:r>
          </w:p>
        </w:tc>
        <w:tc>
          <w:tcPr>
            <w:tcW w:w="1188" w:type="dxa"/>
          </w:tcPr>
          <w:p w:rsidR="002D5713" w:rsidRPr="000C4D09" w:rsidRDefault="002D5713" w:rsidP="004813E3">
            <w:pPr>
              <w:jc w:val="center"/>
            </w:pPr>
            <w:r>
              <w:t>0.331</w:t>
            </w:r>
          </w:p>
        </w:tc>
      </w:tr>
      <w:tr w:rsidR="002D5713" w:rsidRPr="000C4D09"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RTR-1 Off-Peak</w:t>
            </w:r>
          </w:p>
        </w:tc>
        <w:tc>
          <w:tcPr>
            <w:tcW w:w="900" w:type="dxa"/>
          </w:tcPr>
          <w:p w:rsidR="002D5713" w:rsidRPr="000C4D09" w:rsidRDefault="002D5713" w:rsidP="004813E3">
            <w:pPr>
              <w:jc w:val="center"/>
            </w:pPr>
            <w:r w:rsidRPr="000C4D09">
              <w:t>-</w:t>
            </w:r>
          </w:p>
        </w:tc>
        <w:tc>
          <w:tcPr>
            <w:tcW w:w="1260" w:type="dxa"/>
          </w:tcPr>
          <w:p w:rsidR="002D5713" w:rsidRPr="000C4D09" w:rsidRDefault="002D5713" w:rsidP="004813E3">
            <w:pPr>
              <w:jc w:val="center"/>
            </w:pPr>
            <w:r w:rsidRPr="000C4D09">
              <w:t>-</w:t>
            </w:r>
          </w:p>
        </w:tc>
        <w:tc>
          <w:tcPr>
            <w:tcW w:w="1188" w:type="dxa"/>
          </w:tcPr>
          <w:p w:rsidR="002D5713" w:rsidRPr="000C4D09" w:rsidRDefault="002D5713" w:rsidP="004813E3">
            <w:pPr>
              <w:jc w:val="center"/>
            </w:pPr>
            <w:r>
              <w:t>(0.143</w:t>
            </w:r>
            <w:r w:rsidRPr="000C4D09">
              <w:t>)</w:t>
            </w:r>
          </w:p>
        </w:tc>
      </w:tr>
      <w:tr w:rsidR="002D5713" w:rsidRPr="000C4D09" w:rsidTr="004813E3">
        <w:tc>
          <w:tcPr>
            <w:tcW w:w="900" w:type="dxa"/>
            <w:vMerge w:val="restart"/>
            <w:vAlign w:val="center"/>
          </w:tcPr>
          <w:p w:rsidR="002D5713" w:rsidRPr="000C4D09" w:rsidRDefault="002D5713" w:rsidP="004813E3">
            <w:pPr>
              <w:jc w:val="center"/>
            </w:pPr>
            <w:r w:rsidRPr="000C4D09">
              <w:t>B</w:t>
            </w:r>
          </w:p>
        </w:tc>
        <w:tc>
          <w:tcPr>
            <w:tcW w:w="5220" w:type="dxa"/>
          </w:tcPr>
          <w:p w:rsidR="002D5713" w:rsidRPr="000C4D09" w:rsidRDefault="002D5713" w:rsidP="004813E3">
            <w:pPr>
              <w:jc w:val="center"/>
            </w:pPr>
            <w:r w:rsidRPr="000C4D09">
              <w:t>GS</w:t>
            </w:r>
            <w:r>
              <w:t>L</w:t>
            </w:r>
            <w:r w:rsidRPr="000C4D09">
              <w:t>DT-1, CILC-1(G), HLFT-1 (21-499 kW) On Peak</w:t>
            </w:r>
          </w:p>
        </w:tc>
        <w:tc>
          <w:tcPr>
            <w:tcW w:w="900" w:type="dxa"/>
            <w:vAlign w:val="center"/>
          </w:tcPr>
          <w:p w:rsidR="002D5713" w:rsidRPr="000C4D09" w:rsidRDefault="002D5713" w:rsidP="004813E3">
            <w:pPr>
              <w:jc w:val="center"/>
            </w:pPr>
            <w:r>
              <w:t>2.555</w:t>
            </w:r>
          </w:p>
        </w:tc>
        <w:tc>
          <w:tcPr>
            <w:tcW w:w="1260" w:type="dxa"/>
            <w:vAlign w:val="center"/>
          </w:tcPr>
          <w:p w:rsidR="002D5713" w:rsidRPr="000C4D09" w:rsidRDefault="002D5713" w:rsidP="004813E3">
            <w:pPr>
              <w:jc w:val="center"/>
            </w:pPr>
            <w:r w:rsidRPr="000C4D09">
              <w:t>1.00207</w:t>
            </w:r>
          </w:p>
        </w:tc>
        <w:tc>
          <w:tcPr>
            <w:tcW w:w="1188" w:type="dxa"/>
            <w:vAlign w:val="center"/>
          </w:tcPr>
          <w:p w:rsidR="002D5713" w:rsidRPr="000C4D09" w:rsidRDefault="002D5713" w:rsidP="004813E3">
            <w:pPr>
              <w:jc w:val="center"/>
            </w:pPr>
            <w:r>
              <w:t>2.560</w:t>
            </w:r>
          </w:p>
        </w:tc>
      </w:tr>
      <w:tr w:rsidR="002D5713" w:rsidRPr="000C4D09" w:rsidTr="004813E3">
        <w:tc>
          <w:tcPr>
            <w:tcW w:w="900" w:type="dxa"/>
            <w:vMerge/>
            <w:vAlign w:val="center"/>
          </w:tcPr>
          <w:p w:rsidR="002D5713" w:rsidRPr="000C4D09" w:rsidRDefault="002D5713" w:rsidP="004813E3">
            <w:pPr>
              <w:jc w:val="center"/>
            </w:pPr>
          </w:p>
        </w:tc>
        <w:tc>
          <w:tcPr>
            <w:tcW w:w="5220" w:type="dxa"/>
          </w:tcPr>
          <w:p w:rsidR="002D5713" w:rsidRPr="000C4D09" w:rsidRDefault="002D5713" w:rsidP="004813E3">
            <w:pPr>
              <w:jc w:val="center"/>
            </w:pPr>
            <w:r w:rsidRPr="000C4D09">
              <w:t>GS</w:t>
            </w:r>
            <w:r>
              <w:t>L</w:t>
            </w:r>
            <w:r w:rsidRPr="000C4D09">
              <w:t>DT-1, CILC-1(G), HLFT-1 (21-499 kW) Off Peak</w:t>
            </w:r>
          </w:p>
        </w:tc>
        <w:tc>
          <w:tcPr>
            <w:tcW w:w="900" w:type="dxa"/>
            <w:vAlign w:val="center"/>
          </w:tcPr>
          <w:p w:rsidR="002D5713" w:rsidRPr="000C4D09" w:rsidRDefault="002D5713" w:rsidP="004813E3">
            <w:pPr>
              <w:jc w:val="center"/>
            </w:pPr>
            <w:r>
              <w:t>2.082</w:t>
            </w:r>
          </w:p>
        </w:tc>
        <w:tc>
          <w:tcPr>
            <w:tcW w:w="1260" w:type="dxa"/>
            <w:vAlign w:val="center"/>
          </w:tcPr>
          <w:p w:rsidR="002D5713" w:rsidRPr="000C4D09" w:rsidRDefault="002D5713" w:rsidP="004813E3">
            <w:pPr>
              <w:jc w:val="center"/>
            </w:pPr>
            <w:r w:rsidRPr="000C4D09">
              <w:t>1.00207</w:t>
            </w:r>
          </w:p>
        </w:tc>
        <w:tc>
          <w:tcPr>
            <w:tcW w:w="1188" w:type="dxa"/>
            <w:vAlign w:val="center"/>
          </w:tcPr>
          <w:p w:rsidR="002D5713" w:rsidRPr="000C4D09" w:rsidRDefault="002D5713" w:rsidP="004813E3">
            <w:pPr>
              <w:jc w:val="center"/>
            </w:pPr>
            <w:r>
              <w:t>2.086</w:t>
            </w:r>
          </w:p>
        </w:tc>
      </w:tr>
      <w:tr w:rsidR="002D5713" w:rsidRPr="000C4D09" w:rsidTr="004813E3">
        <w:tc>
          <w:tcPr>
            <w:tcW w:w="900" w:type="dxa"/>
            <w:vMerge w:val="restart"/>
            <w:vAlign w:val="center"/>
          </w:tcPr>
          <w:p w:rsidR="002D5713" w:rsidRPr="000C4D09" w:rsidRDefault="002D5713" w:rsidP="004813E3">
            <w:pPr>
              <w:jc w:val="center"/>
            </w:pPr>
            <w:r w:rsidRPr="000C4D09">
              <w:t>C</w:t>
            </w:r>
          </w:p>
        </w:tc>
        <w:tc>
          <w:tcPr>
            <w:tcW w:w="5220" w:type="dxa"/>
          </w:tcPr>
          <w:p w:rsidR="002D5713" w:rsidRPr="000C4D09" w:rsidRDefault="002D5713" w:rsidP="004813E3">
            <w:pPr>
              <w:jc w:val="center"/>
            </w:pPr>
            <w:r w:rsidRPr="000C4D09">
              <w:t>GS</w:t>
            </w:r>
            <w:r>
              <w:t>LD</w:t>
            </w:r>
            <w:r w:rsidRPr="000C4D09">
              <w:t>T-1, CST-1, HLFT-2 (500-1,999 kW) On Peak</w:t>
            </w:r>
          </w:p>
        </w:tc>
        <w:tc>
          <w:tcPr>
            <w:tcW w:w="900" w:type="dxa"/>
            <w:vAlign w:val="center"/>
          </w:tcPr>
          <w:p w:rsidR="002D5713" w:rsidRPr="000C4D09" w:rsidRDefault="002D5713" w:rsidP="004813E3">
            <w:pPr>
              <w:jc w:val="center"/>
            </w:pPr>
            <w:r>
              <w:t>2.555</w:t>
            </w:r>
          </w:p>
        </w:tc>
        <w:tc>
          <w:tcPr>
            <w:tcW w:w="1260" w:type="dxa"/>
            <w:vAlign w:val="center"/>
          </w:tcPr>
          <w:p w:rsidR="002D5713" w:rsidRPr="000C4D09" w:rsidRDefault="002D5713" w:rsidP="004813E3">
            <w:pPr>
              <w:jc w:val="center"/>
            </w:pPr>
            <w:r w:rsidRPr="000C4D09">
              <w:t>1.00157</w:t>
            </w:r>
          </w:p>
        </w:tc>
        <w:tc>
          <w:tcPr>
            <w:tcW w:w="1188" w:type="dxa"/>
            <w:vAlign w:val="center"/>
          </w:tcPr>
          <w:p w:rsidR="002D5713" w:rsidRPr="000C4D09" w:rsidRDefault="002D5713" w:rsidP="004813E3">
            <w:pPr>
              <w:jc w:val="center"/>
            </w:pPr>
            <w:r>
              <w:t>2.559</w:t>
            </w:r>
          </w:p>
        </w:tc>
      </w:tr>
      <w:tr w:rsidR="002D5713" w:rsidRPr="000C4D09" w:rsidTr="004813E3">
        <w:tc>
          <w:tcPr>
            <w:tcW w:w="900" w:type="dxa"/>
            <w:vMerge/>
            <w:vAlign w:val="center"/>
          </w:tcPr>
          <w:p w:rsidR="002D5713" w:rsidRPr="000C4D09" w:rsidRDefault="002D5713" w:rsidP="004813E3">
            <w:pPr>
              <w:jc w:val="center"/>
            </w:pPr>
          </w:p>
        </w:tc>
        <w:tc>
          <w:tcPr>
            <w:tcW w:w="5220" w:type="dxa"/>
          </w:tcPr>
          <w:p w:rsidR="002D5713" w:rsidRPr="000C4D09" w:rsidRDefault="002D5713" w:rsidP="004813E3">
            <w:pPr>
              <w:jc w:val="center"/>
            </w:pPr>
            <w:r w:rsidRPr="000C4D09">
              <w:t>GS</w:t>
            </w:r>
            <w:r>
              <w:t>LD</w:t>
            </w:r>
            <w:r w:rsidRPr="000C4D09">
              <w:t>T-1, CST-1, HLFT-2 (500-1,999 kW) Off Peak</w:t>
            </w:r>
          </w:p>
        </w:tc>
        <w:tc>
          <w:tcPr>
            <w:tcW w:w="900" w:type="dxa"/>
            <w:vAlign w:val="center"/>
          </w:tcPr>
          <w:p w:rsidR="002D5713" w:rsidRPr="000C4D09" w:rsidRDefault="002D5713" w:rsidP="004813E3">
            <w:pPr>
              <w:jc w:val="center"/>
            </w:pPr>
            <w:r>
              <w:t>2.082</w:t>
            </w:r>
          </w:p>
        </w:tc>
        <w:tc>
          <w:tcPr>
            <w:tcW w:w="1260" w:type="dxa"/>
            <w:vAlign w:val="center"/>
          </w:tcPr>
          <w:p w:rsidR="002D5713" w:rsidRPr="000C4D09" w:rsidRDefault="002D5713" w:rsidP="004813E3">
            <w:pPr>
              <w:jc w:val="center"/>
            </w:pPr>
            <w:r w:rsidRPr="000C4D09">
              <w:t>1.00157</w:t>
            </w:r>
          </w:p>
        </w:tc>
        <w:tc>
          <w:tcPr>
            <w:tcW w:w="1188" w:type="dxa"/>
            <w:vAlign w:val="center"/>
          </w:tcPr>
          <w:p w:rsidR="002D5713" w:rsidRPr="000C4D09" w:rsidRDefault="002D5713" w:rsidP="004813E3">
            <w:pPr>
              <w:jc w:val="center"/>
            </w:pPr>
            <w:r>
              <w:t>2.085</w:t>
            </w:r>
          </w:p>
        </w:tc>
      </w:tr>
      <w:tr w:rsidR="002D5713" w:rsidRPr="000C4D09" w:rsidTr="004813E3">
        <w:tc>
          <w:tcPr>
            <w:tcW w:w="900" w:type="dxa"/>
            <w:vMerge w:val="restart"/>
            <w:vAlign w:val="center"/>
          </w:tcPr>
          <w:p w:rsidR="002D5713" w:rsidRPr="000C4D09" w:rsidRDefault="002D5713" w:rsidP="004813E3">
            <w:pPr>
              <w:jc w:val="center"/>
            </w:pPr>
            <w:r w:rsidRPr="000C4D09">
              <w:t>D</w:t>
            </w:r>
          </w:p>
        </w:tc>
        <w:tc>
          <w:tcPr>
            <w:tcW w:w="5220" w:type="dxa"/>
          </w:tcPr>
          <w:p w:rsidR="002D5713" w:rsidRPr="000C4D09" w:rsidRDefault="002D5713" w:rsidP="004813E3">
            <w:pPr>
              <w:jc w:val="center"/>
            </w:pPr>
            <w:r>
              <w:t>GS</w:t>
            </w:r>
            <w:r w:rsidRPr="000C4D09">
              <w:t>L</w:t>
            </w:r>
            <w:r>
              <w:t>D</w:t>
            </w:r>
            <w:r w:rsidRPr="000C4D09">
              <w:t>T-2, CST-2, HLFT-3 (2,000+ kW) On Peak</w:t>
            </w:r>
          </w:p>
        </w:tc>
        <w:tc>
          <w:tcPr>
            <w:tcW w:w="900" w:type="dxa"/>
            <w:vAlign w:val="center"/>
          </w:tcPr>
          <w:p w:rsidR="002D5713" w:rsidRPr="000C4D09" w:rsidRDefault="002D5713" w:rsidP="004813E3">
            <w:pPr>
              <w:jc w:val="center"/>
            </w:pPr>
            <w:r>
              <w:t>2.555</w:t>
            </w:r>
          </w:p>
        </w:tc>
        <w:tc>
          <w:tcPr>
            <w:tcW w:w="1260" w:type="dxa"/>
            <w:vAlign w:val="center"/>
          </w:tcPr>
          <w:p w:rsidR="002D5713" w:rsidRPr="000C4D09" w:rsidRDefault="002D5713" w:rsidP="004813E3">
            <w:pPr>
              <w:jc w:val="center"/>
            </w:pPr>
            <w:r w:rsidRPr="000C4D09">
              <w:t>0.99588</w:t>
            </w:r>
          </w:p>
        </w:tc>
        <w:tc>
          <w:tcPr>
            <w:tcW w:w="1188" w:type="dxa"/>
            <w:vAlign w:val="center"/>
          </w:tcPr>
          <w:p w:rsidR="002D5713" w:rsidRPr="000C4D09" w:rsidRDefault="002D5713" w:rsidP="004813E3">
            <w:pPr>
              <w:jc w:val="center"/>
            </w:pPr>
            <w:r>
              <w:t>2.544</w:t>
            </w:r>
          </w:p>
        </w:tc>
      </w:tr>
      <w:tr w:rsidR="002D5713" w:rsidRPr="000C4D09" w:rsidTr="004813E3">
        <w:tc>
          <w:tcPr>
            <w:tcW w:w="900" w:type="dxa"/>
            <w:vMerge/>
            <w:vAlign w:val="center"/>
          </w:tcPr>
          <w:p w:rsidR="002D5713" w:rsidRPr="000C4D09" w:rsidRDefault="002D5713" w:rsidP="004813E3">
            <w:pPr>
              <w:jc w:val="center"/>
            </w:pPr>
          </w:p>
        </w:tc>
        <w:tc>
          <w:tcPr>
            <w:tcW w:w="5220" w:type="dxa"/>
          </w:tcPr>
          <w:p w:rsidR="002D5713" w:rsidRPr="000C4D09" w:rsidRDefault="002D5713" w:rsidP="004813E3">
            <w:pPr>
              <w:jc w:val="center"/>
            </w:pPr>
            <w:r>
              <w:t>GS</w:t>
            </w:r>
            <w:r w:rsidRPr="000C4D09">
              <w:t>L</w:t>
            </w:r>
            <w:r>
              <w:t>D</w:t>
            </w:r>
            <w:r w:rsidRPr="000C4D09">
              <w:t>T</w:t>
            </w:r>
            <w:r>
              <w:t>-2, CST-2, HLFT-3 (2,000+ kW) Off</w:t>
            </w:r>
            <w:r w:rsidRPr="000C4D09">
              <w:t xml:space="preserve"> Peak</w:t>
            </w:r>
          </w:p>
        </w:tc>
        <w:tc>
          <w:tcPr>
            <w:tcW w:w="900" w:type="dxa"/>
            <w:vAlign w:val="center"/>
          </w:tcPr>
          <w:p w:rsidR="002D5713" w:rsidRPr="000C4D09" w:rsidRDefault="002D5713" w:rsidP="004813E3">
            <w:pPr>
              <w:jc w:val="center"/>
            </w:pPr>
            <w:r>
              <w:t>2.082</w:t>
            </w:r>
          </w:p>
        </w:tc>
        <w:tc>
          <w:tcPr>
            <w:tcW w:w="1260" w:type="dxa"/>
            <w:vAlign w:val="center"/>
          </w:tcPr>
          <w:p w:rsidR="002D5713" w:rsidRPr="000C4D09" w:rsidRDefault="002D5713" w:rsidP="004813E3">
            <w:pPr>
              <w:jc w:val="center"/>
            </w:pPr>
            <w:r w:rsidRPr="000C4D09">
              <w:t>0.99588</w:t>
            </w:r>
          </w:p>
        </w:tc>
        <w:tc>
          <w:tcPr>
            <w:tcW w:w="1188" w:type="dxa"/>
            <w:vAlign w:val="center"/>
          </w:tcPr>
          <w:p w:rsidR="002D5713" w:rsidRPr="000C4D09" w:rsidRDefault="002D5713" w:rsidP="004813E3">
            <w:pPr>
              <w:jc w:val="center"/>
            </w:pPr>
            <w:r>
              <w:t>2.073</w:t>
            </w:r>
          </w:p>
        </w:tc>
      </w:tr>
      <w:tr w:rsidR="002D5713" w:rsidRPr="000C4D09" w:rsidTr="004813E3">
        <w:tc>
          <w:tcPr>
            <w:tcW w:w="900" w:type="dxa"/>
            <w:vMerge w:val="restart"/>
            <w:vAlign w:val="center"/>
          </w:tcPr>
          <w:p w:rsidR="002D5713" w:rsidRPr="000C4D09" w:rsidRDefault="002D5713" w:rsidP="004813E3">
            <w:pPr>
              <w:jc w:val="center"/>
            </w:pPr>
            <w:r w:rsidRPr="000C4D09">
              <w:t>E</w:t>
            </w:r>
          </w:p>
        </w:tc>
        <w:tc>
          <w:tcPr>
            <w:tcW w:w="5220" w:type="dxa"/>
          </w:tcPr>
          <w:p w:rsidR="002D5713" w:rsidRPr="000C4D09" w:rsidRDefault="002D5713" w:rsidP="004813E3">
            <w:pPr>
              <w:jc w:val="center"/>
            </w:pPr>
            <w:r w:rsidRPr="000C4D09">
              <w:t>GSL</w:t>
            </w:r>
            <w:r>
              <w:t>D</w:t>
            </w:r>
            <w:r w:rsidRPr="000C4D09">
              <w:t>T-3, CST-3, CILC-1(T), ISST-1(T) On Peak</w:t>
            </w:r>
          </w:p>
        </w:tc>
        <w:tc>
          <w:tcPr>
            <w:tcW w:w="900" w:type="dxa"/>
            <w:vAlign w:val="center"/>
          </w:tcPr>
          <w:p w:rsidR="002D5713" w:rsidRPr="000C4D09" w:rsidRDefault="002D5713" w:rsidP="004813E3">
            <w:pPr>
              <w:jc w:val="center"/>
            </w:pPr>
            <w:r>
              <w:t>2.555</w:t>
            </w:r>
          </w:p>
        </w:tc>
        <w:tc>
          <w:tcPr>
            <w:tcW w:w="1260" w:type="dxa"/>
            <w:vAlign w:val="center"/>
          </w:tcPr>
          <w:p w:rsidR="002D5713" w:rsidRPr="000C4D09" w:rsidRDefault="002D5713" w:rsidP="004813E3">
            <w:pPr>
              <w:jc w:val="center"/>
            </w:pPr>
            <w:r w:rsidRPr="000C4D09">
              <w:t>0.97529</w:t>
            </w:r>
          </w:p>
        </w:tc>
        <w:tc>
          <w:tcPr>
            <w:tcW w:w="1188" w:type="dxa"/>
            <w:vAlign w:val="center"/>
          </w:tcPr>
          <w:p w:rsidR="002D5713" w:rsidRPr="000C4D09" w:rsidRDefault="002D5713" w:rsidP="004813E3">
            <w:pPr>
              <w:jc w:val="center"/>
            </w:pPr>
            <w:r>
              <w:t>2.492</w:t>
            </w:r>
          </w:p>
        </w:tc>
      </w:tr>
      <w:tr w:rsidR="002D5713" w:rsidRPr="000C4D09" w:rsidTr="004813E3">
        <w:tc>
          <w:tcPr>
            <w:tcW w:w="900" w:type="dxa"/>
            <w:vMerge/>
            <w:vAlign w:val="center"/>
          </w:tcPr>
          <w:p w:rsidR="002D5713" w:rsidRPr="000C4D09" w:rsidRDefault="002D5713" w:rsidP="004813E3">
            <w:pPr>
              <w:jc w:val="center"/>
            </w:pPr>
          </w:p>
        </w:tc>
        <w:tc>
          <w:tcPr>
            <w:tcW w:w="5220" w:type="dxa"/>
          </w:tcPr>
          <w:p w:rsidR="002D5713" w:rsidRPr="000C4D09" w:rsidRDefault="002D5713" w:rsidP="004813E3">
            <w:pPr>
              <w:jc w:val="center"/>
            </w:pPr>
            <w:r>
              <w:t>GS</w:t>
            </w:r>
            <w:r w:rsidRPr="000C4D09">
              <w:t>L</w:t>
            </w:r>
            <w:r>
              <w:t>D</w:t>
            </w:r>
            <w:r w:rsidRPr="000C4D09">
              <w:t>T-3, CST-3, CILC-1(T), ISST-1(T) Off Peak</w:t>
            </w:r>
          </w:p>
        </w:tc>
        <w:tc>
          <w:tcPr>
            <w:tcW w:w="900" w:type="dxa"/>
            <w:vAlign w:val="center"/>
          </w:tcPr>
          <w:p w:rsidR="002D5713" w:rsidRPr="000C4D09" w:rsidRDefault="002D5713" w:rsidP="004813E3">
            <w:pPr>
              <w:jc w:val="center"/>
            </w:pPr>
            <w:r>
              <w:t>2.082</w:t>
            </w:r>
          </w:p>
        </w:tc>
        <w:tc>
          <w:tcPr>
            <w:tcW w:w="1260" w:type="dxa"/>
            <w:vAlign w:val="center"/>
          </w:tcPr>
          <w:p w:rsidR="002D5713" w:rsidRPr="000C4D09" w:rsidRDefault="002D5713" w:rsidP="004813E3">
            <w:pPr>
              <w:jc w:val="center"/>
            </w:pPr>
            <w:r w:rsidRPr="000C4D09">
              <w:t>0.97529</w:t>
            </w:r>
          </w:p>
        </w:tc>
        <w:tc>
          <w:tcPr>
            <w:tcW w:w="1188" w:type="dxa"/>
            <w:vAlign w:val="center"/>
          </w:tcPr>
          <w:p w:rsidR="002D5713" w:rsidRPr="000C4D09" w:rsidRDefault="002D5713" w:rsidP="004813E3">
            <w:pPr>
              <w:jc w:val="center"/>
            </w:pPr>
            <w:r>
              <w:t>2.031</w:t>
            </w:r>
          </w:p>
        </w:tc>
      </w:tr>
      <w:tr w:rsidR="002D5713" w:rsidRPr="000C4D09" w:rsidTr="004813E3">
        <w:tc>
          <w:tcPr>
            <w:tcW w:w="900" w:type="dxa"/>
            <w:vMerge w:val="restart"/>
            <w:vAlign w:val="center"/>
          </w:tcPr>
          <w:p w:rsidR="002D5713" w:rsidRPr="000C4D09" w:rsidRDefault="002D5713" w:rsidP="004813E3">
            <w:pPr>
              <w:jc w:val="center"/>
            </w:pPr>
            <w:r w:rsidRPr="000C4D09">
              <w:t>F</w:t>
            </w:r>
          </w:p>
        </w:tc>
        <w:tc>
          <w:tcPr>
            <w:tcW w:w="5220" w:type="dxa"/>
          </w:tcPr>
          <w:p w:rsidR="002D5713" w:rsidRPr="000C4D09" w:rsidRDefault="002D5713" w:rsidP="004813E3">
            <w:pPr>
              <w:jc w:val="center"/>
            </w:pPr>
            <w:r w:rsidRPr="000C4D09">
              <w:t>CILC-1(D), ISST-1(D) On Peak</w:t>
            </w:r>
          </w:p>
        </w:tc>
        <w:tc>
          <w:tcPr>
            <w:tcW w:w="900" w:type="dxa"/>
          </w:tcPr>
          <w:p w:rsidR="002D5713" w:rsidRPr="000C4D09" w:rsidRDefault="002D5713" w:rsidP="004813E3">
            <w:pPr>
              <w:jc w:val="center"/>
            </w:pPr>
            <w:r>
              <w:t>2.555</w:t>
            </w:r>
          </w:p>
        </w:tc>
        <w:tc>
          <w:tcPr>
            <w:tcW w:w="1260" w:type="dxa"/>
          </w:tcPr>
          <w:p w:rsidR="002D5713" w:rsidRPr="000C4D09" w:rsidRDefault="002D5713" w:rsidP="004813E3">
            <w:pPr>
              <w:jc w:val="center"/>
            </w:pPr>
            <w:r w:rsidRPr="000C4D09">
              <w:t>0.99566</w:t>
            </w:r>
          </w:p>
        </w:tc>
        <w:tc>
          <w:tcPr>
            <w:tcW w:w="1188" w:type="dxa"/>
          </w:tcPr>
          <w:p w:rsidR="002D5713" w:rsidRPr="000C4D09" w:rsidRDefault="002D5713" w:rsidP="004813E3">
            <w:pPr>
              <w:jc w:val="center"/>
            </w:pPr>
            <w:r>
              <w:t>2.544</w:t>
            </w:r>
          </w:p>
        </w:tc>
      </w:tr>
      <w:tr w:rsidR="002D5713" w:rsidRPr="000C4D09"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CILC-1(D), ISST-1(D) Off Peak</w:t>
            </w:r>
          </w:p>
        </w:tc>
        <w:tc>
          <w:tcPr>
            <w:tcW w:w="900" w:type="dxa"/>
          </w:tcPr>
          <w:p w:rsidR="002D5713" w:rsidRPr="000C4D09" w:rsidRDefault="002D5713" w:rsidP="004813E3">
            <w:pPr>
              <w:jc w:val="center"/>
            </w:pPr>
            <w:r>
              <w:t>2.082</w:t>
            </w:r>
          </w:p>
        </w:tc>
        <w:tc>
          <w:tcPr>
            <w:tcW w:w="1260" w:type="dxa"/>
          </w:tcPr>
          <w:p w:rsidR="002D5713" w:rsidRPr="000C4D09" w:rsidRDefault="002D5713" w:rsidP="004813E3">
            <w:pPr>
              <w:jc w:val="center"/>
            </w:pPr>
            <w:r w:rsidRPr="000C4D09">
              <w:t>0.99566</w:t>
            </w:r>
          </w:p>
        </w:tc>
        <w:tc>
          <w:tcPr>
            <w:tcW w:w="1188" w:type="dxa"/>
          </w:tcPr>
          <w:p w:rsidR="002D5713" w:rsidRPr="000C4D09" w:rsidRDefault="002D5713" w:rsidP="004813E3">
            <w:pPr>
              <w:jc w:val="center"/>
            </w:pPr>
            <w:r>
              <w:t>2.073</w:t>
            </w:r>
          </w:p>
        </w:tc>
      </w:tr>
    </w:tbl>
    <w:p w:rsidR="002D5713" w:rsidRPr="000C4D09" w:rsidRDefault="002D5713" w:rsidP="002D5713">
      <w:pPr>
        <w:rPr>
          <w:sz w:val="20"/>
          <w:szCs w:val="20"/>
        </w:rPr>
      </w:pPr>
      <w:r w:rsidRPr="000C4D09">
        <w:t xml:space="preserve">    </w:t>
      </w:r>
      <w:r w:rsidRPr="000C4D09">
        <w:rPr>
          <w:sz w:val="20"/>
          <w:szCs w:val="20"/>
        </w:rPr>
        <w:t>Source: S</w:t>
      </w:r>
      <w:r w:rsidRPr="00DE1F8F">
        <w:rPr>
          <w:sz w:val="20"/>
          <w:szCs w:val="20"/>
        </w:rPr>
        <w:t xml:space="preserve">chedule E1-E, Page 1 of 2 (Discovery Response Version </w:t>
      </w:r>
      <w:proofErr w:type="gramStart"/>
      <w:r w:rsidRPr="00DE1F8F">
        <w:rPr>
          <w:sz w:val="20"/>
          <w:szCs w:val="20"/>
        </w:rPr>
        <w:t>of  2020</w:t>
      </w:r>
      <w:proofErr w:type="gramEnd"/>
      <w:r w:rsidRPr="00DE1F8F">
        <w:rPr>
          <w:sz w:val="20"/>
          <w:szCs w:val="20"/>
        </w:rPr>
        <w:t xml:space="preserve"> FCR Projection Schedule, Page FCR-19-029116).</w:t>
      </w:r>
    </w:p>
    <w:p w:rsidR="002D5713" w:rsidRDefault="002D5713" w:rsidP="002D5713"/>
    <w:p w:rsidR="002D5713" w:rsidRPr="00952579" w:rsidRDefault="002D5713" w:rsidP="002D5713">
      <w:pPr>
        <w:ind w:left="1440" w:hanging="1440"/>
        <w:jc w:val="center"/>
        <w:rPr>
          <w:rFonts w:ascii="Arial" w:hAnsi="Arial" w:cs="Arial"/>
          <w:b/>
        </w:rPr>
      </w:pPr>
      <w:r w:rsidRPr="00952579">
        <w:rPr>
          <w:rFonts w:ascii="Arial" w:hAnsi="Arial" w:cs="Arial"/>
          <w:b/>
        </w:rPr>
        <w:t xml:space="preserve">Table </w:t>
      </w:r>
      <w:r>
        <w:rPr>
          <w:rFonts w:ascii="Arial" w:hAnsi="Arial" w:cs="Arial"/>
          <w:b/>
        </w:rPr>
        <w:t>22-3</w:t>
      </w:r>
    </w:p>
    <w:p w:rsidR="002D5713" w:rsidRDefault="002D5713" w:rsidP="002D5713">
      <w:pPr>
        <w:jc w:val="center"/>
      </w:pPr>
      <w:r w:rsidRPr="00952579">
        <w:rPr>
          <w:rFonts w:ascii="Arial" w:hAnsi="Arial" w:cs="Arial"/>
          <w:b/>
        </w:rPr>
        <w:t>F</w:t>
      </w:r>
      <w:r>
        <w:rPr>
          <w:rFonts w:ascii="Arial" w:hAnsi="Arial" w:cs="Arial"/>
          <w:b/>
        </w:rPr>
        <w:t>PL F</w:t>
      </w:r>
      <w:r w:rsidRPr="00952579">
        <w:rPr>
          <w:rFonts w:ascii="Arial" w:hAnsi="Arial" w:cs="Arial"/>
          <w:b/>
        </w:rPr>
        <w:t xml:space="preserve">uel Cost </w:t>
      </w:r>
      <w:r>
        <w:rPr>
          <w:rFonts w:ascii="Arial" w:hAnsi="Arial" w:cs="Arial"/>
          <w:b/>
        </w:rPr>
        <w:t>Recovery Factors for the period January-</w:t>
      </w:r>
      <w:r w:rsidRPr="00A439A0">
        <w:rPr>
          <w:rFonts w:ascii="Arial" w:hAnsi="Arial" w:cs="Arial"/>
          <w:b/>
        </w:rPr>
        <w:t xml:space="preserve"> </w:t>
      </w:r>
      <w:r>
        <w:rPr>
          <w:rFonts w:ascii="Arial" w:hAnsi="Arial" w:cs="Arial"/>
          <w:b/>
        </w:rPr>
        <w:t>April, 2020</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2D5713" w:rsidRPr="000C4D09" w:rsidTr="004813E3">
        <w:tc>
          <w:tcPr>
            <w:tcW w:w="9468" w:type="dxa"/>
            <w:gridSpan w:val="5"/>
          </w:tcPr>
          <w:p w:rsidR="002D5713" w:rsidRPr="000C4D09" w:rsidRDefault="002D5713" w:rsidP="004813E3">
            <w:pPr>
              <w:jc w:val="center"/>
            </w:pPr>
            <w:r w:rsidRPr="000C4D09">
              <w:t>Seasonal Demand Time of Use Rider (SDTR) Fuel Recovery Factors</w:t>
            </w:r>
          </w:p>
        </w:tc>
      </w:tr>
      <w:tr w:rsidR="002D5713" w:rsidRPr="000C4D09" w:rsidTr="004813E3">
        <w:tc>
          <w:tcPr>
            <w:tcW w:w="9468" w:type="dxa"/>
            <w:gridSpan w:val="5"/>
          </w:tcPr>
          <w:p w:rsidR="002D5713" w:rsidRPr="000C4D09" w:rsidRDefault="002D5713" w:rsidP="004813E3">
            <w:pPr>
              <w:jc w:val="center"/>
            </w:pPr>
            <w:r>
              <w:t>For the Period June through September</w:t>
            </w:r>
            <w:r w:rsidRPr="000C4D09">
              <w:t>, 2020</w:t>
            </w:r>
          </w:p>
        </w:tc>
      </w:tr>
      <w:tr w:rsidR="002D5713" w:rsidRPr="000C4D09" w:rsidTr="004813E3">
        <w:tc>
          <w:tcPr>
            <w:tcW w:w="900" w:type="dxa"/>
            <w:vAlign w:val="center"/>
          </w:tcPr>
          <w:p w:rsidR="002D5713" w:rsidRPr="000C4D09" w:rsidRDefault="002D5713" w:rsidP="004813E3">
            <w:pPr>
              <w:jc w:val="center"/>
            </w:pPr>
            <w:r w:rsidRPr="000C4D09">
              <w:t>Group</w:t>
            </w:r>
          </w:p>
        </w:tc>
        <w:tc>
          <w:tcPr>
            <w:tcW w:w="4950" w:type="dxa"/>
            <w:vAlign w:val="center"/>
          </w:tcPr>
          <w:p w:rsidR="002D5713" w:rsidRPr="000C4D09" w:rsidRDefault="002D5713" w:rsidP="004813E3">
            <w:pPr>
              <w:jc w:val="center"/>
            </w:pPr>
            <w:r w:rsidRPr="000C4D09">
              <w:t>Rate Schedule</w:t>
            </w:r>
          </w:p>
        </w:tc>
        <w:tc>
          <w:tcPr>
            <w:tcW w:w="1170" w:type="dxa"/>
            <w:vAlign w:val="center"/>
          </w:tcPr>
          <w:p w:rsidR="002D5713" w:rsidRPr="000C4D09" w:rsidRDefault="002D5713" w:rsidP="004813E3">
            <w:pPr>
              <w:jc w:val="center"/>
            </w:pPr>
            <w:r w:rsidRPr="000C4D09">
              <w:t>Avg. Factor</w:t>
            </w:r>
          </w:p>
        </w:tc>
        <w:tc>
          <w:tcPr>
            <w:tcW w:w="1260" w:type="dxa"/>
            <w:vAlign w:val="center"/>
          </w:tcPr>
          <w:p w:rsidR="002D5713" w:rsidRPr="000C4D09" w:rsidRDefault="002D5713" w:rsidP="004813E3">
            <w:pPr>
              <w:jc w:val="center"/>
            </w:pPr>
            <w:r w:rsidRPr="000C4D09">
              <w:t>Loss Multiplier</w:t>
            </w:r>
          </w:p>
        </w:tc>
        <w:tc>
          <w:tcPr>
            <w:tcW w:w="1188" w:type="dxa"/>
            <w:vAlign w:val="center"/>
          </w:tcPr>
          <w:p w:rsidR="002D5713" w:rsidRPr="000C4D09" w:rsidRDefault="002D5713" w:rsidP="004813E3">
            <w:pPr>
              <w:jc w:val="center"/>
            </w:pPr>
            <w:r w:rsidRPr="000C4D09">
              <w:t>Fuel Recovery Factor</w:t>
            </w:r>
          </w:p>
        </w:tc>
      </w:tr>
      <w:tr w:rsidR="002D5713" w:rsidRPr="000C4D09" w:rsidTr="004813E3">
        <w:tc>
          <w:tcPr>
            <w:tcW w:w="900" w:type="dxa"/>
            <w:vMerge w:val="restart"/>
            <w:vAlign w:val="center"/>
          </w:tcPr>
          <w:p w:rsidR="002D5713" w:rsidRPr="000C4D09" w:rsidRDefault="002D5713" w:rsidP="004813E3">
            <w:pPr>
              <w:jc w:val="center"/>
            </w:pPr>
            <w:r w:rsidRPr="000C4D09">
              <w:t>B</w:t>
            </w:r>
          </w:p>
        </w:tc>
        <w:tc>
          <w:tcPr>
            <w:tcW w:w="4950" w:type="dxa"/>
          </w:tcPr>
          <w:p w:rsidR="002D5713" w:rsidRPr="000C4D09" w:rsidRDefault="002D5713" w:rsidP="004813E3">
            <w:pPr>
              <w:jc w:val="center"/>
            </w:pPr>
            <w:r w:rsidRPr="000C4D09">
              <w:t>GSD(T)-1 On-Peak</w:t>
            </w:r>
          </w:p>
        </w:tc>
        <w:tc>
          <w:tcPr>
            <w:tcW w:w="1170" w:type="dxa"/>
          </w:tcPr>
          <w:p w:rsidR="002D5713" w:rsidRPr="000C4D09" w:rsidRDefault="002D5713" w:rsidP="004813E3">
            <w:pPr>
              <w:jc w:val="center"/>
            </w:pPr>
            <w:r>
              <w:t>3.051</w:t>
            </w:r>
          </w:p>
        </w:tc>
        <w:tc>
          <w:tcPr>
            <w:tcW w:w="1260" w:type="dxa"/>
          </w:tcPr>
          <w:p w:rsidR="002D5713" w:rsidRPr="000C4D09" w:rsidRDefault="002D5713" w:rsidP="004813E3">
            <w:pPr>
              <w:jc w:val="center"/>
            </w:pPr>
            <w:r w:rsidRPr="000C4D09">
              <w:t>1.00207</w:t>
            </w:r>
          </w:p>
        </w:tc>
        <w:tc>
          <w:tcPr>
            <w:tcW w:w="1188" w:type="dxa"/>
          </w:tcPr>
          <w:p w:rsidR="002D5713" w:rsidRPr="000C4D09" w:rsidRDefault="002D5713" w:rsidP="004813E3">
            <w:pPr>
              <w:jc w:val="center"/>
            </w:pPr>
            <w:r>
              <w:t>3.057</w:t>
            </w:r>
          </w:p>
        </w:tc>
      </w:tr>
      <w:tr w:rsidR="002D5713" w:rsidRPr="000C4D09" w:rsidTr="004813E3">
        <w:tc>
          <w:tcPr>
            <w:tcW w:w="900" w:type="dxa"/>
            <w:vMerge/>
          </w:tcPr>
          <w:p w:rsidR="002D5713" w:rsidRPr="000C4D09" w:rsidRDefault="002D5713" w:rsidP="004813E3">
            <w:pPr>
              <w:jc w:val="center"/>
            </w:pPr>
          </w:p>
        </w:tc>
        <w:tc>
          <w:tcPr>
            <w:tcW w:w="4950" w:type="dxa"/>
          </w:tcPr>
          <w:p w:rsidR="002D5713" w:rsidRPr="000C4D09" w:rsidRDefault="002D5713" w:rsidP="004813E3">
            <w:pPr>
              <w:jc w:val="center"/>
            </w:pPr>
            <w:r w:rsidRPr="000C4D09">
              <w:t>GSD(T)-1 Off-Peak</w:t>
            </w:r>
          </w:p>
        </w:tc>
        <w:tc>
          <w:tcPr>
            <w:tcW w:w="1170" w:type="dxa"/>
          </w:tcPr>
          <w:p w:rsidR="002D5713" w:rsidRPr="000C4D09" w:rsidRDefault="002D5713" w:rsidP="004813E3">
            <w:pPr>
              <w:jc w:val="center"/>
            </w:pPr>
            <w:r>
              <w:t>2.115</w:t>
            </w:r>
          </w:p>
        </w:tc>
        <w:tc>
          <w:tcPr>
            <w:tcW w:w="1260" w:type="dxa"/>
          </w:tcPr>
          <w:p w:rsidR="002D5713" w:rsidRPr="000C4D09" w:rsidRDefault="002D5713" w:rsidP="004813E3">
            <w:pPr>
              <w:jc w:val="center"/>
            </w:pPr>
            <w:r w:rsidRPr="000C4D09">
              <w:t>1.00207</w:t>
            </w:r>
          </w:p>
        </w:tc>
        <w:tc>
          <w:tcPr>
            <w:tcW w:w="1188" w:type="dxa"/>
          </w:tcPr>
          <w:p w:rsidR="002D5713" w:rsidRPr="000C4D09" w:rsidRDefault="002D5713" w:rsidP="004813E3">
            <w:pPr>
              <w:jc w:val="center"/>
            </w:pPr>
            <w:r>
              <w:t>2.119</w:t>
            </w:r>
          </w:p>
        </w:tc>
      </w:tr>
      <w:tr w:rsidR="002D5713" w:rsidRPr="000C4D09" w:rsidTr="004813E3">
        <w:tc>
          <w:tcPr>
            <w:tcW w:w="900" w:type="dxa"/>
            <w:vMerge w:val="restart"/>
            <w:vAlign w:val="center"/>
          </w:tcPr>
          <w:p w:rsidR="002D5713" w:rsidRPr="000C4D09" w:rsidRDefault="002D5713" w:rsidP="004813E3">
            <w:pPr>
              <w:jc w:val="center"/>
            </w:pPr>
            <w:r w:rsidRPr="000C4D09">
              <w:t>C</w:t>
            </w:r>
          </w:p>
        </w:tc>
        <w:tc>
          <w:tcPr>
            <w:tcW w:w="4950" w:type="dxa"/>
          </w:tcPr>
          <w:p w:rsidR="002D5713" w:rsidRPr="000C4D09" w:rsidRDefault="002D5713" w:rsidP="004813E3">
            <w:pPr>
              <w:jc w:val="center"/>
            </w:pPr>
            <w:r w:rsidRPr="000C4D09">
              <w:t>GSLD(T)-1 On-Peak</w:t>
            </w:r>
          </w:p>
        </w:tc>
        <w:tc>
          <w:tcPr>
            <w:tcW w:w="1170" w:type="dxa"/>
          </w:tcPr>
          <w:p w:rsidR="002D5713" w:rsidRPr="000C4D09" w:rsidRDefault="002D5713" w:rsidP="004813E3">
            <w:pPr>
              <w:jc w:val="center"/>
            </w:pPr>
            <w:r>
              <w:t>3.051</w:t>
            </w:r>
          </w:p>
        </w:tc>
        <w:tc>
          <w:tcPr>
            <w:tcW w:w="1260" w:type="dxa"/>
          </w:tcPr>
          <w:p w:rsidR="002D5713" w:rsidRPr="000C4D09" w:rsidRDefault="002D5713" w:rsidP="004813E3">
            <w:pPr>
              <w:jc w:val="center"/>
            </w:pPr>
            <w:r w:rsidRPr="000C4D09">
              <w:t>1.00157</w:t>
            </w:r>
          </w:p>
        </w:tc>
        <w:tc>
          <w:tcPr>
            <w:tcW w:w="1188" w:type="dxa"/>
          </w:tcPr>
          <w:p w:rsidR="002D5713" w:rsidRPr="000C4D09" w:rsidRDefault="002D5713" w:rsidP="004813E3">
            <w:pPr>
              <w:jc w:val="center"/>
            </w:pPr>
            <w:r>
              <w:t>3.056</w:t>
            </w:r>
          </w:p>
        </w:tc>
      </w:tr>
      <w:tr w:rsidR="002D5713" w:rsidRPr="000C4D09" w:rsidTr="004813E3">
        <w:tc>
          <w:tcPr>
            <w:tcW w:w="900" w:type="dxa"/>
            <w:vMerge/>
          </w:tcPr>
          <w:p w:rsidR="002D5713" w:rsidRPr="000C4D09" w:rsidRDefault="002D5713" w:rsidP="004813E3">
            <w:pPr>
              <w:jc w:val="center"/>
            </w:pPr>
          </w:p>
        </w:tc>
        <w:tc>
          <w:tcPr>
            <w:tcW w:w="4950" w:type="dxa"/>
          </w:tcPr>
          <w:p w:rsidR="002D5713" w:rsidRPr="000C4D09" w:rsidRDefault="002D5713" w:rsidP="004813E3">
            <w:pPr>
              <w:jc w:val="center"/>
            </w:pPr>
            <w:r w:rsidRPr="000C4D09">
              <w:t>GSLD(T)-1 Off-Peak</w:t>
            </w:r>
          </w:p>
        </w:tc>
        <w:tc>
          <w:tcPr>
            <w:tcW w:w="1170" w:type="dxa"/>
          </w:tcPr>
          <w:p w:rsidR="002D5713" w:rsidRPr="000C4D09" w:rsidRDefault="002D5713" w:rsidP="004813E3">
            <w:pPr>
              <w:jc w:val="center"/>
            </w:pPr>
            <w:r>
              <w:t>2.115</w:t>
            </w:r>
          </w:p>
        </w:tc>
        <w:tc>
          <w:tcPr>
            <w:tcW w:w="1260" w:type="dxa"/>
          </w:tcPr>
          <w:p w:rsidR="002D5713" w:rsidRPr="000C4D09" w:rsidRDefault="002D5713" w:rsidP="004813E3">
            <w:pPr>
              <w:jc w:val="center"/>
            </w:pPr>
            <w:r w:rsidRPr="000C4D09">
              <w:t>1.00157</w:t>
            </w:r>
          </w:p>
        </w:tc>
        <w:tc>
          <w:tcPr>
            <w:tcW w:w="1188" w:type="dxa"/>
          </w:tcPr>
          <w:p w:rsidR="002D5713" w:rsidRPr="000C4D09" w:rsidRDefault="002D5713" w:rsidP="004813E3">
            <w:pPr>
              <w:jc w:val="center"/>
            </w:pPr>
            <w:r>
              <w:t>2.118</w:t>
            </w:r>
          </w:p>
        </w:tc>
      </w:tr>
      <w:tr w:rsidR="002D5713" w:rsidRPr="000C4D09" w:rsidTr="004813E3">
        <w:tc>
          <w:tcPr>
            <w:tcW w:w="900" w:type="dxa"/>
            <w:vMerge w:val="restart"/>
            <w:vAlign w:val="center"/>
          </w:tcPr>
          <w:p w:rsidR="002D5713" w:rsidRPr="000C4D09" w:rsidRDefault="002D5713" w:rsidP="004813E3">
            <w:pPr>
              <w:jc w:val="center"/>
            </w:pPr>
            <w:r w:rsidRPr="000C4D09">
              <w:t>D</w:t>
            </w:r>
          </w:p>
        </w:tc>
        <w:tc>
          <w:tcPr>
            <w:tcW w:w="4950" w:type="dxa"/>
          </w:tcPr>
          <w:p w:rsidR="002D5713" w:rsidRPr="000C4D09" w:rsidRDefault="002D5713" w:rsidP="004813E3">
            <w:pPr>
              <w:jc w:val="center"/>
            </w:pPr>
            <w:r w:rsidRPr="000C4D09">
              <w:t>GSLD(T)-2 On-Peak</w:t>
            </w:r>
          </w:p>
        </w:tc>
        <w:tc>
          <w:tcPr>
            <w:tcW w:w="1170" w:type="dxa"/>
          </w:tcPr>
          <w:p w:rsidR="002D5713" w:rsidRPr="000C4D09" w:rsidRDefault="002D5713" w:rsidP="004813E3">
            <w:pPr>
              <w:jc w:val="center"/>
            </w:pPr>
            <w:r>
              <w:t>3.051</w:t>
            </w:r>
          </w:p>
        </w:tc>
        <w:tc>
          <w:tcPr>
            <w:tcW w:w="1260" w:type="dxa"/>
          </w:tcPr>
          <w:p w:rsidR="002D5713" w:rsidRPr="000C4D09" w:rsidRDefault="002D5713" w:rsidP="004813E3">
            <w:pPr>
              <w:jc w:val="center"/>
            </w:pPr>
            <w:r w:rsidRPr="000C4D09">
              <w:t>0.99588</w:t>
            </w:r>
          </w:p>
        </w:tc>
        <w:tc>
          <w:tcPr>
            <w:tcW w:w="1188" w:type="dxa"/>
          </w:tcPr>
          <w:p w:rsidR="002D5713" w:rsidRPr="000C4D09" w:rsidRDefault="002D5713" w:rsidP="004813E3">
            <w:pPr>
              <w:jc w:val="center"/>
            </w:pPr>
            <w:r>
              <w:t>3.038</w:t>
            </w:r>
          </w:p>
        </w:tc>
      </w:tr>
      <w:tr w:rsidR="002D5713" w:rsidRPr="000C4D09" w:rsidTr="004813E3">
        <w:tc>
          <w:tcPr>
            <w:tcW w:w="900" w:type="dxa"/>
            <w:vMerge/>
          </w:tcPr>
          <w:p w:rsidR="002D5713" w:rsidRPr="000C4D09" w:rsidRDefault="002D5713" w:rsidP="004813E3">
            <w:pPr>
              <w:jc w:val="center"/>
            </w:pPr>
          </w:p>
        </w:tc>
        <w:tc>
          <w:tcPr>
            <w:tcW w:w="4950" w:type="dxa"/>
          </w:tcPr>
          <w:p w:rsidR="002D5713" w:rsidRPr="000C4D09" w:rsidRDefault="002D5713" w:rsidP="004813E3">
            <w:pPr>
              <w:jc w:val="center"/>
            </w:pPr>
            <w:r w:rsidRPr="000C4D09">
              <w:t>GSLD(T)-2 Off-Peak</w:t>
            </w:r>
          </w:p>
        </w:tc>
        <w:tc>
          <w:tcPr>
            <w:tcW w:w="1170" w:type="dxa"/>
          </w:tcPr>
          <w:p w:rsidR="002D5713" w:rsidRPr="000C4D09" w:rsidRDefault="002D5713" w:rsidP="004813E3">
            <w:pPr>
              <w:jc w:val="center"/>
            </w:pPr>
            <w:r>
              <w:t>2.115</w:t>
            </w:r>
          </w:p>
        </w:tc>
        <w:tc>
          <w:tcPr>
            <w:tcW w:w="1260" w:type="dxa"/>
          </w:tcPr>
          <w:p w:rsidR="002D5713" w:rsidRPr="000C4D09" w:rsidRDefault="002D5713" w:rsidP="004813E3">
            <w:pPr>
              <w:jc w:val="center"/>
            </w:pPr>
            <w:r w:rsidRPr="000C4D09">
              <w:t>0.99588</w:t>
            </w:r>
          </w:p>
        </w:tc>
        <w:tc>
          <w:tcPr>
            <w:tcW w:w="1188" w:type="dxa"/>
          </w:tcPr>
          <w:p w:rsidR="002D5713" w:rsidRPr="000C4D09" w:rsidRDefault="002D5713" w:rsidP="004813E3">
            <w:pPr>
              <w:jc w:val="center"/>
            </w:pPr>
            <w:r>
              <w:t>2.106</w:t>
            </w:r>
          </w:p>
        </w:tc>
      </w:tr>
    </w:tbl>
    <w:p w:rsidR="002D5713" w:rsidRPr="000C4D09" w:rsidRDefault="002D5713" w:rsidP="002D5713">
      <w:pPr>
        <w:rPr>
          <w:sz w:val="20"/>
          <w:szCs w:val="20"/>
        </w:rPr>
      </w:pPr>
      <w:r w:rsidRPr="000C4D09">
        <w:t xml:space="preserve">    </w:t>
      </w:r>
      <w:r w:rsidRPr="000C4D09">
        <w:rPr>
          <w:sz w:val="20"/>
          <w:szCs w:val="20"/>
        </w:rPr>
        <w:t>Source: Sched</w:t>
      </w:r>
      <w:r w:rsidRPr="00DE1F8F">
        <w:rPr>
          <w:sz w:val="20"/>
          <w:szCs w:val="20"/>
        </w:rPr>
        <w:t xml:space="preserve">ule E1- E, Page 2 of 2 (Discovery Response Version </w:t>
      </w:r>
      <w:proofErr w:type="gramStart"/>
      <w:r w:rsidRPr="00DE1F8F">
        <w:rPr>
          <w:sz w:val="20"/>
          <w:szCs w:val="20"/>
        </w:rPr>
        <w:t>of  2020</w:t>
      </w:r>
      <w:proofErr w:type="gramEnd"/>
      <w:r w:rsidRPr="00DE1F8F">
        <w:rPr>
          <w:sz w:val="20"/>
          <w:szCs w:val="20"/>
        </w:rPr>
        <w:t xml:space="preserve"> FCR Projection Schedule, Page FCR-19-029117)</w:t>
      </w:r>
      <w:r>
        <w:rPr>
          <w:sz w:val="20"/>
          <w:szCs w:val="20"/>
        </w:rPr>
        <w:t>.</w:t>
      </w:r>
    </w:p>
    <w:p w:rsidR="002D5713" w:rsidRDefault="002D5713" w:rsidP="002D5713">
      <w:pPr>
        <w:rPr>
          <w:sz w:val="22"/>
          <w:szCs w:val="22"/>
        </w:rPr>
      </w:pPr>
    </w:p>
    <w:p w:rsidR="002D5713" w:rsidRDefault="002D5713" w:rsidP="002D5713">
      <w:pPr>
        <w:rPr>
          <w:sz w:val="22"/>
          <w:szCs w:val="22"/>
        </w:rPr>
      </w:pPr>
    </w:p>
    <w:p w:rsidR="002D5713" w:rsidRDefault="002D5713" w:rsidP="002D5713">
      <w:pPr>
        <w:rPr>
          <w:sz w:val="22"/>
          <w:szCs w:val="22"/>
        </w:rPr>
      </w:pPr>
      <w:r>
        <w:rPr>
          <w:sz w:val="22"/>
          <w:szCs w:val="22"/>
        </w:rPr>
        <w:br w:type="page"/>
      </w:r>
    </w:p>
    <w:p w:rsidR="002D5713" w:rsidRDefault="002D5713" w:rsidP="002D5713">
      <w:pPr>
        <w:jc w:val="center"/>
        <w:rPr>
          <w:rFonts w:ascii="Arial" w:hAnsi="Arial" w:cs="Arial"/>
          <w:b/>
        </w:rPr>
      </w:pPr>
    </w:p>
    <w:p w:rsidR="002D5713" w:rsidRPr="00952579" w:rsidRDefault="002D5713" w:rsidP="002D5713">
      <w:pPr>
        <w:jc w:val="center"/>
        <w:rPr>
          <w:rFonts w:ascii="Arial" w:hAnsi="Arial" w:cs="Arial"/>
          <w:b/>
        </w:rPr>
      </w:pPr>
      <w:r>
        <w:rPr>
          <w:rFonts w:ascii="Arial" w:hAnsi="Arial" w:cs="Arial"/>
          <w:b/>
        </w:rPr>
        <w:t>T</w:t>
      </w:r>
      <w:r w:rsidRPr="00952579">
        <w:rPr>
          <w:rFonts w:ascii="Arial" w:hAnsi="Arial" w:cs="Arial"/>
          <w:b/>
        </w:rPr>
        <w:t xml:space="preserve">able </w:t>
      </w:r>
      <w:r>
        <w:rPr>
          <w:rFonts w:ascii="Arial" w:hAnsi="Arial" w:cs="Arial"/>
          <w:b/>
        </w:rPr>
        <w:t>22-4</w:t>
      </w:r>
    </w:p>
    <w:p w:rsidR="002D5713" w:rsidRPr="00952579" w:rsidRDefault="002D5713" w:rsidP="002D5713">
      <w:pPr>
        <w:ind w:left="1440" w:hanging="1440"/>
        <w:jc w:val="center"/>
        <w:rPr>
          <w:rFonts w:ascii="Arial" w:hAnsi="Arial" w:cs="Arial"/>
        </w:rPr>
      </w:pPr>
      <w:r>
        <w:rPr>
          <w:rFonts w:ascii="Arial" w:hAnsi="Arial" w:cs="Arial"/>
          <w:b/>
        </w:rPr>
        <w:t xml:space="preserve">FPL </w:t>
      </w:r>
      <w:r w:rsidRPr="00952579">
        <w:rPr>
          <w:rFonts w:ascii="Arial" w:hAnsi="Arial" w:cs="Arial"/>
          <w:b/>
        </w:rPr>
        <w:t>Fu</w:t>
      </w:r>
      <w:r>
        <w:rPr>
          <w:rFonts w:ascii="Arial" w:hAnsi="Arial" w:cs="Arial"/>
          <w:b/>
        </w:rPr>
        <w:t>el Cost Recovery Factors for the period May through December, 2020</w:t>
      </w:r>
      <w:r>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2D5713" w:rsidTr="004813E3">
        <w:tc>
          <w:tcPr>
            <w:tcW w:w="9468" w:type="dxa"/>
            <w:gridSpan w:val="5"/>
          </w:tcPr>
          <w:p w:rsidR="002D5713" w:rsidRPr="000C4D09" w:rsidRDefault="002D5713" w:rsidP="004813E3">
            <w:pPr>
              <w:jc w:val="center"/>
            </w:pPr>
            <w:r w:rsidRPr="000C4D09">
              <w:t>Fuel Recovery Factors – By Rate Group (Adjusted for Line Losses)</w:t>
            </w:r>
          </w:p>
        </w:tc>
      </w:tr>
      <w:tr w:rsidR="002D5713" w:rsidTr="004813E3">
        <w:tc>
          <w:tcPr>
            <w:tcW w:w="9468" w:type="dxa"/>
            <w:gridSpan w:val="5"/>
          </w:tcPr>
          <w:p w:rsidR="002D5713" w:rsidRPr="000C4D09" w:rsidRDefault="002D5713" w:rsidP="004813E3">
            <w:pPr>
              <w:jc w:val="center"/>
            </w:pPr>
            <w:r w:rsidRPr="000C4D09">
              <w:t>For the Period May through December, 2020</w:t>
            </w:r>
          </w:p>
        </w:tc>
      </w:tr>
      <w:tr w:rsidR="002D5713" w:rsidTr="004813E3">
        <w:tc>
          <w:tcPr>
            <w:tcW w:w="900" w:type="dxa"/>
            <w:vAlign w:val="center"/>
          </w:tcPr>
          <w:p w:rsidR="002D5713" w:rsidRPr="000C4D09" w:rsidRDefault="002D5713" w:rsidP="004813E3">
            <w:pPr>
              <w:jc w:val="center"/>
            </w:pPr>
            <w:r w:rsidRPr="000C4D09">
              <w:t>Group</w:t>
            </w:r>
          </w:p>
        </w:tc>
        <w:tc>
          <w:tcPr>
            <w:tcW w:w="5220" w:type="dxa"/>
            <w:vAlign w:val="center"/>
          </w:tcPr>
          <w:p w:rsidR="002D5713" w:rsidRPr="000C4D09" w:rsidRDefault="002D5713" w:rsidP="004813E3">
            <w:pPr>
              <w:jc w:val="center"/>
            </w:pPr>
            <w:r w:rsidRPr="000C4D09">
              <w:t>Rate Schedule</w:t>
            </w:r>
          </w:p>
        </w:tc>
        <w:tc>
          <w:tcPr>
            <w:tcW w:w="900" w:type="dxa"/>
            <w:vAlign w:val="center"/>
          </w:tcPr>
          <w:p w:rsidR="002D5713" w:rsidRPr="000C4D09" w:rsidRDefault="002D5713" w:rsidP="004813E3">
            <w:pPr>
              <w:jc w:val="center"/>
            </w:pPr>
            <w:r w:rsidRPr="000C4D09">
              <w:t>Avg. Factor</w:t>
            </w:r>
          </w:p>
        </w:tc>
        <w:tc>
          <w:tcPr>
            <w:tcW w:w="1260" w:type="dxa"/>
            <w:vAlign w:val="center"/>
          </w:tcPr>
          <w:p w:rsidR="002D5713" w:rsidRPr="000C4D09" w:rsidRDefault="002D5713" w:rsidP="004813E3">
            <w:pPr>
              <w:jc w:val="center"/>
            </w:pPr>
            <w:r w:rsidRPr="000C4D09">
              <w:t>Loss Multiplier</w:t>
            </w:r>
          </w:p>
        </w:tc>
        <w:tc>
          <w:tcPr>
            <w:tcW w:w="1188" w:type="dxa"/>
            <w:vAlign w:val="center"/>
          </w:tcPr>
          <w:p w:rsidR="002D5713" w:rsidRPr="000C4D09" w:rsidRDefault="002D5713" w:rsidP="004813E3">
            <w:pPr>
              <w:jc w:val="center"/>
            </w:pPr>
            <w:r w:rsidRPr="000C4D09">
              <w:t>Fuel Recovery Factor</w:t>
            </w:r>
          </w:p>
        </w:tc>
      </w:tr>
      <w:tr w:rsidR="002D5713" w:rsidRPr="006749D2" w:rsidTr="004813E3">
        <w:tc>
          <w:tcPr>
            <w:tcW w:w="900" w:type="dxa"/>
            <w:vMerge w:val="restart"/>
            <w:vAlign w:val="center"/>
          </w:tcPr>
          <w:p w:rsidR="002D5713" w:rsidRPr="000C4D09" w:rsidRDefault="002D5713" w:rsidP="004813E3">
            <w:pPr>
              <w:jc w:val="center"/>
            </w:pPr>
            <w:r w:rsidRPr="000C4D09">
              <w:t>A</w:t>
            </w:r>
          </w:p>
        </w:tc>
        <w:tc>
          <w:tcPr>
            <w:tcW w:w="5220" w:type="dxa"/>
          </w:tcPr>
          <w:p w:rsidR="002D5713" w:rsidRPr="000C4D09" w:rsidRDefault="002D5713" w:rsidP="004813E3">
            <w:pPr>
              <w:jc w:val="center"/>
            </w:pPr>
            <w:r w:rsidRPr="000C4D09">
              <w:t>RS-1 first 1,000 kWh</w:t>
            </w:r>
          </w:p>
        </w:tc>
        <w:tc>
          <w:tcPr>
            <w:tcW w:w="900" w:type="dxa"/>
          </w:tcPr>
          <w:p w:rsidR="002D5713" w:rsidRPr="000C4D09" w:rsidRDefault="002D5713" w:rsidP="004813E3">
            <w:pPr>
              <w:jc w:val="center"/>
            </w:pPr>
            <w:r>
              <w:t>2.211</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1.884</w:t>
            </w:r>
          </w:p>
        </w:tc>
      </w:tr>
      <w:tr w:rsidR="002D5713" w:rsidRPr="006749D2"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RS-1, all addl. kWh</w:t>
            </w:r>
          </w:p>
        </w:tc>
        <w:tc>
          <w:tcPr>
            <w:tcW w:w="900" w:type="dxa"/>
          </w:tcPr>
          <w:p w:rsidR="002D5713" w:rsidRPr="000C4D09" w:rsidRDefault="002D5713" w:rsidP="004813E3">
            <w:pPr>
              <w:jc w:val="center"/>
            </w:pPr>
            <w:r>
              <w:t>2.211</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2.884</w:t>
            </w:r>
          </w:p>
        </w:tc>
      </w:tr>
      <w:tr w:rsidR="002D5713" w:rsidRPr="006749D2"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GS-1, SL-2, GSCU-1, WIES-1</w:t>
            </w:r>
          </w:p>
        </w:tc>
        <w:tc>
          <w:tcPr>
            <w:tcW w:w="900" w:type="dxa"/>
          </w:tcPr>
          <w:p w:rsidR="002D5713" w:rsidRPr="000C4D09" w:rsidRDefault="002D5713" w:rsidP="004813E3">
            <w:pPr>
              <w:jc w:val="center"/>
            </w:pPr>
            <w:r>
              <w:t>2.211</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2.216</w:t>
            </w:r>
          </w:p>
        </w:tc>
      </w:tr>
      <w:tr w:rsidR="002D5713" w:rsidRPr="006749D2" w:rsidTr="004813E3">
        <w:tc>
          <w:tcPr>
            <w:tcW w:w="900" w:type="dxa"/>
          </w:tcPr>
          <w:p w:rsidR="002D5713" w:rsidRPr="000C4D09" w:rsidRDefault="002D5713" w:rsidP="004813E3">
            <w:pPr>
              <w:jc w:val="center"/>
            </w:pPr>
            <w:r w:rsidRPr="000C4D09">
              <w:t>A-1</w:t>
            </w:r>
          </w:p>
        </w:tc>
        <w:tc>
          <w:tcPr>
            <w:tcW w:w="5220" w:type="dxa"/>
          </w:tcPr>
          <w:p w:rsidR="002D5713" w:rsidRPr="000C4D09" w:rsidRDefault="002D5713" w:rsidP="004813E3">
            <w:pPr>
              <w:jc w:val="center"/>
            </w:pPr>
            <w:r w:rsidRPr="000C4D09">
              <w:t>SL-1, OL-1, PL-1</w:t>
            </w:r>
          </w:p>
        </w:tc>
        <w:tc>
          <w:tcPr>
            <w:tcW w:w="900" w:type="dxa"/>
          </w:tcPr>
          <w:p w:rsidR="002D5713" w:rsidRPr="000C4D09" w:rsidRDefault="002D5713" w:rsidP="004813E3">
            <w:pPr>
              <w:jc w:val="center"/>
            </w:pPr>
            <w:r>
              <w:t>2.144</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2.149</w:t>
            </w:r>
          </w:p>
        </w:tc>
      </w:tr>
      <w:tr w:rsidR="002D5713" w:rsidRPr="006749D2" w:rsidTr="004813E3">
        <w:tc>
          <w:tcPr>
            <w:tcW w:w="900" w:type="dxa"/>
          </w:tcPr>
          <w:p w:rsidR="002D5713" w:rsidRPr="000C4D09" w:rsidRDefault="002D5713" w:rsidP="004813E3">
            <w:pPr>
              <w:jc w:val="center"/>
            </w:pPr>
            <w:r w:rsidRPr="000C4D09">
              <w:t>B</w:t>
            </w:r>
          </w:p>
        </w:tc>
        <w:tc>
          <w:tcPr>
            <w:tcW w:w="5220" w:type="dxa"/>
          </w:tcPr>
          <w:p w:rsidR="002D5713" w:rsidRPr="000C4D09" w:rsidRDefault="002D5713" w:rsidP="004813E3">
            <w:pPr>
              <w:jc w:val="center"/>
            </w:pPr>
            <w:r w:rsidRPr="000C4D09">
              <w:t>GSD-1</w:t>
            </w:r>
          </w:p>
        </w:tc>
        <w:tc>
          <w:tcPr>
            <w:tcW w:w="900" w:type="dxa"/>
          </w:tcPr>
          <w:p w:rsidR="002D5713" w:rsidRPr="000C4D09" w:rsidRDefault="002D5713" w:rsidP="004813E3">
            <w:pPr>
              <w:jc w:val="center"/>
            </w:pPr>
            <w:r>
              <w:t>2.211</w:t>
            </w:r>
          </w:p>
        </w:tc>
        <w:tc>
          <w:tcPr>
            <w:tcW w:w="1260" w:type="dxa"/>
          </w:tcPr>
          <w:p w:rsidR="002D5713" w:rsidRPr="000C4D09" w:rsidRDefault="002D5713" w:rsidP="004813E3">
            <w:pPr>
              <w:jc w:val="center"/>
            </w:pPr>
            <w:r w:rsidRPr="000C4D09">
              <w:t>1.00207</w:t>
            </w:r>
          </w:p>
        </w:tc>
        <w:tc>
          <w:tcPr>
            <w:tcW w:w="1188" w:type="dxa"/>
          </w:tcPr>
          <w:p w:rsidR="002D5713" w:rsidRPr="000C4D09" w:rsidRDefault="002D5713" w:rsidP="004813E3">
            <w:pPr>
              <w:jc w:val="center"/>
            </w:pPr>
            <w:r>
              <w:t>2.216</w:t>
            </w:r>
          </w:p>
        </w:tc>
      </w:tr>
      <w:tr w:rsidR="002D5713" w:rsidRPr="006749D2" w:rsidTr="004813E3">
        <w:tc>
          <w:tcPr>
            <w:tcW w:w="900" w:type="dxa"/>
          </w:tcPr>
          <w:p w:rsidR="002D5713" w:rsidRPr="000C4D09" w:rsidRDefault="002D5713" w:rsidP="004813E3">
            <w:pPr>
              <w:jc w:val="center"/>
            </w:pPr>
            <w:r w:rsidRPr="000C4D09">
              <w:t>C</w:t>
            </w:r>
          </w:p>
        </w:tc>
        <w:tc>
          <w:tcPr>
            <w:tcW w:w="5220" w:type="dxa"/>
          </w:tcPr>
          <w:p w:rsidR="002D5713" w:rsidRPr="000C4D09" w:rsidRDefault="002D5713" w:rsidP="004813E3">
            <w:pPr>
              <w:jc w:val="center"/>
            </w:pPr>
            <w:r w:rsidRPr="000C4D09">
              <w:t>GSLD-1, CS-1</w:t>
            </w:r>
          </w:p>
        </w:tc>
        <w:tc>
          <w:tcPr>
            <w:tcW w:w="900" w:type="dxa"/>
          </w:tcPr>
          <w:p w:rsidR="002D5713" w:rsidRPr="000C4D09" w:rsidRDefault="002D5713" w:rsidP="004813E3">
            <w:pPr>
              <w:jc w:val="center"/>
            </w:pPr>
            <w:r>
              <w:t>2.211</w:t>
            </w:r>
          </w:p>
        </w:tc>
        <w:tc>
          <w:tcPr>
            <w:tcW w:w="1260" w:type="dxa"/>
          </w:tcPr>
          <w:p w:rsidR="002D5713" w:rsidRPr="000C4D09" w:rsidRDefault="002D5713" w:rsidP="004813E3">
            <w:pPr>
              <w:jc w:val="center"/>
            </w:pPr>
            <w:r w:rsidRPr="000C4D09">
              <w:t>1.00157</w:t>
            </w:r>
          </w:p>
        </w:tc>
        <w:tc>
          <w:tcPr>
            <w:tcW w:w="1188" w:type="dxa"/>
          </w:tcPr>
          <w:p w:rsidR="002D5713" w:rsidRPr="000C4D09" w:rsidRDefault="002D5713" w:rsidP="004813E3">
            <w:pPr>
              <w:jc w:val="center"/>
            </w:pPr>
            <w:r>
              <w:t>2.214</w:t>
            </w:r>
          </w:p>
        </w:tc>
      </w:tr>
      <w:tr w:rsidR="002D5713" w:rsidRPr="006749D2" w:rsidTr="004813E3">
        <w:tc>
          <w:tcPr>
            <w:tcW w:w="900" w:type="dxa"/>
          </w:tcPr>
          <w:p w:rsidR="002D5713" w:rsidRPr="000C4D09" w:rsidRDefault="002D5713" w:rsidP="004813E3">
            <w:pPr>
              <w:jc w:val="center"/>
            </w:pPr>
            <w:r w:rsidRPr="000C4D09">
              <w:t>D</w:t>
            </w:r>
          </w:p>
        </w:tc>
        <w:tc>
          <w:tcPr>
            <w:tcW w:w="5220" w:type="dxa"/>
          </w:tcPr>
          <w:p w:rsidR="002D5713" w:rsidRPr="000C4D09" w:rsidRDefault="002D5713" w:rsidP="004813E3">
            <w:pPr>
              <w:jc w:val="center"/>
            </w:pPr>
            <w:r w:rsidRPr="000C4D09">
              <w:t>GSLD-2, CS-2, OS-2, MET</w:t>
            </w:r>
          </w:p>
        </w:tc>
        <w:tc>
          <w:tcPr>
            <w:tcW w:w="900" w:type="dxa"/>
          </w:tcPr>
          <w:p w:rsidR="002D5713" w:rsidRPr="000C4D09" w:rsidRDefault="002D5713" w:rsidP="004813E3">
            <w:pPr>
              <w:jc w:val="center"/>
            </w:pPr>
            <w:r>
              <w:t>2.211</w:t>
            </w:r>
          </w:p>
        </w:tc>
        <w:tc>
          <w:tcPr>
            <w:tcW w:w="1260" w:type="dxa"/>
          </w:tcPr>
          <w:p w:rsidR="002D5713" w:rsidRPr="000C4D09" w:rsidRDefault="002D5713" w:rsidP="004813E3">
            <w:pPr>
              <w:jc w:val="center"/>
            </w:pPr>
            <w:r w:rsidRPr="000C4D09">
              <w:t>0.99555</w:t>
            </w:r>
          </w:p>
        </w:tc>
        <w:tc>
          <w:tcPr>
            <w:tcW w:w="1188" w:type="dxa"/>
          </w:tcPr>
          <w:p w:rsidR="002D5713" w:rsidRPr="000C4D09" w:rsidRDefault="002D5713" w:rsidP="004813E3">
            <w:pPr>
              <w:jc w:val="center"/>
            </w:pPr>
            <w:r>
              <w:t>2.201</w:t>
            </w:r>
          </w:p>
        </w:tc>
      </w:tr>
      <w:tr w:rsidR="002D5713" w:rsidRPr="006749D2" w:rsidTr="004813E3">
        <w:tc>
          <w:tcPr>
            <w:tcW w:w="900" w:type="dxa"/>
          </w:tcPr>
          <w:p w:rsidR="002D5713" w:rsidRPr="000C4D09" w:rsidRDefault="002D5713" w:rsidP="004813E3">
            <w:pPr>
              <w:jc w:val="center"/>
            </w:pPr>
            <w:r w:rsidRPr="000C4D09">
              <w:t>E</w:t>
            </w:r>
          </w:p>
        </w:tc>
        <w:tc>
          <w:tcPr>
            <w:tcW w:w="5220" w:type="dxa"/>
          </w:tcPr>
          <w:p w:rsidR="002D5713" w:rsidRPr="000C4D09" w:rsidRDefault="002D5713" w:rsidP="004813E3">
            <w:pPr>
              <w:jc w:val="center"/>
            </w:pPr>
            <w:r w:rsidRPr="000C4D09">
              <w:t>GSLD-3, CS-3</w:t>
            </w:r>
          </w:p>
        </w:tc>
        <w:tc>
          <w:tcPr>
            <w:tcW w:w="900" w:type="dxa"/>
          </w:tcPr>
          <w:p w:rsidR="002D5713" w:rsidRPr="000C4D09" w:rsidRDefault="002D5713" w:rsidP="004813E3">
            <w:pPr>
              <w:jc w:val="center"/>
            </w:pPr>
            <w:r>
              <w:t>2.211</w:t>
            </w:r>
          </w:p>
        </w:tc>
        <w:tc>
          <w:tcPr>
            <w:tcW w:w="1260" w:type="dxa"/>
          </w:tcPr>
          <w:p w:rsidR="002D5713" w:rsidRPr="000C4D09" w:rsidRDefault="002D5713" w:rsidP="004813E3">
            <w:pPr>
              <w:jc w:val="center"/>
            </w:pPr>
            <w:r w:rsidRPr="000C4D09">
              <w:t>0.97529</w:t>
            </w:r>
          </w:p>
        </w:tc>
        <w:tc>
          <w:tcPr>
            <w:tcW w:w="1188" w:type="dxa"/>
          </w:tcPr>
          <w:p w:rsidR="002D5713" w:rsidRPr="000C4D09" w:rsidRDefault="002D5713" w:rsidP="004813E3">
            <w:pPr>
              <w:jc w:val="center"/>
            </w:pPr>
            <w:r>
              <w:t>2.156</w:t>
            </w:r>
          </w:p>
        </w:tc>
      </w:tr>
      <w:tr w:rsidR="002D5713" w:rsidRPr="006749D2" w:rsidTr="004813E3">
        <w:tc>
          <w:tcPr>
            <w:tcW w:w="900" w:type="dxa"/>
            <w:vMerge w:val="restart"/>
            <w:vAlign w:val="center"/>
          </w:tcPr>
          <w:p w:rsidR="002D5713" w:rsidRPr="000C4D09" w:rsidRDefault="002D5713" w:rsidP="004813E3">
            <w:pPr>
              <w:jc w:val="center"/>
            </w:pPr>
            <w:r w:rsidRPr="000C4D09">
              <w:t>A</w:t>
            </w:r>
          </w:p>
        </w:tc>
        <w:tc>
          <w:tcPr>
            <w:tcW w:w="5220" w:type="dxa"/>
          </w:tcPr>
          <w:p w:rsidR="002D5713" w:rsidRPr="000C4D09" w:rsidRDefault="002D5713" w:rsidP="004813E3">
            <w:pPr>
              <w:jc w:val="center"/>
            </w:pPr>
            <w:r w:rsidRPr="000C4D09">
              <w:t>GST-1 On-Peak</w:t>
            </w:r>
          </w:p>
        </w:tc>
        <w:tc>
          <w:tcPr>
            <w:tcW w:w="900" w:type="dxa"/>
          </w:tcPr>
          <w:p w:rsidR="002D5713" w:rsidRPr="000C4D09" w:rsidRDefault="002D5713" w:rsidP="004813E3">
            <w:pPr>
              <w:jc w:val="center"/>
            </w:pPr>
            <w:r>
              <w:t>2.540</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2.545</w:t>
            </w:r>
          </w:p>
        </w:tc>
      </w:tr>
      <w:tr w:rsidR="002D5713" w:rsidRPr="006749D2"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GST-1 Off Peak</w:t>
            </w:r>
          </w:p>
        </w:tc>
        <w:tc>
          <w:tcPr>
            <w:tcW w:w="900" w:type="dxa"/>
          </w:tcPr>
          <w:p w:rsidR="002D5713" w:rsidRPr="000C4D09" w:rsidRDefault="002D5713" w:rsidP="004813E3">
            <w:pPr>
              <w:jc w:val="center"/>
            </w:pPr>
            <w:r>
              <w:t>2.069</w:t>
            </w:r>
          </w:p>
        </w:tc>
        <w:tc>
          <w:tcPr>
            <w:tcW w:w="1260" w:type="dxa"/>
          </w:tcPr>
          <w:p w:rsidR="002D5713" w:rsidRPr="000C4D09" w:rsidRDefault="002D5713" w:rsidP="004813E3">
            <w:pPr>
              <w:jc w:val="center"/>
            </w:pPr>
            <w:r w:rsidRPr="000C4D09">
              <w:t>1.00212</w:t>
            </w:r>
          </w:p>
        </w:tc>
        <w:tc>
          <w:tcPr>
            <w:tcW w:w="1188" w:type="dxa"/>
          </w:tcPr>
          <w:p w:rsidR="002D5713" w:rsidRPr="000C4D09" w:rsidRDefault="002D5713" w:rsidP="004813E3">
            <w:pPr>
              <w:jc w:val="center"/>
            </w:pPr>
            <w:r>
              <w:t>2.073</w:t>
            </w:r>
          </w:p>
        </w:tc>
      </w:tr>
      <w:tr w:rsidR="002D5713" w:rsidRPr="006749D2"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RTR-1 On-Peak</w:t>
            </w:r>
          </w:p>
        </w:tc>
        <w:tc>
          <w:tcPr>
            <w:tcW w:w="900" w:type="dxa"/>
          </w:tcPr>
          <w:p w:rsidR="002D5713" w:rsidRPr="000C4D09" w:rsidRDefault="002D5713" w:rsidP="004813E3">
            <w:pPr>
              <w:jc w:val="center"/>
            </w:pPr>
            <w:r w:rsidRPr="000C4D09">
              <w:t>-</w:t>
            </w:r>
          </w:p>
        </w:tc>
        <w:tc>
          <w:tcPr>
            <w:tcW w:w="1260" w:type="dxa"/>
          </w:tcPr>
          <w:p w:rsidR="002D5713" w:rsidRPr="000C4D09" w:rsidRDefault="002D5713" w:rsidP="004813E3">
            <w:pPr>
              <w:jc w:val="center"/>
            </w:pPr>
            <w:r w:rsidRPr="000C4D09">
              <w:t>-</w:t>
            </w:r>
          </w:p>
        </w:tc>
        <w:tc>
          <w:tcPr>
            <w:tcW w:w="1188" w:type="dxa"/>
          </w:tcPr>
          <w:p w:rsidR="002D5713" w:rsidRPr="000C4D09" w:rsidRDefault="002D5713" w:rsidP="004813E3">
            <w:pPr>
              <w:jc w:val="center"/>
            </w:pPr>
            <w:r>
              <w:t>0.329</w:t>
            </w:r>
          </w:p>
        </w:tc>
      </w:tr>
      <w:tr w:rsidR="002D5713" w:rsidRPr="006749D2"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RTR-1 Off-Peak</w:t>
            </w:r>
          </w:p>
        </w:tc>
        <w:tc>
          <w:tcPr>
            <w:tcW w:w="900" w:type="dxa"/>
          </w:tcPr>
          <w:p w:rsidR="002D5713" w:rsidRPr="000C4D09" w:rsidRDefault="002D5713" w:rsidP="004813E3">
            <w:pPr>
              <w:jc w:val="center"/>
            </w:pPr>
            <w:r w:rsidRPr="000C4D09">
              <w:t>-</w:t>
            </w:r>
          </w:p>
        </w:tc>
        <w:tc>
          <w:tcPr>
            <w:tcW w:w="1260" w:type="dxa"/>
          </w:tcPr>
          <w:p w:rsidR="002D5713" w:rsidRPr="000C4D09" w:rsidRDefault="002D5713" w:rsidP="004813E3">
            <w:pPr>
              <w:jc w:val="center"/>
            </w:pPr>
            <w:r w:rsidRPr="000C4D09">
              <w:t>-</w:t>
            </w:r>
          </w:p>
        </w:tc>
        <w:tc>
          <w:tcPr>
            <w:tcW w:w="1188" w:type="dxa"/>
          </w:tcPr>
          <w:p w:rsidR="002D5713" w:rsidRPr="000C4D09" w:rsidRDefault="002D5713" w:rsidP="004813E3">
            <w:pPr>
              <w:jc w:val="center"/>
            </w:pPr>
            <w:r>
              <w:t>(0.143</w:t>
            </w:r>
            <w:r w:rsidRPr="000C4D09">
              <w:t>)</w:t>
            </w:r>
          </w:p>
        </w:tc>
      </w:tr>
      <w:tr w:rsidR="002D5713" w:rsidRPr="006749D2" w:rsidTr="004813E3">
        <w:tc>
          <w:tcPr>
            <w:tcW w:w="900" w:type="dxa"/>
            <w:vMerge w:val="restart"/>
            <w:vAlign w:val="center"/>
          </w:tcPr>
          <w:p w:rsidR="002D5713" w:rsidRPr="000C4D09" w:rsidRDefault="002D5713" w:rsidP="004813E3">
            <w:pPr>
              <w:jc w:val="center"/>
            </w:pPr>
            <w:r w:rsidRPr="000C4D09">
              <w:t>B</w:t>
            </w:r>
          </w:p>
        </w:tc>
        <w:tc>
          <w:tcPr>
            <w:tcW w:w="5220" w:type="dxa"/>
          </w:tcPr>
          <w:p w:rsidR="002D5713" w:rsidRPr="000C4D09" w:rsidRDefault="002D5713" w:rsidP="004813E3">
            <w:pPr>
              <w:jc w:val="center"/>
            </w:pPr>
            <w:r w:rsidRPr="000C4D09">
              <w:t>GSDT-1, CILC-1(G), HLFT-1 (21-499 kW) On Peak</w:t>
            </w:r>
          </w:p>
        </w:tc>
        <w:tc>
          <w:tcPr>
            <w:tcW w:w="900" w:type="dxa"/>
          </w:tcPr>
          <w:p w:rsidR="002D5713" w:rsidRPr="000C4D09" w:rsidRDefault="002D5713" w:rsidP="004813E3">
            <w:pPr>
              <w:jc w:val="center"/>
            </w:pPr>
            <w:r>
              <w:t>2.540</w:t>
            </w:r>
          </w:p>
        </w:tc>
        <w:tc>
          <w:tcPr>
            <w:tcW w:w="1260" w:type="dxa"/>
            <w:vAlign w:val="center"/>
          </w:tcPr>
          <w:p w:rsidR="002D5713" w:rsidRPr="000C4D09" w:rsidRDefault="002D5713" w:rsidP="004813E3">
            <w:pPr>
              <w:jc w:val="center"/>
            </w:pPr>
            <w:r w:rsidRPr="000C4D09">
              <w:t>1.00207</w:t>
            </w:r>
          </w:p>
        </w:tc>
        <w:tc>
          <w:tcPr>
            <w:tcW w:w="1188" w:type="dxa"/>
            <w:vAlign w:val="center"/>
          </w:tcPr>
          <w:p w:rsidR="002D5713" w:rsidRPr="000C4D09" w:rsidRDefault="002D5713" w:rsidP="004813E3">
            <w:pPr>
              <w:jc w:val="center"/>
            </w:pPr>
            <w:r>
              <w:t>2.545</w:t>
            </w:r>
          </w:p>
        </w:tc>
      </w:tr>
      <w:tr w:rsidR="002D5713" w:rsidRPr="006749D2" w:rsidTr="004813E3">
        <w:tc>
          <w:tcPr>
            <w:tcW w:w="900" w:type="dxa"/>
            <w:vMerge/>
            <w:vAlign w:val="center"/>
          </w:tcPr>
          <w:p w:rsidR="002D5713" w:rsidRPr="000C4D09" w:rsidRDefault="002D5713" w:rsidP="004813E3">
            <w:pPr>
              <w:jc w:val="center"/>
            </w:pPr>
          </w:p>
        </w:tc>
        <w:tc>
          <w:tcPr>
            <w:tcW w:w="5220" w:type="dxa"/>
          </w:tcPr>
          <w:p w:rsidR="002D5713" w:rsidRPr="000C4D09" w:rsidRDefault="002D5713" w:rsidP="004813E3">
            <w:pPr>
              <w:jc w:val="center"/>
            </w:pPr>
            <w:r w:rsidRPr="000C4D09">
              <w:t>GSDT-1, CILC-1(G), HLFT-1 (21-499 kW) Off Peak</w:t>
            </w:r>
          </w:p>
        </w:tc>
        <w:tc>
          <w:tcPr>
            <w:tcW w:w="900" w:type="dxa"/>
          </w:tcPr>
          <w:p w:rsidR="002D5713" w:rsidRPr="000C4D09" w:rsidRDefault="002D5713" w:rsidP="004813E3">
            <w:pPr>
              <w:jc w:val="center"/>
            </w:pPr>
            <w:r>
              <w:t>2.069</w:t>
            </w:r>
          </w:p>
        </w:tc>
        <w:tc>
          <w:tcPr>
            <w:tcW w:w="1260" w:type="dxa"/>
            <w:vAlign w:val="center"/>
          </w:tcPr>
          <w:p w:rsidR="002D5713" w:rsidRPr="000C4D09" w:rsidRDefault="002D5713" w:rsidP="004813E3">
            <w:pPr>
              <w:jc w:val="center"/>
            </w:pPr>
            <w:r w:rsidRPr="000C4D09">
              <w:t>1.00207</w:t>
            </w:r>
          </w:p>
        </w:tc>
        <w:tc>
          <w:tcPr>
            <w:tcW w:w="1188" w:type="dxa"/>
            <w:vAlign w:val="center"/>
          </w:tcPr>
          <w:p w:rsidR="002D5713" w:rsidRPr="000C4D09" w:rsidRDefault="002D5713" w:rsidP="004813E3">
            <w:pPr>
              <w:jc w:val="center"/>
            </w:pPr>
            <w:r>
              <w:t>2.073</w:t>
            </w:r>
          </w:p>
        </w:tc>
      </w:tr>
      <w:tr w:rsidR="002D5713" w:rsidRPr="006749D2" w:rsidTr="004813E3">
        <w:tc>
          <w:tcPr>
            <w:tcW w:w="900" w:type="dxa"/>
            <w:vMerge w:val="restart"/>
            <w:vAlign w:val="center"/>
          </w:tcPr>
          <w:p w:rsidR="002D5713" w:rsidRPr="000C4D09" w:rsidRDefault="002D5713" w:rsidP="004813E3">
            <w:pPr>
              <w:jc w:val="center"/>
            </w:pPr>
            <w:r w:rsidRPr="000C4D09">
              <w:t>C</w:t>
            </w:r>
          </w:p>
        </w:tc>
        <w:tc>
          <w:tcPr>
            <w:tcW w:w="5220" w:type="dxa"/>
          </w:tcPr>
          <w:p w:rsidR="002D5713" w:rsidRPr="000C4D09" w:rsidRDefault="002D5713" w:rsidP="004813E3">
            <w:pPr>
              <w:jc w:val="center"/>
            </w:pPr>
            <w:r w:rsidRPr="000C4D09">
              <w:t>GS</w:t>
            </w:r>
            <w:r>
              <w:t>LD</w:t>
            </w:r>
            <w:r w:rsidRPr="000C4D09">
              <w:t>T-1, CST-1, HLFT-2 (500-1,9999 kW) On Peak</w:t>
            </w:r>
          </w:p>
        </w:tc>
        <w:tc>
          <w:tcPr>
            <w:tcW w:w="900" w:type="dxa"/>
          </w:tcPr>
          <w:p w:rsidR="002D5713" w:rsidRPr="000C4D09" w:rsidRDefault="002D5713" w:rsidP="004813E3">
            <w:pPr>
              <w:jc w:val="center"/>
            </w:pPr>
            <w:r>
              <w:t>2.540</w:t>
            </w:r>
          </w:p>
        </w:tc>
        <w:tc>
          <w:tcPr>
            <w:tcW w:w="1260" w:type="dxa"/>
            <w:vAlign w:val="center"/>
          </w:tcPr>
          <w:p w:rsidR="002D5713" w:rsidRPr="000C4D09" w:rsidRDefault="002D5713" w:rsidP="004813E3">
            <w:pPr>
              <w:jc w:val="center"/>
            </w:pPr>
            <w:r w:rsidRPr="000C4D09">
              <w:t>1.00157</w:t>
            </w:r>
          </w:p>
        </w:tc>
        <w:tc>
          <w:tcPr>
            <w:tcW w:w="1188" w:type="dxa"/>
            <w:vAlign w:val="center"/>
          </w:tcPr>
          <w:p w:rsidR="002D5713" w:rsidRPr="000C4D09" w:rsidRDefault="002D5713" w:rsidP="004813E3">
            <w:pPr>
              <w:jc w:val="center"/>
            </w:pPr>
            <w:r>
              <w:t>2.544</w:t>
            </w:r>
          </w:p>
        </w:tc>
      </w:tr>
      <w:tr w:rsidR="002D5713" w:rsidRPr="006749D2" w:rsidTr="004813E3">
        <w:tc>
          <w:tcPr>
            <w:tcW w:w="900" w:type="dxa"/>
            <w:vMerge/>
            <w:vAlign w:val="center"/>
          </w:tcPr>
          <w:p w:rsidR="002D5713" w:rsidRPr="000C4D09" w:rsidRDefault="002D5713" w:rsidP="004813E3">
            <w:pPr>
              <w:jc w:val="center"/>
            </w:pPr>
          </w:p>
        </w:tc>
        <w:tc>
          <w:tcPr>
            <w:tcW w:w="5220" w:type="dxa"/>
          </w:tcPr>
          <w:p w:rsidR="002D5713" w:rsidRPr="000C4D09" w:rsidRDefault="002D5713" w:rsidP="004813E3">
            <w:pPr>
              <w:jc w:val="center"/>
            </w:pPr>
            <w:r>
              <w:t>GSLD</w:t>
            </w:r>
            <w:r w:rsidRPr="000C4D09">
              <w:t>T-1, CST-1, HLFT-2 (500-1,9999 kW) Off Peak</w:t>
            </w:r>
          </w:p>
        </w:tc>
        <w:tc>
          <w:tcPr>
            <w:tcW w:w="900" w:type="dxa"/>
          </w:tcPr>
          <w:p w:rsidR="002D5713" w:rsidRPr="000C4D09" w:rsidRDefault="002D5713" w:rsidP="004813E3">
            <w:pPr>
              <w:jc w:val="center"/>
            </w:pPr>
            <w:r>
              <w:t>2.069</w:t>
            </w:r>
          </w:p>
        </w:tc>
        <w:tc>
          <w:tcPr>
            <w:tcW w:w="1260" w:type="dxa"/>
            <w:vAlign w:val="center"/>
          </w:tcPr>
          <w:p w:rsidR="002D5713" w:rsidRPr="000C4D09" w:rsidRDefault="002D5713" w:rsidP="004813E3">
            <w:pPr>
              <w:jc w:val="center"/>
            </w:pPr>
            <w:r w:rsidRPr="000C4D09">
              <w:t>1.00157</w:t>
            </w:r>
          </w:p>
        </w:tc>
        <w:tc>
          <w:tcPr>
            <w:tcW w:w="1188" w:type="dxa"/>
            <w:vAlign w:val="center"/>
          </w:tcPr>
          <w:p w:rsidR="002D5713" w:rsidRPr="000C4D09" w:rsidRDefault="002D5713" w:rsidP="004813E3">
            <w:pPr>
              <w:jc w:val="center"/>
            </w:pPr>
            <w:r>
              <w:t>2.072</w:t>
            </w:r>
          </w:p>
        </w:tc>
      </w:tr>
      <w:tr w:rsidR="002D5713" w:rsidRPr="006749D2" w:rsidTr="004813E3">
        <w:tc>
          <w:tcPr>
            <w:tcW w:w="900" w:type="dxa"/>
            <w:vMerge w:val="restart"/>
            <w:vAlign w:val="center"/>
          </w:tcPr>
          <w:p w:rsidR="002D5713" w:rsidRPr="000C4D09" w:rsidRDefault="002D5713" w:rsidP="004813E3">
            <w:pPr>
              <w:jc w:val="center"/>
            </w:pPr>
            <w:r w:rsidRPr="000C4D09">
              <w:t>D</w:t>
            </w:r>
          </w:p>
        </w:tc>
        <w:tc>
          <w:tcPr>
            <w:tcW w:w="5220" w:type="dxa"/>
          </w:tcPr>
          <w:p w:rsidR="002D5713" w:rsidRPr="000C4D09" w:rsidRDefault="002D5713" w:rsidP="004813E3">
            <w:pPr>
              <w:jc w:val="center"/>
            </w:pPr>
            <w:r w:rsidRPr="000C4D09">
              <w:t>GS</w:t>
            </w:r>
            <w:r>
              <w:t>LD</w:t>
            </w:r>
            <w:r w:rsidRPr="000C4D09">
              <w:t>T-2, CST-2, HLFT-3 (2,000+ kW) On Peak</w:t>
            </w:r>
          </w:p>
        </w:tc>
        <w:tc>
          <w:tcPr>
            <w:tcW w:w="900" w:type="dxa"/>
          </w:tcPr>
          <w:p w:rsidR="002D5713" w:rsidRPr="000C4D09" w:rsidRDefault="002D5713" w:rsidP="004813E3">
            <w:pPr>
              <w:jc w:val="center"/>
            </w:pPr>
            <w:r>
              <w:t>2.540</w:t>
            </w:r>
          </w:p>
        </w:tc>
        <w:tc>
          <w:tcPr>
            <w:tcW w:w="1260" w:type="dxa"/>
            <w:vAlign w:val="center"/>
          </w:tcPr>
          <w:p w:rsidR="002D5713" w:rsidRPr="000C4D09" w:rsidRDefault="002D5713" w:rsidP="004813E3">
            <w:pPr>
              <w:jc w:val="center"/>
            </w:pPr>
            <w:r w:rsidRPr="000C4D09">
              <w:t>0.99588</w:t>
            </w:r>
          </w:p>
        </w:tc>
        <w:tc>
          <w:tcPr>
            <w:tcW w:w="1188" w:type="dxa"/>
            <w:vAlign w:val="center"/>
          </w:tcPr>
          <w:p w:rsidR="002D5713" w:rsidRPr="000C4D09" w:rsidRDefault="002D5713" w:rsidP="004813E3">
            <w:pPr>
              <w:jc w:val="center"/>
            </w:pPr>
            <w:r>
              <w:t>2.530</w:t>
            </w:r>
          </w:p>
        </w:tc>
      </w:tr>
      <w:tr w:rsidR="002D5713" w:rsidRPr="006749D2" w:rsidTr="004813E3">
        <w:tc>
          <w:tcPr>
            <w:tcW w:w="900" w:type="dxa"/>
            <w:vMerge/>
            <w:vAlign w:val="center"/>
          </w:tcPr>
          <w:p w:rsidR="002D5713" w:rsidRPr="000C4D09" w:rsidRDefault="002D5713" w:rsidP="004813E3">
            <w:pPr>
              <w:jc w:val="center"/>
            </w:pPr>
          </w:p>
        </w:tc>
        <w:tc>
          <w:tcPr>
            <w:tcW w:w="5220" w:type="dxa"/>
          </w:tcPr>
          <w:p w:rsidR="002D5713" w:rsidRPr="000C4D09" w:rsidRDefault="002D5713" w:rsidP="004813E3">
            <w:pPr>
              <w:jc w:val="center"/>
            </w:pPr>
            <w:r w:rsidRPr="000C4D09">
              <w:t>GS</w:t>
            </w:r>
            <w:r>
              <w:t>LD</w:t>
            </w:r>
            <w:r w:rsidRPr="000C4D09">
              <w:t>T</w:t>
            </w:r>
            <w:r>
              <w:t>-2, CST-2, HLFT-3 (2,000+ kW) Off</w:t>
            </w:r>
            <w:r w:rsidRPr="000C4D09">
              <w:t xml:space="preserve"> Peak</w:t>
            </w:r>
          </w:p>
        </w:tc>
        <w:tc>
          <w:tcPr>
            <w:tcW w:w="900" w:type="dxa"/>
          </w:tcPr>
          <w:p w:rsidR="002D5713" w:rsidRPr="000C4D09" w:rsidRDefault="002D5713" w:rsidP="004813E3">
            <w:pPr>
              <w:jc w:val="center"/>
            </w:pPr>
            <w:r>
              <w:t>2.069</w:t>
            </w:r>
          </w:p>
        </w:tc>
        <w:tc>
          <w:tcPr>
            <w:tcW w:w="1260" w:type="dxa"/>
            <w:vAlign w:val="center"/>
          </w:tcPr>
          <w:p w:rsidR="002D5713" w:rsidRPr="000C4D09" w:rsidRDefault="002D5713" w:rsidP="004813E3">
            <w:pPr>
              <w:jc w:val="center"/>
            </w:pPr>
            <w:r w:rsidRPr="000C4D09">
              <w:t>0.99588</w:t>
            </w:r>
          </w:p>
        </w:tc>
        <w:tc>
          <w:tcPr>
            <w:tcW w:w="1188" w:type="dxa"/>
            <w:vAlign w:val="center"/>
          </w:tcPr>
          <w:p w:rsidR="002D5713" w:rsidRPr="000C4D09" w:rsidRDefault="002D5713" w:rsidP="004813E3">
            <w:pPr>
              <w:jc w:val="center"/>
            </w:pPr>
            <w:r>
              <w:t>2.060</w:t>
            </w:r>
          </w:p>
        </w:tc>
      </w:tr>
      <w:tr w:rsidR="002D5713" w:rsidRPr="006749D2" w:rsidTr="004813E3">
        <w:tc>
          <w:tcPr>
            <w:tcW w:w="900" w:type="dxa"/>
            <w:vMerge w:val="restart"/>
            <w:vAlign w:val="center"/>
          </w:tcPr>
          <w:p w:rsidR="002D5713" w:rsidRPr="000C4D09" w:rsidRDefault="002D5713" w:rsidP="004813E3">
            <w:pPr>
              <w:jc w:val="center"/>
            </w:pPr>
            <w:r w:rsidRPr="000C4D09">
              <w:t>E</w:t>
            </w:r>
          </w:p>
        </w:tc>
        <w:tc>
          <w:tcPr>
            <w:tcW w:w="5220" w:type="dxa"/>
          </w:tcPr>
          <w:p w:rsidR="002D5713" w:rsidRPr="000C4D09" w:rsidRDefault="002D5713" w:rsidP="004813E3">
            <w:pPr>
              <w:jc w:val="center"/>
            </w:pPr>
            <w:r w:rsidRPr="000C4D09">
              <w:t>GS</w:t>
            </w:r>
            <w:r>
              <w:t>LD</w:t>
            </w:r>
            <w:r w:rsidRPr="000C4D09">
              <w:t>T-3, CST-3, CILC-1(T), ISST-1(T) On Peak</w:t>
            </w:r>
          </w:p>
        </w:tc>
        <w:tc>
          <w:tcPr>
            <w:tcW w:w="900" w:type="dxa"/>
          </w:tcPr>
          <w:p w:rsidR="002D5713" w:rsidRPr="000C4D09" w:rsidRDefault="002D5713" w:rsidP="004813E3">
            <w:pPr>
              <w:jc w:val="center"/>
            </w:pPr>
            <w:r>
              <w:t>2.540</w:t>
            </w:r>
          </w:p>
        </w:tc>
        <w:tc>
          <w:tcPr>
            <w:tcW w:w="1260" w:type="dxa"/>
            <w:vAlign w:val="center"/>
          </w:tcPr>
          <w:p w:rsidR="002D5713" w:rsidRPr="000C4D09" w:rsidRDefault="002D5713" w:rsidP="004813E3">
            <w:pPr>
              <w:jc w:val="center"/>
            </w:pPr>
            <w:r w:rsidRPr="000C4D09">
              <w:t>0.97529</w:t>
            </w:r>
          </w:p>
        </w:tc>
        <w:tc>
          <w:tcPr>
            <w:tcW w:w="1188" w:type="dxa"/>
            <w:vAlign w:val="center"/>
          </w:tcPr>
          <w:p w:rsidR="002D5713" w:rsidRPr="000C4D09" w:rsidRDefault="002D5713" w:rsidP="004813E3">
            <w:pPr>
              <w:jc w:val="center"/>
            </w:pPr>
            <w:r>
              <w:t>2.477</w:t>
            </w:r>
          </w:p>
        </w:tc>
      </w:tr>
      <w:tr w:rsidR="002D5713" w:rsidRPr="006749D2" w:rsidTr="004813E3">
        <w:tc>
          <w:tcPr>
            <w:tcW w:w="900" w:type="dxa"/>
            <w:vMerge/>
            <w:vAlign w:val="center"/>
          </w:tcPr>
          <w:p w:rsidR="002D5713" w:rsidRPr="000C4D09" w:rsidRDefault="002D5713" w:rsidP="004813E3">
            <w:pPr>
              <w:jc w:val="center"/>
            </w:pPr>
          </w:p>
        </w:tc>
        <w:tc>
          <w:tcPr>
            <w:tcW w:w="5220" w:type="dxa"/>
          </w:tcPr>
          <w:p w:rsidR="002D5713" w:rsidRPr="000C4D09" w:rsidRDefault="002D5713" w:rsidP="004813E3">
            <w:pPr>
              <w:jc w:val="center"/>
            </w:pPr>
            <w:r w:rsidRPr="000C4D09">
              <w:t>GS</w:t>
            </w:r>
            <w:r>
              <w:t>LD</w:t>
            </w:r>
            <w:r w:rsidRPr="000C4D09">
              <w:t>T-3, CST-3, CILC-1(T), ISST-1(T) Off Peak</w:t>
            </w:r>
          </w:p>
        </w:tc>
        <w:tc>
          <w:tcPr>
            <w:tcW w:w="900" w:type="dxa"/>
          </w:tcPr>
          <w:p w:rsidR="002D5713" w:rsidRPr="000C4D09" w:rsidRDefault="002D5713" w:rsidP="004813E3">
            <w:pPr>
              <w:jc w:val="center"/>
            </w:pPr>
            <w:r>
              <w:t>2.069</w:t>
            </w:r>
          </w:p>
        </w:tc>
        <w:tc>
          <w:tcPr>
            <w:tcW w:w="1260" w:type="dxa"/>
            <w:vAlign w:val="center"/>
          </w:tcPr>
          <w:p w:rsidR="002D5713" w:rsidRPr="000C4D09" w:rsidRDefault="002D5713" w:rsidP="004813E3">
            <w:pPr>
              <w:jc w:val="center"/>
            </w:pPr>
            <w:r w:rsidRPr="000C4D09">
              <w:t>0.97529</w:t>
            </w:r>
          </w:p>
        </w:tc>
        <w:tc>
          <w:tcPr>
            <w:tcW w:w="1188" w:type="dxa"/>
            <w:vAlign w:val="center"/>
          </w:tcPr>
          <w:p w:rsidR="002D5713" w:rsidRPr="000C4D09" w:rsidRDefault="002D5713" w:rsidP="004813E3">
            <w:pPr>
              <w:jc w:val="center"/>
            </w:pPr>
            <w:r>
              <w:t>2.018</w:t>
            </w:r>
          </w:p>
        </w:tc>
      </w:tr>
      <w:tr w:rsidR="002D5713" w:rsidRPr="006749D2" w:rsidTr="004813E3">
        <w:tc>
          <w:tcPr>
            <w:tcW w:w="900" w:type="dxa"/>
            <w:vMerge w:val="restart"/>
            <w:vAlign w:val="center"/>
          </w:tcPr>
          <w:p w:rsidR="002D5713" w:rsidRPr="000C4D09" w:rsidRDefault="002D5713" w:rsidP="004813E3">
            <w:pPr>
              <w:jc w:val="center"/>
            </w:pPr>
            <w:r w:rsidRPr="000C4D09">
              <w:t>F</w:t>
            </w:r>
          </w:p>
        </w:tc>
        <w:tc>
          <w:tcPr>
            <w:tcW w:w="5220" w:type="dxa"/>
          </w:tcPr>
          <w:p w:rsidR="002D5713" w:rsidRPr="000C4D09" w:rsidRDefault="002D5713" w:rsidP="004813E3">
            <w:pPr>
              <w:jc w:val="center"/>
            </w:pPr>
            <w:r w:rsidRPr="000C4D09">
              <w:t>CILC-1(D), ISST-1(D) On Peak</w:t>
            </w:r>
          </w:p>
        </w:tc>
        <w:tc>
          <w:tcPr>
            <w:tcW w:w="900" w:type="dxa"/>
          </w:tcPr>
          <w:p w:rsidR="002D5713" w:rsidRPr="000C4D09" w:rsidRDefault="002D5713" w:rsidP="004813E3">
            <w:pPr>
              <w:jc w:val="center"/>
            </w:pPr>
            <w:r>
              <w:t>2.540</w:t>
            </w:r>
          </w:p>
        </w:tc>
        <w:tc>
          <w:tcPr>
            <w:tcW w:w="1260" w:type="dxa"/>
          </w:tcPr>
          <w:p w:rsidR="002D5713" w:rsidRPr="000C4D09" w:rsidRDefault="002D5713" w:rsidP="004813E3">
            <w:pPr>
              <w:jc w:val="center"/>
            </w:pPr>
            <w:r w:rsidRPr="000C4D09">
              <w:t>0.99566</w:t>
            </w:r>
          </w:p>
        </w:tc>
        <w:tc>
          <w:tcPr>
            <w:tcW w:w="1188" w:type="dxa"/>
          </w:tcPr>
          <w:p w:rsidR="002D5713" w:rsidRPr="000C4D09" w:rsidRDefault="002D5713" w:rsidP="004813E3">
            <w:pPr>
              <w:jc w:val="center"/>
            </w:pPr>
            <w:r>
              <w:t>2.529</w:t>
            </w:r>
          </w:p>
        </w:tc>
      </w:tr>
      <w:tr w:rsidR="002D5713" w:rsidRPr="006749D2" w:rsidTr="004813E3">
        <w:tc>
          <w:tcPr>
            <w:tcW w:w="900" w:type="dxa"/>
            <w:vMerge/>
          </w:tcPr>
          <w:p w:rsidR="002D5713" w:rsidRPr="000C4D09" w:rsidRDefault="002D5713" w:rsidP="004813E3">
            <w:pPr>
              <w:jc w:val="center"/>
            </w:pPr>
          </w:p>
        </w:tc>
        <w:tc>
          <w:tcPr>
            <w:tcW w:w="5220" w:type="dxa"/>
          </w:tcPr>
          <w:p w:rsidR="002D5713" w:rsidRPr="000C4D09" w:rsidRDefault="002D5713" w:rsidP="004813E3">
            <w:pPr>
              <w:jc w:val="center"/>
            </w:pPr>
            <w:r w:rsidRPr="000C4D09">
              <w:t>CILC-1(D), ISST-1(D) Off Peak</w:t>
            </w:r>
          </w:p>
        </w:tc>
        <w:tc>
          <w:tcPr>
            <w:tcW w:w="900" w:type="dxa"/>
          </w:tcPr>
          <w:p w:rsidR="002D5713" w:rsidRPr="000C4D09" w:rsidRDefault="002D5713" w:rsidP="004813E3">
            <w:pPr>
              <w:jc w:val="center"/>
            </w:pPr>
            <w:r>
              <w:t>2.069</w:t>
            </w:r>
          </w:p>
        </w:tc>
        <w:tc>
          <w:tcPr>
            <w:tcW w:w="1260" w:type="dxa"/>
          </w:tcPr>
          <w:p w:rsidR="002D5713" w:rsidRPr="000C4D09" w:rsidRDefault="002D5713" w:rsidP="004813E3">
            <w:pPr>
              <w:jc w:val="center"/>
            </w:pPr>
            <w:r w:rsidRPr="000C4D09">
              <w:t>0.99566</w:t>
            </w:r>
          </w:p>
        </w:tc>
        <w:tc>
          <w:tcPr>
            <w:tcW w:w="1188" w:type="dxa"/>
          </w:tcPr>
          <w:p w:rsidR="002D5713" w:rsidRPr="000C4D09" w:rsidRDefault="002D5713" w:rsidP="004813E3">
            <w:pPr>
              <w:jc w:val="center"/>
            </w:pPr>
            <w:r>
              <w:t>2.060</w:t>
            </w:r>
          </w:p>
        </w:tc>
      </w:tr>
    </w:tbl>
    <w:p w:rsidR="002D5713" w:rsidRDefault="002D5713" w:rsidP="002D5713">
      <w:pPr>
        <w:rPr>
          <w:sz w:val="20"/>
          <w:szCs w:val="20"/>
        </w:rPr>
      </w:pPr>
      <w:r w:rsidRPr="000C4D09">
        <w:rPr>
          <w:sz w:val="20"/>
          <w:szCs w:val="20"/>
        </w:rPr>
        <w:t xml:space="preserve">    Source: Sc</w:t>
      </w:r>
      <w:r w:rsidRPr="00DE1F8F">
        <w:rPr>
          <w:sz w:val="20"/>
          <w:szCs w:val="20"/>
        </w:rPr>
        <w:t xml:space="preserve">hedule E1-E, Page 1 of 2 (Discovery Response Version </w:t>
      </w:r>
      <w:proofErr w:type="gramStart"/>
      <w:r w:rsidRPr="00DE1F8F">
        <w:rPr>
          <w:sz w:val="20"/>
          <w:szCs w:val="20"/>
        </w:rPr>
        <w:t>of  2020</w:t>
      </w:r>
      <w:proofErr w:type="gramEnd"/>
      <w:r w:rsidRPr="00DE1F8F">
        <w:rPr>
          <w:sz w:val="20"/>
          <w:szCs w:val="20"/>
        </w:rPr>
        <w:t xml:space="preserve"> FCR Projection Schedule, Page FCR-19-029122)</w:t>
      </w:r>
      <w:r>
        <w:rPr>
          <w:sz w:val="20"/>
          <w:szCs w:val="20"/>
        </w:rPr>
        <w:t>.</w:t>
      </w:r>
    </w:p>
    <w:p w:rsidR="002D5713" w:rsidRDefault="002D5713" w:rsidP="002D5713">
      <w:pPr>
        <w:spacing w:after="200" w:line="276" w:lineRule="auto"/>
        <w:rPr>
          <w:sz w:val="20"/>
          <w:szCs w:val="20"/>
        </w:rPr>
      </w:pPr>
      <w:r>
        <w:rPr>
          <w:sz w:val="20"/>
          <w:szCs w:val="20"/>
        </w:rPr>
        <w:br w:type="page"/>
      </w:r>
    </w:p>
    <w:p w:rsidR="002D5713" w:rsidRPr="00952579" w:rsidRDefault="002D5713" w:rsidP="002D5713">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22-5</w:t>
      </w:r>
    </w:p>
    <w:p w:rsidR="002D5713" w:rsidRDefault="002D5713" w:rsidP="002D5713">
      <w:pPr>
        <w:jc w:val="center"/>
      </w:pPr>
      <w:r w:rsidRPr="00952579">
        <w:rPr>
          <w:rFonts w:ascii="Arial" w:hAnsi="Arial" w:cs="Arial"/>
          <w:b/>
        </w:rPr>
        <w:t>F</w:t>
      </w:r>
      <w:r>
        <w:rPr>
          <w:rFonts w:ascii="Arial" w:hAnsi="Arial" w:cs="Arial"/>
          <w:b/>
        </w:rPr>
        <w:t>PL F</w:t>
      </w:r>
      <w:r w:rsidRPr="00952579">
        <w:rPr>
          <w:rFonts w:ascii="Arial" w:hAnsi="Arial" w:cs="Arial"/>
          <w:b/>
        </w:rPr>
        <w:t xml:space="preserve">uel Cost </w:t>
      </w:r>
      <w:r>
        <w:rPr>
          <w:rFonts w:ascii="Arial" w:hAnsi="Arial" w:cs="Arial"/>
          <w:b/>
        </w:rPr>
        <w:t>Recovery Factors for the period May through December, 2020</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2D5713" w:rsidRPr="000C4D09" w:rsidTr="004813E3">
        <w:tc>
          <w:tcPr>
            <w:tcW w:w="9468" w:type="dxa"/>
            <w:gridSpan w:val="5"/>
          </w:tcPr>
          <w:p w:rsidR="002D5713" w:rsidRPr="000C4D09" w:rsidRDefault="002D5713" w:rsidP="004813E3">
            <w:pPr>
              <w:jc w:val="center"/>
            </w:pPr>
            <w:r w:rsidRPr="000C4D09">
              <w:t>Seasonal Demand Time of Use Rider (SDTR) Fuel Recovery Factors</w:t>
            </w:r>
          </w:p>
        </w:tc>
      </w:tr>
      <w:tr w:rsidR="002D5713" w:rsidRPr="000C4D09" w:rsidTr="004813E3">
        <w:tc>
          <w:tcPr>
            <w:tcW w:w="9468" w:type="dxa"/>
            <w:gridSpan w:val="5"/>
          </w:tcPr>
          <w:p w:rsidR="002D5713" w:rsidRPr="000C4D09" w:rsidRDefault="002D5713" w:rsidP="004813E3">
            <w:pPr>
              <w:jc w:val="center"/>
            </w:pPr>
            <w:r w:rsidRPr="000C4D09">
              <w:t>For</w:t>
            </w:r>
            <w:r>
              <w:t xml:space="preserve"> the Period June through September</w:t>
            </w:r>
            <w:r w:rsidRPr="000C4D09">
              <w:t>, 2020</w:t>
            </w:r>
          </w:p>
        </w:tc>
      </w:tr>
      <w:tr w:rsidR="002D5713" w:rsidRPr="000C4D09" w:rsidTr="004813E3">
        <w:tc>
          <w:tcPr>
            <w:tcW w:w="900" w:type="dxa"/>
            <w:vAlign w:val="center"/>
          </w:tcPr>
          <w:p w:rsidR="002D5713" w:rsidRPr="000C4D09" w:rsidRDefault="002D5713" w:rsidP="004813E3">
            <w:pPr>
              <w:jc w:val="center"/>
            </w:pPr>
            <w:r w:rsidRPr="000C4D09">
              <w:t>Group</w:t>
            </w:r>
          </w:p>
        </w:tc>
        <w:tc>
          <w:tcPr>
            <w:tcW w:w="4950" w:type="dxa"/>
            <w:vAlign w:val="center"/>
          </w:tcPr>
          <w:p w:rsidR="002D5713" w:rsidRPr="000C4D09" w:rsidRDefault="002D5713" w:rsidP="004813E3">
            <w:pPr>
              <w:jc w:val="center"/>
            </w:pPr>
            <w:r w:rsidRPr="000C4D09">
              <w:t>Rate Schedule</w:t>
            </w:r>
          </w:p>
        </w:tc>
        <w:tc>
          <w:tcPr>
            <w:tcW w:w="1170" w:type="dxa"/>
            <w:vAlign w:val="center"/>
          </w:tcPr>
          <w:p w:rsidR="002D5713" w:rsidRPr="000C4D09" w:rsidRDefault="002D5713" w:rsidP="004813E3">
            <w:pPr>
              <w:jc w:val="center"/>
            </w:pPr>
            <w:r w:rsidRPr="000C4D09">
              <w:t>Avg. Factor</w:t>
            </w:r>
          </w:p>
        </w:tc>
        <w:tc>
          <w:tcPr>
            <w:tcW w:w="1260" w:type="dxa"/>
            <w:vAlign w:val="center"/>
          </w:tcPr>
          <w:p w:rsidR="002D5713" w:rsidRPr="000C4D09" w:rsidRDefault="002D5713" w:rsidP="004813E3">
            <w:pPr>
              <w:jc w:val="center"/>
            </w:pPr>
            <w:r w:rsidRPr="000C4D09">
              <w:t>Loss Multiplier</w:t>
            </w:r>
          </w:p>
        </w:tc>
        <w:tc>
          <w:tcPr>
            <w:tcW w:w="1188" w:type="dxa"/>
            <w:vAlign w:val="center"/>
          </w:tcPr>
          <w:p w:rsidR="002D5713" w:rsidRPr="000C4D09" w:rsidRDefault="002D5713" w:rsidP="004813E3">
            <w:pPr>
              <w:jc w:val="center"/>
            </w:pPr>
            <w:r w:rsidRPr="000C4D09">
              <w:t>Fuel Recovery Factor</w:t>
            </w:r>
          </w:p>
        </w:tc>
      </w:tr>
      <w:tr w:rsidR="002D5713" w:rsidRPr="000C4D09" w:rsidTr="004813E3">
        <w:tc>
          <w:tcPr>
            <w:tcW w:w="900" w:type="dxa"/>
            <w:vMerge w:val="restart"/>
            <w:vAlign w:val="center"/>
          </w:tcPr>
          <w:p w:rsidR="002D5713" w:rsidRPr="000C4D09" w:rsidRDefault="002D5713" w:rsidP="004813E3">
            <w:pPr>
              <w:jc w:val="center"/>
            </w:pPr>
            <w:r w:rsidRPr="000C4D09">
              <w:t>B</w:t>
            </w:r>
          </w:p>
        </w:tc>
        <w:tc>
          <w:tcPr>
            <w:tcW w:w="4950" w:type="dxa"/>
          </w:tcPr>
          <w:p w:rsidR="002D5713" w:rsidRPr="000C4D09" w:rsidRDefault="002D5713" w:rsidP="004813E3">
            <w:pPr>
              <w:jc w:val="center"/>
            </w:pPr>
            <w:r w:rsidRPr="000C4D09">
              <w:t>GSD(T)-1 On-Peak</w:t>
            </w:r>
          </w:p>
        </w:tc>
        <w:tc>
          <w:tcPr>
            <w:tcW w:w="1170" w:type="dxa"/>
          </w:tcPr>
          <w:p w:rsidR="002D5713" w:rsidRPr="000C4D09" w:rsidRDefault="002D5713" w:rsidP="004813E3">
            <w:pPr>
              <w:jc w:val="center"/>
            </w:pPr>
            <w:r>
              <w:t>3.033</w:t>
            </w:r>
          </w:p>
        </w:tc>
        <w:tc>
          <w:tcPr>
            <w:tcW w:w="1260" w:type="dxa"/>
          </w:tcPr>
          <w:p w:rsidR="002D5713" w:rsidRPr="000C4D09" w:rsidRDefault="002D5713" w:rsidP="004813E3">
            <w:pPr>
              <w:jc w:val="center"/>
            </w:pPr>
            <w:r w:rsidRPr="000C4D09">
              <w:t>1.00207</w:t>
            </w:r>
          </w:p>
        </w:tc>
        <w:tc>
          <w:tcPr>
            <w:tcW w:w="1188" w:type="dxa"/>
          </w:tcPr>
          <w:p w:rsidR="002D5713" w:rsidRPr="000C4D09" w:rsidRDefault="002D5713" w:rsidP="004813E3">
            <w:pPr>
              <w:jc w:val="center"/>
            </w:pPr>
            <w:r>
              <w:t>3.039</w:t>
            </w:r>
          </w:p>
        </w:tc>
      </w:tr>
      <w:tr w:rsidR="002D5713" w:rsidRPr="000C4D09" w:rsidTr="004813E3">
        <w:tc>
          <w:tcPr>
            <w:tcW w:w="900" w:type="dxa"/>
            <w:vMerge/>
          </w:tcPr>
          <w:p w:rsidR="002D5713" w:rsidRPr="000C4D09" w:rsidRDefault="002D5713" w:rsidP="004813E3">
            <w:pPr>
              <w:jc w:val="center"/>
            </w:pPr>
          </w:p>
        </w:tc>
        <w:tc>
          <w:tcPr>
            <w:tcW w:w="4950" w:type="dxa"/>
          </w:tcPr>
          <w:p w:rsidR="002D5713" w:rsidRPr="000C4D09" w:rsidRDefault="002D5713" w:rsidP="004813E3">
            <w:pPr>
              <w:jc w:val="center"/>
            </w:pPr>
            <w:r w:rsidRPr="000C4D09">
              <w:t>GSD(T)-1 Off-Peak</w:t>
            </w:r>
          </w:p>
        </w:tc>
        <w:tc>
          <w:tcPr>
            <w:tcW w:w="1170" w:type="dxa"/>
          </w:tcPr>
          <w:p w:rsidR="002D5713" w:rsidRPr="000C4D09" w:rsidRDefault="002D5713" w:rsidP="004813E3">
            <w:pPr>
              <w:jc w:val="center"/>
            </w:pPr>
            <w:r>
              <w:t>2.103</w:t>
            </w:r>
          </w:p>
        </w:tc>
        <w:tc>
          <w:tcPr>
            <w:tcW w:w="1260" w:type="dxa"/>
          </w:tcPr>
          <w:p w:rsidR="002D5713" w:rsidRPr="000C4D09" w:rsidRDefault="002D5713" w:rsidP="004813E3">
            <w:pPr>
              <w:jc w:val="center"/>
            </w:pPr>
            <w:r w:rsidRPr="000C4D09">
              <w:t>1.00207</w:t>
            </w:r>
          </w:p>
        </w:tc>
        <w:tc>
          <w:tcPr>
            <w:tcW w:w="1188" w:type="dxa"/>
          </w:tcPr>
          <w:p w:rsidR="002D5713" w:rsidRPr="000C4D09" w:rsidRDefault="002D5713" w:rsidP="004813E3">
            <w:pPr>
              <w:jc w:val="center"/>
            </w:pPr>
            <w:r>
              <w:t>2.107</w:t>
            </w:r>
          </w:p>
        </w:tc>
      </w:tr>
      <w:tr w:rsidR="002D5713" w:rsidRPr="000C4D09" w:rsidTr="004813E3">
        <w:tc>
          <w:tcPr>
            <w:tcW w:w="900" w:type="dxa"/>
            <w:vMerge w:val="restart"/>
            <w:vAlign w:val="center"/>
          </w:tcPr>
          <w:p w:rsidR="002D5713" w:rsidRPr="000C4D09" w:rsidRDefault="002D5713" w:rsidP="004813E3">
            <w:pPr>
              <w:jc w:val="center"/>
            </w:pPr>
            <w:r w:rsidRPr="000C4D09">
              <w:t>C</w:t>
            </w:r>
          </w:p>
        </w:tc>
        <w:tc>
          <w:tcPr>
            <w:tcW w:w="4950" w:type="dxa"/>
          </w:tcPr>
          <w:p w:rsidR="002D5713" w:rsidRPr="000C4D09" w:rsidRDefault="002D5713" w:rsidP="004813E3">
            <w:pPr>
              <w:jc w:val="center"/>
            </w:pPr>
            <w:r w:rsidRPr="000C4D09">
              <w:t>GSLD(T)-1 On-Peak</w:t>
            </w:r>
          </w:p>
        </w:tc>
        <w:tc>
          <w:tcPr>
            <w:tcW w:w="1170" w:type="dxa"/>
          </w:tcPr>
          <w:p w:rsidR="002D5713" w:rsidRPr="000C4D09" w:rsidRDefault="002D5713" w:rsidP="004813E3">
            <w:pPr>
              <w:jc w:val="center"/>
            </w:pPr>
            <w:r>
              <w:t>3.033</w:t>
            </w:r>
          </w:p>
        </w:tc>
        <w:tc>
          <w:tcPr>
            <w:tcW w:w="1260" w:type="dxa"/>
          </w:tcPr>
          <w:p w:rsidR="002D5713" w:rsidRPr="000C4D09" w:rsidRDefault="002D5713" w:rsidP="004813E3">
            <w:pPr>
              <w:jc w:val="center"/>
            </w:pPr>
            <w:r w:rsidRPr="000C4D09">
              <w:t>1.00157</w:t>
            </w:r>
          </w:p>
        </w:tc>
        <w:tc>
          <w:tcPr>
            <w:tcW w:w="1188" w:type="dxa"/>
          </w:tcPr>
          <w:p w:rsidR="002D5713" w:rsidRPr="000C4D09" w:rsidRDefault="002D5713" w:rsidP="004813E3">
            <w:pPr>
              <w:jc w:val="center"/>
            </w:pPr>
            <w:r>
              <w:t>3.038</w:t>
            </w:r>
          </w:p>
        </w:tc>
      </w:tr>
      <w:tr w:rsidR="002D5713" w:rsidRPr="000C4D09" w:rsidTr="004813E3">
        <w:tc>
          <w:tcPr>
            <w:tcW w:w="900" w:type="dxa"/>
            <w:vMerge/>
          </w:tcPr>
          <w:p w:rsidR="002D5713" w:rsidRPr="000C4D09" w:rsidRDefault="002D5713" w:rsidP="004813E3">
            <w:pPr>
              <w:jc w:val="center"/>
            </w:pPr>
          </w:p>
        </w:tc>
        <w:tc>
          <w:tcPr>
            <w:tcW w:w="4950" w:type="dxa"/>
          </w:tcPr>
          <w:p w:rsidR="002D5713" w:rsidRPr="000C4D09" w:rsidRDefault="002D5713" w:rsidP="004813E3">
            <w:pPr>
              <w:jc w:val="center"/>
            </w:pPr>
            <w:r w:rsidRPr="000C4D09">
              <w:t>GSLD(T)-1 Off-Peak</w:t>
            </w:r>
          </w:p>
        </w:tc>
        <w:tc>
          <w:tcPr>
            <w:tcW w:w="1170" w:type="dxa"/>
          </w:tcPr>
          <w:p w:rsidR="002D5713" w:rsidRPr="000C4D09" w:rsidRDefault="002D5713" w:rsidP="004813E3">
            <w:pPr>
              <w:jc w:val="center"/>
            </w:pPr>
            <w:r>
              <w:t>2.103</w:t>
            </w:r>
          </w:p>
        </w:tc>
        <w:tc>
          <w:tcPr>
            <w:tcW w:w="1260" w:type="dxa"/>
          </w:tcPr>
          <w:p w:rsidR="002D5713" w:rsidRPr="000C4D09" w:rsidRDefault="002D5713" w:rsidP="004813E3">
            <w:pPr>
              <w:jc w:val="center"/>
            </w:pPr>
            <w:r w:rsidRPr="000C4D09">
              <w:t>1.00157</w:t>
            </w:r>
          </w:p>
        </w:tc>
        <w:tc>
          <w:tcPr>
            <w:tcW w:w="1188" w:type="dxa"/>
          </w:tcPr>
          <w:p w:rsidR="002D5713" w:rsidRPr="000C4D09" w:rsidRDefault="002D5713" w:rsidP="004813E3">
            <w:pPr>
              <w:jc w:val="center"/>
            </w:pPr>
            <w:r>
              <w:t>2.106</w:t>
            </w:r>
          </w:p>
        </w:tc>
      </w:tr>
      <w:tr w:rsidR="002D5713" w:rsidRPr="000C4D09" w:rsidTr="004813E3">
        <w:tc>
          <w:tcPr>
            <w:tcW w:w="900" w:type="dxa"/>
            <w:vMerge w:val="restart"/>
            <w:vAlign w:val="center"/>
          </w:tcPr>
          <w:p w:rsidR="002D5713" w:rsidRPr="000C4D09" w:rsidRDefault="002D5713" w:rsidP="004813E3">
            <w:pPr>
              <w:jc w:val="center"/>
            </w:pPr>
            <w:r w:rsidRPr="000C4D09">
              <w:t>D</w:t>
            </w:r>
          </w:p>
        </w:tc>
        <w:tc>
          <w:tcPr>
            <w:tcW w:w="4950" w:type="dxa"/>
          </w:tcPr>
          <w:p w:rsidR="002D5713" w:rsidRPr="000C4D09" w:rsidRDefault="002D5713" w:rsidP="004813E3">
            <w:pPr>
              <w:jc w:val="center"/>
            </w:pPr>
            <w:r w:rsidRPr="000C4D09">
              <w:t>GSLD(T)-2 On-Peak</w:t>
            </w:r>
          </w:p>
        </w:tc>
        <w:tc>
          <w:tcPr>
            <w:tcW w:w="1170" w:type="dxa"/>
          </w:tcPr>
          <w:p w:rsidR="002D5713" w:rsidRPr="000C4D09" w:rsidRDefault="002D5713" w:rsidP="004813E3">
            <w:pPr>
              <w:jc w:val="center"/>
            </w:pPr>
            <w:r>
              <w:t>3.033</w:t>
            </w:r>
          </w:p>
        </w:tc>
        <w:tc>
          <w:tcPr>
            <w:tcW w:w="1260" w:type="dxa"/>
          </w:tcPr>
          <w:p w:rsidR="002D5713" w:rsidRPr="000C4D09" w:rsidRDefault="002D5713" w:rsidP="004813E3">
            <w:pPr>
              <w:jc w:val="center"/>
            </w:pPr>
            <w:r w:rsidRPr="000C4D09">
              <w:t>0.99588</w:t>
            </w:r>
          </w:p>
        </w:tc>
        <w:tc>
          <w:tcPr>
            <w:tcW w:w="1188" w:type="dxa"/>
          </w:tcPr>
          <w:p w:rsidR="002D5713" w:rsidRPr="000C4D09" w:rsidRDefault="002D5713" w:rsidP="004813E3">
            <w:pPr>
              <w:jc w:val="center"/>
            </w:pPr>
            <w:r>
              <w:t>3.021</w:t>
            </w:r>
          </w:p>
        </w:tc>
      </w:tr>
      <w:tr w:rsidR="002D5713" w:rsidRPr="000C4D09" w:rsidTr="004813E3">
        <w:tc>
          <w:tcPr>
            <w:tcW w:w="900" w:type="dxa"/>
            <w:vMerge/>
          </w:tcPr>
          <w:p w:rsidR="002D5713" w:rsidRPr="000C4D09" w:rsidRDefault="002D5713" w:rsidP="004813E3">
            <w:pPr>
              <w:jc w:val="center"/>
            </w:pPr>
          </w:p>
        </w:tc>
        <w:tc>
          <w:tcPr>
            <w:tcW w:w="4950" w:type="dxa"/>
          </w:tcPr>
          <w:p w:rsidR="002D5713" w:rsidRPr="000C4D09" w:rsidRDefault="002D5713" w:rsidP="004813E3">
            <w:pPr>
              <w:jc w:val="center"/>
            </w:pPr>
            <w:r w:rsidRPr="000C4D09">
              <w:t>GSLD(T)-2 Off-Peak</w:t>
            </w:r>
          </w:p>
        </w:tc>
        <w:tc>
          <w:tcPr>
            <w:tcW w:w="1170" w:type="dxa"/>
          </w:tcPr>
          <w:p w:rsidR="002D5713" w:rsidRPr="000C4D09" w:rsidRDefault="002D5713" w:rsidP="004813E3">
            <w:pPr>
              <w:jc w:val="center"/>
            </w:pPr>
            <w:r>
              <w:t>2.103</w:t>
            </w:r>
          </w:p>
        </w:tc>
        <w:tc>
          <w:tcPr>
            <w:tcW w:w="1260" w:type="dxa"/>
          </w:tcPr>
          <w:p w:rsidR="002D5713" w:rsidRPr="000C4D09" w:rsidRDefault="002D5713" w:rsidP="004813E3">
            <w:pPr>
              <w:jc w:val="center"/>
            </w:pPr>
            <w:r w:rsidRPr="000C4D09">
              <w:t>0.99588</w:t>
            </w:r>
          </w:p>
        </w:tc>
        <w:tc>
          <w:tcPr>
            <w:tcW w:w="1188" w:type="dxa"/>
          </w:tcPr>
          <w:p w:rsidR="002D5713" w:rsidRPr="000C4D09" w:rsidRDefault="002D5713" w:rsidP="004813E3">
            <w:pPr>
              <w:jc w:val="center"/>
            </w:pPr>
            <w:r>
              <w:t>2.094</w:t>
            </w:r>
          </w:p>
        </w:tc>
      </w:tr>
    </w:tbl>
    <w:p w:rsidR="002D5713" w:rsidRPr="000C4D09" w:rsidRDefault="002D5713" w:rsidP="002D5713">
      <w:pPr>
        <w:rPr>
          <w:sz w:val="20"/>
          <w:szCs w:val="20"/>
        </w:rPr>
      </w:pPr>
      <w:r w:rsidRPr="000C4D09">
        <w:rPr>
          <w:sz w:val="20"/>
          <w:szCs w:val="20"/>
        </w:rPr>
        <w:t xml:space="preserve">    Sourc</w:t>
      </w:r>
      <w:r>
        <w:rPr>
          <w:sz w:val="20"/>
          <w:szCs w:val="20"/>
        </w:rPr>
        <w:t xml:space="preserve">e: Schedule E1- E, Page 2 of 2 </w:t>
      </w:r>
      <w:r w:rsidRPr="00DE1F8F">
        <w:rPr>
          <w:sz w:val="20"/>
          <w:szCs w:val="20"/>
        </w:rPr>
        <w:t xml:space="preserve">(Discovery Response Version </w:t>
      </w:r>
      <w:proofErr w:type="gramStart"/>
      <w:r w:rsidRPr="00DE1F8F">
        <w:rPr>
          <w:sz w:val="20"/>
          <w:szCs w:val="20"/>
        </w:rPr>
        <w:t>of  2020</w:t>
      </w:r>
      <w:proofErr w:type="gramEnd"/>
      <w:r w:rsidRPr="00DE1F8F">
        <w:rPr>
          <w:sz w:val="20"/>
          <w:szCs w:val="20"/>
        </w:rPr>
        <w:t xml:space="preserve"> FCR Projection Schedule, Page FCR-19-029123)</w:t>
      </w:r>
      <w:r>
        <w:rPr>
          <w:sz w:val="20"/>
          <w:szCs w:val="20"/>
        </w:rPr>
        <w:t>.</w:t>
      </w:r>
    </w:p>
    <w:p w:rsidR="002D5713" w:rsidRDefault="002D5713" w:rsidP="002D5713">
      <w:pPr>
        <w:rPr>
          <w:sz w:val="22"/>
          <w:szCs w:val="22"/>
        </w:rPr>
      </w:pPr>
    </w:p>
    <w:p w:rsidR="002D5713" w:rsidRDefault="002D5713" w:rsidP="002D5713">
      <w:pPr>
        <w:spacing w:before="240"/>
        <w:ind w:left="1440" w:hanging="1440"/>
        <w:jc w:val="both"/>
      </w:pPr>
      <w:r w:rsidRPr="00F740AF">
        <w:rPr>
          <w:b/>
        </w:rPr>
        <w:t>FPUC:</w:t>
      </w:r>
      <w:r w:rsidRPr="00EE2120">
        <w:rPr>
          <w:b/>
        </w:rPr>
        <w:tab/>
      </w:r>
      <w:r w:rsidRPr="00EE2120">
        <w:t xml:space="preserve">The appropriate </w:t>
      </w:r>
      <w:proofErr w:type="spellStart"/>
      <w:r w:rsidRPr="00EE2120">
        <w:t>levelized</w:t>
      </w:r>
      <w:proofErr w:type="spellEnd"/>
      <w:r w:rsidRPr="00EE2120">
        <w:t xml:space="preserve"> fuel adjustment and purchased power cost recovery fac</w:t>
      </w:r>
      <w:r>
        <w:t>tors for the period January 2020 through December 2020</w:t>
      </w:r>
      <w:r w:rsidRPr="00EE2120">
        <w:t xml:space="preserve"> for the Consolidated Electric Division, adjusted for line loss multipliers and including taxes, are shown in Tables 22</w:t>
      </w:r>
      <w:r>
        <w:t>-8 through</w:t>
      </w:r>
      <w:r w:rsidRPr="00EE2120">
        <w:t xml:space="preserve"> 22-</w:t>
      </w:r>
      <w:r>
        <w:t>10</w:t>
      </w:r>
      <w:r w:rsidRPr="00EE2120">
        <w:t xml:space="preserve"> below:</w:t>
      </w:r>
    </w:p>
    <w:p w:rsidR="002D5713" w:rsidRPr="00EE2120" w:rsidRDefault="002D5713" w:rsidP="002D5713">
      <w:pPr>
        <w:spacing w:before="240"/>
        <w:ind w:left="1440" w:hanging="1440"/>
        <w:jc w:val="both"/>
      </w:pPr>
    </w:p>
    <w:p w:rsidR="002D5713" w:rsidRPr="00952579" w:rsidRDefault="002D5713" w:rsidP="002D5713">
      <w:pPr>
        <w:ind w:left="1440" w:hanging="1440"/>
        <w:jc w:val="center"/>
        <w:rPr>
          <w:rFonts w:ascii="Arial" w:hAnsi="Arial" w:cs="Arial"/>
          <w:b/>
        </w:rPr>
      </w:pPr>
      <w:r w:rsidRPr="00952579">
        <w:rPr>
          <w:rFonts w:ascii="Arial" w:hAnsi="Arial" w:cs="Arial"/>
          <w:b/>
        </w:rPr>
        <w:t xml:space="preserve">Table </w:t>
      </w:r>
      <w:r>
        <w:rPr>
          <w:rFonts w:ascii="Arial" w:hAnsi="Arial" w:cs="Arial"/>
          <w:b/>
        </w:rPr>
        <w:t>22-8</w:t>
      </w:r>
    </w:p>
    <w:p w:rsidR="002D5713" w:rsidRPr="00EE2120" w:rsidRDefault="002D5713" w:rsidP="002D5713">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2020</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2D5713" w:rsidRPr="00EE2120" w:rsidTr="004813E3">
        <w:tc>
          <w:tcPr>
            <w:tcW w:w="9468" w:type="dxa"/>
            <w:gridSpan w:val="2"/>
          </w:tcPr>
          <w:p w:rsidR="002D5713" w:rsidRDefault="002D5713" w:rsidP="004813E3">
            <w:pPr>
              <w:jc w:val="center"/>
            </w:pPr>
            <w:r>
              <w:t>Fuel Recovery Factors – By Rate Schedule</w:t>
            </w:r>
          </w:p>
        </w:tc>
      </w:tr>
      <w:tr w:rsidR="002D5713" w:rsidRPr="00EE2120" w:rsidTr="004813E3">
        <w:tc>
          <w:tcPr>
            <w:tcW w:w="9468" w:type="dxa"/>
            <w:gridSpan w:val="2"/>
          </w:tcPr>
          <w:p w:rsidR="002D5713" w:rsidRDefault="002D5713" w:rsidP="004813E3">
            <w:pPr>
              <w:jc w:val="center"/>
            </w:pPr>
            <w:r>
              <w:t>For the Period January through December, 2020</w:t>
            </w:r>
          </w:p>
        </w:tc>
      </w:tr>
      <w:tr w:rsidR="002D5713" w:rsidRPr="00EE2120" w:rsidTr="004813E3">
        <w:tc>
          <w:tcPr>
            <w:tcW w:w="6948" w:type="dxa"/>
            <w:vAlign w:val="center"/>
          </w:tcPr>
          <w:p w:rsidR="002D5713" w:rsidRPr="00EE2120" w:rsidRDefault="002D5713" w:rsidP="004813E3">
            <w:pPr>
              <w:keepNext/>
              <w:keepLines/>
              <w:jc w:val="center"/>
            </w:pPr>
            <w:r w:rsidRPr="00EE2120">
              <w:t>Rate Schedule</w:t>
            </w:r>
          </w:p>
        </w:tc>
        <w:tc>
          <w:tcPr>
            <w:tcW w:w="2520" w:type="dxa"/>
          </w:tcPr>
          <w:p w:rsidR="002D5713" w:rsidRPr="00EE2120" w:rsidRDefault="002D5713" w:rsidP="004813E3">
            <w:pPr>
              <w:keepNext/>
              <w:keepLines/>
              <w:jc w:val="center"/>
            </w:pPr>
            <w:proofErr w:type="spellStart"/>
            <w:r>
              <w:t>Levelized</w:t>
            </w:r>
            <w:proofErr w:type="spellEnd"/>
            <w:r>
              <w:t xml:space="preserve"> </w:t>
            </w:r>
            <w:r w:rsidRPr="00EE2120">
              <w:t>Adjustment (cents/kWh)</w:t>
            </w:r>
          </w:p>
        </w:tc>
      </w:tr>
      <w:tr w:rsidR="002D5713" w:rsidRPr="003532C8" w:rsidTr="004813E3">
        <w:tc>
          <w:tcPr>
            <w:tcW w:w="6948" w:type="dxa"/>
          </w:tcPr>
          <w:p w:rsidR="002D5713" w:rsidRPr="003532C8" w:rsidRDefault="002D5713" w:rsidP="004813E3">
            <w:pPr>
              <w:keepNext/>
              <w:keepLines/>
              <w:jc w:val="center"/>
            </w:pPr>
            <w:r w:rsidRPr="003532C8">
              <w:t>RS</w:t>
            </w:r>
          </w:p>
        </w:tc>
        <w:tc>
          <w:tcPr>
            <w:tcW w:w="2520" w:type="dxa"/>
          </w:tcPr>
          <w:p w:rsidR="002D5713" w:rsidRPr="003532C8" w:rsidRDefault="002D5713" w:rsidP="004813E3">
            <w:pPr>
              <w:keepNext/>
              <w:keepLines/>
              <w:jc w:val="center"/>
            </w:pPr>
            <w:r w:rsidRPr="003532C8">
              <w:t>7.766</w:t>
            </w:r>
          </w:p>
        </w:tc>
      </w:tr>
      <w:tr w:rsidR="002D5713" w:rsidRPr="003532C8" w:rsidTr="004813E3">
        <w:tc>
          <w:tcPr>
            <w:tcW w:w="6948" w:type="dxa"/>
          </w:tcPr>
          <w:p w:rsidR="002D5713" w:rsidRPr="003532C8" w:rsidRDefault="002D5713" w:rsidP="004813E3">
            <w:pPr>
              <w:keepNext/>
              <w:keepLines/>
              <w:jc w:val="center"/>
            </w:pPr>
            <w:r w:rsidRPr="003532C8">
              <w:t>GS</w:t>
            </w:r>
          </w:p>
        </w:tc>
        <w:tc>
          <w:tcPr>
            <w:tcW w:w="2520" w:type="dxa"/>
          </w:tcPr>
          <w:p w:rsidR="002D5713" w:rsidRPr="003532C8" w:rsidRDefault="002D5713" w:rsidP="004813E3">
            <w:pPr>
              <w:keepNext/>
              <w:keepLines/>
              <w:jc w:val="center"/>
            </w:pPr>
            <w:r w:rsidRPr="003532C8">
              <w:t>7.535</w:t>
            </w:r>
          </w:p>
        </w:tc>
      </w:tr>
      <w:tr w:rsidR="002D5713" w:rsidRPr="003532C8" w:rsidTr="004813E3">
        <w:tc>
          <w:tcPr>
            <w:tcW w:w="6948" w:type="dxa"/>
          </w:tcPr>
          <w:p w:rsidR="002D5713" w:rsidRPr="003532C8" w:rsidRDefault="002D5713" w:rsidP="004813E3">
            <w:pPr>
              <w:keepNext/>
              <w:keepLines/>
              <w:jc w:val="center"/>
            </w:pPr>
            <w:r w:rsidRPr="003532C8">
              <w:t>GSD</w:t>
            </w:r>
          </w:p>
        </w:tc>
        <w:tc>
          <w:tcPr>
            <w:tcW w:w="2520" w:type="dxa"/>
          </w:tcPr>
          <w:p w:rsidR="002D5713" w:rsidRPr="003532C8" w:rsidRDefault="002D5713" w:rsidP="004813E3">
            <w:pPr>
              <w:keepNext/>
              <w:keepLines/>
              <w:jc w:val="center"/>
            </w:pPr>
            <w:r w:rsidRPr="003532C8">
              <w:t>7.228</w:t>
            </w:r>
          </w:p>
        </w:tc>
      </w:tr>
      <w:tr w:rsidR="002D5713" w:rsidRPr="003532C8" w:rsidTr="004813E3">
        <w:tc>
          <w:tcPr>
            <w:tcW w:w="6948" w:type="dxa"/>
          </w:tcPr>
          <w:p w:rsidR="002D5713" w:rsidRPr="003532C8" w:rsidRDefault="002D5713" w:rsidP="004813E3">
            <w:pPr>
              <w:keepNext/>
              <w:keepLines/>
              <w:jc w:val="center"/>
            </w:pPr>
            <w:r w:rsidRPr="003532C8">
              <w:t>GSLD</w:t>
            </w:r>
          </w:p>
        </w:tc>
        <w:tc>
          <w:tcPr>
            <w:tcW w:w="2520" w:type="dxa"/>
          </w:tcPr>
          <w:p w:rsidR="002D5713" w:rsidRPr="003532C8" w:rsidRDefault="002D5713" w:rsidP="004813E3">
            <w:pPr>
              <w:keepNext/>
              <w:keepLines/>
              <w:jc w:val="center"/>
            </w:pPr>
            <w:r w:rsidRPr="003532C8">
              <w:t>7.009</w:t>
            </w:r>
          </w:p>
        </w:tc>
      </w:tr>
      <w:tr w:rsidR="002D5713" w:rsidRPr="003532C8" w:rsidTr="004813E3">
        <w:tc>
          <w:tcPr>
            <w:tcW w:w="6948" w:type="dxa"/>
          </w:tcPr>
          <w:p w:rsidR="002D5713" w:rsidRPr="003532C8" w:rsidRDefault="002D5713" w:rsidP="004813E3">
            <w:pPr>
              <w:keepNext/>
              <w:keepLines/>
              <w:jc w:val="center"/>
            </w:pPr>
            <w:r w:rsidRPr="003532C8">
              <w:t>LS</w:t>
            </w:r>
          </w:p>
        </w:tc>
        <w:tc>
          <w:tcPr>
            <w:tcW w:w="2520" w:type="dxa"/>
          </w:tcPr>
          <w:p w:rsidR="002D5713" w:rsidRPr="003532C8" w:rsidRDefault="002D5713" w:rsidP="004813E3">
            <w:pPr>
              <w:keepNext/>
              <w:keepLines/>
              <w:jc w:val="center"/>
            </w:pPr>
            <w:r w:rsidRPr="003532C8">
              <w:t>5.621</w:t>
            </w:r>
          </w:p>
        </w:tc>
      </w:tr>
    </w:tbl>
    <w:p w:rsidR="002D5713" w:rsidRDefault="002D5713" w:rsidP="002D5713">
      <w:r w:rsidRPr="003532C8">
        <w:rPr>
          <w:sz w:val="22"/>
          <w:szCs w:val="22"/>
        </w:rPr>
        <w:t>Source: Schedule E1, Page 3 of 3 (</w:t>
      </w:r>
      <w:r w:rsidRPr="00C3719C">
        <w:rPr>
          <w:sz w:val="20"/>
          <w:szCs w:val="20"/>
        </w:rPr>
        <w:t>Revised Exhibit MDN-1</w:t>
      </w:r>
      <w:r w:rsidRPr="003532C8">
        <w:rPr>
          <w:sz w:val="22"/>
          <w:szCs w:val="22"/>
        </w:rPr>
        <w:t xml:space="preserve">, Cost Recovery Clause Calculation, Page 3 </w:t>
      </w:r>
      <w:proofErr w:type="gramStart"/>
      <w:r w:rsidRPr="003532C8">
        <w:rPr>
          <w:sz w:val="22"/>
          <w:szCs w:val="22"/>
        </w:rPr>
        <w:t>of  8</w:t>
      </w:r>
      <w:proofErr w:type="gramEnd"/>
      <w:r w:rsidRPr="003532C8">
        <w:rPr>
          <w:sz w:val="22"/>
          <w:szCs w:val="22"/>
        </w:rPr>
        <w:t>).</w:t>
      </w:r>
    </w:p>
    <w:p w:rsidR="002D5713" w:rsidRDefault="002D5713" w:rsidP="002D5713">
      <w:pPr>
        <w:spacing w:after="200" w:line="276" w:lineRule="auto"/>
      </w:pPr>
      <w:r>
        <w:br w:type="page"/>
      </w:r>
    </w:p>
    <w:p w:rsidR="002D5713" w:rsidRPr="003532C8" w:rsidRDefault="002D5713" w:rsidP="002D5713">
      <w:pPr>
        <w:jc w:val="center"/>
        <w:rPr>
          <w:rFonts w:ascii="Arial" w:hAnsi="Arial" w:cs="Arial"/>
          <w:b/>
        </w:rPr>
      </w:pPr>
      <w:r w:rsidRPr="003532C8">
        <w:rPr>
          <w:rFonts w:ascii="Arial" w:hAnsi="Arial" w:cs="Arial"/>
          <w:b/>
        </w:rPr>
        <w:lastRenderedPageBreak/>
        <w:t>Table 22-9</w:t>
      </w:r>
    </w:p>
    <w:p w:rsidR="002D5713" w:rsidRPr="003532C8" w:rsidRDefault="002D5713" w:rsidP="002D5713">
      <w:pPr>
        <w:keepNext/>
        <w:keepLines/>
        <w:ind w:left="720" w:hanging="720"/>
        <w:jc w:val="center"/>
      </w:pPr>
      <w:r w:rsidRPr="003532C8">
        <w:rPr>
          <w:rFonts w:ascii="Arial" w:hAnsi="Arial" w:cs="Arial"/>
          <w:b/>
        </w:rPr>
        <w:t>FPUC Fuel Cost Recovery Factors for the period January-December, 2020</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2D5713" w:rsidRPr="003532C8" w:rsidTr="004813E3">
        <w:tc>
          <w:tcPr>
            <w:tcW w:w="9468" w:type="dxa"/>
            <w:gridSpan w:val="2"/>
          </w:tcPr>
          <w:p w:rsidR="002D5713" w:rsidRPr="003532C8" w:rsidRDefault="002D5713" w:rsidP="004813E3">
            <w:pPr>
              <w:jc w:val="center"/>
            </w:pPr>
            <w:r w:rsidRPr="003532C8">
              <w:t>Step Rate Allocation For Residential Customers (RS Rate Schedule)</w:t>
            </w:r>
          </w:p>
        </w:tc>
      </w:tr>
      <w:tr w:rsidR="002D5713" w:rsidRPr="003532C8" w:rsidTr="004813E3">
        <w:tc>
          <w:tcPr>
            <w:tcW w:w="9468" w:type="dxa"/>
            <w:gridSpan w:val="2"/>
          </w:tcPr>
          <w:p w:rsidR="002D5713" w:rsidRPr="003532C8" w:rsidRDefault="002D5713" w:rsidP="004813E3">
            <w:pPr>
              <w:jc w:val="center"/>
            </w:pPr>
            <w:r w:rsidRPr="003532C8">
              <w:t>For the Period January through December, 2020</w:t>
            </w:r>
          </w:p>
        </w:tc>
      </w:tr>
      <w:tr w:rsidR="002D5713" w:rsidRPr="003532C8" w:rsidTr="004813E3">
        <w:tc>
          <w:tcPr>
            <w:tcW w:w="6948" w:type="dxa"/>
            <w:vAlign w:val="center"/>
          </w:tcPr>
          <w:p w:rsidR="002D5713" w:rsidRPr="003532C8" w:rsidRDefault="002D5713" w:rsidP="004813E3">
            <w:pPr>
              <w:keepNext/>
              <w:keepLines/>
              <w:jc w:val="center"/>
            </w:pPr>
            <w:r w:rsidRPr="003532C8">
              <w:t>Rate Schedule and Allocation</w:t>
            </w:r>
          </w:p>
        </w:tc>
        <w:tc>
          <w:tcPr>
            <w:tcW w:w="2520" w:type="dxa"/>
          </w:tcPr>
          <w:p w:rsidR="002D5713" w:rsidRPr="003532C8" w:rsidRDefault="002D5713" w:rsidP="004813E3">
            <w:pPr>
              <w:keepNext/>
              <w:keepLines/>
              <w:jc w:val="center"/>
            </w:pPr>
            <w:proofErr w:type="spellStart"/>
            <w:r w:rsidRPr="003532C8">
              <w:t>Levelized</w:t>
            </w:r>
            <w:proofErr w:type="spellEnd"/>
            <w:r w:rsidRPr="003532C8">
              <w:t xml:space="preserve"> Adjustment (cents/kWh)</w:t>
            </w:r>
          </w:p>
        </w:tc>
      </w:tr>
      <w:tr w:rsidR="002D5713" w:rsidRPr="003532C8" w:rsidTr="004813E3">
        <w:tc>
          <w:tcPr>
            <w:tcW w:w="6948" w:type="dxa"/>
          </w:tcPr>
          <w:p w:rsidR="002D5713" w:rsidRPr="003532C8" w:rsidRDefault="002D5713" w:rsidP="004813E3">
            <w:pPr>
              <w:keepNext/>
              <w:keepLines/>
              <w:jc w:val="center"/>
            </w:pPr>
            <w:r w:rsidRPr="003532C8">
              <w:t>RS Rate Schedule – Sales Allocation</w:t>
            </w:r>
          </w:p>
        </w:tc>
        <w:tc>
          <w:tcPr>
            <w:tcW w:w="2520" w:type="dxa"/>
          </w:tcPr>
          <w:p w:rsidR="002D5713" w:rsidRPr="003532C8" w:rsidRDefault="002D5713" w:rsidP="004813E3">
            <w:pPr>
              <w:keepNext/>
              <w:keepLines/>
              <w:jc w:val="center"/>
            </w:pPr>
            <w:r w:rsidRPr="003532C8">
              <w:t>7.766</w:t>
            </w:r>
          </w:p>
        </w:tc>
      </w:tr>
      <w:tr w:rsidR="002D5713" w:rsidRPr="003532C8" w:rsidTr="004813E3">
        <w:tc>
          <w:tcPr>
            <w:tcW w:w="6948" w:type="dxa"/>
          </w:tcPr>
          <w:p w:rsidR="002D5713" w:rsidRPr="003532C8" w:rsidRDefault="002D5713" w:rsidP="004813E3">
            <w:pPr>
              <w:keepNext/>
              <w:keepLines/>
              <w:jc w:val="center"/>
            </w:pPr>
            <w:r w:rsidRPr="003532C8">
              <w:t>RS Rate Schedule with less than or equal to 1,000 kWh/month</w:t>
            </w:r>
          </w:p>
        </w:tc>
        <w:tc>
          <w:tcPr>
            <w:tcW w:w="2520" w:type="dxa"/>
          </w:tcPr>
          <w:p w:rsidR="002D5713" w:rsidRPr="003532C8" w:rsidRDefault="002D5713" w:rsidP="004813E3">
            <w:pPr>
              <w:keepNext/>
              <w:keepLines/>
              <w:jc w:val="center"/>
            </w:pPr>
            <w:r w:rsidRPr="003532C8">
              <w:t>7.459</w:t>
            </w:r>
          </w:p>
        </w:tc>
      </w:tr>
      <w:tr w:rsidR="002D5713" w:rsidRPr="003532C8" w:rsidTr="004813E3">
        <w:tc>
          <w:tcPr>
            <w:tcW w:w="6948" w:type="dxa"/>
          </w:tcPr>
          <w:p w:rsidR="002D5713" w:rsidRPr="003532C8" w:rsidRDefault="002D5713" w:rsidP="004813E3">
            <w:pPr>
              <w:keepNext/>
              <w:keepLines/>
              <w:jc w:val="center"/>
            </w:pPr>
            <w:r w:rsidRPr="003532C8">
              <w:t>RS Rate Schedule with more than 1,000 kWh/month</w:t>
            </w:r>
          </w:p>
        </w:tc>
        <w:tc>
          <w:tcPr>
            <w:tcW w:w="2520" w:type="dxa"/>
          </w:tcPr>
          <w:p w:rsidR="002D5713" w:rsidRPr="003532C8" w:rsidRDefault="002D5713" w:rsidP="004813E3">
            <w:pPr>
              <w:keepNext/>
              <w:keepLines/>
              <w:jc w:val="center"/>
            </w:pPr>
            <w:r w:rsidRPr="003532C8">
              <w:t>8.709</w:t>
            </w:r>
          </w:p>
        </w:tc>
      </w:tr>
    </w:tbl>
    <w:p w:rsidR="002D5713" w:rsidRPr="003532C8" w:rsidRDefault="002D5713" w:rsidP="002D5713">
      <w:pPr>
        <w:rPr>
          <w:sz w:val="22"/>
          <w:szCs w:val="22"/>
        </w:rPr>
      </w:pPr>
      <w:r w:rsidRPr="003532C8">
        <w:fldChar w:fldCharType="begin"/>
      </w:r>
      <w:r w:rsidRPr="003532C8">
        <w:instrText>ADVANCE \u3</w:instrText>
      </w:r>
      <w:r w:rsidRPr="003532C8">
        <w:fldChar w:fldCharType="end"/>
      </w:r>
      <w:r w:rsidRPr="003532C8">
        <w:rPr>
          <w:sz w:val="22"/>
          <w:szCs w:val="22"/>
        </w:rPr>
        <w:t xml:space="preserve"> Source: Schedule E1, Page 3 of 3 (</w:t>
      </w:r>
      <w:r w:rsidRPr="00C3719C">
        <w:rPr>
          <w:sz w:val="20"/>
          <w:szCs w:val="20"/>
        </w:rPr>
        <w:t>Revised Exhibit MDN-1</w:t>
      </w:r>
      <w:r w:rsidRPr="003532C8">
        <w:rPr>
          <w:sz w:val="22"/>
          <w:szCs w:val="22"/>
        </w:rPr>
        <w:t xml:space="preserve">, Cost Recovery Clause Calculation, Page 3 </w:t>
      </w:r>
      <w:proofErr w:type="gramStart"/>
      <w:r w:rsidRPr="003532C8">
        <w:rPr>
          <w:sz w:val="22"/>
          <w:szCs w:val="22"/>
        </w:rPr>
        <w:t>of  8</w:t>
      </w:r>
      <w:proofErr w:type="gramEnd"/>
      <w:r w:rsidRPr="003532C8">
        <w:rPr>
          <w:sz w:val="22"/>
          <w:szCs w:val="22"/>
        </w:rPr>
        <w:t>).</w:t>
      </w:r>
    </w:p>
    <w:p w:rsidR="002D5713" w:rsidRPr="003532C8" w:rsidRDefault="002D5713" w:rsidP="002D5713">
      <w:pPr>
        <w:rPr>
          <w:sz w:val="22"/>
          <w:szCs w:val="22"/>
        </w:rPr>
      </w:pPr>
    </w:p>
    <w:p w:rsidR="002D5713" w:rsidRPr="003532C8" w:rsidRDefault="002D5713" w:rsidP="002D5713">
      <w:pPr>
        <w:ind w:left="1440" w:hanging="1440"/>
        <w:jc w:val="center"/>
        <w:rPr>
          <w:rFonts w:ascii="Arial" w:hAnsi="Arial" w:cs="Arial"/>
          <w:b/>
        </w:rPr>
      </w:pPr>
      <w:r w:rsidRPr="003532C8">
        <w:rPr>
          <w:rFonts w:ascii="Arial" w:hAnsi="Arial" w:cs="Arial"/>
          <w:b/>
        </w:rPr>
        <w:t>Table 22-10</w:t>
      </w:r>
    </w:p>
    <w:p w:rsidR="002D5713" w:rsidRPr="003532C8" w:rsidRDefault="002D5713" w:rsidP="002D5713">
      <w:pPr>
        <w:keepNext/>
        <w:keepLines/>
        <w:ind w:left="720" w:hanging="720"/>
        <w:jc w:val="center"/>
      </w:pPr>
      <w:r w:rsidRPr="003532C8">
        <w:rPr>
          <w:rFonts w:ascii="Arial" w:hAnsi="Arial" w:cs="Arial"/>
          <w:b/>
        </w:rPr>
        <w:t>FPUC Fuel Cost Recovery Factors for the period January-December, 2020</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2D5713" w:rsidRPr="003532C8" w:rsidTr="004813E3">
        <w:tc>
          <w:tcPr>
            <w:tcW w:w="9468" w:type="dxa"/>
            <w:gridSpan w:val="3"/>
          </w:tcPr>
          <w:p w:rsidR="002D5713" w:rsidRPr="003532C8" w:rsidRDefault="002D5713" w:rsidP="004813E3">
            <w:pPr>
              <w:jc w:val="center"/>
            </w:pPr>
            <w:r w:rsidRPr="003532C8">
              <w:t>Fuel Recovery Factors for Time Of Use – By Rate Schedule</w:t>
            </w:r>
          </w:p>
        </w:tc>
      </w:tr>
      <w:tr w:rsidR="002D5713" w:rsidRPr="003532C8" w:rsidTr="004813E3">
        <w:tc>
          <w:tcPr>
            <w:tcW w:w="9468" w:type="dxa"/>
            <w:gridSpan w:val="3"/>
          </w:tcPr>
          <w:p w:rsidR="002D5713" w:rsidRPr="003532C8" w:rsidRDefault="002D5713" w:rsidP="004813E3">
            <w:pPr>
              <w:jc w:val="center"/>
            </w:pPr>
            <w:r w:rsidRPr="003532C8">
              <w:t>For the Period January through December, 2020</w:t>
            </w:r>
          </w:p>
        </w:tc>
      </w:tr>
      <w:tr w:rsidR="002D5713" w:rsidRPr="003532C8" w:rsidTr="004813E3">
        <w:tc>
          <w:tcPr>
            <w:tcW w:w="4608" w:type="dxa"/>
            <w:vAlign w:val="center"/>
          </w:tcPr>
          <w:p w:rsidR="002D5713" w:rsidRPr="003532C8" w:rsidRDefault="002D5713" w:rsidP="004813E3">
            <w:pPr>
              <w:keepNext/>
              <w:keepLines/>
              <w:jc w:val="center"/>
            </w:pPr>
            <w:r w:rsidRPr="003532C8">
              <w:t>Rate Schedule</w:t>
            </w:r>
          </w:p>
        </w:tc>
        <w:tc>
          <w:tcPr>
            <w:tcW w:w="2340" w:type="dxa"/>
          </w:tcPr>
          <w:p w:rsidR="002D5713" w:rsidRPr="003532C8" w:rsidRDefault="002D5713" w:rsidP="004813E3">
            <w:pPr>
              <w:keepNext/>
              <w:keepLines/>
              <w:jc w:val="center"/>
            </w:pPr>
            <w:proofErr w:type="spellStart"/>
            <w:r w:rsidRPr="003532C8">
              <w:t>Levelized</w:t>
            </w:r>
            <w:proofErr w:type="spellEnd"/>
            <w:r w:rsidRPr="003532C8">
              <w:t xml:space="preserve"> Adjustment </w:t>
            </w:r>
          </w:p>
          <w:p w:rsidR="002D5713" w:rsidRPr="003532C8" w:rsidRDefault="002D5713" w:rsidP="004813E3">
            <w:pPr>
              <w:keepNext/>
              <w:keepLines/>
              <w:jc w:val="center"/>
            </w:pPr>
            <w:r w:rsidRPr="003532C8">
              <w:t>On Peak (cents/kWh)</w:t>
            </w:r>
          </w:p>
        </w:tc>
        <w:tc>
          <w:tcPr>
            <w:tcW w:w="2520" w:type="dxa"/>
          </w:tcPr>
          <w:p w:rsidR="002D5713" w:rsidRPr="003532C8" w:rsidRDefault="002D5713" w:rsidP="004813E3">
            <w:pPr>
              <w:keepNext/>
              <w:keepLines/>
              <w:jc w:val="center"/>
            </w:pPr>
            <w:proofErr w:type="spellStart"/>
            <w:r w:rsidRPr="003532C8">
              <w:t>Levelized</w:t>
            </w:r>
            <w:proofErr w:type="spellEnd"/>
          </w:p>
          <w:p w:rsidR="002D5713" w:rsidRPr="003532C8" w:rsidRDefault="002D5713" w:rsidP="004813E3">
            <w:pPr>
              <w:keepNext/>
              <w:keepLines/>
              <w:jc w:val="center"/>
            </w:pPr>
            <w:r w:rsidRPr="003532C8">
              <w:t xml:space="preserve">Adjustment </w:t>
            </w:r>
          </w:p>
          <w:p w:rsidR="002D5713" w:rsidRPr="003532C8" w:rsidRDefault="002D5713" w:rsidP="004813E3">
            <w:pPr>
              <w:keepNext/>
              <w:keepLines/>
              <w:jc w:val="center"/>
            </w:pPr>
            <w:r w:rsidRPr="003532C8">
              <w:t>Off Peak (cents/kWh)</w:t>
            </w:r>
          </w:p>
        </w:tc>
      </w:tr>
      <w:tr w:rsidR="002D5713" w:rsidRPr="003532C8" w:rsidTr="004813E3">
        <w:tc>
          <w:tcPr>
            <w:tcW w:w="4608" w:type="dxa"/>
          </w:tcPr>
          <w:p w:rsidR="002D5713" w:rsidRPr="003532C8" w:rsidRDefault="002D5713" w:rsidP="004813E3">
            <w:pPr>
              <w:keepNext/>
              <w:keepLines/>
              <w:jc w:val="center"/>
            </w:pPr>
            <w:r w:rsidRPr="003532C8">
              <w:t>RS</w:t>
            </w:r>
          </w:p>
        </w:tc>
        <w:tc>
          <w:tcPr>
            <w:tcW w:w="2340" w:type="dxa"/>
          </w:tcPr>
          <w:p w:rsidR="002D5713" w:rsidRPr="003532C8" w:rsidRDefault="002D5713" w:rsidP="004813E3">
            <w:pPr>
              <w:keepNext/>
              <w:keepLines/>
              <w:jc w:val="center"/>
            </w:pPr>
            <w:r w:rsidRPr="003532C8">
              <w:t>15.859</w:t>
            </w:r>
          </w:p>
        </w:tc>
        <w:tc>
          <w:tcPr>
            <w:tcW w:w="2520" w:type="dxa"/>
          </w:tcPr>
          <w:p w:rsidR="002D5713" w:rsidRPr="003532C8" w:rsidRDefault="002D5713" w:rsidP="004813E3">
            <w:pPr>
              <w:keepNext/>
              <w:keepLines/>
              <w:jc w:val="center"/>
            </w:pPr>
            <w:r w:rsidRPr="003532C8">
              <w:t>3.559</w:t>
            </w:r>
          </w:p>
        </w:tc>
      </w:tr>
      <w:tr w:rsidR="002D5713" w:rsidRPr="003532C8" w:rsidTr="004813E3">
        <w:tc>
          <w:tcPr>
            <w:tcW w:w="4608" w:type="dxa"/>
          </w:tcPr>
          <w:p w:rsidR="002D5713" w:rsidRPr="003532C8" w:rsidRDefault="002D5713" w:rsidP="004813E3">
            <w:pPr>
              <w:keepNext/>
              <w:keepLines/>
              <w:jc w:val="center"/>
            </w:pPr>
            <w:r w:rsidRPr="003532C8">
              <w:t>GS</w:t>
            </w:r>
          </w:p>
        </w:tc>
        <w:tc>
          <w:tcPr>
            <w:tcW w:w="2340" w:type="dxa"/>
          </w:tcPr>
          <w:p w:rsidR="002D5713" w:rsidRPr="003532C8" w:rsidRDefault="002D5713" w:rsidP="004813E3">
            <w:pPr>
              <w:keepNext/>
              <w:keepLines/>
              <w:jc w:val="center"/>
            </w:pPr>
            <w:r w:rsidRPr="003532C8">
              <w:t>11.535</w:t>
            </w:r>
          </w:p>
        </w:tc>
        <w:tc>
          <w:tcPr>
            <w:tcW w:w="2520" w:type="dxa"/>
          </w:tcPr>
          <w:p w:rsidR="002D5713" w:rsidRPr="003532C8" w:rsidRDefault="002D5713" w:rsidP="004813E3">
            <w:pPr>
              <w:keepNext/>
              <w:keepLines/>
              <w:jc w:val="center"/>
            </w:pPr>
            <w:r w:rsidRPr="003532C8">
              <w:t>2.535</w:t>
            </w:r>
          </w:p>
        </w:tc>
      </w:tr>
      <w:tr w:rsidR="002D5713" w:rsidRPr="003532C8" w:rsidTr="004813E3">
        <w:tc>
          <w:tcPr>
            <w:tcW w:w="4608" w:type="dxa"/>
          </w:tcPr>
          <w:p w:rsidR="002D5713" w:rsidRPr="003532C8" w:rsidRDefault="002D5713" w:rsidP="004813E3">
            <w:pPr>
              <w:keepNext/>
              <w:keepLines/>
              <w:jc w:val="center"/>
            </w:pPr>
            <w:r w:rsidRPr="003532C8">
              <w:t>GSD</w:t>
            </w:r>
          </w:p>
        </w:tc>
        <w:tc>
          <w:tcPr>
            <w:tcW w:w="2340" w:type="dxa"/>
          </w:tcPr>
          <w:p w:rsidR="002D5713" w:rsidRPr="003532C8" w:rsidRDefault="002D5713" w:rsidP="004813E3">
            <w:pPr>
              <w:keepNext/>
              <w:keepLines/>
              <w:jc w:val="center"/>
            </w:pPr>
            <w:r w:rsidRPr="003532C8">
              <w:t>11.228</w:t>
            </w:r>
          </w:p>
        </w:tc>
        <w:tc>
          <w:tcPr>
            <w:tcW w:w="2520" w:type="dxa"/>
          </w:tcPr>
          <w:p w:rsidR="002D5713" w:rsidRPr="003532C8" w:rsidRDefault="002D5713" w:rsidP="004813E3">
            <w:pPr>
              <w:keepNext/>
              <w:keepLines/>
              <w:jc w:val="center"/>
            </w:pPr>
            <w:r w:rsidRPr="003532C8">
              <w:t>3.978</w:t>
            </w:r>
          </w:p>
        </w:tc>
      </w:tr>
      <w:tr w:rsidR="002D5713" w:rsidRPr="003532C8" w:rsidTr="004813E3">
        <w:tc>
          <w:tcPr>
            <w:tcW w:w="4608" w:type="dxa"/>
          </w:tcPr>
          <w:p w:rsidR="002D5713" w:rsidRPr="003532C8" w:rsidRDefault="002D5713" w:rsidP="004813E3">
            <w:pPr>
              <w:keepNext/>
              <w:keepLines/>
              <w:jc w:val="center"/>
            </w:pPr>
            <w:r w:rsidRPr="003532C8">
              <w:t>GSLD</w:t>
            </w:r>
          </w:p>
        </w:tc>
        <w:tc>
          <w:tcPr>
            <w:tcW w:w="2340" w:type="dxa"/>
          </w:tcPr>
          <w:p w:rsidR="002D5713" w:rsidRPr="003532C8" w:rsidRDefault="002D5713" w:rsidP="004813E3">
            <w:pPr>
              <w:keepNext/>
              <w:keepLines/>
              <w:jc w:val="center"/>
            </w:pPr>
            <w:r w:rsidRPr="003532C8">
              <w:t>13.009</w:t>
            </w:r>
          </w:p>
        </w:tc>
        <w:tc>
          <w:tcPr>
            <w:tcW w:w="2520" w:type="dxa"/>
          </w:tcPr>
          <w:p w:rsidR="002D5713" w:rsidRPr="003532C8" w:rsidRDefault="002D5713" w:rsidP="004813E3">
            <w:pPr>
              <w:keepNext/>
              <w:keepLines/>
              <w:jc w:val="center"/>
            </w:pPr>
            <w:r w:rsidRPr="003532C8">
              <w:t>4.009</w:t>
            </w:r>
          </w:p>
        </w:tc>
      </w:tr>
      <w:tr w:rsidR="002D5713" w:rsidRPr="00EE2120" w:rsidTr="004813E3">
        <w:tc>
          <w:tcPr>
            <w:tcW w:w="4608" w:type="dxa"/>
          </w:tcPr>
          <w:p w:rsidR="002D5713" w:rsidRPr="003532C8" w:rsidRDefault="002D5713" w:rsidP="004813E3">
            <w:pPr>
              <w:keepNext/>
              <w:keepLines/>
              <w:jc w:val="center"/>
            </w:pPr>
            <w:r w:rsidRPr="003532C8">
              <w:t>Interruptible</w:t>
            </w:r>
          </w:p>
        </w:tc>
        <w:tc>
          <w:tcPr>
            <w:tcW w:w="2340" w:type="dxa"/>
          </w:tcPr>
          <w:p w:rsidR="002D5713" w:rsidRPr="003532C8" w:rsidRDefault="002D5713" w:rsidP="004813E3">
            <w:pPr>
              <w:keepNext/>
              <w:keepLines/>
              <w:jc w:val="center"/>
            </w:pPr>
            <w:r w:rsidRPr="003532C8">
              <w:t>5.509</w:t>
            </w:r>
          </w:p>
        </w:tc>
        <w:tc>
          <w:tcPr>
            <w:tcW w:w="2520" w:type="dxa"/>
          </w:tcPr>
          <w:p w:rsidR="002D5713" w:rsidRPr="003532C8" w:rsidRDefault="002D5713" w:rsidP="004813E3">
            <w:pPr>
              <w:keepNext/>
              <w:keepLines/>
              <w:jc w:val="center"/>
            </w:pPr>
            <w:r w:rsidRPr="003532C8">
              <w:t>7.009</w:t>
            </w:r>
          </w:p>
        </w:tc>
      </w:tr>
    </w:tbl>
    <w:p w:rsidR="002D5713" w:rsidRPr="00A928D7" w:rsidRDefault="002D5713" w:rsidP="002D5713">
      <w:r w:rsidRPr="00EE2120">
        <w:fldChar w:fldCharType="begin"/>
      </w:r>
      <w:r w:rsidRPr="00EE2120">
        <w:instrText>ADVANCE \u3</w:instrText>
      </w:r>
      <w:r w:rsidRPr="00EE2120">
        <w:fldChar w:fldCharType="end"/>
      </w:r>
      <w:r w:rsidRPr="00E210A5">
        <w:rPr>
          <w:sz w:val="22"/>
          <w:szCs w:val="22"/>
        </w:rPr>
        <w:t xml:space="preserve"> </w:t>
      </w:r>
      <w:r>
        <w:rPr>
          <w:sz w:val="22"/>
          <w:szCs w:val="22"/>
        </w:rPr>
        <w:t>Source: Schedule E1, Page 3 of 3 (</w:t>
      </w:r>
      <w:r>
        <w:rPr>
          <w:sz w:val="20"/>
          <w:szCs w:val="20"/>
        </w:rPr>
        <w:t>Revised Exhibit MDN-1</w:t>
      </w:r>
      <w:r>
        <w:rPr>
          <w:sz w:val="22"/>
          <w:szCs w:val="22"/>
        </w:rPr>
        <w:t xml:space="preserve">, Cost Recovery Clause Calculation, Page 3 </w:t>
      </w:r>
      <w:proofErr w:type="gramStart"/>
      <w:r>
        <w:rPr>
          <w:sz w:val="22"/>
          <w:szCs w:val="22"/>
        </w:rPr>
        <w:t>of  8</w:t>
      </w:r>
      <w:proofErr w:type="gramEnd"/>
      <w:r>
        <w:rPr>
          <w:sz w:val="22"/>
          <w:szCs w:val="22"/>
        </w:rPr>
        <w:t>).</w:t>
      </w:r>
    </w:p>
    <w:p w:rsidR="002D5713" w:rsidRDefault="002D5713" w:rsidP="002D5713">
      <w:pPr>
        <w:keepNext/>
        <w:keepLines/>
        <w:autoSpaceDE w:val="0"/>
        <w:autoSpaceDN w:val="0"/>
        <w:adjustRightInd w:val="0"/>
        <w:ind w:left="1440" w:hanging="1440"/>
        <w:jc w:val="both"/>
      </w:pPr>
    </w:p>
    <w:p w:rsidR="002D5713" w:rsidRPr="001C4B18" w:rsidRDefault="002D5713" w:rsidP="002D5713">
      <w:pPr>
        <w:keepNext/>
        <w:keepLines/>
        <w:autoSpaceDE w:val="0"/>
        <w:autoSpaceDN w:val="0"/>
        <w:adjustRightInd w:val="0"/>
        <w:ind w:left="1440" w:hanging="1440"/>
        <w:jc w:val="both"/>
      </w:pPr>
      <w:r w:rsidRPr="00F740AF">
        <w:rPr>
          <w:b/>
        </w:rPr>
        <w:t xml:space="preserve">Gulf: </w:t>
      </w:r>
      <w:r w:rsidRPr="001C4B18">
        <w:t xml:space="preserve"> </w:t>
      </w:r>
      <w:r>
        <w:tab/>
      </w:r>
      <w:r w:rsidRPr="001C4B18">
        <w:t>The appropriate fuel cost recovery factors for each rate class/delivery voltage level class adjusted for line lo</w:t>
      </w:r>
      <w:r>
        <w:t>sses for the period January 2020 through December 2020</w:t>
      </w:r>
      <w:r w:rsidRPr="001C4B18">
        <w:t>, are shown in Table</w:t>
      </w:r>
      <w:r>
        <w:t>s</w:t>
      </w:r>
      <w:r w:rsidRPr="001C4B18">
        <w:t xml:space="preserve"> 22</w:t>
      </w:r>
      <w:r>
        <w:t>-11</w:t>
      </w:r>
      <w:r w:rsidRPr="001C4B18">
        <w:t xml:space="preserve"> </w:t>
      </w:r>
      <w:r>
        <w:t xml:space="preserve">and 22-12 </w:t>
      </w:r>
      <w:r w:rsidRPr="001C4B18">
        <w:t>below:</w:t>
      </w:r>
    </w:p>
    <w:p w:rsidR="002D5713" w:rsidRDefault="002D5713">
      <w:pPr>
        <w:rPr>
          <w:rFonts w:ascii="Arial" w:hAnsi="Arial" w:cs="Arial"/>
          <w:b/>
        </w:rPr>
      </w:pPr>
      <w:r>
        <w:rPr>
          <w:rFonts w:ascii="Arial" w:hAnsi="Arial" w:cs="Arial"/>
          <w:b/>
        </w:rPr>
        <w:br w:type="page"/>
      </w:r>
    </w:p>
    <w:p w:rsidR="002D5713" w:rsidRDefault="002D5713" w:rsidP="002D5713">
      <w:pPr>
        <w:jc w:val="center"/>
        <w:rPr>
          <w:rFonts w:ascii="Arial" w:hAnsi="Arial" w:cs="Arial"/>
          <w:b/>
        </w:rPr>
      </w:pPr>
    </w:p>
    <w:p w:rsidR="002D5713" w:rsidRPr="00952579" w:rsidRDefault="002D5713" w:rsidP="002D5713">
      <w:pPr>
        <w:jc w:val="center"/>
        <w:rPr>
          <w:rFonts w:ascii="Arial" w:hAnsi="Arial" w:cs="Arial"/>
          <w:b/>
        </w:rPr>
      </w:pPr>
      <w:r w:rsidRPr="00952579">
        <w:rPr>
          <w:rFonts w:ascii="Arial" w:hAnsi="Arial" w:cs="Arial"/>
          <w:b/>
        </w:rPr>
        <w:t xml:space="preserve">Table </w:t>
      </w:r>
      <w:r>
        <w:rPr>
          <w:rFonts w:ascii="Arial" w:hAnsi="Arial" w:cs="Arial"/>
          <w:b/>
        </w:rPr>
        <w:t>22-11</w:t>
      </w:r>
    </w:p>
    <w:p w:rsidR="002D5713" w:rsidRDefault="002D5713" w:rsidP="002D5713">
      <w:pPr>
        <w:keepNext/>
        <w:keepLines/>
        <w:ind w:left="720" w:hanging="720"/>
        <w:jc w:val="center"/>
        <w:rPr>
          <w:rFonts w:ascii="Arial" w:hAnsi="Arial" w:cs="Arial"/>
          <w:b/>
        </w:rPr>
      </w:pPr>
      <w:r>
        <w:rPr>
          <w:rFonts w:ascii="Arial" w:hAnsi="Arial" w:cs="Arial"/>
          <w:b/>
        </w:rPr>
        <w:t xml:space="preserve">Gulf Standard </w:t>
      </w:r>
      <w:r w:rsidRPr="00952579">
        <w:rPr>
          <w:rFonts w:ascii="Arial" w:hAnsi="Arial" w:cs="Arial"/>
          <w:b/>
        </w:rPr>
        <w:t>Fu</w:t>
      </w:r>
      <w:r>
        <w:rPr>
          <w:rFonts w:ascii="Arial" w:hAnsi="Arial" w:cs="Arial"/>
          <w:b/>
        </w:rPr>
        <w:t>el Cost Recovery Factors</w:t>
      </w:r>
    </w:p>
    <w:p w:rsidR="002D5713" w:rsidRPr="00E210A5" w:rsidRDefault="002D5713" w:rsidP="002D5713">
      <w:pPr>
        <w:keepNext/>
        <w:keepLines/>
        <w:ind w:left="720" w:hanging="720"/>
        <w:jc w:val="center"/>
      </w:pPr>
      <w:proofErr w:type="gramStart"/>
      <w:r>
        <w:rPr>
          <w:rFonts w:ascii="Arial" w:hAnsi="Arial" w:cs="Arial"/>
          <w:b/>
        </w:rPr>
        <w:t>for</w:t>
      </w:r>
      <w:proofErr w:type="gramEnd"/>
      <w:r>
        <w:rPr>
          <w:rFonts w:ascii="Arial" w:hAnsi="Arial" w:cs="Arial"/>
          <w:b/>
        </w:rPr>
        <w:t xml:space="preserve"> the period January-December, 2020</w:t>
      </w:r>
    </w:p>
    <w:tbl>
      <w:tblPr>
        <w:tblW w:w="94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5" w:type="dxa"/>
          <w:right w:w="165" w:type="dxa"/>
        </w:tblCellMar>
        <w:tblLook w:val="0000" w:firstRow="0" w:lastRow="0" w:firstColumn="0" w:lastColumn="0" w:noHBand="0" w:noVBand="0"/>
      </w:tblPr>
      <w:tblGrid>
        <w:gridCol w:w="990"/>
        <w:gridCol w:w="4590"/>
        <w:gridCol w:w="3870"/>
      </w:tblGrid>
      <w:tr w:rsidR="002D5713" w:rsidRPr="001C4B18" w:rsidTr="004813E3">
        <w:trPr>
          <w:cantSplit/>
          <w:trHeight w:val="1076"/>
        </w:trPr>
        <w:tc>
          <w:tcPr>
            <w:tcW w:w="990" w:type="dxa"/>
            <w:vAlign w:val="center"/>
          </w:tcPr>
          <w:p w:rsidR="002D5713" w:rsidRPr="001C4B18" w:rsidRDefault="002D5713" w:rsidP="004813E3">
            <w:pPr>
              <w:keepNext/>
              <w:keepLines/>
              <w:jc w:val="center"/>
              <w:rPr>
                <w:bCs/>
              </w:rPr>
            </w:pPr>
            <w:r w:rsidRPr="001C4B18">
              <w:rPr>
                <w:bCs/>
              </w:rPr>
              <w:t>Group</w:t>
            </w:r>
          </w:p>
        </w:tc>
        <w:tc>
          <w:tcPr>
            <w:tcW w:w="4590" w:type="dxa"/>
            <w:vAlign w:val="center"/>
          </w:tcPr>
          <w:p w:rsidR="002D5713" w:rsidRPr="001C4B18" w:rsidRDefault="002D5713" w:rsidP="004813E3">
            <w:pPr>
              <w:keepNext/>
              <w:keepLines/>
              <w:jc w:val="center"/>
            </w:pPr>
            <w:r w:rsidRPr="001C4B18">
              <w:rPr>
                <w:bCs/>
              </w:rPr>
              <w:t>Rate Schedules</w:t>
            </w:r>
          </w:p>
        </w:tc>
        <w:tc>
          <w:tcPr>
            <w:tcW w:w="3870" w:type="dxa"/>
            <w:vAlign w:val="center"/>
          </w:tcPr>
          <w:p w:rsidR="002D5713" w:rsidRPr="001C4B18" w:rsidRDefault="002D5713" w:rsidP="004813E3">
            <w:pPr>
              <w:keepNext/>
              <w:keepLines/>
              <w:spacing w:after="90"/>
              <w:jc w:val="center"/>
              <w:rPr>
                <w:bCs/>
              </w:rPr>
            </w:pPr>
            <w:r w:rsidRPr="001C4B18">
              <w:rPr>
                <w:bCs/>
              </w:rPr>
              <w:t xml:space="preserve">Fuel Cost </w:t>
            </w:r>
            <w:r>
              <w:rPr>
                <w:bCs/>
              </w:rPr>
              <w:t xml:space="preserve">Recovery </w:t>
            </w:r>
            <w:r w:rsidRPr="001C4B18">
              <w:rPr>
                <w:bCs/>
              </w:rPr>
              <w:t>Factors ¢/KWH</w:t>
            </w:r>
          </w:p>
        </w:tc>
      </w:tr>
      <w:tr w:rsidR="002D5713" w:rsidRPr="003532C8" w:rsidTr="004813E3">
        <w:trPr>
          <w:cantSplit/>
          <w:trHeight w:val="35"/>
        </w:trPr>
        <w:tc>
          <w:tcPr>
            <w:tcW w:w="990" w:type="dxa"/>
            <w:vAlign w:val="center"/>
          </w:tcPr>
          <w:p w:rsidR="002D5713" w:rsidRPr="001C4B18" w:rsidRDefault="002D5713" w:rsidP="004813E3">
            <w:pPr>
              <w:keepNext/>
              <w:keepLines/>
              <w:spacing w:line="182" w:lineRule="exact"/>
              <w:jc w:val="center"/>
              <w:rPr>
                <w:b/>
                <w:bCs/>
                <w:sz w:val="12"/>
                <w:szCs w:val="12"/>
              </w:rPr>
            </w:pPr>
          </w:p>
          <w:p w:rsidR="002D5713" w:rsidRPr="003532C8" w:rsidRDefault="002D5713" w:rsidP="004813E3">
            <w:pPr>
              <w:keepNext/>
              <w:keepLines/>
              <w:jc w:val="center"/>
            </w:pPr>
            <w:r w:rsidRPr="003532C8">
              <w:t>A</w:t>
            </w:r>
          </w:p>
        </w:tc>
        <w:tc>
          <w:tcPr>
            <w:tcW w:w="4590" w:type="dxa"/>
            <w:vAlign w:val="center"/>
          </w:tcPr>
          <w:p w:rsidR="002D5713" w:rsidRPr="003532C8" w:rsidRDefault="002D5713" w:rsidP="004813E3">
            <w:pPr>
              <w:keepNext/>
              <w:keepLines/>
              <w:jc w:val="center"/>
              <w:rPr>
                <w:sz w:val="8"/>
                <w:szCs w:val="8"/>
              </w:rPr>
            </w:pPr>
          </w:p>
          <w:p w:rsidR="002D5713" w:rsidRPr="003532C8" w:rsidRDefault="002D5713" w:rsidP="004813E3">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532C8">
              <w:t>RS, RSVP, RSTOU,</w:t>
            </w:r>
          </w:p>
          <w:p w:rsidR="002D5713" w:rsidRPr="003532C8" w:rsidRDefault="002D5713" w:rsidP="004813E3">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532C8">
              <w:t>GS, GSD, GSDT, GSTOU, OSIII</w:t>
            </w:r>
          </w:p>
        </w:tc>
        <w:tc>
          <w:tcPr>
            <w:tcW w:w="3870" w:type="dxa"/>
            <w:vAlign w:val="center"/>
          </w:tcPr>
          <w:p w:rsidR="002D5713" w:rsidRPr="003532C8" w:rsidRDefault="002D5713" w:rsidP="004813E3">
            <w:pPr>
              <w:keepNext/>
              <w:keepLines/>
              <w:spacing w:line="182" w:lineRule="exact"/>
              <w:jc w:val="center"/>
            </w:pPr>
          </w:p>
          <w:p w:rsidR="002D5713" w:rsidRPr="003532C8" w:rsidRDefault="002D5713" w:rsidP="004813E3">
            <w:pPr>
              <w:keepNext/>
              <w:keepLines/>
              <w:jc w:val="center"/>
            </w:pPr>
            <w:r w:rsidRPr="003532C8">
              <w:t>3.262</w:t>
            </w:r>
          </w:p>
        </w:tc>
      </w:tr>
      <w:tr w:rsidR="002D5713" w:rsidRPr="003532C8" w:rsidTr="004813E3">
        <w:trPr>
          <w:cantSplit/>
          <w:trHeight w:val="461"/>
        </w:trPr>
        <w:tc>
          <w:tcPr>
            <w:tcW w:w="990" w:type="dxa"/>
            <w:vAlign w:val="center"/>
          </w:tcPr>
          <w:p w:rsidR="002D5713" w:rsidRPr="003532C8" w:rsidRDefault="002D5713" w:rsidP="004813E3">
            <w:pPr>
              <w:keepNext/>
              <w:keepLines/>
              <w:jc w:val="center"/>
            </w:pPr>
            <w:r w:rsidRPr="003532C8">
              <w:t>B</w:t>
            </w:r>
          </w:p>
        </w:tc>
        <w:tc>
          <w:tcPr>
            <w:tcW w:w="4590" w:type="dxa"/>
            <w:vAlign w:val="center"/>
          </w:tcPr>
          <w:p w:rsidR="002D5713" w:rsidRPr="003532C8" w:rsidRDefault="002D5713" w:rsidP="004813E3">
            <w:pPr>
              <w:keepNext/>
              <w:keepLines/>
              <w:jc w:val="center"/>
            </w:pPr>
            <w:r w:rsidRPr="003532C8">
              <w:t>LP</w:t>
            </w:r>
          </w:p>
        </w:tc>
        <w:tc>
          <w:tcPr>
            <w:tcW w:w="3870" w:type="dxa"/>
            <w:vAlign w:val="center"/>
          </w:tcPr>
          <w:p w:rsidR="002D5713" w:rsidRPr="003532C8" w:rsidRDefault="002D5713" w:rsidP="004813E3">
            <w:pPr>
              <w:keepNext/>
              <w:keepLines/>
              <w:jc w:val="center"/>
            </w:pPr>
            <w:r w:rsidRPr="003532C8">
              <w:t>3.218</w:t>
            </w:r>
          </w:p>
        </w:tc>
      </w:tr>
      <w:tr w:rsidR="002D5713" w:rsidRPr="003532C8" w:rsidTr="004813E3">
        <w:trPr>
          <w:cantSplit/>
        </w:trPr>
        <w:tc>
          <w:tcPr>
            <w:tcW w:w="990" w:type="dxa"/>
            <w:vAlign w:val="center"/>
          </w:tcPr>
          <w:p w:rsidR="002D5713" w:rsidRPr="003532C8" w:rsidRDefault="002D5713" w:rsidP="004813E3">
            <w:pPr>
              <w:keepNext/>
              <w:keepLines/>
              <w:jc w:val="center"/>
            </w:pPr>
            <w:r w:rsidRPr="003532C8">
              <w:t>C</w:t>
            </w:r>
          </w:p>
        </w:tc>
        <w:tc>
          <w:tcPr>
            <w:tcW w:w="4590" w:type="dxa"/>
            <w:vAlign w:val="center"/>
          </w:tcPr>
          <w:p w:rsidR="002D5713" w:rsidRPr="003532C8" w:rsidRDefault="002D5713" w:rsidP="004813E3">
            <w:pPr>
              <w:keepNext/>
              <w:keepLines/>
              <w:jc w:val="center"/>
            </w:pPr>
            <w:r w:rsidRPr="003532C8">
              <w:t>PX, RTP</w:t>
            </w:r>
          </w:p>
        </w:tc>
        <w:tc>
          <w:tcPr>
            <w:tcW w:w="3870" w:type="dxa"/>
            <w:vAlign w:val="center"/>
          </w:tcPr>
          <w:p w:rsidR="002D5713" w:rsidRPr="003532C8" w:rsidRDefault="002D5713" w:rsidP="004813E3">
            <w:pPr>
              <w:keepNext/>
              <w:keepLines/>
              <w:jc w:val="center"/>
            </w:pPr>
            <w:r w:rsidRPr="003532C8">
              <w:t>3.168</w:t>
            </w:r>
          </w:p>
        </w:tc>
      </w:tr>
      <w:tr w:rsidR="002D5713" w:rsidRPr="003532C8" w:rsidTr="004813E3">
        <w:trPr>
          <w:cantSplit/>
          <w:trHeight w:val="461"/>
        </w:trPr>
        <w:tc>
          <w:tcPr>
            <w:tcW w:w="990" w:type="dxa"/>
            <w:vAlign w:val="center"/>
          </w:tcPr>
          <w:p w:rsidR="002D5713" w:rsidRPr="003532C8" w:rsidRDefault="002D5713" w:rsidP="004813E3">
            <w:pPr>
              <w:keepNext/>
              <w:keepLines/>
              <w:jc w:val="center"/>
            </w:pPr>
            <w:r w:rsidRPr="003532C8">
              <w:t>D</w:t>
            </w:r>
          </w:p>
        </w:tc>
        <w:tc>
          <w:tcPr>
            <w:tcW w:w="4590" w:type="dxa"/>
            <w:vAlign w:val="center"/>
          </w:tcPr>
          <w:p w:rsidR="002D5713" w:rsidRPr="003532C8" w:rsidRDefault="002D5713" w:rsidP="004813E3">
            <w:pPr>
              <w:keepNext/>
              <w:keepLines/>
              <w:spacing w:after="58"/>
              <w:jc w:val="center"/>
            </w:pPr>
            <w:r w:rsidRPr="003532C8">
              <w:t>OSI/II</w:t>
            </w:r>
          </w:p>
        </w:tc>
        <w:tc>
          <w:tcPr>
            <w:tcW w:w="3870" w:type="dxa"/>
            <w:vAlign w:val="center"/>
          </w:tcPr>
          <w:p w:rsidR="002D5713" w:rsidRPr="003532C8" w:rsidRDefault="002D5713" w:rsidP="004813E3">
            <w:pPr>
              <w:keepNext/>
              <w:keepLines/>
              <w:spacing w:after="58"/>
              <w:jc w:val="center"/>
            </w:pPr>
            <w:r w:rsidRPr="003532C8">
              <w:t>3.236</w:t>
            </w:r>
          </w:p>
        </w:tc>
      </w:tr>
    </w:tbl>
    <w:p w:rsidR="002D5713" w:rsidRDefault="002D5713" w:rsidP="002D5713">
      <w:pPr>
        <w:rPr>
          <w:rFonts w:cstheme="minorHAnsi"/>
          <w:b/>
          <w:bCs/>
          <w:caps/>
          <w:u w:val="single"/>
        </w:rPr>
      </w:pPr>
      <w:r w:rsidRPr="003532C8">
        <w:t xml:space="preserve">  </w:t>
      </w:r>
      <w:r w:rsidRPr="003532C8">
        <w:rPr>
          <w:sz w:val="22"/>
          <w:szCs w:val="22"/>
        </w:rPr>
        <w:t xml:space="preserve">Source: Schedule E1-E (Exhibit CSB-5, 2020 Projection Filing, </w:t>
      </w:r>
      <w:r>
        <w:rPr>
          <w:sz w:val="22"/>
          <w:szCs w:val="22"/>
        </w:rPr>
        <w:t>Page 7</w:t>
      </w:r>
      <w:r w:rsidRPr="003532C8">
        <w:rPr>
          <w:sz w:val="22"/>
          <w:szCs w:val="22"/>
        </w:rPr>
        <w:t xml:space="preserve"> of 41).</w:t>
      </w:r>
    </w:p>
    <w:p w:rsidR="002D5713" w:rsidRDefault="002D5713" w:rsidP="002D5713">
      <w:pPr>
        <w:rPr>
          <w:rFonts w:cstheme="minorHAnsi"/>
          <w:b/>
          <w:bCs/>
          <w:caps/>
          <w:u w:val="single"/>
        </w:rPr>
      </w:pPr>
    </w:p>
    <w:p w:rsidR="002D5713" w:rsidRPr="003532C8" w:rsidRDefault="002D5713" w:rsidP="002D5713">
      <w:pPr>
        <w:jc w:val="center"/>
        <w:rPr>
          <w:sz w:val="16"/>
          <w:szCs w:val="16"/>
        </w:rPr>
      </w:pPr>
      <w:r w:rsidRPr="003532C8">
        <w:rPr>
          <w:rFonts w:ascii="Arial" w:hAnsi="Arial" w:cs="Arial"/>
          <w:b/>
        </w:rPr>
        <w:t>Table 22-12</w:t>
      </w:r>
    </w:p>
    <w:p w:rsidR="002D5713" w:rsidRPr="003532C8" w:rsidRDefault="002D5713" w:rsidP="002D5713">
      <w:pPr>
        <w:keepNext/>
        <w:keepLines/>
        <w:ind w:left="720" w:hanging="720"/>
        <w:jc w:val="center"/>
        <w:rPr>
          <w:rFonts w:ascii="Arial" w:hAnsi="Arial" w:cs="Arial"/>
          <w:b/>
        </w:rPr>
      </w:pPr>
      <w:r>
        <w:rPr>
          <w:rFonts w:ascii="Arial" w:hAnsi="Arial" w:cs="Arial"/>
          <w:b/>
        </w:rPr>
        <w:t>Gulf</w:t>
      </w:r>
      <w:r w:rsidRPr="003532C8">
        <w:rPr>
          <w:rFonts w:ascii="Arial" w:hAnsi="Arial" w:cs="Arial"/>
          <w:b/>
        </w:rPr>
        <w:t xml:space="preserve"> Time-of-Use Fuel Cost Recovery Factors</w:t>
      </w:r>
    </w:p>
    <w:p w:rsidR="002D5713" w:rsidRPr="003532C8" w:rsidRDefault="002D5713" w:rsidP="002D5713">
      <w:pPr>
        <w:keepNext/>
        <w:keepLines/>
        <w:ind w:left="720" w:hanging="720"/>
        <w:jc w:val="center"/>
      </w:pPr>
      <w:proofErr w:type="gramStart"/>
      <w:r w:rsidRPr="003532C8">
        <w:rPr>
          <w:rFonts w:ascii="Arial" w:hAnsi="Arial" w:cs="Arial"/>
          <w:b/>
        </w:rPr>
        <w:t>for</w:t>
      </w:r>
      <w:proofErr w:type="gramEnd"/>
      <w:r w:rsidRPr="003532C8">
        <w:rPr>
          <w:rFonts w:ascii="Arial" w:hAnsi="Arial" w:cs="Arial"/>
          <w:b/>
        </w:rPr>
        <w:t xml:space="preserve"> the period January-December, 2020</w:t>
      </w:r>
    </w:p>
    <w:tbl>
      <w:tblPr>
        <w:tblW w:w="9450" w:type="dxa"/>
        <w:tblInd w:w="75" w:type="dxa"/>
        <w:tblLayout w:type="fixed"/>
        <w:tblCellMar>
          <w:left w:w="165" w:type="dxa"/>
          <w:right w:w="165" w:type="dxa"/>
        </w:tblCellMar>
        <w:tblLook w:val="0000" w:firstRow="0" w:lastRow="0" w:firstColumn="0" w:lastColumn="0" w:noHBand="0" w:noVBand="0"/>
      </w:tblPr>
      <w:tblGrid>
        <w:gridCol w:w="990"/>
        <w:gridCol w:w="3330"/>
        <w:gridCol w:w="2070"/>
        <w:gridCol w:w="1350"/>
        <w:gridCol w:w="1710"/>
      </w:tblGrid>
      <w:tr w:rsidR="002D5713" w:rsidRPr="003532C8" w:rsidTr="004813E3">
        <w:trPr>
          <w:cantSplit/>
          <w:trHeight w:val="288"/>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rPr>
                <w:bCs/>
              </w:rPr>
            </w:pPr>
            <w:r w:rsidRPr="003532C8">
              <w:rPr>
                <w:bCs/>
              </w:rPr>
              <w:t>Group</w:t>
            </w:r>
          </w:p>
        </w:tc>
        <w:tc>
          <w:tcPr>
            <w:tcW w:w="3330" w:type="dxa"/>
            <w:vMerge w:val="restart"/>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rPr>
                <w:bCs/>
              </w:rPr>
              <w:t>Time-of-Use Rate Schedules</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rPr>
                <w:bCs/>
              </w:rPr>
            </w:pPr>
            <w:r w:rsidRPr="003532C8">
              <w:rPr>
                <w:bCs/>
              </w:rPr>
              <w:t>Fuel Recovery Loss Multipliers</w:t>
            </w:r>
          </w:p>
        </w:tc>
        <w:tc>
          <w:tcPr>
            <w:tcW w:w="3060" w:type="dxa"/>
            <w:gridSpan w:val="2"/>
            <w:tcBorders>
              <w:top w:val="single" w:sz="4" w:space="0" w:color="auto"/>
              <w:left w:val="single" w:sz="4" w:space="0" w:color="auto"/>
              <w:bottom w:val="single" w:sz="4" w:space="0" w:color="auto"/>
              <w:right w:val="single" w:sz="4" w:space="0" w:color="auto"/>
            </w:tcBorders>
          </w:tcPr>
          <w:p w:rsidR="002D5713" w:rsidRPr="003532C8" w:rsidRDefault="002D5713" w:rsidP="004813E3">
            <w:pPr>
              <w:keepNext/>
              <w:keepLines/>
              <w:jc w:val="center"/>
              <w:rPr>
                <w:bCs/>
              </w:rPr>
            </w:pPr>
            <w:r w:rsidRPr="003532C8">
              <w:rPr>
                <w:bCs/>
              </w:rPr>
              <w:t>Fuel Cost Recovery</w:t>
            </w:r>
          </w:p>
          <w:p w:rsidR="002D5713" w:rsidRPr="003532C8" w:rsidRDefault="002D5713" w:rsidP="004813E3">
            <w:pPr>
              <w:keepNext/>
              <w:keepLines/>
              <w:jc w:val="center"/>
              <w:rPr>
                <w:bCs/>
              </w:rPr>
            </w:pPr>
            <w:r w:rsidRPr="003532C8">
              <w:rPr>
                <w:bCs/>
              </w:rPr>
              <w:t xml:space="preserve">Factors ¢/KWH </w:t>
            </w:r>
          </w:p>
        </w:tc>
      </w:tr>
      <w:tr w:rsidR="002D5713" w:rsidRPr="003532C8" w:rsidTr="004813E3">
        <w:trPr>
          <w:cantSplit/>
          <w:trHeight w:val="659"/>
        </w:trPr>
        <w:tc>
          <w:tcPr>
            <w:tcW w:w="990" w:type="dxa"/>
            <w:vMerge/>
            <w:tcBorders>
              <w:top w:val="single" w:sz="4" w:space="0" w:color="auto"/>
              <w:left w:val="single" w:sz="4" w:space="0" w:color="auto"/>
              <w:bottom w:val="single" w:sz="4" w:space="0" w:color="auto"/>
              <w:right w:val="single" w:sz="4" w:space="0" w:color="auto"/>
            </w:tcBorders>
          </w:tcPr>
          <w:p w:rsidR="002D5713" w:rsidRPr="003532C8" w:rsidRDefault="002D5713" w:rsidP="004813E3">
            <w:pPr>
              <w:keepNext/>
              <w:keepLines/>
            </w:pPr>
          </w:p>
        </w:tc>
        <w:tc>
          <w:tcPr>
            <w:tcW w:w="3330" w:type="dxa"/>
            <w:vMerge/>
            <w:tcBorders>
              <w:top w:val="single" w:sz="4" w:space="0" w:color="auto"/>
              <w:left w:val="single" w:sz="4" w:space="0" w:color="auto"/>
              <w:bottom w:val="single" w:sz="4" w:space="0" w:color="auto"/>
              <w:right w:val="single" w:sz="4" w:space="0" w:color="auto"/>
            </w:tcBorders>
          </w:tcPr>
          <w:p w:rsidR="002D5713" w:rsidRPr="003532C8" w:rsidRDefault="002D5713" w:rsidP="004813E3">
            <w:pPr>
              <w:keepNext/>
              <w:keepLines/>
            </w:pPr>
          </w:p>
        </w:tc>
        <w:tc>
          <w:tcPr>
            <w:tcW w:w="2070" w:type="dxa"/>
            <w:vMerge/>
            <w:tcBorders>
              <w:top w:val="single" w:sz="4" w:space="0" w:color="auto"/>
              <w:left w:val="single" w:sz="4" w:space="0" w:color="auto"/>
              <w:bottom w:val="single" w:sz="4" w:space="0" w:color="auto"/>
              <w:right w:val="single" w:sz="4" w:space="0" w:color="auto"/>
            </w:tcBorders>
          </w:tcPr>
          <w:p w:rsidR="002D5713" w:rsidRPr="003532C8" w:rsidRDefault="002D5713" w:rsidP="004813E3">
            <w:pPr>
              <w:keepNext/>
              <w:keepLines/>
            </w:pPr>
          </w:p>
        </w:tc>
        <w:tc>
          <w:tcPr>
            <w:tcW w:w="135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spacing w:after="90"/>
              <w:jc w:val="center"/>
              <w:rPr>
                <w:bCs/>
              </w:rPr>
            </w:pPr>
            <w:r w:rsidRPr="003532C8">
              <w:rPr>
                <w:bCs/>
              </w:rPr>
              <w:t>On-Peak</w:t>
            </w:r>
          </w:p>
        </w:tc>
        <w:tc>
          <w:tcPr>
            <w:tcW w:w="171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spacing w:after="90"/>
              <w:jc w:val="center"/>
              <w:rPr>
                <w:bCs/>
              </w:rPr>
            </w:pPr>
            <w:r w:rsidRPr="003532C8">
              <w:rPr>
                <w:bCs/>
              </w:rPr>
              <w:t>Off-Peak</w:t>
            </w:r>
          </w:p>
        </w:tc>
      </w:tr>
      <w:tr w:rsidR="002D5713" w:rsidRPr="003532C8" w:rsidTr="004813E3">
        <w:trPr>
          <w:cantSplit/>
          <w:trHeight w:val="432"/>
        </w:trPr>
        <w:tc>
          <w:tcPr>
            <w:tcW w:w="99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spacing w:line="182" w:lineRule="exact"/>
              <w:jc w:val="center"/>
              <w:rPr>
                <w:b/>
                <w:bCs/>
                <w:sz w:val="12"/>
                <w:szCs w:val="12"/>
              </w:rPr>
            </w:pPr>
          </w:p>
          <w:p w:rsidR="002D5713" w:rsidRPr="003532C8" w:rsidRDefault="002D5713" w:rsidP="004813E3">
            <w:pPr>
              <w:keepNext/>
              <w:keepLines/>
              <w:jc w:val="center"/>
            </w:pPr>
            <w:r w:rsidRPr="003532C8">
              <w:t>A</w:t>
            </w:r>
          </w:p>
        </w:tc>
        <w:tc>
          <w:tcPr>
            <w:tcW w:w="333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rPr>
                <w:sz w:val="8"/>
                <w:szCs w:val="8"/>
              </w:rPr>
            </w:pPr>
          </w:p>
          <w:p w:rsidR="002D5713" w:rsidRPr="003532C8" w:rsidRDefault="002D5713" w:rsidP="004813E3">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532C8">
              <w:t>GSDT, SBS(1)</w:t>
            </w:r>
          </w:p>
        </w:tc>
        <w:tc>
          <w:tcPr>
            <w:tcW w:w="207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spacing w:line="182" w:lineRule="exact"/>
              <w:jc w:val="center"/>
            </w:pPr>
          </w:p>
          <w:p w:rsidR="002D5713" w:rsidRPr="003532C8" w:rsidRDefault="002D5713" w:rsidP="004813E3">
            <w:pPr>
              <w:keepNext/>
              <w:keepLines/>
              <w:jc w:val="center"/>
            </w:pPr>
            <w:r w:rsidRPr="003532C8">
              <w:t>1.00555</w:t>
            </w:r>
          </w:p>
        </w:tc>
        <w:tc>
          <w:tcPr>
            <w:tcW w:w="135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3.762</w:t>
            </w:r>
          </w:p>
        </w:tc>
        <w:tc>
          <w:tcPr>
            <w:tcW w:w="171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3.059</w:t>
            </w:r>
          </w:p>
        </w:tc>
      </w:tr>
      <w:tr w:rsidR="002D5713" w:rsidRPr="003532C8" w:rsidTr="004813E3">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B</w:t>
            </w:r>
          </w:p>
        </w:tc>
        <w:tc>
          <w:tcPr>
            <w:tcW w:w="333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LPT, SBS(2)</w:t>
            </w:r>
          </w:p>
        </w:tc>
        <w:tc>
          <w:tcPr>
            <w:tcW w:w="207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0.99188</w:t>
            </w:r>
          </w:p>
        </w:tc>
        <w:tc>
          <w:tcPr>
            <w:tcW w:w="135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3.711</w:t>
            </w:r>
          </w:p>
        </w:tc>
        <w:tc>
          <w:tcPr>
            <w:tcW w:w="171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3.017</w:t>
            </w:r>
          </w:p>
        </w:tc>
      </w:tr>
      <w:tr w:rsidR="002D5713" w:rsidRPr="003532C8" w:rsidTr="004813E3">
        <w:trPr>
          <w:cantSplit/>
        </w:trPr>
        <w:tc>
          <w:tcPr>
            <w:tcW w:w="99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C</w:t>
            </w:r>
          </w:p>
        </w:tc>
        <w:tc>
          <w:tcPr>
            <w:tcW w:w="333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PXT, SBS(3)</w:t>
            </w:r>
          </w:p>
        </w:tc>
        <w:tc>
          <w:tcPr>
            <w:tcW w:w="207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0.97668</w:t>
            </w:r>
          </w:p>
        </w:tc>
        <w:tc>
          <w:tcPr>
            <w:tcW w:w="135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3.654</w:t>
            </w:r>
          </w:p>
        </w:tc>
        <w:tc>
          <w:tcPr>
            <w:tcW w:w="1710" w:type="dxa"/>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keepNext/>
              <w:keepLines/>
              <w:jc w:val="center"/>
            </w:pPr>
            <w:r w:rsidRPr="003532C8">
              <w:t>2.971</w:t>
            </w:r>
          </w:p>
        </w:tc>
      </w:tr>
      <w:tr w:rsidR="002D5713" w:rsidRPr="001C4B18" w:rsidTr="004813E3">
        <w:trPr>
          <w:cantSplit/>
          <w:trHeight w:val="461"/>
        </w:trPr>
        <w:tc>
          <w:tcPr>
            <w:tcW w:w="9450" w:type="dxa"/>
            <w:gridSpan w:val="5"/>
            <w:tcBorders>
              <w:top w:val="single" w:sz="4" w:space="0" w:color="auto"/>
              <w:left w:val="single" w:sz="4" w:space="0" w:color="auto"/>
              <w:bottom w:val="single" w:sz="4" w:space="0" w:color="auto"/>
              <w:right w:val="single" w:sz="4" w:space="0" w:color="auto"/>
            </w:tcBorders>
            <w:vAlign w:val="center"/>
          </w:tcPr>
          <w:p w:rsidR="002D5713" w:rsidRPr="003532C8" w:rsidRDefault="002D5713" w:rsidP="004813E3">
            <w:pPr>
              <w:pStyle w:val="ListParagraph"/>
              <w:keepNext/>
              <w:keepLines/>
              <w:numPr>
                <w:ilvl w:val="0"/>
                <w:numId w:val="21"/>
              </w:numPr>
              <w:spacing w:after="58"/>
            </w:pPr>
            <w:r w:rsidRPr="003532C8">
              <w:t>Includes SBS customers with a contract demand in the range of 100 to 499 kW</w:t>
            </w:r>
          </w:p>
          <w:p w:rsidR="002D5713" w:rsidRPr="003532C8" w:rsidRDefault="002D5713" w:rsidP="004813E3">
            <w:pPr>
              <w:pStyle w:val="ListParagraph"/>
              <w:keepNext/>
              <w:keepLines/>
              <w:numPr>
                <w:ilvl w:val="0"/>
                <w:numId w:val="21"/>
              </w:numPr>
              <w:spacing w:after="58"/>
            </w:pPr>
            <w:r w:rsidRPr="003532C8">
              <w:t>Includes SBS customers with a contract demand in the range of 500 to 7,499 kW</w:t>
            </w:r>
          </w:p>
          <w:p w:rsidR="002D5713" w:rsidRPr="003532C8" w:rsidRDefault="002D5713" w:rsidP="004813E3">
            <w:pPr>
              <w:pStyle w:val="ListParagraph"/>
              <w:keepNext/>
              <w:keepLines/>
              <w:numPr>
                <w:ilvl w:val="0"/>
                <w:numId w:val="21"/>
              </w:numPr>
              <w:spacing w:after="58"/>
            </w:pPr>
            <w:r w:rsidRPr="003532C8">
              <w:t>Includes SBS customers with a contract demand over 7,499 kW</w:t>
            </w:r>
          </w:p>
        </w:tc>
      </w:tr>
    </w:tbl>
    <w:p w:rsidR="002D5713" w:rsidRPr="00D57783" w:rsidRDefault="002D5713" w:rsidP="002D5713">
      <w:r>
        <w:t xml:space="preserve">  </w:t>
      </w:r>
      <w:r>
        <w:rPr>
          <w:sz w:val="22"/>
          <w:szCs w:val="22"/>
        </w:rPr>
        <w:t>Source: S</w:t>
      </w:r>
      <w:r w:rsidRPr="00F61D02">
        <w:rPr>
          <w:sz w:val="22"/>
          <w:szCs w:val="22"/>
        </w:rPr>
        <w:t>chedule E</w:t>
      </w:r>
      <w:r>
        <w:rPr>
          <w:sz w:val="22"/>
          <w:szCs w:val="22"/>
        </w:rPr>
        <w:t xml:space="preserve">1-E (Exhibit CSB-5, 2020 Projection Filing, </w:t>
      </w:r>
      <w:r w:rsidRPr="00F61D02">
        <w:rPr>
          <w:sz w:val="22"/>
          <w:szCs w:val="22"/>
        </w:rPr>
        <w:t>Page 8 of 41)</w:t>
      </w:r>
      <w:r>
        <w:rPr>
          <w:sz w:val="22"/>
          <w:szCs w:val="22"/>
        </w:rPr>
        <w:t>.</w:t>
      </w:r>
    </w:p>
    <w:p w:rsidR="002D5713" w:rsidRDefault="002D5713" w:rsidP="002D5713">
      <w:pPr>
        <w:ind w:left="1440" w:hanging="1440"/>
        <w:jc w:val="both"/>
        <w:rPr>
          <w:rFonts w:cstheme="minorHAnsi"/>
          <w:b/>
          <w:bCs/>
          <w:caps/>
        </w:rPr>
      </w:pPr>
    </w:p>
    <w:p w:rsidR="002D5713" w:rsidRDefault="002D5713" w:rsidP="002D5713">
      <w:pPr>
        <w:ind w:left="1440" w:hanging="1440"/>
        <w:jc w:val="both"/>
      </w:pPr>
      <w:r w:rsidRPr="00F740AF">
        <w:rPr>
          <w:rFonts w:cstheme="minorHAnsi"/>
          <w:b/>
          <w:bCs/>
          <w:caps/>
        </w:rPr>
        <w:t>TE</w:t>
      </w:r>
      <w:r w:rsidRPr="00F740AF">
        <w:rPr>
          <w:b/>
        </w:rPr>
        <w:t>CO:</w:t>
      </w:r>
      <w:r w:rsidRPr="00902DA9">
        <w:tab/>
        <w:t xml:space="preserve">The appropriate fuel cost recovery factors for each rate class/delivery voltage level </w:t>
      </w:r>
      <w:r w:rsidRPr="0097332C">
        <w:t>class adjusted for line lo</w:t>
      </w:r>
      <w:r>
        <w:t>sses for the period January 2020 through December 2020</w:t>
      </w:r>
      <w:r w:rsidRPr="0097332C">
        <w:t>, are shown in Table 22</w:t>
      </w:r>
      <w:r>
        <w:t>-13</w:t>
      </w:r>
      <w:r w:rsidRPr="0097332C">
        <w:t xml:space="preserve"> below:</w:t>
      </w:r>
    </w:p>
    <w:p w:rsidR="002D5713" w:rsidRDefault="002D5713">
      <w:r>
        <w:br w:type="page"/>
      </w:r>
    </w:p>
    <w:p w:rsidR="002D5713" w:rsidRPr="00952579" w:rsidRDefault="002D5713" w:rsidP="002D5713">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22-13</w:t>
      </w:r>
    </w:p>
    <w:p w:rsidR="002D5713" w:rsidRPr="004144F3" w:rsidRDefault="002D5713" w:rsidP="002D5713">
      <w:pPr>
        <w:keepNext/>
        <w:keepLines/>
        <w:ind w:left="720" w:hanging="720"/>
        <w:jc w:val="center"/>
      </w:pPr>
      <w:r>
        <w:rPr>
          <w:rFonts w:ascii="Arial" w:hAnsi="Arial" w:cs="Arial"/>
          <w:b/>
        </w:rPr>
        <w:t xml:space="preserve">TECO </w:t>
      </w:r>
      <w:r w:rsidRPr="00952579">
        <w:rPr>
          <w:rFonts w:ascii="Arial" w:hAnsi="Arial" w:cs="Arial"/>
          <w:b/>
        </w:rPr>
        <w:t>Fu</w:t>
      </w:r>
      <w:r>
        <w:rPr>
          <w:rFonts w:ascii="Arial" w:hAnsi="Arial" w:cs="Arial"/>
          <w:b/>
        </w:rPr>
        <w:t>el Cost Recovery Factors for the period January-December, 2020</w:t>
      </w:r>
    </w:p>
    <w:tbl>
      <w:tblPr>
        <w:tblStyle w:val="TableGrid"/>
        <w:tblW w:w="0" w:type="auto"/>
        <w:tblInd w:w="108" w:type="dxa"/>
        <w:tblLayout w:type="fixed"/>
        <w:tblLook w:val="04A0" w:firstRow="1" w:lastRow="0" w:firstColumn="1" w:lastColumn="0" w:noHBand="0" w:noVBand="1"/>
      </w:tblPr>
      <w:tblGrid>
        <w:gridCol w:w="270"/>
        <w:gridCol w:w="3510"/>
        <w:gridCol w:w="1890"/>
        <w:gridCol w:w="1890"/>
        <w:gridCol w:w="1800"/>
      </w:tblGrid>
      <w:tr w:rsidR="002D5713" w:rsidRPr="0097332C" w:rsidTr="004813E3">
        <w:tc>
          <w:tcPr>
            <w:tcW w:w="3780" w:type="dxa"/>
            <w:gridSpan w:val="2"/>
            <w:vMerge w:val="restart"/>
            <w:vAlign w:val="center"/>
          </w:tcPr>
          <w:p w:rsidR="002D5713" w:rsidRPr="00D03A0F" w:rsidRDefault="002D5713" w:rsidP="004813E3">
            <w:pPr>
              <w:pStyle w:val="Footer"/>
              <w:keepNext/>
              <w:keepLines/>
              <w:widowControl w:val="0"/>
              <w:tabs>
                <w:tab w:val="center" w:pos="5940"/>
                <w:tab w:val="center" w:pos="7380"/>
              </w:tabs>
              <w:suppressAutoHyphens/>
              <w:jc w:val="center"/>
              <w:rPr>
                <w:rFonts w:cs="Arial"/>
              </w:rPr>
            </w:pPr>
            <w:r w:rsidRPr="00D03A0F">
              <w:rPr>
                <w:rFonts w:cs="Arial"/>
              </w:rPr>
              <w:t>Metering Voltage Level</w:t>
            </w:r>
          </w:p>
        </w:tc>
        <w:tc>
          <w:tcPr>
            <w:tcW w:w="5580" w:type="dxa"/>
            <w:gridSpan w:val="3"/>
          </w:tcPr>
          <w:p w:rsidR="002D5713" w:rsidRPr="00D03A0F" w:rsidRDefault="002D5713" w:rsidP="004813E3">
            <w:pPr>
              <w:pStyle w:val="Footer"/>
              <w:keepNext/>
              <w:keepLines/>
              <w:widowControl w:val="0"/>
              <w:tabs>
                <w:tab w:val="center" w:pos="5940"/>
                <w:tab w:val="center" w:pos="7380"/>
              </w:tabs>
              <w:suppressAutoHyphens/>
              <w:jc w:val="center"/>
              <w:rPr>
                <w:bCs/>
              </w:rPr>
            </w:pPr>
            <w:r w:rsidRPr="00D03A0F">
              <w:rPr>
                <w:bCs/>
              </w:rPr>
              <w:t>Fuel Cost Recovery Factors (cents per kWh)</w:t>
            </w:r>
          </w:p>
        </w:tc>
      </w:tr>
      <w:tr w:rsidR="002D5713" w:rsidRPr="003532C8" w:rsidTr="004813E3">
        <w:tc>
          <w:tcPr>
            <w:tcW w:w="3780" w:type="dxa"/>
            <w:gridSpan w:val="2"/>
            <w:vMerge/>
          </w:tcPr>
          <w:p w:rsidR="002D5713" w:rsidRPr="00D03A0F" w:rsidRDefault="002D5713" w:rsidP="004813E3">
            <w:pPr>
              <w:pStyle w:val="Footer"/>
              <w:keepNext/>
              <w:keepLines/>
              <w:widowControl w:val="0"/>
              <w:tabs>
                <w:tab w:val="center" w:pos="5940"/>
                <w:tab w:val="center" w:pos="7380"/>
              </w:tabs>
              <w:suppressAutoHyphens/>
              <w:jc w:val="center"/>
              <w:rPr>
                <w:bCs/>
              </w:rPr>
            </w:pPr>
          </w:p>
        </w:tc>
        <w:tc>
          <w:tcPr>
            <w:tcW w:w="1890" w:type="dxa"/>
            <w:vAlign w:val="center"/>
          </w:tcPr>
          <w:p w:rsidR="002D5713" w:rsidRPr="003532C8" w:rsidRDefault="002D5713" w:rsidP="004813E3">
            <w:pPr>
              <w:pStyle w:val="Footer"/>
              <w:keepNext/>
              <w:keepLines/>
              <w:widowControl w:val="0"/>
              <w:tabs>
                <w:tab w:val="center" w:pos="5940"/>
                <w:tab w:val="center" w:pos="7380"/>
              </w:tabs>
              <w:suppressAutoHyphens/>
              <w:jc w:val="center"/>
              <w:rPr>
                <w:bCs/>
              </w:rPr>
            </w:pPr>
            <w:proofErr w:type="spellStart"/>
            <w:r w:rsidRPr="003532C8">
              <w:rPr>
                <w:bCs/>
              </w:rPr>
              <w:t>Levelized</w:t>
            </w:r>
            <w:proofErr w:type="spellEnd"/>
            <w:r w:rsidRPr="003532C8">
              <w:rPr>
                <w:bCs/>
              </w:rPr>
              <w:t xml:space="preserve"> Fuel Recovery Factor</w:t>
            </w:r>
          </w:p>
        </w:tc>
        <w:tc>
          <w:tcPr>
            <w:tcW w:w="189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 xml:space="preserve">First Tier </w:t>
            </w:r>
          </w:p>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(Up to 1,000 kWh)</w:t>
            </w:r>
          </w:p>
        </w:tc>
        <w:tc>
          <w:tcPr>
            <w:tcW w:w="180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 xml:space="preserve">Second Tier </w:t>
            </w:r>
          </w:p>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(Over 1,000 kWh)</w:t>
            </w:r>
          </w:p>
        </w:tc>
      </w:tr>
      <w:tr w:rsidR="002D5713" w:rsidRPr="003532C8" w:rsidTr="004813E3">
        <w:tc>
          <w:tcPr>
            <w:tcW w:w="9360" w:type="dxa"/>
            <w:gridSpan w:val="5"/>
          </w:tcPr>
          <w:p w:rsidR="002D5713" w:rsidRPr="003532C8" w:rsidRDefault="002D5713" w:rsidP="004813E3">
            <w:pPr>
              <w:pStyle w:val="Footer"/>
              <w:keepNext/>
              <w:keepLines/>
              <w:widowControl w:val="0"/>
              <w:tabs>
                <w:tab w:val="center" w:pos="5940"/>
                <w:tab w:val="center" w:pos="7380"/>
              </w:tabs>
              <w:suppressAutoHyphens/>
              <w:rPr>
                <w:bCs/>
              </w:rPr>
            </w:pPr>
            <w:r w:rsidRPr="003532C8">
              <w:rPr>
                <w:bCs/>
              </w:rPr>
              <w:t>STANDARD</w:t>
            </w:r>
          </w:p>
        </w:tc>
      </w:tr>
      <w:tr w:rsidR="002D5713" w:rsidRPr="003532C8" w:rsidTr="004813E3">
        <w:tc>
          <w:tcPr>
            <w:tcW w:w="270" w:type="dxa"/>
            <w:vMerge w:val="restart"/>
            <w:vAlign w:val="center"/>
          </w:tcPr>
          <w:p w:rsidR="002D5713" w:rsidRPr="003532C8" w:rsidRDefault="002D5713" w:rsidP="004813E3">
            <w:pPr>
              <w:pStyle w:val="Footer"/>
              <w:keepNext/>
              <w:keepLines/>
              <w:widowControl w:val="0"/>
              <w:tabs>
                <w:tab w:val="center" w:pos="5940"/>
                <w:tab w:val="center" w:pos="7380"/>
              </w:tabs>
              <w:suppressAutoHyphens/>
              <w:jc w:val="center"/>
              <w:rPr>
                <w:bCs/>
              </w:rPr>
            </w:pPr>
          </w:p>
        </w:tc>
        <w:tc>
          <w:tcPr>
            <w:tcW w:w="351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Distribution Secondary (RS only)</w:t>
            </w:r>
          </w:p>
        </w:tc>
        <w:tc>
          <w:tcPr>
            <w:tcW w:w="189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w:t>
            </w:r>
          </w:p>
        </w:tc>
        <w:tc>
          <w:tcPr>
            <w:tcW w:w="189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2.702</w:t>
            </w:r>
          </w:p>
        </w:tc>
        <w:tc>
          <w:tcPr>
            <w:tcW w:w="180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3.702</w:t>
            </w:r>
          </w:p>
        </w:tc>
      </w:tr>
      <w:tr w:rsidR="002D5713" w:rsidRPr="003532C8" w:rsidTr="004813E3">
        <w:tc>
          <w:tcPr>
            <w:tcW w:w="270" w:type="dxa"/>
            <w:vMerge/>
          </w:tcPr>
          <w:p w:rsidR="002D5713" w:rsidRPr="003532C8" w:rsidRDefault="002D5713" w:rsidP="004813E3">
            <w:pPr>
              <w:pStyle w:val="Footer"/>
              <w:keepNext/>
              <w:keepLines/>
              <w:widowControl w:val="0"/>
              <w:tabs>
                <w:tab w:val="center" w:pos="5940"/>
                <w:tab w:val="center" w:pos="7380"/>
              </w:tabs>
              <w:suppressAutoHyphens/>
              <w:jc w:val="center"/>
              <w:rPr>
                <w:bCs/>
              </w:rPr>
            </w:pPr>
          </w:p>
        </w:tc>
        <w:tc>
          <w:tcPr>
            <w:tcW w:w="351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Distribution Secondary</w:t>
            </w:r>
          </w:p>
        </w:tc>
        <w:tc>
          <w:tcPr>
            <w:tcW w:w="189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3.016</w:t>
            </w:r>
          </w:p>
        </w:tc>
        <w:tc>
          <w:tcPr>
            <w:tcW w:w="3690" w:type="dxa"/>
            <w:gridSpan w:val="2"/>
            <w:vMerge w:val="restart"/>
            <w:vAlign w:val="center"/>
          </w:tcPr>
          <w:p w:rsidR="002D5713" w:rsidRPr="003532C8" w:rsidRDefault="002D5713" w:rsidP="004813E3">
            <w:pPr>
              <w:pStyle w:val="Footer"/>
              <w:keepNext/>
              <w:keepLines/>
              <w:widowControl w:val="0"/>
              <w:tabs>
                <w:tab w:val="center" w:pos="5940"/>
                <w:tab w:val="center" w:pos="7380"/>
              </w:tabs>
              <w:suppressAutoHyphens/>
              <w:jc w:val="center"/>
              <w:rPr>
                <w:bCs/>
              </w:rPr>
            </w:pPr>
          </w:p>
        </w:tc>
      </w:tr>
      <w:tr w:rsidR="002D5713" w:rsidRPr="003532C8" w:rsidTr="004813E3">
        <w:tc>
          <w:tcPr>
            <w:tcW w:w="270" w:type="dxa"/>
            <w:vMerge/>
          </w:tcPr>
          <w:p w:rsidR="002D5713" w:rsidRPr="003532C8" w:rsidRDefault="002D5713" w:rsidP="004813E3">
            <w:pPr>
              <w:pStyle w:val="Footer"/>
              <w:keepNext/>
              <w:keepLines/>
              <w:widowControl w:val="0"/>
              <w:tabs>
                <w:tab w:val="center" w:pos="5940"/>
                <w:tab w:val="center" w:pos="7380"/>
              </w:tabs>
              <w:suppressAutoHyphens/>
              <w:jc w:val="center"/>
              <w:rPr>
                <w:bCs/>
              </w:rPr>
            </w:pPr>
          </w:p>
        </w:tc>
        <w:tc>
          <w:tcPr>
            <w:tcW w:w="351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Distribution Primary</w:t>
            </w:r>
          </w:p>
        </w:tc>
        <w:tc>
          <w:tcPr>
            <w:tcW w:w="189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2.986</w:t>
            </w:r>
          </w:p>
        </w:tc>
        <w:tc>
          <w:tcPr>
            <w:tcW w:w="3690" w:type="dxa"/>
            <w:gridSpan w:val="2"/>
            <w:vMerge/>
          </w:tcPr>
          <w:p w:rsidR="002D5713" w:rsidRPr="003532C8" w:rsidRDefault="002D5713" w:rsidP="004813E3">
            <w:pPr>
              <w:pStyle w:val="Footer"/>
              <w:keepNext/>
              <w:keepLines/>
              <w:widowControl w:val="0"/>
              <w:tabs>
                <w:tab w:val="center" w:pos="5940"/>
                <w:tab w:val="center" w:pos="7380"/>
              </w:tabs>
              <w:suppressAutoHyphens/>
              <w:jc w:val="center"/>
              <w:rPr>
                <w:bCs/>
              </w:rPr>
            </w:pPr>
          </w:p>
        </w:tc>
      </w:tr>
      <w:tr w:rsidR="002D5713" w:rsidRPr="003532C8" w:rsidTr="004813E3">
        <w:tc>
          <w:tcPr>
            <w:tcW w:w="270" w:type="dxa"/>
            <w:vMerge/>
          </w:tcPr>
          <w:p w:rsidR="002D5713" w:rsidRPr="003532C8" w:rsidRDefault="002D5713" w:rsidP="004813E3">
            <w:pPr>
              <w:pStyle w:val="Footer"/>
              <w:keepNext/>
              <w:keepLines/>
              <w:widowControl w:val="0"/>
              <w:tabs>
                <w:tab w:val="center" w:pos="5940"/>
                <w:tab w:val="center" w:pos="7380"/>
              </w:tabs>
              <w:suppressAutoHyphens/>
              <w:jc w:val="center"/>
              <w:rPr>
                <w:bCs/>
              </w:rPr>
            </w:pPr>
          </w:p>
        </w:tc>
        <w:tc>
          <w:tcPr>
            <w:tcW w:w="351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Transmission</w:t>
            </w:r>
          </w:p>
        </w:tc>
        <w:tc>
          <w:tcPr>
            <w:tcW w:w="189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2.956</w:t>
            </w:r>
          </w:p>
        </w:tc>
        <w:tc>
          <w:tcPr>
            <w:tcW w:w="3690" w:type="dxa"/>
            <w:gridSpan w:val="2"/>
            <w:vMerge/>
          </w:tcPr>
          <w:p w:rsidR="002D5713" w:rsidRPr="003532C8" w:rsidRDefault="002D5713" w:rsidP="004813E3">
            <w:pPr>
              <w:pStyle w:val="Footer"/>
              <w:keepNext/>
              <w:keepLines/>
              <w:widowControl w:val="0"/>
              <w:tabs>
                <w:tab w:val="center" w:pos="5940"/>
                <w:tab w:val="center" w:pos="7380"/>
              </w:tabs>
              <w:suppressAutoHyphens/>
              <w:jc w:val="center"/>
              <w:rPr>
                <w:bCs/>
              </w:rPr>
            </w:pPr>
          </w:p>
        </w:tc>
      </w:tr>
      <w:tr w:rsidR="002D5713" w:rsidRPr="003532C8" w:rsidTr="004813E3">
        <w:tc>
          <w:tcPr>
            <w:tcW w:w="270" w:type="dxa"/>
            <w:vMerge/>
          </w:tcPr>
          <w:p w:rsidR="002D5713" w:rsidRPr="003532C8" w:rsidRDefault="002D5713" w:rsidP="004813E3">
            <w:pPr>
              <w:pStyle w:val="Footer"/>
              <w:keepNext/>
              <w:keepLines/>
              <w:widowControl w:val="0"/>
              <w:tabs>
                <w:tab w:val="center" w:pos="5940"/>
                <w:tab w:val="center" w:pos="7380"/>
              </w:tabs>
              <w:suppressAutoHyphens/>
              <w:jc w:val="center"/>
              <w:rPr>
                <w:bCs/>
              </w:rPr>
            </w:pPr>
          </w:p>
        </w:tc>
        <w:tc>
          <w:tcPr>
            <w:tcW w:w="351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Lighting Service</w:t>
            </w:r>
          </w:p>
        </w:tc>
        <w:tc>
          <w:tcPr>
            <w:tcW w:w="1890" w:type="dxa"/>
          </w:tcPr>
          <w:p w:rsidR="002D5713" w:rsidRPr="003532C8" w:rsidRDefault="002D5713" w:rsidP="004813E3">
            <w:pPr>
              <w:pStyle w:val="Footer"/>
              <w:keepNext/>
              <w:keepLines/>
              <w:widowControl w:val="0"/>
              <w:tabs>
                <w:tab w:val="center" w:pos="5940"/>
                <w:tab w:val="center" w:pos="7380"/>
              </w:tabs>
              <w:suppressAutoHyphens/>
              <w:jc w:val="center"/>
              <w:rPr>
                <w:bCs/>
              </w:rPr>
            </w:pPr>
            <w:r w:rsidRPr="003532C8">
              <w:rPr>
                <w:bCs/>
              </w:rPr>
              <w:t>2.989</w:t>
            </w:r>
          </w:p>
        </w:tc>
        <w:tc>
          <w:tcPr>
            <w:tcW w:w="3690" w:type="dxa"/>
            <w:gridSpan w:val="2"/>
            <w:vMerge/>
          </w:tcPr>
          <w:p w:rsidR="002D5713" w:rsidRPr="003532C8" w:rsidRDefault="002D5713" w:rsidP="004813E3">
            <w:pPr>
              <w:pStyle w:val="Footer"/>
              <w:keepNext/>
              <w:keepLines/>
              <w:widowControl w:val="0"/>
              <w:tabs>
                <w:tab w:val="center" w:pos="5940"/>
                <w:tab w:val="center" w:pos="7380"/>
              </w:tabs>
              <w:suppressAutoHyphens/>
              <w:jc w:val="center"/>
              <w:rPr>
                <w:bCs/>
              </w:rPr>
            </w:pPr>
          </w:p>
        </w:tc>
      </w:tr>
      <w:tr w:rsidR="002D5713" w:rsidRPr="003532C8" w:rsidTr="004813E3">
        <w:tc>
          <w:tcPr>
            <w:tcW w:w="9360" w:type="dxa"/>
            <w:gridSpan w:val="5"/>
          </w:tcPr>
          <w:p w:rsidR="002D5713" w:rsidRPr="003532C8" w:rsidRDefault="002D5713" w:rsidP="004813E3">
            <w:pPr>
              <w:pStyle w:val="Footer"/>
              <w:keepNext/>
              <w:keepLines/>
              <w:widowControl w:val="0"/>
              <w:tabs>
                <w:tab w:val="center" w:pos="5940"/>
                <w:tab w:val="center" w:pos="7380"/>
              </w:tabs>
              <w:suppressAutoHyphens/>
              <w:rPr>
                <w:bCs/>
              </w:rPr>
            </w:pPr>
            <w:r w:rsidRPr="003532C8">
              <w:rPr>
                <w:bCs/>
              </w:rPr>
              <w:t>TIME OF USE</w:t>
            </w:r>
          </w:p>
        </w:tc>
      </w:tr>
      <w:tr w:rsidR="002D5713" w:rsidRPr="003532C8" w:rsidTr="004813E3">
        <w:tc>
          <w:tcPr>
            <w:tcW w:w="270" w:type="dxa"/>
            <w:vMerge w:val="restart"/>
            <w:vAlign w:val="center"/>
          </w:tcPr>
          <w:p w:rsidR="002D5713" w:rsidRPr="003532C8" w:rsidRDefault="002D5713" w:rsidP="004813E3">
            <w:pPr>
              <w:pStyle w:val="Footer"/>
              <w:keepNext/>
              <w:keepLines/>
              <w:widowControl w:val="0"/>
              <w:tabs>
                <w:tab w:val="center" w:pos="5940"/>
                <w:tab w:val="center" w:pos="7380"/>
              </w:tabs>
              <w:suppressAutoHyphens/>
              <w:jc w:val="center"/>
              <w:rPr>
                <w:bCs/>
              </w:rPr>
            </w:pPr>
          </w:p>
        </w:tc>
        <w:tc>
          <w:tcPr>
            <w:tcW w:w="3510" w:type="dxa"/>
          </w:tcPr>
          <w:p w:rsidR="002D5713" w:rsidRPr="003532C8" w:rsidRDefault="002D5713" w:rsidP="004813E3">
            <w:pPr>
              <w:jc w:val="center"/>
            </w:pPr>
            <w:r w:rsidRPr="003532C8">
              <w:t>Distribution Secondary- On-Peak</w:t>
            </w:r>
          </w:p>
        </w:tc>
        <w:tc>
          <w:tcPr>
            <w:tcW w:w="1890" w:type="dxa"/>
          </w:tcPr>
          <w:p w:rsidR="002D5713" w:rsidRPr="003532C8" w:rsidRDefault="002D5713" w:rsidP="004813E3">
            <w:pPr>
              <w:jc w:val="center"/>
            </w:pPr>
            <w:r w:rsidRPr="003532C8">
              <w:t>3.162</w:t>
            </w:r>
          </w:p>
        </w:tc>
        <w:tc>
          <w:tcPr>
            <w:tcW w:w="3690" w:type="dxa"/>
            <w:gridSpan w:val="2"/>
            <w:vMerge w:val="restart"/>
            <w:vAlign w:val="center"/>
          </w:tcPr>
          <w:p w:rsidR="002D5713" w:rsidRPr="003532C8" w:rsidRDefault="002D5713" w:rsidP="004813E3">
            <w:pPr>
              <w:jc w:val="center"/>
              <w:rPr>
                <w:bCs/>
              </w:rPr>
            </w:pPr>
          </w:p>
        </w:tc>
      </w:tr>
      <w:tr w:rsidR="002D5713" w:rsidRPr="003532C8" w:rsidTr="004813E3">
        <w:tc>
          <w:tcPr>
            <w:tcW w:w="270" w:type="dxa"/>
            <w:vMerge/>
          </w:tcPr>
          <w:p w:rsidR="002D5713" w:rsidRPr="003532C8" w:rsidRDefault="002D5713" w:rsidP="004813E3">
            <w:pPr>
              <w:pStyle w:val="Footer"/>
              <w:keepNext/>
              <w:keepLines/>
              <w:widowControl w:val="0"/>
              <w:tabs>
                <w:tab w:val="center" w:pos="5940"/>
                <w:tab w:val="center" w:pos="7380"/>
              </w:tabs>
              <w:suppressAutoHyphens/>
              <w:jc w:val="center"/>
              <w:rPr>
                <w:bCs/>
              </w:rPr>
            </w:pPr>
          </w:p>
        </w:tc>
        <w:tc>
          <w:tcPr>
            <w:tcW w:w="3510" w:type="dxa"/>
          </w:tcPr>
          <w:p w:rsidR="002D5713" w:rsidRPr="003532C8" w:rsidRDefault="002D5713" w:rsidP="004813E3">
            <w:pPr>
              <w:jc w:val="center"/>
            </w:pPr>
            <w:r w:rsidRPr="003532C8">
              <w:t>Distribution Secondary- Off-Peak</w:t>
            </w:r>
          </w:p>
        </w:tc>
        <w:tc>
          <w:tcPr>
            <w:tcW w:w="1890" w:type="dxa"/>
          </w:tcPr>
          <w:p w:rsidR="002D5713" w:rsidRPr="003532C8" w:rsidRDefault="002D5713" w:rsidP="004813E3">
            <w:pPr>
              <w:jc w:val="center"/>
            </w:pPr>
            <w:r w:rsidRPr="003532C8">
              <w:t>2.953</w:t>
            </w:r>
          </w:p>
        </w:tc>
        <w:tc>
          <w:tcPr>
            <w:tcW w:w="3690" w:type="dxa"/>
            <w:gridSpan w:val="2"/>
            <w:vMerge/>
          </w:tcPr>
          <w:p w:rsidR="002D5713" w:rsidRPr="003532C8" w:rsidRDefault="002D5713" w:rsidP="004813E3">
            <w:pPr>
              <w:jc w:val="center"/>
              <w:rPr>
                <w:bCs/>
              </w:rPr>
            </w:pPr>
          </w:p>
        </w:tc>
      </w:tr>
      <w:tr w:rsidR="002D5713" w:rsidRPr="003532C8" w:rsidTr="004813E3">
        <w:tc>
          <w:tcPr>
            <w:tcW w:w="270" w:type="dxa"/>
            <w:vMerge/>
            <w:vAlign w:val="center"/>
          </w:tcPr>
          <w:p w:rsidR="002D5713" w:rsidRPr="003532C8" w:rsidRDefault="002D5713" w:rsidP="004813E3">
            <w:pPr>
              <w:pStyle w:val="Footer"/>
              <w:keepNext/>
              <w:keepLines/>
              <w:widowControl w:val="0"/>
              <w:tabs>
                <w:tab w:val="center" w:pos="5940"/>
                <w:tab w:val="center" w:pos="7380"/>
              </w:tabs>
              <w:suppressAutoHyphens/>
              <w:jc w:val="center"/>
              <w:rPr>
                <w:bCs/>
              </w:rPr>
            </w:pPr>
          </w:p>
        </w:tc>
        <w:tc>
          <w:tcPr>
            <w:tcW w:w="3510" w:type="dxa"/>
          </w:tcPr>
          <w:p w:rsidR="002D5713" w:rsidRPr="003532C8" w:rsidRDefault="002D5713" w:rsidP="004813E3">
            <w:pPr>
              <w:jc w:val="center"/>
            </w:pPr>
            <w:r w:rsidRPr="003532C8">
              <w:t>Distribution Primary- On-Peak</w:t>
            </w:r>
          </w:p>
        </w:tc>
        <w:tc>
          <w:tcPr>
            <w:tcW w:w="1890" w:type="dxa"/>
          </w:tcPr>
          <w:p w:rsidR="002D5713" w:rsidRPr="003532C8" w:rsidRDefault="002D5713" w:rsidP="004813E3">
            <w:pPr>
              <w:jc w:val="center"/>
            </w:pPr>
            <w:r w:rsidRPr="003532C8">
              <w:t>3.130</w:t>
            </w:r>
          </w:p>
        </w:tc>
        <w:tc>
          <w:tcPr>
            <w:tcW w:w="3690" w:type="dxa"/>
            <w:gridSpan w:val="2"/>
            <w:vMerge/>
          </w:tcPr>
          <w:p w:rsidR="002D5713" w:rsidRPr="003532C8" w:rsidRDefault="002D5713" w:rsidP="004813E3">
            <w:pPr>
              <w:jc w:val="center"/>
              <w:rPr>
                <w:bCs/>
              </w:rPr>
            </w:pPr>
          </w:p>
        </w:tc>
      </w:tr>
      <w:tr w:rsidR="002D5713" w:rsidRPr="003532C8" w:rsidTr="004813E3">
        <w:tc>
          <w:tcPr>
            <w:tcW w:w="270" w:type="dxa"/>
            <w:vMerge/>
          </w:tcPr>
          <w:p w:rsidR="002D5713" w:rsidRPr="003532C8" w:rsidRDefault="002D5713" w:rsidP="004813E3">
            <w:pPr>
              <w:pStyle w:val="Footer"/>
              <w:keepNext/>
              <w:keepLines/>
              <w:widowControl w:val="0"/>
              <w:tabs>
                <w:tab w:val="center" w:pos="5940"/>
                <w:tab w:val="center" w:pos="7380"/>
              </w:tabs>
              <w:suppressAutoHyphens/>
              <w:jc w:val="center"/>
              <w:rPr>
                <w:bCs/>
              </w:rPr>
            </w:pPr>
          </w:p>
        </w:tc>
        <w:tc>
          <w:tcPr>
            <w:tcW w:w="3510" w:type="dxa"/>
          </w:tcPr>
          <w:p w:rsidR="002D5713" w:rsidRPr="003532C8" w:rsidRDefault="002D5713" w:rsidP="004813E3">
            <w:pPr>
              <w:jc w:val="center"/>
            </w:pPr>
            <w:r w:rsidRPr="003532C8">
              <w:t>Distribution Primary- Off-Peak</w:t>
            </w:r>
          </w:p>
        </w:tc>
        <w:tc>
          <w:tcPr>
            <w:tcW w:w="1890" w:type="dxa"/>
          </w:tcPr>
          <w:p w:rsidR="002D5713" w:rsidRPr="003532C8" w:rsidRDefault="002D5713" w:rsidP="004813E3">
            <w:pPr>
              <w:jc w:val="center"/>
            </w:pPr>
            <w:r w:rsidRPr="003532C8">
              <w:t>2.923</w:t>
            </w:r>
          </w:p>
        </w:tc>
        <w:tc>
          <w:tcPr>
            <w:tcW w:w="3690" w:type="dxa"/>
            <w:gridSpan w:val="2"/>
            <w:vMerge/>
          </w:tcPr>
          <w:p w:rsidR="002D5713" w:rsidRPr="003532C8" w:rsidRDefault="002D5713" w:rsidP="004813E3">
            <w:pPr>
              <w:jc w:val="center"/>
              <w:rPr>
                <w:bCs/>
              </w:rPr>
            </w:pPr>
          </w:p>
        </w:tc>
      </w:tr>
      <w:tr w:rsidR="002D5713" w:rsidRPr="003532C8" w:rsidTr="004813E3">
        <w:tc>
          <w:tcPr>
            <w:tcW w:w="270" w:type="dxa"/>
            <w:vMerge/>
            <w:vAlign w:val="center"/>
          </w:tcPr>
          <w:p w:rsidR="002D5713" w:rsidRPr="003532C8" w:rsidRDefault="002D5713" w:rsidP="004813E3">
            <w:pPr>
              <w:pStyle w:val="Footer"/>
              <w:keepNext/>
              <w:keepLines/>
              <w:widowControl w:val="0"/>
              <w:tabs>
                <w:tab w:val="center" w:pos="5940"/>
                <w:tab w:val="center" w:pos="7380"/>
              </w:tabs>
              <w:suppressAutoHyphens/>
              <w:jc w:val="center"/>
              <w:rPr>
                <w:bCs/>
              </w:rPr>
            </w:pPr>
          </w:p>
        </w:tc>
        <w:tc>
          <w:tcPr>
            <w:tcW w:w="3510" w:type="dxa"/>
          </w:tcPr>
          <w:p w:rsidR="002D5713" w:rsidRPr="003532C8" w:rsidRDefault="002D5713" w:rsidP="004813E3">
            <w:pPr>
              <w:jc w:val="center"/>
            </w:pPr>
            <w:r w:rsidRPr="003532C8">
              <w:t>Transmission – On-Peak</w:t>
            </w:r>
          </w:p>
        </w:tc>
        <w:tc>
          <w:tcPr>
            <w:tcW w:w="1890" w:type="dxa"/>
          </w:tcPr>
          <w:p w:rsidR="002D5713" w:rsidRPr="003532C8" w:rsidRDefault="002D5713" w:rsidP="004813E3">
            <w:pPr>
              <w:jc w:val="center"/>
            </w:pPr>
            <w:r w:rsidRPr="003532C8">
              <w:t>3.099</w:t>
            </w:r>
          </w:p>
        </w:tc>
        <w:tc>
          <w:tcPr>
            <w:tcW w:w="3690" w:type="dxa"/>
            <w:gridSpan w:val="2"/>
            <w:vMerge/>
          </w:tcPr>
          <w:p w:rsidR="002D5713" w:rsidRPr="003532C8" w:rsidRDefault="002D5713" w:rsidP="004813E3">
            <w:pPr>
              <w:jc w:val="center"/>
              <w:rPr>
                <w:bCs/>
              </w:rPr>
            </w:pPr>
          </w:p>
        </w:tc>
      </w:tr>
      <w:tr w:rsidR="002D5713" w:rsidRPr="003532C8" w:rsidTr="004813E3">
        <w:tc>
          <w:tcPr>
            <w:tcW w:w="270" w:type="dxa"/>
            <w:vMerge/>
          </w:tcPr>
          <w:p w:rsidR="002D5713" w:rsidRPr="003532C8" w:rsidRDefault="002D5713" w:rsidP="004813E3">
            <w:pPr>
              <w:pStyle w:val="Footer"/>
              <w:keepNext/>
              <w:keepLines/>
              <w:widowControl w:val="0"/>
              <w:tabs>
                <w:tab w:val="center" w:pos="5940"/>
                <w:tab w:val="center" w:pos="7380"/>
              </w:tabs>
              <w:suppressAutoHyphens/>
              <w:jc w:val="center"/>
              <w:rPr>
                <w:bCs/>
              </w:rPr>
            </w:pPr>
          </w:p>
        </w:tc>
        <w:tc>
          <w:tcPr>
            <w:tcW w:w="3510" w:type="dxa"/>
          </w:tcPr>
          <w:p w:rsidR="002D5713" w:rsidRPr="003532C8" w:rsidRDefault="002D5713" w:rsidP="004813E3">
            <w:pPr>
              <w:jc w:val="center"/>
            </w:pPr>
            <w:r w:rsidRPr="003532C8">
              <w:t>Transmission – Off-Peak</w:t>
            </w:r>
          </w:p>
        </w:tc>
        <w:tc>
          <w:tcPr>
            <w:tcW w:w="1890" w:type="dxa"/>
          </w:tcPr>
          <w:p w:rsidR="002D5713" w:rsidRPr="003532C8" w:rsidRDefault="002D5713" w:rsidP="004813E3">
            <w:pPr>
              <w:jc w:val="center"/>
            </w:pPr>
            <w:r w:rsidRPr="003532C8">
              <w:t>2.894</w:t>
            </w:r>
          </w:p>
        </w:tc>
        <w:tc>
          <w:tcPr>
            <w:tcW w:w="3690" w:type="dxa"/>
            <w:gridSpan w:val="2"/>
            <w:vMerge/>
          </w:tcPr>
          <w:p w:rsidR="002D5713" w:rsidRPr="003532C8" w:rsidRDefault="002D5713" w:rsidP="004813E3">
            <w:pPr>
              <w:jc w:val="center"/>
              <w:rPr>
                <w:bCs/>
              </w:rPr>
            </w:pPr>
          </w:p>
        </w:tc>
      </w:tr>
    </w:tbl>
    <w:p w:rsidR="002D5713" w:rsidRDefault="002D5713" w:rsidP="002D5713">
      <w:pPr>
        <w:pStyle w:val="Footer"/>
        <w:keepNext/>
        <w:keepLines/>
        <w:widowControl w:val="0"/>
        <w:tabs>
          <w:tab w:val="center" w:pos="5940"/>
          <w:tab w:val="center" w:pos="7380"/>
        </w:tabs>
        <w:suppressAutoHyphens/>
        <w:rPr>
          <w:sz w:val="22"/>
          <w:szCs w:val="22"/>
        </w:rPr>
      </w:pPr>
      <w:r w:rsidRPr="003532C8">
        <w:rPr>
          <w:bCs/>
        </w:rPr>
        <w:t xml:space="preserve">  </w:t>
      </w:r>
      <w:r w:rsidRPr="003532C8">
        <w:rPr>
          <w:sz w:val="22"/>
          <w:szCs w:val="22"/>
        </w:rPr>
        <w:t>Source: Schedule E1-E, Bates Stamped Page 23 (Exhibit PAR-3, Document Num</w:t>
      </w:r>
      <w:r w:rsidRPr="00D8283F">
        <w:rPr>
          <w:sz w:val="22"/>
          <w:szCs w:val="22"/>
        </w:rPr>
        <w:t>ber 2, Page 6 of 30)</w:t>
      </w:r>
      <w:r>
        <w:rPr>
          <w:sz w:val="22"/>
          <w:szCs w:val="22"/>
        </w:rPr>
        <w:t>.</w:t>
      </w:r>
    </w:p>
    <w:p w:rsidR="002D5713" w:rsidRDefault="002D5713" w:rsidP="002D5713">
      <w:pPr>
        <w:pStyle w:val="Footer"/>
        <w:keepNext/>
        <w:keepLines/>
        <w:widowControl w:val="0"/>
        <w:tabs>
          <w:tab w:val="center" w:pos="5940"/>
          <w:tab w:val="center" w:pos="7380"/>
        </w:tabs>
        <w:suppressAutoHyphens/>
        <w:rPr>
          <w:b/>
          <w:bCs/>
          <w:caps/>
        </w:rPr>
      </w:pPr>
    </w:p>
    <w:p w:rsidR="002D5713" w:rsidRDefault="002D5713" w:rsidP="002D5713">
      <w:pPr>
        <w:spacing w:after="200" w:line="276" w:lineRule="auto"/>
        <w:rPr>
          <w:b/>
          <w:bCs/>
          <w:caps/>
          <w:u w:val="single"/>
        </w:rPr>
      </w:pPr>
      <w:r w:rsidRPr="00F740AF">
        <w:rPr>
          <w:b/>
          <w:bCs/>
          <w:caps/>
        </w:rPr>
        <w:t>II.</w:t>
      </w:r>
      <w:r w:rsidRPr="004C09BE">
        <w:rPr>
          <w:b/>
          <w:bCs/>
          <w:caps/>
        </w:rPr>
        <w:tab/>
      </w:r>
      <w:r>
        <w:rPr>
          <w:b/>
          <w:bCs/>
          <w:caps/>
          <w:u w:val="single"/>
        </w:rPr>
        <w:t>Capacity Issues</w:t>
      </w:r>
    </w:p>
    <w:p w:rsidR="002D5713" w:rsidRDefault="002D5713" w:rsidP="002D5713">
      <w:pPr>
        <w:autoSpaceDE w:val="0"/>
        <w:autoSpaceDN w:val="0"/>
        <w:adjustRightInd w:val="0"/>
        <w:rPr>
          <w:b/>
          <w:bCs/>
        </w:rPr>
      </w:pPr>
      <w:r>
        <w:rPr>
          <w:b/>
          <w:bCs/>
        </w:rPr>
        <w:t>COMPANY-SPECIFIC CAPACITY COST RECOVERY FACTOR ISSUES</w:t>
      </w:r>
    </w:p>
    <w:p w:rsidR="002D5713" w:rsidRDefault="002D5713" w:rsidP="002D5713">
      <w:pPr>
        <w:autoSpaceDE w:val="0"/>
        <w:autoSpaceDN w:val="0"/>
        <w:adjustRightInd w:val="0"/>
      </w:pPr>
    </w:p>
    <w:p w:rsidR="002D5713" w:rsidRDefault="002D5713" w:rsidP="002D5713">
      <w:pPr>
        <w:autoSpaceDE w:val="0"/>
        <w:autoSpaceDN w:val="0"/>
        <w:adjustRightInd w:val="0"/>
        <w:rPr>
          <w:b/>
          <w:bCs/>
        </w:rPr>
      </w:pPr>
      <w:r>
        <w:rPr>
          <w:b/>
          <w:bCs/>
        </w:rPr>
        <w:t>Duke Energy Florida, LLC</w:t>
      </w:r>
    </w:p>
    <w:p w:rsidR="002D5713" w:rsidRDefault="002D5713" w:rsidP="002D5713">
      <w:pPr>
        <w:autoSpaceDE w:val="0"/>
        <w:autoSpaceDN w:val="0"/>
        <w:adjustRightInd w:val="0"/>
      </w:pPr>
    </w:p>
    <w:p w:rsidR="002D5713" w:rsidRPr="003532C8" w:rsidRDefault="002D5713" w:rsidP="002D5713">
      <w:pPr>
        <w:autoSpaceDE w:val="0"/>
        <w:autoSpaceDN w:val="0"/>
        <w:adjustRightInd w:val="0"/>
        <w:ind w:left="1440" w:hanging="1440"/>
        <w:jc w:val="both"/>
      </w:pPr>
      <w:r>
        <w:rPr>
          <w:b/>
          <w:bCs/>
          <w:u w:val="single"/>
        </w:rPr>
        <w:t>ISSUE 23A</w:t>
      </w:r>
      <w:r>
        <w:rPr>
          <w:b/>
          <w:bCs/>
        </w:rPr>
        <w:t>:</w:t>
      </w:r>
      <w:r>
        <w:rPr>
          <w:b/>
          <w:bCs/>
        </w:rPr>
        <w:tab/>
      </w:r>
      <w:r w:rsidRPr="00C67061">
        <w:rPr>
          <w:b/>
        </w:rPr>
        <w:t xml:space="preserve">What amount has DEF included in the capacity cost recovery clause for nuclear cost recovery? </w:t>
      </w:r>
    </w:p>
    <w:p w:rsidR="002D5713" w:rsidRPr="003532C8" w:rsidRDefault="002D5713" w:rsidP="002D5713">
      <w:pPr>
        <w:autoSpaceDE w:val="0"/>
        <w:autoSpaceDN w:val="0"/>
        <w:adjustRightInd w:val="0"/>
        <w:ind w:left="1440"/>
        <w:jc w:val="both"/>
      </w:pPr>
    </w:p>
    <w:p w:rsidR="002D5713" w:rsidRDefault="002D5713" w:rsidP="002D5713">
      <w:pPr>
        <w:tabs>
          <w:tab w:val="left" w:pos="8571"/>
        </w:tabs>
        <w:autoSpaceDE w:val="0"/>
        <w:autoSpaceDN w:val="0"/>
        <w:adjustRightInd w:val="0"/>
        <w:ind w:left="1440" w:hanging="1440"/>
        <w:jc w:val="both"/>
      </w:pPr>
      <w:r w:rsidRPr="003532C8">
        <w:rPr>
          <w:b/>
          <w:u w:val="single"/>
        </w:rPr>
        <w:t>STIPULATION</w:t>
      </w:r>
      <w:r w:rsidRPr="003532C8">
        <w:t>:</w:t>
      </w:r>
    </w:p>
    <w:p w:rsidR="002D5713" w:rsidRPr="003532C8" w:rsidRDefault="002D5713" w:rsidP="002D5713">
      <w:pPr>
        <w:tabs>
          <w:tab w:val="left" w:pos="8571"/>
        </w:tabs>
        <w:autoSpaceDE w:val="0"/>
        <w:autoSpaceDN w:val="0"/>
        <w:adjustRightInd w:val="0"/>
        <w:ind w:left="1440" w:hanging="1440"/>
        <w:jc w:val="both"/>
      </w:pPr>
      <w:r w:rsidRPr="003532C8">
        <w:tab/>
      </w:r>
    </w:p>
    <w:p w:rsidR="002D5713" w:rsidRPr="003532C8" w:rsidRDefault="002D5713" w:rsidP="002D5713">
      <w:pPr>
        <w:tabs>
          <w:tab w:val="left" w:pos="8571"/>
        </w:tabs>
        <w:autoSpaceDE w:val="0"/>
        <w:autoSpaceDN w:val="0"/>
        <w:adjustRightInd w:val="0"/>
        <w:ind w:left="1440" w:hanging="1440"/>
        <w:jc w:val="both"/>
      </w:pPr>
      <w:r w:rsidRPr="003532C8">
        <w:tab/>
        <w:t>Duke has included $0 in the capacity cost recovery clause for nuclear cost recovery.</w:t>
      </w:r>
    </w:p>
    <w:p w:rsidR="002D5713" w:rsidRPr="003532C8" w:rsidRDefault="002D5713" w:rsidP="002D5713">
      <w:pPr>
        <w:rPr>
          <w:b/>
          <w:bCs/>
        </w:rPr>
      </w:pPr>
    </w:p>
    <w:p w:rsidR="002D5713" w:rsidRPr="003532C8" w:rsidRDefault="002D5713" w:rsidP="002D5713">
      <w:pPr>
        <w:autoSpaceDE w:val="0"/>
        <w:autoSpaceDN w:val="0"/>
        <w:adjustRightInd w:val="0"/>
        <w:ind w:left="1440" w:hanging="1440"/>
        <w:jc w:val="both"/>
      </w:pPr>
      <w:r w:rsidRPr="003532C8">
        <w:rPr>
          <w:b/>
          <w:bCs/>
          <w:u w:val="single"/>
        </w:rPr>
        <w:t>ISSUE 23B</w:t>
      </w:r>
      <w:r w:rsidRPr="003532C8">
        <w:rPr>
          <w:b/>
          <w:bCs/>
        </w:rPr>
        <w:t>:</w:t>
      </w:r>
      <w:r w:rsidRPr="003532C8">
        <w:rPr>
          <w:b/>
          <w:bCs/>
        </w:rPr>
        <w:tab/>
      </w:r>
      <w:r w:rsidRPr="00C67061">
        <w:rPr>
          <w:b/>
        </w:rPr>
        <w:t xml:space="preserve">What is the appropriate true-up adjustment amount associated with the Hamilton </w:t>
      </w:r>
      <w:proofErr w:type="spellStart"/>
      <w:r w:rsidRPr="00C67061">
        <w:rPr>
          <w:b/>
        </w:rPr>
        <w:t>SoBRA</w:t>
      </w:r>
      <w:proofErr w:type="spellEnd"/>
      <w:r w:rsidRPr="00C67061">
        <w:rPr>
          <w:b/>
        </w:rPr>
        <w:t xml:space="preserve"> project approved by Order No. </w:t>
      </w:r>
      <w:proofErr w:type="gramStart"/>
      <w:r w:rsidRPr="00C67061">
        <w:rPr>
          <w:b/>
        </w:rPr>
        <w:t>PSC-2019-0159-FOF-EI to be refunded through the capacity clause in 2020?</w:t>
      </w:r>
      <w:proofErr w:type="gramEnd"/>
      <w:r w:rsidRPr="00C67061">
        <w:rPr>
          <w:b/>
        </w:rPr>
        <w:t xml:space="preserve"> </w:t>
      </w:r>
    </w:p>
    <w:p w:rsidR="002D5713" w:rsidRDefault="002D5713" w:rsidP="002D5713">
      <w:pPr>
        <w:tabs>
          <w:tab w:val="left" w:pos="8571"/>
        </w:tabs>
        <w:autoSpaceDE w:val="0"/>
        <w:autoSpaceDN w:val="0"/>
        <w:adjustRightInd w:val="0"/>
        <w:ind w:left="1440" w:hanging="1440"/>
        <w:jc w:val="both"/>
        <w:rPr>
          <w:b/>
          <w:u w:val="single"/>
        </w:rPr>
      </w:pPr>
    </w:p>
    <w:p w:rsidR="002D5713" w:rsidRDefault="002D5713" w:rsidP="002D5713">
      <w:pPr>
        <w:tabs>
          <w:tab w:val="left" w:pos="8571"/>
        </w:tabs>
        <w:autoSpaceDE w:val="0"/>
        <w:autoSpaceDN w:val="0"/>
        <w:adjustRightInd w:val="0"/>
        <w:ind w:left="1440" w:hanging="1440"/>
        <w:jc w:val="both"/>
      </w:pPr>
      <w:r w:rsidRPr="003532C8">
        <w:rPr>
          <w:b/>
          <w:u w:val="single"/>
        </w:rPr>
        <w:t>STIPULATION</w:t>
      </w:r>
      <w:r w:rsidRPr="003532C8">
        <w:t>:</w:t>
      </w:r>
    </w:p>
    <w:p w:rsidR="002D5713" w:rsidRDefault="002D5713" w:rsidP="002D5713">
      <w:pPr>
        <w:tabs>
          <w:tab w:val="left" w:pos="8571"/>
        </w:tabs>
        <w:autoSpaceDE w:val="0"/>
        <w:autoSpaceDN w:val="0"/>
        <w:adjustRightInd w:val="0"/>
        <w:ind w:left="1440" w:hanging="1440"/>
        <w:jc w:val="both"/>
      </w:pPr>
    </w:p>
    <w:p w:rsidR="002D5713" w:rsidRPr="003532C8" w:rsidRDefault="002D5713" w:rsidP="002D5713">
      <w:pPr>
        <w:tabs>
          <w:tab w:val="left" w:pos="8571"/>
        </w:tabs>
        <w:autoSpaceDE w:val="0"/>
        <w:autoSpaceDN w:val="0"/>
        <w:adjustRightInd w:val="0"/>
        <w:ind w:left="1440" w:hanging="1440"/>
        <w:jc w:val="both"/>
      </w:pPr>
      <w:r w:rsidRPr="003532C8">
        <w:t xml:space="preserve"> </w:t>
      </w:r>
      <w:r>
        <w:tab/>
      </w:r>
      <w:r w:rsidRPr="003532C8">
        <w:t xml:space="preserve">The appropriate true-up adjustment amount associated with the Hamilton </w:t>
      </w:r>
      <w:proofErr w:type="spellStart"/>
      <w:r w:rsidRPr="003532C8">
        <w:t>SoBRA</w:t>
      </w:r>
      <w:proofErr w:type="spellEnd"/>
      <w:r w:rsidRPr="003532C8">
        <w:t xml:space="preserve"> project approved by Order No. PSC-2019-015-FOF-EI to be refunded through the capacity clause in 2020 is $478,334, as reflected on Schedule E-12A, Lin</w:t>
      </w:r>
      <w:r>
        <w:t>e 26, in Exhibit CAM-3, Part 3</w:t>
      </w:r>
      <w:r w:rsidRPr="003532C8">
        <w:t xml:space="preserve">. </w:t>
      </w:r>
    </w:p>
    <w:p w:rsidR="002D5713" w:rsidRPr="003532C8" w:rsidRDefault="002D5713" w:rsidP="002D5713">
      <w:pPr>
        <w:rPr>
          <w:b/>
          <w:bCs/>
        </w:rPr>
      </w:pPr>
      <w:r w:rsidRPr="003532C8">
        <w:rPr>
          <w:b/>
          <w:bCs/>
        </w:rPr>
        <w:lastRenderedPageBreak/>
        <w:t>Florida Power &amp; Light Company</w:t>
      </w:r>
    </w:p>
    <w:p w:rsidR="002D5713" w:rsidRPr="003532C8" w:rsidRDefault="002D5713" w:rsidP="002D5713">
      <w:pPr>
        <w:autoSpaceDE w:val="0"/>
        <w:autoSpaceDN w:val="0"/>
        <w:adjustRightInd w:val="0"/>
        <w:jc w:val="both"/>
      </w:pPr>
    </w:p>
    <w:p w:rsidR="002D5713" w:rsidRPr="003532C8" w:rsidRDefault="002D5713" w:rsidP="002D5713">
      <w:pPr>
        <w:autoSpaceDE w:val="0"/>
        <w:autoSpaceDN w:val="0"/>
        <w:adjustRightInd w:val="0"/>
        <w:ind w:left="1440" w:hanging="1440"/>
        <w:jc w:val="both"/>
      </w:pPr>
      <w:r w:rsidRPr="003532C8">
        <w:rPr>
          <w:b/>
          <w:bCs/>
          <w:u w:val="single"/>
        </w:rPr>
        <w:t>ISSUE 24A</w:t>
      </w:r>
      <w:r w:rsidRPr="003532C8">
        <w:rPr>
          <w:b/>
          <w:bCs/>
        </w:rPr>
        <w:t>:</w:t>
      </w:r>
      <w:r w:rsidRPr="003532C8">
        <w:rPr>
          <w:b/>
          <w:bCs/>
        </w:rPr>
        <w:tab/>
      </w:r>
      <w:r w:rsidRPr="00C67061">
        <w:rPr>
          <w:b/>
        </w:rPr>
        <w:t>What amount has FPL included in the capacity cost recovery clause for nuclear cost recovery?</w:t>
      </w:r>
      <w:r w:rsidRPr="003532C8">
        <w:t xml:space="preserve"> </w:t>
      </w:r>
    </w:p>
    <w:p w:rsidR="002D5713" w:rsidRDefault="002D5713" w:rsidP="002D5713">
      <w:pPr>
        <w:tabs>
          <w:tab w:val="left" w:pos="8571"/>
        </w:tabs>
        <w:autoSpaceDE w:val="0"/>
        <w:autoSpaceDN w:val="0"/>
        <w:adjustRightInd w:val="0"/>
        <w:ind w:left="1440" w:hanging="1440"/>
        <w:jc w:val="both"/>
        <w:rPr>
          <w:b/>
          <w:u w:val="single"/>
        </w:rPr>
      </w:pPr>
    </w:p>
    <w:p w:rsidR="002D5713" w:rsidRDefault="002D5713" w:rsidP="002D5713">
      <w:pPr>
        <w:tabs>
          <w:tab w:val="left" w:pos="8571"/>
        </w:tabs>
        <w:autoSpaceDE w:val="0"/>
        <w:autoSpaceDN w:val="0"/>
        <w:adjustRightInd w:val="0"/>
        <w:ind w:left="1440" w:hanging="1440"/>
        <w:jc w:val="both"/>
      </w:pPr>
      <w:r w:rsidRPr="003532C8">
        <w:rPr>
          <w:b/>
          <w:u w:val="single"/>
        </w:rPr>
        <w:t>STIPULATION</w:t>
      </w:r>
      <w:r w:rsidRPr="003532C8">
        <w:t>:</w:t>
      </w:r>
    </w:p>
    <w:p w:rsidR="002D5713" w:rsidRDefault="002D5713" w:rsidP="002D5713">
      <w:pPr>
        <w:tabs>
          <w:tab w:val="left" w:pos="8571"/>
        </w:tabs>
        <w:autoSpaceDE w:val="0"/>
        <w:autoSpaceDN w:val="0"/>
        <w:adjustRightInd w:val="0"/>
        <w:ind w:left="1440" w:hanging="1440"/>
        <w:jc w:val="both"/>
      </w:pPr>
      <w:r>
        <w:tab/>
      </w:r>
    </w:p>
    <w:p w:rsidR="002D5713" w:rsidRPr="003532C8" w:rsidRDefault="002D5713" w:rsidP="002D5713">
      <w:pPr>
        <w:tabs>
          <w:tab w:val="left" w:pos="8571"/>
        </w:tabs>
        <w:autoSpaceDE w:val="0"/>
        <w:autoSpaceDN w:val="0"/>
        <w:adjustRightInd w:val="0"/>
        <w:ind w:left="1440" w:hanging="1440"/>
        <w:jc w:val="both"/>
      </w:pPr>
      <w:r>
        <w:tab/>
      </w:r>
      <w:proofErr w:type="gramStart"/>
      <w:r w:rsidRPr="003532C8">
        <w:t>$0.</w:t>
      </w:r>
      <w:proofErr w:type="gramEnd"/>
      <w:r w:rsidRPr="003532C8">
        <w:t xml:space="preserve"> </w:t>
      </w:r>
    </w:p>
    <w:p w:rsidR="002D5713" w:rsidRPr="003532C8" w:rsidRDefault="002D5713" w:rsidP="002D5713">
      <w:pPr>
        <w:autoSpaceDE w:val="0"/>
        <w:autoSpaceDN w:val="0"/>
        <w:adjustRightInd w:val="0"/>
        <w:ind w:left="1440" w:hanging="1440"/>
        <w:jc w:val="both"/>
        <w:rPr>
          <w:b/>
          <w:u w:val="single"/>
        </w:rPr>
      </w:pPr>
    </w:p>
    <w:p w:rsidR="002D5713" w:rsidRPr="00C67061" w:rsidRDefault="002D5713" w:rsidP="002D5713">
      <w:pPr>
        <w:ind w:left="1440" w:hanging="1440"/>
        <w:jc w:val="both"/>
        <w:rPr>
          <w:b/>
        </w:rPr>
      </w:pPr>
      <w:r w:rsidRPr="003532C8">
        <w:rPr>
          <w:b/>
          <w:u w:val="single"/>
        </w:rPr>
        <w:t>ISSUE 24B</w:t>
      </w:r>
      <w:r w:rsidRPr="003532C8">
        <w:rPr>
          <w:b/>
        </w:rPr>
        <w:t>:</w:t>
      </w:r>
      <w:r>
        <w:rPr>
          <w:b/>
        </w:rPr>
        <w:tab/>
      </w:r>
      <w:r w:rsidRPr="00C67061">
        <w:rPr>
          <w:b/>
        </w:rPr>
        <w:t xml:space="preserve">What </w:t>
      </w:r>
      <w:r w:rsidRPr="00C67061">
        <w:rPr>
          <w:b/>
          <w:bCs/>
        </w:rPr>
        <w:t>is the appropriate true-up adjustment amount</w:t>
      </w:r>
      <w:r w:rsidRPr="00C67061">
        <w:rPr>
          <w:b/>
        </w:rPr>
        <w:t xml:space="preserve"> </w:t>
      </w:r>
      <w:r w:rsidRPr="00C67061">
        <w:rPr>
          <w:b/>
          <w:bCs/>
        </w:rPr>
        <w:t xml:space="preserve">associated with </w:t>
      </w:r>
      <w:r w:rsidRPr="00C67061">
        <w:rPr>
          <w:b/>
        </w:rPr>
        <w:t xml:space="preserve">the 2017 SOBRA projects approved by Order No. </w:t>
      </w:r>
      <w:proofErr w:type="gramStart"/>
      <w:r w:rsidRPr="00C67061">
        <w:rPr>
          <w:b/>
        </w:rPr>
        <w:t>PSC-2018-0028-FOF-EI to be refunded through the capacity clause in 2020?</w:t>
      </w:r>
      <w:proofErr w:type="gramEnd"/>
      <w:r w:rsidRPr="00C67061">
        <w:rPr>
          <w:b/>
        </w:rPr>
        <w:t xml:space="preserve"> </w:t>
      </w:r>
    </w:p>
    <w:p w:rsidR="002D5713" w:rsidRPr="00C67061" w:rsidRDefault="002D5713" w:rsidP="002D5713">
      <w:pPr>
        <w:ind w:left="1440" w:hanging="1440"/>
        <w:jc w:val="both"/>
        <w:rPr>
          <w:b/>
        </w:rPr>
      </w:pPr>
    </w:p>
    <w:p w:rsidR="002D5713" w:rsidRDefault="002D5713" w:rsidP="002D5713">
      <w:pPr>
        <w:tabs>
          <w:tab w:val="left" w:pos="8571"/>
        </w:tabs>
        <w:autoSpaceDE w:val="0"/>
        <w:autoSpaceDN w:val="0"/>
        <w:adjustRightInd w:val="0"/>
        <w:ind w:left="1440" w:hanging="1440"/>
        <w:jc w:val="both"/>
      </w:pPr>
      <w:r w:rsidRPr="003532C8">
        <w:rPr>
          <w:b/>
          <w:u w:val="single"/>
        </w:rPr>
        <w:t>STIPULATION</w:t>
      </w:r>
      <w:r w:rsidRPr="003532C8">
        <w:t>:</w:t>
      </w:r>
    </w:p>
    <w:p w:rsidR="002D5713" w:rsidRDefault="002D5713" w:rsidP="002D5713">
      <w:pPr>
        <w:tabs>
          <w:tab w:val="left" w:pos="8571"/>
        </w:tabs>
        <w:autoSpaceDE w:val="0"/>
        <w:autoSpaceDN w:val="0"/>
        <w:adjustRightInd w:val="0"/>
        <w:ind w:left="1440" w:hanging="1440"/>
        <w:jc w:val="both"/>
      </w:pPr>
      <w:r>
        <w:tab/>
      </w:r>
    </w:p>
    <w:p w:rsidR="002D5713" w:rsidRDefault="002D5713" w:rsidP="002D5713">
      <w:pPr>
        <w:tabs>
          <w:tab w:val="left" w:pos="8571"/>
        </w:tabs>
        <w:autoSpaceDE w:val="0"/>
        <w:autoSpaceDN w:val="0"/>
        <w:adjustRightInd w:val="0"/>
        <w:ind w:left="1440" w:hanging="1440"/>
        <w:jc w:val="both"/>
      </w:pPr>
      <w:r>
        <w:tab/>
      </w:r>
      <w:r w:rsidRPr="003532C8">
        <w:t>$6,657,892</w:t>
      </w:r>
      <w:r>
        <w:t>, as reflected in the 2017 Project Refund Calculation Schedule (EJA-5, Page 2 of 2)</w:t>
      </w:r>
      <w:r w:rsidRPr="003532C8">
        <w:t>.</w:t>
      </w:r>
    </w:p>
    <w:p w:rsidR="002D5713" w:rsidRDefault="002D5713" w:rsidP="002D5713">
      <w:pPr>
        <w:ind w:left="1440" w:hanging="1440"/>
        <w:jc w:val="both"/>
        <w:rPr>
          <w:b/>
          <w:u w:val="single"/>
        </w:rPr>
      </w:pPr>
    </w:p>
    <w:p w:rsidR="002D5713" w:rsidRDefault="002D5713" w:rsidP="002D5713">
      <w:pPr>
        <w:ind w:left="1440" w:hanging="1440"/>
        <w:jc w:val="both"/>
      </w:pPr>
      <w:r w:rsidRPr="001230BD">
        <w:rPr>
          <w:b/>
          <w:u w:val="single"/>
        </w:rPr>
        <w:t>ISSUE 2</w:t>
      </w:r>
      <w:r>
        <w:rPr>
          <w:b/>
          <w:u w:val="single"/>
        </w:rPr>
        <w:t>4C</w:t>
      </w:r>
      <w:r w:rsidRPr="001230BD">
        <w:rPr>
          <w:b/>
        </w:rPr>
        <w:t>:</w:t>
      </w:r>
      <w:r w:rsidRPr="001230BD">
        <w:tab/>
      </w:r>
      <w:r w:rsidRPr="00613610">
        <w:rPr>
          <w:b/>
        </w:rPr>
        <w:t xml:space="preserve">What </w:t>
      </w:r>
      <w:r w:rsidRPr="00613610">
        <w:rPr>
          <w:b/>
          <w:bCs/>
        </w:rPr>
        <w:t xml:space="preserve">is the appropriate true-up amount associated with </w:t>
      </w:r>
      <w:r w:rsidRPr="00613610">
        <w:rPr>
          <w:b/>
        </w:rPr>
        <w:t xml:space="preserve">the 2018 SOBRA projects approved by Order No. </w:t>
      </w:r>
      <w:proofErr w:type="gramStart"/>
      <w:r w:rsidRPr="00613610">
        <w:rPr>
          <w:b/>
        </w:rPr>
        <w:t>PSC-2018-0028-FOF-EI to be refunded through the capacity clause in 2020?</w:t>
      </w:r>
      <w:proofErr w:type="gramEnd"/>
      <w:r w:rsidRPr="00613610">
        <w:rPr>
          <w:b/>
        </w:rPr>
        <w:t xml:space="preserve"> </w:t>
      </w:r>
    </w:p>
    <w:p w:rsidR="002D5713" w:rsidRDefault="002D5713" w:rsidP="002D5713">
      <w:pPr>
        <w:tabs>
          <w:tab w:val="left" w:pos="8571"/>
        </w:tabs>
        <w:autoSpaceDE w:val="0"/>
        <w:autoSpaceDN w:val="0"/>
        <w:adjustRightInd w:val="0"/>
        <w:ind w:left="1440" w:hanging="1440"/>
        <w:jc w:val="both"/>
      </w:pPr>
      <w:r>
        <w:rPr>
          <w:b/>
          <w:u w:val="single"/>
        </w:rPr>
        <w:t>STIPULATION</w:t>
      </w:r>
      <w:r>
        <w:t xml:space="preserve">: </w:t>
      </w:r>
    </w:p>
    <w:p w:rsidR="002D5713" w:rsidRDefault="002D5713" w:rsidP="002D5713">
      <w:pPr>
        <w:tabs>
          <w:tab w:val="left" w:pos="8571"/>
        </w:tabs>
        <w:autoSpaceDE w:val="0"/>
        <w:autoSpaceDN w:val="0"/>
        <w:adjustRightInd w:val="0"/>
        <w:ind w:left="1440" w:hanging="1440"/>
        <w:jc w:val="both"/>
      </w:pPr>
    </w:p>
    <w:p w:rsidR="002D5713" w:rsidRDefault="002D5713" w:rsidP="002D5713">
      <w:pPr>
        <w:tabs>
          <w:tab w:val="left" w:pos="8571"/>
        </w:tabs>
        <w:autoSpaceDE w:val="0"/>
        <w:autoSpaceDN w:val="0"/>
        <w:adjustRightInd w:val="0"/>
        <w:ind w:left="1440" w:hanging="1440"/>
        <w:jc w:val="both"/>
      </w:pPr>
      <w:r>
        <w:tab/>
        <w:t xml:space="preserve">The parties have </w:t>
      </w:r>
      <w:r w:rsidRPr="003532C8">
        <w:t>agreed to address this matter in the 2020 Fuel Clause cycle.</w:t>
      </w:r>
      <w:r>
        <w:tab/>
      </w:r>
    </w:p>
    <w:p w:rsidR="002D5713" w:rsidRDefault="002D5713" w:rsidP="002D5713">
      <w:pPr>
        <w:tabs>
          <w:tab w:val="left" w:pos="8571"/>
        </w:tabs>
        <w:autoSpaceDE w:val="0"/>
        <w:autoSpaceDN w:val="0"/>
        <w:adjustRightInd w:val="0"/>
        <w:ind w:left="1440" w:hanging="1440"/>
        <w:jc w:val="both"/>
      </w:pPr>
      <w:r>
        <w:rPr>
          <w:b/>
        </w:rPr>
        <w:tab/>
      </w:r>
    </w:p>
    <w:p w:rsidR="002D5713" w:rsidRDefault="002D5713" w:rsidP="002D5713">
      <w:pPr>
        <w:ind w:left="1440" w:hanging="1440"/>
        <w:jc w:val="both"/>
      </w:pPr>
      <w:r w:rsidRPr="001230BD">
        <w:rPr>
          <w:b/>
          <w:u w:val="single"/>
        </w:rPr>
        <w:t>ISSUE 2</w:t>
      </w:r>
      <w:r>
        <w:rPr>
          <w:b/>
          <w:u w:val="single"/>
        </w:rPr>
        <w:t>4D</w:t>
      </w:r>
      <w:r w:rsidRPr="001230BD">
        <w:rPr>
          <w:b/>
        </w:rPr>
        <w:t>:</w:t>
      </w:r>
      <w:r w:rsidRPr="001230BD">
        <w:tab/>
      </w:r>
      <w:r w:rsidRPr="00613610">
        <w:rPr>
          <w:b/>
        </w:rPr>
        <w:t>What are the appropriate Indiantown non-fuel base revenue requirements to be recovered through the Capacity Clause pursuant to the Commission’s approval of the Indiantown transaction in Docket No. 160154-EI for 2020?</w:t>
      </w:r>
      <w:r>
        <w:t xml:space="preserve"> </w:t>
      </w:r>
    </w:p>
    <w:p w:rsidR="002D5713" w:rsidRDefault="002D5713" w:rsidP="002D5713">
      <w:pPr>
        <w:autoSpaceDE w:val="0"/>
        <w:autoSpaceDN w:val="0"/>
        <w:adjustRightInd w:val="0"/>
        <w:jc w:val="both"/>
        <w:rPr>
          <w:bCs/>
        </w:rPr>
      </w:pPr>
    </w:p>
    <w:p w:rsidR="002D5713" w:rsidRDefault="002D5713" w:rsidP="002D5713">
      <w:pPr>
        <w:tabs>
          <w:tab w:val="left" w:pos="8571"/>
        </w:tabs>
        <w:autoSpaceDE w:val="0"/>
        <w:autoSpaceDN w:val="0"/>
        <w:adjustRightInd w:val="0"/>
        <w:ind w:left="1440" w:hanging="1440"/>
        <w:jc w:val="both"/>
      </w:pPr>
      <w:r>
        <w:rPr>
          <w:b/>
          <w:u w:val="single"/>
        </w:rPr>
        <w:t>STIPULATION</w:t>
      </w:r>
      <w:r>
        <w:t xml:space="preserve">: </w:t>
      </w:r>
    </w:p>
    <w:p w:rsidR="002D5713" w:rsidRDefault="002D5713" w:rsidP="002D5713">
      <w:pPr>
        <w:tabs>
          <w:tab w:val="left" w:pos="8571"/>
        </w:tabs>
        <w:autoSpaceDE w:val="0"/>
        <w:autoSpaceDN w:val="0"/>
        <w:adjustRightInd w:val="0"/>
        <w:ind w:left="1440" w:hanging="1440"/>
        <w:jc w:val="both"/>
      </w:pPr>
    </w:p>
    <w:p w:rsidR="002D5713" w:rsidRDefault="002D5713" w:rsidP="002D5713">
      <w:pPr>
        <w:autoSpaceDE w:val="0"/>
        <w:autoSpaceDN w:val="0"/>
        <w:adjustRightInd w:val="0"/>
        <w:ind w:left="1440"/>
        <w:jc w:val="both"/>
      </w:pPr>
      <w:r w:rsidRPr="00015825">
        <w:t xml:space="preserve">The appropriate Indiantown non-fuel base revenue requirements </w:t>
      </w:r>
      <w:r w:rsidRPr="000E1DCB">
        <w:t>to be recovered through the Capacity Clause pursuant to the Commission</w:t>
      </w:r>
      <w:r>
        <w:t>’</w:t>
      </w:r>
      <w:r w:rsidRPr="000E1DCB">
        <w:t>s approval of the Indiantown transaction in Docket No. 160154-EI for 2020</w:t>
      </w:r>
      <w:r>
        <w:t xml:space="preserve"> </w:t>
      </w:r>
      <w:r w:rsidRPr="00015825">
        <w:t>are $3,687,779</w:t>
      </w:r>
      <w:r>
        <w:t>, as reflected on Line 15 of Rate Case Allocation of Indiantown Revenue Requirement Schedule in Appendix V – 2020 CCR Projections (Exhibit RBD-10, Page 18 of 32)</w:t>
      </w:r>
      <w:r w:rsidRPr="00015825">
        <w:t>.</w:t>
      </w:r>
    </w:p>
    <w:p w:rsidR="002D5713" w:rsidRDefault="002D5713" w:rsidP="002D5713">
      <w:pPr>
        <w:autoSpaceDE w:val="0"/>
        <w:autoSpaceDN w:val="0"/>
        <w:adjustRightInd w:val="0"/>
        <w:ind w:left="1440"/>
        <w:jc w:val="both"/>
        <w:rPr>
          <w:bCs/>
        </w:rPr>
      </w:pPr>
    </w:p>
    <w:p w:rsidR="002D5713" w:rsidRDefault="002D5713" w:rsidP="002D5713">
      <w:pPr>
        <w:rPr>
          <w:b/>
          <w:bCs/>
        </w:rPr>
      </w:pPr>
      <w:r>
        <w:rPr>
          <w:b/>
          <w:bCs/>
        </w:rPr>
        <w:t>GENERIC CAPACITY COST RECOVERY FACTOR ISSUES</w:t>
      </w:r>
    </w:p>
    <w:p w:rsidR="002D5713" w:rsidRDefault="002D5713" w:rsidP="002D5713">
      <w:pPr>
        <w:autoSpaceDE w:val="0"/>
        <w:autoSpaceDN w:val="0"/>
        <w:adjustRightInd w:val="0"/>
      </w:pPr>
    </w:p>
    <w:p w:rsidR="002D5713" w:rsidRPr="003532C8" w:rsidRDefault="002D5713" w:rsidP="002D5713">
      <w:pPr>
        <w:autoSpaceDE w:val="0"/>
        <w:autoSpaceDN w:val="0"/>
        <w:adjustRightInd w:val="0"/>
        <w:ind w:left="1440" w:hanging="1440"/>
        <w:jc w:val="both"/>
      </w:pPr>
      <w:r w:rsidRPr="003532C8">
        <w:rPr>
          <w:b/>
          <w:bCs/>
          <w:u w:val="single"/>
        </w:rPr>
        <w:t>ISSUE 27:</w:t>
      </w:r>
      <w:r w:rsidRPr="003532C8">
        <w:tab/>
      </w:r>
      <w:r w:rsidRPr="00613610">
        <w:rPr>
          <w:b/>
        </w:rPr>
        <w:t>What are the appropriate final capacity cost recovery true-up amounts for the period January 2018 through December 2018?</w:t>
      </w:r>
      <w:r w:rsidRPr="003532C8">
        <w:t xml:space="preserve"> </w:t>
      </w:r>
    </w:p>
    <w:p w:rsidR="002D5713" w:rsidRPr="003532C8" w:rsidRDefault="002D5713" w:rsidP="002D5713">
      <w:pPr>
        <w:autoSpaceDE w:val="0"/>
        <w:autoSpaceDN w:val="0"/>
        <w:adjustRightInd w:val="0"/>
        <w:ind w:left="1440" w:hanging="1440"/>
        <w:jc w:val="both"/>
      </w:pPr>
    </w:p>
    <w:p w:rsidR="000E4ACB" w:rsidRDefault="000E4ACB">
      <w:pPr>
        <w:rPr>
          <w:b/>
          <w:u w:val="single"/>
        </w:rPr>
      </w:pPr>
      <w:r>
        <w:rPr>
          <w:b/>
          <w:u w:val="single"/>
        </w:rPr>
        <w:br w:type="page"/>
      </w:r>
    </w:p>
    <w:p w:rsidR="002D5713" w:rsidRDefault="002D5713" w:rsidP="002D5713">
      <w:pPr>
        <w:tabs>
          <w:tab w:val="left" w:pos="8571"/>
        </w:tabs>
        <w:autoSpaceDE w:val="0"/>
        <w:autoSpaceDN w:val="0"/>
        <w:adjustRightInd w:val="0"/>
        <w:ind w:left="1440" w:hanging="1440"/>
        <w:jc w:val="both"/>
      </w:pPr>
      <w:r w:rsidRPr="003532C8">
        <w:rPr>
          <w:b/>
          <w:u w:val="single"/>
        </w:rPr>
        <w:lastRenderedPageBreak/>
        <w:t>STIPULATION</w:t>
      </w:r>
      <w:r w:rsidRPr="003532C8">
        <w:t>:</w:t>
      </w:r>
    </w:p>
    <w:p w:rsidR="002D5713" w:rsidRPr="003532C8" w:rsidRDefault="002D5713" w:rsidP="002D5713">
      <w:pPr>
        <w:tabs>
          <w:tab w:val="left" w:pos="8571"/>
        </w:tabs>
        <w:autoSpaceDE w:val="0"/>
        <w:autoSpaceDN w:val="0"/>
        <w:adjustRightInd w:val="0"/>
        <w:ind w:left="1440" w:hanging="1440"/>
        <w:jc w:val="both"/>
      </w:pPr>
      <w:r w:rsidRPr="003532C8">
        <w:tab/>
      </w:r>
    </w:p>
    <w:p w:rsidR="002D5713" w:rsidRPr="003532C8" w:rsidRDefault="002D5713" w:rsidP="002D5713">
      <w:pPr>
        <w:tabs>
          <w:tab w:val="left" w:pos="8571"/>
        </w:tabs>
        <w:autoSpaceDE w:val="0"/>
        <w:autoSpaceDN w:val="0"/>
        <w:adjustRightInd w:val="0"/>
        <w:ind w:left="1440" w:hanging="1440"/>
        <w:jc w:val="both"/>
        <w:rPr>
          <w:bCs/>
        </w:rPr>
      </w:pPr>
      <w:r w:rsidRPr="003532C8">
        <w:rPr>
          <w:b/>
        </w:rPr>
        <w:tab/>
      </w:r>
      <w:r w:rsidRPr="003532C8">
        <w:t>The appropriate final capacity cost recovery true-up amounts for the period January 2018 through December 2018 are as follows:</w:t>
      </w:r>
    </w:p>
    <w:p w:rsidR="002D5713" w:rsidRPr="003532C8" w:rsidRDefault="002D5713" w:rsidP="002D5713">
      <w:pPr>
        <w:tabs>
          <w:tab w:val="left" w:pos="8571"/>
        </w:tabs>
        <w:autoSpaceDE w:val="0"/>
        <w:autoSpaceDN w:val="0"/>
        <w:adjustRightInd w:val="0"/>
        <w:ind w:left="1440" w:hanging="1440"/>
        <w:jc w:val="both"/>
      </w:pPr>
    </w:p>
    <w:p w:rsidR="002D5713" w:rsidRPr="003532C8" w:rsidRDefault="002D5713" w:rsidP="002D5713">
      <w:pPr>
        <w:tabs>
          <w:tab w:val="left" w:pos="8571"/>
        </w:tabs>
        <w:autoSpaceDE w:val="0"/>
        <w:autoSpaceDN w:val="0"/>
        <w:adjustRightInd w:val="0"/>
        <w:ind w:left="1440" w:hanging="1440"/>
        <w:jc w:val="both"/>
      </w:pPr>
      <w:r w:rsidRPr="00A27C99">
        <w:rPr>
          <w:b/>
        </w:rPr>
        <w:t xml:space="preserve">DEF:  </w:t>
      </w:r>
      <w:r w:rsidRPr="003532C8">
        <w:tab/>
        <w:t xml:space="preserve">$845,393, under-recovery, as reflected on Line 9 of Capacity Cost Recovery Clause Summary of Actual True-Up Amount (Exhibit CAM-2T, Sheet 1 of 3). </w:t>
      </w:r>
    </w:p>
    <w:p w:rsidR="002D5713" w:rsidRPr="003532C8" w:rsidRDefault="002D5713" w:rsidP="002D5713">
      <w:pPr>
        <w:tabs>
          <w:tab w:val="left" w:pos="8571"/>
        </w:tabs>
        <w:autoSpaceDE w:val="0"/>
        <w:autoSpaceDN w:val="0"/>
        <w:adjustRightInd w:val="0"/>
        <w:ind w:left="1440" w:hanging="1440"/>
        <w:jc w:val="both"/>
      </w:pPr>
    </w:p>
    <w:p w:rsidR="002D5713" w:rsidRPr="003532C8" w:rsidRDefault="002D5713" w:rsidP="002D5713">
      <w:pPr>
        <w:tabs>
          <w:tab w:val="left" w:pos="8571"/>
        </w:tabs>
        <w:autoSpaceDE w:val="0"/>
        <w:autoSpaceDN w:val="0"/>
        <w:adjustRightInd w:val="0"/>
        <w:ind w:left="1440" w:hanging="1440"/>
        <w:jc w:val="both"/>
      </w:pPr>
      <w:r w:rsidRPr="00A27C99">
        <w:rPr>
          <w:b/>
        </w:rPr>
        <w:t>FPL:</w:t>
      </w:r>
      <w:r>
        <w:rPr>
          <w:b/>
        </w:rPr>
        <w:tab/>
      </w:r>
      <w:r w:rsidRPr="003532C8">
        <w:rPr>
          <w:color w:val="000000" w:themeColor="text1"/>
        </w:rPr>
        <w:t>$7,161,719</w:t>
      </w:r>
      <w:r w:rsidRPr="003532C8">
        <w:t>, over-recovery, as reflected on Line 32 of Capacity Cost Recovery Clause Summary Schedule (Exhibit RBD-10, 2020 CCR Projections, Page 2 of 32).</w:t>
      </w:r>
    </w:p>
    <w:p w:rsidR="002D5713" w:rsidRPr="003532C8" w:rsidRDefault="002D5713" w:rsidP="002D5713">
      <w:pPr>
        <w:tabs>
          <w:tab w:val="left" w:pos="8571"/>
        </w:tabs>
        <w:autoSpaceDE w:val="0"/>
        <w:autoSpaceDN w:val="0"/>
        <w:adjustRightInd w:val="0"/>
        <w:ind w:left="1440" w:hanging="1440"/>
        <w:jc w:val="both"/>
      </w:pPr>
      <w:r w:rsidRPr="003532C8">
        <w:tab/>
      </w:r>
      <w:r w:rsidRPr="003532C8">
        <w:tab/>
      </w:r>
      <w:r w:rsidRPr="003532C8">
        <w:tab/>
      </w:r>
    </w:p>
    <w:p w:rsidR="002D5713" w:rsidRPr="003532C8" w:rsidRDefault="002D5713" w:rsidP="002D5713">
      <w:pPr>
        <w:tabs>
          <w:tab w:val="left" w:pos="8571"/>
        </w:tabs>
        <w:autoSpaceDE w:val="0"/>
        <w:autoSpaceDN w:val="0"/>
        <w:adjustRightInd w:val="0"/>
        <w:ind w:left="1440" w:hanging="1440"/>
        <w:jc w:val="both"/>
      </w:pPr>
      <w:r w:rsidRPr="00A27C99">
        <w:rPr>
          <w:b/>
        </w:rPr>
        <w:t xml:space="preserve">Gulf:   </w:t>
      </w:r>
      <w:r w:rsidRPr="003532C8">
        <w:t xml:space="preserve">     </w:t>
      </w:r>
      <w:r w:rsidRPr="003532C8">
        <w:tab/>
      </w:r>
      <w:r w:rsidRPr="003532C8">
        <w:rPr>
          <w:color w:val="000000" w:themeColor="text1"/>
        </w:rPr>
        <w:t>$384,798,</w:t>
      </w:r>
      <w:r w:rsidRPr="003532C8">
        <w:t xml:space="preserve"> over-recovery, as reflected on Line 3, Schedule </w:t>
      </w:r>
      <w:r>
        <w:t>CCA</w:t>
      </w:r>
      <w:r w:rsidRPr="003532C8">
        <w:t>-1, 2018 Final True-Up Schedule (Exhibit CSB-1, Page 5 of 8).</w:t>
      </w:r>
    </w:p>
    <w:p w:rsidR="002D5713" w:rsidRPr="003532C8" w:rsidRDefault="002D5713" w:rsidP="002D5713">
      <w:pPr>
        <w:tabs>
          <w:tab w:val="left" w:pos="8571"/>
        </w:tabs>
        <w:autoSpaceDE w:val="0"/>
        <w:autoSpaceDN w:val="0"/>
        <w:adjustRightInd w:val="0"/>
        <w:ind w:left="1440" w:hanging="1440"/>
        <w:jc w:val="both"/>
      </w:pPr>
    </w:p>
    <w:p w:rsidR="002D5713" w:rsidRPr="009F5C6B" w:rsidRDefault="002D5713" w:rsidP="002D5713">
      <w:pPr>
        <w:tabs>
          <w:tab w:val="left" w:pos="8571"/>
        </w:tabs>
        <w:autoSpaceDE w:val="0"/>
        <w:autoSpaceDN w:val="0"/>
        <w:adjustRightInd w:val="0"/>
        <w:ind w:left="1440" w:hanging="1440"/>
        <w:jc w:val="both"/>
      </w:pPr>
      <w:r w:rsidRPr="00A27C99">
        <w:rPr>
          <w:b/>
        </w:rPr>
        <w:t xml:space="preserve">TECO:   </w:t>
      </w:r>
      <w:r w:rsidRPr="003532C8">
        <w:t xml:space="preserve">    </w:t>
      </w:r>
      <w:r w:rsidRPr="003532C8">
        <w:tab/>
      </w:r>
      <w:r w:rsidRPr="003532C8">
        <w:rPr>
          <w:color w:val="000000" w:themeColor="text1"/>
        </w:rPr>
        <w:t>$0,</w:t>
      </w:r>
      <w:r w:rsidRPr="003532C8">
        <w:t xml:space="preserve"> as reflected on Line 3, CCR 2018 Final True-Up  (Exhibit PAR-1, Document No. 1, Page 1 of 4). The appropriate final capacity cost recovery true-up amounts for the period January 2018 through December 2018, was addressed in Order No. PSC-2019-0109-PCO-EI, Order Approving TECO’s Petition for Mid-Course Correction, issued March 22, 2019.</w:t>
      </w:r>
    </w:p>
    <w:p w:rsidR="000E4ACB" w:rsidRDefault="000E4ACB" w:rsidP="002D5713">
      <w:pPr>
        <w:autoSpaceDE w:val="0"/>
        <w:autoSpaceDN w:val="0"/>
        <w:adjustRightInd w:val="0"/>
        <w:ind w:left="1440" w:hanging="1440"/>
        <w:jc w:val="both"/>
        <w:rPr>
          <w:b/>
          <w:bCs/>
          <w:u w:val="single"/>
        </w:rPr>
      </w:pPr>
    </w:p>
    <w:p w:rsidR="002D5713" w:rsidRDefault="002D5713" w:rsidP="002D5713">
      <w:pPr>
        <w:autoSpaceDE w:val="0"/>
        <w:autoSpaceDN w:val="0"/>
        <w:adjustRightInd w:val="0"/>
        <w:ind w:left="1440" w:hanging="1440"/>
        <w:jc w:val="both"/>
      </w:pPr>
      <w:r>
        <w:rPr>
          <w:b/>
          <w:bCs/>
          <w:u w:val="single"/>
        </w:rPr>
        <w:t>ISSUE 28</w:t>
      </w:r>
      <w:r>
        <w:t>:</w:t>
      </w:r>
      <w:r>
        <w:tab/>
        <w:t xml:space="preserve">What are the appropriate capacity cost recovery actual/estimated true-up amounts for the period January 2019 through December 2019? </w:t>
      </w:r>
    </w:p>
    <w:p w:rsidR="002D5713" w:rsidRDefault="002D5713" w:rsidP="002D5713">
      <w:pPr>
        <w:rPr>
          <w:b/>
          <w:u w:val="single"/>
        </w:rPr>
      </w:pPr>
    </w:p>
    <w:p w:rsidR="002D5713" w:rsidRDefault="002D5713" w:rsidP="002D5713">
      <w:r>
        <w:rPr>
          <w:b/>
          <w:u w:val="single"/>
        </w:rPr>
        <w:t>STIPULATION</w:t>
      </w:r>
      <w:r>
        <w:t>:</w:t>
      </w:r>
    </w:p>
    <w:p w:rsidR="002D5713" w:rsidRDefault="002D5713" w:rsidP="002D5713">
      <w:pPr>
        <w:tabs>
          <w:tab w:val="left" w:pos="8571"/>
        </w:tabs>
        <w:autoSpaceDE w:val="0"/>
        <w:autoSpaceDN w:val="0"/>
        <w:adjustRightInd w:val="0"/>
        <w:ind w:left="1440" w:hanging="1440"/>
        <w:jc w:val="both"/>
      </w:pPr>
      <w:r>
        <w:tab/>
      </w:r>
    </w:p>
    <w:p w:rsidR="002D5713" w:rsidRDefault="002D5713" w:rsidP="002D5713">
      <w:pPr>
        <w:tabs>
          <w:tab w:val="left" w:pos="8571"/>
        </w:tabs>
        <w:autoSpaceDE w:val="0"/>
        <w:autoSpaceDN w:val="0"/>
        <w:adjustRightInd w:val="0"/>
        <w:ind w:left="1440" w:hanging="1440"/>
        <w:jc w:val="both"/>
        <w:rPr>
          <w:bCs/>
        </w:rPr>
      </w:pPr>
      <w:r>
        <w:rPr>
          <w:b/>
        </w:rPr>
        <w:tab/>
      </w:r>
      <w:r>
        <w:t>The appropriate capacity cost recovery actual/estimated true-up amounts for the period January 2019 through December 2019 are as follows:</w:t>
      </w:r>
    </w:p>
    <w:p w:rsidR="002D5713" w:rsidRDefault="002D5713" w:rsidP="002D5713">
      <w:pPr>
        <w:tabs>
          <w:tab w:val="left" w:pos="8571"/>
        </w:tabs>
        <w:autoSpaceDE w:val="0"/>
        <w:autoSpaceDN w:val="0"/>
        <w:adjustRightInd w:val="0"/>
        <w:ind w:left="1440" w:hanging="1440"/>
        <w:jc w:val="both"/>
      </w:pPr>
    </w:p>
    <w:p w:rsidR="002D5713" w:rsidRPr="003532C8" w:rsidRDefault="002D5713" w:rsidP="002D5713">
      <w:pPr>
        <w:tabs>
          <w:tab w:val="left" w:pos="8571"/>
        </w:tabs>
        <w:autoSpaceDE w:val="0"/>
        <w:autoSpaceDN w:val="0"/>
        <w:adjustRightInd w:val="0"/>
        <w:ind w:left="1440" w:hanging="1440"/>
        <w:jc w:val="both"/>
      </w:pPr>
      <w:r w:rsidRPr="00A27C99">
        <w:rPr>
          <w:b/>
        </w:rPr>
        <w:t xml:space="preserve">DEF:  </w:t>
      </w:r>
      <w:r w:rsidRPr="003532C8">
        <w:tab/>
        <w:t xml:space="preserve">$2,693,901, over-recovery as reflected on Line 41, Schedule E12-B (Exhibit CAM-2, Part 2, </w:t>
      </w:r>
      <w:proofErr w:type="gramStart"/>
      <w:r w:rsidRPr="003532C8">
        <w:t>Page</w:t>
      </w:r>
      <w:proofErr w:type="gramEnd"/>
      <w:r w:rsidRPr="003532C8">
        <w:t xml:space="preserve"> 1 of 2).</w:t>
      </w:r>
    </w:p>
    <w:p w:rsidR="002D5713" w:rsidRPr="003532C8" w:rsidRDefault="002D5713" w:rsidP="002D5713">
      <w:pPr>
        <w:tabs>
          <w:tab w:val="left" w:pos="8571"/>
        </w:tabs>
        <w:autoSpaceDE w:val="0"/>
        <w:autoSpaceDN w:val="0"/>
        <w:adjustRightInd w:val="0"/>
        <w:ind w:left="1440" w:hanging="1440"/>
        <w:jc w:val="both"/>
      </w:pPr>
      <w:r w:rsidRPr="003532C8">
        <w:tab/>
      </w:r>
    </w:p>
    <w:p w:rsidR="002D5713" w:rsidRPr="00937E60" w:rsidRDefault="002D5713" w:rsidP="002D5713">
      <w:pPr>
        <w:tabs>
          <w:tab w:val="left" w:pos="8571"/>
        </w:tabs>
        <w:autoSpaceDE w:val="0"/>
        <w:autoSpaceDN w:val="0"/>
        <w:adjustRightInd w:val="0"/>
        <w:ind w:left="1440" w:hanging="1440"/>
        <w:jc w:val="both"/>
      </w:pPr>
      <w:r w:rsidRPr="00A27C99">
        <w:rPr>
          <w:b/>
        </w:rPr>
        <w:t>FPL:</w:t>
      </w:r>
      <w:r w:rsidRPr="003532C8">
        <w:tab/>
      </w:r>
      <w:r w:rsidRPr="003532C8">
        <w:rPr>
          <w:color w:val="000000" w:themeColor="text1"/>
        </w:rPr>
        <w:t>$</w:t>
      </w:r>
      <w:r w:rsidRPr="003532C8">
        <w:t xml:space="preserve">9,002,615 over-recovery, as reflected on Lines </w:t>
      </w:r>
      <w:r>
        <w:t>8 plus</w:t>
      </w:r>
      <w:r w:rsidRPr="003532C8">
        <w:t xml:space="preserve"> 9, Capacity Cost Recovery Calculation of Actual/Estimated True-Up Amount (Exhibit RBD-4, 2019 CCR Actual Estimated, Page 3 of 17).</w:t>
      </w:r>
    </w:p>
    <w:p w:rsidR="002D5713" w:rsidRPr="00937E60" w:rsidRDefault="002D5713" w:rsidP="002D5713">
      <w:pPr>
        <w:tabs>
          <w:tab w:val="left" w:pos="8571"/>
        </w:tabs>
        <w:autoSpaceDE w:val="0"/>
        <w:autoSpaceDN w:val="0"/>
        <w:adjustRightInd w:val="0"/>
        <w:ind w:left="1440" w:hanging="1440"/>
        <w:jc w:val="both"/>
      </w:pPr>
      <w:r>
        <w:tab/>
      </w:r>
      <w:r w:rsidRPr="00937E60">
        <w:tab/>
      </w:r>
      <w:r w:rsidRPr="00937E60">
        <w:tab/>
      </w:r>
    </w:p>
    <w:p w:rsidR="002D5713" w:rsidRPr="003532C8" w:rsidRDefault="002D5713" w:rsidP="002D5713">
      <w:pPr>
        <w:tabs>
          <w:tab w:val="left" w:pos="8571"/>
        </w:tabs>
        <w:autoSpaceDE w:val="0"/>
        <w:autoSpaceDN w:val="0"/>
        <w:adjustRightInd w:val="0"/>
        <w:ind w:left="1440" w:hanging="1440"/>
        <w:jc w:val="both"/>
      </w:pPr>
      <w:r w:rsidRPr="00A27C99">
        <w:rPr>
          <w:b/>
        </w:rPr>
        <w:t>Gulf:</w:t>
      </w:r>
      <w:r w:rsidRPr="003532C8">
        <w:t xml:space="preserve">     </w:t>
      </w:r>
      <w:r w:rsidRPr="003532C8">
        <w:tab/>
      </w:r>
      <w:r w:rsidRPr="003532C8">
        <w:rPr>
          <w:color w:val="000000" w:themeColor="text1"/>
        </w:rPr>
        <w:t>$</w:t>
      </w:r>
      <w:r w:rsidRPr="003532C8">
        <w:t>622,746, under-recovery, as reflected on Line 1, Schedule CCE-1A, 2020 Projection Filing (Exhibit CSB-5, Page 37 of 41).</w:t>
      </w:r>
    </w:p>
    <w:p w:rsidR="002D5713" w:rsidRPr="003532C8" w:rsidRDefault="002D5713" w:rsidP="002D5713">
      <w:pPr>
        <w:tabs>
          <w:tab w:val="left" w:pos="8571"/>
        </w:tabs>
        <w:autoSpaceDE w:val="0"/>
        <w:autoSpaceDN w:val="0"/>
        <w:adjustRightInd w:val="0"/>
        <w:ind w:left="1440" w:hanging="1440"/>
        <w:jc w:val="both"/>
      </w:pPr>
    </w:p>
    <w:p w:rsidR="002D5713" w:rsidRPr="009F5C6B" w:rsidRDefault="002D5713" w:rsidP="002D5713">
      <w:pPr>
        <w:tabs>
          <w:tab w:val="left" w:pos="8571"/>
        </w:tabs>
        <w:autoSpaceDE w:val="0"/>
        <w:autoSpaceDN w:val="0"/>
        <w:adjustRightInd w:val="0"/>
        <w:ind w:left="1440" w:hanging="1440"/>
        <w:jc w:val="both"/>
      </w:pPr>
      <w:r w:rsidRPr="00A27C99">
        <w:rPr>
          <w:b/>
        </w:rPr>
        <w:t xml:space="preserve">TECO: </w:t>
      </w:r>
      <w:r w:rsidRPr="003532C8">
        <w:t xml:space="preserve">       </w:t>
      </w:r>
      <w:r w:rsidRPr="003532C8">
        <w:tab/>
      </w:r>
      <w:r w:rsidRPr="003532C8">
        <w:rPr>
          <w:color w:val="000000" w:themeColor="text1"/>
        </w:rPr>
        <w:t>$</w:t>
      </w:r>
      <w:r w:rsidRPr="003532C8">
        <w:t>2,179,217</w:t>
      </w:r>
      <w:r w:rsidRPr="003532C8">
        <w:rPr>
          <w:color w:val="000000" w:themeColor="text1"/>
        </w:rPr>
        <w:t>,</w:t>
      </w:r>
      <w:r w:rsidRPr="003532C8">
        <w:t xml:space="preserve"> under-recovery, as reflected on Line 15, Capacity Cost Recovery Calculation of the Actual/Estimated True-Up Amount (Exhibit PAR-2, Document No. 2, Page 2 of 4).</w:t>
      </w:r>
    </w:p>
    <w:p w:rsidR="002D5713" w:rsidRDefault="002D5713" w:rsidP="002D5713">
      <w:pPr>
        <w:autoSpaceDE w:val="0"/>
        <w:autoSpaceDN w:val="0"/>
        <w:adjustRightInd w:val="0"/>
        <w:jc w:val="both"/>
        <w:rPr>
          <w:b/>
          <w:bCs/>
          <w:u w:val="single"/>
        </w:rPr>
      </w:pPr>
    </w:p>
    <w:p w:rsidR="000E4ACB" w:rsidRDefault="000E4ACB">
      <w:pPr>
        <w:rPr>
          <w:b/>
          <w:bCs/>
          <w:u w:val="single"/>
        </w:rPr>
      </w:pPr>
      <w:r>
        <w:rPr>
          <w:b/>
          <w:bCs/>
          <w:u w:val="single"/>
        </w:rPr>
        <w:br w:type="page"/>
      </w:r>
    </w:p>
    <w:p w:rsidR="002D5713" w:rsidRDefault="002D5713" w:rsidP="002D5713">
      <w:pPr>
        <w:autoSpaceDE w:val="0"/>
        <w:autoSpaceDN w:val="0"/>
        <w:adjustRightInd w:val="0"/>
        <w:ind w:left="1440" w:hanging="1440"/>
        <w:jc w:val="both"/>
      </w:pPr>
      <w:r>
        <w:rPr>
          <w:b/>
          <w:bCs/>
          <w:u w:val="single"/>
        </w:rPr>
        <w:lastRenderedPageBreak/>
        <w:t>ISSUE 29</w:t>
      </w:r>
      <w:r>
        <w:t>:</w:t>
      </w:r>
      <w:r>
        <w:tab/>
      </w:r>
      <w:r w:rsidRPr="00763681">
        <w:rPr>
          <w:b/>
        </w:rPr>
        <w:t xml:space="preserve">What are the appropriate total capacity cost recovery true-up amounts to be </w:t>
      </w:r>
      <w:proofErr w:type="gramStart"/>
      <w:r w:rsidRPr="00763681">
        <w:rPr>
          <w:b/>
        </w:rPr>
        <w:t>collected/refunded</w:t>
      </w:r>
      <w:proofErr w:type="gramEnd"/>
      <w:r w:rsidRPr="00763681">
        <w:rPr>
          <w:b/>
        </w:rPr>
        <w:t xml:space="preserve"> during the period January 2020 through December 2020?</w:t>
      </w:r>
      <w:r>
        <w:t xml:space="preserve">  </w:t>
      </w:r>
    </w:p>
    <w:p w:rsidR="002D5713" w:rsidRDefault="002D5713" w:rsidP="002D5713">
      <w:pPr>
        <w:autoSpaceDE w:val="0"/>
        <w:autoSpaceDN w:val="0"/>
        <w:adjustRightInd w:val="0"/>
        <w:ind w:left="1440" w:hanging="1440"/>
        <w:jc w:val="both"/>
      </w:pPr>
    </w:p>
    <w:p w:rsidR="002D5713" w:rsidRDefault="002D5713" w:rsidP="002D5713">
      <w:pPr>
        <w:tabs>
          <w:tab w:val="left" w:pos="8571"/>
        </w:tabs>
        <w:autoSpaceDE w:val="0"/>
        <w:autoSpaceDN w:val="0"/>
        <w:adjustRightInd w:val="0"/>
        <w:ind w:left="1440" w:hanging="1440"/>
        <w:jc w:val="both"/>
      </w:pPr>
      <w:r>
        <w:rPr>
          <w:b/>
          <w:u w:val="single"/>
        </w:rPr>
        <w:t>STIPULATION</w:t>
      </w:r>
      <w:r>
        <w:t>:</w:t>
      </w:r>
    </w:p>
    <w:p w:rsidR="002D5713" w:rsidRDefault="002D5713" w:rsidP="002D5713">
      <w:pPr>
        <w:tabs>
          <w:tab w:val="left" w:pos="8571"/>
        </w:tabs>
        <w:autoSpaceDE w:val="0"/>
        <w:autoSpaceDN w:val="0"/>
        <w:adjustRightInd w:val="0"/>
        <w:ind w:left="1440" w:hanging="1440"/>
        <w:jc w:val="both"/>
      </w:pPr>
      <w:r>
        <w:tab/>
      </w:r>
    </w:p>
    <w:p w:rsidR="002D5713" w:rsidRDefault="002D5713" w:rsidP="002D5713">
      <w:pPr>
        <w:tabs>
          <w:tab w:val="left" w:pos="8571"/>
        </w:tabs>
        <w:autoSpaceDE w:val="0"/>
        <w:autoSpaceDN w:val="0"/>
        <w:adjustRightInd w:val="0"/>
        <w:ind w:left="1440" w:hanging="1440"/>
        <w:jc w:val="both"/>
        <w:rPr>
          <w:bCs/>
        </w:rPr>
      </w:pPr>
      <w:r>
        <w:rPr>
          <w:b/>
        </w:rPr>
        <w:tab/>
      </w:r>
      <w:r>
        <w:t>The appropriate total capacity cost recovery true-up amounts to be collected/refunded during the period January 2020 through December 2020 are as follows:</w:t>
      </w:r>
    </w:p>
    <w:p w:rsidR="002D5713" w:rsidRDefault="002D5713" w:rsidP="002D5713">
      <w:pPr>
        <w:tabs>
          <w:tab w:val="left" w:pos="8571"/>
        </w:tabs>
        <w:autoSpaceDE w:val="0"/>
        <w:autoSpaceDN w:val="0"/>
        <w:adjustRightInd w:val="0"/>
        <w:ind w:left="1440" w:hanging="1440"/>
        <w:jc w:val="both"/>
      </w:pPr>
    </w:p>
    <w:p w:rsidR="002D5713" w:rsidRPr="003532C8" w:rsidRDefault="002D5713" w:rsidP="002D5713">
      <w:pPr>
        <w:tabs>
          <w:tab w:val="left" w:pos="8571"/>
        </w:tabs>
        <w:autoSpaceDE w:val="0"/>
        <w:autoSpaceDN w:val="0"/>
        <w:adjustRightInd w:val="0"/>
        <w:ind w:left="1440" w:hanging="1440"/>
        <w:jc w:val="both"/>
      </w:pPr>
      <w:r w:rsidRPr="00A27C99">
        <w:rPr>
          <w:b/>
        </w:rPr>
        <w:t xml:space="preserve">DEF:  </w:t>
      </w:r>
      <w:r w:rsidRPr="003532C8">
        <w:tab/>
        <w:t xml:space="preserve">$1,848,509, over-recovery as reflected on Line 45, Schedule E12-B (Exhibit CAM-2, Part 2, </w:t>
      </w:r>
      <w:proofErr w:type="gramStart"/>
      <w:r w:rsidRPr="003532C8">
        <w:t>Page</w:t>
      </w:r>
      <w:proofErr w:type="gramEnd"/>
      <w:r w:rsidRPr="003532C8">
        <w:t xml:space="preserve"> 1 of 2).</w:t>
      </w:r>
    </w:p>
    <w:p w:rsidR="002D5713" w:rsidRPr="003532C8" w:rsidRDefault="002D5713" w:rsidP="002D5713">
      <w:pPr>
        <w:tabs>
          <w:tab w:val="left" w:pos="8571"/>
        </w:tabs>
        <w:autoSpaceDE w:val="0"/>
        <w:autoSpaceDN w:val="0"/>
        <w:adjustRightInd w:val="0"/>
        <w:ind w:left="1440" w:hanging="1440"/>
        <w:jc w:val="both"/>
      </w:pPr>
      <w:r w:rsidRPr="003532C8">
        <w:t>.</w:t>
      </w:r>
    </w:p>
    <w:p w:rsidR="002D5713" w:rsidRPr="003532C8" w:rsidRDefault="002D5713" w:rsidP="002D5713">
      <w:pPr>
        <w:tabs>
          <w:tab w:val="left" w:pos="8571"/>
        </w:tabs>
        <w:autoSpaceDE w:val="0"/>
        <w:autoSpaceDN w:val="0"/>
        <w:adjustRightInd w:val="0"/>
        <w:ind w:left="1440" w:hanging="1440"/>
        <w:jc w:val="both"/>
      </w:pPr>
      <w:r w:rsidRPr="00A27C99">
        <w:rPr>
          <w:b/>
        </w:rPr>
        <w:t>FPL:</w:t>
      </w:r>
      <w:r w:rsidRPr="003532C8">
        <w:tab/>
      </w:r>
      <w:r w:rsidRPr="003532C8">
        <w:rPr>
          <w:color w:val="000000" w:themeColor="text1"/>
        </w:rPr>
        <w:t>$</w:t>
      </w:r>
      <w:r w:rsidRPr="003532C8">
        <w:t xml:space="preserve">16,164,334, over-recovery as reflected on Line 13, Capacity Cost </w:t>
      </w:r>
      <w:proofErr w:type="gramStart"/>
      <w:r w:rsidRPr="003532C8">
        <w:t>Recovery  Calculation</w:t>
      </w:r>
      <w:proofErr w:type="gramEnd"/>
      <w:r w:rsidRPr="003532C8">
        <w:t xml:space="preserve"> of Actual/Estimated True-Up Amount (Exhibit RBD-4, 2019 CCR Actual Estimated, Page 3 of 17).</w:t>
      </w:r>
    </w:p>
    <w:p w:rsidR="002D5713" w:rsidRPr="003532C8" w:rsidRDefault="002D5713" w:rsidP="002D5713">
      <w:pPr>
        <w:tabs>
          <w:tab w:val="left" w:pos="8571"/>
        </w:tabs>
        <w:autoSpaceDE w:val="0"/>
        <w:autoSpaceDN w:val="0"/>
        <w:adjustRightInd w:val="0"/>
        <w:jc w:val="both"/>
      </w:pPr>
      <w:r w:rsidRPr="003532C8">
        <w:tab/>
      </w:r>
      <w:r w:rsidRPr="003532C8">
        <w:tab/>
      </w:r>
      <w:r w:rsidRPr="003532C8">
        <w:tab/>
      </w:r>
    </w:p>
    <w:p w:rsidR="002D5713" w:rsidRPr="003532C8" w:rsidRDefault="002D5713" w:rsidP="002D5713">
      <w:pPr>
        <w:tabs>
          <w:tab w:val="left" w:pos="8571"/>
        </w:tabs>
        <w:autoSpaceDE w:val="0"/>
        <w:autoSpaceDN w:val="0"/>
        <w:adjustRightInd w:val="0"/>
        <w:ind w:left="1440" w:hanging="1440"/>
        <w:jc w:val="both"/>
      </w:pPr>
      <w:r w:rsidRPr="00A27C99">
        <w:rPr>
          <w:b/>
        </w:rPr>
        <w:t xml:space="preserve">Gulf:     </w:t>
      </w:r>
      <w:r w:rsidRPr="003532C8">
        <w:tab/>
      </w:r>
      <w:r w:rsidRPr="003532C8">
        <w:rPr>
          <w:color w:val="000000" w:themeColor="text1"/>
        </w:rPr>
        <w:t>$</w:t>
      </w:r>
      <w:r w:rsidRPr="003532C8">
        <w:t xml:space="preserve">237,948, under-recovery, as reflected </w:t>
      </w:r>
      <w:r>
        <w:t>on Line 3, Schedule CCE-1A, 2019</w:t>
      </w:r>
      <w:r w:rsidRPr="003532C8">
        <w:t xml:space="preserve"> Est</w:t>
      </w:r>
      <w:proofErr w:type="gramStart"/>
      <w:r w:rsidR="00AB394F">
        <w:t>.</w:t>
      </w:r>
      <w:r w:rsidRPr="003532C8">
        <w:t>/</w:t>
      </w:r>
      <w:proofErr w:type="gramEnd"/>
      <w:r w:rsidRPr="003532C8">
        <w:t>Actual S</w:t>
      </w:r>
      <w:r>
        <w:t>chedules (Exhibit CSB-3, Page 28 of 32</w:t>
      </w:r>
      <w:r w:rsidRPr="003532C8">
        <w:t>).</w:t>
      </w:r>
    </w:p>
    <w:p w:rsidR="002D5713" w:rsidRPr="003532C8" w:rsidRDefault="002D5713" w:rsidP="002D5713">
      <w:pPr>
        <w:tabs>
          <w:tab w:val="left" w:pos="8571"/>
        </w:tabs>
        <w:autoSpaceDE w:val="0"/>
        <w:autoSpaceDN w:val="0"/>
        <w:adjustRightInd w:val="0"/>
        <w:ind w:left="1440" w:hanging="1440"/>
        <w:jc w:val="both"/>
      </w:pPr>
    </w:p>
    <w:p w:rsidR="002D5713" w:rsidRPr="009F5C6B" w:rsidRDefault="002D5713" w:rsidP="002D5713">
      <w:pPr>
        <w:tabs>
          <w:tab w:val="left" w:pos="8571"/>
        </w:tabs>
        <w:autoSpaceDE w:val="0"/>
        <w:autoSpaceDN w:val="0"/>
        <w:adjustRightInd w:val="0"/>
        <w:ind w:left="1440" w:hanging="1440"/>
        <w:jc w:val="both"/>
      </w:pPr>
      <w:r w:rsidRPr="00A27C99">
        <w:rPr>
          <w:b/>
        </w:rPr>
        <w:t xml:space="preserve">TECO:  </w:t>
      </w:r>
      <w:r w:rsidRPr="003532C8">
        <w:t xml:space="preserve">   </w:t>
      </w:r>
      <w:r w:rsidRPr="003532C8">
        <w:tab/>
      </w:r>
      <w:r w:rsidRPr="003532C8">
        <w:rPr>
          <w:color w:val="000000" w:themeColor="text1"/>
        </w:rPr>
        <w:t>$</w:t>
      </w:r>
      <w:r w:rsidRPr="003532C8">
        <w:t>2,179,217, under-recovery, as reflected on Line 6, Capacity Cost Recovery Calculation of the Current Period True-Up (Exhibit PAR-2, Document No. 2, Page 1 of 4).</w:t>
      </w:r>
    </w:p>
    <w:p w:rsidR="002D5713" w:rsidRDefault="002D5713" w:rsidP="002D5713">
      <w:pPr>
        <w:tabs>
          <w:tab w:val="left" w:pos="8571"/>
        </w:tabs>
        <w:autoSpaceDE w:val="0"/>
        <w:autoSpaceDN w:val="0"/>
        <w:adjustRightInd w:val="0"/>
        <w:ind w:left="1440" w:hanging="1440"/>
        <w:jc w:val="both"/>
      </w:pPr>
    </w:p>
    <w:p w:rsidR="002D5713" w:rsidRPr="00763681" w:rsidRDefault="002D5713" w:rsidP="002D5713">
      <w:pPr>
        <w:autoSpaceDE w:val="0"/>
        <w:autoSpaceDN w:val="0"/>
        <w:adjustRightInd w:val="0"/>
        <w:ind w:left="1440" w:hanging="1440"/>
        <w:jc w:val="both"/>
        <w:rPr>
          <w:b/>
        </w:rPr>
      </w:pPr>
      <w:r>
        <w:rPr>
          <w:b/>
          <w:bCs/>
          <w:caps/>
          <w:u w:val="single"/>
        </w:rPr>
        <w:t>Issue</w:t>
      </w:r>
      <w:r>
        <w:rPr>
          <w:b/>
          <w:bCs/>
          <w:u w:val="single"/>
        </w:rPr>
        <w:t xml:space="preserve"> 30</w:t>
      </w:r>
      <w:r>
        <w:rPr>
          <w:b/>
          <w:bCs/>
        </w:rPr>
        <w:t>:</w:t>
      </w:r>
      <w:r>
        <w:tab/>
      </w:r>
      <w:r w:rsidRPr="00763681">
        <w:rPr>
          <w:b/>
        </w:rPr>
        <w:t xml:space="preserve">What are the appropriate projected total capacity cost recovery amounts for the period January 2020 through December 2020?                                            </w:t>
      </w:r>
    </w:p>
    <w:p w:rsidR="002D5713" w:rsidRDefault="002D5713" w:rsidP="002D5713">
      <w:pPr>
        <w:rPr>
          <w:b/>
          <w:u w:val="single"/>
        </w:rPr>
      </w:pPr>
    </w:p>
    <w:p w:rsidR="002D5713" w:rsidRDefault="002D5713" w:rsidP="002D5713">
      <w:pPr>
        <w:tabs>
          <w:tab w:val="left" w:pos="8571"/>
        </w:tabs>
        <w:autoSpaceDE w:val="0"/>
        <w:autoSpaceDN w:val="0"/>
        <w:adjustRightInd w:val="0"/>
        <w:ind w:left="1440" w:hanging="1440"/>
        <w:jc w:val="both"/>
      </w:pPr>
      <w:r>
        <w:rPr>
          <w:b/>
          <w:u w:val="single"/>
        </w:rPr>
        <w:t>STIPULATION</w:t>
      </w:r>
      <w:r>
        <w:t>:</w:t>
      </w:r>
    </w:p>
    <w:p w:rsidR="002D5713" w:rsidRDefault="002D5713" w:rsidP="002D5713">
      <w:pPr>
        <w:tabs>
          <w:tab w:val="left" w:pos="8571"/>
        </w:tabs>
        <w:autoSpaceDE w:val="0"/>
        <w:autoSpaceDN w:val="0"/>
        <w:adjustRightInd w:val="0"/>
        <w:ind w:left="1440" w:hanging="1440"/>
        <w:jc w:val="both"/>
      </w:pPr>
      <w:r>
        <w:tab/>
      </w:r>
    </w:p>
    <w:p w:rsidR="002D5713" w:rsidRDefault="002D5713" w:rsidP="002D5713">
      <w:pPr>
        <w:tabs>
          <w:tab w:val="left" w:pos="8571"/>
        </w:tabs>
        <w:autoSpaceDE w:val="0"/>
        <w:autoSpaceDN w:val="0"/>
        <w:adjustRightInd w:val="0"/>
        <w:ind w:left="1440" w:hanging="1440"/>
        <w:jc w:val="both"/>
        <w:rPr>
          <w:bCs/>
        </w:rPr>
      </w:pPr>
      <w:r>
        <w:rPr>
          <w:b/>
        </w:rPr>
        <w:tab/>
      </w:r>
      <w:r>
        <w:t>The appropriate projected total capacity cost recovery amounts for the period January 2020 through December 2020 are as follows:</w:t>
      </w:r>
    </w:p>
    <w:p w:rsidR="002D5713" w:rsidRDefault="002D5713" w:rsidP="002D5713">
      <w:pPr>
        <w:tabs>
          <w:tab w:val="left" w:pos="8571"/>
        </w:tabs>
        <w:autoSpaceDE w:val="0"/>
        <w:autoSpaceDN w:val="0"/>
        <w:adjustRightInd w:val="0"/>
        <w:ind w:left="1440" w:hanging="1440"/>
        <w:jc w:val="both"/>
      </w:pPr>
    </w:p>
    <w:p w:rsidR="002D5713" w:rsidRPr="003532C8" w:rsidRDefault="002D5713" w:rsidP="002D5713">
      <w:pPr>
        <w:tabs>
          <w:tab w:val="left" w:pos="8571"/>
        </w:tabs>
        <w:autoSpaceDE w:val="0"/>
        <w:autoSpaceDN w:val="0"/>
        <w:adjustRightInd w:val="0"/>
        <w:ind w:left="1440" w:hanging="1440"/>
        <w:jc w:val="both"/>
      </w:pPr>
      <w:r w:rsidRPr="00A27C99">
        <w:rPr>
          <w:b/>
        </w:rPr>
        <w:t xml:space="preserve">DEF:  </w:t>
      </w:r>
      <w:r>
        <w:tab/>
      </w:r>
      <w:r w:rsidRPr="003532C8">
        <w:t>$409,624,753, as reflected on Line 28, Schedule E12-A (Exhibit CAM-2, Part 3, Page 1 of 2).</w:t>
      </w:r>
    </w:p>
    <w:p w:rsidR="002D5713" w:rsidRPr="003532C8" w:rsidRDefault="002D5713" w:rsidP="002D5713">
      <w:pPr>
        <w:tabs>
          <w:tab w:val="left" w:pos="8571"/>
        </w:tabs>
        <w:autoSpaceDE w:val="0"/>
        <w:autoSpaceDN w:val="0"/>
        <w:adjustRightInd w:val="0"/>
        <w:ind w:left="1440" w:hanging="1440"/>
        <w:jc w:val="both"/>
      </w:pPr>
      <w:r w:rsidRPr="003532C8">
        <w:rPr>
          <w:color w:val="FF0000"/>
        </w:rPr>
        <w:tab/>
      </w:r>
    </w:p>
    <w:p w:rsidR="002D5713" w:rsidRPr="003532C8" w:rsidRDefault="002D5713" w:rsidP="002D5713">
      <w:pPr>
        <w:tabs>
          <w:tab w:val="left" w:pos="8571"/>
        </w:tabs>
        <w:autoSpaceDE w:val="0"/>
        <w:autoSpaceDN w:val="0"/>
        <w:adjustRightInd w:val="0"/>
        <w:ind w:left="1440" w:hanging="1440"/>
        <w:jc w:val="both"/>
      </w:pPr>
      <w:r w:rsidRPr="00A27C99">
        <w:rPr>
          <w:b/>
        </w:rPr>
        <w:t xml:space="preserve">FPL:  </w:t>
      </w:r>
      <w:r w:rsidRPr="003532C8">
        <w:tab/>
        <w:t xml:space="preserve">$256,597,002, which excludes </w:t>
      </w:r>
      <w:r>
        <w:t>prior period true-up amounts,</w:t>
      </w:r>
      <w:r w:rsidRPr="003532C8">
        <w:t xml:space="preserve"> revenue taxes, </w:t>
      </w:r>
      <w:r>
        <w:t>and the Indiantown non-fuel base revenue requirement, as reflected on Line 30</w:t>
      </w:r>
      <w:r w:rsidRPr="003532C8">
        <w:t xml:space="preserve">,  Appendix VI - </w:t>
      </w:r>
      <w:r>
        <w:t>2020</w:t>
      </w:r>
      <w:r w:rsidRPr="003532C8">
        <w:t xml:space="preserve"> CCR Projections Schedule</w:t>
      </w:r>
      <w:r>
        <w:t xml:space="preserve"> (Exhibit RBD-10, Page 2 of 32</w:t>
      </w:r>
      <w:r w:rsidRPr="003532C8">
        <w:t xml:space="preserve">). </w:t>
      </w:r>
    </w:p>
    <w:p w:rsidR="002D5713" w:rsidRPr="00957F4E" w:rsidRDefault="002D5713" w:rsidP="002D5713">
      <w:pPr>
        <w:tabs>
          <w:tab w:val="left" w:pos="8571"/>
        </w:tabs>
        <w:autoSpaceDE w:val="0"/>
        <w:autoSpaceDN w:val="0"/>
        <w:adjustRightInd w:val="0"/>
        <w:ind w:left="1440" w:hanging="1440"/>
        <w:jc w:val="both"/>
      </w:pPr>
      <w:r w:rsidRPr="003532C8">
        <w:rPr>
          <w:color w:val="FF0000"/>
        </w:rPr>
        <w:tab/>
      </w:r>
      <w:r w:rsidRPr="003532C8">
        <w:rPr>
          <w:color w:val="FF0000"/>
        </w:rPr>
        <w:tab/>
      </w:r>
      <w:r w:rsidRPr="00957F4E">
        <w:tab/>
      </w:r>
    </w:p>
    <w:p w:rsidR="002D5713" w:rsidRPr="00957F4E" w:rsidRDefault="002D5713" w:rsidP="002D5713">
      <w:pPr>
        <w:tabs>
          <w:tab w:val="left" w:pos="8571"/>
        </w:tabs>
        <w:autoSpaceDE w:val="0"/>
        <w:autoSpaceDN w:val="0"/>
        <w:adjustRightInd w:val="0"/>
        <w:ind w:left="1440" w:hanging="1440"/>
        <w:jc w:val="both"/>
      </w:pPr>
      <w:r w:rsidRPr="00A27C99">
        <w:rPr>
          <w:b/>
        </w:rPr>
        <w:t xml:space="preserve">Gulf: </w:t>
      </w:r>
      <w:r w:rsidRPr="00957F4E">
        <w:t xml:space="preserve">      </w:t>
      </w:r>
      <w:r w:rsidRPr="00957F4E">
        <w:tab/>
        <w:t xml:space="preserve">$83,486,772, which is adjusted for jurisdictional </w:t>
      </w:r>
      <w:r>
        <w:t>separation</w:t>
      </w:r>
      <w:r w:rsidRPr="00957F4E">
        <w:t>, but excludes prior period true-up amounts, and revenue taxes, as reflected on Line 7 of Schedule CCE-1</w:t>
      </w:r>
      <w:r>
        <w:t>, 2020</w:t>
      </w:r>
      <w:r w:rsidRPr="00957F4E">
        <w:t xml:space="preserve"> Projection Filing (Exhibit CSB-5, Page 36 of 41).</w:t>
      </w:r>
    </w:p>
    <w:p w:rsidR="002D5713" w:rsidRPr="00957F4E" w:rsidRDefault="002D5713" w:rsidP="002D5713">
      <w:pPr>
        <w:tabs>
          <w:tab w:val="left" w:pos="8571"/>
        </w:tabs>
        <w:autoSpaceDE w:val="0"/>
        <w:autoSpaceDN w:val="0"/>
        <w:adjustRightInd w:val="0"/>
        <w:ind w:left="1440" w:hanging="1440"/>
        <w:jc w:val="both"/>
      </w:pPr>
    </w:p>
    <w:p w:rsidR="002D5713" w:rsidRPr="001E5CD3" w:rsidRDefault="002D5713" w:rsidP="002D5713">
      <w:pPr>
        <w:tabs>
          <w:tab w:val="left" w:pos="8571"/>
        </w:tabs>
        <w:autoSpaceDE w:val="0"/>
        <w:autoSpaceDN w:val="0"/>
        <w:adjustRightInd w:val="0"/>
        <w:ind w:left="1440" w:hanging="1440"/>
        <w:jc w:val="both"/>
      </w:pPr>
      <w:r w:rsidRPr="00A27C99">
        <w:rPr>
          <w:b/>
        </w:rPr>
        <w:t xml:space="preserve">TECO:  </w:t>
      </w:r>
      <w:r w:rsidRPr="003532C8">
        <w:t xml:space="preserve">      ($560,376),</w:t>
      </w:r>
      <w:r>
        <w:t xml:space="preserve"> which excludes </w:t>
      </w:r>
      <w:r w:rsidRPr="00D45ADB">
        <w:t>prior period true-up</w:t>
      </w:r>
      <w:r>
        <w:t xml:space="preserve"> amounts and </w:t>
      </w:r>
      <w:r w:rsidRPr="00D45ADB">
        <w:t xml:space="preserve">revenue taxes, </w:t>
      </w:r>
      <w:r>
        <w:t xml:space="preserve">as reflected on Line 6, Capacity Cost Recovery Clause Calculation of Energy and </w:t>
      </w:r>
      <w:r>
        <w:lastRenderedPageBreak/>
        <w:t xml:space="preserve">Demand Allocation </w:t>
      </w:r>
      <w:proofErr w:type="gramStart"/>
      <w:r>
        <w:t>By</w:t>
      </w:r>
      <w:proofErr w:type="gramEnd"/>
      <w:r>
        <w:t xml:space="preserve"> Rate Class (Exhibit PAR-3, Document No. 1, Page 2 of 4).</w:t>
      </w:r>
    </w:p>
    <w:p w:rsidR="002D5713" w:rsidRDefault="002D5713" w:rsidP="002D5713">
      <w:pPr>
        <w:ind w:left="1440" w:hanging="1440"/>
        <w:jc w:val="both"/>
        <w:rPr>
          <w:b/>
          <w:bCs/>
          <w:u w:val="single"/>
        </w:rPr>
      </w:pPr>
    </w:p>
    <w:p w:rsidR="002D5713" w:rsidRPr="00763681" w:rsidRDefault="002D5713" w:rsidP="002D5713">
      <w:pPr>
        <w:ind w:left="1440" w:hanging="1440"/>
        <w:jc w:val="both"/>
        <w:rPr>
          <w:b/>
        </w:rPr>
      </w:pPr>
      <w:r>
        <w:rPr>
          <w:b/>
          <w:bCs/>
          <w:u w:val="single"/>
        </w:rPr>
        <w:t>ISSUE 31</w:t>
      </w:r>
      <w:r>
        <w:t>:</w:t>
      </w:r>
      <w:r>
        <w:tab/>
      </w:r>
      <w:r w:rsidRPr="00763681">
        <w:rPr>
          <w:b/>
        </w:rPr>
        <w:t xml:space="preserve">What are the appropriate projected net purchased power capacity cost recovery amounts to be included in the recovery factor for the period January 2020 through December 2020?                                                                                 </w:t>
      </w:r>
    </w:p>
    <w:p w:rsidR="002D5713" w:rsidRPr="00763681" w:rsidRDefault="002D5713" w:rsidP="002D5713">
      <w:pPr>
        <w:autoSpaceDE w:val="0"/>
        <w:autoSpaceDN w:val="0"/>
        <w:adjustRightInd w:val="0"/>
        <w:jc w:val="both"/>
        <w:rPr>
          <w:b/>
          <w:bCs/>
          <w:u w:val="single"/>
        </w:rPr>
      </w:pPr>
    </w:p>
    <w:p w:rsidR="002D5713" w:rsidRDefault="002D5713" w:rsidP="002D5713">
      <w:pPr>
        <w:tabs>
          <w:tab w:val="left" w:pos="8571"/>
        </w:tabs>
        <w:autoSpaceDE w:val="0"/>
        <w:autoSpaceDN w:val="0"/>
        <w:adjustRightInd w:val="0"/>
        <w:ind w:left="1440" w:hanging="1440"/>
        <w:jc w:val="both"/>
      </w:pPr>
      <w:r>
        <w:rPr>
          <w:b/>
          <w:u w:val="single"/>
        </w:rPr>
        <w:t>STIPULATION</w:t>
      </w:r>
      <w:r>
        <w:t>:</w:t>
      </w:r>
    </w:p>
    <w:p w:rsidR="002D5713" w:rsidRDefault="002D5713" w:rsidP="002D5713">
      <w:pPr>
        <w:tabs>
          <w:tab w:val="left" w:pos="8571"/>
        </w:tabs>
        <w:autoSpaceDE w:val="0"/>
        <w:autoSpaceDN w:val="0"/>
        <w:adjustRightInd w:val="0"/>
        <w:ind w:left="1440" w:hanging="1440"/>
        <w:jc w:val="both"/>
      </w:pPr>
      <w:r>
        <w:tab/>
      </w:r>
    </w:p>
    <w:p w:rsidR="002D5713" w:rsidRDefault="002D5713" w:rsidP="002D5713">
      <w:pPr>
        <w:tabs>
          <w:tab w:val="left" w:pos="8571"/>
        </w:tabs>
        <w:autoSpaceDE w:val="0"/>
        <w:autoSpaceDN w:val="0"/>
        <w:adjustRightInd w:val="0"/>
        <w:ind w:left="1440" w:hanging="1440"/>
        <w:jc w:val="both"/>
        <w:rPr>
          <w:bCs/>
        </w:rPr>
      </w:pPr>
      <w:r>
        <w:rPr>
          <w:b/>
        </w:rPr>
        <w:tab/>
      </w:r>
      <w:r>
        <w:t xml:space="preserve">The appropriate projected net purchased power capacity cost recovery amounts to be included in the recovery factor for the period January 2020 </w:t>
      </w:r>
      <w:r w:rsidRPr="00493182">
        <w:t>through</w:t>
      </w:r>
      <w:r>
        <w:t xml:space="preserve"> December 2020 are as follows:</w:t>
      </w:r>
    </w:p>
    <w:p w:rsidR="002D5713" w:rsidRDefault="002D5713" w:rsidP="002D5713">
      <w:pPr>
        <w:tabs>
          <w:tab w:val="left" w:pos="8571"/>
        </w:tabs>
        <w:autoSpaceDE w:val="0"/>
        <w:autoSpaceDN w:val="0"/>
        <w:adjustRightInd w:val="0"/>
        <w:ind w:left="1440" w:hanging="1440"/>
        <w:jc w:val="both"/>
      </w:pPr>
    </w:p>
    <w:p w:rsidR="002D5713" w:rsidRPr="00D96FBE" w:rsidRDefault="002D5713" w:rsidP="002D5713">
      <w:pPr>
        <w:tabs>
          <w:tab w:val="left" w:pos="8571"/>
        </w:tabs>
        <w:autoSpaceDE w:val="0"/>
        <w:autoSpaceDN w:val="0"/>
        <w:adjustRightInd w:val="0"/>
        <w:ind w:left="1440" w:hanging="1440"/>
        <w:jc w:val="both"/>
      </w:pPr>
      <w:r w:rsidRPr="00A27C99">
        <w:rPr>
          <w:b/>
        </w:rPr>
        <w:t xml:space="preserve">DEF:  </w:t>
      </w:r>
      <w:r>
        <w:tab/>
      </w:r>
      <w:r w:rsidRPr="003532C8">
        <w:t>$414,954,634, as reflected on Line 3</w:t>
      </w:r>
      <w:r>
        <w:t>6, Schedule E12-A (Exhibit CAM-3</w:t>
      </w:r>
      <w:r w:rsidRPr="003532C8">
        <w:t>, Part 3, Page 1 of 2).</w:t>
      </w:r>
    </w:p>
    <w:p w:rsidR="002D5713" w:rsidRPr="002977A4" w:rsidRDefault="002D5713" w:rsidP="002D5713">
      <w:pPr>
        <w:tabs>
          <w:tab w:val="left" w:pos="8571"/>
        </w:tabs>
        <w:autoSpaceDE w:val="0"/>
        <w:autoSpaceDN w:val="0"/>
        <w:adjustRightInd w:val="0"/>
        <w:ind w:left="1440" w:hanging="1440"/>
        <w:jc w:val="both"/>
      </w:pPr>
      <w:r w:rsidRPr="001D74AB">
        <w:rPr>
          <w:color w:val="FF0000"/>
        </w:rPr>
        <w:tab/>
      </w:r>
    </w:p>
    <w:p w:rsidR="002D5713" w:rsidRDefault="002D5713" w:rsidP="002D5713">
      <w:pPr>
        <w:tabs>
          <w:tab w:val="left" w:pos="8571"/>
        </w:tabs>
        <w:autoSpaceDE w:val="0"/>
        <w:autoSpaceDN w:val="0"/>
        <w:adjustRightInd w:val="0"/>
        <w:ind w:left="1440" w:hanging="1440"/>
        <w:jc w:val="both"/>
      </w:pPr>
      <w:r w:rsidRPr="00A27C99">
        <w:rPr>
          <w:b/>
        </w:rPr>
        <w:t>FPL:</w:t>
      </w:r>
      <w:r>
        <w:tab/>
      </w:r>
      <w:r w:rsidRPr="003532C8">
        <w:t>$237</w:t>
      </w:r>
      <w:r>
        <w:t>,630,783, which includes the net total recoverable capacity costs of $233,94</w:t>
      </w:r>
      <w:r w:rsidRPr="003532C8">
        <w:t xml:space="preserve">3,004, as reflected on Line 37,  Appendix V - 2020 CCR Projections Schedule (Exhibit RBD-10, Page 2 of 32), plus $3,687,779, the Indiantown </w:t>
      </w:r>
      <w:r>
        <w:t xml:space="preserve">non-fuel base </w:t>
      </w:r>
      <w:r w:rsidRPr="003532C8">
        <w:t xml:space="preserve">revenue requirement, as reflected on Line 15,  Appendix V - 2020 CCR Projections Schedule </w:t>
      </w:r>
      <w:r>
        <w:t>(Exhibit RBD-10, Page 18 of 32)</w:t>
      </w:r>
      <w:r w:rsidRPr="003532C8">
        <w:t>.</w:t>
      </w:r>
      <w:r>
        <w:t xml:space="preserve"> The net total recoverable capacity costs includes the 2017 </w:t>
      </w:r>
      <w:proofErr w:type="spellStart"/>
      <w:r>
        <w:t>SoBRA</w:t>
      </w:r>
      <w:proofErr w:type="spellEnd"/>
      <w:r>
        <w:t xml:space="preserve"> true-up credit, the final true</w:t>
      </w:r>
      <w:r w:rsidR="00AB394F">
        <w:t>-</w:t>
      </w:r>
      <w:r>
        <w:t>up from 2018, and the actual/estimated true</w:t>
      </w:r>
      <w:r w:rsidR="00AB394F">
        <w:t>-</w:t>
      </w:r>
      <w:r>
        <w:t>up from 2019, and revenue taxes.</w:t>
      </w:r>
    </w:p>
    <w:p w:rsidR="002D5713" w:rsidRPr="002977A4" w:rsidRDefault="002D5713" w:rsidP="002D5713">
      <w:pPr>
        <w:tabs>
          <w:tab w:val="left" w:pos="8571"/>
        </w:tabs>
        <w:autoSpaceDE w:val="0"/>
        <w:autoSpaceDN w:val="0"/>
        <w:adjustRightInd w:val="0"/>
        <w:ind w:left="1440" w:hanging="1440"/>
        <w:jc w:val="both"/>
      </w:pPr>
      <w:r w:rsidRPr="002977A4">
        <w:tab/>
      </w:r>
      <w:r w:rsidRPr="002977A4">
        <w:tab/>
      </w:r>
      <w:r w:rsidRPr="002977A4">
        <w:tab/>
      </w:r>
    </w:p>
    <w:p w:rsidR="002D5713" w:rsidRPr="003532C8" w:rsidRDefault="002D5713" w:rsidP="002D5713">
      <w:pPr>
        <w:tabs>
          <w:tab w:val="left" w:pos="8571"/>
        </w:tabs>
        <w:autoSpaceDE w:val="0"/>
        <w:autoSpaceDN w:val="0"/>
        <w:adjustRightInd w:val="0"/>
        <w:ind w:left="1440" w:hanging="1440"/>
        <w:jc w:val="both"/>
      </w:pPr>
      <w:r w:rsidRPr="00A27C99">
        <w:rPr>
          <w:b/>
        </w:rPr>
        <w:t xml:space="preserve">Gulf: </w:t>
      </w:r>
      <w:r>
        <w:rPr>
          <w:color w:val="FF0000"/>
        </w:rPr>
        <w:t xml:space="preserve">         </w:t>
      </w:r>
      <w:r w:rsidRPr="003532C8">
        <w:t>$83,785,002, which is ad</w:t>
      </w:r>
      <w:r>
        <w:t>justed for jurisdictional separation</w:t>
      </w:r>
      <w:r w:rsidRPr="003532C8">
        <w:t xml:space="preserve">, and includes prior period true-up amounts and revenue taxes, as reflected on Line 11 </w:t>
      </w:r>
      <w:r>
        <w:t>of Schedule CCE-1, 2020</w:t>
      </w:r>
      <w:r w:rsidRPr="003532C8">
        <w:t xml:space="preserve"> Projection Filing (Exhibit CSB-5, Page 36 of 41).</w:t>
      </w:r>
    </w:p>
    <w:p w:rsidR="002D5713" w:rsidRPr="003532C8" w:rsidRDefault="002D5713" w:rsidP="002D5713">
      <w:pPr>
        <w:tabs>
          <w:tab w:val="left" w:pos="8571"/>
        </w:tabs>
        <w:autoSpaceDE w:val="0"/>
        <w:autoSpaceDN w:val="0"/>
        <w:adjustRightInd w:val="0"/>
        <w:ind w:left="1440" w:hanging="1440"/>
        <w:jc w:val="both"/>
      </w:pPr>
    </w:p>
    <w:p w:rsidR="002D5713" w:rsidRDefault="002D5713" w:rsidP="002D5713">
      <w:pPr>
        <w:tabs>
          <w:tab w:val="left" w:pos="8571"/>
        </w:tabs>
        <w:autoSpaceDE w:val="0"/>
        <w:autoSpaceDN w:val="0"/>
        <w:adjustRightInd w:val="0"/>
        <w:ind w:left="1440" w:hanging="1440"/>
        <w:jc w:val="both"/>
      </w:pPr>
      <w:r w:rsidRPr="00A27C99">
        <w:rPr>
          <w:b/>
        </w:rPr>
        <w:t xml:space="preserve">TECO:     </w:t>
      </w:r>
      <w:r w:rsidRPr="003532C8">
        <w:t xml:space="preserve">   $1,620,007, w</w:t>
      </w:r>
      <w:r>
        <w:t xml:space="preserve">hich includes </w:t>
      </w:r>
      <w:r w:rsidRPr="00D45ADB">
        <w:t>prior period true-up</w:t>
      </w:r>
      <w:r>
        <w:t xml:space="preserve"> amounts and </w:t>
      </w:r>
      <w:r w:rsidRPr="00D45ADB">
        <w:t xml:space="preserve">revenue taxes, </w:t>
      </w:r>
      <w:r>
        <w:t xml:space="preserve">as reflected on Line 10, Capacity Cost Recovery Clause Calculation of Energy and Demand Allocation </w:t>
      </w:r>
      <w:proofErr w:type="gramStart"/>
      <w:r>
        <w:t>By</w:t>
      </w:r>
      <w:proofErr w:type="gramEnd"/>
      <w:r>
        <w:t xml:space="preserve"> Rate Class (Exhibit PAR-3, Document No. 1, Page 2 of 4).</w:t>
      </w:r>
    </w:p>
    <w:p w:rsidR="002D5713" w:rsidRDefault="002D5713" w:rsidP="002D5713">
      <w:pPr>
        <w:autoSpaceDE w:val="0"/>
        <w:autoSpaceDN w:val="0"/>
        <w:adjustRightInd w:val="0"/>
        <w:ind w:left="1440" w:hanging="1440"/>
        <w:jc w:val="both"/>
        <w:rPr>
          <w:b/>
          <w:bCs/>
          <w:u w:val="single"/>
        </w:rPr>
      </w:pPr>
    </w:p>
    <w:p w:rsidR="002D5713" w:rsidRDefault="002D5713" w:rsidP="002D5713">
      <w:pPr>
        <w:autoSpaceDE w:val="0"/>
        <w:autoSpaceDN w:val="0"/>
        <w:adjustRightInd w:val="0"/>
        <w:ind w:left="1440" w:hanging="1440"/>
        <w:jc w:val="both"/>
      </w:pPr>
      <w:r>
        <w:rPr>
          <w:b/>
          <w:bCs/>
          <w:u w:val="single"/>
        </w:rPr>
        <w:t>ISSUE 32</w:t>
      </w:r>
      <w:r>
        <w:t>:</w:t>
      </w:r>
      <w:r>
        <w:tab/>
      </w:r>
      <w:r w:rsidRPr="00763681">
        <w:rPr>
          <w:b/>
        </w:rPr>
        <w:t xml:space="preserve">What are the appropriate jurisdictional separation factors for capacity revenues and costs to be included in the recovery factor for the period January 2020 through December 2020? </w:t>
      </w:r>
    </w:p>
    <w:p w:rsidR="002D5713" w:rsidRDefault="002D5713" w:rsidP="002D5713">
      <w:pPr>
        <w:autoSpaceDE w:val="0"/>
        <w:autoSpaceDN w:val="0"/>
        <w:adjustRightInd w:val="0"/>
        <w:ind w:left="1440" w:hanging="1440"/>
        <w:jc w:val="both"/>
      </w:pPr>
    </w:p>
    <w:p w:rsidR="002D5713" w:rsidRDefault="002D5713" w:rsidP="002D5713">
      <w:pPr>
        <w:tabs>
          <w:tab w:val="left" w:pos="8571"/>
        </w:tabs>
        <w:autoSpaceDE w:val="0"/>
        <w:autoSpaceDN w:val="0"/>
        <w:adjustRightInd w:val="0"/>
        <w:ind w:left="1440" w:hanging="1440"/>
        <w:jc w:val="both"/>
        <w:rPr>
          <w:b/>
        </w:rPr>
      </w:pPr>
      <w:r>
        <w:rPr>
          <w:b/>
          <w:u w:val="single"/>
        </w:rPr>
        <w:t>STIPULATION</w:t>
      </w:r>
      <w:r w:rsidRPr="00EB395D">
        <w:rPr>
          <w:b/>
        </w:rPr>
        <w:t xml:space="preserve">   </w:t>
      </w:r>
    </w:p>
    <w:p w:rsidR="002D5713" w:rsidRDefault="002D5713" w:rsidP="002D5713">
      <w:pPr>
        <w:tabs>
          <w:tab w:val="left" w:pos="8571"/>
        </w:tabs>
        <w:autoSpaceDE w:val="0"/>
        <w:autoSpaceDN w:val="0"/>
        <w:adjustRightInd w:val="0"/>
        <w:ind w:left="1440" w:hanging="1440"/>
        <w:jc w:val="both"/>
        <w:rPr>
          <w:b/>
        </w:rPr>
      </w:pPr>
    </w:p>
    <w:p w:rsidR="002D5713" w:rsidRPr="00EB395D" w:rsidRDefault="002D5713" w:rsidP="002D5713">
      <w:pPr>
        <w:tabs>
          <w:tab w:val="left" w:pos="8571"/>
        </w:tabs>
        <w:autoSpaceDE w:val="0"/>
        <w:autoSpaceDN w:val="0"/>
        <w:adjustRightInd w:val="0"/>
        <w:ind w:left="1440" w:hanging="1440"/>
        <w:jc w:val="both"/>
      </w:pPr>
      <w:r>
        <w:rPr>
          <w:b/>
        </w:rPr>
        <w:tab/>
      </w:r>
      <w:r>
        <w:t>T</w:t>
      </w:r>
      <w:r w:rsidRPr="00EB395D">
        <w:t>he appropriate jurisdictional separation factors for capacity revenues and costs to be included in the recovery fa</w:t>
      </w:r>
      <w:r>
        <w:t>ctor for the period January 2020 through December 2020 are as follows:</w:t>
      </w:r>
    </w:p>
    <w:p w:rsidR="002D5713" w:rsidRDefault="002D5713" w:rsidP="002D5713">
      <w:pPr>
        <w:tabs>
          <w:tab w:val="left" w:pos="8571"/>
        </w:tabs>
        <w:autoSpaceDE w:val="0"/>
        <w:autoSpaceDN w:val="0"/>
        <w:adjustRightInd w:val="0"/>
        <w:ind w:left="1440" w:hanging="1440"/>
        <w:jc w:val="both"/>
        <w:rPr>
          <w:b/>
        </w:rPr>
      </w:pPr>
    </w:p>
    <w:p w:rsidR="002D5713" w:rsidRPr="00957F4E" w:rsidRDefault="002D5713" w:rsidP="002D5713">
      <w:pPr>
        <w:tabs>
          <w:tab w:val="left" w:pos="8571"/>
        </w:tabs>
        <w:autoSpaceDE w:val="0"/>
        <w:autoSpaceDN w:val="0"/>
        <w:adjustRightInd w:val="0"/>
        <w:ind w:left="1440" w:hanging="1440"/>
        <w:jc w:val="both"/>
      </w:pPr>
      <w:r w:rsidRPr="00A27C99">
        <w:rPr>
          <w:b/>
        </w:rPr>
        <w:lastRenderedPageBreak/>
        <w:t>DEF:</w:t>
      </w:r>
      <w:r w:rsidRPr="003133A6">
        <w:rPr>
          <w:b/>
        </w:rPr>
        <w:tab/>
      </w:r>
      <w:r w:rsidRPr="00957F4E">
        <w:t>Base – 92.885%, Intermediate – 72.703%, and Peaking – 95.924%, as reflec</w:t>
      </w:r>
      <w:r>
        <w:t>ted on Lines 8, 14, and 21</w:t>
      </w:r>
      <w:r w:rsidRPr="00957F4E">
        <w:t>, respectively, on Schedule E12-A (Exhibit CAM-3, Part 3, Page 1 of 2).</w:t>
      </w:r>
    </w:p>
    <w:p w:rsidR="002D5713" w:rsidRPr="00957F4E" w:rsidRDefault="002D5713" w:rsidP="002D5713">
      <w:pPr>
        <w:tabs>
          <w:tab w:val="left" w:pos="8571"/>
        </w:tabs>
        <w:autoSpaceDE w:val="0"/>
        <w:autoSpaceDN w:val="0"/>
        <w:adjustRightInd w:val="0"/>
        <w:ind w:left="1440" w:hanging="1440"/>
        <w:jc w:val="both"/>
        <w:rPr>
          <w:b/>
        </w:rPr>
      </w:pPr>
    </w:p>
    <w:p w:rsidR="002D5713" w:rsidRPr="00A27C99" w:rsidRDefault="002D5713" w:rsidP="002D5713">
      <w:pPr>
        <w:keepNext/>
        <w:keepLines/>
        <w:ind w:left="1440" w:hanging="1440"/>
        <w:jc w:val="both"/>
        <w:rPr>
          <w:b/>
        </w:rPr>
      </w:pPr>
      <w:r w:rsidRPr="00A27C99">
        <w:rPr>
          <w:b/>
          <w:bCs/>
        </w:rPr>
        <w:t>FPL:</w:t>
      </w:r>
      <w:r w:rsidRPr="00A27C99">
        <w:rPr>
          <w:b/>
        </w:rPr>
        <w:tab/>
      </w:r>
    </w:p>
    <w:tbl>
      <w:tblPr>
        <w:tblStyle w:val="TableGrid"/>
        <w:tblW w:w="0" w:type="auto"/>
        <w:tblInd w:w="1440" w:type="dxa"/>
        <w:tblLook w:val="04A0" w:firstRow="1" w:lastRow="0" w:firstColumn="1" w:lastColumn="0" w:noHBand="0" w:noVBand="1"/>
      </w:tblPr>
      <w:tblGrid>
        <w:gridCol w:w="5958"/>
        <w:gridCol w:w="2178"/>
      </w:tblGrid>
      <w:tr w:rsidR="002D5713" w:rsidTr="004813E3">
        <w:tc>
          <w:tcPr>
            <w:tcW w:w="8136" w:type="dxa"/>
            <w:gridSpan w:val="2"/>
          </w:tcPr>
          <w:p w:rsidR="002D5713" w:rsidRDefault="002D5713" w:rsidP="004813E3">
            <w:pPr>
              <w:keepNext/>
              <w:keepLines/>
              <w:jc w:val="center"/>
            </w:pPr>
            <w:r>
              <w:t>2020 Projected Separation Factors</w:t>
            </w:r>
          </w:p>
        </w:tc>
      </w:tr>
      <w:tr w:rsidR="002D5713" w:rsidTr="004813E3">
        <w:tc>
          <w:tcPr>
            <w:tcW w:w="5958" w:type="dxa"/>
          </w:tcPr>
          <w:p w:rsidR="002D5713" w:rsidRDefault="002D5713" w:rsidP="004813E3">
            <w:pPr>
              <w:keepNext/>
              <w:keepLines/>
              <w:jc w:val="center"/>
            </w:pPr>
          </w:p>
        </w:tc>
        <w:tc>
          <w:tcPr>
            <w:tcW w:w="2178" w:type="dxa"/>
          </w:tcPr>
          <w:p w:rsidR="002D5713" w:rsidRDefault="002D5713" w:rsidP="004813E3">
            <w:pPr>
              <w:keepNext/>
              <w:keepLines/>
              <w:jc w:val="center"/>
            </w:pPr>
            <w:r>
              <w:t>SUMMARY</w:t>
            </w:r>
          </w:p>
        </w:tc>
      </w:tr>
      <w:tr w:rsidR="002D5713" w:rsidTr="004813E3">
        <w:tc>
          <w:tcPr>
            <w:tcW w:w="8136" w:type="dxa"/>
            <w:gridSpan w:val="2"/>
          </w:tcPr>
          <w:p w:rsidR="002D5713" w:rsidRDefault="002D5713" w:rsidP="004813E3">
            <w:pPr>
              <w:keepNext/>
              <w:keepLines/>
              <w:jc w:val="center"/>
            </w:pPr>
            <w:r>
              <w:t>DEMAND</w:t>
            </w:r>
          </w:p>
        </w:tc>
      </w:tr>
      <w:tr w:rsidR="002D5713" w:rsidTr="004813E3">
        <w:tc>
          <w:tcPr>
            <w:tcW w:w="5958" w:type="dxa"/>
          </w:tcPr>
          <w:p w:rsidR="002D5713" w:rsidRDefault="002D5713" w:rsidP="004813E3">
            <w:pPr>
              <w:keepNext/>
              <w:keepLines/>
              <w:jc w:val="both"/>
            </w:pPr>
            <w:r>
              <w:t>FPL101 - Transmission</w:t>
            </w:r>
          </w:p>
        </w:tc>
        <w:tc>
          <w:tcPr>
            <w:tcW w:w="2178" w:type="dxa"/>
          </w:tcPr>
          <w:p w:rsidR="002D5713" w:rsidRDefault="002D5713" w:rsidP="004813E3">
            <w:pPr>
              <w:keepNext/>
              <w:keepLines/>
              <w:jc w:val="center"/>
            </w:pPr>
            <w:r>
              <w:t>0.899387</w:t>
            </w:r>
          </w:p>
        </w:tc>
      </w:tr>
      <w:tr w:rsidR="002D5713" w:rsidTr="004813E3">
        <w:tc>
          <w:tcPr>
            <w:tcW w:w="5958" w:type="dxa"/>
          </w:tcPr>
          <w:p w:rsidR="002D5713" w:rsidRDefault="002D5713" w:rsidP="004813E3">
            <w:pPr>
              <w:keepNext/>
              <w:keepLines/>
              <w:jc w:val="both"/>
            </w:pPr>
            <w:r>
              <w:t>FPL102 – Non-Stratified Production</w:t>
            </w:r>
          </w:p>
        </w:tc>
        <w:tc>
          <w:tcPr>
            <w:tcW w:w="2178" w:type="dxa"/>
          </w:tcPr>
          <w:p w:rsidR="002D5713" w:rsidRDefault="002D5713" w:rsidP="004813E3">
            <w:pPr>
              <w:keepNext/>
              <w:keepLines/>
              <w:jc w:val="center"/>
            </w:pPr>
            <w:r>
              <w:t>0.957922</w:t>
            </w:r>
          </w:p>
        </w:tc>
      </w:tr>
      <w:tr w:rsidR="002D5713" w:rsidTr="004813E3">
        <w:tc>
          <w:tcPr>
            <w:tcW w:w="5958" w:type="dxa"/>
          </w:tcPr>
          <w:p w:rsidR="002D5713" w:rsidRDefault="002D5713" w:rsidP="004813E3">
            <w:pPr>
              <w:keepNext/>
              <w:keepLines/>
              <w:jc w:val="both"/>
            </w:pPr>
            <w:r>
              <w:t>FPL103INT – Intermediate Strata Production</w:t>
            </w:r>
          </w:p>
        </w:tc>
        <w:tc>
          <w:tcPr>
            <w:tcW w:w="2178" w:type="dxa"/>
          </w:tcPr>
          <w:p w:rsidR="002D5713" w:rsidRDefault="002D5713" w:rsidP="004813E3">
            <w:pPr>
              <w:keepNext/>
              <w:keepLines/>
              <w:jc w:val="center"/>
            </w:pPr>
            <w:r>
              <w:t>0.941569</w:t>
            </w:r>
          </w:p>
        </w:tc>
      </w:tr>
      <w:tr w:rsidR="002D5713" w:rsidTr="004813E3">
        <w:tc>
          <w:tcPr>
            <w:tcW w:w="5958" w:type="dxa"/>
          </w:tcPr>
          <w:p w:rsidR="002D5713" w:rsidRDefault="002D5713" w:rsidP="004813E3">
            <w:pPr>
              <w:keepNext/>
              <w:keepLines/>
              <w:jc w:val="both"/>
            </w:pPr>
            <w:r>
              <w:t>FPL103PEAK – Peaking Strata Production</w:t>
            </w:r>
          </w:p>
        </w:tc>
        <w:tc>
          <w:tcPr>
            <w:tcW w:w="2178" w:type="dxa"/>
          </w:tcPr>
          <w:p w:rsidR="002D5713" w:rsidRDefault="002D5713" w:rsidP="004813E3">
            <w:pPr>
              <w:keepNext/>
              <w:keepLines/>
              <w:jc w:val="center"/>
            </w:pPr>
            <w:r>
              <w:t>0.950455</w:t>
            </w:r>
          </w:p>
        </w:tc>
      </w:tr>
      <w:tr w:rsidR="002D5713" w:rsidTr="004813E3">
        <w:tc>
          <w:tcPr>
            <w:tcW w:w="8136" w:type="dxa"/>
            <w:gridSpan w:val="2"/>
          </w:tcPr>
          <w:p w:rsidR="002D5713" w:rsidRDefault="002D5713" w:rsidP="004813E3">
            <w:pPr>
              <w:keepNext/>
              <w:keepLines/>
              <w:jc w:val="center"/>
            </w:pPr>
            <w:r>
              <w:t>ENERGY</w:t>
            </w:r>
          </w:p>
        </w:tc>
      </w:tr>
      <w:tr w:rsidR="002D5713" w:rsidTr="004813E3">
        <w:tc>
          <w:tcPr>
            <w:tcW w:w="5958" w:type="dxa"/>
          </w:tcPr>
          <w:p w:rsidR="002D5713" w:rsidRDefault="002D5713" w:rsidP="004813E3">
            <w:pPr>
              <w:keepNext/>
              <w:keepLines/>
              <w:jc w:val="both"/>
            </w:pPr>
            <w:r>
              <w:t>FPL201 – Total Sales</w:t>
            </w:r>
          </w:p>
        </w:tc>
        <w:tc>
          <w:tcPr>
            <w:tcW w:w="2178" w:type="dxa"/>
          </w:tcPr>
          <w:p w:rsidR="002D5713" w:rsidRDefault="002D5713" w:rsidP="004813E3">
            <w:pPr>
              <w:keepNext/>
              <w:keepLines/>
              <w:jc w:val="center"/>
            </w:pPr>
            <w:r>
              <w:t>0.950640</w:t>
            </w:r>
          </w:p>
        </w:tc>
      </w:tr>
      <w:tr w:rsidR="002D5713" w:rsidTr="004813E3">
        <w:tc>
          <w:tcPr>
            <w:tcW w:w="5958" w:type="dxa"/>
          </w:tcPr>
          <w:p w:rsidR="002D5713" w:rsidRDefault="002D5713" w:rsidP="004813E3">
            <w:pPr>
              <w:keepNext/>
              <w:keepLines/>
              <w:jc w:val="both"/>
            </w:pPr>
            <w:r>
              <w:t>FPL202 – Non-Stratified Sales</w:t>
            </w:r>
          </w:p>
        </w:tc>
        <w:tc>
          <w:tcPr>
            <w:tcW w:w="2178" w:type="dxa"/>
          </w:tcPr>
          <w:p w:rsidR="002D5713" w:rsidRDefault="002D5713" w:rsidP="004813E3">
            <w:pPr>
              <w:keepNext/>
              <w:keepLines/>
              <w:jc w:val="center"/>
            </w:pPr>
            <w:r>
              <w:t>0.958799</w:t>
            </w:r>
          </w:p>
        </w:tc>
      </w:tr>
      <w:tr w:rsidR="002D5713" w:rsidTr="004813E3">
        <w:tc>
          <w:tcPr>
            <w:tcW w:w="5958" w:type="dxa"/>
          </w:tcPr>
          <w:p w:rsidR="002D5713" w:rsidRDefault="002D5713" w:rsidP="004813E3">
            <w:pPr>
              <w:keepNext/>
              <w:keepLines/>
              <w:jc w:val="both"/>
            </w:pPr>
            <w:r>
              <w:t>FPL203INT – Intermediate Strata Sales</w:t>
            </w:r>
          </w:p>
        </w:tc>
        <w:tc>
          <w:tcPr>
            <w:tcW w:w="2178" w:type="dxa"/>
          </w:tcPr>
          <w:p w:rsidR="002D5713" w:rsidRDefault="002D5713" w:rsidP="004813E3">
            <w:pPr>
              <w:keepNext/>
              <w:keepLines/>
              <w:jc w:val="center"/>
            </w:pPr>
            <w:r>
              <w:t>0.942430</w:t>
            </w:r>
          </w:p>
        </w:tc>
      </w:tr>
      <w:tr w:rsidR="002D5713" w:rsidTr="004813E3">
        <w:tc>
          <w:tcPr>
            <w:tcW w:w="5958" w:type="dxa"/>
          </w:tcPr>
          <w:p w:rsidR="002D5713" w:rsidRDefault="002D5713" w:rsidP="004813E3">
            <w:pPr>
              <w:keepNext/>
              <w:keepLines/>
              <w:jc w:val="both"/>
            </w:pPr>
            <w:r>
              <w:t>FPL203PEAK – Peaking Strata Sales</w:t>
            </w:r>
          </w:p>
        </w:tc>
        <w:tc>
          <w:tcPr>
            <w:tcW w:w="2178" w:type="dxa"/>
          </w:tcPr>
          <w:p w:rsidR="002D5713" w:rsidRDefault="002D5713" w:rsidP="004813E3">
            <w:pPr>
              <w:keepNext/>
              <w:keepLines/>
              <w:jc w:val="center"/>
            </w:pPr>
            <w:r>
              <w:t>0.951325</w:t>
            </w:r>
          </w:p>
        </w:tc>
      </w:tr>
      <w:tr w:rsidR="002D5713" w:rsidTr="004813E3">
        <w:tc>
          <w:tcPr>
            <w:tcW w:w="8136" w:type="dxa"/>
            <w:gridSpan w:val="2"/>
          </w:tcPr>
          <w:p w:rsidR="002D5713" w:rsidRDefault="002D5713" w:rsidP="004813E3">
            <w:pPr>
              <w:keepNext/>
              <w:keepLines/>
              <w:jc w:val="center"/>
            </w:pPr>
            <w:r>
              <w:t>GENERAL PLANT</w:t>
            </w:r>
          </w:p>
        </w:tc>
      </w:tr>
      <w:tr w:rsidR="002D5713" w:rsidTr="004813E3">
        <w:tc>
          <w:tcPr>
            <w:tcW w:w="5958" w:type="dxa"/>
          </w:tcPr>
          <w:p w:rsidR="002D5713" w:rsidRDefault="002D5713" w:rsidP="004813E3">
            <w:pPr>
              <w:keepNext/>
              <w:keepLines/>
              <w:jc w:val="both"/>
            </w:pPr>
            <w:r>
              <w:t>I900 - LABOR</w:t>
            </w:r>
          </w:p>
        </w:tc>
        <w:tc>
          <w:tcPr>
            <w:tcW w:w="2178" w:type="dxa"/>
          </w:tcPr>
          <w:p w:rsidR="002D5713" w:rsidRDefault="002D5713" w:rsidP="004813E3">
            <w:pPr>
              <w:keepNext/>
              <w:keepLines/>
              <w:jc w:val="center"/>
            </w:pPr>
            <w:r>
              <w:t>0.969124</w:t>
            </w:r>
          </w:p>
        </w:tc>
      </w:tr>
    </w:tbl>
    <w:p w:rsidR="002D5713" w:rsidRPr="00957F4E" w:rsidRDefault="002D5713" w:rsidP="002D5713">
      <w:pPr>
        <w:keepNext/>
        <w:keepLines/>
        <w:ind w:left="1440" w:hanging="1440"/>
        <w:jc w:val="both"/>
      </w:pPr>
      <w:r w:rsidRPr="00957F4E">
        <w:t xml:space="preserve"> </w:t>
      </w:r>
      <w:r>
        <w:tab/>
        <w:t>Source: Appendix V – 2020 CCR Projections (Exhibit RBD-10, Page 23 of 32).</w:t>
      </w:r>
    </w:p>
    <w:p w:rsidR="002D5713" w:rsidRPr="00957F4E" w:rsidRDefault="002D5713" w:rsidP="002D5713">
      <w:pPr>
        <w:jc w:val="both"/>
        <w:rPr>
          <w:b/>
        </w:rPr>
      </w:pPr>
    </w:p>
    <w:p w:rsidR="002D5713" w:rsidRPr="00957F4E" w:rsidRDefault="002D5713" w:rsidP="002D5713">
      <w:pPr>
        <w:tabs>
          <w:tab w:val="left" w:pos="8571"/>
        </w:tabs>
        <w:autoSpaceDE w:val="0"/>
        <w:autoSpaceDN w:val="0"/>
        <w:adjustRightInd w:val="0"/>
        <w:ind w:left="1440" w:hanging="1440"/>
        <w:jc w:val="both"/>
      </w:pPr>
      <w:r w:rsidRPr="00A27C99">
        <w:rPr>
          <w:b/>
        </w:rPr>
        <w:t>Gulf:</w:t>
      </w:r>
      <w:r w:rsidRPr="00957F4E">
        <w:rPr>
          <w:b/>
        </w:rPr>
        <w:tab/>
      </w:r>
      <w:r w:rsidRPr="00957F4E">
        <w:t xml:space="preserve">FPSC – 97.23427%, and FERC – 2.76573%, as reflected on </w:t>
      </w:r>
      <w:r>
        <w:t>Schedule CCE-1, 2020</w:t>
      </w:r>
      <w:r w:rsidRPr="00957F4E">
        <w:t xml:space="preserve"> Projection Filing (Exhibit CSB-5, Page 36 of 41).</w:t>
      </w:r>
    </w:p>
    <w:p w:rsidR="002D5713" w:rsidRPr="00957F4E" w:rsidRDefault="002D5713" w:rsidP="002D5713">
      <w:pPr>
        <w:jc w:val="both"/>
        <w:rPr>
          <w:b/>
        </w:rPr>
      </w:pPr>
    </w:p>
    <w:p w:rsidR="002D5713" w:rsidRDefault="002D5713" w:rsidP="002D5713">
      <w:pPr>
        <w:tabs>
          <w:tab w:val="left" w:pos="8571"/>
        </w:tabs>
        <w:autoSpaceDE w:val="0"/>
        <w:autoSpaceDN w:val="0"/>
        <w:adjustRightInd w:val="0"/>
        <w:ind w:left="1440" w:hanging="1440"/>
        <w:jc w:val="both"/>
      </w:pPr>
      <w:r w:rsidRPr="00A27C99">
        <w:rPr>
          <w:b/>
        </w:rPr>
        <w:t>TECO:</w:t>
      </w:r>
      <w:r w:rsidRPr="00957F4E">
        <w:rPr>
          <w:b/>
        </w:rPr>
        <w:tab/>
      </w:r>
      <w:r w:rsidRPr="00957F4E">
        <w:rPr>
          <w:bCs/>
        </w:rPr>
        <w:t>The appropriate jurisdictional separation factor is 1.00</w:t>
      </w:r>
      <w:r w:rsidRPr="00957F4E">
        <w:t xml:space="preserve">, as reflected on Line 5, Capacity Cost Recovery Clause Calculation of Energy and Demand Allocation </w:t>
      </w:r>
      <w:proofErr w:type="gramStart"/>
      <w:r w:rsidRPr="00957F4E">
        <w:t>By</w:t>
      </w:r>
      <w:proofErr w:type="gramEnd"/>
      <w:r w:rsidRPr="00957F4E">
        <w:t xml:space="preserve"> Rate Class (Exhibit PAR-3, Document No. 1, Page 2 of 4).</w:t>
      </w:r>
    </w:p>
    <w:p w:rsidR="00712315" w:rsidRPr="00957F4E" w:rsidRDefault="00712315" w:rsidP="002D5713">
      <w:pPr>
        <w:tabs>
          <w:tab w:val="left" w:pos="8571"/>
        </w:tabs>
        <w:autoSpaceDE w:val="0"/>
        <w:autoSpaceDN w:val="0"/>
        <w:adjustRightInd w:val="0"/>
        <w:ind w:left="1440" w:hanging="1440"/>
        <w:jc w:val="both"/>
      </w:pPr>
    </w:p>
    <w:p w:rsidR="002D5713" w:rsidRPr="00763681" w:rsidRDefault="002D5713" w:rsidP="002D5713">
      <w:pPr>
        <w:autoSpaceDE w:val="0"/>
        <w:autoSpaceDN w:val="0"/>
        <w:adjustRightInd w:val="0"/>
        <w:ind w:left="1440" w:hanging="1440"/>
        <w:jc w:val="both"/>
        <w:rPr>
          <w:b/>
          <w:bCs/>
        </w:rPr>
      </w:pPr>
      <w:r>
        <w:rPr>
          <w:b/>
          <w:bCs/>
          <w:u w:val="single"/>
        </w:rPr>
        <w:t>ISSUE 33</w:t>
      </w:r>
      <w:r>
        <w:t>:</w:t>
      </w:r>
      <w:r>
        <w:tab/>
      </w:r>
      <w:r w:rsidRPr="00763681">
        <w:rPr>
          <w:b/>
        </w:rPr>
        <w:t>What are the appropriate capacity cost recovery factors for the period January 2020 through December 2020?</w:t>
      </w:r>
    </w:p>
    <w:p w:rsidR="002D5713" w:rsidRDefault="002D5713" w:rsidP="002D5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D5713" w:rsidRDefault="002D5713" w:rsidP="002D5713">
      <w:pPr>
        <w:keepNext/>
        <w:tabs>
          <w:tab w:val="left" w:pos="8571"/>
        </w:tabs>
        <w:autoSpaceDE w:val="0"/>
        <w:autoSpaceDN w:val="0"/>
        <w:adjustRightInd w:val="0"/>
        <w:ind w:left="1440" w:hanging="1440"/>
        <w:jc w:val="both"/>
        <w:rPr>
          <w:b/>
          <w:u w:val="single"/>
        </w:rPr>
      </w:pPr>
      <w:r>
        <w:rPr>
          <w:b/>
          <w:u w:val="single"/>
        </w:rPr>
        <w:t>STIPULATION</w:t>
      </w:r>
    </w:p>
    <w:p w:rsidR="002D5713" w:rsidRDefault="002D5713" w:rsidP="002D5713">
      <w:pPr>
        <w:keepNext/>
        <w:tabs>
          <w:tab w:val="left" w:pos="8571"/>
        </w:tabs>
        <w:autoSpaceDE w:val="0"/>
        <w:autoSpaceDN w:val="0"/>
        <w:adjustRightInd w:val="0"/>
        <w:ind w:left="1440" w:hanging="1440"/>
        <w:jc w:val="both"/>
        <w:rPr>
          <w:b/>
        </w:rPr>
      </w:pPr>
      <w:r>
        <w:rPr>
          <w:b/>
        </w:rPr>
        <w:tab/>
      </w:r>
    </w:p>
    <w:p w:rsidR="002D5713" w:rsidRDefault="002D5713" w:rsidP="002D5713">
      <w:pPr>
        <w:keepNext/>
        <w:tabs>
          <w:tab w:val="left" w:pos="8571"/>
        </w:tabs>
        <w:autoSpaceDE w:val="0"/>
        <w:autoSpaceDN w:val="0"/>
        <w:adjustRightInd w:val="0"/>
        <w:ind w:left="1440" w:hanging="1440"/>
        <w:jc w:val="both"/>
        <w:rPr>
          <w:bCs/>
        </w:rPr>
      </w:pPr>
      <w:r>
        <w:rPr>
          <w:b/>
        </w:rPr>
        <w:tab/>
      </w:r>
      <w:r w:rsidRPr="008D3FEA">
        <w:t xml:space="preserve">The appropriate capacity cost recovery factors for the period January </w:t>
      </w:r>
      <w:r>
        <w:t>2020 through December 2020</w:t>
      </w:r>
      <w:r w:rsidRPr="008D3FEA">
        <w:t xml:space="preserve"> are show</w:t>
      </w:r>
      <w:r>
        <w:t xml:space="preserve">n in </w:t>
      </w:r>
      <w:r>
        <w:rPr>
          <w:bCs/>
        </w:rPr>
        <w:t xml:space="preserve">Tables 33-1 through 33-6 below. </w:t>
      </w:r>
    </w:p>
    <w:p w:rsidR="002D5713" w:rsidRDefault="002D5713" w:rsidP="002D5713">
      <w:pPr>
        <w:keepNext/>
        <w:tabs>
          <w:tab w:val="left" w:pos="8571"/>
        </w:tabs>
        <w:autoSpaceDE w:val="0"/>
        <w:autoSpaceDN w:val="0"/>
        <w:adjustRightInd w:val="0"/>
        <w:ind w:left="1440" w:hanging="1440"/>
        <w:jc w:val="both"/>
      </w:pPr>
    </w:p>
    <w:p w:rsidR="002D5713" w:rsidRDefault="002D5713" w:rsidP="002D5713">
      <w:pPr>
        <w:keepNext/>
        <w:tabs>
          <w:tab w:val="left" w:pos="8571"/>
        </w:tabs>
        <w:autoSpaceDE w:val="0"/>
        <w:autoSpaceDN w:val="0"/>
        <w:adjustRightInd w:val="0"/>
        <w:ind w:left="1440" w:hanging="1440"/>
        <w:jc w:val="both"/>
      </w:pPr>
      <w:r w:rsidRPr="00A27C99">
        <w:rPr>
          <w:b/>
        </w:rPr>
        <w:t>DEF:</w:t>
      </w:r>
      <w:r>
        <w:tab/>
        <w:t xml:space="preserve">The appropriate capacity cost recovery factors for the period January 2020 through December 2020 are shown in Table 33-1 below. </w:t>
      </w:r>
    </w:p>
    <w:p w:rsidR="000E4ACB" w:rsidRDefault="000E4ACB">
      <w:r>
        <w:br w:type="page"/>
      </w:r>
    </w:p>
    <w:p w:rsidR="002D5713" w:rsidRDefault="002D5713" w:rsidP="002D5713">
      <w:pPr>
        <w:jc w:val="center"/>
        <w:rPr>
          <w:rFonts w:ascii="Arial" w:hAnsi="Arial" w:cs="Arial"/>
          <w:b/>
        </w:rPr>
      </w:pPr>
      <w:r>
        <w:rPr>
          <w:rFonts w:ascii="Arial" w:hAnsi="Arial" w:cs="Arial"/>
          <w:b/>
        </w:rPr>
        <w:lastRenderedPageBreak/>
        <w:t>Table 33-1</w:t>
      </w:r>
    </w:p>
    <w:p w:rsidR="002D5713" w:rsidRDefault="002D5713" w:rsidP="002D5713">
      <w:pPr>
        <w:keepNext/>
        <w:keepLines/>
        <w:jc w:val="center"/>
      </w:pPr>
      <w:r>
        <w:rPr>
          <w:rFonts w:ascii="Arial" w:hAnsi="Arial" w:cs="Arial"/>
          <w:b/>
        </w:rPr>
        <w:t>DEF Capacity Cost Recovery Factors for the period January-December, 2020</w:t>
      </w:r>
    </w:p>
    <w:tbl>
      <w:tblPr>
        <w:tblStyle w:val="TableGrid"/>
        <w:tblW w:w="0" w:type="auto"/>
        <w:tblLook w:val="04A0" w:firstRow="1" w:lastRow="0" w:firstColumn="1" w:lastColumn="0" w:noHBand="0" w:noVBand="1"/>
      </w:tblPr>
      <w:tblGrid>
        <w:gridCol w:w="1673"/>
        <w:gridCol w:w="4555"/>
        <w:gridCol w:w="1620"/>
        <w:gridCol w:w="1728"/>
      </w:tblGrid>
      <w:tr w:rsidR="002D5713" w:rsidRPr="00957F4E" w:rsidTr="004813E3">
        <w:tc>
          <w:tcPr>
            <w:tcW w:w="62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autoSpaceDE w:val="0"/>
              <w:autoSpaceDN w:val="0"/>
              <w:adjustRightInd w:val="0"/>
              <w:jc w:val="center"/>
              <w:rPr>
                <w:b/>
                <w:bCs/>
              </w:rPr>
            </w:pPr>
            <w:r w:rsidRPr="00957F4E">
              <w:rPr>
                <w:b/>
                <w:bCs/>
              </w:rPr>
              <w:t>Rate Class</w:t>
            </w:r>
          </w:p>
        </w:tc>
        <w:tc>
          <w:tcPr>
            <w:tcW w:w="3348" w:type="dxa"/>
            <w:gridSpan w:val="2"/>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
                <w:bCs/>
              </w:rPr>
            </w:pPr>
            <w:r w:rsidRPr="00957F4E">
              <w:rPr>
                <w:b/>
                <w:bCs/>
              </w:rPr>
              <w:t xml:space="preserve">2020 Capacity  </w:t>
            </w:r>
          </w:p>
          <w:p w:rsidR="002D5713" w:rsidRPr="00957F4E" w:rsidRDefault="002D5713" w:rsidP="004813E3">
            <w:pPr>
              <w:autoSpaceDE w:val="0"/>
              <w:autoSpaceDN w:val="0"/>
              <w:adjustRightInd w:val="0"/>
              <w:jc w:val="center"/>
              <w:rPr>
                <w:b/>
                <w:bCs/>
              </w:rPr>
            </w:pPr>
            <w:r w:rsidRPr="00957F4E">
              <w:rPr>
                <w:b/>
                <w:bCs/>
              </w:rPr>
              <w:t xml:space="preserve">Cost Recovery Factors </w:t>
            </w:r>
          </w:p>
        </w:tc>
      </w:tr>
      <w:tr w:rsidR="002D5713" w:rsidRPr="00957F4E" w:rsidTr="004813E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
                <w:bCs/>
              </w:rPr>
            </w:pPr>
          </w:p>
        </w:tc>
        <w:tc>
          <w:tcPr>
            <w:tcW w:w="1620"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 xml:space="preserve">Cents / </w:t>
            </w:r>
          </w:p>
          <w:p w:rsidR="002D5713" w:rsidRPr="00957F4E" w:rsidRDefault="002D5713" w:rsidP="004813E3">
            <w:pPr>
              <w:autoSpaceDE w:val="0"/>
              <w:autoSpaceDN w:val="0"/>
              <w:adjustRightInd w:val="0"/>
              <w:jc w:val="center"/>
              <w:rPr>
                <w:bCs/>
              </w:rPr>
            </w:pPr>
            <w:r w:rsidRPr="00957F4E">
              <w:rPr>
                <w:bCs/>
              </w:rPr>
              <w:t>kWh</w:t>
            </w: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Dollars /     kW-month</w:t>
            </w:r>
          </w:p>
        </w:tc>
      </w:tr>
      <w:tr w:rsidR="002D5713" w:rsidRPr="00957F4E" w:rsidTr="004813E3">
        <w:tc>
          <w:tcPr>
            <w:tcW w:w="6228" w:type="dxa"/>
            <w:gridSpan w:val="2"/>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rPr>
                <w:bCs/>
              </w:rPr>
            </w:pPr>
            <w:r w:rsidRPr="00957F4E">
              <w:rPr>
                <w:bCs/>
              </w:rPr>
              <w:t xml:space="preserve">Residential (RS-1, RST-1, RSL-1, RSL-2, RSS-1)                At Secondary Voltage </w:t>
            </w:r>
          </w:p>
        </w:tc>
        <w:tc>
          <w:tcPr>
            <w:tcW w:w="1620"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1.200</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autoSpaceDE w:val="0"/>
              <w:autoSpaceDN w:val="0"/>
              <w:adjustRightInd w:val="0"/>
              <w:jc w:val="center"/>
              <w:rPr>
                <w:bCs/>
              </w:rPr>
            </w:pPr>
          </w:p>
        </w:tc>
      </w:tr>
      <w:tr w:rsidR="002D5713" w:rsidRPr="00957F4E" w:rsidTr="004813E3">
        <w:tc>
          <w:tcPr>
            <w:tcW w:w="6228" w:type="dxa"/>
            <w:gridSpan w:val="2"/>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rPr>
                <w:bCs/>
              </w:rPr>
            </w:pPr>
            <w:r w:rsidRPr="00957F4E">
              <w:rPr>
                <w:bCs/>
              </w:rPr>
              <w:t>General Service Non-Demand (GS-1, GST-1)</w:t>
            </w:r>
          </w:p>
        </w:tc>
        <w:tc>
          <w:tcPr>
            <w:tcW w:w="1620" w:type="dxa"/>
            <w:tcBorders>
              <w:top w:val="single" w:sz="4" w:space="0" w:color="auto"/>
              <w:left w:val="single" w:sz="4" w:space="0" w:color="auto"/>
              <w:bottom w:val="single" w:sz="4" w:space="0" w:color="auto"/>
              <w:right w:val="single" w:sz="4" w:space="0" w:color="auto"/>
            </w:tcBorders>
          </w:tcPr>
          <w:p w:rsidR="002D5713" w:rsidRPr="00957F4E" w:rsidRDefault="002D5713" w:rsidP="004813E3">
            <w:pPr>
              <w:autoSpaceDE w:val="0"/>
              <w:autoSpaceDN w:val="0"/>
              <w:adjustRightInd w:val="0"/>
              <w:jc w:val="cente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r>
      <w:tr w:rsidR="002D5713" w:rsidRPr="00957F4E" w:rsidTr="004813E3">
        <w:tc>
          <w:tcPr>
            <w:tcW w:w="1673" w:type="dxa"/>
            <w:vMerge w:val="restart"/>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Secondary Voltage</w:t>
            </w:r>
          </w:p>
        </w:tc>
        <w:tc>
          <w:tcPr>
            <w:tcW w:w="1620"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1.147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Primary Voltage</w:t>
            </w:r>
          </w:p>
        </w:tc>
        <w:tc>
          <w:tcPr>
            <w:tcW w:w="1620"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1.136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Transmission Voltage</w:t>
            </w:r>
          </w:p>
        </w:tc>
        <w:tc>
          <w:tcPr>
            <w:tcW w:w="1620"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 xml:space="preserve">1.124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r>
      <w:tr w:rsidR="002D5713" w:rsidRPr="00957F4E" w:rsidTr="004813E3">
        <w:tc>
          <w:tcPr>
            <w:tcW w:w="6228" w:type="dxa"/>
            <w:gridSpan w:val="2"/>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rPr>
                <w:bCs/>
              </w:rPr>
            </w:pPr>
            <w:r w:rsidRPr="00957F4E">
              <w:rPr>
                <w:bCs/>
              </w:rPr>
              <w:t>General Service (GS-2)</w:t>
            </w:r>
          </w:p>
        </w:tc>
        <w:tc>
          <w:tcPr>
            <w:tcW w:w="1620"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0.690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r>
      <w:tr w:rsidR="002D5713" w:rsidRPr="00957F4E" w:rsidTr="004813E3">
        <w:tc>
          <w:tcPr>
            <w:tcW w:w="6228" w:type="dxa"/>
            <w:gridSpan w:val="2"/>
            <w:tcBorders>
              <w:top w:val="single" w:sz="4" w:space="0" w:color="auto"/>
              <w:left w:val="single" w:sz="4" w:space="0" w:color="auto"/>
              <w:bottom w:val="single" w:sz="4" w:space="0" w:color="auto"/>
              <w:right w:val="single" w:sz="4" w:space="0" w:color="auto"/>
            </w:tcBorders>
          </w:tcPr>
          <w:p w:rsidR="002D5713" w:rsidRPr="00957F4E" w:rsidRDefault="002D5713" w:rsidP="004813E3">
            <w:pPr>
              <w:autoSpaceDE w:val="0"/>
              <w:autoSpaceDN w:val="0"/>
              <w:adjustRightInd w:val="0"/>
              <w:rPr>
                <w:bCs/>
              </w:rPr>
            </w:pPr>
            <w:r w:rsidRPr="00957F4E">
              <w:rPr>
                <w:bCs/>
              </w:rPr>
              <w:t>Lighting (LS-1)</w:t>
            </w:r>
          </w:p>
        </w:tc>
        <w:tc>
          <w:tcPr>
            <w:tcW w:w="1620" w:type="dxa"/>
            <w:tcBorders>
              <w:top w:val="single" w:sz="4" w:space="0" w:color="auto"/>
              <w:left w:val="single" w:sz="4" w:space="0" w:color="auto"/>
              <w:bottom w:val="single" w:sz="4" w:space="0" w:color="auto"/>
              <w:right w:val="single" w:sz="4" w:space="0" w:color="auto"/>
            </w:tcBorders>
          </w:tcPr>
          <w:p w:rsidR="002D5713" w:rsidRPr="00957F4E" w:rsidRDefault="002D5713" w:rsidP="004813E3">
            <w:pPr>
              <w:autoSpaceDE w:val="0"/>
              <w:autoSpaceDN w:val="0"/>
              <w:adjustRightInd w:val="0"/>
              <w:jc w:val="center"/>
              <w:rPr>
                <w:bCs/>
              </w:rPr>
            </w:pPr>
            <w:r w:rsidRPr="00957F4E">
              <w:rPr>
                <w:bCs/>
              </w:rPr>
              <w:t>0.147</w:t>
            </w:r>
          </w:p>
        </w:tc>
        <w:tc>
          <w:tcPr>
            <w:tcW w:w="0" w:type="auto"/>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rPr>
                <w:bCs/>
              </w:rPr>
            </w:pPr>
          </w:p>
        </w:tc>
      </w:tr>
      <w:tr w:rsidR="002D5713" w:rsidRPr="00957F4E" w:rsidTr="004813E3">
        <w:tc>
          <w:tcPr>
            <w:tcW w:w="9576" w:type="dxa"/>
            <w:gridSpan w:val="4"/>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rPr>
                <w:bCs/>
              </w:rPr>
            </w:pPr>
            <w:r w:rsidRPr="00957F4E">
              <w:rPr>
                <w:bCs/>
              </w:rPr>
              <w:t>General Service Demand (GSD-1, GSDT-1, SS-1)</w:t>
            </w:r>
          </w:p>
        </w:tc>
      </w:tr>
      <w:tr w:rsidR="002D5713" w:rsidRPr="00957F4E" w:rsidTr="004813E3">
        <w:tc>
          <w:tcPr>
            <w:tcW w:w="1673" w:type="dxa"/>
            <w:vMerge w:val="restart"/>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3.60</w:t>
            </w: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 xml:space="preserve">3.56 </w:t>
            </w: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 xml:space="preserve">3.53 </w:t>
            </w:r>
          </w:p>
        </w:tc>
      </w:tr>
      <w:tr w:rsidR="002D5713" w:rsidRPr="00957F4E" w:rsidTr="004813E3">
        <w:tc>
          <w:tcPr>
            <w:tcW w:w="9576" w:type="dxa"/>
            <w:gridSpan w:val="4"/>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rPr>
                <w:bCs/>
              </w:rPr>
            </w:pPr>
            <w:r w:rsidRPr="00957F4E">
              <w:rPr>
                <w:bCs/>
              </w:rPr>
              <w:t>Curtailable (CS-1, CST-1, CS-2, CST-2, CS-3, CST-3, SS-3)</w:t>
            </w:r>
          </w:p>
        </w:tc>
      </w:tr>
      <w:tr w:rsidR="002D5713" w:rsidRPr="00957F4E" w:rsidTr="004813E3">
        <w:tc>
          <w:tcPr>
            <w:tcW w:w="1673" w:type="dxa"/>
            <w:vMerge w:val="restart"/>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1.38</w:t>
            </w: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 xml:space="preserve">1.37 </w:t>
            </w: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1.35</w:t>
            </w:r>
          </w:p>
        </w:tc>
      </w:tr>
      <w:tr w:rsidR="002D5713" w:rsidRPr="00957F4E" w:rsidTr="004813E3">
        <w:tc>
          <w:tcPr>
            <w:tcW w:w="9576" w:type="dxa"/>
            <w:gridSpan w:val="4"/>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rPr>
                <w:bCs/>
              </w:rPr>
            </w:pPr>
            <w:r w:rsidRPr="00957F4E">
              <w:rPr>
                <w:bCs/>
              </w:rPr>
              <w:t>Interruptible (IS-1, IST-1, IS-2, IST-2, SS-2)</w:t>
            </w:r>
          </w:p>
        </w:tc>
      </w:tr>
      <w:tr w:rsidR="002D5713" w:rsidRPr="00957F4E" w:rsidTr="004813E3">
        <w:tc>
          <w:tcPr>
            <w:tcW w:w="1673" w:type="dxa"/>
            <w:vMerge w:val="restart"/>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3.00</w:t>
            </w: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2.97</w:t>
            </w: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2.94</w:t>
            </w:r>
          </w:p>
        </w:tc>
      </w:tr>
      <w:tr w:rsidR="002D5713" w:rsidRPr="00957F4E" w:rsidTr="004813E3">
        <w:tc>
          <w:tcPr>
            <w:tcW w:w="9576" w:type="dxa"/>
            <w:gridSpan w:val="4"/>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rPr>
                <w:bCs/>
              </w:rPr>
            </w:pPr>
            <w:r w:rsidRPr="00957F4E">
              <w:rPr>
                <w:bCs/>
              </w:rPr>
              <w:t>Standby Monthly (SS-1, 2, 3)</w:t>
            </w:r>
          </w:p>
        </w:tc>
      </w:tr>
      <w:tr w:rsidR="002D5713" w:rsidRPr="00957F4E" w:rsidTr="004813E3">
        <w:tc>
          <w:tcPr>
            <w:tcW w:w="1673" w:type="dxa"/>
            <w:vMerge w:val="restart"/>
            <w:tcBorders>
              <w:top w:val="single" w:sz="4" w:space="0" w:color="auto"/>
              <w:left w:val="single" w:sz="4" w:space="0" w:color="auto"/>
              <w:bottom w:val="single" w:sz="4" w:space="0" w:color="auto"/>
              <w:right w:val="single" w:sz="4" w:space="0" w:color="auto"/>
            </w:tcBorders>
          </w:tcPr>
          <w:p w:rsidR="002D5713" w:rsidRPr="00957F4E" w:rsidRDefault="002D5713" w:rsidP="004813E3">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0.349</w:t>
            </w: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 xml:space="preserve">0.346 </w:t>
            </w: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0.342</w:t>
            </w:r>
          </w:p>
        </w:tc>
      </w:tr>
      <w:tr w:rsidR="002D5713" w:rsidRPr="00957F4E" w:rsidTr="004813E3">
        <w:tc>
          <w:tcPr>
            <w:tcW w:w="9576" w:type="dxa"/>
            <w:gridSpan w:val="4"/>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rPr>
                <w:bCs/>
              </w:rPr>
            </w:pPr>
            <w:r w:rsidRPr="00957F4E">
              <w:rPr>
                <w:bCs/>
              </w:rPr>
              <w:t>Standby Daily (SS-1, 2, 3)</w:t>
            </w:r>
          </w:p>
        </w:tc>
      </w:tr>
      <w:tr w:rsidR="002D5713" w:rsidRPr="00957F4E" w:rsidTr="004813E3">
        <w:tc>
          <w:tcPr>
            <w:tcW w:w="1673" w:type="dxa"/>
            <w:vMerge w:val="restart"/>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D5713" w:rsidRPr="00957F4E" w:rsidRDefault="002D5713" w:rsidP="004813E3">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0.166</w:t>
            </w: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 xml:space="preserve">0.164 </w:t>
            </w:r>
          </w:p>
        </w:tc>
      </w:tr>
      <w:tr w:rsidR="002D5713" w:rsidRPr="00957F4E" w:rsidTr="004813E3">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713" w:rsidRPr="00957F4E" w:rsidRDefault="002D5713" w:rsidP="004813E3">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D5713" w:rsidRPr="00957F4E" w:rsidRDefault="002D5713" w:rsidP="004813E3">
            <w:pPr>
              <w:autoSpaceDE w:val="0"/>
              <w:autoSpaceDN w:val="0"/>
              <w:adjustRightInd w:val="0"/>
              <w:jc w:val="center"/>
              <w:rPr>
                <w:bCs/>
              </w:rPr>
            </w:pPr>
            <w:r w:rsidRPr="00957F4E">
              <w:rPr>
                <w:bCs/>
              </w:rPr>
              <w:t>0.163</w:t>
            </w:r>
          </w:p>
        </w:tc>
      </w:tr>
    </w:tbl>
    <w:p w:rsidR="002D5713" w:rsidRPr="00957F4E" w:rsidRDefault="002D5713" w:rsidP="002D5713">
      <w:pPr>
        <w:autoSpaceDE w:val="0"/>
        <w:autoSpaceDN w:val="0"/>
        <w:adjustRightInd w:val="0"/>
        <w:jc w:val="both"/>
        <w:rPr>
          <w:sz w:val="22"/>
          <w:szCs w:val="22"/>
        </w:rPr>
      </w:pPr>
      <w:r w:rsidRPr="00957F4E">
        <w:rPr>
          <w:sz w:val="22"/>
          <w:szCs w:val="22"/>
        </w:rPr>
        <w:t>Source: Schedule E12-E (Exhibit CAM-3, Part 3).</w:t>
      </w:r>
    </w:p>
    <w:p w:rsidR="002D5713" w:rsidRPr="009D32B5" w:rsidRDefault="002D5713" w:rsidP="002D5713">
      <w:pPr>
        <w:autoSpaceDE w:val="0"/>
        <w:autoSpaceDN w:val="0"/>
        <w:adjustRightInd w:val="0"/>
        <w:jc w:val="both"/>
        <w:rPr>
          <w:bCs/>
        </w:rPr>
      </w:pPr>
    </w:p>
    <w:p w:rsidR="002D5713" w:rsidRDefault="002D5713" w:rsidP="002D5713">
      <w:pPr>
        <w:ind w:left="1440" w:hanging="1440"/>
        <w:jc w:val="both"/>
        <w:rPr>
          <w:bCs/>
        </w:rPr>
      </w:pPr>
      <w:r w:rsidRPr="00A27C99">
        <w:rPr>
          <w:b/>
          <w:bCs/>
        </w:rPr>
        <w:t xml:space="preserve">FPL: </w:t>
      </w:r>
      <w:r>
        <w:rPr>
          <w:bCs/>
        </w:rPr>
        <w:tab/>
      </w:r>
      <w:r w:rsidRPr="008D3FEA">
        <w:t xml:space="preserve">The appropriate capacity cost recovery factors for the period January </w:t>
      </w:r>
      <w:r>
        <w:t>2020 through December 2020</w:t>
      </w:r>
      <w:r w:rsidRPr="008D3FEA">
        <w:t xml:space="preserve"> are show</w:t>
      </w:r>
      <w:r>
        <w:t xml:space="preserve">n in </w:t>
      </w:r>
      <w:r>
        <w:rPr>
          <w:bCs/>
        </w:rPr>
        <w:t>Tables 33-2 through 33-4 below:</w:t>
      </w:r>
    </w:p>
    <w:p w:rsidR="002D5713" w:rsidRDefault="002D5713" w:rsidP="002D5713">
      <w:pPr>
        <w:ind w:left="1440" w:hanging="1440"/>
        <w:jc w:val="center"/>
        <w:rPr>
          <w:rFonts w:ascii="Arial" w:hAnsi="Arial" w:cs="Arial"/>
          <w:b/>
        </w:rPr>
      </w:pPr>
    </w:p>
    <w:p w:rsidR="000E4ACB" w:rsidRDefault="000E4ACB">
      <w:pPr>
        <w:rPr>
          <w:rFonts w:ascii="Arial" w:hAnsi="Arial" w:cs="Arial"/>
          <w:b/>
        </w:rPr>
      </w:pPr>
      <w:r>
        <w:rPr>
          <w:rFonts w:ascii="Arial" w:hAnsi="Arial" w:cs="Arial"/>
          <w:b/>
        </w:rPr>
        <w:br w:type="page"/>
      </w:r>
    </w:p>
    <w:p w:rsidR="000E4ACB" w:rsidRDefault="000E4ACB" w:rsidP="002D5713">
      <w:pPr>
        <w:ind w:left="1440" w:hanging="1440"/>
        <w:jc w:val="center"/>
        <w:rPr>
          <w:rFonts w:ascii="Arial" w:hAnsi="Arial" w:cs="Arial"/>
          <w:b/>
        </w:rPr>
      </w:pPr>
    </w:p>
    <w:p w:rsidR="000E4ACB" w:rsidRDefault="000E4ACB" w:rsidP="002D5713">
      <w:pPr>
        <w:ind w:left="1440" w:hanging="1440"/>
        <w:jc w:val="center"/>
        <w:rPr>
          <w:rFonts w:ascii="Arial" w:hAnsi="Arial" w:cs="Arial"/>
          <w:b/>
        </w:rPr>
      </w:pPr>
    </w:p>
    <w:p w:rsidR="002D5713" w:rsidRPr="00952579" w:rsidRDefault="002D5713" w:rsidP="002D5713">
      <w:pPr>
        <w:ind w:left="1440" w:hanging="1440"/>
        <w:jc w:val="center"/>
        <w:rPr>
          <w:rFonts w:ascii="Arial" w:hAnsi="Arial" w:cs="Arial"/>
          <w:b/>
        </w:rPr>
      </w:pPr>
      <w:r w:rsidRPr="00952579">
        <w:rPr>
          <w:rFonts w:ascii="Arial" w:hAnsi="Arial" w:cs="Arial"/>
          <w:b/>
        </w:rPr>
        <w:t xml:space="preserve">Table </w:t>
      </w:r>
      <w:r>
        <w:rPr>
          <w:rFonts w:ascii="Arial" w:hAnsi="Arial" w:cs="Arial"/>
          <w:b/>
        </w:rPr>
        <w:t>33-2</w:t>
      </w:r>
    </w:p>
    <w:p w:rsidR="002D5713" w:rsidRPr="006921C3" w:rsidRDefault="002D5713" w:rsidP="002D5713">
      <w:pPr>
        <w:keepNext/>
        <w:keepLines/>
        <w:jc w:val="center"/>
      </w:pPr>
      <w:r>
        <w:rPr>
          <w:rFonts w:ascii="Arial" w:hAnsi="Arial" w:cs="Arial"/>
          <w:b/>
        </w:rPr>
        <w:t>FPL Capacity Cost Recovery Factors for the period January-December, 2020</w:t>
      </w:r>
    </w:p>
    <w:tbl>
      <w:tblPr>
        <w:tblStyle w:val="TableGrid"/>
        <w:tblW w:w="0" w:type="auto"/>
        <w:tblLook w:val="04A0" w:firstRow="1" w:lastRow="0" w:firstColumn="1" w:lastColumn="0" w:noHBand="0" w:noVBand="1"/>
      </w:tblPr>
      <w:tblGrid>
        <w:gridCol w:w="3888"/>
        <w:gridCol w:w="1350"/>
        <w:gridCol w:w="1260"/>
        <w:gridCol w:w="1530"/>
        <w:gridCol w:w="1548"/>
      </w:tblGrid>
      <w:tr w:rsidR="002D5713" w:rsidRPr="00B968E1" w:rsidTr="004813E3">
        <w:tc>
          <w:tcPr>
            <w:tcW w:w="3888" w:type="dxa"/>
            <w:vMerge w:val="restart"/>
            <w:vAlign w:val="center"/>
          </w:tcPr>
          <w:p w:rsidR="002D5713" w:rsidRPr="00931D63" w:rsidRDefault="002D5713" w:rsidP="004813E3">
            <w:pPr>
              <w:autoSpaceDE w:val="0"/>
              <w:autoSpaceDN w:val="0"/>
              <w:adjustRightInd w:val="0"/>
              <w:jc w:val="center"/>
              <w:rPr>
                <w:b/>
                <w:bCs/>
              </w:rPr>
            </w:pPr>
            <w:r w:rsidRPr="00931D63">
              <w:rPr>
                <w:b/>
                <w:bCs/>
              </w:rPr>
              <w:t>Rate Schedule</w:t>
            </w:r>
          </w:p>
        </w:tc>
        <w:tc>
          <w:tcPr>
            <w:tcW w:w="5688" w:type="dxa"/>
            <w:gridSpan w:val="4"/>
          </w:tcPr>
          <w:p w:rsidR="002D5713" w:rsidRDefault="002D5713" w:rsidP="004813E3">
            <w:pPr>
              <w:autoSpaceDE w:val="0"/>
              <w:autoSpaceDN w:val="0"/>
              <w:adjustRightInd w:val="0"/>
              <w:jc w:val="center"/>
              <w:rPr>
                <w:b/>
                <w:bCs/>
              </w:rPr>
            </w:pPr>
            <w:r w:rsidRPr="00694117">
              <w:rPr>
                <w:b/>
                <w:bCs/>
              </w:rPr>
              <w:t>2020 Capacity Cost Recovery Factors</w:t>
            </w:r>
            <w:r>
              <w:rPr>
                <w:b/>
                <w:bCs/>
              </w:rPr>
              <w:t xml:space="preserve">, </w:t>
            </w:r>
          </w:p>
          <w:p w:rsidR="002D5713" w:rsidRPr="00694117" w:rsidRDefault="002D5713" w:rsidP="004813E3">
            <w:pPr>
              <w:autoSpaceDE w:val="0"/>
              <w:autoSpaceDN w:val="0"/>
              <w:adjustRightInd w:val="0"/>
              <w:jc w:val="center"/>
              <w:rPr>
                <w:b/>
                <w:bCs/>
              </w:rPr>
            </w:pPr>
            <w:r>
              <w:rPr>
                <w:b/>
                <w:bCs/>
              </w:rPr>
              <w:t>Excluding Indiantown</w:t>
            </w:r>
            <w:r w:rsidRPr="00694117">
              <w:rPr>
                <w:b/>
                <w:bCs/>
              </w:rPr>
              <w:t xml:space="preserve"> </w:t>
            </w:r>
          </w:p>
        </w:tc>
      </w:tr>
      <w:tr w:rsidR="002D5713" w:rsidRPr="00B968E1" w:rsidTr="004813E3">
        <w:tc>
          <w:tcPr>
            <w:tcW w:w="3888" w:type="dxa"/>
            <w:vMerge/>
          </w:tcPr>
          <w:p w:rsidR="002D5713" w:rsidRPr="00931D63" w:rsidRDefault="002D5713" w:rsidP="004813E3">
            <w:pPr>
              <w:autoSpaceDE w:val="0"/>
              <w:autoSpaceDN w:val="0"/>
              <w:adjustRightInd w:val="0"/>
              <w:jc w:val="center"/>
              <w:rPr>
                <w:b/>
                <w:bCs/>
              </w:rPr>
            </w:pPr>
          </w:p>
        </w:tc>
        <w:tc>
          <w:tcPr>
            <w:tcW w:w="1350" w:type="dxa"/>
            <w:vAlign w:val="center"/>
          </w:tcPr>
          <w:p w:rsidR="002D5713" w:rsidRPr="00957F4E" w:rsidRDefault="002D5713" w:rsidP="004813E3">
            <w:pPr>
              <w:autoSpaceDE w:val="0"/>
              <w:autoSpaceDN w:val="0"/>
              <w:adjustRightInd w:val="0"/>
              <w:jc w:val="center"/>
              <w:rPr>
                <w:bCs/>
              </w:rPr>
            </w:pPr>
            <w:r w:rsidRPr="00957F4E">
              <w:rPr>
                <w:bCs/>
              </w:rPr>
              <w:t>$/kW</w:t>
            </w:r>
          </w:p>
        </w:tc>
        <w:tc>
          <w:tcPr>
            <w:tcW w:w="1260" w:type="dxa"/>
            <w:vAlign w:val="center"/>
          </w:tcPr>
          <w:p w:rsidR="002D5713" w:rsidRPr="00957F4E" w:rsidRDefault="002D5713" w:rsidP="004813E3">
            <w:pPr>
              <w:autoSpaceDE w:val="0"/>
              <w:autoSpaceDN w:val="0"/>
              <w:adjustRightInd w:val="0"/>
              <w:jc w:val="center"/>
              <w:rPr>
                <w:bCs/>
              </w:rPr>
            </w:pPr>
            <w:r w:rsidRPr="00957F4E">
              <w:rPr>
                <w:bCs/>
              </w:rPr>
              <w:t>$/kWh</w:t>
            </w:r>
          </w:p>
        </w:tc>
        <w:tc>
          <w:tcPr>
            <w:tcW w:w="1530" w:type="dxa"/>
          </w:tcPr>
          <w:p w:rsidR="002D5713" w:rsidRPr="00957F4E" w:rsidRDefault="002D5713" w:rsidP="004813E3">
            <w:pPr>
              <w:autoSpaceDE w:val="0"/>
              <w:autoSpaceDN w:val="0"/>
              <w:adjustRightInd w:val="0"/>
              <w:jc w:val="center"/>
              <w:rPr>
                <w:bCs/>
              </w:rPr>
            </w:pPr>
            <w:r w:rsidRPr="00957F4E">
              <w:rPr>
                <w:bCs/>
              </w:rPr>
              <w:t>Reservation Demand Charge (RDC)  $/kW</w:t>
            </w:r>
          </w:p>
        </w:tc>
        <w:tc>
          <w:tcPr>
            <w:tcW w:w="1548" w:type="dxa"/>
          </w:tcPr>
          <w:p w:rsidR="002D5713" w:rsidRPr="00694117" w:rsidRDefault="002D5713" w:rsidP="004813E3">
            <w:pPr>
              <w:autoSpaceDE w:val="0"/>
              <w:autoSpaceDN w:val="0"/>
              <w:adjustRightInd w:val="0"/>
              <w:jc w:val="center"/>
              <w:rPr>
                <w:bCs/>
              </w:rPr>
            </w:pPr>
            <w:r w:rsidRPr="00694117">
              <w:rPr>
                <w:bCs/>
              </w:rPr>
              <w:t>Sum of Daily Demand Charge (SDD)  $/kW</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RS1/RTR1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0.00226</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GS1/GST1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0.00222</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GSD1/GSDT1/HLFT1</w:t>
            </w:r>
          </w:p>
        </w:tc>
        <w:tc>
          <w:tcPr>
            <w:tcW w:w="1350" w:type="dxa"/>
          </w:tcPr>
          <w:p w:rsidR="002D5713" w:rsidRPr="00957F4E" w:rsidRDefault="002D5713" w:rsidP="004813E3">
            <w:pPr>
              <w:autoSpaceDE w:val="0"/>
              <w:autoSpaceDN w:val="0"/>
              <w:adjustRightInd w:val="0"/>
              <w:jc w:val="center"/>
              <w:rPr>
                <w:bCs/>
              </w:rPr>
            </w:pPr>
            <w:r w:rsidRPr="00957F4E">
              <w:rPr>
                <w:bCs/>
              </w:rPr>
              <w:t>0.74</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OS2</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0.00093</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GSLD1/GSLDT1/CS1/CST1/HLFT2</w:t>
            </w:r>
          </w:p>
        </w:tc>
        <w:tc>
          <w:tcPr>
            <w:tcW w:w="1350" w:type="dxa"/>
          </w:tcPr>
          <w:p w:rsidR="002D5713" w:rsidRPr="00957F4E" w:rsidRDefault="002D5713" w:rsidP="004813E3">
            <w:pPr>
              <w:autoSpaceDE w:val="0"/>
              <w:autoSpaceDN w:val="0"/>
              <w:adjustRightInd w:val="0"/>
              <w:jc w:val="center"/>
              <w:rPr>
                <w:bCs/>
              </w:rPr>
            </w:pPr>
            <w:r w:rsidRPr="00957F4E">
              <w:rPr>
                <w:bCs/>
              </w:rPr>
              <w:t>0.84</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GSLD2/GSLDT2/CS2/CST2/HLFT3</w:t>
            </w:r>
          </w:p>
        </w:tc>
        <w:tc>
          <w:tcPr>
            <w:tcW w:w="1350" w:type="dxa"/>
          </w:tcPr>
          <w:p w:rsidR="002D5713" w:rsidRPr="00957F4E" w:rsidRDefault="002D5713" w:rsidP="004813E3">
            <w:pPr>
              <w:autoSpaceDE w:val="0"/>
              <w:autoSpaceDN w:val="0"/>
              <w:adjustRightInd w:val="0"/>
              <w:jc w:val="center"/>
              <w:rPr>
                <w:bCs/>
              </w:rPr>
            </w:pPr>
            <w:r w:rsidRPr="00957F4E">
              <w:rPr>
                <w:bCs/>
              </w:rPr>
              <w:t>0.80</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GSLD3/GSLDT3/CS3/CST3</w:t>
            </w:r>
          </w:p>
        </w:tc>
        <w:tc>
          <w:tcPr>
            <w:tcW w:w="1350" w:type="dxa"/>
          </w:tcPr>
          <w:p w:rsidR="002D5713" w:rsidRPr="00957F4E" w:rsidRDefault="002D5713" w:rsidP="004813E3">
            <w:pPr>
              <w:autoSpaceDE w:val="0"/>
              <w:autoSpaceDN w:val="0"/>
              <w:adjustRightInd w:val="0"/>
              <w:jc w:val="center"/>
              <w:rPr>
                <w:bCs/>
              </w:rPr>
            </w:pPr>
            <w:r w:rsidRPr="00957F4E">
              <w:rPr>
                <w:bCs/>
              </w:rPr>
              <w:t>0.83</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SST1T</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0.10</w:t>
            </w:r>
          </w:p>
        </w:tc>
        <w:tc>
          <w:tcPr>
            <w:tcW w:w="1548" w:type="dxa"/>
          </w:tcPr>
          <w:p w:rsidR="002D5713" w:rsidRPr="00957F4E" w:rsidRDefault="002D5713" w:rsidP="004813E3">
            <w:pPr>
              <w:autoSpaceDE w:val="0"/>
              <w:autoSpaceDN w:val="0"/>
              <w:adjustRightInd w:val="0"/>
              <w:jc w:val="center"/>
              <w:rPr>
                <w:bCs/>
              </w:rPr>
            </w:pPr>
            <w:r w:rsidRPr="00957F4E">
              <w:rPr>
                <w:bCs/>
              </w:rPr>
              <w:t>0.05</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SST1D1/SST1D2/SST1D3</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0.10</w:t>
            </w:r>
          </w:p>
        </w:tc>
        <w:tc>
          <w:tcPr>
            <w:tcW w:w="1548" w:type="dxa"/>
          </w:tcPr>
          <w:p w:rsidR="002D5713" w:rsidRPr="00957F4E" w:rsidRDefault="002D5713" w:rsidP="004813E3">
            <w:pPr>
              <w:autoSpaceDE w:val="0"/>
              <w:autoSpaceDN w:val="0"/>
              <w:adjustRightInd w:val="0"/>
              <w:jc w:val="center"/>
              <w:rPr>
                <w:bCs/>
              </w:rPr>
            </w:pPr>
            <w:r w:rsidRPr="00957F4E">
              <w:rPr>
                <w:bCs/>
              </w:rPr>
              <w:t>0.05</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CILC D/CILC G</w:t>
            </w:r>
          </w:p>
        </w:tc>
        <w:tc>
          <w:tcPr>
            <w:tcW w:w="1350" w:type="dxa"/>
          </w:tcPr>
          <w:p w:rsidR="002D5713" w:rsidRPr="00957F4E" w:rsidRDefault="002D5713" w:rsidP="004813E3">
            <w:pPr>
              <w:autoSpaceDE w:val="0"/>
              <w:autoSpaceDN w:val="0"/>
              <w:adjustRightInd w:val="0"/>
              <w:jc w:val="center"/>
              <w:rPr>
                <w:bCs/>
              </w:rPr>
            </w:pPr>
            <w:r w:rsidRPr="00957F4E">
              <w:rPr>
                <w:bCs/>
              </w:rPr>
              <w:t>0.86</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CILC T</w:t>
            </w:r>
          </w:p>
        </w:tc>
        <w:tc>
          <w:tcPr>
            <w:tcW w:w="1350" w:type="dxa"/>
          </w:tcPr>
          <w:p w:rsidR="002D5713" w:rsidRPr="00957F4E" w:rsidRDefault="002D5713" w:rsidP="004813E3">
            <w:pPr>
              <w:autoSpaceDE w:val="0"/>
              <w:autoSpaceDN w:val="0"/>
              <w:adjustRightInd w:val="0"/>
              <w:jc w:val="center"/>
              <w:rPr>
                <w:bCs/>
              </w:rPr>
            </w:pPr>
            <w:r w:rsidRPr="00957F4E">
              <w:rPr>
                <w:bCs/>
              </w:rPr>
              <w:t>0.83</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MET</w:t>
            </w:r>
          </w:p>
        </w:tc>
        <w:tc>
          <w:tcPr>
            <w:tcW w:w="1350" w:type="dxa"/>
          </w:tcPr>
          <w:p w:rsidR="002D5713" w:rsidRPr="00957F4E" w:rsidRDefault="002D5713" w:rsidP="004813E3">
            <w:pPr>
              <w:autoSpaceDE w:val="0"/>
              <w:autoSpaceDN w:val="0"/>
              <w:adjustRightInd w:val="0"/>
              <w:jc w:val="center"/>
              <w:rPr>
                <w:bCs/>
              </w:rPr>
            </w:pPr>
            <w:r w:rsidRPr="00957F4E">
              <w:rPr>
                <w:bCs/>
              </w:rPr>
              <w:t>0.74</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OL1/SL1/SL1M/PL1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0.00017</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SL2/SL2M/GSCU1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0.00151</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bl>
    <w:p w:rsidR="002D5713" w:rsidRPr="00931D63" w:rsidRDefault="002D5713" w:rsidP="002D5713">
      <w:pPr>
        <w:ind w:left="1440" w:hanging="1440"/>
        <w:rPr>
          <w:rFonts w:ascii="Arial" w:hAnsi="Arial" w:cs="Arial"/>
          <w:b/>
        </w:rPr>
      </w:pPr>
      <w:r>
        <w:rPr>
          <w:color w:val="FF0000"/>
          <w:sz w:val="22"/>
          <w:szCs w:val="22"/>
        </w:rPr>
        <w:t xml:space="preserve">  </w:t>
      </w:r>
      <w:r w:rsidRPr="00931D63">
        <w:rPr>
          <w:sz w:val="22"/>
          <w:szCs w:val="22"/>
        </w:rPr>
        <w:t xml:space="preserve">Source: </w:t>
      </w:r>
      <w:r>
        <w:rPr>
          <w:sz w:val="22"/>
          <w:szCs w:val="22"/>
        </w:rPr>
        <w:t>Appendix V</w:t>
      </w:r>
      <w:r w:rsidRPr="00931D63">
        <w:rPr>
          <w:sz w:val="22"/>
          <w:szCs w:val="22"/>
        </w:rPr>
        <w:t xml:space="preserve"> </w:t>
      </w:r>
      <w:r>
        <w:rPr>
          <w:sz w:val="22"/>
          <w:szCs w:val="22"/>
        </w:rPr>
        <w:t>– 2020 CCR Projections (Exhibit RBD-10, Page 4</w:t>
      </w:r>
      <w:r w:rsidRPr="00931D63">
        <w:rPr>
          <w:sz w:val="22"/>
          <w:szCs w:val="22"/>
        </w:rPr>
        <w:t xml:space="preserve"> </w:t>
      </w:r>
      <w:proofErr w:type="gramStart"/>
      <w:r w:rsidRPr="00931D63">
        <w:rPr>
          <w:sz w:val="22"/>
          <w:szCs w:val="22"/>
        </w:rPr>
        <w:t xml:space="preserve">of </w:t>
      </w:r>
      <w:r>
        <w:rPr>
          <w:sz w:val="22"/>
          <w:szCs w:val="22"/>
        </w:rPr>
        <w:t xml:space="preserve"> 32</w:t>
      </w:r>
      <w:proofErr w:type="gramEnd"/>
      <w:r w:rsidRPr="00931D63">
        <w:rPr>
          <w:sz w:val="22"/>
          <w:szCs w:val="22"/>
        </w:rPr>
        <w:t>)</w:t>
      </w:r>
      <w:r>
        <w:rPr>
          <w:sz w:val="22"/>
          <w:szCs w:val="22"/>
        </w:rPr>
        <w:t>.</w:t>
      </w:r>
    </w:p>
    <w:p w:rsidR="002D5713" w:rsidRDefault="002D5713" w:rsidP="002D5713">
      <w:pPr>
        <w:ind w:left="1440" w:hanging="1440"/>
        <w:jc w:val="center"/>
        <w:rPr>
          <w:rFonts w:ascii="Arial" w:hAnsi="Arial" w:cs="Arial"/>
          <w:b/>
        </w:rPr>
      </w:pPr>
    </w:p>
    <w:p w:rsidR="000E4ACB" w:rsidRDefault="000E4ACB">
      <w:pPr>
        <w:rPr>
          <w:rFonts w:ascii="Arial" w:hAnsi="Arial" w:cs="Arial"/>
          <w:b/>
        </w:rPr>
      </w:pPr>
      <w:r>
        <w:rPr>
          <w:rFonts w:ascii="Arial" w:hAnsi="Arial" w:cs="Arial"/>
          <w:b/>
        </w:rPr>
        <w:br w:type="page"/>
      </w:r>
    </w:p>
    <w:p w:rsidR="002D5713" w:rsidRPr="00931D63" w:rsidRDefault="002D5713" w:rsidP="002D5713">
      <w:pPr>
        <w:ind w:left="1440" w:hanging="1440"/>
        <w:jc w:val="center"/>
        <w:rPr>
          <w:rFonts w:ascii="Arial" w:hAnsi="Arial" w:cs="Arial"/>
          <w:b/>
        </w:rPr>
      </w:pPr>
      <w:r w:rsidRPr="00931D63">
        <w:rPr>
          <w:rFonts w:ascii="Arial" w:hAnsi="Arial" w:cs="Arial"/>
          <w:b/>
        </w:rPr>
        <w:lastRenderedPageBreak/>
        <w:t>Table 33-3</w:t>
      </w:r>
    </w:p>
    <w:p w:rsidR="002D5713" w:rsidRPr="00931D63" w:rsidRDefault="002D5713" w:rsidP="002D5713">
      <w:pPr>
        <w:keepNext/>
        <w:keepLines/>
        <w:jc w:val="center"/>
      </w:pPr>
      <w:r w:rsidRPr="00931D63">
        <w:rPr>
          <w:rFonts w:ascii="Arial" w:hAnsi="Arial" w:cs="Arial"/>
          <w:b/>
        </w:rPr>
        <w:t>FPL Capacity Cost Recovery Factors for t</w:t>
      </w:r>
      <w:r>
        <w:rPr>
          <w:rFonts w:ascii="Arial" w:hAnsi="Arial" w:cs="Arial"/>
          <w:b/>
        </w:rPr>
        <w:t>he period January-December, 2020</w:t>
      </w:r>
    </w:p>
    <w:tbl>
      <w:tblPr>
        <w:tblStyle w:val="TableGrid"/>
        <w:tblW w:w="0" w:type="auto"/>
        <w:tblLook w:val="04A0" w:firstRow="1" w:lastRow="0" w:firstColumn="1" w:lastColumn="0" w:noHBand="0" w:noVBand="1"/>
      </w:tblPr>
      <w:tblGrid>
        <w:gridCol w:w="3888"/>
        <w:gridCol w:w="1350"/>
        <w:gridCol w:w="1260"/>
        <w:gridCol w:w="1530"/>
        <w:gridCol w:w="1548"/>
      </w:tblGrid>
      <w:tr w:rsidR="002D5713" w:rsidRPr="00B968E1" w:rsidTr="004813E3">
        <w:tc>
          <w:tcPr>
            <w:tcW w:w="3888" w:type="dxa"/>
            <w:vMerge w:val="restart"/>
            <w:vAlign w:val="center"/>
          </w:tcPr>
          <w:p w:rsidR="002D5713" w:rsidRPr="00931D63" w:rsidRDefault="002D5713" w:rsidP="004813E3">
            <w:pPr>
              <w:autoSpaceDE w:val="0"/>
              <w:autoSpaceDN w:val="0"/>
              <w:adjustRightInd w:val="0"/>
              <w:jc w:val="center"/>
              <w:rPr>
                <w:b/>
                <w:bCs/>
              </w:rPr>
            </w:pPr>
            <w:r w:rsidRPr="00931D63">
              <w:rPr>
                <w:b/>
                <w:bCs/>
              </w:rPr>
              <w:t>Rate Schedule</w:t>
            </w:r>
          </w:p>
        </w:tc>
        <w:tc>
          <w:tcPr>
            <w:tcW w:w="5688" w:type="dxa"/>
            <w:gridSpan w:val="4"/>
          </w:tcPr>
          <w:p w:rsidR="002D5713" w:rsidRPr="00694117" w:rsidRDefault="002D5713" w:rsidP="004813E3">
            <w:pPr>
              <w:autoSpaceDE w:val="0"/>
              <w:autoSpaceDN w:val="0"/>
              <w:adjustRightInd w:val="0"/>
              <w:jc w:val="center"/>
              <w:rPr>
                <w:b/>
                <w:bCs/>
              </w:rPr>
            </w:pPr>
            <w:r w:rsidRPr="00694117">
              <w:rPr>
                <w:b/>
                <w:bCs/>
              </w:rPr>
              <w:t xml:space="preserve">2020 Indiantown Capacity Cost Recovery Factors </w:t>
            </w:r>
          </w:p>
        </w:tc>
      </w:tr>
      <w:tr w:rsidR="002D5713" w:rsidRPr="00B968E1" w:rsidTr="004813E3">
        <w:tc>
          <w:tcPr>
            <w:tcW w:w="3888" w:type="dxa"/>
            <w:vMerge/>
          </w:tcPr>
          <w:p w:rsidR="002D5713" w:rsidRPr="00931D63" w:rsidRDefault="002D5713" w:rsidP="004813E3">
            <w:pPr>
              <w:autoSpaceDE w:val="0"/>
              <w:autoSpaceDN w:val="0"/>
              <w:adjustRightInd w:val="0"/>
              <w:jc w:val="center"/>
              <w:rPr>
                <w:b/>
                <w:bCs/>
              </w:rPr>
            </w:pPr>
          </w:p>
        </w:tc>
        <w:tc>
          <w:tcPr>
            <w:tcW w:w="1350" w:type="dxa"/>
            <w:vAlign w:val="center"/>
          </w:tcPr>
          <w:p w:rsidR="002D5713" w:rsidRPr="00931D63" w:rsidRDefault="002D5713" w:rsidP="004813E3">
            <w:pPr>
              <w:autoSpaceDE w:val="0"/>
              <w:autoSpaceDN w:val="0"/>
              <w:adjustRightInd w:val="0"/>
              <w:jc w:val="center"/>
              <w:rPr>
                <w:bCs/>
              </w:rPr>
            </w:pPr>
            <w:r w:rsidRPr="00931D63">
              <w:rPr>
                <w:bCs/>
              </w:rPr>
              <w:t>$/kW</w:t>
            </w:r>
          </w:p>
        </w:tc>
        <w:tc>
          <w:tcPr>
            <w:tcW w:w="1260" w:type="dxa"/>
            <w:vAlign w:val="center"/>
          </w:tcPr>
          <w:p w:rsidR="002D5713" w:rsidRPr="00931D63" w:rsidRDefault="002D5713" w:rsidP="004813E3">
            <w:pPr>
              <w:autoSpaceDE w:val="0"/>
              <w:autoSpaceDN w:val="0"/>
              <w:adjustRightInd w:val="0"/>
              <w:jc w:val="center"/>
              <w:rPr>
                <w:bCs/>
              </w:rPr>
            </w:pPr>
            <w:r w:rsidRPr="00931D63">
              <w:rPr>
                <w:bCs/>
              </w:rPr>
              <w:t>$/kWh</w:t>
            </w:r>
          </w:p>
        </w:tc>
        <w:tc>
          <w:tcPr>
            <w:tcW w:w="1530" w:type="dxa"/>
          </w:tcPr>
          <w:p w:rsidR="002D5713" w:rsidRPr="00931D63" w:rsidRDefault="002D5713" w:rsidP="004813E3">
            <w:pPr>
              <w:autoSpaceDE w:val="0"/>
              <w:autoSpaceDN w:val="0"/>
              <w:adjustRightInd w:val="0"/>
              <w:jc w:val="center"/>
              <w:rPr>
                <w:bCs/>
              </w:rPr>
            </w:pPr>
            <w:r w:rsidRPr="00931D63">
              <w:rPr>
                <w:bCs/>
              </w:rPr>
              <w:t>Reservation Demand Charge (RDC)  $/kW</w:t>
            </w:r>
          </w:p>
        </w:tc>
        <w:tc>
          <w:tcPr>
            <w:tcW w:w="1548" w:type="dxa"/>
          </w:tcPr>
          <w:p w:rsidR="002D5713" w:rsidRPr="00694117" w:rsidRDefault="002D5713" w:rsidP="004813E3">
            <w:pPr>
              <w:autoSpaceDE w:val="0"/>
              <w:autoSpaceDN w:val="0"/>
              <w:adjustRightInd w:val="0"/>
              <w:jc w:val="center"/>
              <w:rPr>
                <w:bCs/>
              </w:rPr>
            </w:pPr>
            <w:r w:rsidRPr="00694117">
              <w:rPr>
                <w:bCs/>
              </w:rPr>
              <w:t>Sum of Daily Demand Charge (SDD)  $/kW</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RS1/RTR1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0.00004</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GS1/GST1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0.00003</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GSD1/GSDT1/HLFT1</w:t>
            </w:r>
          </w:p>
        </w:tc>
        <w:tc>
          <w:tcPr>
            <w:tcW w:w="1350" w:type="dxa"/>
          </w:tcPr>
          <w:p w:rsidR="002D5713" w:rsidRPr="00957F4E" w:rsidRDefault="002D5713" w:rsidP="004813E3">
            <w:pPr>
              <w:autoSpaceDE w:val="0"/>
              <w:autoSpaceDN w:val="0"/>
              <w:adjustRightInd w:val="0"/>
              <w:jc w:val="center"/>
              <w:rPr>
                <w:bCs/>
              </w:rPr>
            </w:pPr>
            <w:r w:rsidRPr="00957F4E">
              <w:rPr>
                <w:bCs/>
              </w:rPr>
              <w:t>0.01</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OS2</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0.00002</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GSLD1/GSLDT1/CS1/CST1/HLFT2</w:t>
            </w:r>
          </w:p>
        </w:tc>
        <w:tc>
          <w:tcPr>
            <w:tcW w:w="1350" w:type="dxa"/>
          </w:tcPr>
          <w:p w:rsidR="002D5713" w:rsidRPr="00957F4E" w:rsidRDefault="002D5713" w:rsidP="004813E3">
            <w:pPr>
              <w:autoSpaceDE w:val="0"/>
              <w:autoSpaceDN w:val="0"/>
              <w:adjustRightInd w:val="0"/>
              <w:jc w:val="center"/>
              <w:rPr>
                <w:bCs/>
              </w:rPr>
            </w:pPr>
            <w:r w:rsidRPr="00957F4E">
              <w:rPr>
                <w:bCs/>
              </w:rPr>
              <w:t>0.01</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GSLD2/GSLDT2/CS2/CST2/HLFT3</w:t>
            </w:r>
          </w:p>
        </w:tc>
        <w:tc>
          <w:tcPr>
            <w:tcW w:w="1350" w:type="dxa"/>
          </w:tcPr>
          <w:p w:rsidR="002D5713" w:rsidRPr="00957F4E" w:rsidRDefault="002D5713" w:rsidP="004813E3">
            <w:pPr>
              <w:autoSpaceDE w:val="0"/>
              <w:autoSpaceDN w:val="0"/>
              <w:adjustRightInd w:val="0"/>
              <w:jc w:val="center"/>
              <w:rPr>
                <w:bCs/>
              </w:rPr>
            </w:pPr>
            <w:r w:rsidRPr="00957F4E">
              <w:rPr>
                <w:bCs/>
              </w:rPr>
              <w:t>0.01</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GSLD3/GSLDT3/CS3/CST3</w:t>
            </w:r>
          </w:p>
        </w:tc>
        <w:tc>
          <w:tcPr>
            <w:tcW w:w="1350" w:type="dxa"/>
          </w:tcPr>
          <w:p w:rsidR="002D5713" w:rsidRPr="00957F4E" w:rsidRDefault="002D5713" w:rsidP="004813E3">
            <w:pPr>
              <w:autoSpaceDE w:val="0"/>
              <w:autoSpaceDN w:val="0"/>
              <w:adjustRightInd w:val="0"/>
              <w:jc w:val="center"/>
              <w:rPr>
                <w:bCs/>
              </w:rPr>
            </w:pPr>
            <w:r w:rsidRPr="00957F4E">
              <w:rPr>
                <w:bCs/>
              </w:rPr>
              <w:t>0.01</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SST1T</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SST1D1/SST1D2/SST1D3</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CILC D/CILC G</w:t>
            </w:r>
          </w:p>
        </w:tc>
        <w:tc>
          <w:tcPr>
            <w:tcW w:w="1350" w:type="dxa"/>
          </w:tcPr>
          <w:p w:rsidR="002D5713" w:rsidRPr="00957F4E" w:rsidRDefault="002D5713" w:rsidP="004813E3">
            <w:pPr>
              <w:autoSpaceDE w:val="0"/>
              <w:autoSpaceDN w:val="0"/>
              <w:adjustRightInd w:val="0"/>
              <w:jc w:val="center"/>
              <w:rPr>
                <w:bCs/>
              </w:rPr>
            </w:pPr>
            <w:r w:rsidRPr="00957F4E">
              <w:rPr>
                <w:bCs/>
              </w:rPr>
              <w:t>0.01</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CILC T</w:t>
            </w:r>
          </w:p>
        </w:tc>
        <w:tc>
          <w:tcPr>
            <w:tcW w:w="1350" w:type="dxa"/>
          </w:tcPr>
          <w:p w:rsidR="002D5713" w:rsidRPr="00957F4E" w:rsidRDefault="002D5713" w:rsidP="004813E3">
            <w:pPr>
              <w:autoSpaceDE w:val="0"/>
              <w:autoSpaceDN w:val="0"/>
              <w:adjustRightInd w:val="0"/>
              <w:jc w:val="center"/>
              <w:rPr>
                <w:bCs/>
              </w:rPr>
            </w:pPr>
            <w:r w:rsidRPr="00957F4E">
              <w:rPr>
                <w:bCs/>
              </w:rPr>
              <w:t>0.01</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MET</w:t>
            </w:r>
          </w:p>
        </w:tc>
        <w:tc>
          <w:tcPr>
            <w:tcW w:w="1350" w:type="dxa"/>
          </w:tcPr>
          <w:p w:rsidR="002D5713" w:rsidRPr="00957F4E" w:rsidRDefault="002D5713" w:rsidP="004813E3">
            <w:pPr>
              <w:autoSpaceDE w:val="0"/>
              <w:autoSpaceDN w:val="0"/>
              <w:adjustRightInd w:val="0"/>
              <w:jc w:val="center"/>
              <w:rPr>
                <w:bCs/>
              </w:rPr>
            </w:pPr>
            <w:r w:rsidRPr="00957F4E">
              <w:rPr>
                <w:bCs/>
              </w:rPr>
              <w:t>0.01</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OL1/SL1/SL1M/PL1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0.00001</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3888" w:type="dxa"/>
          </w:tcPr>
          <w:p w:rsidR="002D5713" w:rsidRPr="00957F4E" w:rsidRDefault="002D5713" w:rsidP="004813E3">
            <w:pPr>
              <w:autoSpaceDE w:val="0"/>
              <w:autoSpaceDN w:val="0"/>
              <w:adjustRightInd w:val="0"/>
              <w:jc w:val="center"/>
              <w:rPr>
                <w:bCs/>
              </w:rPr>
            </w:pPr>
            <w:r w:rsidRPr="00957F4E">
              <w:rPr>
                <w:bCs/>
              </w:rPr>
              <w:t>SL2/SL2M/GSCU1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0.00002</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bl>
    <w:p w:rsidR="002D5713" w:rsidRDefault="002D5713" w:rsidP="002D5713">
      <w:pPr>
        <w:autoSpaceDE w:val="0"/>
        <w:autoSpaceDN w:val="0"/>
        <w:adjustRightInd w:val="0"/>
        <w:jc w:val="both"/>
        <w:rPr>
          <w:sz w:val="22"/>
          <w:szCs w:val="22"/>
        </w:rPr>
      </w:pPr>
      <w:r w:rsidRPr="00957F4E">
        <w:rPr>
          <w:color w:val="FF0000"/>
          <w:sz w:val="22"/>
          <w:szCs w:val="22"/>
        </w:rPr>
        <w:t xml:space="preserve">  </w:t>
      </w:r>
      <w:r w:rsidRPr="00957F4E">
        <w:rPr>
          <w:sz w:val="22"/>
          <w:szCs w:val="22"/>
        </w:rPr>
        <w:t xml:space="preserve">Source: </w:t>
      </w:r>
      <w:r>
        <w:rPr>
          <w:sz w:val="22"/>
          <w:szCs w:val="22"/>
        </w:rPr>
        <w:t>Appendix V</w:t>
      </w:r>
      <w:r w:rsidRPr="00957F4E">
        <w:rPr>
          <w:sz w:val="22"/>
          <w:szCs w:val="22"/>
        </w:rPr>
        <w:t xml:space="preserve"> – 2020</w:t>
      </w:r>
      <w:r>
        <w:rPr>
          <w:sz w:val="22"/>
          <w:szCs w:val="22"/>
        </w:rPr>
        <w:t xml:space="preserve"> CCR Projections (Exhibit RBD-10</w:t>
      </w:r>
      <w:r w:rsidRPr="00957F4E">
        <w:rPr>
          <w:sz w:val="22"/>
          <w:szCs w:val="22"/>
        </w:rPr>
        <w:t>, Page 1</w:t>
      </w:r>
      <w:r w:rsidRPr="00931D63">
        <w:rPr>
          <w:sz w:val="22"/>
          <w:szCs w:val="22"/>
        </w:rPr>
        <w:t xml:space="preserve">9 of </w:t>
      </w:r>
      <w:r>
        <w:rPr>
          <w:sz w:val="22"/>
          <w:szCs w:val="22"/>
        </w:rPr>
        <w:t>32</w:t>
      </w:r>
      <w:r w:rsidRPr="00931D63">
        <w:rPr>
          <w:sz w:val="22"/>
          <w:szCs w:val="22"/>
        </w:rPr>
        <w:t>)</w:t>
      </w:r>
      <w:r>
        <w:rPr>
          <w:sz w:val="22"/>
          <w:szCs w:val="22"/>
        </w:rPr>
        <w:t>.</w:t>
      </w:r>
    </w:p>
    <w:p w:rsidR="002D5713" w:rsidRPr="00B968E1" w:rsidRDefault="002D5713" w:rsidP="002D5713">
      <w:pPr>
        <w:autoSpaceDE w:val="0"/>
        <w:autoSpaceDN w:val="0"/>
        <w:adjustRightInd w:val="0"/>
        <w:jc w:val="both"/>
        <w:rPr>
          <w:bCs/>
          <w:color w:val="FF0000"/>
        </w:rPr>
      </w:pPr>
    </w:p>
    <w:p w:rsidR="002D5713" w:rsidRPr="004A48E2" w:rsidRDefault="002D5713" w:rsidP="002D5713">
      <w:pPr>
        <w:ind w:left="1440" w:hanging="1440"/>
        <w:jc w:val="center"/>
        <w:rPr>
          <w:rFonts w:ascii="Arial" w:hAnsi="Arial" w:cs="Arial"/>
          <w:b/>
        </w:rPr>
      </w:pPr>
      <w:r w:rsidRPr="004A48E2">
        <w:rPr>
          <w:rFonts w:ascii="Arial" w:hAnsi="Arial" w:cs="Arial"/>
          <w:b/>
        </w:rPr>
        <w:t>Table 33-4</w:t>
      </w:r>
    </w:p>
    <w:p w:rsidR="002D5713" w:rsidRPr="004A48E2" w:rsidRDefault="002D5713" w:rsidP="002D5713">
      <w:pPr>
        <w:keepNext/>
        <w:keepLines/>
        <w:jc w:val="center"/>
      </w:pPr>
      <w:r w:rsidRPr="004A48E2">
        <w:rPr>
          <w:rFonts w:ascii="Arial" w:hAnsi="Arial" w:cs="Arial"/>
          <w:b/>
        </w:rPr>
        <w:t>FPL Capacity Cost Recovery Factors for the peri</w:t>
      </w:r>
      <w:r>
        <w:rPr>
          <w:rFonts w:ascii="Arial" w:hAnsi="Arial" w:cs="Arial"/>
          <w:b/>
        </w:rPr>
        <w:t>od January-December, 2020</w:t>
      </w:r>
    </w:p>
    <w:tbl>
      <w:tblPr>
        <w:tblStyle w:val="TableGrid"/>
        <w:tblW w:w="0" w:type="auto"/>
        <w:tblLook w:val="04A0" w:firstRow="1" w:lastRow="0" w:firstColumn="1" w:lastColumn="0" w:noHBand="0" w:noVBand="1"/>
      </w:tblPr>
      <w:tblGrid>
        <w:gridCol w:w="3888"/>
        <w:gridCol w:w="1350"/>
        <w:gridCol w:w="1260"/>
        <w:gridCol w:w="1530"/>
        <w:gridCol w:w="1548"/>
      </w:tblGrid>
      <w:tr w:rsidR="002D5713" w:rsidRPr="00B968E1" w:rsidTr="004813E3">
        <w:tc>
          <w:tcPr>
            <w:tcW w:w="3888" w:type="dxa"/>
            <w:vMerge w:val="restart"/>
            <w:vAlign w:val="center"/>
          </w:tcPr>
          <w:p w:rsidR="002D5713" w:rsidRPr="004A48E2" w:rsidRDefault="002D5713" w:rsidP="004813E3">
            <w:pPr>
              <w:autoSpaceDE w:val="0"/>
              <w:autoSpaceDN w:val="0"/>
              <w:adjustRightInd w:val="0"/>
              <w:jc w:val="center"/>
              <w:rPr>
                <w:b/>
                <w:bCs/>
              </w:rPr>
            </w:pPr>
            <w:r w:rsidRPr="004A48E2">
              <w:rPr>
                <w:b/>
                <w:bCs/>
              </w:rPr>
              <w:t>Rate Schedule</w:t>
            </w:r>
          </w:p>
        </w:tc>
        <w:tc>
          <w:tcPr>
            <w:tcW w:w="5688" w:type="dxa"/>
            <w:gridSpan w:val="4"/>
          </w:tcPr>
          <w:p w:rsidR="002D5713" w:rsidRPr="004A48E2" w:rsidRDefault="002D5713" w:rsidP="004813E3">
            <w:pPr>
              <w:autoSpaceDE w:val="0"/>
              <w:autoSpaceDN w:val="0"/>
              <w:adjustRightInd w:val="0"/>
              <w:jc w:val="center"/>
              <w:rPr>
                <w:b/>
                <w:bCs/>
              </w:rPr>
            </w:pPr>
            <w:r>
              <w:rPr>
                <w:b/>
                <w:bCs/>
              </w:rPr>
              <w:t>2020</w:t>
            </w:r>
            <w:r w:rsidRPr="004A48E2">
              <w:rPr>
                <w:b/>
                <w:bCs/>
              </w:rPr>
              <w:t xml:space="preserve"> Total Capacity Cost Recovery Factors </w:t>
            </w:r>
          </w:p>
        </w:tc>
      </w:tr>
      <w:tr w:rsidR="002D5713" w:rsidRPr="00B968E1" w:rsidTr="004813E3">
        <w:tc>
          <w:tcPr>
            <w:tcW w:w="3888" w:type="dxa"/>
            <w:vMerge/>
          </w:tcPr>
          <w:p w:rsidR="002D5713" w:rsidRPr="004A48E2" w:rsidRDefault="002D5713" w:rsidP="004813E3">
            <w:pPr>
              <w:autoSpaceDE w:val="0"/>
              <w:autoSpaceDN w:val="0"/>
              <w:adjustRightInd w:val="0"/>
              <w:jc w:val="center"/>
              <w:rPr>
                <w:b/>
                <w:bCs/>
              </w:rPr>
            </w:pPr>
          </w:p>
        </w:tc>
        <w:tc>
          <w:tcPr>
            <w:tcW w:w="1350" w:type="dxa"/>
            <w:vAlign w:val="center"/>
          </w:tcPr>
          <w:p w:rsidR="002D5713" w:rsidRPr="004A48E2" w:rsidRDefault="002D5713" w:rsidP="004813E3">
            <w:pPr>
              <w:autoSpaceDE w:val="0"/>
              <w:autoSpaceDN w:val="0"/>
              <w:adjustRightInd w:val="0"/>
              <w:jc w:val="center"/>
              <w:rPr>
                <w:bCs/>
              </w:rPr>
            </w:pPr>
            <w:r w:rsidRPr="004A48E2">
              <w:rPr>
                <w:bCs/>
              </w:rPr>
              <w:t>$/kW</w:t>
            </w:r>
          </w:p>
        </w:tc>
        <w:tc>
          <w:tcPr>
            <w:tcW w:w="1260" w:type="dxa"/>
            <w:vAlign w:val="center"/>
          </w:tcPr>
          <w:p w:rsidR="002D5713" w:rsidRPr="004A48E2" w:rsidRDefault="002D5713" w:rsidP="004813E3">
            <w:pPr>
              <w:autoSpaceDE w:val="0"/>
              <w:autoSpaceDN w:val="0"/>
              <w:adjustRightInd w:val="0"/>
              <w:jc w:val="center"/>
              <w:rPr>
                <w:bCs/>
              </w:rPr>
            </w:pPr>
            <w:r w:rsidRPr="004A48E2">
              <w:rPr>
                <w:bCs/>
              </w:rPr>
              <w:t>$/kWh</w:t>
            </w:r>
          </w:p>
        </w:tc>
        <w:tc>
          <w:tcPr>
            <w:tcW w:w="1530" w:type="dxa"/>
          </w:tcPr>
          <w:p w:rsidR="002D5713" w:rsidRPr="004A48E2" w:rsidRDefault="002D5713" w:rsidP="004813E3">
            <w:pPr>
              <w:autoSpaceDE w:val="0"/>
              <w:autoSpaceDN w:val="0"/>
              <w:adjustRightInd w:val="0"/>
              <w:jc w:val="center"/>
              <w:rPr>
                <w:bCs/>
              </w:rPr>
            </w:pPr>
            <w:r w:rsidRPr="004A48E2">
              <w:rPr>
                <w:bCs/>
              </w:rPr>
              <w:t>Reservation Demand Charge (RDC)  $/kW</w:t>
            </w:r>
          </w:p>
        </w:tc>
        <w:tc>
          <w:tcPr>
            <w:tcW w:w="1548" w:type="dxa"/>
          </w:tcPr>
          <w:p w:rsidR="002D5713" w:rsidRPr="004A48E2" w:rsidRDefault="002D5713" w:rsidP="004813E3">
            <w:pPr>
              <w:autoSpaceDE w:val="0"/>
              <w:autoSpaceDN w:val="0"/>
              <w:adjustRightInd w:val="0"/>
              <w:jc w:val="center"/>
              <w:rPr>
                <w:bCs/>
              </w:rPr>
            </w:pPr>
            <w:r w:rsidRPr="004A48E2">
              <w:rPr>
                <w:bCs/>
              </w:rPr>
              <w:t>Sum of Daily Demand Charge (SDD)  $/kW</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RS1/RTR1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0.00230</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GS1/GST1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0.00225</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GSD1/GSDT1/HLFT1</w:t>
            </w:r>
          </w:p>
        </w:tc>
        <w:tc>
          <w:tcPr>
            <w:tcW w:w="1350" w:type="dxa"/>
          </w:tcPr>
          <w:p w:rsidR="002D5713" w:rsidRPr="00957F4E" w:rsidRDefault="002D5713" w:rsidP="004813E3">
            <w:pPr>
              <w:autoSpaceDE w:val="0"/>
              <w:autoSpaceDN w:val="0"/>
              <w:adjustRightInd w:val="0"/>
              <w:jc w:val="center"/>
              <w:rPr>
                <w:bCs/>
              </w:rPr>
            </w:pPr>
            <w:r w:rsidRPr="00957F4E">
              <w:rPr>
                <w:bCs/>
              </w:rPr>
              <w:t>0.75</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OS2</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0.00095</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GSLD1/GSLDT1/CS1/CST1/HLFT2</w:t>
            </w:r>
          </w:p>
        </w:tc>
        <w:tc>
          <w:tcPr>
            <w:tcW w:w="1350" w:type="dxa"/>
          </w:tcPr>
          <w:p w:rsidR="002D5713" w:rsidRPr="00957F4E" w:rsidRDefault="002D5713" w:rsidP="004813E3">
            <w:pPr>
              <w:autoSpaceDE w:val="0"/>
              <w:autoSpaceDN w:val="0"/>
              <w:adjustRightInd w:val="0"/>
              <w:jc w:val="center"/>
              <w:rPr>
                <w:bCs/>
              </w:rPr>
            </w:pPr>
            <w:r w:rsidRPr="00957F4E">
              <w:rPr>
                <w:bCs/>
              </w:rPr>
              <w:t>0.85</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GSLD2/GSLDT2/CS2/CST2/HLFT3</w:t>
            </w:r>
          </w:p>
        </w:tc>
        <w:tc>
          <w:tcPr>
            <w:tcW w:w="1350" w:type="dxa"/>
          </w:tcPr>
          <w:p w:rsidR="002D5713" w:rsidRPr="00957F4E" w:rsidRDefault="002D5713" w:rsidP="004813E3">
            <w:pPr>
              <w:autoSpaceDE w:val="0"/>
              <w:autoSpaceDN w:val="0"/>
              <w:adjustRightInd w:val="0"/>
              <w:jc w:val="center"/>
              <w:rPr>
                <w:bCs/>
              </w:rPr>
            </w:pPr>
            <w:r w:rsidRPr="00957F4E">
              <w:rPr>
                <w:bCs/>
              </w:rPr>
              <w:t>0.81</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GSLD3/GSLDT3/CS3/CST3</w:t>
            </w:r>
          </w:p>
        </w:tc>
        <w:tc>
          <w:tcPr>
            <w:tcW w:w="1350" w:type="dxa"/>
          </w:tcPr>
          <w:p w:rsidR="002D5713" w:rsidRPr="00957F4E" w:rsidRDefault="002D5713" w:rsidP="004813E3">
            <w:pPr>
              <w:autoSpaceDE w:val="0"/>
              <w:autoSpaceDN w:val="0"/>
              <w:adjustRightInd w:val="0"/>
              <w:jc w:val="center"/>
              <w:rPr>
                <w:bCs/>
              </w:rPr>
            </w:pPr>
            <w:r w:rsidRPr="00957F4E">
              <w:rPr>
                <w:bCs/>
              </w:rPr>
              <w:t>0.84</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SST1T</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0.10</w:t>
            </w:r>
          </w:p>
        </w:tc>
        <w:tc>
          <w:tcPr>
            <w:tcW w:w="1548" w:type="dxa"/>
          </w:tcPr>
          <w:p w:rsidR="002D5713" w:rsidRPr="00957F4E" w:rsidRDefault="002D5713" w:rsidP="004813E3">
            <w:pPr>
              <w:autoSpaceDE w:val="0"/>
              <w:autoSpaceDN w:val="0"/>
              <w:adjustRightInd w:val="0"/>
              <w:jc w:val="center"/>
              <w:rPr>
                <w:bCs/>
              </w:rPr>
            </w:pPr>
            <w:r w:rsidRPr="00957F4E">
              <w:rPr>
                <w:bCs/>
              </w:rPr>
              <w:t>0.05</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SST1D1/SST1D2/SST1D3</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0.10</w:t>
            </w:r>
          </w:p>
        </w:tc>
        <w:tc>
          <w:tcPr>
            <w:tcW w:w="1548" w:type="dxa"/>
          </w:tcPr>
          <w:p w:rsidR="002D5713" w:rsidRPr="00957F4E" w:rsidRDefault="002D5713" w:rsidP="004813E3">
            <w:pPr>
              <w:autoSpaceDE w:val="0"/>
              <w:autoSpaceDN w:val="0"/>
              <w:adjustRightInd w:val="0"/>
              <w:jc w:val="center"/>
              <w:rPr>
                <w:bCs/>
              </w:rPr>
            </w:pPr>
            <w:r w:rsidRPr="00957F4E">
              <w:rPr>
                <w:bCs/>
              </w:rPr>
              <w:t>0.05</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CILC D/CILC G</w:t>
            </w:r>
          </w:p>
        </w:tc>
        <w:tc>
          <w:tcPr>
            <w:tcW w:w="1350" w:type="dxa"/>
          </w:tcPr>
          <w:p w:rsidR="002D5713" w:rsidRPr="00957F4E" w:rsidRDefault="002D5713" w:rsidP="004813E3">
            <w:pPr>
              <w:autoSpaceDE w:val="0"/>
              <w:autoSpaceDN w:val="0"/>
              <w:adjustRightInd w:val="0"/>
              <w:jc w:val="center"/>
              <w:rPr>
                <w:bCs/>
              </w:rPr>
            </w:pPr>
            <w:r w:rsidRPr="00957F4E">
              <w:rPr>
                <w:bCs/>
              </w:rPr>
              <w:t>0.87</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CILC T</w:t>
            </w:r>
          </w:p>
        </w:tc>
        <w:tc>
          <w:tcPr>
            <w:tcW w:w="1350" w:type="dxa"/>
          </w:tcPr>
          <w:p w:rsidR="002D5713" w:rsidRPr="00957F4E" w:rsidRDefault="002D5713" w:rsidP="004813E3">
            <w:pPr>
              <w:autoSpaceDE w:val="0"/>
              <w:autoSpaceDN w:val="0"/>
              <w:adjustRightInd w:val="0"/>
              <w:jc w:val="center"/>
              <w:rPr>
                <w:bCs/>
              </w:rPr>
            </w:pPr>
            <w:r w:rsidRPr="00957F4E">
              <w:rPr>
                <w:bCs/>
              </w:rPr>
              <w:t>0.84</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MET</w:t>
            </w:r>
          </w:p>
        </w:tc>
        <w:tc>
          <w:tcPr>
            <w:tcW w:w="1350" w:type="dxa"/>
          </w:tcPr>
          <w:p w:rsidR="002D5713" w:rsidRPr="00957F4E" w:rsidRDefault="002D5713" w:rsidP="004813E3">
            <w:pPr>
              <w:autoSpaceDE w:val="0"/>
              <w:autoSpaceDN w:val="0"/>
              <w:adjustRightInd w:val="0"/>
              <w:jc w:val="center"/>
              <w:rPr>
                <w:bCs/>
              </w:rPr>
            </w:pPr>
            <w:r w:rsidRPr="00957F4E">
              <w:rPr>
                <w:bCs/>
              </w:rPr>
              <w:t>0.75</w:t>
            </w:r>
          </w:p>
        </w:tc>
        <w:tc>
          <w:tcPr>
            <w:tcW w:w="1260" w:type="dxa"/>
          </w:tcPr>
          <w:p w:rsidR="002D5713" w:rsidRPr="00957F4E" w:rsidRDefault="002D5713" w:rsidP="004813E3">
            <w:pPr>
              <w:autoSpaceDE w:val="0"/>
              <w:autoSpaceDN w:val="0"/>
              <w:adjustRightInd w:val="0"/>
              <w:jc w:val="center"/>
              <w:rPr>
                <w:bCs/>
              </w:rPr>
            </w:pPr>
            <w:r w:rsidRPr="00957F4E">
              <w:rPr>
                <w:bCs/>
              </w:rPr>
              <w:t>-</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OL1/SL1/SL1M/PL1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0.00018</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r w:rsidR="002D5713" w:rsidRPr="00B968E1" w:rsidTr="004813E3">
        <w:tc>
          <w:tcPr>
            <w:tcW w:w="3888" w:type="dxa"/>
          </w:tcPr>
          <w:p w:rsidR="002D5713" w:rsidRPr="00931D63" w:rsidRDefault="002D5713" w:rsidP="004813E3">
            <w:pPr>
              <w:autoSpaceDE w:val="0"/>
              <w:autoSpaceDN w:val="0"/>
              <w:adjustRightInd w:val="0"/>
              <w:jc w:val="center"/>
              <w:rPr>
                <w:bCs/>
              </w:rPr>
            </w:pPr>
            <w:r w:rsidRPr="00931D63">
              <w:rPr>
                <w:bCs/>
              </w:rPr>
              <w:t>SL2/SL2M/GSCU1</w:t>
            </w:r>
          </w:p>
        </w:tc>
        <w:tc>
          <w:tcPr>
            <w:tcW w:w="1350" w:type="dxa"/>
          </w:tcPr>
          <w:p w:rsidR="002D5713" w:rsidRPr="00957F4E" w:rsidRDefault="002D5713" w:rsidP="004813E3">
            <w:pPr>
              <w:autoSpaceDE w:val="0"/>
              <w:autoSpaceDN w:val="0"/>
              <w:adjustRightInd w:val="0"/>
              <w:jc w:val="center"/>
              <w:rPr>
                <w:bCs/>
              </w:rPr>
            </w:pPr>
            <w:r w:rsidRPr="00957F4E">
              <w:rPr>
                <w:bCs/>
              </w:rPr>
              <w:t>-</w:t>
            </w:r>
          </w:p>
        </w:tc>
        <w:tc>
          <w:tcPr>
            <w:tcW w:w="1260" w:type="dxa"/>
          </w:tcPr>
          <w:p w:rsidR="002D5713" w:rsidRPr="00957F4E" w:rsidRDefault="002D5713" w:rsidP="004813E3">
            <w:pPr>
              <w:autoSpaceDE w:val="0"/>
              <w:autoSpaceDN w:val="0"/>
              <w:adjustRightInd w:val="0"/>
              <w:jc w:val="center"/>
              <w:rPr>
                <w:bCs/>
              </w:rPr>
            </w:pPr>
            <w:r w:rsidRPr="00957F4E">
              <w:rPr>
                <w:bCs/>
              </w:rPr>
              <w:t>0.00153</w:t>
            </w:r>
          </w:p>
        </w:tc>
        <w:tc>
          <w:tcPr>
            <w:tcW w:w="1530" w:type="dxa"/>
          </w:tcPr>
          <w:p w:rsidR="002D5713" w:rsidRPr="00957F4E" w:rsidRDefault="002D5713" w:rsidP="004813E3">
            <w:pPr>
              <w:autoSpaceDE w:val="0"/>
              <w:autoSpaceDN w:val="0"/>
              <w:adjustRightInd w:val="0"/>
              <w:jc w:val="center"/>
              <w:rPr>
                <w:bCs/>
              </w:rPr>
            </w:pPr>
            <w:r w:rsidRPr="00957F4E">
              <w:rPr>
                <w:bCs/>
              </w:rPr>
              <w:t>-</w:t>
            </w:r>
          </w:p>
        </w:tc>
        <w:tc>
          <w:tcPr>
            <w:tcW w:w="1548" w:type="dxa"/>
          </w:tcPr>
          <w:p w:rsidR="002D5713" w:rsidRPr="00957F4E" w:rsidRDefault="002D5713" w:rsidP="004813E3">
            <w:pPr>
              <w:autoSpaceDE w:val="0"/>
              <w:autoSpaceDN w:val="0"/>
              <w:adjustRightInd w:val="0"/>
              <w:jc w:val="center"/>
              <w:rPr>
                <w:bCs/>
              </w:rPr>
            </w:pPr>
            <w:r w:rsidRPr="00957F4E">
              <w:rPr>
                <w:bCs/>
              </w:rPr>
              <w:t>-</w:t>
            </w:r>
          </w:p>
        </w:tc>
      </w:tr>
    </w:tbl>
    <w:p w:rsidR="002D5713" w:rsidRPr="00694117" w:rsidRDefault="002D5713" w:rsidP="002D5713">
      <w:pPr>
        <w:autoSpaceDE w:val="0"/>
        <w:autoSpaceDN w:val="0"/>
        <w:adjustRightInd w:val="0"/>
        <w:jc w:val="both"/>
        <w:rPr>
          <w:bCs/>
        </w:rPr>
      </w:pPr>
      <w:r w:rsidRPr="00B968E1">
        <w:rPr>
          <w:color w:val="FF0000"/>
          <w:sz w:val="22"/>
          <w:szCs w:val="22"/>
        </w:rPr>
        <w:lastRenderedPageBreak/>
        <w:t xml:space="preserve">  </w:t>
      </w:r>
      <w:r w:rsidRPr="00931D63">
        <w:rPr>
          <w:sz w:val="22"/>
          <w:szCs w:val="22"/>
        </w:rPr>
        <w:t xml:space="preserve">Source: </w:t>
      </w:r>
      <w:r>
        <w:rPr>
          <w:sz w:val="22"/>
          <w:szCs w:val="22"/>
        </w:rPr>
        <w:t>Appendix V</w:t>
      </w:r>
      <w:r w:rsidRPr="00931D63">
        <w:rPr>
          <w:sz w:val="22"/>
          <w:szCs w:val="22"/>
        </w:rPr>
        <w:t xml:space="preserve"> </w:t>
      </w:r>
      <w:r>
        <w:rPr>
          <w:sz w:val="22"/>
          <w:szCs w:val="22"/>
        </w:rPr>
        <w:t>– 2020 CCR Projections (</w:t>
      </w:r>
      <w:r w:rsidRPr="00931D63">
        <w:rPr>
          <w:sz w:val="22"/>
          <w:szCs w:val="22"/>
        </w:rPr>
        <w:t>Exhibit RBD-</w:t>
      </w:r>
      <w:r>
        <w:rPr>
          <w:sz w:val="22"/>
          <w:szCs w:val="22"/>
        </w:rPr>
        <w:t>10, Page 20</w:t>
      </w:r>
      <w:r w:rsidRPr="00931D63">
        <w:rPr>
          <w:sz w:val="22"/>
          <w:szCs w:val="22"/>
        </w:rPr>
        <w:t xml:space="preserve"> </w:t>
      </w:r>
      <w:proofErr w:type="gramStart"/>
      <w:r w:rsidRPr="00931D63">
        <w:rPr>
          <w:sz w:val="22"/>
          <w:szCs w:val="22"/>
        </w:rPr>
        <w:t xml:space="preserve">of </w:t>
      </w:r>
      <w:r>
        <w:rPr>
          <w:sz w:val="22"/>
          <w:szCs w:val="22"/>
        </w:rPr>
        <w:t xml:space="preserve"> 32</w:t>
      </w:r>
      <w:proofErr w:type="gramEnd"/>
      <w:r w:rsidRPr="00957F4E">
        <w:rPr>
          <w:sz w:val="22"/>
          <w:szCs w:val="22"/>
        </w:rPr>
        <w:t>).</w:t>
      </w:r>
    </w:p>
    <w:p w:rsidR="002D5713" w:rsidRDefault="002D5713" w:rsidP="002D5713">
      <w:pPr>
        <w:autoSpaceDE w:val="0"/>
        <w:autoSpaceDN w:val="0"/>
        <w:adjustRightInd w:val="0"/>
        <w:ind w:left="1440" w:hanging="1440"/>
        <w:jc w:val="both"/>
        <w:rPr>
          <w:bCs/>
        </w:rPr>
      </w:pPr>
    </w:p>
    <w:p w:rsidR="002D5713" w:rsidRPr="00694117" w:rsidRDefault="002D5713" w:rsidP="002D5713">
      <w:pPr>
        <w:autoSpaceDE w:val="0"/>
        <w:autoSpaceDN w:val="0"/>
        <w:adjustRightInd w:val="0"/>
        <w:ind w:left="1440" w:hanging="1440"/>
        <w:jc w:val="both"/>
        <w:rPr>
          <w:bCs/>
        </w:rPr>
      </w:pPr>
      <w:r w:rsidRPr="00A27C99">
        <w:rPr>
          <w:b/>
          <w:bCs/>
        </w:rPr>
        <w:t>Gulf:</w:t>
      </w:r>
      <w:r w:rsidRPr="00694117">
        <w:rPr>
          <w:bCs/>
        </w:rPr>
        <w:tab/>
      </w:r>
      <w:r w:rsidRPr="00694117">
        <w:t xml:space="preserve">The appropriate capacity cost recovery factors for the period January 2020 through December 2020 are shown in </w:t>
      </w:r>
      <w:r w:rsidRPr="00694117">
        <w:rPr>
          <w:bCs/>
        </w:rPr>
        <w:t>Table 33-5 below:</w:t>
      </w:r>
    </w:p>
    <w:p w:rsidR="002D5713" w:rsidRPr="00694117" w:rsidRDefault="002D5713" w:rsidP="002D5713">
      <w:pPr>
        <w:autoSpaceDE w:val="0"/>
        <w:autoSpaceDN w:val="0"/>
        <w:adjustRightInd w:val="0"/>
        <w:jc w:val="both"/>
        <w:rPr>
          <w:bCs/>
        </w:rPr>
      </w:pPr>
    </w:p>
    <w:p w:rsidR="002D5713" w:rsidRPr="00694117" w:rsidRDefault="002D5713" w:rsidP="002D5713">
      <w:pPr>
        <w:ind w:left="1440" w:hanging="1440"/>
        <w:jc w:val="center"/>
        <w:rPr>
          <w:rFonts w:ascii="Arial" w:hAnsi="Arial" w:cs="Arial"/>
          <w:b/>
        </w:rPr>
      </w:pPr>
      <w:r w:rsidRPr="00694117">
        <w:rPr>
          <w:rFonts w:ascii="Arial" w:hAnsi="Arial" w:cs="Arial"/>
          <w:b/>
        </w:rPr>
        <w:t>Table 33-5</w:t>
      </w:r>
    </w:p>
    <w:p w:rsidR="002D5713" w:rsidRPr="00694117" w:rsidRDefault="002D5713" w:rsidP="002D5713">
      <w:pPr>
        <w:keepNext/>
        <w:keepLines/>
        <w:jc w:val="center"/>
      </w:pPr>
      <w:r>
        <w:rPr>
          <w:rFonts w:ascii="Arial" w:hAnsi="Arial" w:cs="Arial"/>
          <w:b/>
        </w:rPr>
        <w:t>GULF</w:t>
      </w:r>
      <w:r w:rsidRPr="00694117">
        <w:rPr>
          <w:rFonts w:ascii="Arial" w:hAnsi="Arial" w:cs="Arial"/>
          <w:b/>
        </w:rPr>
        <w:t xml:space="preserve"> Capacity Cost Recovery Factors for the period January-December, 2020</w:t>
      </w:r>
    </w:p>
    <w:tbl>
      <w:tblPr>
        <w:tblStyle w:val="TableGrid"/>
        <w:tblW w:w="0" w:type="auto"/>
        <w:tblLook w:val="04A0" w:firstRow="1" w:lastRow="0" w:firstColumn="1" w:lastColumn="0" w:noHBand="0" w:noVBand="1"/>
      </w:tblPr>
      <w:tblGrid>
        <w:gridCol w:w="4428"/>
        <w:gridCol w:w="2610"/>
        <w:gridCol w:w="2538"/>
      </w:tblGrid>
      <w:tr w:rsidR="002D5713" w:rsidRPr="00694117" w:rsidTr="004813E3">
        <w:tc>
          <w:tcPr>
            <w:tcW w:w="4428" w:type="dxa"/>
            <w:vMerge w:val="restart"/>
            <w:vAlign w:val="center"/>
          </w:tcPr>
          <w:p w:rsidR="002D5713" w:rsidRPr="00694117" w:rsidRDefault="002D5713" w:rsidP="004813E3">
            <w:pPr>
              <w:autoSpaceDE w:val="0"/>
              <w:autoSpaceDN w:val="0"/>
              <w:adjustRightInd w:val="0"/>
              <w:jc w:val="center"/>
              <w:rPr>
                <w:b/>
                <w:bCs/>
              </w:rPr>
            </w:pPr>
            <w:r w:rsidRPr="00694117">
              <w:rPr>
                <w:b/>
                <w:bCs/>
              </w:rPr>
              <w:t>Rate Class</w:t>
            </w:r>
          </w:p>
        </w:tc>
        <w:tc>
          <w:tcPr>
            <w:tcW w:w="5148" w:type="dxa"/>
            <w:gridSpan w:val="2"/>
          </w:tcPr>
          <w:p w:rsidR="002D5713" w:rsidRPr="00694117" w:rsidRDefault="002D5713" w:rsidP="004813E3">
            <w:pPr>
              <w:autoSpaceDE w:val="0"/>
              <w:autoSpaceDN w:val="0"/>
              <w:adjustRightInd w:val="0"/>
              <w:jc w:val="center"/>
              <w:rPr>
                <w:b/>
                <w:bCs/>
              </w:rPr>
            </w:pPr>
            <w:r w:rsidRPr="00694117">
              <w:rPr>
                <w:b/>
                <w:bCs/>
              </w:rPr>
              <w:t xml:space="preserve">2019 Capacity Cost Recovery Factors </w:t>
            </w:r>
          </w:p>
        </w:tc>
      </w:tr>
      <w:tr w:rsidR="002D5713" w:rsidRPr="00694117" w:rsidTr="004813E3">
        <w:tc>
          <w:tcPr>
            <w:tcW w:w="4428" w:type="dxa"/>
            <w:vMerge/>
          </w:tcPr>
          <w:p w:rsidR="002D5713" w:rsidRPr="00694117" w:rsidRDefault="002D5713" w:rsidP="004813E3">
            <w:pPr>
              <w:autoSpaceDE w:val="0"/>
              <w:autoSpaceDN w:val="0"/>
              <w:adjustRightInd w:val="0"/>
              <w:jc w:val="center"/>
              <w:rPr>
                <w:b/>
                <w:bCs/>
              </w:rPr>
            </w:pPr>
          </w:p>
        </w:tc>
        <w:tc>
          <w:tcPr>
            <w:tcW w:w="2610" w:type="dxa"/>
          </w:tcPr>
          <w:p w:rsidR="002D5713" w:rsidRPr="00694117" w:rsidRDefault="002D5713" w:rsidP="004813E3">
            <w:pPr>
              <w:autoSpaceDE w:val="0"/>
              <w:autoSpaceDN w:val="0"/>
              <w:adjustRightInd w:val="0"/>
              <w:jc w:val="center"/>
              <w:rPr>
                <w:bCs/>
              </w:rPr>
            </w:pPr>
            <w:r w:rsidRPr="00694117">
              <w:rPr>
                <w:bCs/>
              </w:rPr>
              <w:t>Cents / kWh</w:t>
            </w:r>
          </w:p>
        </w:tc>
        <w:tc>
          <w:tcPr>
            <w:tcW w:w="2538" w:type="dxa"/>
          </w:tcPr>
          <w:p w:rsidR="002D5713" w:rsidRPr="00694117" w:rsidRDefault="002D5713" w:rsidP="004813E3">
            <w:pPr>
              <w:autoSpaceDE w:val="0"/>
              <w:autoSpaceDN w:val="0"/>
              <w:adjustRightInd w:val="0"/>
              <w:jc w:val="center"/>
              <w:rPr>
                <w:bCs/>
              </w:rPr>
            </w:pPr>
            <w:r w:rsidRPr="00694117">
              <w:rPr>
                <w:bCs/>
              </w:rPr>
              <w:t>Dollars / kW-month</w:t>
            </w:r>
          </w:p>
        </w:tc>
      </w:tr>
      <w:tr w:rsidR="002D5713" w:rsidRPr="00957F4E" w:rsidTr="004813E3">
        <w:tc>
          <w:tcPr>
            <w:tcW w:w="4428" w:type="dxa"/>
          </w:tcPr>
          <w:p w:rsidR="002D5713" w:rsidRPr="00957F4E" w:rsidRDefault="002D5713" w:rsidP="004813E3">
            <w:pPr>
              <w:autoSpaceDE w:val="0"/>
              <w:autoSpaceDN w:val="0"/>
              <w:adjustRightInd w:val="0"/>
              <w:jc w:val="center"/>
              <w:rPr>
                <w:bCs/>
              </w:rPr>
            </w:pPr>
            <w:r w:rsidRPr="00957F4E">
              <w:rPr>
                <w:bCs/>
              </w:rPr>
              <w:t>RS, RSVP, RSTOU</w:t>
            </w:r>
          </w:p>
        </w:tc>
        <w:tc>
          <w:tcPr>
            <w:tcW w:w="2610" w:type="dxa"/>
          </w:tcPr>
          <w:p w:rsidR="002D5713" w:rsidRPr="00957F4E" w:rsidRDefault="002D5713" w:rsidP="004813E3">
            <w:pPr>
              <w:autoSpaceDE w:val="0"/>
              <w:autoSpaceDN w:val="0"/>
              <w:adjustRightInd w:val="0"/>
              <w:jc w:val="center"/>
              <w:rPr>
                <w:bCs/>
              </w:rPr>
            </w:pPr>
            <w:r w:rsidRPr="00957F4E">
              <w:rPr>
                <w:bCs/>
              </w:rPr>
              <w:t>0.878</w:t>
            </w:r>
          </w:p>
        </w:tc>
        <w:tc>
          <w:tcPr>
            <w:tcW w:w="2538" w:type="dxa"/>
            <w:vMerge w:val="restart"/>
            <w:vAlign w:val="center"/>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4428" w:type="dxa"/>
          </w:tcPr>
          <w:p w:rsidR="002D5713" w:rsidRPr="00957F4E" w:rsidRDefault="002D5713" w:rsidP="004813E3">
            <w:pPr>
              <w:autoSpaceDE w:val="0"/>
              <w:autoSpaceDN w:val="0"/>
              <w:adjustRightInd w:val="0"/>
              <w:jc w:val="center"/>
              <w:rPr>
                <w:bCs/>
              </w:rPr>
            </w:pPr>
            <w:r w:rsidRPr="00957F4E">
              <w:rPr>
                <w:bCs/>
              </w:rPr>
              <w:t>GS</w:t>
            </w:r>
          </w:p>
        </w:tc>
        <w:tc>
          <w:tcPr>
            <w:tcW w:w="2610" w:type="dxa"/>
          </w:tcPr>
          <w:p w:rsidR="002D5713" w:rsidRPr="00957F4E" w:rsidRDefault="002D5713" w:rsidP="004813E3">
            <w:pPr>
              <w:autoSpaceDE w:val="0"/>
              <w:autoSpaceDN w:val="0"/>
              <w:adjustRightInd w:val="0"/>
              <w:jc w:val="center"/>
              <w:rPr>
                <w:bCs/>
              </w:rPr>
            </w:pPr>
            <w:r w:rsidRPr="00957F4E">
              <w:rPr>
                <w:bCs/>
              </w:rPr>
              <w:t>0.893</w:t>
            </w:r>
          </w:p>
        </w:tc>
        <w:tc>
          <w:tcPr>
            <w:tcW w:w="2538" w:type="dxa"/>
            <w:vMerge/>
          </w:tcPr>
          <w:p w:rsidR="002D5713" w:rsidRPr="00957F4E" w:rsidRDefault="002D5713" w:rsidP="004813E3">
            <w:pPr>
              <w:autoSpaceDE w:val="0"/>
              <w:autoSpaceDN w:val="0"/>
              <w:adjustRightInd w:val="0"/>
              <w:jc w:val="center"/>
              <w:rPr>
                <w:bCs/>
              </w:rPr>
            </w:pPr>
          </w:p>
        </w:tc>
      </w:tr>
      <w:tr w:rsidR="002D5713" w:rsidRPr="00957F4E" w:rsidTr="004813E3">
        <w:tc>
          <w:tcPr>
            <w:tcW w:w="4428" w:type="dxa"/>
          </w:tcPr>
          <w:p w:rsidR="002D5713" w:rsidRPr="00957F4E" w:rsidRDefault="002D5713" w:rsidP="004813E3">
            <w:pPr>
              <w:autoSpaceDE w:val="0"/>
              <w:autoSpaceDN w:val="0"/>
              <w:adjustRightInd w:val="0"/>
              <w:jc w:val="center"/>
              <w:rPr>
                <w:bCs/>
              </w:rPr>
            </w:pPr>
            <w:r w:rsidRPr="00957F4E">
              <w:rPr>
                <w:bCs/>
              </w:rPr>
              <w:t>GSD, GSDT, GSTOU</w:t>
            </w:r>
          </w:p>
        </w:tc>
        <w:tc>
          <w:tcPr>
            <w:tcW w:w="2610" w:type="dxa"/>
          </w:tcPr>
          <w:p w:rsidR="002D5713" w:rsidRPr="00957F4E" w:rsidRDefault="002D5713" w:rsidP="004813E3">
            <w:pPr>
              <w:autoSpaceDE w:val="0"/>
              <w:autoSpaceDN w:val="0"/>
              <w:adjustRightInd w:val="0"/>
              <w:jc w:val="center"/>
              <w:rPr>
                <w:bCs/>
              </w:rPr>
            </w:pPr>
            <w:r w:rsidRPr="00957F4E">
              <w:rPr>
                <w:bCs/>
              </w:rPr>
              <w:t>0.703</w:t>
            </w:r>
          </w:p>
        </w:tc>
        <w:tc>
          <w:tcPr>
            <w:tcW w:w="2538" w:type="dxa"/>
            <w:vMerge/>
          </w:tcPr>
          <w:p w:rsidR="002D5713" w:rsidRPr="00957F4E" w:rsidRDefault="002D5713" w:rsidP="004813E3">
            <w:pPr>
              <w:autoSpaceDE w:val="0"/>
              <w:autoSpaceDN w:val="0"/>
              <w:adjustRightInd w:val="0"/>
              <w:jc w:val="center"/>
              <w:rPr>
                <w:bCs/>
              </w:rPr>
            </w:pPr>
          </w:p>
        </w:tc>
      </w:tr>
      <w:tr w:rsidR="002D5713" w:rsidRPr="00957F4E" w:rsidTr="004813E3">
        <w:tc>
          <w:tcPr>
            <w:tcW w:w="4428" w:type="dxa"/>
          </w:tcPr>
          <w:p w:rsidR="002D5713" w:rsidRPr="00957F4E" w:rsidRDefault="002D5713" w:rsidP="004813E3">
            <w:pPr>
              <w:autoSpaceDE w:val="0"/>
              <w:autoSpaceDN w:val="0"/>
              <w:adjustRightInd w:val="0"/>
              <w:jc w:val="center"/>
              <w:rPr>
                <w:bCs/>
              </w:rPr>
            </w:pPr>
            <w:r w:rsidRPr="00957F4E">
              <w:rPr>
                <w:bCs/>
              </w:rPr>
              <w:t>LP, LPT</w:t>
            </w:r>
          </w:p>
        </w:tc>
        <w:tc>
          <w:tcPr>
            <w:tcW w:w="2610" w:type="dxa"/>
          </w:tcPr>
          <w:p w:rsidR="002D5713" w:rsidRPr="00957F4E" w:rsidRDefault="002D5713" w:rsidP="004813E3">
            <w:pPr>
              <w:autoSpaceDE w:val="0"/>
              <w:autoSpaceDN w:val="0"/>
              <w:adjustRightInd w:val="0"/>
              <w:jc w:val="center"/>
              <w:rPr>
                <w:bCs/>
              </w:rPr>
            </w:pPr>
            <w:r w:rsidRPr="00957F4E">
              <w:rPr>
                <w:bCs/>
              </w:rPr>
              <w:t>-</w:t>
            </w:r>
          </w:p>
        </w:tc>
        <w:tc>
          <w:tcPr>
            <w:tcW w:w="2538" w:type="dxa"/>
          </w:tcPr>
          <w:p w:rsidR="002D5713" w:rsidRPr="00957F4E" w:rsidRDefault="002D5713" w:rsidP="004813E3">
            <w:pPr>
              <w:autoSpaceDE w:val="0"/>
              <w:autoSpaceDN w:val="0"/>
              <w:adjustRightInd w:val="0"/>
              <w:jc w:val="center"/>
              <w:rPr>
                <w:bCs/>
              </w:rPr>
            </w:pPr>
            <w:r w:rsidRPr="00957F4E">
              <w:rPr>
                <w:bCs/>
              </w:rPr>
              <w:t>2.92</w:t>
            </w:r>
          </w:p>
        </w:tc>
      </w:tr>
      <w:tr w:rsidR="002D5713" w:rsidRPr="00957F4E" w:rsidTr="004813E3">
        <w:tc>
          <w:tcPr>
            <w:tcW w:w="4428" w:type="dxa"/>
          </w:tcPr>
          <w:p w:rsidR="002D5713" w:rsidRPr="00957F4E" w:rsidRDefault="002D5713" w:rsidP="004813E3">
            <w:pPr>
              <w:autoSpaceDE w:val="0"/>
              <w:autoSpaceDN w:val="0"/>
              <w:adjustRightInd w:val="0"/>
              <w:jc w:val="center"/>
              <w:rPr>
                <w:bCs/>
              </w:rPr>
            </w:pPr>
            <w:r w:rsidRPr="00957F4E">
              <w:rPr>
                <w:bCs/>
              </w:rPr>
              <w:t>PX, PXT, RTP, SBS</w:t>
            </w:r>
          </w:p>
        </w:tc>
        <w:tc>
          <w:tcPr>
            <w:tcW w:w="2610" w:type="dxa"/>
          </w:tcPr>
          <w:p w:rsidR="002D5713" w:rsidRPr="00957F4E" w:rsidRDefault="002D5713" w:rsidP="004813E3">
            <w:pPr>
              <w:autoSpaceDE w:val="0"/>
              <w:autoSpaceDN w:val="0"/>
              <w:adjustRightInd w:val="0"/>
              <w:jc w:val="center"/>
              <w:rPr>
                <w:bCs/>
              </w:rPr>
            </w:pPr>
            <w:r w:rsidRPr="00957F4E">
              <w:rPr>
                <w:bCs/>
              </w:rPr>
              <w:t>0.598</w:t>
            </w:r>
          </w:p>
        </w:tc>
        <w:tc>
          <w:tcPr>
            <w:tcW w:w="2538" w:type="dxa"/>
            <w:vMerge w:val="restart"/>
            <w:vAlign w:val="center"/>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4428" w:type="dxa"/>
          </w:tcPr>
          <w:p w:rsidR="002D5713" w:rsidRPr="00957F4E" w:rsidRDefault="002D5713" w:rsidP="004813E3">
            <w:pPr>
              <w:autoSpaceDE w:val="0"/>
              <w:autoSpaceDN w:val="0"/>
              <w:adjustRightInd w:val="0"/>
              <w:jc w:val="center"/>
              <w:rPr>
                <w:bCs/>
              </w:rPr>
            </w:pPr>
            <w:r w:rsidRPr="00957F4E">
              <w:rPr>
                <w:bCs/>
              </w:rPr>
              <w:t>OS-I/II</w:t>
            </w:r>
          </w:p>
        </w:tc>
        <w:tc>
          <w:tcPr>
            <w:tcW w:w="2610" w:type="dxa"/>
          </w:tcPr>
          <w:p w:rsidR="002D5713" w:rsidRPr="00957F4E" w:rsidRDefault="002D5713" w:rsidP="004813E3">
            <w:pPr>
              <w:autoSpaceDE w:val="0"/>
              <w:autoSpaceDN w:val="0"/>
              <w:adjustRightInd w:val="0"/>
              <w:jc w:val="center"/>
              <w:rPr>
                <w:bCs/>
              </w:rPr>
            </w:pPr>
            <w:r w:rsidRPr="00957F4E">
              <w:rPr>
                <w:bCs/>
              </w:rPr>
              <w:t xml:space="preserve">0.121 </w:t>
            </w:r>
          </w:p>
        </w:tc>
        <w:tc>
          <w:tcPr>
            <w:tcW w:w="2538" w:type="dxa"/>
            <w:vMerge/>
          </w:tcPr>
          <w:p w:rsidR="002D5713" w:rsidRPr="00957F4E" w:rsidRDefault="002D5713" w:rsidP="004813E3">
            <w:pPr>
              <w:autoSpaceDE w:val="0"/>
              <w:autoSpaceDN w:val="0"/>
              <w:adjustRightInd w:val="0"/>
              <w:jc w:val="center"/>
              <w:rPr>
                <w:bCs/>
              </w:rPr>
            </w:pPr>
          </w:p>
        </w:tc>
      </w:tr>
      <w:tr w:rsidR="002D5713" w:rsidRPr="00957F4E" w:rsidTr="004813E3">
        <w:tc>
          <w:tcPr>
            <w:tcW w:w="4428" w:type="dxa"/>
          </w:tcPr>
          <w:p w:rsidR="002D5713" w:rsidRPr="00957F4E" w:rsidRDefault="002D5713" w:rsidP="004813E3">
            <w:pPr>
              <w:autoSpaceDE w:val="0"/>
              <w:autoSpaceDN w:val="0"/>
              <w:adjustRightInd w:val="0"/>
              <w:jc w:val="center"/>
              <w:rPr>
                <w:bCs/>
              </w:rPr>
            </w:pPr>
            <w:r w:rsidRPr="00957F4E">
              <w:rPr>
                <w:bCs/>
              </w:rPr>
              <w:t>OSIII</w:t>
            </w:r>
          </w:p>
        </w:tc>
        <w:tc>
          <w:tcPr>
            <w:tcW w:w="2610" w:type="dxa"/>
          </w:tcPr>
          <w:p w:rsidR="002D5713" w:rsidRPr="00957F4E" w:rsidRDefault="002D5713" w:rsidP="004813E3">
            <w:pPr>
              <w:autoSpaceDE w:val="0"/>
              <w:autoSpaceDN w:val="0"/>
              <w:adjustRightInd w:val="0"/>
              <w:jc w:val="center"/>
              <w:rPr>
                <w:bCs/>
              </w:rPr>
            </w:pPr>
            <w:r w:rsidRPr="00957F4E">
              <w:rPr>
                <w:bCs/>
              </w:rPr>
              <w:t xml:space="preserve">0.543 </w:t>
            </w:r>
          </w:p>
        </w:tc>
        <w:tc>
          <w:tcPr>
            <w:tcW w:w="2538" w:type="dxa"/>
            <w:vMerge/>
          </w:tcPr>
          <w:p w:rsidR="002D5713" w:rsidRPr="00957F4E" w:rsidRDefault="002D5713" w:rsidP="004813E3">
            <w:pPr>
              <w:autoSpaceDE w:val="0"/>
              <w:autoSpaceDN w:val="0"/>
              <w:adjustRightInd w:val="0"/>
              <w:jc w:val="center"/>
              <w:rPr>
                <w:bCs/>
              </w:rPr>
            </w:pPr>
          </w:p>
        </w:tc>
      </w:tr>
    </w:tbl>
    <w:p w:rsidR="002D5713" w:rsidRPr="00957F4E" w:rsidRDefault="002D5713" w:rsidP="002D5713">
      <w:pPr>
        <w:autoSpaceDE w:val="0"/>
        <w:autoSpaceDN w:val="0"/>
        <w:adjustRightInd w:val="0"/>
        <w:jc w:val="both"/>
        <w:rPr>
          <w:bCs/>
        </w:rPr>
      </w:pPr>
      <w:r w:rsidRPr="00957F4E">
        <w:rPr>
          <w:sz w:val="22"/>
          <w:szCs w:val="22"/>
        </w:rPr>
        <w:t xml:space="preserve">  Source: Schedule CCE-2, Page 2 of 2 (Exhibit CSB-5, Columns G and I, Page 40 of 41).</w:t>
      </w:r>
    </w:p>
    <w:p w:rsidR="002D5713" w:rsidRPr="00957F4E" w:rsidRDefault="002D5713" w:rsidP="002D5713">
      <w:pPr>
        <w:jc w:val="both"/>
        <w:rPr>
          <w:bCs/>
          <w:u w:val="single"/>
        </w:rPr>
      </w:pPr>
    </w:p>
    <w:p w:rsidR="002D5713" w:rsidRPr="00957F4E" w:rsidRDefault="002D5713" w:rsidP="002D5713">
      <w:pPr>
        <w:ind w:left="1440" w:hanging="1440"/>
        <w:jc w:val="both"/>
        <w:rPr>
          <w:b/>
          <w:bCs/>
        </w:rPr>
      </w:pPr>
      <w:r w:rsidRPr="00A27C99">
        <w:rPr>
          <w:b/>
          <w:bCs/>
        </w:rPr>
        <w:t>TECO:</w:t>
      </w:r>
      <w:r w:rsidRPr="00957F4E">
        <w:rPr>
          <w:bCs/>
        </w:rPr>
        <w:tab/>
      </w:r>
      <w:r w:rsidRPr="00957F4E">
        <w:t xml:space="preserve">The appropriate capacity cost recovery factors for the period January 2020 through December 2020 are shown in </w:t>
      </w:r>
      <w:r w:rsidRPr="00957F4E">
        <w:rPr>
          <w:bCs/>
        </w:rPr>
        <w:t>Table 33-6 below</w:t>
      </w:r>
      <w:r w:rsidRPr="00957F4E">
        <w:rPr>
          <w:b/>
          <w:bCs/>
        </w:rPr>
        <w:t>:</w:t>
      </w:r>
    </w:p>
    <w:p w:rsidR="002D5713" w:rsidRPr="00957F4E" w:rsidRDefault="002D5713" w:rsidP="002D5713">
      <w:pPr>
        <w:jc w:val="both"/>
        <w:rPr>
          <w:b/>
          <w:bCs/>
          <w:u w:val="single"/>
        </w:rPr>
      </w:pPr>
    </w:p>
    <w:p w:rsidR="002D5713" w:rsidRPr="00957F4E" w:rsidRDefault="002D5713" w:rsidP="002D5713">
      <w:pPr>
        <w:ind w:left="1440" w:hanging="1440"/>
        <w:jc w:val="center"/>
        <w:rPr>
          <w:rFonts w:ascii="Arial" w:hAnsi="Arial" w:cs="Arial"/>
          <w:b/>
        </w:rPr>
      </w:pPr>
      <w:r w:rsidRPr="00957F4E">
        <w:rPr>
          <w:rFonts w:ascii="Arial" w:hAnsi="Arial" w:cs="Arial"/>
          <w:b/>
        </w:rPr>
        <w:t>Table 33-6</w:t>
      </w:r>
    </w:p>
    <w:p w:rsidR="002D5713" w:rsidRPr="00957F4E" w:rsidRDefault="002D5713" w:rsidP="002D5713">
      <w:pPr>
        <w:keepNext/>
        <w:keepLines/>
        <w:jc w:val="center"/>
      </w:pPr>
      <w:r w:rsidRPr="00957F4E">
        <w:rPr>
          <w:rFonts w:ascii="Arial" w:hAnsi="Arial" w:cs="Arial"/>
          <w:b/>
        </w:rPr>
        <w:t>TECO Capacity Cost Recovery Factors for the period January-December, 2020</w:t>
      </w:r>
    </w:p>
    <w:tbl>
      <w:tblPr>
        <w:tblStyle w:val="TableGrid"/>
        <w:tblW w:w="0" w:type="auto"/>
        <w:tblLook w:val="04A0" w:firstRow="1" w:lastRow="0" w:firstColumn="1" w:lastColumn="0" w:noHBand="0" w:noVBand="1"/>
      </w:tblPr>
      <w:tblGrid>
        <w:gridCol w:w="4158"/>
        <w:gridCol w:w="2610"/>
        <w:gridCol w:w="2808"/>
      </w:tblGrid>
      <w:tr w:rsidR="002D5713" w:rsidRPr="00957F4E" w:rsidTr="004813E3">
        <w:tc>
          <w:tcPr>
            <w:tcW w:w="4158" w:type="dxa"/>
            <w:vMerge w:val="restart"/>
            <w:vAlign w:val="center"/>
          </w:tcPr>
          <w:p w:rsidR="002D5713" w:rsidRPr="00957F4E" w:rsidRDefault="002D5713" w:rsidP="004813E3">
            <w:pPr>
              <w:autoSpaceDE w:val="0"/>
              <w:autoSpaceDN w:val="0"/>
              <w:adjustRightInd w:val="0"/>
              <w:jc w:val="center"/>
              <w:rPr>
                <w:b/>
                <w:bCs/>
              </w:rPr>
            </w:pPr>
            <w:r w:rsidRPr="00957F4E">
              <w:rPr>
                <w:b/>
                <w:bCs/>
              </w:rPr>
              <w:t>Rate Class and Metering Voltage</w:t>
            </w:r>
          </w:p>
        </w:tc>
        <w:tc>
          <w:tcPr>
            <w:tcW w:w="5418" w:type="dxa"/>
            <w:gridSpan w:val="2"/>
          </w:tcPr>
          <w:p w:rsidR="002D5713" w:rsidRPr="00957F4E" w:rsidRDefault="002D5713" w:rsidP="004813E3">
            <w:pPr>
              <w:autoSpaceDE w:val="0"/>
              <w:autoSpaceDN w:val="0"/>
              <w:adjustRightInd w:val="0"/>
              <w:jc w:val="center"/>
              <w:rPr>
                <w:b/>
                <w:bCs/>
              </w:rPr>
            </w:pPr>
            <w:r w:rsidRPr="00957F4E">
              <w:rPr>
                <w:b/>
                <w:bCs/>
              </w:rPr>
              <w:t xml:space="preserve">2020 Capacity Cost Recovery Factors </w:t>
            </w:r>
          </w:p>
        </w:tc>
      </w:tr>
      <w:tr w:rsidR="002D5713" w:rsidRPr="00957F4E" w:rsidTr="004813E3">
        <w:tc>
          <w:tcPr>
            <w:tcW w:w="4158" w:type="dxa"/>
            <w:vMerge/>
          </w:tcPr>
          <w:p w:rsidR="002D5713" w:rsidRPr="00957F4E" w:rsidRDefault="002D5713" w:rsidP="004813E3">
            <w:pPr>
              <w:autoSpaceDE w:val="0"/>
              <w:autoSpaceDN w:val="0"/>
              <w:adjustRightInd w:val="0"/>
              <w:jc w:val="center"/>
              <w:rPr>
                <w:b/>
                <w:bCs/>
                <w:u w:val="single"/>
              </w:rPr>
            </w:pPr>
          </w:p>
        </w:tc>
        <w:tc>
          <w:tcPr>
            <w:tcW w:w="2610" w:type="dxa"/>
          </w:tcPr>
          <w:p w:rsidR="002D5713" w:rsidRPr="00957F4E" w:rsidRDefault="002D5713" w:rsidP="004813E3">
            <w:pPr>
              <w:autoSpaceDE w:val="0"/>
              <w:autoSpaceDN w:val="0"/>
              <w:adjustRightInd w:val="0"/>
              <w:jc w:val="center"/>
              <w:rPr>
                <w:bCs/>
              </w:rPr>
            </w:pPr>
            <w:r w:rsidRPr="00957F4E">
              <w:rPr>
                <w:bCs/>
              </w:rPr>
              <w:t>Cents / kWh</w:t>
            </w:r>
          </w:p>
        </w:tc>
        <w:tc>
          <w:tcPr>
            <w:tcW w:w="2808" w:type="dxa"/>
          </w:tcPr>
          <w:p w:rsidR="002D5713" w:rsidRPr="00957F4E" w:rsidRDefault="002D5713" w:rsidP="004813E3">
            <w:pPr>
              <w:autoSpaceDE w:val="0"/>
              <w:autoSpaceDN w:val="0"/>
              <w:adjustRightInd w:val="0"/>
              <w:jc w:val="center"/>
              <w:rPr>
                <w:bCs/>
              </w:rPr>
            </w:pPr>
            <w:r w:rsidRPr="00957F4E">
              <w:rPr>
                <w:bCs/>
              </w:rPr>
              <w:t>Dollars / kW</w:t>
            </w:r>
          </w:p>
        </w:tc>
      </w:tr>
      <w:tr w:rsidR="002D5713" w:rsidRPr="00957F4E" w:rsidTr="004813E3">
        <w:tc>
          <w:tcPr>
            <w:tcW w:w="4158" w:type="dxa"/>
          </w:tcPr>
          <w:p w:rsidR="002D5713" w:rsidRPr="00957F4E" w:rsidRDefault="002D5713" w:rsidP="004813E3">
            <w:pPr>
              <w:autoSpaceDE w:val="0"/>
              <w:autoSpaceDN w:val="0"/>
              <w:adjustRightInd w:val="0"/>
              <w:jc w:val="center"/>
              <w:rPr>
                <w:bCs/>
              </w:rPr>
            </w:pPr>
            <w:r w:rsidRPr="00957F4E">
              <w:rPr>
                <w:bCs/>
              </w:rPr>
              <w:t>RS</w:t>
            </w:r>
            <w:r>
              <w:rPr>
                <w:bCs/>
              </w:rPr>
              <w:t xml:space="preserve"> Secondary</w:t>
            </w:r>
          </w:p>
        </w:tc>
        <w:tc>
          <w:tcPr>
            <w:tcW w:w="2610" w:type="dxa"/>
          </w:tcPr>
          <w:p w:rsidR="002D5713" w:rsidRPr="00957F4E" w:rsidRDefault="002D5713" w:rsidP="004813E3">
            <w:pPr>
              <w:autoSpaceDE w:val="0"/>
              <w:autoSpaceDN w:val="0"/>
              <w:adjustRightInd w:val="0"/>
              <w:jc w:val="center"/>
              <w:rPr>
                <w:bCs/>
              </w:rPr>
            </w:pPr>
            <w:r w:rsidRPr="00957F4E">
              <w:rPr>
                <w:bCs/>
              </w:rPr>
              <w:t>0.01</w:t>
            </w:r>
            <w:r>
              <w:rPr>
                <w:bCs/>
              </w:rPr>
              <w:t>0</w:t>
            </w:r>
          </w:p>
        </w:tc>
        <w:tc>
          <w:tcPr>
            <w:tcW w:w="2808" w:type="dxa"/>
            <w:vMerge w:val="restart"/>
            <w:vAlign w:val="center"/>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4158" w:type="dxa"/>
          </w:tcPr>
          <w:p w:rsidR="002D5713" w:rsidRPr="00957F4E" w:rsidRDefault="002D5713" w:rsidP="004813E3">
            <w:pPr>
              <w:autoSpaceDE w:val="0"/>
              <w:autoSpaceDN w:val="0"/>
              <w:adjustRightInd w:val="0"/>
              <w:jc w:val="center"/>
              <w:rPr>
                <w:bCs/>
              </w:rPr>
            </w:pPr>
            <w:r w:rsidRPr="00957F4E">
              <w:rPr>
                <w:bCs/>
              </w:rPr>
              <w:t>GS and CS</w:t>
            </w:r>
          </w:p>
        </w:tc>
        <w:tc>
          <w:tcPr>
            <w:tcW w:w="2610" w:type="dxa"/>
          </w:tcPr>
          <w:p w:rsidR="002D5713" w:rsidRPr="00957F4E" w:rsidRDefault="002D5713" w:rsidP="004813E3">
            <w:pPr>
              <w:autoSpaceDE w:val="0"/>
              <w:autoSpaceDN w:val="0"/>
              <w:adjustRightInd w:val="0"/>
              <w:jc w:val="center"/>
              <w:rPr>
                <w:bCs/>
              </w:rPr>
            </w:pPr>
            <w:r w:rsidRPr="00957F4E">
              <w:rPr>
                <w:bCs/>
              </w:rPr>
              <w:t>0.008</w:t>
            </w:r>
          </w:p>
        </w:tc>
        <w:tc>
          <w:tcPr>
            <w:tcW w:w="2808" w:type="dxa"/>
            <w:vMerge/>
          </w:tcPr>
          <w:p w:rsidR="002D5713" w:rsidRPr="00957F4E" w:rsidRDefault="002D5713" w:rsidP="004813E3">
            <w:pPr>
              <w:autoSpaceDE w:val="0"/>
              <w:autoSpaceDN w:val="0"/>
              <w:adjustRightInd w:val="0"/>
              <w:jc w:val="center"/>
              <w:rPr>
                <w:bCs/>
              </w:rPr>
            </w:pPr>
          </w:p>
        </w:tc>
      </w:tr>
      <w:tr w:rsidR="002D5713" w:rsidRPr="00957F4E" w:rsidTr="004813E3">
        <w:tc>
          <w:tcPr>
            <w:tcW w:w="6768" w:type="dxa"/>
            <w:gridSpan w:val="2"/>
          </w:tcPr>
          <w:p w:rsidR="002D5713" w:rsidRPr="00957F4E" w:rsidRDefault="002D5713" w:rsidP="004813E3">
            <w:pPr>
              <w:autoSpaceDE w:val="0"/>
              <w:autoSpaceDN w:val="0"/>
              <w:adjustRightInd w:val="0"/>
              <w:jc w:val="center"/>
              <w:rPr>
                <w:bCs/>
              </w:rPr>
            </w:pPr>
            <w:r w:rsidRPr="00957F4E">
              <w:rPr>
                <w:bCs/>
              </w:rPr>
              <w:t>GSD, SBF Standard</w:t>
            </w:r>
          </w:p>
        </w:tc>
        <w:tc>
          <w:tcPr>
            <w:tcW w:w="2808" w:type="dxa"/>
          </w:tcPr>
          <w:p w:rsidR="002D5713" w:rsidRPr="00957F4E" w:rsidRDefault="002D5713" w:rsidP="004813E3">
            <w:pPr>
              <w:autoSpaceDE w:val="0"/>
              <w:autoSpaceDN w:val="0"/>
              <w:adjustRightInd w:val="0"/>
              <w:jc w:val="center"/>
              <w:rPr>
                <w:bCs/>
              </w:rPr>
            </w:pPr>
          </w:p>
        </w:tc>
      </w:tr>
      <w:tr w:rsidR="002D5713" w:rsidRPr="00957F4E" w:rsidTr="004813E3">
        <w:tc>
          <w:tcPr>
            <w:tcW w:w="4158" w:type="dxa"/>
          </w:tcPr>
          <w:p w:rsidR="002D5713" w:rsidRPr="00957F4E" w:rsidRDefault="002D5713" w:rsidP="004813E3">
            <w:pPr>
              <w:autoSpaceDE w:val="0"/>
              <w:autoSpaceDN w:val="0"/>
              <w:adjustRightInd w:val="0"/>
              <w:jc w:val="center"/>
              <w:rPr>
                <w:bCs/>
              </w:rPr>
            </w:pPr>
            <w:r w:rsidRPr="00957F4E">
              <w:rPr>
                <w:bCs/>
              </w:rPr>
              <w:t>Secondary</w:t>
            </w:r>
          </w:p>
        </w:tc>
        <w:tc>
          <w:tcPr>
            <w:tcW w:w="2610" w:type="dxa"/>
            <w:vMerge w:val="restart"/>
            <w:vAlign w:val="center"/>
          </w:tcPr>
          <w:p w:rsidR="002D5713" w:rsidRPr="00957F4E" w:rsidRDefault="002D5713" w:rsidP="004813E3">
            <w:pPr>
              <w:autoSpaceDE w:val="0"/>
              <w:autoSpaceDN w:val="0"/>
              <w:adjustRightInd w:val="0"/>
              <w:jc w:val="center"/>
              <w:rPr>
                <w:bCs/>
              </w:rPr>
            </w:pPr>
            <w:r w:rsidRPr="00957F4E">
              <w:rPr>
                <w:bCs/>
              </w:rPr>
              <w:t>-</w:t>
            </w:r>
          </w:p>
        </w:tc>
        <w:tc>
          <w:tcPr>
            <w:tcW w:w="2808" w:type="dxa"/>
          </w:tcPr>
          <w:p w:rsidR="002D5713" w:rsidRPr="00957F4E" w:rsidRDefault="002D5713" w:rsidP="004813E3">
            <w:pPr>
              <w:autoSpaceDE w:val="0"/>
              <w:autoSpaceDN w:val="0"/>
              <w:adjustRightInd w:val="0"/>
              <w:jc w:val="center"/>
              <w:rPr>
                <w:bCs/>
              </w:rPr>
            </w:pPr>
            <w:r w:rsidRPr="00957F4E">
              <w:rPr>
                <w:bCs/>
              </w:rPr>
              <w:t>0.03</w:t>
            </w:r>
          </w:p>
        </w:tc>
      </w:tr>
      <w:tr w:rsidR="002D5713" w:rsidRPr="00957F4E" w:rsidTr="004813E3">
        <w:tc>
          <w:tcPr>
            <w:tcW w:w="4158" w:type="dxa"/>
          </w:tcPr>
          <w:p w:rsidR="002D5713" w:rsidRPr="00957F4E" w:rsidRDefault="002D5713" w:rsidP="004813E3">
            <w:pPr>
              <w:autoSpaceDE w:val="0"/>
              <w:autoSpaceDN w:val="0"/>
              <w:adjustRightInd w:val="0"/>
              <w:jc w:val="center"/>
              <w:rPr>
                <w:bCs/>
              </w:rPr>
            </w:pPr>
            <w:r w:rsidRPr="00957F4E">
              <w:rPr>
                <w:bCs/>
              </w:rPr>
              <w:t>Primary</w:t>
            </w:r>
          </w:p>
        </w:tc>
        <w:tc>
          <w:tcPr>
            <w:tcW w:w="2610" w:type="dxa"/>
            <w:vMerge/>
          </w:tcPr>
          <w:p w:rsidR="002D5713" w:rsidRPr="00957F4E" w:rsidRDefault="002D5713" w:rsidP="004813E3">
            <w:pPr>
              <w:autoSpaceDE w:val="0"/>
              <w:autoSpaceDN w:val="0"/>
              <w:adjustRightInd w:val="0"/>
              <w:jc w:val="center"/>
              <w:rPr>
                <w:bCs/>
              </w:rPr>
            </w:pPr>
          </w:p>
        </w:tc>
        <w:tc>
          <w:tcPr>
            <w:tcW w:w="2808" w:type="dxa"/>
          </w:tcPr>
          <w:p w:rsidR="002D5713" w:rsidRPr="00957F4E" w:rsidRDefault="002D5713" w:rsidP="004813E3">
            <w:pPr>
              <w:autoSpaceDE w:val="0"/>
              <w:autoSpaceDN w:val="0"/>
              <w:adjustRightInd w:val="0"/>
              <w:jc w:val="center"/>
              <w:rPr>
                <w:bCs/>
              </w:rPr>
            </w:pPr>
            <w:r w:rsidRPr="00957F4E">
              <w:rPr>
                <w:bCs/>
              </w:rPr>
              <w:t>0.03</w:t>
            </w:r>
          </w:p>
        </w:tc>
      </w:tr>
      <w:tr w:rsidR="002D5713" w:rsidRPr="00957F4E" w:rsidTr="004813E3">
        <w:tc>
          <w:tcPr>
            <w:tcW w:w="4158" w:type="dxa"/>
          </w:tcPr>
          <w:p w:rsidR="002D5713" w:rsidRPr="00957F4E" w:rsidRDefault="002D5713" w:rsidP="004813E3">
            <w:pPr>
              <w:autoSpaceDE w:val="0"/>
              <w:autoSpaceDN w:val="0"/>
              <w:adjustRightInd w:val="0"/>
              <w:jc w:val="center"/>
              <w:rPr>
                <w:bCs/>
              </w:rPr>
            </w:pPr>
            <w:r w:rsidRPr="00957F4E">
              <w:rPr>
                <w:bCs/>
              </w:rPr>
              <w:t>Transmission</w:t>
            </w:r>
          </w:p>
        </w:tc>
        <w:tc>
          <w:tcPr>
            <w:tcW w:w="2610" w:type="dxa"/>
            <w:vMerge/>
          </w:tcPr>
          <w:p w:rsidR="002D5713" w:rsidRPr="00957F4E" w:rsidRDefault="002D5713" w:rsidP="004813E3">
            <w:pPr>
              <w:autoSpaceDE w:val="0"/>
              <w:autoSpaceDN w:val="0"/>
              <w:adjustRightInd w:val="0"/>
              <w:jc w:val="center"/>
              <w:rPr>
                <w:bCs/>
              </w:rPr>
            </w:pPr>
          </w:p>
        </w:tc>
        <w:tc>
          <w:tcPr>
            <w:tcW w:w="2808" w:type="dxa"/>
          </w:tcPr>
          <w:p w:rsidR="002D5713" w:rsidRPr="00957F4E" w:rsidRDefault="002D5713" w:rsidP="004813E3">
            <w:pPr>
              <w:autoSpaceDE w:val="0"/>
              <w:autoSpaceDN w:val="0"/>
              <w:adjustRightInd w:val="0"/>
              <w:jc w:val="center"/>
              <w:rPr>
                <w:bCs/>
              </w:rPr>
            </w:pPr>
            <w:r w:rsidRPr="00957F4E">
              <w:rPr>
                <w:bCs/>
              </w:rPr>
              <w:t>0.03</w:t>
            </w:r>
          </w:p>
        </w:tc>
      </w:tr>
      <w:tr w:rsidR="002D5713" w:rsidRPr="00957F4E" w:rsidTr="004813E3">
        <w:tc>
          <w:tcPr>
            <w:tcW w:w="6768" w:type="dxa"/>
            <w:gridSpan w:val="2"/>
          </w:tcPr>
          <w:p w:rsidR="002D5713" w:rsidRPr="00957F4E" w:rsidRDefault="002D5713" w:rsidP="004813E3">
            <w:pPr>
              <w:autoSpaceDE w:val="0"/>
              <w:autoSpaceDN w:val="0"/>
              <w:adjustRightInd w:val="0"/>
              <w:jc w:val="center"/>
              <w:rPr>
                <w:bCs/>
              </w:rPr>
            </w:pPr>
            <w:r w:rsidRPr="00957F4E">
              <w:rPr>
                <w:bCs/>
              </w:rPr>
              <w:t>GSD Optional</w:t>
            </w:r>
          </w:p>
        </w:tc>
        <w:tc>
          <w:tcPr>
            <w:tcW w:w="2808" w:type="dxa"/>
          </w:tcPr>
          <w:p w:rsidR="002D5713" w:rsidRPr="00957F4E" w:rsidRDefault="002D5713" w:rsidP="004813E3">
            <w:pPr>
              <w:autoSpaceDE w:val="0"/>
              <w:autoSpaceDN w:val="0"/>
              <w:adjustRightInd w:val="0"/>
              <w:jc w:val="center"/>
              <w:rPr>
                <w:bCs/>
              </w:rPr>
            </w:pPr>
          </w:p>
        </w:tc>
      </w:tr>
      <w:tr w:rsidR="002D5713" w:rsidRPr="00957F4E" w:rsidTr="004813E3">
        <w:tc>
          <w:tcPr>
            <w:tcW w:w="4158" w:type="dxa"/>
          </w:tcPr>
          <w:p w:rsidR="002D5713" w:rsidRPr="00957F4E" w:rsidRDefault="002D5713" w:rsidP="004813E3">
            <w:pPr>
              <w:autoSpaceDE w:val="0"/>
              <w:autoSpaceDN w:val="0"/>
              <w:adjustRightInd w:val="0"/>
              <w:jc w:val="center"/>
              <w:rPr>
                <w:bCs/>
              </w:rPr>
            </w:pPr>
            <w:r w:rsidRPr="00957F4E">
              <w:rPr>
                <w:bCs/>
              </w:rPr>
              <w:t>Secondary</w:t>
            </w:r>
          </w:p>
        </w:tc>
        <w:tc>
          <w:tcPr>
            <w:tcW w:w="2610" w:type="dxa"/>
          </w:tcPr>
          <w:p w:rsidR="002D5713" w:rsidRPr="00957F4E" w:rsidRDefault="002D5713" w:rsidP="004813E3">
            <w:pPr>
              <w:autoSpaceDE w:val="0"/>
              <w:autoSpaceDN w:val="0"/>
              <w:adjustRightInd w:val="0"/>
              <w:jc w:val="center"/>
              <w:rPr>
                <w:bCs/>
              </w:rPr>
            </w:pPr>
            <w:r w:rsidRPr="00957F4E">
              <w:rPr>
                <w:bCs/>
              </w:rPr>
              <w:t>0.007</w:t>
            </w:r>
          </w:p>
        </w:tc>
        <w:tc>
          <w:tcPr>
            <w:tcW w:w="2808" w:type="dxa"/>
            <w:vMerge w:val="restart"/>
            <w:vAlign w:val="center"/>
          </w:tcPr>
          <w:p w:rsidR="002D5713" w:rsidRPr="00957F4E" w:rsidRDefault="002D5713" w:rsidP="004813E3">
            <w:pPr>
              <w:autoSpaceDE w:val="0"/>
              <w:autoSpaceDN w:val="0"/>
              <w:adjustRightInd w:val="0"/>
              <w:jc w:val="center"/>
              <w:rPr>
                <w:bCs/>
              </w:rPr>
            </w:pPr>
            <w:r w:rsidRPr="00957F4E">
              <w:rPr>
                <w:bCs/>
              </w:rPr>
              <w:t>-</w:t>
            </w:r>
          </w:p>
        </w:tc>
      </w:tr>
      <w:tr w:rsidR="002D5713" w:rsidRPr="00957F4E" w:rsidTr="004813E3">
        <w:tc>
          <w:tcPr>
            <w:tcW w:w="4158" w:type="dxa"/>
          </w:tcPr>
          <w:p w:rsidR="002D5713" w:rsidRPr="00957F4E" w:rsidRDefault="002D5713" w:rsidP="004813E3">
            <w:pPr>
              <w:autoSpaceDE w:val="0"/>
              <w:autoSpaceDN w:val="0"/>
              <w:adjustRightInd w:val="0"/>
              <w:jc w:val="center"/>
              <w:rPr>
                <w:bCs/>
              </w:rPr>
            </w:pPr>
            <w:r w:rsidRPr="00957F4E">
              <w:rPr>
                <w:bCs/>
              </w:rPr>
              <w:t>Primary</w:t>
            </w:r>
          </w:p>
        </w:tc>
        <w:tc>
          <w:tcPr>
            <w:tcW w:w="2610" w:type="dxa"/>
          </w:tcPr>
          <w:p w:rsidR="002D5713" w:rsidRPr="00957F4E" w:rsidRDefault="002D5713" w:rsidP="004813E3">
            <w:pPr>
              <w:autoSpaceDE w:val="0"/>
              <w:autoSpaceDN w:val="0"/>
              <w:adjustRightInd w:val="0"/>
              <w:jc w:val="center"/>
              <w:rPr>
                <w:bCs/>
              </w:rPr>
            </w:pPr>
            <w:r w:rsidRPr="00957F4E">
              <w:rPr>
                <w:bCs/>
              </w:rPr>
              <w:t>0.007</w:t>
            </w:r>
          </w:p>
        </w:tc>
        <w:tc>
          <w:tcPr>
            <w:tcW w:w="2808" w:type="dxa"/>
            <w:vMerge/>
          </w:tcPr>
          <w:p w:rsidR="002D5713" w:rsidRPr="00957F4E" w:rsidRDefault="002D5713" w:rsidP="004813E3">
            <w:pPr>
              <w:autoSpaceDE w:val="0"/>
              <w:autoSpaceDN w:val="0"/>
              <w:adjustRightInd w:val="0"/>
              <w:jc w:val="center"/>
              <w:rPr>
                <w:bCs/>
              </w:rPr>
            </w:pPr>
          </w:p>
        </w:tc>
      </w:tr>
      <w:tr w:rsidR="002D5713" w:rsidRPr="00957F4E" w:rsidTr="004813E3">
        <w:tc>
          <w:tcPr>
            <w:tcW w:w="4158" w:type="dxa"/>
          </w:tcPr>
          <w:p w:rsidR="002D5713" w:rsidRPr="00957F4E" w:rsidRDefault="002D5713" w:rsidP="004813E3">
            <w:pPr>
              <w:autoSpaceDE w:val="0"/>
              <w:autoSpaceDN w:val="0"/>
              <w:adjustRightInd w:val="0"/>
              <w:jc w:val="center"/>
              <w:rPr>
                <w:bCs/>
              </w:rPr>
            </w:pPr>
            <w:r w:rsidRPr="00957F4E">
              <w:rPr>
                <w:bCs/>
              </w:rPr>
              <w:t>Transmission</w:t>
            </w:r>
          </w:p>
        </w:tc>
        <w:tc>
          <w:tcPr>
            <w:tcW w:w="2610" w:type="dxa"/>
          </w:tcPr>
          <w:p w:rsidR="002D5713" w:rsidRPr="00957F4E" w:rsidRDefault="002D5713" w:rsidP="004813E3">
            <w:pPr>
              <w:autoSpaceDE w:val="0"/>
              <w:autoSpaceDN w:val="0"/>
              <w:adjustRightInd w:val="0"/>
              <w:jc w:val="center"/>
              <w:rPr>
                <w:bCs/>
              </w:rPr>
            </w:pPr>
            <w:r w:rsidRPr="00957F4E">
              <w:rPr>
                <w:bCs/>
              </w:rPr>
              <w:t>0.007</w:t>
            </w:r>
          </w:p>
        </w:tc>
        <w:tc>
          <w:tcPr>
            <w:tcW w:w="2808" w:type="dxa"/>
          </w:tcPr>
          <w:p w:rsidR="002D5713" w:rsidRPr="00957F4E" w:rsidRDefault="002D5713" w:rsidP="004813E3">
            <w:pPr>
              <w:autoSpaceDE w:val="0"/>
              <w:autoSpaceDN w:val="0"/>
              <w:adjustRightInd w:val="0"/>
              <w:jc w:val="center"/>
              <w:rPr>
                <w:bCs/>
              </w:rPr>
            </w:pPr>
          </w:p>
        </w:tc>
      </w:tr>
      <w:tr w:rsidR="002D5713" w:rsidRPr="00957F4E" w:rsidTr="004813E3">
        <w:tc>
          <w:tcPr>
            <w:tcW w:w="6768" w:type="dxa"/>
            <w:gridSpan w:val="2"/>
          </w:tcPr>
          <w:p w:rsidR="002D5713" w:rsidRPr="00957F4E" w:rsidRDefault="002D5713" w:rsidP="004813E3">
            <w:pPr>
              <w:autoSpaceDE w:val="0"/>
              <w:autoSpaceDN w:val="0"/>
              <w:adjustRightInd w:val="0"/>
              <w:jc w:val="center"/>
              <w:rPr>
                <w:bCs/>
              </w:rPr>
            </w:pPr>
            <w:r w:rsidRPr="00957F4E">
              <w:rPr>
                <w:bCs/>
              </w:rPr>
              <w:t>IS, SBI</w:t>
            </w:r>
          </w:p>
        </w:tc>
        <w:tc>
          <w:tcPr>
            <w:tcW w:w="2808" w:type="dxa"/>
          </w:tcPr>
          <w:p w:rsidR="002D5713" w:rsidRPr="00957F4E" w:rsidRDefault="002D5713" w:rsidP="004813E3">
            <w:pPr>
              <w:autoSpaceDE w:val="0"/>
              <w:autoSpaceDN w:val="0"/>
              <w:adjustRightInd w:val="0"/>
              <w:jc w:val="center"/>
              <w:rPr>
                <w:bCs/>
              </w:rPr>
            </w:pPr>
          </w:p>
        </w:tc>
      </w:tr>
      <w:tr w:rsidR="002D5713" w:rsidRPr="00957F4E" w:rsidTr="004813E3">
        <w:tc>
          <w:tcPr>
            <w:tcW w:w="4158" w:type="dxa"/>
          </w:tcPr>
          <w:p w:rsidR="002D5713" w:rsidRPr="00957F4E" w:rsidRDefault="002D5713" w:rsidP="004813E3">
            <w:pPr>
              <w:autoSpaceDE w:val="0"/>
              <w:autoSpaceDN w:val="0"/>
              <w:adjustRightInd w:val="0"/>
              <w:jc w:val="center"/>
              <w:rPr>
                <w:bCs/>
              </w:rPr>
            </w:pPr>
            <w:r w:rsidRPr="00957F4E">
              <w:rPr>
                <w:bCs/>
              </w:rPr>
              <w:t>Primary</w:t>
            </w:r>
          </w:p>
        </w:tc>
        <w:tc>
          <w:tcPr>
            <w:tcW w:w="2610" w:type="dxa"/>
            <w:vMerge w:val="restart"/>
            <w:vAlign w:val="center"/>
          </w:tcPr>
          <w:p w:rsidR="002D5713" w:rsidRPr="00957F4E" w:rsidRDefault="002D5713" w:rsidP="004813E3">
            <w:pPr>
              <w:autoSpaceDE w:val="0"/>
              <w:autoSpaceDN w:val="0"/>
              <w:adjustRightInd w:val="0"/>
              <w:jc w:val="center"/>
              <w:rPr>
                <w:bCs/>
              </w:rPr>
            </w:pPr>
            <w:r w:rsidRPr="00957F4E">
              <w:rPr>
                <w:bCs/>
              </w:rPr>
              <w:t>-</w:t>
            </w:r>
          </w:p>
        </w:tc>
        <w:tc>
          <w:tcPr>
            <w:tcW w:w="2808" w:type="dxa"/>
          </w:tcPr>
          <w:p w:rsidR="002D5713" w:rsidRPr="00957F4E" w:rsidRDefault="002D5713" w:rsidP="004813E3">
            <w:pPr>
              <w:autoSpaceDE w:val="0"/>
              <w:autoSpaceDN w:val="0"/>
              <w:adjustRightInd w:val="0"/>
              <w:jc w:val="center"/>
              <w:rPr>
                <w:bCs/>
              </w:rPr>
            </w:pPr>
            <w:r w:rsidRPr="00957F4E">
              <w:rPr>
                <w:bCs/>
              </w:rPr>
              <w:t>0.03</w:t>
            </w:r>
          </w:p>
        </w:tc>
      </w:tr>
      <w:tr w:rsidR="002D5713" w:rsidRPr="00957F4E" w:rsidTr="004813E3">
        <w:tc>
          <w:tcPr>
            <w:tcW w:w="4158" w:type="dxa"/>
          </w:tcPr>
          <w:p w:rsidR="002D5713" w:rsidRPr="00957F4E" w:rsidRDefault="002D5713" w:rsidP="004813E3">
            <w:pPr>
              <w:autoSpaceDE w:val="0"/>
              <w:autoSpaceDN w:val="0"/>
              <w:adjustRightInd w:val="0"/>
              <w:jc w:val="center"/>
              <w:rPr>
                <w:bCs/>
              </w:rPr>
            </w:pPr>
            <w:r w:rsidRPr="00957F4E">
              <w:rPr>
                <w:bCs/>
              </w:rPr>
              <w:t>Transmission</w:t>
            </w:r>
          </w:p>
        </w:tc>
        <w:tc>
          <w:tcPr>
            <w:tcW w:w="2610" w:type="dxa"/>
            <w:vMerge/>
          </w:tcPr>
          <w:p w:rsidR="002D5713" w:rsidRPr="00957F4E" w:rsidRDefault="002D5713" w:rsidP="004813E3">
            <w:pPr>
              <w:autoSpaceDE w:val="0"/>
              <w:autoSpaceDN w:val="0"/>
              <w:adjustRightInd w:val="0"/>
              <w:jc w:val="center"/>
              <w:rPr>
                <w:bCs/>
              </w:rPr>
            </w:pPr>
          </w:p>
        </w:tc>
        <w:tc>
          <w:tcPr>
            <w:tcW w:w="2808" w:type="dxa"/>
          </w:tcPr>
          <w:p w:rsidR="002D5713" w:rsidRPr="00957F4E" w:rsidRDefault="002D5713" w:rsidP="004813E3">
            <w:pPr>
              <w:autoSpaceDE w:val="0"/>
              <w:autoSpaceDN w:val="0"/>
              <w:adjustRightInd w:val="0"/>
              <w:jc w:val="center"/>
              <w:rPr>
                <w:bCs/>
              </w:rPr>
            </w:pPr>
            <w:r w:rsidRPr="00957F4E">
              <w:rPr>
                <w:bCs/>
              </w:rPr>
              <w:t>0.03</w:t>
            </w:r>
          </w:p>
        </w:tc>
      </w:tr>
      <w:tr w:rsidR="002D5713" w:rsidRPr="00957F4E" w:rsidTr="004813E3">
        <w:tc>
          <w:tcPr>
            <w:tcW w:w="4158" w:type="dxa"/>
          </w:tcPr>
          <w:p w:rsidR="002D5713" w:rsidRPr="00957F4E" w:rsidRDefault="002D5713" w:rsidP="004813E3">
            <w:pPr>
              <w:autoSpaceDE w:val="0"/>
              <w:autoSpaceDN w:val="0"/>
              <w:adjustRightInd w:val="0"/>
              <w:jc w:val="center"/>
              <w:rPr>
                <w:bCs/>
              </w:rPr>
            </w:pPr>
            <w:r w:rsidRPr="00957F4E">
              <w:rPr>
                <w:bCs/>
              </w:rPr>
              <w:t>LS1 Secondary</w:t>
            </w:r>
          </w:p>
        </w:tc>
        <w:tc>
          <w:tcPr>
            <w:tcW w:w="2610" w:type="dxa"/>
          </w:tcPr>
          <w:p w:rsidR="002D5713" w:rsidRPr="00957F4E" w:rsidRDefault="002D5713" w:rsidP="004813E3">
            <w:pPr>
              <w:autoSpaceDE w:val="0"/>
              <w:autoSpaceDN w:val="0"/>
              <w:adjustRightInd w:val="0"/>
              <w:jc w:val="center"/>
              <w:rPr>
                <w:bCs/>
              </w:rPr>
            </w:pPr>
            <w:r w:rsidRPr="00957F4E">
              <w:rPr>
                <w:bCs/>
              </w:rPr>
              <w:t>0.002</w:t>
            </w:r>
          </w:p>
        </w:tc>
        <w:tc>
          <w:tcPr>
            <w:tcW w:w="2808" w:type="dxa"/>
          </w:tcPr>
          <w:p w:rsidR="002D5713" w:rsidRPr="00957F4E" w:rsidRDefault="002D5713" w:rsidP="004813E3">
            <w:pPr>
              <w:autoSpaceDE w:val="0"/>
              <w:autoSpaceDN w:val="0"/>
              <w:adjustRightInd w:val="0"/>
              <w:jc w:val="center"/>
              <w:rPr>
                <w:bCs/>
              </w:rPr>
            </w:pPr>
            <w:r w:rsidRPr="00957F4E">
              <w:rPr>
                <w:bCs/>
              </w:rPr>
              <w:t>-</w:t>
            </w:r>
          </w:p>
        </w:tc>
      </w:tr>
    </w:tbl>
    <w:p w:rsidR="002D5713" w:rsidRPr="00957F4E" w:rsidRDefault="002D5713" w:rsidP="002D5713">
      <w:pPr>
        <w:pStyle w:val="Footer"/>
        <w:keepNext/>
        <w:keepLines/>
        <w:widowControl w:val="0"/>
        <w:tabs>
          <w:tab w:val="center" w:pos="5940"/>
          <w:tab w:val="center" w:pos="7380"/>
        </w:tabs>
        <w:suppressAutoHyphens/>
        <w:rPr>
          <w:bCs/>
        </w:rPr>
      </w:pPr>
      <w:r w:rsidRPr="00957F4E">
        <w:rPr>
          <w:color w:val="FF0000"/>
          <w:sz w:val="22"/>
          <w:szCs w:val="22"/>
        </w:rPr>
        <w:t xml:space="preserve">   </w:t>
      </w:r>
      <w:r w:rsidRPr="00957F4E">
        <w:rPr>
          <w:sz w:val="22"/>
          <w:szCs w:val="22"/>
        </w:rPr>
        <w:t>Source: Exhibit PAR-3, Document Number 1, Columns 10 and 11, Page 3 of 4.</w:t>
      </w:r>
    </w:p>
    <w:p w:rsidR="002D5713" w:rsidRPr="00957F4E" w:rsidRDefault="002D5713" w:rsidP="002D5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0E4ACB" w:rsidRDefault="000E4ACB">
      <w:pPr>
        <w:rPr>
          <w:b/>
          <w:bCs/>
          <w:caps/>
        </w:rPr>
      </w:pPr>
      <w:r>
        <w:rPr>
          <w:b/>
          <w:bCs/>
          <w:caps/>
        </w:rPr>
        <w:br w:type="page"/>
      </w:r>
    </w:p>
    <w:p w:rsidR="002D5713" w:rsidRPr="00957F4E" w:rsidRDefault="002D5713" w:rsidP="002D5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A27C99">
        <w:rPr>
          <w:b/>
          <w:bCs/>
          <w:caps/>
        </w:rPr>
        <w:lastRenderedPageBreak/>
        <w:t>III.</w:t>
      </w:r>
      <w:r w:rsidRPr="00957F4E">
        <w:rPr>
          <w:b/>
          <w:bCs/>
          <w:caps/>
        </w:rPr>
        <w:tab/>
      </w:r>
      <w:r w:rsidRPr="00957F4E">
        <w:rPr>
          <w:b/>
          <w:bCs/>
          <w:caps/>
          <w:u w:val="single"/>
        </w:rPr>
        <w:t>Effective Date</w:t>
      </w:r>
    </w:p>
    <w:p w:rsidR="002D5713" w:rsidRPr="00957F4E" w:rsidRDefault="002D5713" w:rsidP="002D5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0E4ACB" w:rsidRDefault="002D5713" w:rsidP="002D5713">
      <w:pPr>
        <w:autoSpaceDE w:val="0"/>
        <w:autoSpaceDN w:val="0"/>
        <w:adjustRightInd w:val="0"/>
        <w:ind w:left="1440" w:hanging="1440"/>
        <w:jc w:val="both"/>
        <w:rPr>
          <w:b/>
        </w:rPr>
      </w:pPr>
      <w:r w:rsidRPr="00957F4E">
        <w:rPr>
          <w:b/>
          <w:bCs/>
          <w:u w:val="single"/>
        </w:rPr>
        <w:t>ISSUE 34</w:t>
      </w:r>
      <w:r w:rsidRPr="00957F4E">
        <w:t>:</w:t>
      </w:r>
      <w:r w:rsidRPr="00957F4E">
        <w:tab/>
      </w:r>
      <w:r w:rsidRPr="00763681">
        <w:rPr>
          <w:b/>
        </w:rPr>
        <w:t xml:space="preserve">What should be the effective date of the fuel adjustment factors and capacity cost recovery factors for billing purposes? </w:t>
      </w:r>
    </w:p>
    <w:p w:rsidR="002D5713" w:rsidRPr="00957F4E" w:rsidRDefault="002D5713" w:rsidP="002D5713">
      <w:pPr>
        <w:autoSpaceDE w:val="0"/>
        <w:autoSpaceDN w:val="0"/>
        <w:adjustRightInd w:val="0"/>
        <w:ind w:left="1440" w:hanging="1440"/>
        <w:jc w:val="both"/>
      </w:pPr>
      <w:r w:rsidRPr="00763681">
        <w:rPr>
          <w:b/>
        </w:rPr>
        <w:t xml:space="preserve"> </w:t>
      </w:r>
      <w:r w:rsidRPr="00957F4E">
        <w:t xml:space="preserve">                                                              </w:t>
      </w:r>
    </w:p>
    <w:p w:rsidR="002D5713" w:rsidRDefault="002D5713" w:rsidP="002D5713">
      <w:pPr>
        <w:keepNext/>
        <w:keepLines/>
        <w:tabs>
          <w:tab w:val="left" w:pos="8571"/>
        </w:tabs>
        <w:autoSpaceDE w:val="0"/>
        <w:autoSpaceDN w:val="0"/>
        <w:adjustRightInd w:val="0"/>
        <w:ind w:left="1440" w:hanging="1440"/>
        <w:jc w:val="both"/>
        <w:rPr>
          <w:b/>
          <w:u w:val="single"/>
        </w:rPr>
      </w:pPr>
      <w:r w:rsidRPr="00957F4E">
        <w:rPr>
          <w:b/>
          <w:u w:val="single"/>
        </w:rPr>
        <w:t>STIPULATION</w:t>
      </w:r>
    </w:p>
    <w:p w:rsidR="002D5713" w:rsidRPr="00957F4E" w:rsidRDefault="002D5713" w:rsidP="002D5713">
      <w:pPr>
        <w:keepNext/>
        <w:keepLines/>
        <w:tabs>
          <w:tab w:val="left" w:pos="8571"/>
        </w:tabs>
        <w:autoSpaceDE w:val="0"/>
        <w:autoSpaceDN w:val="0"/>
        <w:adjustRightInd w:val="0"/>
        <w:ind w:left="1440" w:hanging="1440"/>
        <w:jc w:val="both"/>
        <w:rPr>
          <w:b/>
        </w:rPr>
      </w:pPr>
      <w:r w:rsidRPr="00957F4E">
        <w:rPr>
          <w:b/>
        </w:rPr>
        <w:tab/>
      </w:r>
    </w:p>
    <w:p w:rsidR="002D5713" w:rsidRPr="00957F4E" w:rsidRDefault="002D5713" w:rsidP="002D5713">
      <w:pPr>
        <w:keepNext/>
        <w:keepLines/>
        <w:tabs>
          <w:tab w:val="left" w:pos="8571"/>
        </w:tabs>
        <w:autoSpaceDE w:val="0"/>
        <w:autoSpaceDN w:val="0"/>
        <w:adjustRightInd w:val="0"/>
        <w:ind w:left="1440" w:hanging="1440"/>
        <w:jc w:val="both"/>
      </w:pPr>
      <w:r w:rsidRPr="00957F4E">
        <w:rPr>
          <w:b/>
        </w:rPr>
        <w:tab/>
      </w:r>
      <w:r w:rsidRPr="00957F4E">
        <w:t>The new factors should be effective begin with the first billing cycle for January 2020 through the last billing cycle for December 2020. The first billing cycle may start before January 1, 2020, and the last cycle may be read after December 31, 2020, so that each customer is billed for twelve months regardless of when the recovery factors became effective. The new factors shall continue in effect until modified by this Commission.</w:t>
      </w:r>
    </w:p>
    <w:p w:rsidR="002D5713" w:rsidRDefault="002D5713" w:rsidP="002D5713">
      <w:pPr>
        <w:autoSpaceDE w:val="0"/>
        <w:autoSpaceDN w:val="0"/>
        <w:adjustRightInd w:val="0"/>
        <w:ind w:left="1440" w:hanging="1440"/>
        <w:jc w:val="both"/>
        <w:rPr>
          <w:b/>
          <w:u w:val="single"/>
        </w:rPr>
      </w:pPr>
    </w:p>
    <w:p w:rsidR="002D5713" w:rsidRPr="00957F4E" w:rsidRDefault="002D5713" w:rsidP="002D5713">
      <w:pPr>
        <w:autoSpaceDE w:val="0"/>
        <w:autoSpaceDN w:val="0"/>
        <w:adjustRightInd w:val="0"/>
        <w:ind w:left="1440" w:hanging="1440"/>
        <w:jc w:val="both"/>
        <w:rPr>
          <w:b/>
        </w:rPr>
      </w:pPr>
      <w:r w:rsidRPr="00957F4E">
        <w:rPr>
          <w:b/>
          <w:u w:val="single"/>
        </w:rPr>
        <w:t>ISSUE 35:</w:t>
      </w:r>
      <w:r w:rsidRPr="00957F4E">
        <w:rPr>
          <w:b/>
        </w:rPr>
        <w:tab/>
      </w:r>
      <w:r w:rsidRPr="00763681">
        <w:rPr>
          <w:b/>
        </w:rPr>
        <w:t>Should the Commission approve revised tariffs reflecting the fuel adjustment factors and capacity cost recovery factors determined to be appropriate in this proceeding?</w:t>
      </w:r>
      <w:r w:rsidRPr="00957F4E">
        <w:t xml:space="preserve"> </w:t>
      </w:r>
    </w:p>
    <w:p w:rsidR="002D5713" w:rsidRPr="00957F4E" w:rsidRDefault="002D5713" w:rsidP="002D5713">
      <w:pPr>
        <w:autoSpaceDE w:val="0"/>
        <w:autoSpaceDN w:val="0"/>
        <w:adjustRightInd w:val="0"/>
        <w:jc w:val="both"/>
        <w:rPr>
          <w:b/>
          <w:u w:val="single"/>
        </w:rPr>
      </w:pPr>
    </w:p>
    <w:p w:rsidR="002D5713" w:rsidRDefault="002D5713" w:rsidP="002D5713">
      <w:pPr>
        <w:autoSpaceDE w:val="0"/>
        <w:autoSpaceDN w:val="0"/>
        <w:adjustRightInd w:val="0"/>
        <w:jc w:val="both"/>
        <w:rPr>
          <w:b/>
          <w:u w:val="single"/>
        </w:rPr>
      </w:pPr>
      <w:r w:rsidRPr="00957F4E">
        <w:rPr>
          <w:b/>
          <w:u w:val="single"/>
        </w:rPr>
        <w:t>STIPULATION</w:t>
      </w:r>
    </w:p>
    <w:p w:rsidR="002D5713" w:rsidRDefault="002D5713" w:rsidP="002D5713">
      <w:pPr>
        <w:autoSpaceDE w:val="0"/>
        <w:autoSpaceDN w:val="0"/>
        <w:adjustRightInd w:val="0"/>
        <w:jc w:val="both"/>
        <w:rPr>
          <w:b/>
          <w:u w:val="single"/>
        </w:rPr>
      </w:pPr>
    </w:p>
    <w:p w:rsidR="002D5713" w:rsidRPr="00957F4E" w:rsidRDefault="002D5713" w:rsidP="002D5713">
      <w:pPr>
        <w:autoSpaceDE w:val="0"/>
        <w:autoSpaceDN w:val="0"/>
        <w:adjustRightInd w:val="0"/>
        <w:ind w:left="1440" w:hanging="1440"/>
        <w:jc w:val="both"/>
      </w:pPr>
      <w:r>
        <w:tab/>
      </w:r>
      <w:r w:rsidRPr="00957F4E">
        <w:t>Yes.</w:t>
      </w:r>
    </w:p>
    <w:p w:rsidR="002D5713" w:rsidRDefault="002D5713" w:rsidP="002D5713">
      <w:pPr>
        <w:autoSpaceDE w:val="0"/>
        <w:autoSpaceDN w:val="0"/>
        <w:adjustRightInd w:val="0"/>
        <w:jc w:val="both"/>
        <w:rPr>
          <w:b/>
          <w:u w:val="single"/>
        </w:rPr>
      </w:pPr>
    </w:p>
    <w:p w:rsidR="002D5713" w:rsidRPr="00763681" w:rsidRDefault="002D5713" w:rsidP="002D5713">
      <w:pPr>
        <w:ind w:left="1440" w:hanging="1440"/>
        <w:jc w:val="both"/>
        <w:rPr>
          <w:b/>
        </w:rPr>
      </w:pPr>
      <w:r>
        <w:rPr>
          <w:b/>
          <w:u w:val="single"/>
        </w:rPr>
        <w:t>ISSUE 36</w:t>
      </w:r>
      <w:r w:rsidRPr="00957F4E">
        <w:rPr>
          <w:b/>
          <w:u w:val="single"/>
        </w:rPr>
        <w:t>:</w:t>
      </w:r>
      <w:r w:rsidRPr="00957F4E">
        <w:rPr>
          <w:b/>
        </w:rPr>
        <w:tab/>
      </w:r>
      <w:r w:rsidRPr="00763681">
        <w:rPr>
          <w:b/>
        </w:rPr>
        <w:t xml:space="preserve">Should the Joint Motion to Modify Order No. PSC-2012-0425-PAA-EU regarding Weighted Average Cost of Capital Methodology </w:t>
      </w:r>
      <w:proofErr w:type="gramStart"/>
      <w:r w:rsidRPr="00763681">
        <w:rPr>
          <w:b/>
        </w:rPr>
        <w:t>be</w:t>
      </w:r>
      <w:proofErr w:type="gramEnd"/>
      <w:r w:rsidRPr="00763681">
        <w:rPr>
          <w:b/>
        </w:rPr>
        <w:t xml:space="preserve"> approved?</w:t>
      </w:r>
    </w:p>
    <w:p w:rsidR="002D5713" w:rsidRPr="00763681" w:rsidRDefault="002D5713" w:rsidP="002D5713">
      <w:pPr>
        <w:jc w:val="both"/>
        <w:rPr>
          <w:b/>
        </w:rPr>
      </w:pPr>
    </w:p>
    <w:p w:rsidR="002D5713" w:rsidRDefault="002D5713" w:rsidP="002D5713">
      <w:pPr>
        <w:autoSpaceDE w:val="0"/>
        <w:autoSpaceDN w:val="0"/>
        <w:adjustRightInd w:val="0"/>
        <w:ind w:left="2160" w:hanging="2160"/>
        <w:jc w:val="both"/>
        <w:rPr>
          <w:b/>
          <w:u w:val="single"/>
        </w:rPr>
      </w:pPr>
      <w:r>
        <w:rPr>
          <w:b/>
          <w:u w:val="single"/>
        </w:rPr>
        <w:t>STIPULATION</w:t>
      </w:r>
    </w:p>
    <w:p w:rsidR="002D5713" w:rsidRDefault="002D5713" w:rsidP="002D5713">
      <w:pPr>
        <w:autoSpaceDE w:val="0"/>
        <w:autoSpaceDN w:val="0"/>
        <w:adjustRightInd w:val="0"/>
        <w:ind w:left="2160" w:hanging="2160"/>
        <w:jc w:val="both"/>
        <w:rPr>
          <w:b/>
          <w:u w:val="single"/>
        </w:rPr>
      </w:pPr>
    </w:p>
    <w:p w:rsidR="002D5713" w:rsidRDefault="002D5713" w:rsidP="002D5713">
      <w:pPr>
        <w:autoSpaceDE w:val="0"/>
        <w:autoSpaceDN w:val="0"/>
        <w:adjustRightInd w:val="0"/>
        <w:ind w:left="1440" w:hanging="1440"/>
        <w:jc w:val="both"/>
      </w:pPr>
      <w:r>
        <w:tab/>
        <w:t>No.</w:t>
      </w:r>
      <w:r w:rsidR="00AB394F">
        <w:t xml:space="preserve">  </w:t>
      </w:r>
      <w:r>
        <w:t>T</w:t>
      </w:r>
      <w:r w:rsidRPr="005C7F20">
        <w:t>he normalization provisions of the Internal Revenue Code (IRC) Treasury Regulation Section 1.167(1)-1(h</w:t>
      </w:r>
      <w:proofErr w:type="gramStart"/>
      <w:r w:rsidRPr="005C7F20">
        <w:t>)(</w:t>
      </w:r>
      <w:proofErr w:type="gramEnd"/>
      <w:r w:rsidRPr="005C7F20">
        <w:t>6) sh</w:t>
      </w:r>
      <w:r>
        <w:t>all</w:t>
      </w:r>
      <w:r w:rsidRPr="005C7F20">
        <w:t xml:space="preserve"> be applied to the Weighted Average Cost of Capital (WACC)</w:t>
      </w:r>
      <w:r>
        <w:t xml:space="preserve"> </w:t>
      </w:r>
      <w:r w:rsidRPr="005C7F20">
        <w:t>in this docket</w:t>
      </w:r>
      <w:r>
        <w:t xml:space="preserve"> subject to true-up.  T</w:t>
      </w:r>
      <w:r w:rsidRPr="005C7F20">
        <w:t>he determination of the WACC to be applied in future clause dockets sh</w:t>
      </w:r>
      <w:r>
        <w:t>all</w:t>
      </w:r>
      <w:r w:rsidRPr="005C7F20">
        <w:t xml:space="preserve"> be the subject of a workshop to be held by Commission staff.</w:t>
      </w:r>
    </w:p>
    <w:p w:rsidR="002D5713" w:rsidRDefault="002D5713" w:rsidP="002D5713">
      <w:pPr>
        <w:autoSpaceDE w:val="0"/>
        <w:autoSpaceDN w:val="0"/>
        <w:adjustRightInd w:val="0"/>
        <w:ind w:left="1440" w:hanging="1440"/>
        <w:jc w:val="both"/>
      </w:pPr>
    </w:p>
    <w:p w:rsidR="002D5713" w:rsidRDefault="002D5713" w:rsidP="002D5713">
      <w:pPr>
        <w:autoSpaceDE w:val="0"/>
        <w:autoSpaceDN w:val="0"/>
        <w:adjustRightInd w:val="0"/>
        <w:ind w:left="1440" w:hanging="1440"/>
        <w:jc w:val="both"/>
        <w:rPr>
          <w:b/>
        </w:rPr>
      </w:pPr>
      <w:r>
        <w:rPr>
          <w:b/>
          <w:u w:val="single"/>
        </w:rPr>
        <w:t>ISSUE 37:</w:t>
      </w:r>
      <w:r>
        <w:tab/>
      </w:r>
      <w:r w:rsidRPr="0069048E">
        <w:rPr>
          <w:b/>
        </w:rPr>
        <w:t>Should this docket be closed?</w:t>
      </w:r>
    </w:p>
    <w:p w:rsidR="002D5713" w:rsidRDefault="002D5713" w:rsidP="002D5713">
      <w:pPr>
        <w:autoSpaceDE w:val="0"/>
        <w:autoSpaceDN w:val="0"/>
        <w:adjustRightInd w:val="0"/>
        <w:ind w:left="1440" w:hanging="1440"/>
        <w:jc w:val="both"/>
        <w:rPr>
          <w:b/>
        </w:rPr>
      </w:pPr>
    </w:p>
    <w:p w:rsidR="002D5713" w:rsidRDefault="002D5713" w:rsidP="002D5713">
      <w:pPr>
        <w:autoSpaceDE w:val="0"/>
        <w:autoSpaceDN w:val="0"/>
        <w:adjustRightInd w:val="0"/>
        <w:ind w:left="1440" w:hanging="1440"/>
        <w:jc w:val="both"/>
        <w:rPr>
          <w:b/>
          <w:u w:val="single"/>
        </w:rPr>
      </w:pPr>
      <w:r w:rsidRPr="0069048E">
        <w:rPr>
          <w:b/>
          <w:u w:val="single"/>
        </w:rPr>
        <w:t>STIPULATION</w:t>
      </w:r>
    </w:p>
    <w:p w:rsidR="002D5713" w:rsidRDefault="002D5713" w:rsidP="002D5713">
      <w:pPr>
        <w:autoSpaceDE w:val="0"/>
        <w:autoSpaceDN w:val="0"/>
        <w:adjustRightInd w:val="0"/>
        <w:ind w:left="1440" w:hanging="1440"/>
        <w:jc w:val="both"/>
        <w:rPr>
          <w:b/>
          <w:u w:val="single"/>
        </w:rPr>
      </w:pPr>
    </w:p>
    <w:p w:rsidR="002D5713" w:rsidRDefault="002D5713" w:rsidP="002D5713">
      <w:pPr>
        <w:autoSpaceDE w:val="0"/>
        <w:autoSpaceDN w:val="0"/>
        <w:adjustRightInd w:val="0"/>
        <w:ind w:left="1440" w:hanging="1440"/>
        <w:jc w:val="both"/>
      </w:pPr>
      <w:r>
        <w:tab/>
        <w:t>No.</w:t>
      </w:r>
      <w:r w:rsidR="00AB394F">
        <w:t xml:space="preserve">  </w:t>
      </w:r>
      <w:r>
        <w:t>While a separate docket number is assigned each year for administrative convenience, this is a continuing docket and should remain open.</w:t>
      </w:r>
    </w:p>
    <w:p w:rsidR="002D5713" w:rsidRDefault="002D5713" w:rsidP="002D5713">
      <w:pPr>
        <w:pStyle w:val="OrderBody"/>
        <w:jc w:val="right"/>
      </w:pPr>
    </w:p>
    <w:sectPr w:rsidR="002D571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92" w:rsidRDefault="00861392">
      <w:r>
        <w:separator/>
      </w:r>
    </w:p>
  </w:endnote>
  <w:endnote w:type="continuationSeparator" w:id="0">
    <w:p w:rsidR="00861392" w:rsidRDefault="008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92" w:rsidRDefault="00861392">
    <w:pPr>
      <w:pStyle w:val="Footer"/>
    </w:pPr>
  </w:p>
  <w:p w:rsidR="00861392" w:rsidRDefault="00861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92" w:rsidRDefault="00861392">
      <w:r>
        <w:separator/>
      </w:r>
    </w:p>
  </w:footnote>
  <w:footnote w:type="continuationSeparator" w:id="0">
    <w:p w:rsidR="00861392" w:rsidRDefault="00861392">
      <w:r>
        <w:continuationSeparator/>
      </w:r>
    </w:p>
  </w:footnote>
  <w:footnote w:id="1">
    <w:p w:rsidR="00861392" w:rsidRDefault="00861392">
      <w:pPr>
        <w:pStyle w:val="FootnoteText"/>
      </w:pPr>
      <w:r>
        <w:rPr>
          <w:rStyle w:val="FootnoteReference"/>
        </w:rPr>
        <w:footnoteRef/>
      </w:r>
      <w:r>
        <w:t xml:space="preserve"> Issue 1B: Was DEF prudent in its actions and decisions leading up to and in restoring the unit to service after the February 2017 forced outage at the Bartow plant and, if not, what action should the Commission take with respect to replacement power costs?  Issue 1C: Has DEF made prudent adjustments, if any are needed, to account for replacement power costs associated with any impacts related to the de-rating of the Bartow plant?  If adjustments are needed and have not been made, what adjustments(s) should be made?</w:t>
      </w:r>
    </w:p>
  </w:footnote>
  <w:footnote w:id="2">
    <w:p w:rsidR="00861392" w:rsidRPr="00A90C3E" w:rsidRDefault="00861392" w:rsidP="00126B18">
      <w:pPr>
        <w:pStyle w:val="FootnoteText"/>
        <w:rPr>
          <w:i/>
        </w:rPr>
      </w:pPr>
      <w:r>
        <w:rPr>
          <w:rStyle w:val="FootnoteReference"/>
        </w:rPr>
        <w:footnoteRef/>
      </w:r>
      <w:r>
        <w:t xml:space="preserve"> Issue 2H states as follows: Are the 2020 </w:t>
      </w:r>
      <w:proofErr w:type="spellStart"/>
      <w:r>
        <w:t>SoBRA</w:t>
      </w:r>
      <w:proofErr w:type="spellEnd"/>
      <w:r>
        <w:t xml:space="preserve"> projects (Hibiscus, Okeechobee, </w:t>
      </w:r>
      <w:proofErr w:type="spellStart"/>
      <w:r>
        <w:t>Southfork</w:t>
      </w:r>
      <w:proofErr w:type="spellEnd"/>
      <w:r>
        <w:t xml:space="preserve"> and Echo River) proposed by FPL cost effective?  The 2020 </w:t>
      </w:r>
      <w:proofErr w:type="spellStart"/>
      <w:r>
        <w:t>SoBRA</w:t>
      </w:r>
      <w:proofErr w:type="spellEnd"/>
      <w:r>
        <w:t xml:space="preserve"> projects are related to FPL’s 2016 rate case Stipulation and Settlement Agreement approved by Order No. </w:t>
      </w:r>
      <w:proofErr w:type="gramStart"/>
      <w:r>
        <w:t>PSC-2016-0560-AS-EI (the 2016 Settlement).</w:t>
      </w:r>
      <w:proofErr w:type="gramEnd"/>
      <w:r>
        <w:t xml:space="preserve">  </w:t>
      </w:r>
      <w:proofErr w:type="gramStart"/>
      <w:r>
        <w:t>Order No.</w:t>
      </w:r>
      <w:proofErr w:type="gramEnd"/>
      <w:r>
        <w:t xml:space="preserve"> PSC-2016-0560-AS-EI, issued on December 15, 2016, in Docket No. 20160021-EI, </w:t>
      </w:r>
      <w:r w:rsidRPr="00A90C3E">
        <w:rPr>
          <w:i/>
        </w:rPr>
        <w:t xml:space="preserve">In re: Petition for rate increase by Florida </w:t>
      </w:r>
      <w:r>
        <w:rPr>
          <w:i/>
        </w:rPr>
        <w:t>P</w:t>
      </w:r>
      <w:r w:rsidRPr="00A90C3E">
        <w:rPr>
          <w:i/>
        </w:rPr>
        <w:t>ower &amp; Light Company.</w:t>
      </w:r>
    </w:p>
  </w:footnote>
  <w:footnote w:id="3">
    <w:p w:rsidR="00861392" w:rsidRPr="00A90C3E" w:rsidRDefault="00861392">
      <w:pPr>
        <w:pStyle w:val="FootnoteText"/>
        <w:rPr>
          <w:u w:val="single"/>
        </w:rPr>
      </w:pPr>
      <w:r>
        <w:rPr>
          <w:rStyle w:val="FootnoteReference"/>
        </w:rPr>
        <w:footnoteRef/>
      </w:r>
      <w:r>
        <w:t xml:space="preserve"> </w:t>
      </w:r>
      <w:r>
        <w:rPr>
          <w:i/>
        </w:rPr>
        <w:t>Florida Industrial Power Users Group v. Brown</w:t>
      </w:r>
      <w:r w:rsidRPr="00A90C3E">
        <w:t xml:space="preserve">, 273 So. </w:t>
      </w:r>
      <w:proofErr w:type="gramStart"/>
      <w:r w:rsidRPr="00A90C3E">
        <w:t xml:space="preserve">3d 926, </w:t>
      </w:r>
      <w:r>
        <w:t>929 (Fla. 2019).</w:t>
      </w:r>
      <w:proofErr w:type="gramEnd"/>
    </w:p>
  </w:footnote>
  <w:footnote w:id="4">
    <w:p w:rsidR="00861392" w:rsidRDefault="00861392" w:rsidP="002D5713">
      <w:pPr>
        <w:pStyle w:val="FootnoteText"/>
      </w:pPr>
      <w:r>
        <w:rPr>
          <w:rStyle w:val="FootnoteReference"/>
        </w:rPr>
        <w:footnoteRef/>
      </w:r>
      <w:r>
        <w:t xml:space="preserve"> A Type 2 Stipulation is one in which all parties either </w:t>
      </w:r>
      <w:proofErr w:type="gramStart"/>
      <w:r>
        <w:t>agree</w:t>
      </w:r>
      <w:proofErr w:type="gramEnd"/>
      <w:r>
        <w:t xml:space="preserve"> with, do not object to, or take no position on, the stipulation presented.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92" w:rsidRDefault="00861392">
    <w:pPr>
      <w:pStyle w:val="OrderHeader"/>
    </w:pPr>
    <w:r>
      <w:t xml:space="preserve">ORDER NO. </w:t>
    </w:r>
    <w:fldSimple w:instr=" REF OrderNo0479 ">
      <w:r w:rsidR="007818CA">
        <w:t>PSC-2019-0484-FOF-EI</w:t>
      </w:r>
    </w:fldSimple>
  </w:p>
  <w:p w:rsidR="00861392" w:rsidRDefault="00861392">
    <w:pPr>
      <w:pStyle w:val="OrderHeader"/>
    </w:pPr>
    <w:bookmarkStart w:id="8" w:name="HeaderDocketNo"/>
    <w:bookmarkEnd w:id="8"/>
    <w:r>
      <w:t>DOCKET NO. 20190001-EI</w:t>
    </w:r>
  </w:p>
  <w:p w:rsidR="00861392" w:rsidRDefault="0086139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18CA">
      <w:rPr>
        <w:rStyle w:val="PageNumber"/>
        <w:noProof/>
      </w:rPr>
      <w:t>38</w:t>
    </w:r>
    <w:r>
      <w:rPr>
        <w:rStyle w:val="PageNumber"/>
      </w:rPr>
      <w:fldChar w:fldCharType="end"/>
    </w:r>
  </w:p>
  <w:p w:rsidR="00861392" w:rsidRDefault="00861392">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8396CC3"/>
    <w:multiLevelType w:val="hybridMultilevel"/>
    <w:tmpl w:val="F67EC3BC"/>
    <w:lvl w:ilvl="0" w:tplc="C060D0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E30F7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521F3706"/>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75B90"/>
    <w:multiLevelType w:val="multilevel"/>
    <w:tmpl w:val="9E26B4E8"/>
    <w:numStyleLink w:val="ArticleSection"/>
  </w:abstractNum>
  <w:abstractNum w:abstractNumId="16">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392418"/>
    <w:multiLevelType w:val="hybridMultilevel"/>
    <w:tmpl w:val="C5F4AE8E"/>
    <w:lvl w:ilvl="0" w:tplc="466284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8E73FD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E210EF"/>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960E42"/>
    <w:multiLevelType w:val="multilevel"/>
    <w:tmpl w:val="9E26B4E8"/>
    <w:numStyleLink w:val="ArticleSection"/>
  </w:abstractNum>
  <w:abstractNum w:abstractNumId="21">
    <w:nsid w:val="7D9F0982"/>
    <w:multiLevelType w:val="multilevel"/>
    <w:tmpl w:val="0409001F"/>
    <w:styleLink w:val="1111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pStyle w:val="Heading4"/>
      <w:lvlText w:val="%1.%2.%3.%4."/>
      <w:lvlJc w:val="left"/>
      <w:pPr>
        <w:tabs>
          <w:tab w:val="num" w:pos="1800"/>
        </w:tabs>
        <w:ind w:left="1728" w:hanging="648"/>
      </w:p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num w:numId="1">
    <w:abstractNumId w:val="13"/>
  </w:num>
  <w:num w:numId="2">
    <w:abstractNumId w:val="11"/>
  </w:num>
  <w:num w:numId="3">
    <w:abstractNumId w:val="21"/>
  </w:num>
  <w:num w:numId="4">
    <w:abstractNumId w:val="20"/>
  </w:num>
  <w:num w:numId="5">
    <w:abstractNumId w:val="16"/>
  </w:num>
  <w:num w:numId="6">
    <w:abstractNumId w:val="10"/>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4"/>
  </w:num>
  <w:num w:numId="20">
    <w:abstractNumId w:val="18"/>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B16A2C"/>
    <w:rsid w:val="000022B8"/>
    <w:rsid w:val="0003433F"/>
    <w:rsid w:val="00035A8C"/>
    <w:rsid w:val="0004473B"/>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4ACB"/>
    <w:rsid w:val="000F359F"/>
    <w:rsid w:val="000F3B2C"/>
    <w:rsid w:val="000F63EB"/>
    <w:rsid w:val="000F648A"/>
    <w:rsid w:val="000F7BE3"/>
    <w:rsid w:val="001052BA"/>
    <w:rsid w:val="001107B3"/>
    <w:rsid w:val="001114B1"/>
    <w:rsid w:val="001139D8"/>
    <w:rsid w:val="00116AD3"/>
    <w:rsid w:val="00121957"/>
    <w:rsid w:val="0012387E"/>
    <w:rsid w:val="00126593"/>
    <w:rsid w:val="00126B18"/>
    <w:rsid w:val="00142A96"/>
    <w:rsid w:val="001513DE"/>
    <w:rsid w:val="00153850"/>
    <w:rsid w:val="00154A71"/>
    <w:rsid w:val="00187E32"/>
    <w:rsid w:val="00194E81"/>
    <w:rsid w:val="001A15E7"/>
    <w:rsid w:val="001A33C9"/>
    <w:rsid w:val="001A58F3"/>
    <w:rsid w:val="001C2847"/>
    <w:rsid w:val="001C3F8C"/>
    <w:rsid w:val="001C6097"/>
    <w:rsid w:val="001D008A"/>
    <w:rsid w:val="001E0152"/>
    <w:rsid w:val="001E0FF5"/>
    <w:rsid w:val="001F7E5C"/>
    <w:rsid w:val="002002ED"/>
    <w:rsid w:val="00200817"/>
    <w:rsid w:val="002170E5"/>
    <w:rsid w:val="00220D57"/>
    <w:rsid w:val="0022721A"/>
    <w:rsid w:val="00230BB9"/>
    <w:rsid w:val="00241CEF"/>
    <w:rsid w:val="0025124E"/>
    <w:rsid w:val="00252B30"/>
    <w:rsid w:val="002543BC"/>
    <w:rsid w:val="002613E4"/>
    <w:rsid w:val="0026544B"/>
    <w:rsid w:val="00276CDC"/>
    <w:rsid w:val="00277655"/>
    <w:rsid w:val="002824B7"/>
    <w:rsid w:val="00282AC4"/>
    <w:rsid w:val="002A11AC"/>
    <w:rsid w:val="002A5121"/>
    <w:rsid w:val="002A6F30"/>
    <w:rsid w:val="002B3111"/>
    <w:rsid w:val="002B5957"/>
    <w:rsid w:val="002C3C95"/>
    <w:rsid w:val="002C7908"/>
    <w:rsid w:val="002D391B"/>
    <w:rsid w:val="002D4B1F"/>
    <w:rsid w:val="002D5713"/>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3118"/>
    <w:rsid w:val="00411DF2"/>
    <w:rsid w:val="00411E8F"/>
    <w:rsid w:val="0042527B"/>
    <w:rsid w:val="0045537F"/>
    <w:rsid w:val="00457DC7"/>
    <w:rsid w:val="00472BCC"/>
    <w:rsid w:val="004813E3"/>
    <w:rsid w:val="004A25CD"/>
    <w:rsid w:val="004A26CC"/>
    <w:rsid w:val="004B2108"/>
    <w:rsid w:val="004B2EFC"/>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647A5"/>
    <w:rsid w:val="00571D3D"/>
    <w:rsid w:val="0058264B"/>
    <w:rsid w:val="005868AA"/>
    <w:rsid w:val="00590845"/>
    <w:rsid w:val="005963C2"/>
    <w:rsid w:val="005A0D69"/>
    <w:rsid w:val="005A31F4"/>
    <w:rsid w:val="005A73EA"/>
    <w:rsid w:val="005B45F7"/>
    <w:rsid w:val="005B63EA"/>
    <w:rsid w:val="005C1A88"/>
    <w:rsid w:val="005C5033"/>
    <w:rsid w:val="005D152F"/>
    <w:rsid w:val="005E751B"/>
    <w:rsid w:val="005F3354"/>
    <w:rsid w:val="0060005E"/>
    <w:rsid w:val="0060095B"/>
    <w:rsid w:val="00601266"/>
    <w:rsid w:val="00610E73"/>
    <w:rsid w:val="00616DF2"/>
    <w:rsid w:val="0063168D"/>
    <w:rsid w:val="006438C5"/>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3C02"/>
    <w:rsid w:val="00704C5D"/>
    <w:rsid w:val="007072BC"/>
    <w:rsid w:val="00712315"/>
    <w:rsid w:val="00713098"/>
    <w:rsid w:val="00715275"/>
    <w:rsid w:val="00721B44"/>
    <w:rsid w:val="007232A2"/>
    <w:rsid w:val="00726366"/>
    <w:rsid w:val="00733B6B"/>
    <w:rsid w:val="00734180"/>
    <w:rsid w:val="00740808"/>
    <w:rsid w:val="007467C4"/>
    <w:rsid w:val="0076170F"/>
    <w:rsid w:val="0076669C"/>
    <w:rsid w:val="00766E46"/>
    <w:rsid w:val="00777727"/>
    <w:rsid w:val="007818CA"/>
    <w:rsid w:val="00782B79"/>
    <w:rsid w:val="007865E9"/>
    <w:rsid w:val="00792383"/>
    <w:rsid w:val="00794D5A"/>
    <w:rsid w:val="00794DD9"/>
    <w:rsid w:val="007A060F"/>
    <w:rsid w:val="007B350E"/>
    <w:rsid w:val="007B6BD9"/>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5C24"/>
    <w:rsid w:val="00861392"/>
    <w:rsid w:val="00863A66"/>
    <w:rsid w:val="00865BD0"/>
    <w:rsid w:val="008703D7"/>
    <w:rsid w:val="00874429"/>
    <w:rsid w:val="00883D9A"/>
    <w:rsid w:val="008919EF"/>
    <w:rsid w:val="00891BEC"/>
    <w:rsid w:val="00892B20"/>
    <w:rsid w:val="008A12EC"/>
    <w:rsid w:val="008B19A6"/>
    <w:rsid w:val="008C21C8"/>
    <w:rsid w:val="008C6375"/>
    <w:rsid w:val="008C6A5B"/>
    <w:rsid w:val="008E26A5"/>
    <w:rsid w:val="008E42D2"/>
    <w:rsid w:val="008E6328"/>
    <w:rsid w:val="008F0E20"/>
    <w:rsid w:val="009040EE"/>
    <w:rsid w:val="009057FD"/>
    <w:rsid w:val="00906FBA"/>
    <w:rsid w:val="00910674"/>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A6E35"/>
    <w:rsid w:val="009D4C29"/>
    <w:rsid w:val="009F6AD2"/>
    <w:rsid w:val="00A00D8D"/>
    <w:rsid w:val="00A01BB6"/>
    <w:rsid w:val="00A4303C"/>
    <w:rsid w:val="00A44F3F"/>
    <w:rsid w:val="00A470FD"/>
    <w:rsid w:val="00A62DAB"/>
    <w:rsid w:val="00A6757A"/>
    <w:rsid w:val="00A726A6"/>
    <w:rsid w:val="00A74842"/>
    <w:rsid w:val="00A90C3E"/>
    <w:rsid w:val="00A97535"/>
    <w:rsid w:val="00AA2BAA"/>
    <w:rsid w:val="00AA73F1"/>
    <w:rsid w:val="00AB0E1A"/>
    <w:rsid w:val="00AB1A30"/>
    <w:rsid w:val="00AB394F"/>
    <w:rsid w:val="00AB3C36"/>
    <w:rsid w:val="00AC5364"/>
    <w:rsid w:val="00AD10EB"/>
    <w:rsid w:val="00AD1ED3"/>
    <w:rsid w:val="00AD7651"/>
    <w:rsid w:val="00AE02E6"/>
    <w:rsid w:val="00B02001"/>
    <w:rsid w:val="00B03C50"/>
    <w:rsid w:val="00B0777D"/>
    <w:rsid w:val="00B11576"/>
    <w:rsid w:val="00B1195F"/>
    <w:rsid w:val="00B14D10"/>
    <w:rsid w:val="00B16A2C"/>
    <w:rsid w:val="00B17A8F"/>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4DA4"/>
    <w:rsid w:val="00BC786E"/>
    <w:rsid w:val="00BD5C92"/>
    <w:rsid w:val="00BE50E6"/>
    <w:rsid w:val="00BF6691"/>
    <w:rsid w:val="00C028FC"/>
    <w:rsid w:val="00C037F2"/>
    <w:rsid w:val="00C0386D"/>
    <w:rsid w:val="00C065A1"/>
    <w:rsid w:val="00C10ED5"/>
    <w:rsid w:val="00C151A6"/>
    <w:rsid w:val="00C2351B"/>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1A57"/>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07E7"/>
    <w:rsid w:val="00D70752"/>
    <w:rsid w:val="00D80E2D"/>
    <w:rsid w:val="00D8358E"/>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4654"/>
    <w:rsid w:val="00E3615B"/>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06FDB"/>
    <w:rsid w:val="00F22B27"/>
    <w:rsid w:val="00F234A7"/>
    <w:rsid w:val="00F277B6"/>
    <w:rsid w:val="00F27DA5"/>
    <w:rsid w:val="00F37E07"/>
    <w:rsid w:val="00F4182A"/>
    <w:rsid w:val="00F54380"/>
    <w:rsid w:val="00F54B47"/>
    <w:rsid w:val="00F61247"/>
    <w:rsid w:val="00F6702E"/>
    <w:rsid w:val="00F70E84"/>
    <w:rsid w:val="00F81285"/>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character" w:customStyle="1" w:styleId="FootnoteTextChar">
    <w:name w:val="Footnote Text Char"/>
    <w:basedOn w:val="DefaultParagraphFont"/>
    <w:link w:val="FootnoteText"/>
    <w:uiPriority w:val="99"/>
    <w:rsid w:val="00B17A8F"/>
  </w:style>
  <w:style w:type="character" w:customStyle="1" w:styleId="FooterChar">
    <w:name w:val="Footer Char"/>
    <w:basedOn w:val="DefaultParagraphFont"/>
    <w:link w:val="Footer"/>
    <w:uiPriority w:val="99"/>
    <w:rsid w:val="002D5713"/>
    <w:rPr>
      <w:sz w:val="24"/>
      <w:szCs w:val="24"/>
    </w:rPr>
  </w:style>
  <w:style w:type="character" w:customStyle="1" w:styleId="HeaderChar">
    <w:name w:val="Header Char"/>
    <w:basedOn w:val="DefaultParagraphFont"/>
    <w:link w:val="Header"/>
    <w:uiPriority w:val="99"/>
    <w:rsid w:val="002D5713"/>
    <w:rPr>
      <w:sz w:val="24"/>
      <w:szCs w:val="24"/>
    </w:rPr>
  </w:style>
  <w:style w:type="paragraph" w:customStyle="1" w:styleId="Level2">
    <w:name w:val="Level 2"/>
    <w:rsid w:val="002D5713"/>
    <w:pPr>
      <w:autoSpaceDE w:val="0"/>
      <w:autoSpaceDN w:val="0"/>
      <w:adjustRightInd w:val="0"/>
      <w:ind w:left="1440"/>
    </w:pPr>
    <w:rPr>
      <w:sz w:val="24"/>
      <w:szCs w:val="24"/>
    </w:rPr>
  </w:style>
  <w:style w:type="paragraph" w:styleId="ListParagraph">
    <w:name w:val="List Paragraph"/>
    <w:basedOn w:val="Normal"/>
    <w:uiPriority w:val="34"/>
    <w:qFormat/>
    <w:rsid w:val="002D5713"/>
    <w:pPr>
      <w:ind w:left="720"/>
      <w:contextualSpacing/>
    </w:pPr>
  </w:style>
  <w:style w:type="paragraph" w:styleId="Date">
    <w:name w:val="Date"/>
    <w:basedOn w:val="Normal"/>
    <w:next w:val="Normal"/>
    <w:link w:val="DateChar"/>
    <w:uiPriority w:val="99"/>
    <w:unhideWhenUsed/>
    <w:rsid w:val="002D5713"/>
    <w:rPr>
      <w:rFonts w:ascii="Calibri" w:eastAsia="Calibri" w:hAnsi="Calibri"/>
    </w:rPr>
  </w:style>
  <w:style w:type="character" w:customStyle="1" w:styleId="DateChar">
    <w:name w:val="Date Char"/>
    <w:basedOn w:val="DefaultParagraphFont"/>
    <w:link w:val="Date"/>
    <w:uiPriority w:val="99"/>
    <w:rsid w:val="002D5713"/>
    <w:rPr>
      <w:rFonts w:ascii="Calibri" w:eastAsia="Calibri" w:hAnsi="Calibri"/>
      <w:sz w:val="24"/>
      <w:szCs w:val="24"/>
    </w:rPr>
  </w:style>
  <w:style w:type="paragraph" w:styleId="BodyText2">
    <w:name w:val="Body Text 2"/>
    <w:basedOn w:val="Normal"/>
    <w:link w:val="BodyText2Char"/>
    <w:uiPriority w:val="99"/>
    <w:rsid w:val="002D5713"/>
    <w:pPr>
      <w:spacing w:line="480" w:lineRule="auto"/>
      <w:ind w:firstLine="720"/>
      <w:jc w:val="both"/>
    </w:pPr>
  </w:style>
  <w:style w:type="character" w:customStyle="1" w:styleId="BodyText2Char">
    <w:name w:val="Body Text 2 Char"/>
    <w:basedOn w:val="DefaultParagraphFont"/>
    <w:link w:val="BodyText2"/>
    <w:uiPriority w:val="99"/>
    <w:rsid w:val="002D5713"/>
    <w:rPr>
      <w:sz w:val="24"/>
      <w:szCs w:val="24"/>
    </w:rPr>
  </w:style>
  <w:style w:type="character" w:customStyle="1" w:styleId="WitnessandExhibitTableHeader">
    <w:name w:val="Witness and Exhibit Table Header"/>
    <w:rsid w:val="002D5713"/>
    <w:rPr>
      <w:u w:val="single"/>
    </w:rPr>
  </w:style>
  <w:style w:type="paragraph" w:customStyle="1" w:styleId="PrehearingBody">
    <w:name w:val="Prehearing Body"/>
    <w:basedOn w:val="Normal"/>
    <w:link w:val="PrehearingBodyCharChar"/>
    <w:rsid w:val="002D5713"/>
    <w:pPr>
      <w:spacing w:after="240"/>
      <w:ind w:firstLine="720"/>
      <w:jc w:val="both"/>
    </w:pPr>
    <w:rPr>
      <w:lang w:val="x-none" w:eastAsia="x-none"/>
    </w:rPr>
  </w:style>
  <w:style w:type="character" w:customStyle="1" w:styleId="PrehearingBodyCharChar">
    <w:name w:val="Prehearing Body Char Char"/>
    <w:link w:val="PrehearingBody"/>
    <w:rsid w:val="002D5713"/>
    <w:rPr>
      <w:sz w:val="24"/>
      <w:szCs w:val="24"/>
      <w:lang w:val="x-none" w:eastAsia="x-none"/>
    </w:rPr>
  </w:style>
  <w:style w:type="paragraph" w:styleId="NoSpacing">
    <w:name w:val="No Spacing"/>
    <w:uiPriority w:val="1"/>
    <w:qFormat/>
    <w:rsid w:val="002D5713"/>
    <w:rPr>
      <w:rFonts w:eastAsiaTheme="minorHAnsi" w:cstheme="minorBidi"/>
      <w:sz w:val="24"/>
      <w:szCs w:val="22"/>
    </w:rPr>
  </w:style>
  <w:style w:type="paragraph" w:customStyle="1" w:styleId="PrehearingHeading">
    <w:name w:val="Prehearing Heading"/>
    <w:basedOn w:val="Normal"/>
    <w:next w:val="Normal"/>
    <w:link w:val="PrehearingHeadingChar"/>
    <w:rsid w:val="002D5713"/>
    <w:pPr>
      <w:spacing w:after="480"/>
      <w:jc w:val="center"/>
    </w:pPr>
  </w:style>
  <w:style w:type="paragraph" w:customStyle="1" w:styleId="PrehearingHeader">
    <w:name w:val="Prehearing Header"/>
    <w:basedOn w:val="Header"/>
    <w:rsid w:val="002D5713"/>
    <w:pPr>
      <w:jc w:val="both"/>
    </w:pPr>
  </w:style>
  <w:style w:type="paragraph" w:customStyle="1" w:styleId="PrehearingDocketInfo">
    <w:name w:val="Prehearing Docket Info"/>
    <w:rsid w:val="002D5713"/>
    <w:rPr>
      <w:sz w:val="24"/>
      <w:szCs w:val="24"/>
    </w:rPr>
  </w:style>
  <w:style w:type="paragraph" w:customStyle="1" w:styleId="PrehearingSectionHeading">
    <w:name w:val="Prehearing Section Heading"/>
    <w:basedOn w:val="Heading2"/>
    <w:next w:val="PrehearingBody"/>
    <w:rsid w:val="002D5713"/>
  </w:style>
  <w:style w:type="character" w:customStyle="1" w:styleId="PrehearingSection">
    <w:name w:val="Prehearing Section"/>
    <w:rsid w:val="002D5713"/>
    <w:rPr>
      <w:u w:val="single"/>
    </w:rPr>
  </w:style>
  <w:style w:type="character" w:customStyle="1" w:styleId="PrehearingHeadingChar">
    <w:name w:val="Prehearing Heading Char"/>
    <w:link w:val="PrehearingHeading"/>
    <w:rsid w:val="002D5713"/>
    <w:rPr>
      <w:sz w:val="24"/>
      <w:szCs w:val="24"/>
    </w:rPr>
  </w:style>
  <w:style w:type="paragraph" w:customStyle="1" w:styleId="Attorney">
    <w:name w:val="Attorney"/>
    <w:basedOn w:val="Normal"/>
    <w:rsid w:val="002D5713"/>
    <w:pPr>
      <w:jc w:val="both"/>
    </w:pPr>
  </w:style>
  <w:style w:type="character" w:styleId="Strong">
    <w:name w:val="Strong"/>
    <w:basedOn w:val="DefaultParagraphFont"/>
    <w:uiPriority w:val="22"/>
    <w:qFormat/>
    <w:rsid w:val="002D5713"/>
    <w:rPr>
      <w:b/>
      <w:bCs/>
    </w:rPr>
  </w:style>
  <w:style w:type="character" w:styleId="Hyperlink">
    <w:name w:val="Hyperlink"/>
    <w:basedOn w:val="DefaultParagraphFont"/>
    <w:uiPriority w:val="99"/>
    <w:unhideWhenUsed/>
    <w:rsid w:val="002D5713"/>
    <w:rPr>
      <w:color w:val="0000FF" w:themeColor="hyperlink"/>
      <w:u w:val="single"/>
    </w:rPr>
  </w:style>
  <w:style w:type="paragraph" w:styleId="BalloonText">
    <w:name w:val="Balloon Text"/>
    <w:basedOn w:val="Normal"/>
    <w:link w:val="BalloonTextChar"/>
    <w:uiPriority w:val="99"/>
    <w:rsid w:val="002D5713"/>
    <w:rPr>
      <w:rFonts w:ascii="Tahoma" w:hAnsi="Tahoma" w:cs="Tahoma"/>
      <w:sz w:val="16"/>
      <w:szCs w:val="16"/>
    </w:rPr>
  </w:style>
  <w:style w:type="character" w:customStyle="1" w:styleId="BalloonTextChar">
    <w:name w:val="Balloon Text Char"/>
    <w:basedOn w:val="DefaultParagraphFont"/>
    <w:link w:val="BalloonText"/>
    <w:uiPriority w:val="99"/>
    <w:rsid w:val="002D5713"/>
    <w:rPr>
      <w:rFonts w:ascii="Tahoma" w:hAnsi="Tahoma" w:cs="Tahoma"/>
      <w:sz w:val="16"/>
      <w:szCs w:val="16"/>
    </w:rPr>
  </w:style>
  <w:style w:type="character" w:styleId="CommentReference">
    <w:name w:val="annotation reference"/>
    <w:basedOn w:val="DefaultParagraphFont"/>
    <w:uiPriority w:val="99"/>
    <w:unhideWhenUsed/>
    <w:rsid w:val="002D5713"/>
    <w:rPr>
      <w:sz w:val="16"/>
      <w:szCs w:val="16"/>
    </w:rPr>
  </w:style>
  <w:style w:type="paragraph" w:styleId="CommentText">
    <w:name w:val="annotation text"/>
    <w:basedOn w:val="Normal"/>
    <w:link w:val="CommentTextChar"/>
    <w:uiPriority w:val="99"/>
    <w:unhideWhenUsed/>
    <w:rsid w:val="002D571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D5713"/>
    <w:rPr>
      <w:rFonts w:asciiTheme="minorHAnsi" w:eastAsiaTheme="minorHAnsi" w:hAnsiTheme="minorHAnsi" w:cstheme="minorBidi"/>
    </w:rPr>
  </w:style>
  <w:style w:type="numbering" w:styleId="111111">
    <w:name w:val="Outline List 2"/>
    <w:basedOn w:val="NoList"/>
    <w:rsid w:val="002D5713"/>
    <w:pPr>
      <w:numPr>
        <w:numId w:val="3"/>
      </w:numPr>
    </w:pPr>
  </w:style>
  <w:style w:type="numbering" w:styleId="1ai">
    <w:name w:val="Outline List 1"/>
    <w:basedOn w:val="NoList"/>
    <w:rsid w:val="002D5713"/>
    <w:pPr>
      <w:numPr>
        <w:numId w:val="5"/>
      </w:numPr>
    </w:pPr>
  </w:style>
  <w:style w:type="numbering" w:styleId="ArticleSection">
    <w:name w:val="Outline List 3"/>
    <w:basedOn w:val="NoList"/>
    <w:rsid w:val="002D5713"/>
    <w:pPr>
      <w:numPr>
        <w:numId w:val="6"/>
      </w:numPr>
    </w:pPr>
  </w:style>
  <w:style w:type="paragraph" w:styleId="BlockText">
    <w:name w:val="Block Text"/>
    <w:basedOn w:val="Normal"/>
    <w:uiPriority w:val="99"/>
    <w:unhideWhenUsed/>
    <w:rsid w:val="002D5713"/>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2D5713"/>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2D5713"/>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2D5713"/>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2D5713"/>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2D5713"/>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2D5713"/>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2D5713"/>
    <w:pPr>
      <w:ind w:firstLine="210"/>
    </w:pPr>
  </w:style>
  <w:style w:type="character" w:customStyle="1" w:styleId="BodyTextFirstIndent2Char">
    <w:name w:val="Body Text First Indent 2 Char"/>
    <w:basedOn w:val="BodyTextIndentChar"/>
    <w:link w:val="BodyTextFirstIndent2"/>
    <w:uiPriority w:val="99"/>
    <w:rsid w:val="002D5713"/>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2D5713"/>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2D5713"/>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2D5713"/>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2D5713"/>
    <w:rPr>
      <w:rFonts w:asciiTheme="minorHAnsi" w:eastAsiaTheme="minorHAnsi" w:hAnsiTheme="minorHAnsi"/>
      <w:sz w:val="16"/>
      <w:szCs w:val="16"/>
    </w:rPr>
  </w:style>
  <w:style w:type="paragraph" w:styleId="Closing">
    <w:name w:val="Closing"/>
    <w:basedOn w:val="Normal"/>
    <w:link w:val="ClosingChar"/>
    <w:uiPriority w:val="99"/>
    <w:unhideWhenUsed/>
    <w:rsid w:val="002D5713"/>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2D5713"/>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2D5713"/>
    <w:rPr>
      <w:rFonts w:asciiTheme="minorHAnsi" w:eastAsiaTheme="minorHAnsi" w:hAnsiTheme="minorHAnsi"/>
    </w:rPr>
  </w:style>
  <w:style w:type="character" w:customStyle="1" w:styleId="E-mailSignatureChar">
    <w:name w:val="E-mail Signature Char"/>
    <w:basedOn w:val="DefaultParagraphFont"/>
    <w:link w:val="E-mailSignature"/>
    <w:uiPriority w:val="99"/>
    <w:rsid w:val="002D5713"/>
    <w:rPr>
      <w:rFonts w:asciiTheme="minorHAnsi" w:eastAsiaTheme="minorHAnsi" w:hAnsiTheme="minorHAnsi"/>
      <w:sz w:val="24"/>
      <w:szCs w:val="24"/>
    </w:rPr>
  </w:style>
  <w:style w:type="character" w:styleId="Emphasis">
    <w:name w:val="Emphasis"/>
    <w:basedOn w:val="DefaultParagraphFont"/>
    <w:uiPriority w:val="20"/>
    <w:qFormat/>
    <w:rsid w:val="002D5713"/>
    <w:rPr>
      <w:rFonts w:asciiTheme="minorHAnsi" w:hAnsiTheme="minorHAnsi"/>
      <w:b/>
      <w:i/>
      <w:iCs/>
    </w:rPr>
  </w:style>
  <w:style w:type="paragraph" w:styleId="EnvelopeAddress">
    <w:name w:val="envelope address"/>
    <w:basedOn w:val="Normal"/>
    <w:uiPriority w:val="99"/>
    <w:unhideWhenUsed/>
    <w:rsid w:val="002D5713"/>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2D5713"/>
    <w:rPr>
      <w:rFonts w:ascii="Arial" w:eastAsiaTheme="minorHAnsi" w:hAnsi="Arial" w:cs="Arial"/>
      <w:sz w:val="20"/>
      <w:szCs w:val="20"/>
    </w:rPr>
  </w:style>
  <w:style w:type="character" w:styleId="FollowedHyperlink">
    <w:name w:val="FollowedHyperlink"/>
    <w:basedOn w:val="DefaultParagraphFont"/>
    <w:uiPriority w:val="99"/>
    <w:unhideWhenUsed/>
    <w:rsid w:val="002D5713"/>
    <w:rPr>
      <w:color w:val="800080"/>
      <w:u w:val="single"/>
    </w:rPr>
  </w:style>
  <w:style w:type="character" w:styleId="HTMLAcronym">
    <w:name w:val="HTML Acronym"/>
    <w:basedOn w:val="DefaultParagraphFont"/>
    <w:uiPriority w:val="99"/>
    <w:unhideWhenUsed/>
    <w:rsid w:val="002D5713"/>
  </w:style>
  <w:style w:type="paragraph" w:styleId="HTMLAddress">
    <w:name w:val="HTML Address"/>
    <w:basedOn w:val="Normal"/>
    <w:link w:val="HTMLAddressChar"/>
    <w:uiPriority w:val="99"/>
    <w:unhideWhenUsed/>
    <w:rsid w:val="002D5713"/>
    <w:rPr>
      <w:rFonts w:asciiTheme="minorHAnsi" w:eastAsiaTheme="minorHAnsi" w:hAnsiTheme="minorHAnsi"/>
      <w:i/>
      <w:iCs/>
    </w:rPr>
  </w:style>
  <w:style w:type="character" w:customStyle="1" w:styleId="HTMLAddressChar">
    <w:name w:val="HTML Address Char"/>
    <w:basedOn w:val="DefaultParagraphFont"/>
    <w:link w:val="HTMLAddress"/>
    <w:uiPriority w:val="99"/>
    <w:rsid w:val="002D5713"/>
    <w:rPr>
      <w:rFonts w:asciiTheme="minorHAnsi" w:eastAsiaTheme="minorHAnsi" w:hAnsiTheme="minorHAnsi"/>
      <w:i/>
      <w:iCs/>
      <w:sz w:val="24"/>
      <w:szCs w:val="24"/>
    </w:rPr>
  </w:style>
  <w:style w:type="character" w:styleId="HTMLCite">
    <w:name w:val="HTML Cite"/>
    <w:basedOn w:val="DefaultParagraphFont"/>
    <w:uiPriority w:val="99"/>
    <w:unhideWhenUsed/>
    <w:rsid w:val="002D5713"/>
    <w:rPr>
      <w:i/>
      <w:iCs/>
    </w:rPr>
  </w:style>
  <w:style w:type="character" w:styleId="HTMLCode">
    <w:name w:val="HTML Code"/>
    <w:basedOn w:val="DefaultParagraphFont"/>
    <w:uiPriority w:val="99"/>
    <w:unhideWhenUsed/>
    <w:rsid w:val="002D5713"/>
    <w:rPr>
      <w:rFonts w:ascii="Courier New" w:hAnsi="Courier New" w:cs="Courier New"/>
      <w:sz w:val="20"/>
      <w:szCs w:val="20"/>
    </w:rPr>
  </w:style>
  <w:style w:type="character" w:styleId="HTMLDefinition">
    <w:name w:val="HTML Definition"/>
    <w:basedOn w:val="DefaultParagraphFont"/>
    <w:uiPriority w:val="99"/>
    <w:unhideWhenUsed/>
    <w:rsid w:val="002D5713"/>
    <w:rPr>
      <w:i/>
      <w:iCs/>
    </w:rPr>
  </w:style>
  <w:style w:type="character" w:styleId="HTMLKeyboard">
    <w:name w:val="HTML Keyboard"/>
    <w:basedOn w:val="DefaultParagraphFont"/>
    <w:uiPriority w:val="99"/>
    <w:unhideWhenUsed/>
    <w:rsid w:val="002D5713"/>
    <w:rPr>
      <w:rFonts w:ascii="Courier New" w:hAnsi="Courier New" w:cs="Courier New"/>
      <w:sz w:val="20"/>
      <w:szCs w:val="20"/>
    </w:rPr>
  </w:style>
  <w:style w:type="paragraph" w:styleId="HTMLPreformatted">
    <w:name w:val="HTML Preformatted"/>
    <w:basedOn w:val="Normal"/>
    <w:link w:val="HTMLPreformattedChar"/>
    <w:uiPriority w:val="99"/>
    <w:unhideWhenUsed/>
    <w:rsid w:val="002D5713"/>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2D5713"/>
    <w:rPr>
      <w:rFonts w:ascii="Courier New" w:eastAsiaTheme="minorHAnsi" w:hAnsi="Courier New" w:cs="Courier New"/>
    </w:rPr>
  </w:style>
  <w:style w:type="character" w:styleId="HTMLSample">
    <w:name w:val="HTML Sample"/>
    <w:basedOn w:val="DefaultParagraphFont"/>
    <w:uiPriority w:val="99"/>
    <w:unhideWhenUsed/>
    <w:rsid w:val="002D5713"/>
    <w:rPr>
      <w:rFonts w:ascii="Courier New" w:hAnsi="Courier New" w:cs="Courier New"/>
    </w:rPr>
  </w:style>
  <w:style w:type="character" w:styleId="HTMLTypewriter">
    <w:name w:val="HTML Typewriter"/>
    <w:basedOn w:val="DefaultParagraphFont"/>
    <w:uiPriority w:val="99"/>
    <w:unhideWhenUsed/>
    <w:rsid w:val="002D5713"/>
    <w:rPr>
      <w:rFonts w:ascii="Courier New" w:hAnsi="Courier New" w:cs="Courier New"/>
      <w:sz w:val="20"/>
      <w:szCs w:val="20"/>
    </w:rPr>
  </w:style>
  <w:style w:type="character" w:styleId="HTMLVariable">
    <w:name w:val="HTML Variable"/>
    <w:basedOn w:val="DefaultParagraphFont"/>
    <w:uiPriority w:val="99"/>
    <w:unhideWhenUsed/>
    <w:rsid w:val="002D5713"/>
    <w:rPr>
      <w:i/>
      <w:iCs/>
    </w:rPr>
  </w:style>
  <w:style w:type="character" w:styleId="LineNumber">
    <w:name w:val="line number"/>
    <w:basedOn w:val="DefaultParagraphFont"/>
    <w:uiPriority w:val="99"/>
    <w:unhideWhenUsed/>
    <w:rsid w:val="002D5713"/>
  </w:style>
  <w:style w:type="paragraph" w:styleId="List">
    <w:name w:val="List"/>
    <w:basedOn w:val="Normal"/>
    <w:uiPriority w:val="99"/>
    <w:unhideWhenUsed/>
    <w:rsid w:val="002D5713"/>
    <w:pPr>
      <w:ind w:left="360" w:hanging="360"/>
    </w:pPr>
    <w:rPr>
      <w:rFonts w:asciiTheme="minorHAnsi" w:eastAsiaTheme="minorHAnsi" w:hAnsiTheme="minorHAnsi"/>
    </w:rPr>
  </w:style>
  <w:style w:type="paragraph" w:styleId="List2">
    <w:name w:val="List 2"/>
    <w:basedOn w:val="Normal"/>
    <w:uiPriority w:val="99"/>
    <w:unhideWhenUsed/>
    <w:rsid w:val="002D5713"/>
    <w:pPr>
      <w:ind w:left="720" w:hanging="360"/>
    </w:pPr>
    <w:rPr>
      <w:rFonts w:asciiTheme="minorHAnsi" w:eastAsiaTheme="minorHAnsi" w:hAnsiTheme="minorHAnsi"/>
    </w:rPr>
  </w:style>
  <w:style w:type="paragraph" w:styleId="List3">
    <w:name w:val="List 3"/>
    <w:basedOn w:val="Normal"/>
    <w:uiPriority w:val="99"/>
    <w:unhideWhenUsed/>
    <w:rsid w:val="002D5713"/>
    <w:pPr>
      <w:ind w:left="1080" w:hanging="360"/>
    </w:pPr>
    <w:rPr>
      <w:rFonts w:asciiTheme="minorHAnsi" w:eastAsiaTheme="minorHAnsi" w:hAnsiTheme="minorHAnsi"/>
    </w:rPr>
  </w:style>
  <w:style w:type="paragraph" w:styleId="List4">
    <w:name w:val="List 4"/>
    <w:basedOn w:val="Normal"/>
    <w:uiPriority w:val="99"/>
    <w:unhideWhenUsed/>
    <w:rsid w:val="002D5713"/>
    <w:pPr>
      <w:ind w:left="1440" w:hanging="360"/>
    </w:pPr>
    <w:rPr>
      <w:rFonts w:asciiTheme="minorHAnsi" w:eastAsiaTheme="minorHAnsi" w:hAnsiTheme="minorHAnsi"/>
    </w:rPr>
  </w:style>
  <w:style w:type="paragraph" w:styleId="List5">
    <w:name w:val="List 5"/>
    <w:basedOn w:val="Normal"/>
    <w:uiPriority w:val="99"/>
    <w:unhideWhenUsed/>
    <w:rsid w:val="002D5713"/>
    <w:pPr>
      <w:ind w:left="1800" w:hanging="360"/>
    </w:pPr>
    <w:rPr>
      <w:rFonts w:asciiTheme="minorHAnsi" w:eastAsiaTheme="minorHAnsi" w:hAnsiTheme="minorHAnsi"/>
    </w:rPr>
  </w:style>
  <w:style w:type="paragraph" w:styleId="ListBullet">
    <w:name w:val="List Bullet"/>
    <w:basedOn w:val="Normal"/>
    <w:uiPriority w:val="99"/>
    <w:unhideWhenUsed/>
    <w:rsid w:val="002D5713"/>
    <w:pPr>
      <w:numPr>
        <w:numId w:val="8"/>
      </w:numPr>
    </w:pPr>
    <w:rPr>
      <w:rFonts w:asciiTheme="minorHAnsi" w:eastAsiaTheme="minorHAnsi" w:hAnsiTheme="minorHAnsi"/>
    </w:rPr>
  </w:style>
  <w:style w:type="paragraph" w:styleId="ListBullet2">
    <w:name w:val="List Bullet 2"/>
    <w:basedOn w:val="Normal"/>
    <w:uiPriority w:val="99"/>
    <w:unhideWhenUsed/>
    <w:rsid w:val="002D5713"/>
    <w:pPr>
      <w:numPr>
        <w:numId w:val="9"/>
      </w:numPr>
    </w:pPr>
    <w:rPr>
      <w:rFonts w:asciiTheme="minorHAnsi" w:eastAsiaTheme="minorHAnsi" w:hAnsiTheme="minorHAnsi"/>
    </w:rPr>
  </w:style>
  <w:style w:type="paragraph" w:styleId="ListBullet3">
    <w:name w:val="List Bullet 3"/>
    <w:basedOn w:val="Normal"/>
    <w:uiPriority w:val="99"/>
    <w:unhideWhenUsed/>
    <w:rsid w:val="002D5713"/>
    <w:pPr>
      <w:numPr>
        <w:numId w:val="10"/>
      </w:numPr>
    </w:pPr>
    <w:rPr>
      <w:rFonts w:asciiTheme="minorHAnsi" w:eastAsiaTheme="minorHAnsi" w:hAnsiTheme="minorHAnsi"/>
    </w:rPr>
  </w:style>
  <w:style w:type="paragraph" w:styleId="ListBullet4">
    <w:name w:val="List Bullet 4"/>
    <w:basedOn w:val="Normal"/>
    <w:uiPriority w:val="99"/>
    <w:unhideWhenUsed/>
    <w:rsid w:val="002D5713"/>
    <w:pPr>
      <w:numPr>
        <w:numId w:val="11"/>
      </w:numPr>
    </w:pPr>
    <w:rPr>
      <w:rFonts w:asciiTheme="minorHAnsi" w:eastAsiaTheme="minorHAnsi" w:hAnsiTheme="minorHAnsi"/>
    </w:rPr>
  </w:style>
  <w:style w:type="paragraph" w:styleId="ListBullet5">
    <w:name w:val="List Bullet 5"/>
    <w:basedOn w:val="Normal"/>
    <w:uiPriority w:val="99"/>
    <w:unhideWhenUsed/>
    <w:rsid w:val="002D5713"/>
    <w:pPr>
      <w:numPr>
        <w:numId w:val="12"/>
      </w:numPr>
    </w:pPr>
    <w:rPr>
      <w:rFonts w:asciiTheme="minorHAnsi" w:eastAsiaTheme="minorHAnsi" w:hAnsiTheme="minorHAnsi"/>
    </w:rPr>
  </w:style>
  <w:style w:type="paragraph" w:styleId="ListContinue">
    <w:name w:val="List Continue"/>
    <w:basedOn w:val="Normal"/>
    <w:uiPriority w:val="99"/>
    <w:unhideWhenUsed/>
    <w:rsid w:val="002D5713"/>
    <w:pPr>
      <w:spacing w:after="120"/>
      <w:ind w:left="360"/>
    </w:pPr>
    <w:rPr>
      <w:rFonts w:asciiTheme="minorHAnsi" w:eastAsiaTheme="minorHAnsi" w:hAnsiTheme="minorHAnsi"/>
    </w:rPr>
  </w:style>
  <w:style w:type="paragraph" w:styleId="ListContinue2">
    <w:name w:val="List Continue 2"/>
    <w:basedOn w:val="Normal"/>
    <w:uiPriority w:val="99"/>
    <w:unhideWhenUsed/>
    <w:rsid w:val="002D5713"/>
    <w:pPr>
      <w:spacing w:after="120"/>
      <w:ind w:left="720"/>
    </w:pPr>
    <w:rPr>
      <w:rFonts w:asciiTheme="minorHAnsi" w:eastAsiaTheme="minorHAnsi" w:hAnsiTheme="minorHAnsi"/>
    </w:rPr>
  </w:style>
  <w:style w:type="paragraph" w:styleId="ListContinue3">
    <w:name w:val="List Continue 3"/>
    <w:basedOn w:val="Normal"/>
    <w:uiPriority w:val="99"/>
    <w:unhideWhenUsed/>
    <w:rsid w:val="002D5713"/>
    <w:pPr>
      <w:spacing w:after="120"/>
      <w:ind w:left="1080"/>
    </w:pPr>
    <w:rPr>
      <w:rFonts w:asciiTheme="minorHAnsi" w:eastAsiaTheme="minorHAnsi" w:hAnsiTheme="minorHAnsi"/>
    </w:rPr>
  </w:style>
  <w:style w:type="paragraph" w:styleId="ListContinue4">
    <w:name w:val="List Continue 4"/>
    <w:basedOn w:val="Normal"/>
    <w:uiPriority w:val="99"/>
    <w:unhideWhenUsed/>
    <w:rsid w:val="002D5713"/>
    <w:pPr>
      <w:spacing w:after="120"/>
      <w:ind w:left="1440"/>
    </w:pPr>
    <w:rPr>
      <w:rFonts w:asciiTheme="minorHAnsi" w:eastAsiaTheme="minorHAnsi" w:hAnsiTheme="minorHAnsi"/>
    </w:rPr>
  </w:style>
  <w:style w:type="paragraph" w:styleId="ListContinue5">
    <w:name w:val="List Continue 5"/>
    <w:basedOn w:val="Normal"/>
    <w:uiPriority w:val="99"/>
    <w:unhideWhenUsed/>
    <w:rsid w:val="002D5713"/>
    <w:pPr>
      <w:spacing w:after="120"/>
      <w:ind w:left="1800"/>
    </w:pPr>
    <w:rPr>
      <w:rFonts w:asciiTheme="minorHAnsi" w:eastAsiaTheme="minorHAnsi" w:hAnsiTheme="minorHAnsi"/>
    </w:rPr>
  </w:style>
  <w:style w:type="paragraph" w:styleId="ListNumber">
    <w:name w:val="List Number"/>
    <w:basedOn w:val="Normal"/>
    <w:uiPriority w:val="99"/>
    <w:unhideWhenUsed/>
    <w:rsid w:val="002D5713"/>
    <w:pPr>
      <w:numPr>
        <w:numId w:val="13"/>
      </w:numPr>
    </w:pPr>
    <w:rPr>
      <w:rFonts w:asciiTheme="minorHAnsi" w:eastAsiaTheme="minorHAnsi" w:hAnsiTheme="minorHAnsi"/>
    </w:rPr>
  </w:style>
  <w:style w:type="paragraph" w:styleId="ListNumber2">
    <w:name w:val="List Number 2"/>
    <w:basedOn w:val="Normal"/>
    <w:uiPriority w:val="99"/>
    <w:unhideWhenUsed/>
    <w:rsid w:val="002D5713"/>
    <w:pPr>
      <w:numPr>
        <w:numId w:val="14"/>
      </w:numPr>
    </w:pPr>
    <w:rPr>
      <w:rFonts w:asciiTheme="minorHAnsi" w:eastAsiaTheme="minorHAnsi" w:hAnsiTheme="minorHAnsi"/>
    </w:rPr>
  </w:style>
  <w:style w:type="paragraph" w:styleId="ListNumber3">
    <w:name w:val="List Number 3"/>
    <w:basedOn w:val="Normal"/>
    <w:uiPriority w:val="99"/>
    <w:unhideWhenUsed/>
    <w:rsid w:val="002D5713"/>
    <w:pPr>
      <w:numPr>
        <w:numId w:val="15"/>
      </w:numPr>
    </w:pPr>
    <w:rPr>
      <w:rFonts w:asciiTheme="minorHAnsi" w:eastAsiaTheme="minorHAnsi" w:hAnsiTheme="minorHAnsi"/>
    </w:rPr>
  </w:style>
  <w:style w:type="paragraph" w:styleId="ListNumber4">
    <w:name w:val="List Number 4"/>
    <w:basedOn w:val="Normal"/>
    <w:uiPriority w:val="99"/>
    <w:unhideWhenUsed/>
    <w:rsid w:val="002D5713"/>
    <w:pPr>
      <w:numPr>
        <w:numId w:val="16"/>
      </w:numPr>
    </w:pPr>
    <w:rPr>
      <w:rFonts w:asciiTheme="minorHAnsi" w:eastAsiaTheme="minorHAnsi" w:hAnsiTheme="minorHAnsi"/>
    </w:rPr>
  </w:style>
  <w:style w:type="paragraph" w:styleId="ListNumber5">
    <w:name w:val="List Number 5"/>
    <w:basedOn w:val="Normal"/>
    <w:uiPriority w:val="99"/>
    <w:unhideWhenUsed/>
    <w:rsid w:val="002D5713"/>
    <w:pPr>
      <w:numPr>
        <w:numId w:val="17"/>
      </w:numPr>
    </w:pPr>
    <w:rPr>
      <w:rFonts w:asciiTheme="minorHAnsi" w:eastAsiaTheme="minorHAnsi" w:hAnsiTheme="minorHAnsi"/>
    </w:rPr>
  </w:style>
  <w:style w:type="paragraph" w:styleId="MessageHeader">
    <w:name w:val="Message Header"/>
    <w:basedOn w:val="Normal"/>
    <w:link w:val="MessageHeaderChar"/>
    <w:uiPriority w:val="99"/>
    <w:unhideWhenUsed/>
    <w:rsid w:val="002D571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2D5713"/>
    <w:rPr>
      <w:rFonts w:ascii="Arial" w:eastAsiaTheme="minorHAnsi" w:hAnsi="Arial" w:cs="Arial"/>
      <w:sz w:val="24"/>
      <w:szCs w:val="24"/>
      <w:shd w:val="pct20" w:color="auto" w:fill="auto"/>
    </w:rPr>
  </w:style>
  <w:style w:type="paragraph" w:styleId="NormalWeb">
    <w:name w:val="Normal (Web)"/>
    <w:basedOn w:val="Normal"/>
    <w:uiPriority w:val="99"/>
    <w:unhideWhenUsed/>
    <w:rsid w:val="002D5713"/>
    <w:rPr>
      <w:rFonts w:asciiTheme="minorHAnsi" w:eastAsiaTheme="minorHAnsi" w:hAnsiTheme="minorHAnsi"/>
    </w:rPr>
  </w:style>
  <w:style w:type="paragraph" w:styleId="NormalIndent">
    <w:name w:val="Normal Indent"/>
    <w:basedOn w:val="Normal"/>
    <w:uiPriority w:val="99"/>
    <w:unhideWhenUsed/>
    <w:rsid w:val="002D5713"/>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2D5713"/>
    <w:rPr>
      <w:rFonts w:asciiTheme="minorHAnsi" w:eastAsiaTheme="minorHAnsi" w:hAnsiTheme="minorHAnsi"/>
    </w:rPr>
  </w:style>
  <w:style w:type="character" w:customStyle="1" w:styleId="NoteHeadingChar">
    <w:name w:val="Note Heading Char"/>
    <w:basedOn w:val="DefaultParagraphFont"/>
    <w:link w:val="NoteHeading"/>
    <w:uiPriority w:val="99"/>
    <w:rsid w:val="002D5713"/>
    <w:rPr>
      <w:rFonts w:asciiTheme="minorHAnsi" w:eastAsiaTheme="minorHAnsi" w:hAnsiTheme="minorHAnsi"/>
      <w:sz w:val="24"/>
      <w:szCs w:val="24"/>
    </w:rPr>
  </w:style>
  <w:style w:type="paragraph" w:styleId="PlainText">
    <w:name w:val="Plain Text"/>
    <w:basedOn w:val="Normal"/>
    <w:link w:val="PlainTextChar"/>
    <w:uiPriority w:val="99"/>
    <w:unhideWhenUsed/>
    <w:rsid w:val="002D5713"/>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2D5713"/>
    <w:rPr>
      <w:rFonts w:ascii="Courier New" w:eastAsiaTheme="minorHAnsi" w:hAnsi="Courier New" w:cs="Courier New"/>
    </w:rPr>
  </w:style>
  <w:style w:type="paragraph" w:styleId="Salutation">
    <w:name w:val="Salutation"/>
    <w:basedOn w:val="Normal"/>
    <w:next w:val="Normal"/>
    <w:link w:val="SalutationChar"/>
    <w:uiPriority w:val="99"/>
    <w:unhideWhenUsed/>
    <w:rsid w:val="002D5713"/>
    <w:rPr>
      <w:rFonts w:asciiTheme="minorHAnsi" w:eastAsiaTheme="minorHAnsi" w:hAnsiTheme="minorHAnsi"/>
    </w:rPr>
  </w:style>
  <w:style w:type="character" w:customStyle="1" w:styleId="SalutationChar">
    <w:name w:val="Salutation Char"/>
    <w:basedOn w:val="DefaultParagraphFont"/>
    <w:link w:val="Salutation"/>
    <w:uiPriority w:val="99"/>
    <w:rsid w:val="002D5713"/>
    <w:rPr>
      <w:rFonts w:asciiTheme="minorHAnsi" w:eastAsiaTheme="minorHAnsi" w:hAnsiTheme="minorHAnsi"/>
      <w:sz w:val="24"/>
      <w:szCs w:val="24"/>
    </w:rPr>
  </w:style>
  <w:style w:type="paragraph" w:styleId="Signature">
    <w:name w:val="Signature"/>
    <w:basedOn w:val="Normal"/>
    <w:link w:val="SignatureChar"/>
    <w:uiPriority w:val="99"/>
    <w:unhideWhenUsed/>
    <w:rsid w:val="002D5713"/>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2D5713"/>
    <w:rPr>
      <w:rFonts w:asciiTheme="minorHAnsi" w:eastAsiaTheme="minorHAnsi" w:hAnsiTheme="minorHAnsi"/>
      <w:sz w:val="24"/>
      <w:szCs w:val="24"/>
    </w:rPr>
  </w:style>
  <w:style w:type="paragraph" w:styleId="Subtitle">
    <w:name w:val="Subtitle"/>
    <w:basedOn w:val="Normal"/>
    <w:next w:val="Normal"/>
    <w:link w:val="SubtitleChar"/>
    <w:uiPriority w:val="11"/>
    <w:qFormat/>
    <w:rsid w:val="002D5713"/>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2D5713"/>
    <w:rPr>
      <w:rFonts w:asciiTheme="majorHAnsi" w:eastAsiaTheme="majorEastAsia" w:hAnsiTheme="majorHAnsi" w:cs="Arial"/>
      <w:sz w:val="24"/>
      <w:szCs w:val="24"/>
    </w:rPr>
  </w:style>
  <w:style w:type="table" w:styleId="Table3Deffects1">
    <w:name w:val="Table 3D effects 1"/>
    <w:basedOn w:val="TableNormal"/>
    <w:rsid w:val="002D5713"/>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5713"/>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5713"/>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5713"/>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5713"/>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5713"/>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5713"/>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5713"/>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5713"/>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5713"/>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5713"/>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5713"/>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5713"/>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5713"/>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5713"/>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D5713"/>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5713"/>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D5713"/>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D5713"/>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D5713"/>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5713"/>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5713"/>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5713"/>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5713"/>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5713"/>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5713"/>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5713"/>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5713"/>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5713"/>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5713"/>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5713"/>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5713"/>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5713"/>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D5713"/>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D5713"/>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5713"/>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5713"/>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5713"/>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5713"/>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D571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D5713"/>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5713"/>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5713"/>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D5713"/>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2D5713"/>
    <w:rPr>
      <w:rFonts w:asciiTheme="majorHAnsi" w:eastAsiaTheme="majorEastAsia" w:hAnsiTheme="majorHAnsi" w:cs="Arial"/>
      <w:b/>
      <w:bCs/>
      <w:kern w:val="28"/>
      <w:sz w:val="32"/>
      <w:szCs w:val="32"/>
    </w:rPr>
  </w:style>
  <w:style w:type="paragraph" w:styleId="Caption">
    <w:name w:val="caption"/>
    <w:basedOn w:val="Normal"/>
    <w:next w:val="Normal"/>
    <w:uiPriority w:val="35"/>
    <w:rsid w:val="002D5713"/>
    <w:rPr>
      <w:rFonts w:asciiTheme="minorHAnsi" w:eastAsiaTheme="minorHAnsi" w:hAnsiTheme="minorHAnsi"/>
      <w:b/>
      <w:bCs/>
      <w:sz w:val="20"/>
      <w:szCs w:val="20"/>
    </w:rPr>
  </w:style>
  <w:style w:type="paragraph" w:styleId="CommentSubject">
    <w:name w:val="annotation subject"/>
    <w:basedOn w:val="CommentText"/>
    <w:next w:val="CommentText"/>
    <w:link w:val="CommentSubjectChar"/>
    <w:uiPriority w:val="99"/>
    <w:unhideWhenUsed/>
    <w:rsid w:val="002D5713"/>
    <w:pPr>
      <w:spacing w:after="0"/>
    </w:pPr>
    <w:rPr>
      <w:rFonts w:cs="Times New Roman"/>
      <w:b/>
      <w:bCs/>
    </w:rPr>
  </w:style>
  <w:style w:type="character" w:customStyle="1" w:styleId="CommentSubjectChar">
    <w:name w:val="Comment Subject Char"/>
    <w:basedOn w:val="CommentTextChar"/>
    <w:link w:val="CommentSubject"/>
    <w:uiPriority w:val="99"/>
    <w:rsid w:val="002D5713"/>
    <w:rPr>
      <w:rFonts w:asciiTheme="minorHAnsi" w:eastAsiaTheme="minorHAnsi" w:hAnsiTheme="minorHAnsi" w:cstheme="minorBidi"/>
      <w:b/>
      <w:bCs/>
    </w:rPr>
  </w:style>
  <w:style w:type="paragraph" w:styleId="DocumentMap">
    <w:name w:val="Document Map"/>
    <w:basedOn w:val="Normal"/>
    <w:link w:val="DocumentMapChar"/>
    <w:uiPriority w:val="99"/>
    <w:unhideWhenUsed/>
    <w:rsid w:val="002D5713"/>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2D5713"/>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2D5713"/>
    <w:rPr>
      <w:vertAlign w:val="superscript"/>
    </w:rPr>
  </w:style>
  <w:style w:type="paragraph" w:styleId="EndnoteText">
    <w:name w:val="endnote text"/>
    <w:basedOn w:val="Normal"/>
    <w:link w:val="EndnoteTextChar"/>
    <w:uiPriority w:val="99"/>
    <w:unhideWhenUsed/>
    <w:rsid w:val="002D5713"/>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2D5713"/>
    <w:rPr>
      <w:rFonts w:asciiTheme="minorHAnsi" w:eastAsiaTheme="minorHAnsi" w:hAnsiTheme="minorHAnsi"/>
    </w:rPr>
  </w:style>
  <w:style w:type="paragraph" w:styleId="Index1">
    <w:name w:val="index 1"/>
    <w:basedOn w:val="Normal"/>
    <w:next w:val="Normal"/>
    <w:autoRedefine/>
    <w:uiPriority w:val="99"/>
    <w:unhideWhenUsed/>
    <w:rsid w:val="002D5713"/>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2D5713"/>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2D5713"/>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2D5713"/>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2D5713"/>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2D5713"/>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2D5713"/>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2D5713"/>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2D5713"/>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2D5713"/>
    <w:rPr>
      <w:rFonts w:ascii="Arial" w:eastAsiaTheme="minorHAnsi" w:hAnsi="Arial" w:cs="Arial"/>
      <w:b/>
      <w:bCs/>
    </w:rPr>
  </w:style>
  <w:style w:type="paragraph" w:styleId="MacroText">
    <w:name w:val="macro"/>
    <w:link w:val="MacroTextChar"/>
    <w:uiPriority w:val="99"/>
    <w:unhideWhenUsed/>
    <w:rsid w:val="002D5713"/>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2D5713"/>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2D5713"/>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2D5713"/>
    <w:rPr>
      <w:rFonts w:asciiTheme="minorHAnsi" w:eastAsiaTheme="minorHAnsi" w:hAnsiTheme="minorHAnsi"/>
    </w:rPr>
  </w:style>
  <w:style w:type="paragraph" w:styleId="TOAHeading">
    <w:name w:val="toa heading"/>
    <w:basedOn w:val="Normal"/>
    <w:next w:val="Normal"/>
    <w:uiPriority w:val="99"/>
    <w:unhideWhenUsed/>
    <w:rsid w:val="002D5713"/>
    <w:pPr>
      <w:spacing w:before="120"/>
    </w:pPr>
    <w:rPr>
      <w:rFonts w:ascii="Arial" w:eastAsiaTheme="minorHAnsi" w:hAnsi="Arial" w:cs="Arial"/>
      <w:b/>
      <w:bCs/>
    </w:rPr>
  </w:style>
  <w:style w:type="paragraph" w:styleId="TOC1">
    <w:name w:val="toc 1"/>
    <w:basedOn w:val="Normal"/>
    <w:next w:val="Normal"/>
    <w:autoRedefine/>
    <w:uiPriority w:val="99"/>
    <w:unhideWhenUsed/>
    <w:rsid w:val="002D5713"/>
    <w:rPr>
      <w:rFonts w:asciiTheme="minorHAnsi" w:eastAsiaTheme="minorHAnsi" w:hAnsiTheme="minorHAnsi"/>
    </w:rPr>
  </w:style>
  <w:style w:type="paragraph" w:styleId="TOC2">
    <w:name w:val="toc 2"/>
    <w:basedOn w:val="Normal"/>
    <w:next w:val="Normal"/>
    <w:autoRedefine/>
    <w:uiPriority w:val="99"/>
    <w:unhideWhenUsed/>
    <w:rsid w:val="002D5713"/>
    <w:pPr>
      <w:ind w:left="240"/>
    </w:pPr>
    <w:rPr>
      <w:rFonts w:asciiTheme="minorHAnsi" w:eastAsiaTheme="minorHAnsi" w:hAnsiTheme="minorHAnsi"/>
    </w:rPr>
  </w:style>
  <w:style w:type="paragraph" w:styleId="TOC3">
    <w:name w:val="toc 3"/>
    <w:basedOn w:val="Normal"/>
    <w:next w:val="Normal"/>
    <w:autoRedefine/>
    <w:uiPriority w:val="99"/>
    <w:unhideWhenUsed/>
    <w:rsid w:val="002D5713"/>
    <w:pPr>
      <w:ind w:left="480"/>
    </w:pPr>
    <w:rPr>
      <w:rFonts w:asciiTheme="minorHAnsi" w:eastAsiaTheme="minorHAnsi" w:hAnsiTheme="minorHAnsi"/>
    </w:rPr>
  </w:style>
  <w:style w:type="paragraph" w:styleId="TOC4">
    <w:name w:val="toc 4"/>
    <w:basedOn w:val="Normal"/>
    <w:next w:val="Normal"/>
    <w:autoRedefine/>
    <w:uiPriority w:val="99"/>
    <w:unhideWhenUsed/>
    <w:rsid w:val="002D5713"/>
    <w:pPr>
      <w:ind w:left="720"/>
    </w:pPr>
    <w:rPr>
      <w:rFonts w:asciiTheme="minorHAnsi" w:eastAsiaTheme="minorHAnsi" w:hAnsiTheme="minorHAnsi"/>
    </w:rPr>
  </w:style>
  <w:style w:type="paragraph" w:styleId="TOC5">
    <w:name w:val="toc 5"/>
    <w:basedOn w:val="Normal"/>
    <w:next w:val="Normal"/>
    <w:autoRedefine/>
    <w:uiPriority w:val="99"/>
    <w:unhideWhenUsed/>
    <w:rsid w:val="002D5713"/>
    <w:pPr>
      <w:ind w:left="960"/>
    </w:pPr>
    <w:rPr>
      <w:rFonts w:asciiTheme="minorHAnsi" w:eastAsiaTheme="minorHAnsi" w:hAnsiTheme="minorHAnsi"/>
    </w:rPr>
  </w:style>
  <w:style w:type="paragraph" w:styleId="TOC6">
    <w:name w:val="toc 6"/>
    <w:basedOn w:val="Normal"/>
    <w:next w:val="Normal"/>
    <w:autoRedefine/>
    <w:uiPriority w:val="99"/>
    <w:unhideWhenUsed/>
    <w:rsid w:val="002D5713"/>
    <w:pPr>
      <w:ind w:left="1200"/>
    </w:pPr>
    <w:rPr>
      <w:rFonts w:asciiTheme="minorHAnsi" w:eastAsiaTheme="minorHAnsi" w:hAnsiTheme="minorHAnsi"/>
    </w:rPr>
  </w:style>
  <w:style w:type="paragraph" w:styleId="TOC7">
    <w:name w:val="toc 7"/>
    <w:basedOn w:val="Normal"/>
    <w:next w:val="Normal"/>
    <w:autoRedefine/>
    <w:uiPriority w:val="99"/>
    <w:unhideWhenUsed/>
    <w:rsid w:val="002D5713"/>
    <w:pPr>
      <w:ind w:left="1440"/>
    </w:pPr>
    <w:rPr>
      <w:rFonts w:asciiTheme="minorHAnsi" w:eastAsiaTheme="minorHAnsi" w:hAnsiTheme="minorHAnsi"/>
    </w:rPr>
  </w:style>
  <w:style w:type="paragraph" w:styleId="TOC8">
    <w:name w:val="toc 8"/>
    <w:basedOn w:val="Normal"/>
    <w:next w:val="Normal"/>
    <w:autoRedefine/>
    <w:uiPriority w:val="99"/>
    <w:unhideWhenUsed/>
    <w:rsid w:val="002D5713"/>
    <w:pPr>
      <w:ind w:left="1680"/>
    </w:pPr>
    <w:rPr>
      <w:rFonts w:asciiTheme="minorHAnsi" w:eastAsiaTheme="minorHAnsi" w:hAnsiTheme="minorHAnsi"/>
    </w:rPr>
  </w:style>
  <w:style w:type="paragraph" w:styleId="TOC9">
    <w:name w:val="toc 9"/>
    <w:basedOn w:val="Normal"/>
    <w:next w:val="Normal"/>
    <w:autoRedefine/>
    <w:uiPriority w:val="99"/>
    <w:unhideWhenUsed/>
    <w:rsid w:val="002D5713"/>
    <w:pPr>
      <w:ind w:left="1920"/>
    </w:pPr>
    <w:rPr>
      <w:rFonts w:asciiTheme="minorHAnsi" w:eastAsiaTheme="minorHAnsi" w:hAnsiTheme="minorHAnsi"/>
    </w:rPr>
  </w:style>
  <w:style w:type="paragraph" w:styleId="Quote">
    <w:name w:val="Quote"/>
    <w:basedOn w:val="Normal"/>
    <w:next w:val="Normal"/>
    <w:link w:val="QuoteChar"/>
    <w:uiPriority w:val="29"/>
    <w:qFormat/>
    <w:rsid w:val="002D5713"/>
    <w:rPr>
      <w:rFonts w:asciiTheme="minorHAnsi" w:eastAsiaTheme="minorHAnsi" w:hAnsiTheme="minorHAnsi"/>
      <w:i/>
    </w:rPr>
  </w:style>
  <w:style w:type="character" w:customStyle="1" w:styleId="QuoteChar">
    <w:name w:val="Quote Char"/>
    <w:basedOn w:val="DefaultParagraphFont"/>
    <w:link w:val="Quote"/>
    <w:uiPriority w:val="29"/>
    <w:rsid w:val="002D5713"/>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2D5713"/>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2D5713"/>
    <w:rPr>
      <w:rFonts w:asciiTheme="minorHAnsi" w:eastAsiaTheme="minorHAnsi" w:hAnsiTheme="minorHAnsi"/>
      <w:b/>
      <w:i/>
      <w:sz w:val="24"/>
      <w:szCs w:val="22"/>
    </w:rPr>
  </w:style>
  <w:style w:type="character" w:styleId="SubtleEmphasis">
    <w:name w:val="Subtle Emphasis"/>
    <w:uiPriority w:val="19"/>
    <w:qFormat/>
    <w:rsid w:val="002D5713"/>
    <w:rPr>
      <w:i/>
      <w:color w:val="5A5A5A" w:themeColor="text1" w:themeTint="A5"/>
    </w:rPr>
  </w:style>
  <w:style w:type="character" w:styleId="IntenseEmphasis">
    <w:name w:val="Intense Emphasis"/>
    <w:basedOn w:val="DefaultParagraphFont"/>
    <w:uiPriority w:val="21"/>
    <w:qFormat/>
    <w:rsid w:val="002D5713"/>
    <w:rPr>
      <w:b/>
      <w:i/>
      <w:sz w:val="24"/>
      <w:szCs w:val="24"/>
      <w:u w:val="single"/>
    </w:rPr>
  </w:style>
  <w:style w:type="character" w:styleId="SubtleReference">
    <w:name w:val="Subtle Reference"/>
    <w:basedOn w:val="DefaultParagraphFont"/>
    <w:uiPriority w:val="31"/>
    <w:qFormat/>
    <w:rsid w:val="002D5713"/>
    <w:rPr>
      <w:sz w:val="24"/>
      <w:szCs w:val="24"/>
      <w:u w:val="single"/>
    </w:rPr>
  </w:style>
  <w:style w:type="character" w:styleId="IntenseReference">
    <w:name w:val="Intense Reference"/>
    <w:basedOn w:val="DefaultParagraphFont"/>
    <w:uiPriority w:val="32"/>
    <w:qFormat/>
    <w:rsid w:val="002D5713"/>
    <w:rPr>
      <w:b/>
      <w:sz w:val="24"/>
      <w:u w:val="single"/>
    </w:rPr>
  </w:style>
  <w:style w:type="character" w:styleId="BookTitle">
    <w:name w:val="Book Title"/>
    <w:basedOn w:val="DefaultParagraphFont"/>
    <w:uiPriority w:val="33"/>
    <w:qFormat/>
    <w:rsid w:val="002D571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5713"/>
    <w:pPr>
      <w:numPr>
        <w:numId w:val="0"/>
      </w:numPr>
      <w:spacing w:before="240" w:after="60"/>
      <w:jc w:val="left"/>
      <w:outlineLvl w:val="9"/>
    </w:pPr>
    <w:rPr>
      <w:rFonts w:asciiTheme="majorHAnsi" w:eastAsiaTheme="majorEastAsia" w:hAnsiTheme="majorHAnsi"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character" w:customStyle="1" w:styleId="FootnoteTextChar">
    <w:name w:val="Footnote Text Char"/>
    <w:basedOn w:val="DefaultParagraphFont"/>
    <w:link w:val="FootnoteText"/>
    <w:uiPriority w:val="99"/>
    <w:rsid w:val="00B17A8F"/>
  </w:style>
  <w:style w:type="character" w:customStyle="1" w:styleId="FooterChar">
    <w:name w:val="Footer Char"/>
    <w:basedOn w:val="DefaultParagraphFont"/>
    <w:link w:val="Footer"/>
    <w:uiPriority w:val="99"/>
    <w:rsid w:val="002D5713"/>
    <w:rPr>
      <w:sz w:val="24"/>
      <w:szCs w:val="24"/>
    </w:rPr>
  </w:style>
  <w:style w:type="character" w:customStyle="1" w:styleId="HeaderChar">
    <w:name w:val="Header Char"/>
    <w:basedOn w:val="DefaultParagraphFont"/>
    <w:link w:val="Header"/>
    <w:uiPriority w:val="99"/>
    <w:rsid w:val="002D5713"/>
    <w:rPr>
      <w:sz w:val="24"/>
      <w:szCs w:val="24"/>
    </w:rPr>
  </w:style>
  <w:style w:type="paragraph" w:customStyle="1" w:styleId="Level2">
    <w:name w:val="Level 2"/>
    <w:rsid w:val="002D5713"/>
    <w:pPr>
      <w:autoSpaceDE w:val="0"/>
      <w:autoSpaceDN w:val="0"/>
      <w:adjustRightInd w:val="0"/>
      <w:ind w:left="1440"/>
    </w:pPr>
    <w:rPr>
      <w:sz w:val="24"/>
      <w:szCs w:val="24"/>
    </w:rPr>
  </w:style>
  <w:style w:type="paragraph" w:styleId="ListParagraph">
    <w:name w:val="List Paragraph"/>
    <w:basedOn w:val="Normal"/>
    <w:uiPriority w:val="34"/>
    <w:qFormat/>
    <w:rsid w:val="002D5713"/>
    <w:pPr>
      <w:ind w:left="720"/>
      <w:contextualSpacing/>
    </w:pPr>
  </w:style>
  <w:style w:type="paragraph" w:styleId="Date">
    <w:name w:val="Date"/>
    <w:basedOn w:val="Normal"/>
    <w:next w:val="Normal"/>
    <w:link w:val="DateChar"/>
    <w:uiPriority w:val="99"/>
    <w:unhideWhenUsed/>
    <w:rsid w:val="002D5713"/>
    <w:rPr>
      <w:rFonts w:ascii="Calibri" w:eastAsia="Calibri" w:hAnsi="Calibri"/>
    </w:rPr>
  </w:style>
  <w:style w:type="character" w:customStyle="1" w:styleId="DateChar">
    <w:name w:val="Date Char"/>
    <w:basedOn w:val="DefaultParagraphFont"/>
    <w:link w:val="Date"/>
    <w:uiPriority w:val="99"/>
    <w:rsid w:val="002D5713"/>
    <w:rPr>
      <w:rFonts w:ascii="Calibri" w:eastAsia="Calibri" w:hAnsi="Calibri"/>
      <w:sz w:val="24"/>
      <w:szCs w:val="24"/>
    </w:rPr>
  </w:style>
  <w:style w:type="paragraph" w:styleId="BodyText2">
    <w:name w:val="Body Text 2"/>
    <w:basedOn w:val="Normal"/>
    <w:link w:val="BodyText2Char"/>
    <w:uiPriority w:val="99"/>
    <w:rsid w:val="002D5713"/>
    <w:pPr>
      <w:spacing w:line="480" w:lineRule="auto"/>
      <w:ind w:firstLine="720"/>
      <w:jc w:val="both"/>
    </w:pPr>
  </w:style>
  <w:style w:type="character" w:customStyle="1" w:styleId="BodyText2Char">
    <w:name w:val="Body Text 2 Char"/>
    <w:basedOn w:val="DefaultParagraphFont"/>
    <w:link w:val="BodyText2"/>
    <w:uiPriority w:val="99"/>
    <w:rsid w:val="002D5713"/>
    <w:rPr>
      <w:sz w:val="24"/>
      <w:szCs w:val="24"/>
    </w:rPr>
  </w:style>
  <w:style w:type="character" w:customStyle="1" w:styleId="WitnessandExhibitTableHeader">
    <w:name w:val="Witness and Exhibit Table Header"/>
    <w:rsid w:val="002D5713"/>
    <w:rPr>
      <w:u w:val="single"/>
    </w:rPr>
  </w:style>
  <w:style w:type="paragraph" w:customStyle="1" w:styleId="PrehearingBody">
    <w:name w:val="Prehearing Body"/>
    <w:basedOn w:val="Normal"/>
    <w:link w:val="PrehearingBodyCharChar"/>
    <w:rsid w:val="002D5713"/>
    <w:pPr>
      <w:spacing w:after="240"/>
      <w:ind w:firstLine="720"/>
      <w:jc w:val="both"/>
    </w:pPr>
    <w:rPr>
      <w:lang w:val="x-none" w:eastAsia="x-none"/>
    </w:rPr>
  </w:style>
  <w:style w:type="character" w:customStyle="1" w:styleId="PrehearingBodyCharChar">
    <w:name w:val="Prehearing Body Char Char"/>
    <w:link w:val="PrehearingBody"/>
    <w:rsid w:val="002D5713"/>
    <w:rPr>
      <w:sz w:val="24"/>
      <w:szCs w:val="24"/>
      <w:lang w:val="x-none" w:eastAsia="x-none"/>
    </w:rPr>
  </w:style>
  <w:style w:type="paragraph" w:styleId="NoSpacing">
    <w:name w:val="No Spacing"/>
    <w:uiPriority w:val="1"/>
    <w:qFormat/>
    <w:rsid w:val="002D5713"/>
    <w:rPr>
      <w:rFonts w:eastAsiaTheme="minorHAnsi" w:cstheme="minorBidi"/>
      <w:sz w:val="24"/>
      <w:szCs w:val="22"/>
    </w:rPr>
  </w:style>
  <w:style w:type="paragraph" w:customStyle="1" w:styleId="PrehearingHeading">
    <w:name w:val="Prehearing Heading"/>
    <w:basedOn w:val="Normal"/>
    <w:next w:val="Normal"/>
    <w:link w:val="PrehearingHeadingChar"/>
    <w:rsid w:val="002D5713"/>
    <w:pPr>
      <w:spacing w:after="480"/>
      <w:jc w:val="center"/>
    </w:pPr>
  </w:style>
  <w:style w:type="paragraph" w:customStyle="1" w:styleId="PrehearingHeader">
    <w:name w:val="Prehearing Header"/>
    <w:basedOn w:val="Header"/>
    <w:rsid w:val="002D5713"/>
    <w:pPr>
      <w:jc w:val="both"/>
    </w:pPr>
  </w:style>
  <w:style w:type="paragraph" w:customStyle="1" w:styleId="PrehearingDocketInfo">
    <w:name w:val="Prehearing Docket Info"/>
    <w:rsid w:val="002D5713"/>
    <w:rPr>
      <w:sz w:val="24"/>
      <w:szCs w:val="24"/>
    </w:rPr>
  </w:style>
  <w:style w:type="paragraph" w:customStyle="1" w:styleId="PrehearingSectionHeading">
    <w:name w:val="Prehearing Section Heading"/>
    <w:basedOn w:val="Heading2"/>
    <w:next w:val="PrehearingBody"/>
    <w:rsid w:val="002D5713"/>
  </w:style>
  <w:style w:type="character" w:customStyle="1" w:styleId="PrehearingSection">
    <w:name w:val="Prehearing Section"/>
    <w:rsid w:val="002D5713"/>
    <w:rPr>
      <w:u w:val="single"/>
    </w:rPr>
  </w:style>
  <w:style w:type="character" w:customStyle="1" w:styleId="PrehearingHeadingChar">
    <w:name w:val="Prehearing Heading Char"/>
    <w:link w:val="PrehearingHeading"/>
    <w:rsid w:val="002D5713"/>
    <w:rPr>
      <w:sz w:val="24"/>
      <w:szCs w:val="24"/>
    </w:rPr>
  </w:style>
  <w:style w:type="paragraph" w:customStyle="1" w:styleId="Attorney">
    <w:name w:val="Attorney"/>
    <w:basedOn w:val="Normal"/>
    <w:rsid w:val="002D5713"/>
    <w:pPr>
      <w:jc w:val="both"/>
    </w:pPr>
  </w:style>
  <w:style w:type="character" w:styleId="Strong">
    <w:name w:val="Strong"/>
    <w:basedOn w:val="DefaultParagraphFont"/>
    <w:uiPriority w:val="22"/>
    <w:qFormat/>
    <w:rsid w:val="002D5713"/>
    <w:rPr>
      <w:b/>
      <w:bCs/>
    </w:rPr>
  </w:style>
  <w:style w:type="character" w:styleId="Hyperlink">
    <w:name w:val="Hyperlink"/>
    <w:basedOn w:val="DefaultParagraphFont"/>
    <w:uiPriority w:val="99"/>
    <w:unhideWhenUsed/>
    <w:rsid w:val="002D5713"/>
    <w:rPr>
      <w:color w:val="0000FF" w:themeColor="hyperlink"/>
      <w:u w:val="single"/>
    </w:rPr>
  </w:style>
  <w:style w:type="paragraph" w:styleId="BalloonText">
    <w:name w:val="Balloon Text"/>
    <w:basedOn w:val="Normal"/>
    <w:link w:val="BalloonTextChar"/>
    <w:uiPriority w:val="99"/>
    <w:rsid w:val="002D5713"/>
    <w:rPr>
      <w:rFonts w:ascii="Tahoma" w:hAnsi="Tahoma" w:cs="Tahoma"/>
      <w:sz w:val="16"/>
      <w:szCs w:val="16"/>
    </w:rPr>
  </w:style>
  <w:style w:type="character" w:customStyle="1" w:styleId="BalloonTextChar">
    <w:name w:val="Balloon Text Char"/>
    <w:basedOn w:val="DefaultParagraphFont"/>
    <w:link w:val="BalloonText"/>
    <w:uiPriority w:val="99"/>
    <w:rsid w:val="002D5713"/>
    <w:rPr>
      <w:rFonts w:ascii="Tahoma" w:hAnsi="Tahoma" w:cs="Tahoma"/>
      <w:sz w:val="16"/>
      <w:szCs w:val="16"/>
    </w:rPr>
  </w:style>
  <w:style w:type="character" w:styleId="CommentReference">
    <w:name w:val="annotation reference"/>
    <w:basedOn w:val="DefaultParagraphFont"/>
    <w:uiPriority w:val="99"/>
    <w:unhideWhenUsed/>
    <w:rsid w:val="002D5713"/>
    <w:rPr>
      <w:sz w:val="16"/>
      <w:szCs w:val="16"/>
    </w:rPr>
  </w:style>
  <w:style w:type="paragraph" w:styleId="CommentText">
    <w:name w:val="annotation text"/>
    <w:basedOn w:val="Normal"/>
    <w:link w:val="CommentTextChar"/>
    <w:uiPriority w:val="99"/>
    <w:unhideWhenUsed/>
    <w:rsid w:val="002D571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D5713"/>
    <w:rPr>
      <w:rFonts w:asciiTheme="minorHAnsi" w:eastAsiaTheme="minorHAnsi" w:hAnsiTheme="minorHAnsi" w:cstheme="minorBidi"/>
    </w:rPr>
  </w:style>
  <w:style w:type="numbering" w:styleId="111111">
    <w:name w:val="Outline List 2"/>
    <w:basedOn w:val="NoList"/>
    <w:rsid w:val="002D5713"/>
    <w:pPr>
      <w:numPr>
        <w:numId w:val="3"/>
      </w:numPr>
    </w:pPr>
  </w:style>
  <w:style w:type="numbering" w:styleId="1ai">
    <w:name w:val="Outline List 1"/>
    <w:basedOn w:val="NoList"/>
    <w:rsid w:val="002D5713"/>
    <w:pPr>
      <w:numPr>
        <w:numId w:val="5"/>
      </w:numPr>
    </w:pPr>
  </w:style>
  <w:style w:type="numbering" w:styleId="ArticleSection">
    <w:name w:val="Outline List 3"/>
    <w:basedOn w:val="NoList"/>
    <w:rsid w:val="002D5713"/>
    <w:pPr>
      <w:numPr>
        <w:numId w:val="6"/>
      </w:numPr>
    </w:pPr>
  </w:style>
  <w:style w:type="paragraph" w:styleId="BlockText">
    <w:name w:val="Block Text"/>
    <w:basedOn w:val="Normal"/>
    <w:uiPriority w:val="99"/>
    <w:unhideWhenUsed/>
    <w:rsid w:val="002D5713"/>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2D5713"/>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2D5713"/>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2D5713"/>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2D5713"/>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2D5713"/>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2D5713"/>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2D5713"/>
    <w:pPr>
      <w:ind w:firstLine="210"/>
    </w:pPr>
  </w:style>
  <w:style w:type="character" w:customStyle="1" w:styleId="BodyTextFirstIndent2Char">
    <w:name w:val="Body Text First Indent 2 Char"/>
    <w:basedOn w:val="BodyTextIndentChar"/>
    <w:link w:val="BodyTextFirstIndent2"/>
    <w:uiPriority w:val="99"/>
    <w:rsid w:val="002D5713"/>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2D5713"/>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2D5713"/>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2D5713"/>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2D5713"/>
    <w:rPr>
      <w:rFonts w:asciiTheme="minorHAnsi" w:eastAsiaTheme="minorHAnsi" w:hAnsiTheme="minorHAnsi"/>
      <w:sz w:val="16"/>
      <w:szCs w:val="16"/>
    </w:rPr>
  </w:style>
  <w:style w:type="paragraph" w:styleId="Closing">
    <w:name w:val="Closing"/>
    <w:basedOn w:val="Normal"/>
    <w:link w:val="ClosingChar"/>
    <w:uiPriority w:val="99"/>
    <w:unhideWhenUsed/>
    <w:rsid w:val="002D5713"/>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2D5713"/>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2D5713"/>
    <w:rPr>
      <w:rFonts w:asciiTheme="minorHAnsi" w:eastAsiaTheme="minorHAnsi" w:hAnsiTheme="minorHAnsi"/>
    </w:rPr>
  </w:style>
  <w:style w:type="character" w:customStyle="1" w:styleId="E-mailSignatureChar">
    <w:name w:val="E-mail Signature Char"/>
    <w:basedOn w:val="DefaultParagraphFont"/>
    <w:link w:val="E-mailSignature"/>
    <w:uiPriority w:val="99"/>
    <w:rsid w:val="002D5713"/>
    <w:rPr>
      <w:rFonts w:asciiTheme="minorHAnsi" w:eastAsiaTheme="minorHAnsi" w:hAnsiTheme="minorHAnsi"/>
      <w:sz w:val="24"/>
      <w:szCs w:val="24"/>
    </w:rPr>
  </w:style>
  <w:style w:type="character" w:styleId="Emphasis">
    <w:name w:val="Emphasis"/>
    <w:basedOn w:val="DefaultParagraphFont"/>
    <w:uiPriority w:val="20"/>
    <w:qFormat/>
    <w:rsid w:val="002D5713"/>
    <w:rPr>
      <w:rFonts w:asciiTheme="minorHAnsi" w:hAnsiTheme="minorHAnsi"/>
      <w:b/>
      <w:i/>
      <w:iCs/>
    </w:rPr>
  </w:style>
  <w:style w:type="paragraph" w:styleId="EnvelopeAddress">
    <w:name w:val="envelope address"/>
    <w:basedOn w:val="Normal"/>
    <w:uiPriority w:val="99"/>
    <w:unhideWhenUsed/>
    <w:rsid w:val="002D5713"/>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2D5713"/>
    <w:rPr>
      <w:rFonts w:ascii="Arial" w:eastAsiaTheme="minorHAnsi" w:hAnsi="Arial" w:cs="Arial"/>
      <w:sz w:val="20"/>
      <w:szCs w:val="20"/>
    </w:rPr>
  </w:style>
  <w:style w:type="character" w:styleId="FollowedHyperlink">
    <w:name w:val="FollowedHyperlink"/>
    <w:basedOn w:val="DefaultParagraphFont"/>
    <w:uiPriority w:val="99"/>
    <w:unhideWhenUsed/>
    <w:rsid w:val="002D5713"/>
    <w:rPr>
      <w:color w:val="800080"/>
      <w:u w:val="single"/>
    </w:rPr>
  </w:style>
  <w:style w:type="character" w:styleId="HTMLAcronym">
    <w:name w:val="HTML Acronym"/>
    <w:basedOn w:val="DefaultParagraphFont"/>
    <w:uiPriority w:val="99"/>
    <w:unhideWhenUsed/>
    <w:rsid w:val="002D5713"/>
  </w:style>
  <w:style w:type="paragraph" w:styleId="HTMLAddress">
    <w:name w:val="HTML Address"/>
    <w:basedOn w:val="Normal"/>
    <w:link w:val="HTMLAddressChar"/>
    <w:uiPriority w:val="99"/>
    <w:unhideWhenUsed/>
    <w:rsid w:val="002D5713"/>
    <w:rPr>
      <w:rFonts w:asciiTheme="minorHAnsi" w:eastAsiaTheme="minorHAnsi" w:hAnsiTheme="minorHAnsi"/>
      <w:i/>
      <w:iCs/>
    </w:rPr>
  </w:style>
  <w:style w:type="character" w:customStyle="1" w:styleId="HTMLAddressChar">
    <w:name w:val="HTML Address Char"/>
    <w:basedOn w:val="DefaultParagraphFont"/>
    <w:link w:val="HTMLAddress"/>
    <w:uiPriority w:val="99"/>
    <w:rsid w:val="002D5713"/>
    <w:rPr>
      <w:rFonts w:asciiTheme="minorHAnsi" w:eastAsiaTheme="minorHAnsi" w:hAnsiTheme="minorHAnsi"/>
      <w:i/>
      <w:iCs/>
      <w:sz w:val="24"/>
      <w:szCs w:val="24"/>
    </w:rPr>
  </w:style>
  <w:style w:type="character" w:styleId="HTMLCite">
    <w:name w:val="HTML Cite"/>
    <w:basedOn w:val="DefaultParagraphFont"/>
    <w:uiPriority w:val="99"/>
    <w:unhideWhenUsed/>
    <w:rsid w:val="002D5713"/>
    <w:rPr>
      <w:i/>
      <w:iCs/>
    </w:rPr>
  </w:style>
  <w:style w:type="character" w:styleId="HTMLCode">
    <w:name w:val="HTML Code"/>
    <w:basedOn w:val="DefaultParagraphFont"/>
    <w:uiPriority w:val="99"/>
    <w:unhideWhenUsed/>
    <w:rsid w:val="002D5713"/>
    <w:rPr>
      <w:rFonts w:ascii="Courier New" w:hAnsi="Courier New" w:cs="Courier New"/>
      <w:sz w:val="20"/>
      <w:szCs w:val="20"/>
    </w:rPr>
  </w:style>
  <w:style w:type="character" w:styleId="HTMLDefinition">
    <w:name w:val="HTML Definition"/>
    <w:basedOn w:val="DefaultParagraphFont"/>
    <w:uiPriority w:val="99"/>
    <w:unhideWhenUsed/>
    <w:rsid w:val="002D5713"/>
    <w:rPr>
      <w:i/>
      <w:iCs/>
    </w:rPr>
  </w:style>
  <w:style w:type="character" w:styleId="HTMLKeyboard">
    <w:name w:val="HTML Keyboard"/>
    <w:basedOn w:val="DefaultParagraphFont"/>
    <w:uiPriority w:val="99"/>
    <w:unhideWhenUsed/>
    <w:rsid w:val="002D5713"/>
    <w:rPr>
      <w:rFonts w:ascii="Courier New" w:hAnsi="Courier New" w:cs="Courier New"/>
      <w:sz w:val="20"/>
      <w:szCs w:val="20"/>
    </w:rPr>
  </w:style>
  <w:style w:type="paragraph" w:styleId="HTMLPreformatted">
    <w:name w:val="HTML Preformatted"/>
    <w:basedOn w:val="Normal"/>
    <w:link w:val="HTMLPreformattedChar"/>
    <w:uiPriority w:val="99"/>
    <w:unhideWhenUsed/>
    <w:rsid w:val="002D5713"/>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2D5713"/>
    <w:rPr>
      <w:rFonts w:ascii="Courier New" w:eastAsiaTheme="minorHAnsi" w:hAnsi="Courier New" w:cs="Courier New"/>
    </w:rPr>
  </w:style>
  <w:style w:type="character" w:styleId="HTMLSample">
    <w:name w:val="HTML Sample"/>
    <w:basedOn w:val="DefaultParagraphFont"/>
    <w:uiPriority w:val="99"/>
    <w:unhideWhenUsed/>
    <w:rsid w:val="002D5713"/>
    <w:rPr>
      <w:rFonts w:ascii="Courier New" w:hAnsi="Courier New" w:cs="Courier New"/>
    </w:rPr>
  </w:style>
  <w:style w:type="character" w:styleId="HTMLTypewriter">
    <w:name w:val="HTML Typewriter"/>
    <w:basedOn w:val="DefaultParagraphFont"/>
    <w:uiPriority w:val="99"/>
    <w:unhideWhenUsed/>
    <w:rsid w:val="002D5713"/>
    <w:rPr>
      <w:rFonts w:ascii="Courier New" w:hAnsi="Courier New" w:cs="Courier New"/>
      <w:sz w:val="20"/>
      <w:szCs w:val="20"/>
    </w:rPr>
  </w:style>
  <w:style w:type="character" w:styleId="HTMLVariable">
    <w:name w:val="HTML Variable"/>
    <w:basedOn w:val="DefaultParagraphFont"/>
    <w:uiPriority w:val="99"/>
    <w:unhideWhenUsed/>
    <w:rsid w:val="002D5713"/>
    <w:rPr>
      <w:i/>
      <w:iCs/>
    </w:rPr>
  </w:style>
  <w:style w:type="character" w:styleId="LineNumber">
    <w:name w:val="line number"/>
    <w:basedOn w:val="DefaultParagraphFont"/>
    <w:uiPriority w:val="99"/>
    <w:unhideWhenUsed/>
    <w:rsid w:val="002D5713"/>
  </w:style>
  <w:style w:type="paragraph" w:styleId="List">
    <w:name w:val="List"/>
    <w:basedOn w:val="Normal"/>
    <w:uiPriority w:val="99"/>
    <w:unhideWhenUsed/>
    <w:rsid w:val="002D5713"/>
    <w:pPr>
      <w:ind w:left="360" w:hanging="360"/>
    </w:pPr>
    <w:rPr>
      <w:rFonts w:asciiTheme="minorHAnsi" w:eastAsiaTheme="minorHAnsi" w:hAnsiTheme="minorHAnsi"/>
    </w:rPr>
  </w:style>
  <w:style w:type="paragraph" w:styleId="List2">
    <w:name w:val="List 2"/>
    <w:basedOn w:val="Normal"/>
    <w:uiPriority w:val="99"/>
    <w:unhideWhenUsed/>
    <w:rsid w:val="002D5713"/>
    <w:pPr>
      <w:ind w:left="720" w:hanging="360"/>
    </w:pPr>
    <w:rPr>
      <w:rFonts w:asciiTheme="minorHAnsi" w:eastAsiaTheme="minorHAnsi" w:hAnsiTheme="minorHAnsi"/>
    </w:rPr>
  </w:style>
  <w:style w:type="paragraph" w:styleId="List3">
    <w:name w:val="List 3"/>
    <w:basedOn w:val="Normal"/>
    <w:uiPriority w:val="99"/>
    <w:unhideWhenUsed/>
    <w:rsid w:val="002D5713"/>
    <w:pPr>
      <w:ind w:left="1080" w:hanging="360"/>
    </w:pPr>
    <w:rPr>
      <w:rFonts w:asciiTheme="minorHAnsi" w:eastAsiaTheme="minorHAnsi" w:hAnsiTheme="minorHAnsi"/>
    </w:rPr>
  </w:style>
  <w:style w:type="paragraph" w:styleId="List4">
    <w:name w:val="List 4"/>
    <w:basedOn w:val="Normal"/>
    <w:uiPriority w:val="99"/>
    <w:unhideWhenUsed/>
    <w:rsid w:val="002D5713"/>
    <w:pPr>
      <w:ind w:left="1440" w:hanging="360"/>
    </w:pPr>
    <w:rPr>
      <w:rFonts w:asciiTheme="minorHAnsi" w:eastAsiaTheme="minorHAnsi" w:hAnsiTheme="minorHAnsi"/>
    </w:rPr>
  </w:style>
  <w:style w:type="paragraph" w:styleId="List5">
    <w:name w:val="List 5"/>
    <w:basedOn w:val="Normal"/>
    <w:uiPriority w:val="99"/>
    <w:unhideWhenUsed/>
    <w:rsid w:val="002D5713"/>
    <w:pPr>
      <w:ind w:left="1800" w:hanging="360"/>
    </w:pPr>
    <w:rPr>
      <w:rFonts w:asciiTheme="minorHAnsi" w:eastAsiaTheme="minorHAnsi" w:hAnsiTheme="minorHAnsi"/>
    </w:rPr>
  </w:style>
  <w:style w:type="paragraph" w:styleId="ListBullet">
    <w:name w:val="List Bullet"/>
    <w:basedOn w:val="Normal"/>
    <w:uiPriority w:val="99"/>
    <w:unhideWhenUsed/>
    <w:rsid w:val="002D5713"/>
    <w:pPr>
      <w:numPr>
        <w:numId w:val="8"/>
      </w:numPr>
    </w:pPr>
    <w:rPr>
      <w:rFonts w:asciiTheme="minorHAnsi" w:eastAsiaTheme="minorHAnsi" w:hAnsiTheme="minorHAnsi"/>
    </w:rPr>
  </w:style>
  <w:style w:type="paragraph" w:styleId="ListBullet2">
    <w:name w:val="List Bullet 2"/>
    <w:basedOn w:val="Normal"/>
    <w:uiPriority w:val="99"/>
    <w:unhideWhenUsed/>
    <w:rsid w:val="002D5713"/>
    <w:pPr>
      <w:numPr>
        <w:numId w:val="9"/>
      </w:numPr>
    </w:pPr>
    <w:rPr>
      <w:rFonts w:asciiTheme="minorHAnsi" w:eastAsiaTheme="minorHAnsi" w:hAnsiTheme="minorHAnsi"/>
    </w:rPr>
  </w:style>
  <w:style w:type="paragraph" w:styleId="ListBullet3">
    <w:name w:val="List Bullet 3"/>
    <w:basedOn w:val="Normal"/>
    <w:uiPriority w:val="99"/>
    <w:unhideWhenUsed/>
    <w:rsid w:val="002D5713"/>
    <w:pPr>
      <w:numPr>
        <w:numId w:val="10"/>
      </w:numPr>
    </w:pPr>
    <w:rPr>
      <w:rFonts w:asciiTheme="minorHAnsi" w:eastAsiaTheme="minorHAnsi" w:hAnsiTheme="minorHAnsi"/>
    </w:rPr>
  </w:style>
  <w:style w:type="paragraph" w:styleId="ListBullet4">
    <w:name w:val="List Bullet 4"/>
    <w:basedOn w:val="Normal"/>
    <w:uiPriority w:val="99"/>
    <w:unhideWhenUsed/>
    <w:rsid w:val="002D5713"/>
    <w:pPr>
      <w:numPr>
        <w:numId w:val="11"/>
      </w:numPr>
    </w:pPr>
    <w:rPr>
      <w:rFonts w:asciiTheme="minorHAnsi" w:eastAsiaTheme="minorHAnsi" w:hAnsiTheme="minorHAnsi"/>
    </w:rPr>
  </w:style>
  <w:style w:type="paragraph" w:styleId="ListBullet5">
    <w:name w:val="List Bullet 5"/>
    <w:basedOn w:val="Normal"/>
    <w:uiPriority w:val="99"/>
    <w:unhideWhenUsed/>
    <w:rsid w:val="002D5713"/>
    <w:pPr>
      <w:numPr>
        <w:numId w:val="12"/>
      </w:numPr>
    </w:pPr>
    <w:rPr>
      <w:rFonts w:asciiTheme="minorHAnsi" w:eastAsiaTheme="minorHAnsi" w:hAnsiTheme="minorHAnsi"/>
    </w:rPr>
  </w:style>
  <w:style w:type="paragraph" w:styleId="ListContinue">
    <w:name w:val="List Continue"/>
    <w:basedOn w:val="Normal"/>
    <w:uiPriority w:val="99"/>
    <w:unhideWhenUsed/>
    <w:rsid w:val="002D5713"/>
    <w:pPr>
      <w:spacing w:after="120"/>
      <w:ind w:left="360"/>
    </w:pPr>
    <w:rPr>
      <w:rFonts w:asciiTheme="minorHAnsi" w:eastAsiaTheme="minorHAnsi" w:hAnsiTheme="minorHAnsi"/>
    </w:rPr>
  </w:style>
  <w:style w:type="paragraph" w:styleId="ListContinue2">
    <w:name w:val="List Continue 2"/>
    <w:basedOn w:val="Normal"/>
    <w:uiPriority w:val="99"/>
    <w:unhideWhenUsed/>
    <w:rsid w:val="002D5713"/>
    <w:pPr>
      <w:spacing w:after="120"/>
      <w:ind w:left="720"/>
    </w:pPr>
    <w:rPr>
      <w:rFonts w:asciiTheme="minorHAnsi" w:eastAsiaTheme="minorHAnsi" w:hAnsiTheme="minorHAnsi"/>
    </w:rPr>
  </w:style>
  <w:style w:type="paragraph" w:styleId="ListContinue3">
    <w:name w:val="List Continue 3"/>
    <w:basedOn w:val="Normal"/>
    <w:uiPriority w:val="99"/>
    <w:unhideWhenUsed/>
    <w:rsid w:val="002D5713"/>
    <w:pPr>
      <w:spacing w:after="120"/>
      <w:ind w:left="1080"/>
    </w:pPr>
    <w:rPr>
      <w:rFonts w:asciiTheme="minorHAnsi" w:eastAsiaTheme="minorHAnsi" w:hAnsiTheme="minorHAnsi"/>
    </w:rPr>
  </w:style>
  <w:style w:type="paragraph" w:styleId="ListContinue4">
    <w:name w:val="List Continue 4"/>
    <w:basedOn w:val="Normal"/>
    <w:uiPriority w:val="99"/>
    <w:unhideWhenUsed/>
    <w:rsid w:val="002D5713"/>
    <w:pPr>
      <w:spacing w:after="120"/>
      <w:ind w:left="1440"/>
    </w:pPr>
    <w:rPr>
      <w:rFonts w:asciiTheme="minorHAnsi" w:eastAsiaTheme="minorHAnsi" w:hAnsiTheme="minorHAnsi"/>
    </w:rPr>
  </w:style>
  <w:style w:type="paragraph" w:styleId="ListContinue5">
    <w:name w:val="List Continue 5"/>
    <w:basedOn w:val="Normal"/>
    <w:uiPriority w:val="99"/>
    <w:unhideWhenUsed/>
    <w:rsid w:val="002D5713"/>
    <w:pPr>
      <w:spacing w:after="120"/>
      <w:ind w:left="1800"/>
    </w:pPr>
    <w:rPr>
      <w:rFonts w:asciiTheme="minorHAnsi" w:eastAsiaTheme="minorHAnsi" w:hAnsiTheme="minorHAnsi"/>
    </w:rPr>
  </w:style>
  <w:style w:type="paragraph" w:styleId="ListNumber">
    <w:name w:val="List Number"/>
    <w:basedOn w:val="Normal"/>
    <w:uiPriority w:val="99"/>
    <w:unhideWhenUsed/>
    <w:rsid w:val="002D5713"/>
    <w:pPr>
      <w:numPr>
        <w:numId w:val="13"/>
      </w:numPr>
    </w:pPr>
    <w:rPr>
      <w:rFonts w:asciiTheme="minorHAnsi" w:eastAsiaTheme="minorHAnsi" w:hAnsiTheme="minorHAnsi"/>
    </w:rPr>
  </w:style>
  <w:style w:type="paragraph" w:styleId="ListNumber2">
    <w:name w:val="List Number 2"/>
    <w:basedOn w:val="Normal"/>
    <w:uiPriority w:val="99"/>
    <w:unhideWhenUsed/>
    <w:rsid w:val="002D5713"/>
    <w:pPr>
      <w:numPr>
        <w:numId w:val="14"/>
      </w:numPr>
    </w:pPr>
    <w:rPr>
      <w:rFonts w:asciiTheme="minorHAnsi" w:eastAsiaTheme="minorHAnsi" w:hAnsiTheme="minorHAnsi"/>
    </w:rPr>
  </w:style>
  <w:style w:type="paragraph" w:styleId="ListNumber3">
    <w:name w:val="List Number 3"/>
    <w:basedOn w:val="Normal"/>
    <w:uiPriority w:val="99"/>
    <w:unhideWhenUsed/>
    <w:rsid w:val="002D5713"/>
    <w:pPr>
      <w:numPr>
        <w:numId w:val="15"/>
      </w:numPr>
    </w:pPr>
    <w:rPr>
      <w:rFonts w:asciiTheme="minorHAnsi" w:eastAsiaTheme="minorHAnsi" w:hAnsiTheme="minorHAnsi"/>
    </w:rPr>
  </w:style>
  <w:style w:type="paragraph" w:styleId="ListNumber4">
    <w:name w:val="List Number 4"/>
    <w:basedOn w:val="Normal"/>
    <w:uiPriority w:val="99"/>
    <w:unhideWhenUsed/>
    <w:rsid w:val="002D5713"/>
    <w:pPr>
      <w:numPr>
        <w:numId w:val="16"/>
      </w:numPr>
    </w:pPr>
    <w:rPr>
      <w:rFonts w:asciiTheme="minorHAnsi" w:eastAsiaTheme="minorHAnsi" w:hAnsiTheme="minorHAnsi"/>
    </w:rPr>
  </w:style>
  <w:style w:type="paragraph" w:styleId="ListNumber5">
    <w:name w:val="List Number 5"/>
    <w:basedOn w:val="Normal"/>
    <w:uiPriority w:val="99"/>
    <w:unhideWhenUsed/>
    <w:rsid w:val="002D5713"/>
    <w:pPr>
      <w:numPr>
        <w:numId w:val="17"/>
      </w:numPr>
    </w:pPr>
    <w:rPr>
      <w:rFonts w:asciiTheme="minorHAnsi" w:eastAsiaTheme="minorHAnsi" w:hAnsiTheme="minorHAnsi"/>
    </w:rPr>
  </w:style>
  <w:style w:type="paragraph" w:styleId="MessageHeader">
    <w:name w:val="Message Header"/>
    <w:basedOn w:val="Normal"/>
    <w:link w:val="MessageHeaderChar"/>
    <w:uiPriority w:val="99"/>
    <w:unhideWhenUsed/>
    <w:rsid w:val="002D571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2D5713"/>
    <w:rPr>
      <w:rFonts w:ascii="Arial" w:eastAsiaTheme="minorHAnsi" w:hAnsi="Arial" w:cs="Arial"/>
      <w:sz w:val="24"/>
      <w:szCs w:val="24"/>
      <w:shd w:val="pct20" w:color="auto" w:fill="auto"/>
    </w:rPr>
  </w:style>
  <w:style w:type="paragraph" w:styleId="NormalWeb">
    <w:name w:val="Normal (Web)"/>
    <w:basedOn w:val="Normal"/>
    <w:uiPriority w:val="99"/>
    <w:unhideWhenUsed/>
    <w:rsid w:val="002D5713"/>
    <w:rPr>
      <w:rFonts w:asciiTheme="minorHAnsi" w:eastAsiaTheme="minorHAnsi" w:hAnsiTheme="minorHAnsi"/>
    </w:rPr>
  </w:style>
  <w:style w:type="paragraph" w:styleId="NormalIndent">
    <w:name w:val="Normal Indent"/>
    <w:basedOn w:val="Normal"/>
    <w:uiPriority w:val="99"/>
    <w:unhideWhenUsed/>
    <w:rsid w:val="002D5713"/>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2D5713"/>
    <w:rPr>
      <w:rFonts w:asciiTheme="minorHAnsi" w:eastAsiaTheme="minorHAnsi" w:hAnsiTheme="minorHAnsi"/>
    </w:rPr>
  </w:style>
  <w:style w:type="character" w:customStyle="1" w:styleId="NoteHeadingChar">
    <w:name w:val="Note Heading Char"/>
    <w:basedOn w:val="DefaultParagraphFont"/>
    <w:link w:val="NoteHeading"/>
    <w:uiPriority w:val="99"/>
    <w:rsid w:val="002D5713"/>
    <w:rPr>
      <w:rFonts w:asciiTheme="minorHAnsi" w:eastAsiaTheme="minorHAnsi" w:hAnsiTheme="minorHAnsi"/>
      <w:sz w:val="24"/>
      <w:szCs w:val="24"/>
    </w:rPr>
  </w:style>
  <w:style w:type="paragraph" w:styleId="PlainText">
    <w:name w:val="Plain Text"/>
    <w:basedOn w:val="Normal"/>
    <w:link w:val="PlainTextChar"/>
    <w:uiPriority w:val="99"/>
    <w:unhideWhenUsed/>
    <w:rsid w:val="002D5713"/>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2D5713"/>
    <w:rPr>
      <w:rFonts w:ascii="Courier New" w:eastAsiaTheme="minorHAnsi" w:hAnsi="Courier New" w:cs="Courier New"/>
    </w:rPr>
  </w:style>
  <w:style w:type="paragraph" w:styleId="Salutation">
    <w:name w:val="Salutation"/>
    <w:basedOn w:val="Normal"/>
    <w:next w:val="Normal"/>
    <w:link w:val="SalutationChar"/>
    <w:uiPriority w:val="99"/>
    <w:unhideWhenUsed/>
    <w:rsid w:val="002D5713"/>
    <w:rPr>
      <w:rFonts w:asciiTheme="minorHAnsi" w:eastAsiaTheme="minorHAnsi" w:hAnsiTheme="minorHAnsi"/>
    </w:rPr>
  </w:style>
  <w:style w:type="character" w:customStyle="1" w:styleId="SalutationChar">
    <w:name w:val="Salutation Char"/>
    <w:basedOn w:val="DefaultParagraphFont"/>
    <w:link w:val="Salutation"/>
    <w:uiPriority w:val="99"/>
    <w:rsid w:val="002D5713"/>
    <w:rPr>
      <w:rFonts w:asciiTheme="minorHAnsi" w:eastAsiaTheme="minorHAnsi" w:hAnsiTheme="minorHAnsi"/>
      <w:sz w:val="24"/>
      <w:szCs w:val="24"/>
    </w:rPr>
  </w:style>
  <w:style w:type="paragraph" w:styleId="Signature">
    <w:name w:val="Signature"/>
    <w:basedOn w:val="Normal"/>
    <w:link w:val="SignatureChar"/>
    <w:uiPriority w:val="99"/>
    <w:unhideWhenUsed/>
    <w:rsid w:val="002D5713"/>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2D5713"/>
    <w:rPr>
      <w:rFonts w:asciiTheme="minorHAnsi" w:eastAsiaTheme="minorHAnsi" w:hAnsiTheme="minorHAnsi"/>
      <w:sz w:val="24"/>
      <w:szCs w:val="24"/>
    </w:rPr>
  </w:style>
  <w:style w:type="paragraph" w:styleId="Subtitle">
    <w:name w:val="Subtitle"/>
    <w:basedOn w:val="Normal"/>
    <w:next w:val="Normal"/>
    <w:link w:val="SubtitleChar"/>
    <w:uiPriority w:val="11"/>
    <w:qFormat/>
    <w:rsid w:val="002D5713"/>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2D5713"/>
    <w:rPr>
      <w:rFonts w:asciiTheme="majorHAnsi" w:eastAsiaTheme="majorEastAsia" w:hAnsiTheme="majorHAnsi" w:cs="Arial"/>
      <w:sz w:val="24"/>
      <w:szCs w:val="24"/>
    </w:rPr>
  </w:style>
  <w:style w:type="table" w:styleId="Table3Deffects1">
    <w:name w:val="Table 3D effects 1"/>
    <w:basedOn w:val="TableNormal"/>
    <w:rsid w:val="002D5713"/>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5713"/>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5713"/>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5713"/>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5713"/>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5713"/>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5713"/>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5713"/>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5713"/>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5713"/>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5713"/>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5713"/>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5713"/>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5713"/>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5713"/>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D5713"/>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5713"/>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D5713"/>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D5713"/>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D5713"/>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5713"/>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5713"/>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5713"/>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5713"/>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5713"/>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5713"/>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5713"/>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5713"/>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5713"/>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5713"/>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5713"/>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5713"/>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5713"/>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D5713"/>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D5713"/>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5713"/>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5713"/>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5713"/>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5713"/>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D571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D5713"/>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5713"/>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5713"/>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D5713"/>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2D5713"/>
    <w:rPr>
      <w:rFonts w:asciiTheme="majorHAnsi" w:eastAsiaTheme="majorEastAsia" w:hAnsiTheme="majorHAnsi" w:cs="Arial"/>
      <w:b/>
      <w:bCs/>
      <w:kern w:val="28"/>
      <w:sz w:val="32"/>
      <w:szCs w:val="32"/>
    </w:rPr>
  </w:style>
  <w:style w:type="paragraph" w:styleId="Caption">
    <w:name w:val="caption"/>
    <w:basedOn w:val="Normal"/>
    <w:next w:val="Normal"/>
    <w:uiPriority w:val="35"/>
    <w:rsid w:val="002D5713"/>
    <w:rPr>
      <w:rFonts w:asciiTheme="minorHAnsi" w:eastAsiaTheme="minorHAnsi" w:hAnsiTheme="minorHAnsi"/>
      <w:b/>
      <w:bCs/>
      <w:sz w:val="20"/>
      <w:szCs w:val="20"/>
    </w:rPr>
  </w:style>
  <w:style w:type="paragraph" w:styleId="CommentSubject">
    <w:name w:val="annotation subject"/>
    <w:basedOn w:val="CommentText"/>
    <w:next w:val="CommentText"/>
    <w:link w:val="CommentSubjectChar"/>
    <w:uiPriority w:val="99"/>
    <w:unhideWhenUsed/>
    <w:rsid w:val="002D5713"/>
    <w:pPr>
      <w:spacing w:after="0"/>
    </w:pPr>
    <w:rPr>
      <w:rFonts w:cs="Times New Roman"/>
      <w:b/>
      <w:bCs/>
    </w:rPr>
  </w:style>
  <w:style w:type="character" w:customStyle="1" w:styleId="CommentSubjectChar">
    <w:name w:val="Comment Subject Char"/>
    <w:basedOn w:val="CommentTextChar"/>
    <w:link w:val="CommentSubject"/>
    <w:uiPriority w:val="99"/>
    <w:rsid w:val="002D5713"/>
    <w:rPr>
      <w:rFonts w:asciiTheme="minorHAnsi" w:eastAsiaTheme="minorHAnsi" w:hAnsiTheme="minorHAnsi" w:cstheme="minorBidi"/>
      <w:b/>
      <w:bCs/>
    </w:rPr>
  </w:style>
  <w:style w:type="paragraph" w:styleId="DocumentMap">
    <w:name w:val="Document Map"/>
    <w:basedOn w:val="Normal"/>
    <w:link w:val="DocumentMapChar"/>
    <w:uiPriority w:val="99"/>
    <w:unhideWhenUsed/>
    <w:rsid w:val="002D5713"/>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2D5713"/>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2D5713"/>
    <w:rPr>
      <w:vertAlign w:val="superscript"/>
    </w:rPr>
  </w:style>
  <w:style w:type="paragraph" w:styleId="EndnoteText">
    <w:name w:val="endnote text"/>
    <w:basedOn w:val="Normal"/>
    <w:link w:val="EndnoteTextChar"/>
    <w:uiPriority w:val="99"/>
    <w:unhideWhenUsed/>
    <w:rsid w:val="002D5713"/>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2D5713"/>
    <w:rPr>
      <w:rFonts w:asciiTheme="minorHAnsi" w:eastAsiaTheme="minorHAnsi" w:hAnsiTheme="minorHAnsi"/>
    </w:rPr>
  </w:style>
  <w:style w:type="paragraph" w:styleId="Index1">
    <w:name w:val="index 1"/>
    <w:basedOn w:val="Normal"/>
    <w:next w:val="Normal"/>
    <w:autoRedefine/>
    <w:uiPriority w:val="99"/>
    <w:unhideWhenUsed/>
    <w:rsid w:val="002D5713"/>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2D5713"/>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2D5713"/>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2D5713"/>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2D5713"/>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2D5713"/>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2D5713"/>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2D5713"/>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2D5713"/>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2D5713"/>
    <w:rPr>
      <w:rFonts w:ascii="Arial" w:eastAsiaTheme="minorHAnsi" w:hAnsi="Arial" w:cs="Arial"/>
      <w:b/>
      <w:bCs/>
    </w:rPr>
  </w:style>
  <w:style w:type="paragraph" w:styleId="MacroText">
    <w:name w:val="macro"/>
    <w:link w:val="MacroTextChar"/>
    <w:uiPriority w:val="99"/>
    <w:unhideWhenUsed/>
    <w:rsid w:val="002D5713"/>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2D5713"/>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2D5713"/>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2D5713"/>
    <w:rPr>
      <w:rFonts w:asciiTheme="minorHAnsi" w:eastAsiaTheme="minorHAnsi" w:hAnsiTheme="minorHAnsi"/>
    </w:rPr>
  </w:style>
  <w:style w:type="paragraph" w:styleId="TOAHeading">
    <w:name w:val="toa heading"/>
    <w:basedOn w:val="Normal"/>
    <w:next w:val="Normal"/>
    <w:uiPriority w:val="99"/>
    <w:unhideWhenUsed/>
    <w:rsid w:val="002D5713"/>
    <w:pPr>
      <w:spacing w:before="120"/>
    </w:pPr>
    <w:rPr>
      <w:rFonts w:ascii="Arial" w:eastAsiaTheme="minorHAnsi" w:hAnsi="Arial" w:cs="Arial"/>
      <w:b/>
      <w:bCs/>
    </w:rPr>
  </w:style>
  <w:style w:type="paragraph" w:styleId="TOC1">
    <w:name w:val="toc 1"/>
    <w:basedOn w:val="Normal"/>
    <w:next w:val="Normal"/>
    <w:autoRedefine/>
    <w:uiPriority w:val="99"/>
    <w:unhideWhenUsed/>
    <w:rsid w:val="002D5713"/>
    <w:rPr>
      <w:rFonts w:asciiTheme="minorHAnsi" w:eastAsiaTheme="minorHAnsi" w:hAnsiTheme="minorHAnsi"/>
    </w:rPr>
  </w:style>
  <w:style w:type="paragraph" w:styleId="TOC2">
    <w:name w:val="toc 2"/>
    <w:basedOn w:val="Normal"/>
    <w:next w:val="Normal"/>
    <w:autoRedefine/>
    <w:uiPriority w:val="99"/>
    <w:unhideWhenUsed/>
    <w:rsid w:val="002D5713"/>
    <w:pPr>
      <w:ind w:left="240"/>
    </w:pPr>
    <w:rPr>
      <w:rFonts w:asciiTheme="minorHAnsi" w:eastAsiaTheme="minorHAnsi" w:hAnsiTheme="minorHAnsi"/>
    </w:rPr>
  </w:style>
  <w:style w:type="paragraph" w:styleId="TOC3">
    <w:name w:val="toc 3"/>
    <w:basedOn w:val="Normal"/>
    <w:next w:val="Normal"/>
    <w:autoRedefine/>
    <w:uiPriority w:val="99"/>
    <w:unhideWhenUsed/>
    <w:rsid w:val="002D5713"/>
    <w:pPr>
      <w:ind w:left="480"/>
    </w:pPr>
    <w:rPr>
      <w:rFonts w:asciiTheme="minorHAnsi" w:eastAsiaTheme="minorHAnsi" w:hAnsiTheme="minorHAnsi"/>
    </w:rPr>
  </w:style>
  <w:style w:type="paragraph" w:styleId="TOC4">
    <w:name w:val="toc 4"/>
    <w:basedOn w:val="Normal"/>
    <w:next w:val="Normal"/>
    <w:autoRedefine/>
    <w:uiPriority w:val="99"/>
    <w:unhideWhenUsed/>
    <w:rsid w:val="002D5713"/>
    <w:pPr>
      <w:ind w:left="720"/>
    </w:pPr>
    <w:rPr>
      <w:rFonts w:asciiTheme="minorHAnsi" w:eastAsiaTheme="minorHAnsi" w:hAnsiTheme="minorHAnsi"/>
    </w:rPr>
  </w:style>
  <w:style w:type="paragraph" w:styleId="TOC5">
    <w:name w:val="toc 5"/>
    <w:basedOn w:val="Normal"/>
    <w:next w:val="Normal"/>
    <w:autoRedefine/>
    <w:uiPriority w:val="99"/>
    <w:unhideWhenUsed/>
    <w:rsid w:val="002D5713"/>
    <w:pPr>
      <w:ind w:left="960"/>
    </w:pPr>
    <w:rPr>
      <w:rFonts w:asciiTheme="minorHAnsi" w:eastAsiaTheme="minorHAnsi" w:hAnsiTheme="minorHAnsi"/>
    </w:rPr>
  </w:style>
  <w:style w:type="paragraph" w:styleId="TOC6">
    <w:name w:val="toc 6"/>
    <w:basedOn w:val="Normal"/>
    <w:next w:val="Normal"/>
    <w:autoRedefine/>
    <w:uiPriority w:val="99"/>
    <w:unhideWhenUsed/>
    <w:rsid w:val="002D5713"/>
    <w:pPr>
      <w:ind w:left="1200"/>
    </w:pPr>
    <w:rPr>
      <w:rFonts w:asciiTheme="minorHAnsi" w:eastAsiaTheme="minorHAnsi" w:hAnsiTheme="minorHAnsi"/>
    </w:rPr>
  </w:style>
  <w:style w:type="paragraph" w:styleId="TOC7">
    <w:name w:val="toc 7"/>
    <w:basedOn w:val="Normal"/>
    <w:next w:val="Normal"/>
    <w:autoRedefine/>
    <w:uiPriority w:val="99"/>
    <w:unhideWhenUsed/>
    <w:rsid w:val="002D5713"/>
    <w:pPr>
      <w:ind w:left="1440"/>
    </w:pPr>
    <w:rPr>
      <w:rFonts w:asciiTheme="minorHAnsi" w:eastAsiaTheme="minorHAnsi" w:hAnsiTheme="minorHAnsi"/>
    </w:rPr>
  </w:style>
  <w:style w:type="paragraph" w:styleId="TOC8">
    <w:name w:val="toc 8"/>
    <w:basedOn w:val="Normal"/>
    <w:next w:val="Normal"/>
    <w:autoRedefine/>
    <w:uiPriority w:val="99"/>
    <w:unhideWhenUsed/>
    <w:rsid w:val="002D5713"/>
    <w:pPr>
      <w:ind w:left="1680"/>
    </w:pPr>
    <w:rPr>
      <w:rFonts w:asciiTheme="minorHAnsi" w:eastAsiaTheme="minorHAnsi" w:hAnsiTheme="minorHAnsi"/>
    </w:rPr>
  </w:style>
  <w:style w:type="paragraph" w:styleId="TOC9">
    <w:name w:val="toc 9"/>
    <w:basedOn w:val="Normal"/>
    <w:next w:val="Normal"/>
    <w:autoRedefine/>
    <w:uiPriority w:val="99"/>
    <w:unhideWhenUsed/>
    <w:rsid w:val="002D5713"/>
    <w:pPr>
      <w:ind w:left="1920"/>
    </w:pPr>
    <w:rPr>
      <w:rFonts w:asciiTheme="minorHAnsi" w:eastAsiaTheme="minorHAnsi" w:hAnsiTheme="minorHAnsi"/>
    </w:rPr>
  </w:style>
  <w:style w:type="paragraph" w:styleId="Quote">
    <w:name w:val="Quote"/>
    <w:basedOn w:val="Normal"/>
    <w:next w:val="Normal"/>
    <w:link w:val="QuoteChar"/>
    <w:uiPriority w:val="29"/>
    <w:qFormat/>
    <w:rsid w:val="002D5713"/>
    <w:rPr>
      <w:rFonts w:asciiTheme="minorHAnsi" w:eastAsiaTheme="minorHAnsi" w:hAnsiTheme="minorHAnsi"/>
      <w:i/>
    </w:rPr>
  </w:style>
  <w:style w:type="character" w:customStyle="1" w:styleId="QuoteChar">
    <w:name w:val="Quote Char"/>
    <w:basedOn w:val="DefaultParagraphFont"/>
    <w:link w:val="Quote"/>
    <w:uiPriority w:val="29"/>
    <w:rsid w:val="002D5713"/>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2D5713"/>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2D5713"/>
    <w:rPr>
      <w:rFonts w:asciiTheme="minorHAnsi" w:eastAsiaTheme="minorHAnsi" w:hAnsiTheme="minorHAnsi"/>
      <w:b/>
      <w:i/>
      <w:sz w:val="24"/>
      <w:szCs w:val="22"/>
    </w:rPr>
  </w:style>
  <w:style w:type="character" w:styleId="SubtleEmphasis">
    <w:name w:val="Subtle Emphasis"/>
    <w:uiPriority w:val="19"/>
    <w:qFormat/>
    <w:rsid w:val="002D5713"/>
    <w:rPr>
      <w:i/>
      <w:color w:val="5A5A5A" w:themeColor="text1" w:themeTint="A5"/>
    </w:rPr>
  </w:style>
  <w:style w:type="character" w:styleId="IntenseEmphasis">
    <w:name w:val="Intense Emphasis"/>
    <w:basedOn w:val="DefaultParagraphFont"/>
    <w:uiPriority w:val="21"/>
    <w:qFormat/>
    <w:rsid w:val="002D5713"/>
    <w:rPr>
      <w:b/>
      <w:i/>
      <w:sz w:val="24"/>
      <w:szCs w:val="24"/>
      <w:u w:val="single"/>
    </w:rPr>
  </w:style>
  <w:style w:type="character" w:styleId="SubtleReference">
    <w:name w:val="Subtle Reference"/>
    <w:basedOn w:val="DefaultParagraphFont"/>
    <w:uiPriority w:val="31"/>
    <w:qFormat/>
    <w:rsid w:val="002D5713"/>
    <w:rPr>
      <w:sz w:val="24"/>
      <w:szCs w:val="24"/>
      <w:u w:val="single"/>
    </w:rPr>
  </w:style>
  <w:style w:type="character" w:styleId="IntenseReference">
    <w:name w:val="Intense Reference"/>
    <w:basedOn w:val="DefaultParagraphFont"/>
    <w:uiPriority w:val="32"/>
    <w:qFormat/>
    <w:rsid w:val="002D5713"/>
    <w:rPr>
      <w:b/>
      <w:sz w:val="24"/>
      <w:u w:val="single"/>
    </w:rPr>
  </w:style>
  <w:style w:type="character" w:styleId="BookTitle">
    <w:name w:val="Book Title"/>
    <w:basedOn w:val="DefaultParagraphFont"/>
    <w:uiPriority w:val="33"/>
    <w:qFormat/>
    <w:rsid w:val="002D571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5713"/>
    <w:pPr>
      <w:numPr>
        <w:numId w:val="0"/>
      </w:numPr>
      <w:spacing w:before="240" w:after="60"/>
      <w:jc w:val="left"/>
      <w:outlineLvl w:val="9"/>
    </w:pPr>
    <w:rPr>
      <w:rFonts w:asciiTheme="majorHAnsi" w:eastAsiaTheme="majorEastAsia" w:hAnsiTheme="majorHAnsi"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8CCF-15BB-4C45-B4B6-0A31D746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38</Pages>
  <Words>9847</Words>
  <Characters>55495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2019-11-18T13:42:00Z</dcterms:created>
  <dcterms:modified xsi:type="dcterms:W3CDTF">2019-11-18T17:14:00Z</dcterms:modified>
</cp:coreProperties>
</file>