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165B94">
            <w:pPr>
              <w:pStyle w:val="MemoHeading"/>
            </w:pPr>
            <w:bookmarkStart w:id="1" w:name="FilingDate"/>
            <w:r>
              <w:t>November 26, 2019</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165B94" w:rsidRDefault="00165B94">
            <w:pPr>
              <w:pStyle w:val="MemoHeading"/>
            </w:pPr>
            <w:bookmarkStart w:id="2" w:name="From"/>
            <w:r>
              <w:t>Division of Economics (Ramos)</w:t>
            </w:r>
          </w:p>
          <w:p w:rsidR="00165B94" w:rsidRDefault="00165B94">
            <w:pPr>
              <w:pStyle w:val="MemoHeading"/>
            </w:pPr>
            <w:r>
              <w:t>Division of Accounting and Finance (</w:t>
            </w:r>
            <w:proofErr w:type="spellStart"/>
            <w:r>
              <w:t>Bulecza</w:t>
            </w:r>
            <w:proofErr w:type="spellEnd"/>
            <w:r>
              <w:t>-Banks, Buys, Smith II)</w:t>
            </w:r>
          </w:p>
          <w:p w:rsidR="00165B94" w:rsidRDefault="00165B94">
            <w:pPr>
              <w:pStyle w:val="MemoHeading"/>
            </w:pPr>
            <w:r>
              <w:t>Division of</w:t>
            </w:r>
            <w:r w:rsidR="008148DF">
              <w:t xml:space="preserve"> Engineering (Graves, Knoblauch</w:t>
            </w:r>
            <w:r>
              <w:t>)</w:t>
            </w:r>
          </w:p>
          <w:p w:rsidR="007C0528" w:rsidRDefault="00165B94">
            <w:pPr>
              <w:pStyle w:val="MemoHeading"/>
            </w:pPr>
            <w:r>
              <w:t>Office of the General Counsel (Simmons, Crawford)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165B94">
            <w:pPr>
              <w:pStyle w:val="MemoHeadingRe"/>
            </w:pPr>
            <w:bookmarkStart w:id="3" w:name="Re"/>
            <w:r>
              <w:t>Docket No. 20190031-WU – Application for increase in water rates in Highlands County by Placid Lakes Utilities,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165B94" w:rsidP="00771334">
            <w:pPr>
              <w:pStyle w:val="MemoHeading"/>
            </w:pPr>
            <w:bookmarkStart w:id="4" w:name="AgendaDate"/>
            <w:r>
              <w:t>12/10/19</w:t>
            </w:r>
            <w:bookmarkEnd w:id="4"/>
            <w:r w:rsidR="007C0528">
              <w:t xml:space="preserve"> – </w:t>
            </w:r>
            <w:bookmarkStart w:id="5" w:name="PermittedStatus"/>
            <w:r>
              <w:t xml:space="preserve">Regular Agenda </w:t>
            </w:r>
            <w:r w:rsidRPr="00165B94">
              <w:t>– Proposed Agency Action</w:t>
            </w:r>
            <w:r w:rsidR="00771334">
              <w:t>,</w:t>
            </w:r>
            <w:r w:rsidRPr="00165B94">
              <w:t xml:space="preserve">  Except for Issues 1</w:t>
            </w:r>
            <w:r w:rsidR="00771334">
              <w:t>5</w:t>
            </w:r>
            <w:r w:rsidRPr="00165B94">
              <w:t xml:space="preserve"> and 1</w:t>
            </w:r>
            <w:r w:rsidR="00771334">
              <w:t>6</w:t>
            </w:r>
            <w:r w:rsidR="006950C4">
              <w:t xml:space="preserve"> </w:t>
            </w:r>
            <w:r>
              <w:t>–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165B94">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165B94">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165B94">
            <w:pPr>
              <w:pStyle w:val="MemoHeading"/>
            </w:pPr>
            <w:r w:rsidRPr="00165B94">
              <w:t>5-Month Effective Date Waived Through 12/10/19</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165B94">
            <w:pPr>
              <w:pStyle w:val="MemoHeading"/>
            </w:pPr>
            <w:bookmarkStart w:id="9" w:name="SpecialInstructions"/>
            <w:r>
              <w:t>None</w:t>
            </w:r>
            <w:bookmarkEnd w:id="9"/>
          </w:p>
        </w:tc>
      </w:tr>
    </w:tbl>
    <w:p w:rsidR="007C0528" w:rsidRDefault="007C0528">
      <w:pPr>
        <w:pStyle w:val="BodyText"/>
      </w:pPr>
    </w:p>
    <w:p w:rsidR="00165B94" w:rsidRDefault="00165B94" w:rsidP="00165B94">
      <w:pPr>
        <w:pStyle w:val="RecommendationMajorSectionHeading"/>
      </w:pPr>
      <w:bookmarkStart w:id="10" w:name="RecToC"/>
      <w:bookmarkEnd w:id="10"/>
      <w:r>
        <w:br w:type="page"/>
      </w:r>
      <w:r>
        <w:lastRenderedPageBreak/>
        <w:t>Table of Contents</w:t>
      </w:r>
    </w:p>
    <w:p w:rsidR="00165B94" w:rsidRDefault="00165B94">
      <w:pPr>
        <w:pStyle w:val="TOCColumnHeadings"/>
      </w:pPr>
      <w:r>
        <w:t>Issue</w:t>
      </w:r>
      <w:r>
        <w:tab/>
        <w:t>Description</w:t>
      </w:r>
      <w:r>
        <w:tab/>
        <w:t>Page</w:t>
      </w:r>
    </w:p>
    <w:p w:rsidR="00F953FB" w:rsidRDefault="00165B94">
      <w:pPr>
        <w:pStyle w:val="TOC1"/>
        <w:rPr>
          <w:rFonts w:asciiTheme="minorHAnsi" w:eastAsiaTheme="minorEastAsia" w:hAnsiTheme="minorHAnsi" w:cstheme="minorBidi"/>
          <w:noProof/>
          <w:sz w:val="22"/>
          <w:szCs w:val="22"/>
        </w:rPr>
      </w:pPr>
      <w:r>
        <w:fldChar w:fldCharType="begin"/>
      </w:r>
      <w:r>
        <w:instrText xml:space="preserve"> TOC \f \h \w \z </w:instrText>
      </w:r>
      <w:r>
        <w:fldChar w:fldCharType="separate"/>
      </w:r>
      <w:hyperlink w:anchor="_Toc25305752" w:history="1">
        <w:r w:rsidR="00F953FB" w:rsidRPr="007A0918">
          <w:rPr>
            <w:rStyle w:val="Hyperlink"/>
            <w:noProof/>
          </w:rPr>
          <w:tab/>
          <w:t>Case Background</w:t>
        </w:r>
        <w:r w:rsidR="00F953FB">
          <w:rPr>
            <w:noProof/>
            <w:webHidden/>
          </w:rPr>
          <w:tab/>
        </w:r>
        <w:r w:rsidR="00F953FB">
          <w:rPr>
            <w:noProof/>
            <w:webHidden/>
          </w:rPr>
          <w:fldChar w:fldCharType="begin"/>
        </w:r>
        <w:r w:rsidR="00F953FB">
          <w:rPr>
            <w:noProof/>
            <w:webHidden/>
          </w:rPr>
          <w:instrText xml:space="preserve"> PAGEREF _Toc25305752 \h </w:instrText>
        </w:r>
        <w:r w:rsidR="00F953FB">
          <w:rPr>
            <w:noProof/>
            <w:webHidden/>
          </w:rPr>
        </w:r>
        <w:r w:rsidR="00F953FB">
          <w:rPr>
            <w:noProof/>
            <w:webHidden/>
          </w:rPr>
          <w:fldChar w:fldCharType="separate"/>
        </w:r>
        <w:r w:rsidR="0014690B">
          <w:rPr>
            <w:noProof/>
            <w:webHidden/>
          </w:rPr>
          <w:t>3</w:t>
        </w:r>
        <w:r w:rsidR="00F953FB">
          <w:rPr>
            <w:noProof/>
            <w:webHidden/>
          </w:rPr>
          <w:fldChar w:fldCharType="end"/>
        </w:r>
      </w:hyperlink>
    </w:p>
    <w:p w:rsidR="00F953FB" w:rsidRDefault="009019FF">
      <w:pPr>
        <w:pStyle w:val="TOC1"/>
        <w:rPr>
          <w:rFonts w:asciiTheme="minorHAnsi" w:eastAsiaTheme="minorEastAsia" w:hAnsiTheme="minorHAnsi" w:cstheme="minorBidi"/>
          <w:noProof/>
          <w:sz w:val="22"/>
          <w:szCs w:val="22"/>
        </w:rPr>
      </w:pPr>
      <w:hyperlink w:anchor="_Toc25305753" w:history="1">
        <w:r w:rsidR="00F953FB" w:rsidRPr="007A0918">
          <w:rPr>
            <w:rStyle w:val="Hyperlink"/>
            <w:noProof/>
          </w:rPr>
          <w:t>1</w:t>
        </w:r>
        <w:r w:rsidR="00F953FB" w:rsidRPr="007A0918">
          <w:rPr>
            <w:rStyle w:val="Hyperlink"/>
            <w:noProof/>
          </w:rPr>
          <w:tab/>
          <w:t>Quality of Service (Knoblauch)</w:t>
        </w:r>
        <w:r w:rsidR="00F953FB">
          <w:rPr>
            <w:noProof/>
            <w:webHidden/>
          </w:rPr>
          <w:tab/>
        </w:r>
        <w:r w:rsidR="00F953FB">
          <w:rPr>
            <w:noProof/>
            <w:webHidden/>
          </w:rPr>
          <w:fldChar w:fldCharType="begin"/>
        </w:r>
        <w:r w:rsidR="00F953FB">
          <w:rPr>
            <w:noProof/>
            <w:webHidden/>
          </w:rPr>
          <w:instrText xml:space="preserve"> PAGEREF _Toc25305753 \h </w:instrText>
        </w:r>
        <w:r w:rsidR="00F953FB">
          <w:rPr>
            <w:noProof/>
            <w:webHidden/>
          </w:rPr>
        </w:r>
        <w:r w:rsidR="00F953FB">
          <w:rPr>
            <w:noProof/>
            <w:webHidden/>
          </w:rPr>
          <w:fldChar w:fldCharType="separate"/>
        </w:r>
        <w:r w:rsidR="0014690B">
          <w:rPr>
            <w:noProof/>
            <w:webHidden/>
          </w:rPr>
          <w:t>4</w:t>
        </w:r>
        <w:r w:rsidR="00F953FB">
          <w:rPr>
            <w:noProof/>
            <w:webHidden/>
          </w:rPr>
          <w:fldChar w:fldCharType="end"/>
        </w:r>
      </w:hyperlink>
    </w:p>
    <w:p w:rsidR="00F953FB" w:rsidRDefault="009019FF">
      <w:pPr>
        <w:pStyle w:val="TOC1"/>
        <w:rPr>
          <w:rFonts w:asciiTheme="minorHAnsi" w:eastAsiaTheme="minorEastAsia" w:hAnsiTheme="minorHAnsi" w:cstheme="minorBidi"/>
          <w:noProof/>
          <w:sz w:val="22"/>
          <w:szCs w:val="22"/>
        </w:rPr>
      </w:pPr>
      <w:hyperlink w:anchor="_Toc25305754" w:history="1">
        <w:r w:rsidR="00F953FB" w:rsidRPr="007A0918">
          <w:rPr>
            <w:rStyle w:val="Hyperlink"/>
            <w:noProof/>
          </w:rPr>
          <w:t>2</w:t>
        </w:r>
        <w:r w:rsidR="00F953FB" w:rsidRPr="007A0918">
          <w:rPr>
            <w:rStyle w:val="Hyperlink"/>
            <w:noProof/>
          </w:rPr>
          <w:tab/>
          <w:t>Used and Useful (Knoblauch)</w:t>
        </w:r>
        <w:r w:rsidR="00F953FB">
          <w:rPr>
            <w:noProof/>
            <w:webHidden/>
          </w:rPr>
          <w:tab/>
        </w:r>
        <w:r w:rsidR="00F953FB">
          <w:rPr>
            <w:noProof/>
            <w:webHidden/>
          </w:rPr>
          <w:fldChar w:fldCharType="begin"/>
        </w:r>
        <w:r w:rsidR="00F953FB">
          <w:rPr>
            <w:noProof/>
            <w:webHidden/>
          </w:rPr>
          <w:instrText xml:space="preserve"> PAGEREF _Toc25305754 \h </w:instrText>
        </w:r>
        <w:r w:rsidR="00F953FB">
          <w:rPr>
            <w:noProof/>
            <w:webHidden/>
          </w:rPr>
        </w:r>
        <w:r w:rsidR="00F953FB">
          <w:rPr>
            <w:noProof/>
            <w:webHidden/>
          </w:rPr>
          <w:fldChar w:fldCharType="separate"/>
        </w:r>
        <w:r w:rsidR="0014690B">
          <w:rPr>
            <w:noProof/>
            <w:webHidden/>
          </w:rPr>
          <w:t>6</w:t>
        </w:r>
        <w:r w:rsidR="00F953FB">
          <w:rPr>
            <w:noProof/>
            <w:webHidden/>
          </w:rPr>
          <w:fldChar w:fldCharType="end"/>
        </w:r>
      </w:hyperlink>
    </w:p>
    <w:p w:rsidR="00F953FB" w:rsidRDefault="009019FF">
      <w:pPr>
        <w:pStyle w:val="TOC1"/>
        <w:rPr>
          <w:rFonts w:asciiTheme="minorHAnsi" w:eastAsiaTheme="minorEastAsia" w:hAnsiTheme="minorHAnsi" w:cstheme="minorBidi"/>
          <w:noProof/>
          <w:sz w:val="22"/>
          <w:szCs w:val="22"/>
        </w:rPr>
      </w:pPr>
      <w:hyperlink w:anchor="_Toc25305755" w:history="1">
        <w:r w:rsidR="00F953FB" w:rsidRPr="007A0918">
          <w:rPr>
            <w:rStyle w:val="Hyperlink"/>
            <w:noProof/>
          </w:rPr>
          <w:t>3</w:t>
        </w:r>
        <w:r w:rsidR="00F953FB" w:rsidRPr="007A0918">
          <w:rPr>
            <w:rStyle w:val="Hyperlink"/>
            <w:noProof/>
          </w:rPr>
          <w:tab/>
          <w:t>Pro Forma Plant Additions (Knoblauch, Smith II)</w:t>
        </w:r>
        <w:r w:rsidR="00F953FB">
          <w:rPr>
            <w:noProof/>
            <w:webHidden/>
          </w:rPr>
          <w:tab/>
        </w:r>
        <w:r w:rsidR="00F953FB">
          <w:rPr>
            <w:noProof/>
            <w:webHidden/>
          </w:rPr>
          <w:fldChar w:fldCharType="begin"/>
        </w:r>
        <w:r w:rsidR="00F953FB">
          <w:rPr>
            <w:noProof/>
            <w:webHidden/>
          </w:rPr>
          <w:instrText xml:space="preserve"> PAGEREF _Toc25305755 \h </w:instrText>
        </w:r>
        <w:r w:rsidR="00F953FB">
          <w:rPr>
            <w:noProof/>
            <w:webHidden/>
          </w:rPr>
        </w:r>
        <w:r w:rsidR="00F953FB">
          <w:rPr>
            <w:noProof/>
            <w:webHidden/>
          </w:rPr>
          <w:fldChar w:fldCharType="separate"/>
        </w:r>
        <w:r w:rsidR="0014690B">
          <w:rPr>
            <w:noProof/>
            <w:webHidden/>
          </w:rPr>
          <w:t>8</w:t>
        </w:r>
        <w:r w:rsidR="00F953FB">
          <w:rPr>
            <w:noProof/>
            <w:webHidden/>
          </w:rPr>
          <w:fldChar w:fldCharType="end"/>
        </w:r>
      </w:hyperlink>
    </w:p>
    <w:p w:rsidR="00F953FB" w:rsidRDefault="009019FF">
      <w:pPr>
        <w:pStyle w:val="TOC1"/>
        <w:rPr>
          <w:rFonts w:asciiTheme="minorHAnsi" w:eastAsiaTheme="minorEastAsia" w:hAnsiTheme="minorHAnsi" w:cstheme="minorBidi"/>
          <w:noProof/>
          <w:sz w:val="22"/>
          <w:szCs w:val="22"/>
        </w:rPr>
      </w:pPr>
      <w:hyperlink w:anchor="_Toc25305756" w:history="1">
        <w:r w:rsidR="00F953FB" w:rsidRPr="007A0918">
          <w:rPr>
            <w:rStyle w:val="Hyperlink"/>
            <w:noProof/>
          </w:rPr>
          <w:t>4</w:t>
        </w:r>
        <w:r w:rsidR="00F953FB" w:rsidRPr="007A0918">
          <w:rPr>
            <w:rStyle w:val="Hyperlink"/>
            <w:noProof/>
          </w:rPr>
          <w:tab/>
          <w:t>Working Capital Allowance (Smith II)</w:t>
        </w:r>
        <w:r w:rsidR="00F953FB">
          <w:rPr>
            <w:noProof/>
            <w:webHidden/>
          </w:rPr>
          <w:tab/>
        </w:r>
        <w:r w:rsidR="00F953FB">
          <w:rPr>
            <w:noProof/>
            <w:webHidden/>
          </w:rPr>
          <w:fldChar w:fldCharType="begin"/>
        </w:r>
        <w:r w:rsidR="00F953FB">
          <w:rPr>
            <w:noProof/>
            <w:webHidden/>
          </w:rPr>
          <w:instrText xml:space="preserve"> PAGEREF _Toc25305756 \h </w:instrText>
        </w:r>
        <w:r w:rsidR="00F953FB">
          <w:rPr>
            <w:noProof/>
            <w:webHidden/>
          </w:rPr>
        </w:r>
        <w:r w:rsidR="00F953FB">
          <w:rPr>
            <w:noProof/>
            <w:webHidden/>
          </w:rPr>
          <w:fldChar w:fldCharType="separate"/>
        </w:r>
        <w:r w:rsidR="0014690B">
          <w:rPr>
            <w:noProof/>
            <w:webHidden/>
          </w:rPr>
          <w:t>10</w:t>
        </w:r>
        <w:r w:rsidR="00F953FB">
          <w:rPr>
            <w:noProof/>
            <w:webHidden/>
          </w:rPr>
          <w:fldChar w:fldCharType="end"/>
        </w:r>
      </w:hyperlink>
    </w:p>
    <w:p w:rsidR="00F953FB" w:rsidRDefault="009019FF">
      <w:pPr>
        <w:pStyle w:val="TOC1"/>
        <w:rPr>
          <w:rFonts w:asciiTheme="minorHAnsi" w:eastAsiaTheme="minorEastAsia" w:hAnsiTheme="minorHAnsi" w:cstheme="minorBidi"/>
          <w:noProof/>
          <w:sz w:val="22"/>
          <w:szCs w:val="22"/>
        </w:rPr>
      </w:pPr>
      <w:hyperlink w:anchor="_Toc25305757" w:history="1">
        <w:r w:rsidR="00F953FB" w:rsidRPr="007A0918">
          <w:rPr>
            <w:rStyle w:val="Hyperlink"/>
            <w:noProof/>
          </w:rPr>
          <w:t>5</w:t>
        </w:r>
        <w:r w:rsidR="00F953FB" w:rsidRPr="007A0918">
          <w:rPr>
            <w:rStyle w:val="Hyperlink"/>
            <w:noProof/>
          </w:rPr>
          <w:tab/>
          <w:t>Rate Base (Smith II)</w:t>
        </w:r>
        <w:r w:rsidR="00F953FB">
          <w:rPr>
            <w:noProof/>
            <w:webHidden/>
          </w:rPr>
          <w:tab/>
        </w:r>
        <w:r w:rsidR="00F953FB">
          <w:rPr>
            <w:noProof/>
            <w:webHidden/>
          </w:rPr>
          <w:fldChar w:fldCharType="begin"/>
        </w:r>
        <w:r w:rsidR="00F953FB">
          <w:rPr>
            <w:noProof/>
            <w:webHidden/>
          </w:rPr>
          <w:instrText xml:space="preserve"> PAGEREF _Toc25305757 \h </w:instrText>
        </w:r>
        <w:r w:rsidR="00F953FB">
          <w:rPr>
            <w:noProof/>
            <w:webHidden/>
          </w:rPr>
        </w:r>
        <w:r w:rsidR="00F953FB">
          <w:rPr>
            <w:noProof/>
            <w:webHidden/>
          </w:rPr>
          <w:fldChar w:fldCharType="separate"/>
        </w:r>
        <w:r w:rsidR="0014690B">
          <w:rPr>
            <w:noProof/>
            <w:webHidden/>
          </w:rPr>
          <w:t>11</w:t>
        </w:r>
        <w:r w:rsidR="00F953FB">
          <w:rPr>
            <w:noProof/>
            <w:webHidden/>
          </w:rPr>
          <w:fldChar w:fldCharType="end"/>
        </w:r>
      </w:hyperlink>
    </w:p>
    <w:p w:rsidR="00F953FB" w:rsidRDefault="009019FF">
      <w:pPr>
        <w:pStyle w:val="TOC1"/>
        <w:rPr>
          <w:rFonts w:asciiTheme="minorHAnsi" w:eastAsiaTheme="minorEastAsia" w:hAnsiTheme="minorHAnsi" w:cstheme="minorBidi"/>
          <w:noProof/>
          <w:sz w:val="22"/>
          <w:szCs w:val="22"/>
        </w:rPr>
      </w:pPr>
      <w:hyperlink w:anchor="_Toc25305758" w:history="1">
        <w:r w:rsidR="00F953FB" w:rsidRPr="007A0918">
          <w:rPr>
            <w:rStyle w:val="Hyperlink"/>
            <w:noProof/>
          </w:rPr>
          <w:t>6</w:t>
        </w:r>
        <w:r w:rsidR="00F953FB" w:rsidRPr="007A0918">
          <w:rPr>
            <w:rStyle w:val="Hyperlink"/>
            <w:noProof/>
          </w:rPr>
          <w:tab/>
          <w:t>Return on Equity (Smith II)</w:t>
        </w:r>
        <w:r w:rsidR="00F953FB">
          <w:rPr>
            <w:noProof/>
            <w:webHidden/>
          </w:rPr>
          <w:tab/>
        </w:r>
        <w:r w:rsidR="00F953FB">
          <w:rPr>
            <w:noProof/>
            <w:webHidden/>
          </w:rPr>
          <w:fldChar w:fldCharType="begin"/>
        </w:r>
        <w:r w:rsidR="00F953FB">
          <w:rPr>
            <w:noProof/>
            <w:webHidden/>
          </w:rPr>
          <w:instrText xml:space="preserve"> PAGEREF _Toc25305758 \h </w:instrText>
        </w:r>
        <w:r w:rsidR="00F953FB">
          <w:rPr>
            <w:noProof/>
            <w:webHidden/>
          </w:rPr>
        </w:r>
        <w:r w:rsidR="00F953FB">
          <w:rPr>
            <w:noProof/>
            <w:webHidden/>
          </w:rPr>
          <w:fldChar w:fldCharType="separate"/>
        </w:r>
        <w:r w:rsidR="0014690B">
          <w:rPr>
            <w:noProof/>
            <w:webHidden/>
          </w:rPr>
          <w:t>12</w:t>
        </w:r>
        <w:r w:rsidR="00F953FB">
          <w:rPr>
            <w:noProof/>
            <w:webHidden/>
          </w:rPr>
          <w:fldChar w:fldCharType="end"/>
        </w:r>
      </w:hyperlink>
    </w:p>
    <w:p w:rsidR="00F953FB" w:rsidRDefault="009019FF">
      <w:pPr>
        <w:pStyle w:val="TOC1"/>
        <w:rPr>
          <w:rFonts w:asciiTheme="minorHAnsi" w:eastAsiaTheme="minorEastAsia" w:hAnsiTheme="minorHAnsi" w:cstheme="minorBidi"/>
          <w:noProof/>
          <w:sz w:val="22"/>
          <w:szCs w:val="22"/>
        </w:rPr>
      </w:pPr>
      <w:hyperlink w:anchor="_Toc25305759" w:history="1">
        <w:r w:rsidR="00F953FB" w:rsidRPr="007A0918">
          <w:rPr>
            <w:rStyle w:val="Hyperlink"/>
            <w:noProof/>
          </w:rPr>
          <w:t>7</w:t>
        </w:r>
        <w:r w:rsidR="00F953FB" w:rsidRPr="007A0918">
          <w:rPr>
            <w:rStyle w:val="Hyperlink"/>
            <w:noProof/>
          </w:rPr>
          <w:tab/>
          <w:t>Cost of Capital (Smith II)</w:t>
        </w:r>
        <w:r w:rsidR="00F953FB">
          <w:rPr>
            <w:noProof/>
            <w:webHidden/>
          </w:rPr>
          <w:tab/>
        </w:r>
        <w:r w:rsidR="00F953FB">
          <w:rPr>
            <w:noProof/>
            <w:webHidden/>
          </w:rPr>
          <w:fldChar w:fldCharType="begin"/>
        </w:r>
        <w:r w:rsidR="00F953FB">
          <w:rPr>
            <w:noProof/>
            <w:webHidden/>
          </w:rPr>
          <w:instrText xml:space="preserve"> PAGEREF _Toc25305759 \h </w:instrText>
        </w:r>
        <w:r w:rsidR="00F953FB">
          <w:rPr>
            <w:noProof/>
            <w:webHidden/>
          </w:rPr>
        </w:r>
        <w:r w:rsidR="00F953FB">
          <w:rPr>
            <w:noProof/>
            <w:webHidden/>
          </w:rPr>
          <w:fldChar w:fldCharType="separate"/>
        </w:r>
        <w:r w:rsidR="0014690B">
          <w:rPr>
            <w:noProof/>
            <w:webHidden/>
          </w:rPr>
          <w:t>13</w:t>
        </w:r>
        <w:r w:rsidR="00F953FB">
          <w:rPr>
            <w:noProof/>
            <w:webHidden/>
          </w:rPr>
          <w:fldChar w:fldCharType="end"/>
        </w:r>
      </w:hyperlink>
    </w:p>
    <w:p w:rsidR="00F953FB" w:rsidRDefault="009019FF">
      <w:pPr>
        <w:pStyle w:val="TOC1"/>
        <w:rPr>
          <w:rFonts w:asciiTheme="minorHAnsi" w:eastAsiaTheme="minorEastAsia" w:hAnsiTheme="minorHAnsi" w:cstheme="minorBidi"/>
          <w:noProof/>
          <w:sz w:val="22"/>
          <w:szCs w:val="22"/>
        </w:rPr>
      </w:pPr>
      <w:hyperlink w:anchor="_Toc25305760" w:history="1">
        <w:r w:rsidR="00F953FB" w:rsidRPr="007A0918">
          <w:rPr>
            <w:rStyle w:val="Hyperlink"/>
            <w:noProof/>
          </w:rPr>
          <w:t>8</w:t>
        </w:r>
        <w:r w:rsidR="00F953FB" w:rsidRPr="007A0918">
          <w:rPr>
            <w:rStyle w:val="Hyperlink"/>
            <w:noProof/>
          </w:rPr>
          <w:tab/>
          <w:t>Test Year Revenues (Ramos)</w:t>
        </w:r>
        <w:r w:rsidR="00F953FB">
          <w:rPr>
            <w:noProof/>
            <w:webHidden/>
          </w:rPr>
          <w:tab/>
        </w:r>
        <w:r w:rsidR="00F953FB">
          <w:rPr>
            <w:noProof/>
            <w:webHidden/>
          </w:rPr>
          <w:fldChar w:fldCharType="begin"/>
        </w:r>
        <w:r w:rsidR="00F953FB">
          <w:rPr>
            <w:noProof/>
            <w:webHidden/>
          </w:rPr>
          <w:instrText xml:space="preserve"> PAGEREF _Toc25305760 \h </w:instrText>
        </w:r>
        <w:r w:rsidR="00F953FB">
          <w:rPr>
            <w:noProof/>
            <w:webHidden/>
          </w:rPr>
        </w:r>
        <w:r w:rsidR="00F953FB">
          <w:rPr>
            <w:noProof/>
            <w:webHidden/>
          </w:rPr>
          <w:fldChar w:fldCharType="separate"/>
        </w:r>
        <w:r w:rsidR="0014690B">
          <w:rPr>
            <w:noProof/>
            <w:webHidden/>
          </w:rPr>
          <w:t>14</w:t>
        </w:r>
        <w:r w:rsidR="00F953FB">
          <w:rPr>
            <w:noProof/>
            <w:webHidden/>
          </w:rPr>
          <w:fldChar w:fldCharType="end"/>
        </w:r>
      </w:hyperlink>
    </w:p>
    <w:p w:rsidR="00F953FB" w:rsidRDefault="009019FF">
      <w:pPr>
        <w:pStyle w:val="TOC1"/>
        <w:rPr>
          <w:rFonts w:asciiTheme="minorHAnsi" w:eastAsiaTheme="minorEastAsia" w:hAnsiTheme="minorHAnsi" w:cstheme="minorBidi"/>
          <w:noProof/>
          <w:sz w:val="22"/>
          <w:szCs w:val="22"/>
        </w:rPr>
      </w:pPr>
      <w:hyperlink w:anchor="_Toc25305761" w:history="1">
        <w:r w:rsidR="00F953FB" w:rsidRPr="007A0918">
          <w:rPr>
            <w:rStyle w:val="Hyperlink"/>
            <w:noProof/>
          </w:rPr>
          <w:t>9</w:t>
        </w:r>
        <w:r w:rsidR="00F953FB" w:rsidRPr="007A0918">
          <w:rPr>
            <w:rStyle w:val="Hyperlink"/>
            <w:noProof/>
          </w:rPr>
          <w:tab/>
          <w:t>O&amp;M Expense (Knoblauch, Smith II)</w:t>
        </w:r>
        <w:r w:rsidR="00F953FB">
          <w:rPr>
            <w:noProof/>
            <w:webHidden/>
          </w:rPr>
          <w:tab/>
        </w:r>
        <w:r w:rsidR="00F953FB">
          <w:rPr>
            <w:noProof/>
            <w:webHidden/>
          </w:rPr>
          <w:fldChar w:fldCharType="begin"/>
        </w:r>
        <w:r w:rsidR="00F953FB">
          <w:rPr>
            <w:noProof/>
            <w:webHidden/>
          </w:rPr>
          <w:instrText xml:space="preserve"> PAGEREF _Toc25305761 \h </w:instrText>
        </w:r>
        <w:r w:rsidR="00F953FB">
          <w:rPr>
            <w:noProof/>
            <w:webHidden/>
          </w:rPr>
        </w:r>
        <w:r w:rsidR="00F953FB">
          <w:rPr>
            <w:noProof/>
            <w:webHidden/>
          </w:rPr>
          <w:fldChar w:fldCharType="separate"/>
        </w:r>
        <w:r w:rsidR="0014690B">
          <w:rPr>
            <w:noProof/>
            <w:webHidden/>
          </w:rPr>
          <w:t>15</w:t>
        </w:r>
        <w:r w:rsidR="00F953FB">
          <w:rPr>
            <w:noProof/>
            <w:webHidden/>
          </w:rPr>
          <w:fldChar w:fldCharType="end"/>
        </w:r>
      </w:hyperlink>
    </w:p>
    <w:p w:rsidR="00F953FB" w:rsidRDefault="009019FF">
      <w:pPr>
        <w:pStyle w:val="TOC1"/>
        <w:rPr>
          <w:rFonts w:asciiTheme="minorHAnsi" w:eastAsiaTheme="minorEastAsia" w:hAnsiTheme="minorHAnsi" w:cstheme="minorBidi"/>
          <w:noProof/>
          <w:sz w:val="22"/>
          <w:szCs w:val="22"/>
        </w:rPr>
      </w:pPr>
      <w:hyperlink w:anchor="_Toc25305762" w:history="1">
        <w:r w:rsidR="00F953FB" w:rsidRPr="007A0918">
          <w:rPr>
            <w:rStyle w:val="Hyperlink"/>
            <w:noProof/>
          </w:rPr>
          <w:t>10</w:t>
        </w:r>
        <w:r w:rsidR="00F953FB" w:rsidRPr="007A0918">
          <w:rPr>
            <w:rStyle w:val="Hyperlink"/>
            <w:noProof/>
          </w:rPr>
          <w:tab/>
          <w:t>Rate Case Expense (Smith II)</w:t>
        </w:r>
        <w:r w:rsidR="00F953FB">
          <w:rPr>
            <w:noProof/>
            <w:webHidden/>
          </w:rPr>
          <w:tab/>
        </w:r>
        <w:r w:rsidR="00F953FB">
          <w:rPr>
            <w:noProof/>
            <w:webHidden/>
          </w:rPr>
          <w:fldChar w:fldCharType="begin"/>
        </w:r>
        <w:r w:rsidR="00F953FB">
          <w:rPr>
            <w:noProof/>
            <w:webHidden/>
          </w:rPr>
          <w:instrText xml:space="preserve"> PAGEREF _Toc25305762 \h </w:instrText>
        </w:r>
        <w:r w:rsidR="00F953FB">
          <w:rPr>
            <w:noProof/>
            <w:webHidden/>
          </w:rPr>
        </w:r>
        <w:r w:rsidR="00F953FB">
          <w:rPr>
            <w:noProof/>
            <w:webHidden/>
          </w:rPr>
          <w:fldChar w:fldCharType="separate"/>
        </w:r>
        <w:r w:rsidR="0014690B">
          <w:rPr>
            <w:noProof/>
            <w:webHidden/>
          </w:rPr>
          <w:t>16</w:t>
        </w:r>
        <w:r w:rsidR="00F953FB">
          <w:rPr>
            <w:noProof/>
            <w:webHidden/>
          </w:rPr>
          <w:fldChar w:fldCharType="end"/>
        </w:r>
      </w:hyperlink>
    </w:p>
    <w:p w:rsidR="00F953FB" w:rsidRDefault="009019FF">
      <w:pPr>
        <w:pStyle w:val="TOC1"/>
        <w:rPr>
          <w:rFonts w:asciiTheme="minorHAnsi" w:eastAsiaTheme="minorEastAsia" w:hAnsiTheme="minorHAnsi" w:cstheme="minorBidi"/>
          <w:noProof/>
          <w:sz w:val="22"/>
          <w:szCs w:val="22"/>
        </w:rPr>
      </w:pPr>
      <w:hyperlink w:anchor="_Toc25305763" w:history="1">
        <w:r w:rsidR="00F953FB" w:rsidRPr="007A0918">
          <w:rPr>
            <w:rStyle w:val="Hyperlink"/>
            <w:noProof/>
          </w:rPr>
          <w:t>11</w:t>
        </w:r>
        <w:r w:rsidR="00F953FB" w:rsidRPr="007A0918">
          <w:rPr>
            <w:rStyle w:val="Hyperlink"/>
            <w:noProof/>
          </w:rPr>
          <w:tab/>
          <w:t>Revenue Requirement (Smith II)</w:t>
        </w:r>
        <w:r w:rsidR="00F953FB">
          <w:rPr>
            <w:noProof/>
            <w:webHidden/>
          </w:rPr>
          <w:tab/>
        </w:r>
        <w:r w:rsidR="00F953FB">
          <w:rPr>
            <w:noProof/>
            <w:webHidden/>
          </w:rPr>
          <w:fldChar w:fldCharType="begin"/>
        </w:r>
        <w:r w:rsidR="00F953FB">
          <w:rPr>
            <w:noProof/>
            <w:webHidden/>
          </w:rPr>
          <w:instrText xml:space="preserve"> PAGEREF _Toc25305763 \h </w:instrText>
        </w:r>
        <w:r w:rsidR="00F953FB">
          <w:rPr>
            <w:noProof/>
            <w:webHidden/>
          </w:rPr>
        </w:r>
        <w:r w:rsidR="00F953FB">
          <w:rPr>
            <w:noProof/>
            <w:webHidden/>
          </w:rPr>
          <w:fldChar w:fldCharType="separate"/>
        </w:r>
        <w:r w:rsidR="0014690B">
          <w:rPr>
            <w:noProof/>
            <w:webHidden/>
          </w:rPr>
          <w:t>18</w:t>
        </w:r>
        <w:r w:rsidR="00F953FB">
          <w:rPr>
            <w:noProof/>
            <w:webHidden/>
          </w:rPr>
          <w:fldChar w:fldCharType="end"/>
        </w:r>
      </w:hyperlink>
    </w:p>
    <w:p w:rsidR="00F953FB" w:rsidRDefault="009019FF">
      <w:pPr>
        <w:pStyle w:val="TOC1"/>
        <w:rPr>
          <w:rFonts w:asciiTheme="minorHAnsi" w:eastAsiaTheme="minorEastAsia" w:hAnsiTheme="minorHAnsi" w:cstheme="minorBidi"/>
          <w:noProof/>
          <w:sz w:val="22"/>
          <w:szCs w:val="22"/>
        </w:rPr>
      </w:pPr>
      <w:hyperlink w:anchor="_Toc25305764" w:history="1">
        <w:r w:rsidR="00F953FB" w:rsidRPr="007A0918">
          <w:rPr>
            <w:rStyle w:val="Hyperlink"/>
            <w:noProof/>
          </w:rPr>
          <w:t>12</w:t>
        </w:r>
        <w:r w:rsidR="00F953FB" w:rsidRPr="007A0918">
          <w:rPr>
            <w:rStyle w:val="Hyperlink"/>
            <w:noProof/>
          </w:rPr>
          <w:tab/>
          <w:t>Rates and Rate Structure (Ramos)</w:t>
        </w:r>
        <w:r w:rsidR="00F953FB">
          <w:rPr>
            <w:noProof/>
            <w:webHidden/>
          </w:rPr>
          <w:tab/>
        </w:r>
        <w:r w:rsidR="00F953FB">
          <w:rPr>
            <w:noProof/>
            <w:webHidden/>
          </w:rPr>
          <w:fldChar w:fldCharType="begin"/>
        </w:r>
        <w:r w:rsidR="00F953FB">
          <w:rPr>
            <w:noProof/>
            <w:webHidden/>
          </w:rPr>
          <w:instrText xml:space="preserve"> PAGEREF _Toc25305764 \h </w:instrText>
        </w:r>
        <w:r w:rsidR="00F953FB">
          <w:rPr>
            <w:noProof/>
            <w:webHidden/>
          </w:rPr>
        </w:r>
        <w:r w:rsidR="00F953FB">
          <w:rPr>
            <w:noProof/>
            <w:webHidden/>
          </w:rPr>
          <w:fldChar w:fldCharType="separate"/>
        </w:r>
        <w:r w:rsidR="0014690B">
          <w:rPr>
            <w:noProof/>
            <w:webHidden/>
          </w:rPr>
          <w:t>19</w:t>
        </w:r>
        <w:r w:rsidR="00F953FB">
          <w:rPr>
            <w:noProof/>
            <w:webHidden/>
          </w:rPr>
          <w:fldChar w:fldCharType="end"/>
        </w:r>
      </w:hyperlink>
    </w:p>
    <w:p w:rsidR="00F953FB" w:rsidRDefault="009019FF">
      <w:pPr>
        <w:pStyle w:val="TOC1"/>
        <w:rPr>
          <w:rFonts w:asciiTheme="minorHAnsi" w:eastAsiaTheme="minorEastAsia" w:hAnsiTheme="minorHAnsi" w:cstheme="minorBidi"/>
          <w:noProof/>
          <w:sz w:val="22"/>
          <w:szCs w:val="22"/>
        </w:rPr>
      </w:pPr>
      <w:hyperlink w:anchor="_Toc25305765" w:history="1">
        <w:r w:rsidR="00F953FB" w:rsidRPr="007A0918">
          <w:rPr>
            <w:rStyle w:val="Hyperlink"/>
            <w:noProof/>
          </w:rPr>
          <w:t>13</w:t>
        </w:r>
        <w:r w:rsidR="00F953FB" w:rsidRPr="007A0918">
          <w:rPr>
            <w:rStyle w:val="Hyperlink"/>
            <w:noProof/>
          </w:rPr>
          <w:tab/>
          <w:t>Private Fire Protection (Ramos)</w:t>
        </w:r>
        <w:r w:rsidR="00F953FB">
          <w:rPr>
            <w:noProof/>
            <w:webHidden/>
          </w:rPr>
          <w:tab/>
        </w:r>
        <w:r w:rsidR="00F953FB">
          <w:rPr>
            <w:noProof/>
            <w:webHidden/>
          </w:rPr>
          <w:fldChar w:fldCharType="begin"/>
        </w:r>
        <w:r w:rsidR="00F953FB">
          <w:rPr>
            <w:noProof/>
            <w:webHidden/>
          </w:rPr>
          <w:instrText xml:space="preserve"> PAGEREF _Toc25305765 \h </w:instrText>
        </w:r>
        <w:r w:rsidR="00F953FB">
          <w:rPr>
            <w:noProof/>
            <w:webHidden/>
          </w:rPr>
        </w:r>
        <w:r w:rsidR="00F953FB">
          <w:rPr>
            <w:noProof/>
            <w:webHidden/>
          </w:rPr>
          <w:fldChar w:fldCharType="separate"/>
        </w:r>
        <w:r w:rsidR="0014690B">
          <w:rPr>
            <w:noProof/>
            <w:webHidden/>
          </w:rPr>
          <w:t>20</w:t>
        </w:r>
        <w:r w:rsidR="00F953FB">
          <w:rPr>
            <w:noProof/>
            <w:webHidden/>
          </w:rPr>
          <w:fldChar w:fldCharType="end"/>
        </w:r>
      </w:hyperlink>
    </w:p>
    <w:p w:rsidR="00F953FB" w:rsidRDefault="009019FF">
      <w:pPr>
        <w:pStyle w:val="TOC1"/>
        <w:rPr>
          <w:rFonts w:asciiTheme="minorHAnsi" w:eastAsiaTheme="minorEastAsia" w:hAnsiTheme="minorHAnsi" w:cstheme="minorBidi"/>
          <w:noProof/>
          <w:sz w:val="22"/>
          <w:szCs w:val="22"/>
        </w:rPr>
      </w:pPr>
      <w:hyperlink w:anchor="_Toc25305766" w:history="1">
        <w:r w:rsidR="00F953FB" w:rsidRPr="007A0918">
          <w:rPr>
            <w:rStyle w:val="Hyperlink"/>
            <w:noProof/>
          </w:rPr>
          <w:t>14</w:t>
        </w:r>
        <w:r w:rsidR="00F953FB" w:rsidRPr="007A0918">
          <w:rPr>
            <w:rStyle w:val="Hyperlink"/>
            <w:noProof/>
          </w:rPr>
          <w:tab/>
          <w:t>Rate Case Expense (Ramos, Smith II)</w:t>
        </w:r>
        <w:r w:rsidR="00F953FB">
          <w:rPr>
            <w:noProof/>
            <w:webHidden/>
          </w:rPr>
          <w:tab/>
        </w:r>
        <w:r w:rsidR="00F953FB">
          <w:rPr>
            <w:noProof/>
            <w:webHidden/>
          </w:rPr>
          <w:fldChar w:fldCharType="begin"/>
        </w:r>
        <w:r w:rsidR="00F953FB">
          <w:rPr>
            <w:noProof/>
            <w:webHidden/>
          </w:rPr>
          <w:instrText xml:space="preserve"> PAGEREF _Toc25305766 \h </w:instrText>
        </w:r>
        <w:r w:rsidR="00F953FB">
          <w:rPr>
            <w:noProof/>
            <w:webHidden/>
          </w:rPr>
        </w:r>
        <w:r w:rsidR="00F953FB">
          <w:rPr>
            <w:noProof/>
            <w:webHidden/>
          </w:rPr>
          <w:fldChar w:fldCharType="separate"/>
        </w:r>
        <w:r w:rsidR="0014690B">
          <w:rPr>
            <w:noProof/>
            <w:webHidden/>
          </w:rPr>
          <w:t>21</w:t>
        </w:r>
        <w:r w:rsidR="00F953FB">
          <w:rPr>
            <w:noProof/>
            <w:webHidden/>
          </w:rPr>
          <w:fldChar w:fldCharType="end"/>
        </w:r>
      </w:hyperlink>
    </w:p>
    <w:p w:rsidR="00F953FB" w:rsidRDefault="009019FF">
      <w:pPr>
        <w:pStyle w:val="TOC1"/>
        <w:rPr>
          <w:rFonts w:asciiTheme="minorHAnsi" w:eastAsiaTheme="minorEastAsia" w:hAnsiTheme="minorHAnsi" w:cstheme="minorBidi"/>
          <w:noProof/>
          <w:sz w:val="22"/>
          <w:szCs w:val="22"/>
        </w:rPr>
      </w:pPr>
      <w:hyperlink w:anchor="_Toc25305767" w:history="1">
        <w:r w:rsidR="00F953FB" w:rsidRPr="007A0918">
          <w:rPr>
            <w:rStyle w:val="Hyperlink"/>
            <w:noProof/>
          </w:rPr>
          <w:t>15</w:t>
        </w:r>
        <w:r w:rsidR="00F953FB" w:rsidRPr="007A0918">
          <w:rPr>
            <w:rStyle w:val="Hyperlink"/>
            <w:noProof/>
          </w:rPr>
          <w:tab/>
          <w:t>Proof of Adjustments (Smith II)</w:t>
        </w:r>
        <w:r w:rsidR="00F953FB">
          <w:rPr>
            <w:noProof/>
            <w:webHidden/>
          </w:rPr>
          <w:tab/>
        </w:r>
        <w:r w:rsidR="00F953FB">
          <w:rPr>
            <w:noProof/>
            <w:webHidden/>
          </w:rPr>
          <w:fldChar w:fldCharType="begin"/>
        </w:r>
        <w:r w:rsidR="00F953FB">
          <w:rPr>
            <w:noProof/>
            <w:webHidden/>
          </w:rPr>
          <w:instrText xml:space="preserve"> PAGEREF _Toc25305767 \h </w:instrText>
        </w:r>
        <w:r w:rsidR="00F953FB">
          <w:rPr>
            <w:noProof/>
            <w:webHidden/>
          </w:rPr>
        </w:r>
        <w:r w:rsidR="00F953FB">
          <w:rPr>
            <w:noProof/>
            <w:webHidden/>
          </w:rPr>
          <w:fldChar w:fldCharType="separate"/>
        </w:r>
        <w:r w:rsidR="0014690B">
          <w:rPr>
            <w:noProof/>
            <w:webHidden/>
          </w:rPr>
          <w:t>22</w:t>
        </w:r>
        <w:r w:rsidR="00F953FB">
          <w:rPr>
            <w:noProof/>
            <w:webHidden/>
          </w:rPr>
          <w:fldChar w:fldCharType="end"/>
        </w:r>
      </w:hyperlink>
    </w:p>
    <w:p w:rsidR="00F953FB" w:rsidRDefault="009019FF">
      <w:pPr>
        <w:pStyle w:val="TOC1"/>
        <w:rPr>
          <w:rFonts w:asciiTheme="minorHAnsi" w:eastAsiaTheme="minorEastAsia" w:hAnsiTheme="minorHAnsi" w:cstheme="minorBidi"/>
          <w:noProof/>
          <w:sz w:val="22"/>
          <w:szCs w:val="22"/>
        </w:rPr>
      </w:pPr>
      <w:hyperlink w:anchor="_Toc25305768" w:history="1">
        <w:r w:rsidR="00F953FB" w:rsidRPr="007A0918">
          <w:rPr>
            <w:rStyle w:val="Hyperlink"/>
            <w:noProof/>
          </w:rPr>
          <w:t>16</w:t>
        </w:r>
        <w:r w:rsidR="00F953FB" w:rsidRPr="007A0918">
          <w:rPr>
            <w:rStyle w:val="Hyperlink"/>
            <w:noProof/>
          </w:rPr>
          <w:tab/>
          <w:t>Docket Closure (Simmons)</w:t>
        </w:r>
        <w:r w:rsidR="00F953FB">
          <w:rPr>
            <w:noProof/>
            <w:webHidden/>
          </w:rPr>
          <w:tab/>
        </w:r>
        <w:r w:rsidR="00F953FB">
          <w:rPr>
            <w:noProof/>
            <w:webHidden/>
          </w:rPr>
          <w:fldChar w:fldCharType="begin"/>
        </w:r>
        <w:r w:rsidR="00F953FB">
          <w:rPr>
            <w:noProof/>
            <w:webHidden/>
          </w:rPr>
          <w:instrText xml:space="preserve"> PAGEREF _Toc25305768 \h </w:instrText>
        </w:r>
        <w:r w:rsidR="00F953FB">
          <w:rPr>
            <w:noProof/>
            <w:webHidden/>
          </w:rPr>
        </w:r>
        <w:r w:rsidR="00F953FB">
          <w:rPr>
            <w:noProof/>
            <w:webHidden/>
          </w:rPr>
          <w:fldChar w:fldCharType="separate"/>
        </w:r>
        <w:r w:rsidR="0014690B">
          <w:rPr>
            <w:noProof/>
            <w:webHidden/>
          </w:rPr>
          <w:t>23</w:t>
        </w:r>
        <w:r w:rsidR="00F953FB">
          <w:rPr>
            <w:noProof/>
            <w:webHidden/>
          </w:rPr>
          <w:fldChar w:fldCharType="end"/>
        </w:r>
      </w:hyperlink>
    </w:p>
    <w:p w:rsidR="00F953FB" w:rsidRDefault="009019FF">
      <w:pPr>
        <w:pStyle w:val="TOC1"/>
        <w:rPr>
          <w:rFonts w:asciiTheme="minorHAnsi" w:eastAsiaTheme="minorEastAsia" w:hAnsiTheme="minorHAnsi" w:cstheme="minorBidi"/>
          <w:noProof/>
          <w:sz w:val="22"/>
          <w:szCs w:val="22"/>
        </w:rPr>
      </w:pPr>
      <w:hyperlink w:anchor="_Toc25305769" w:history="1">
        <w:r w:rsidR="00F953FB" w:rsidRPr="007A0918">
          <w:rPr>
            <w:rStyle w:val="Hyperlink"/>
            <w:noProof/>
          </w:rPr>
          <w:tab/>
          <w:t>Schedule No. 1-A Water Rate Base</w:t>
        </w:r>
        <w:r w:rsidR="00F953FB">
          <w:rPr>
            <w:noProof/>
            <w:webHidden/>
          </w:rPr>
          <w:tab/>
        </w:r>
        <w:r w:rsidR="00F953FB">
          <w:rPr>
            <w:noProof/>
            <w:webHidden/>
          </w:rPr>
          <w:fldChar w:fldCharType="begin"/>
        </w:r>
        <w:r w:rsidR="00F953FB">
          <w:rPr>
            <w:noProof/>
            <w:webHidden/>
          </w:rPr>
          <w:instrText xml:space="preserve"> PAGEREF _Toc25305769 \h </w:instrText>
        </w:r>
        <w:r w:rsidR="00F953FB">
          <w:rPr>
            <w:noProof/>
            <w:webHidden/>
          </w:rPr>
        </w:r>
        <w:r w:rsidR="00F953FB">
          <w:rPr>
            <w:noProof/>
            <w:webHidden/>
          </w:rPr>
          <w:fldChar w:fldCharType="separate"/>
        </w:r>
        <w:r w:rsidR="0014690B">
          <w:rPr>
            <w:noProof/>
            <w:webHidden/>
          </w:rPr>
          <w:t>24</w:t>
        </w:r>
        <w:r w:rsidR="00F953FB">
          <w:rPr>
            <w:noProof/>
            <w:webHidden/>
          </w:rPr>
          <w:fldChar w:fldCharType="end"/>
        </w:r>
      </w:hyperlink>
    </w:p>
    <w:p w:rsidR="00F953FB" w:rsidRDefault="009019FF">
      <w:pPr>
        <w:pStyle w:val="TOC1"/>
        <w:rPr>
          <w:rFonts w:asciiTheme="minorHAnsi" w:eastAsiaTheme="minorEastAsia" w:hAnsiTheme="minorHAnsi" w:cstheme="minorBidi"/>
          <w:noProof/>
          <w:sz w:val="22"/>
          <w:szCs w:val="22"/>
        </w:rPr>
      </w:pPr>
      <w:hyperlink w:anchor="_Toc25305770" w:history="1">
        <w:r w:rsidR="00F953FB" w:rsidRPr="007A0918">
          <w:rPr>
            <w:rStyle w:val="Hyperlink"/>
            <w:noProof/>
          </w:rPr>
          <w:tab/>
          <w:t>Schedule No. 1-B Adjustments to Rate Base</w:t>
        </w:r>
        <w:r w:rsidR="00F953FB">
          <w:rPr>
            <w:noProof/>
            <w:webHidden/>
          </w:rPr>
          <w:tab/>
        </w:r>
        <w:r w:rsidR="00F953FB">
          <w:rPr>
            <w:noProof/>
            <w:webHidden/>
          </w:rPr>
          <w:fldChar w:fldCharType="begin"/>
        </w:r>
        <w:r w:rsidR="00F953FB">
          <w:rPr>
            <w:noProof/>
            <w:webHidden/>
          </w:rPr>
          <w:instrText xml:space="preserve"> PAGEREF _Toc25305770 \h </w:instrText>
        </w:r>
        <w:r w:rsidR="00F953FB">
          <w:rPr>
            <w:noProof/>
            <w:webHidden/>
          </w:rPr>
        </w:r>
        <w:r w:rsidR="00F953FB">
          <w:rPr>
            <w:noProof/>
            <w:webHidden/>
          </w:rPr>
          <w:fldChar w:fldCharType="separate"/>
        </w:r>
        <w:r w:rsidR="0014690B">
          <w:rPr>
            <w:noProof/>
            <w:webHidden/>
          </w:rPr>
          <w:t>25</w:t>
        </w:r>
        <w:r w:rsidR="00F953FB">
          <w:rPr>
            <w:noProof/>
            <w:webHidden/>
          </w:rPr>
          <w:fldChar w:fldCharType="end"/>
        </w:r>
      </w:hyperlink>
    </w:p>
    <w:p w:rsidR="00F953FB" w:rsidRDefault="009019FF">
      <w:pPr>
        <w:pStyle w:val="TOC1"/>
        <w:rPr>
          <w:rFonts w:asciiTheme="minorHAnsi" w:eastAsiaTheme="minorEastAsia" w:hAnsiTheme="minorHAnsi" w:cstheme="minorBidi"/>
          <w:noProof/>
          <w:sz w:val="22"/>
          <w:szCs w:val="22"/>
        </w:rPr>
      </w:pPr>
      <w:hyperlink w:anchor="_Toc25305771" w:history="1">
        <w:r w:rsidR="00F953FB" w:rsidRPr="007A0918">
          <w:rPr>
            <w:rStyle w:val="Hyperlink"/>
            <w:noProof/>
          </w:rPr>
          <w:tab/>
          <w:t>Schedule No. 2 Capital Structure 13-Month Average</w:t>
        </w:r>
        <w:r w:rsidR="00F953FB">
          <w:rPr>
            <w:noProof/>
            <w:webHidden/>
          </w:rPr>
          <w:tab/>
        </w:r>
        <w:r w:rsidR="00F953FB">
          <w:rPr>
            <w:noProof/>
            <w:webHidden/>
          </w:rPr>
          <w:fldChar w:fldCharType="begin"/>
        </w:r>
        <w:r w:rsidR="00F953FB">
          <w:rPr>
            <w:noProof/>
            <w:webHidden/>
          </w:rPr>
          <w:instrText xml:space="preserve"> PAGEREF _Toc25305771 \h </w:instrText>
        </w:r>
        <w:r w:rsidR="00F953FB">
          <w:rPr>
            <w:noProof/>
            <w:webHidden/>
          </w:rPr>
        </w:r>
        <w:r w:rsidR="00F953FB">
          <w:rPr>
            <w:noProof/>
            <w:webHidden/>
          </w:rPr>
          <w:fldChar w:fldCharType="separate"/>
        </w:r>
        <w:r w:rsidR="0014690B">
          <w:rPr>
            <w:noProof/>
            <w:webHidden/>
          </w:rPr>
          <w:t>26</w:t>
        </w:r>
        <w:r w:rsidR="00F953FB">
          <w:rPr>
            <w:noProof/>
            <w:webHidden/>
          </w:rPr>
          <w:fldChar w:fldCharType="end"/>
        </w:r>
      </w:hyperlink>
    </w:p>
    <w:p w:rsidR="00F953FB" w:rsidRDefault="009019FF">
      <w:pPr>
        <w:pStyle w:val="TOC1"/>
        <w:rPr>
          <w:rFonts w:asciiTheme="minorHAnsi" w:eastAsiaTheme="minorEastAsia" w:hAnsiTheme="minorHAnsi" w:cstheme="minorBidi"/>
          <w:noProof/>
          <w:sz w:val="22"/>
          <w:szCs w:val="22"/>
        </w:rPr>
      </w:pPr>
      <w:hyperlink w:anchor="_Toc25305772" w:history="1">
        <w:r w:rsidR="00F953FB" w:rsidRPr="007A0918">
          <w:rPr>
            <w:rStyle w:val="Hyperlink"/>
            <w:noProof/>
          </w:rPr>
          <w:tab/>
          <w:t>Schedule No. 3-A Statement of Water Operations</w:t>
        </w:r>
        <w:r w:rsidR="00F953FB">
          <w:rPr>
            <w:noProof/>
            <w:webHidden/>
          </w:rPr>
          <w:tab/>
        </w:r>
        <w:r w:rsidR="00F953FB">
          <w:rPr>
            <w:noProof/>
            <w:webHidden/>
          </w:rPr>
          <w:fldChar w:fldCharType="begin"/>
        </w:r>
        <w:r w:rsidR="00F953FB">
          <w:rPr>
            <w:noProof/>
            <w:webHidden/>
          </w:rPr>
          <w:instrText xml:space="preserve"> PAGEREF _Toc25305772 \h </w:instrText>
        </w:r>
        <w:r w:rsidR="00F953FB">
          <w:rPr>
            <w:noProof/>
            <w:webHidden/>
          </w:rPr>
        </w:r>
        <w:r w:rsidR="00F953FB">
          <w:rPr>
            <w:noProof/>
            <w:webHidden/>
          </w:rPr>
          <w:fldChar w:fldCharType="separate"/>
        </w:r>
        <w:r w:rsidR="0014690B">
          <w:rPr>
            <w:noProof/>
            <w:webHidden/>
          </w:rPr>
          <w:t>27</w:t>
        </w:r>
        <w:r w:rsidR="00F953FB">
          <w:rPr>
            <w:noProof/>
            <w:webHidden/>
          </w:rPr>
          <w:fldChar w:fldCharType="end"/>
        </w:r>
      </w:hyperlink>
    </w:p>
    <w:p w:rsidR="00F953FB" w:rsidRDefault="009019FF">
      <w:pPr>
        <w:pStyle w:val="TOC1"/>
        <w:rPr>
          <w:rFonts w:asciiTheme="minorHAnsi" w:eastAsiaTheme="minorEastAsia" w:hAnsiTheme="minorHAnsi" w:cstheme="minorBidi"/>
          <w:noProof/>
          <w:sz w:val="22"/>
          <w:szCs w:val="22"/>
        </w:rPr>
      </w:pPr>
      <w:hyperlink w:anchor="_Toc25305773" w:history="1">
        <w:r w:rsidR="00F953FB" w:rsidRPr="007A0918">
          <w:rPr>
            <w:rStyle w:val="Hyperlink"/>
            <w:noProof/>
          </w:rPr>
          <w:tab/>
          <w:t>Schedule No. 3-B Adjustment to Operating Income</w:t>
        </w:r>
        <w:r w:rsidR="00F953FB">
          <w:rPr>
            <w:noProof/>
            <w:webHidden/>
          </w:rPr>
          <w:tab/>
        </w:r>
        <w:r w:rsidR="00F953FB">
          <w:rPr>
            <w:noProof/>
            <w:webHidden/>
          </w:rPr>
          <w:fldChar w:fldCharType="begin"/>
        </w:r>
        <w:r w:rsidR="00F953FB">
          <w:rPr>
            <w:noProof/>
            <w:webHidden/>
          </w:rPr>
          <w:instrText xml:space="preserve"> PAGEREF _Toc25305773 \h </w:instrText>
        </w:r>
        <w:r w:rsidR="00F953FB">
          <w:rPr>
            <w:noProof/>
            <w:webHidden/>
          </w:rPr>
        </w:r>
        <w:r w:rsidR="00F953FB">
          <w:rPr>
            <w:noProof/>
            <w:webHidden/>
          </w:rPr>
          <w:fldChar w:fldCharType="separate"/>
        </w:r>
        <w:r w:rsidR="0014690B">
          <w:rPr>
            <w:noProof/>
            <w:webHidden/>
          </w:rPr>
          <w:t>28</w:t>
        </w:r>
        <w:r w:rsidR="00F953FB">
          <w:rPr>
            <w:noProof/>
            <w:webHidden/>
          </w:rPr>
          <w:fldChar w:fldCharType="end"/>
        </w:r>
      </w:hyperlink>
    </w:p>
    <w:p w:rsidR="00F953FB" w:rsidRDefault="009019FF">
      <w:pPr>
        <w:pStyle w:val="TOC1"/>
        <w:rPr>
          <w:rFonts w:asciiTheme="minorHAnsi" w:eastAsiaTheme="minorEastAsia" w:hAnsiTheme="minorHAnsi" w:cstheme="minorBidi"/>
          <w:noProof/>
          <w:sz w:val="22"/>
          <w:szCs w:val="22"/>
        </w:rPr>
      </w:pPr>
      <w:hyperlink w:anchor="_Toc25305774" w:history="1">
        <w:r w:rsidR="00F953FB" w:rsidRPr="007A0918">
          <w:rPr>
            <w:rStyle w:val="Hyperlink"/>
            <w:noProof/>
          </w:rPr>
          <w:tab/>
          <w:t>Schedule No. 4 Monthly Water Rates</w:t>
        </w:r>
        <w:r w:rsidR="00F953FB">
          <w:rPr>
            <w:noProof/>
            <w:webHidden/>
          </w:rPr>
          <w:tab/>
        </w:r>
        <w:r w:rsidR="00F953FB">
          <w:rPr>
            <w:noProof/>
            <w:webHidden/>
          </w:rPr>
          <w:fldChar w:fldCharType="begin"/>
        </w:r>
        <w:r w:rsidR="00F953FB">
          <w:rPr>
            <w:noProof/>
            <w:webHidden/>
          </w:rPr>
          <w:instrText xml:space="preserve"> PAGEREF _Toc25305774 \h </w:instrText>
        </w:r>
        <w:r w:rsidR="00F953FB">
          <w:rPr>
            <w:noProof/>
            <w:webHidden/>
          </w:rPr>
        </w:r>
        <w:r w:rsidR="00F953FB">
          <w:rPr>
            <w:noProof/>
            <w:webHidden/>
          </w:rPr>
          <w:fldChar w:fldCharType="separate"/>
        </w:r>
        <w:r w:rsidR="0014690B">
          <w:rPr>
            <w:noProof/>
            <w:webHidden/>
          </w:rPr>
          <w:t>29</w:t>
        </w:r>
        <w:r w:rsidR="00F953FB">
          <w:rPr>
            <w:noProof/>
            <w:webHidden/>
          </w:rPr>
          <w:fldChar w:fldCharType="end"/>
        </w:r>
      </w:hyperlink>
    </w:p>
    <w:p w:rsidR="00165B94" w:rsidRDefault="00165B94">
      <w:pPr>
        <w:pStyle w:val="TOCColumnHeadings"/>
      </w:pPr>
      <w:r>
        <w:fldChar w:fldCharType="end"/>
      </w:r>
    </w:p>
    <w:p w:rsidR="007C0528" w:rsidRDefault="00165B94">
      <w:pPr>
        <w:pStyle w:val="RecommendationMajorSectionHeading"/>
      </w:pPr>
      <w:r>
        <w:br w:type="page"/>
      </w:r>
      <w:r w:rsidR="007C0528">
        <w:lastRenderedPageBreak/>
        <w:t xml:space="preserve"> </w:t>
      </w:r>
      <w:bookmarkStart w:id="11" w:name="CaseBackground"/>
      <w:r w:rsidR="007C0528">
        <w:t>Case Background</w:t>
      </w:r>
      <w:r w:rsidR="007C0528">
        <w:fldChar w:fldCharType="begin"/>
      </w:r>
      <w:r w:rsidR="007C0528">
        <w:instrText xml:space="preserve"> TC  "</w:instrText>
      </w:r>
      <w:bookmarkStart w:id="12" w:name="_Toc25305752"/>
      <w:r w:rsidR="007C0528">
        <w:tab/>
        <w:instrText>Case Background</w:instrText>
      </w:r>
      <w:bookmarkEnd w:id="12"/>
      <w:r w:rsidR="007C0528">
        <w:instrText xml:space="preserve">" \l 1 </w:instrText>
      </w:r>
      <w:r w:rsidR="007C0528">
        <w:fldChar w:fldCharType="end"/>
      </w:r>
    </w:p>
    <w:p w:rsidR="00165B94" w:rsidRDefault="00165B94" w:rsidP="00165B94">
      <w:pPr>
        <w:pStyle w:val="BodyText"/>
      </w:pPr>
      <w:r>
        <w:t>Placid Lakes Utilities</w:t>
      </w:r>
      <w:r w:rsidR="00771334">
        <w:t>,</w:t>
      </w:r>
      <w:r>
        <w:t xml:space="preserve"> Inc. (Placid Lakes or utility) is a Class B water utility providing service to approximately 2,000 customers in Highlands County. Placid Lakes is located in the Southwest Florida Water Management District </w:t>
      </w:r>
      <w:r w:rsidR="003F0593">
        <w:t xml:space="preserve">(SWFWMD) </w:t>
      </w:r>
      <w:r>
        <w:t>as a critical use area. The utility’s water rates were last established in its 2013 rate proceeding.</w:t>
      </w:r>
      <w:r>
        <w:rPr>
          <w:rStyle w:val="FootnoteReference"/>
        </w:rPr>
        <w:footnoteReference w:id="1"/>
      </w:r>
      <w:r>
        <w:t xml:space="preserve"> Placid Lakes is a wholly-owned subsidiary of Lake Placid Holding Company (LPHC), the primary developer of the Placid Lakes subdivision. In its 2018 annual report, the utility reported operating revenues of $668,899 and a net operating loss of $12,020.</w:t>
      </w:r>
    </w:p>
    <w:p w:rsidR="00165B94" w:rsidRDefault="00165B94" w:rsidP="00165B94">
      <w:pPr>
        <w:jc w:val="both"/>
      </w:pPr>
      <w:r>
        <w:t>On May 13, 2019, Placid Lakes filed an application with the Florida Public Service Commission (Commission) for an increase in water rates. Accompanying the utility’s application were minimum filing requirement schedules (MFRs) required by Rule 25-30.34</w:t>
      </w:r>
      <w:r w:rsidR="00771334">
        <w:t>6</w:t>
      </w:r>
      <w:r>
        <w:t xml:space="preserve">, Florida Administrative Code (F.A.C.). </w:t>
      </w:r>
    </w:p>
    <w:p w:rsidR="00165B94" w:rsidRDefault="00165B94" w:rsidP="00165B94">
      <w:pPr>
        <w:jc w:val="both"/>
      </w:pPr>
    </w:p>
    <w:p w:rsidR="00165B94" w:rsidRDefault="00165B94" w:rsidP="00165B94">
      <w:pPr>
        <w:jc w:val="both"/>
      </w:pPr>
      <w:r>
        <w:t xml:space="preserve">The utility had a few deficiencies within its </w:t>
      </w:r>
      <w:proofErr w:type="spellStart"/>
      <w:r>
        <w:t>MFRs.</w:t>
      </w:r>
      <w:proofErr w:type="spellEnd"/>
      <w:r>
        <w:t xml:space="preserve"> The deficiencies were corrected and June 21, 2019, was established as the official filing date. The utility requested that the application be processed using the Proposed Agency Action (PAA) procedure. The historic test year established for final</w:t>
      </w:r>
      <w:r w:rsidR="003F0593">
        <w:t xml:space="preserve"> rates is the historical twelve-</w:t>
      </w:r>
      <w:r>
        <w:t xml:space="preserve">month period ended December 31, 2018. Additionally, within its application, the utility requested interim rates. </w:t>
      </w:r>
      <w:proofErr w:type="gramStart"/>
      <w:r>
        <w:t>By Order No.</w:t>
      </w:r>
      <w:proofErr w:type="gramEnd"/>
      <w:r>
        <w:t xml:space="preserve"> PSC-2019-0286-PCO-WU, the Commission suspended the final water rates proposed by the utility to allow staff sufficient time to process this case and approved an across-the-board interim rate increase of 4.52 percent.</w:t>
      </w:r>
      <w:r>
        <w:rPr>
          <w:rStyle w:val="FootnoteReference"/>
        </w:rPr>
        <w:footnoteReference w:id="2"/>
      </w:r>
      <w:r>
        <w:t xml:space="preserve"> In its filing, the utility requested a final revenue increase of $97,116 (14.5 percent).</w:t>
      </w:r>
    </w:p>
    <w:p w:rsidR="00165B94" w:rsidRDefault="00165B94" w:rsidP="00165B94">
      <w:pPr>
        <w:jc w:val="both"/>
      </w:pPr>
    </w:p>
    <w:p w:rsidR="00165B94" w:rsidRDefault="00165B94" w:rsidP="00165B94">
      <w:pPr>
        <w:jc w:val="both"/>
      </w:pPr>
      <w:r>
        <w:t>The five-month statutory deadline for the Commission to address the utility’s requested final rates was November 21, 2019. However, by letter dated September 10, 2019, Placid Lakes waived the statutory time frame by which the Commission is required to address the utility’s final requested rates through December 10, 2019.</w:t>
      </w:r>
    </w:p>
    <w:p w:rsidR="00165B94" w:rsidRDefault="00165B94" w:rsidP="00165B94">
      <w:pPr>
        <w:jc w:val="both"/>
      </w:pPr>
    </w:p>
    <w:p w:rsidR="00165B94" w:rsidRDefault="00165B94" w:rsidP="00165B94">
      <w:pPr>
        <w:jc w:val="both"/>
      </w:pPr>
      <w:r>
        <w:t>This recommendation addresses Placid Lakes’ request for final rates. The Commission has jurisdiction pursuant to Section</w:t>
      </w:r>
      <w:r w:rsidR="00771334">
        <w:t>s</w:t>
      </w:r>
      <w:r>
        <w:t xml:space="preserve"> 367.081, 367.0812, and 367.091</w:t>
      </w:r>
      <w:r w:rsidR="00771334">
        <w:t>,</w:t>
      </w:r>
      <w:r>
        <w:t xml:space="preserve"> Florida Statutes (F.S.).</w:t>
      </w:r>
    </w:p>
    <w:p w:rsidR="00165B94" w:rsidRDefault="00165B94" w:rsidP="00165B94">
      <w:pPr>
        <w:pStyle w:val="RecommendationMajorSectionHeading"/>
        <w:sectPr w:rsidR="00165B94">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bookmarkEnd w:id="11"/>
    <w:p w:rsidR="00EA2273" w:rsidRDefault="00EA2273">
      <w:pPr>
        <w:pStyle w:val="RecommendationMajorSectionHeading"/>
        <w:sectPr w:rsidR="00EA2273">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165B94" w:rsidRDefault="00165B94">
      <w:pPr>
        <w:pStyle w:val="IssueHeading"/>
        <w:rPr>
          <w:vanish/>
          <w:specVanish/>
        </w:rPr>
      </w:pPr>
      <w:r w:rsidRPr="004C3641">
        <w:t xml:space="preserve">Issue </w:t>
      </w:r>
      <w:r w:rsidR="009019FF">
        <w:fldChar w:fldCharType="begin"/>
      </w:r>
      <w:r w:rsidR="009019FF">
        <w:instrText xml:space="preserve"> SEQ Issue \* MERGEFORMAT </w:instrText>
      </w:r>
      <w:r w:rsidR="009019FF">
        <w:fldChar w:fldCharType="separate"/>
      </w:r>
      <w:r w:rsidR="0014690B">
        <w:rPr>
          <w:noProof/>
        </w:rPr>
        <w:t>1</w:t>
      </w:r>
      <w:r w:rsidR="009019F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6" w:name="_Toc25305753"/>
      <w:r w:rsidR="0014690B">
        <w:rPr>
          <w:noProof/>
        </w:rPr>
        <w:instrText>1</w:instrText>
      </w:r>
      <w:r>
        <w:fldChar w:fldCharType="end"/>
      </w:r>
      <w:r>
        <w:tab/>
        <w:instrText>Quality of Service</w:instrText>
      </w:r>
      <w:r w:rsidR="00844B5A">
        <w:instrText xml:space="preserve"> </w:instrText>
      </w:r>
      <w:r w:rsidR="008148DF">
        <w:instrText>(Knoblauch</w:instrText>
      </w:r>
      <w:r>
        <w:instrText>)</w:instrText>
      </w:r>
      <w:bookmarkEnd w:id="16"/>
      <w:r>
        <w:instrText xml:space="preserve">" \l 1 </w:instrText>
      </w:r>
      <w:r>
        <w:fldChar w:fldCharType="end"/>
      </w:r>
      <w:r>
        <w:t> </w:t>
      </w:r>
    </w:p>
    <w:p w:rsidR="00165B94" w:rsidRDefault="00165B94">
      <w:pPr>
        <w:pStyle w:val="BodyText"/>
      </w:pPr>
      <w:r>
        <w:t> Is the quality of service provided by Placid Lakes satisfactory?</w:t>
      </w:r>
    </w:p>
    <w:p w:rsidR="00165B94" w:rsidRPr="004C3641" w:rsidRDefault="00165B94">
      <w:pPr>
        <w:pStyle w:val="IssueSubsectionHeading"/>
        <w:rPr>
          <w:vanish/>
          <w:specVanish/>
        </w:rPr>
      </w:pPr>
      <w:r w:rsidRPr="004C3641">
        <w:t>Recommendation: </w:t>
      </w:r>
    </w:p>
    <w:p w:rsidR="00165B94" w:rsidRDefault="00165B94">
      <w:pPr>
        <w:pStyle w:val="BodyText"/>
      </w:pPr>
      <w:r>
        <w:t> </w:t>
      </w:r>
      <w:r w:rsidR="00022782">
        <w:t xml:space="preserve">Yes. </w:t>
      </w:r>
      <w:r w:rsidRPr="00B073FF">
        <w:t>Staff recommends the overall quality of service provided by Placid Lakes be considered satisfactory.</w:t>
      </w:r>
      <w:r>
        <w:t xml:space="preserve"> (Knoblauch, </w:t>
      </w:r>
      <w:proofErr w:type="spellStart"/>
      <w:r>
        <w:t>Doehling</w:t>
      </w:r>
      <w:proofErr w:type="spellEnd"/>
      <w:r>
        <w:t>)</w:t>
      </w:r>
    </w:p>
    <w:p w:rsidR="00165B94" w:rsidRPr="004C3641" w:rsidRDefault="00165B94">
      <w:pPr>
        <w:pStyle w:val="IssueSubsectionHeading"/>
        <w:rPr>
          <w:vanish/>
          <w:specVanish/>
        </w:rPr>
      </w:pPr>
      <w:r w:rsidRPr="004C3641">
        <w:t>Staff Analysis: </w:t>
      </w:r>
    </w:p>
    <w:p w:rsidR="00165B94" w:rsidRDefault="00165B94" w:rsidP="00165B94">
      <w:pPr>
        <w:pStyle w:val="BodyText"/>
      </w:pPr>
      <w:r>
        <w:t> </w:t>
      </w:r>
      <w:r w:rsidRPr="00E42FEF">
        <w:t xml:space="preserve">Pursuant to Rule 25-30.433(1), </w:t>
      </w:r>
      <w:r w:rsidR="008148DF">
        <w:t xml:space="preserve"> F.A.C.</w:t>
      </w:r>
      <w:r w:rsidRPr="00E42FEF">
        <w:t xml:space="preserve">, the Commission, in every rate case, </w:t>
      </w:r>
      <w:r w:rsidR="00022782">
        <w:t>“</w:t>
      </w:r>
      <w:r w:rsidRPr="00E42FEF">
        <w:t xml:space="preserve">shall make a determination of the quality of service provided by the utility by evaluating the quality of </w:t>
      </w:r>
      <w:r>
        <w:t xml:space="preserve">the </w:t>
      </w:r>
      <w:r w:rsidRPr="00E42FEF">
        <w:t>utility’s product (water) and the utility’s attempt to address customer satisfacti</w:t>
      </w:r>
      <w:r>
        <w:t>on (water and wastewater).</w:t>
      </w:r>
      <w:r w:rsidR="00022782">
        <w:t>”</w:t>
      </w:r>
      <w:r>
        <w:t xml:space="preserve"> The r</w:t>
      </w:r>
      <w:r w:rsidRPr="00E42FEF">
        <w:t>ule states that the most recent chemical analyses, outstanding citations, violations, and consent orders on file with the Department of Environmental Protection (DEP) and the county health department, along with any DEP and county health department officials’ testimony concerning quality of service shall be considered. In addition, any customer testimony, comments, or complaints shall also be considered</w:t>
      </w:r>
      <w:r>
        <w:t>.</w:t>
      </w:r>
    </w:p>
    <w:p w:rsidR="00165B94" w:rsidRDefault="00165B94" w:rsidP="00165B94">
      <w:pPr>
        <w:pStyle w:val="First-LevelSubheading"/>
      </w:pPr>
      <w:r w:rsidRPr="00E42FEF">
        <w:t>Quality of the Utility’s Product</w:t>
      </w:r>
    </w:p>
    <w:p w:rsidR="00165B94" w:rsidRDefault="00165B94" w:rsidP="00165B94">
      <w:pPr>
        <w:pStyle w:val="BodyText"/>
      </w:pPr>
      <w:r>
        <w:t xml:space="preserve">In the evaluation of Placid Lakes’ product quality, staff reviewed the utility’s compliance with the DEP’s primary and secondary drinking water standards. Primary standards protect public health, while secondary standards regulate contaminants that may impact the taste, odor, and color of drinking water. As provided in Placid Lakes’ MFRs, the utility entered into a consent order with the DEP on November 19, 2018, for exceedances of the maximum contaminant levels (MCLs) for disinfection byproducts. In response to a staff data request, the utility indicated that a new hydrogen peroxide treatment system, to address the disinfection byproducts exceedances, was accepted by the DEP on April 17, 2019, and was placed into service in early May 2019. </w:t>
      </w:r>
    </w:p>
    <w:p w:rsidR="00165B94" w:rsidRDefault="00165B94" w:rsidP="00165B94">
      <w:pPr>
        <w:pStyle w:val="BodyText"/>
      </w:pPr>
      <w:r>
        <w:t xml:space="preserve">Based on the most recent test results dated May 16, 2019, and following the installation of the new treatment system, the disinfection byproducts were below the MCLs. The utility appears to have met the conditions of the consent order, and in correspondence with staff, the DEP stated that Placid Lakes is no longer on </w:t>
      </w:r>
      <w:r w:rsidRPr="005B3137">
        <w:t>quarterly monitoring for disinfect</w:t>
      </w:r>
      <w:r>
        <w:t>ion</w:t>
      </w:r>
      <w:r w:rsidRPr="005B3137">
        <w:t xml:space="preserve"> byproducts. </w:t>
      </w:r>
      <w:r w:rsidRPr="006338F4">
        <w:t>The most recent chemical analyses</w:t>
      </w:r>
      <w:r>
        <w:t xml:space="preserve"> results</w:t>
      </w:r>
      <w:r w:rsidRPr="006338F4">
        <w:t xml:space="preserve"> </w:t>
      </w:r>
      <w:r>
        <w:t xml:space="preserve">for all other contaminants </w:t>
      </w:r>
      <w:r w:rsidRPr="006338F4">
        <w:t>were</w:t>
      </w:r>
      <w:r>
        <w:t xml:space="preserve"> dated May 5, 2017, and were in </w:t>
      </w:r>
      <w:r w:rsidRPr="006338F4">
        <w:t xml:space="preserve">compliance with the DEP’s </w:t>
      </w:r>
      <w:r>
        <w:t xml:space="preserve">drinking water </w:t>
      </w:r>
      <w:r w:rsidRPr="006338F4">
        <w:t>standards.</w:t>
      </w:r>
      <w:r>
        <w:t xml:space="preserve"> </w:t>
      </w:r>
    </w:p>
    <w:p w:rsidR="00165B94" w:rsidRDefault="00165B94" w:rsidP="00165B94">
      <w:pPr>
        <w:pStyle w:val="BodyText"/>
      </w:pPr>
      <w:r w:rsidRPr="00FA0B4D">
        <w:t xml:space="preserve">Staff requested complaints from the DEP for the </w:t>
      </w:r>
      <w:r w:rsidR="008148DF">
        <w:t>test year and four years preceding the test year</w:t>
      </w:r>
      <w:r w:rsidRPr="00FA0B4D">
        <w:t>, and received four complaints. One</w:t>
      </w:r>
      <w:r>
        <w:t xml:space="preserve"> of the complaints, dated April 20, 2017, cited a concern regarding the level of phosphate in the water; however, the DEP reported that the results had been incorrectly interpreted and no further action was recorded. Two of the complaints, made in 2018 and 2019, stated issues with the taste, odor, and residue in the water, while the last complaint was made in 2018 and questioned the safety of the water due to </w:t>
      </w:r>
      <w:r w:rsidR="00771334">
        <w:t xml:space="preserve">the </w:t>
      </w:r>
      <w:r>
        <w:t xml:space="preserve">noticing of disinfection byproducts exceedances. The utility was issued a construction permit by the DEP for plant improvements to address the formation of disinfection byproducts, as well as taste and odor issues from hydrogen sulfide. Additionally, the DEP requested that the utility increase its distribution system flushing until the improvements were complete. </w:t>
      </w:r>
    </w:p>
    <w:p w:rsidR="00165B94" w:rsidRDefault="008148DF" w:rsidP="00165B94">
      <w:pPr>
        <w:pStyle w:val="BodyText"/>
      </w:pPr>
      <w:r>
        <w:t xml:space="preserve">In its MFRs, Placid Lakes provided 66 work orders in response to customer complaints that the utility received </w:t>
      </w:r>
      <w:r w:rsidR="00022782">
        <w:t xml:space="preserve">directly </w:t>
      </w:r>
      <w:r>
        <w:t>for the period of 2014</w:t>
      </w:r>
      <w:r w:rsidR="00C64C44">
        <w:t>-</w:t>
      </w:r>
      <w:r>
        <w:t xml:space="preserve">2018. Out of the 66 work orders, six were related to the color or smell of the water, and one work order was related to water quality testing. The </w:t>
      </w:r>
      <w:r>
        <w:lastRenderedPageBreak/>
        <w:t>utility addressed the color and smell issues with flushing, and indicated that the water quality test was checked by utility personnel. The remaining 59 work orders were regarding flushing and are discussed below.</w:t>
      </w:r>
    </w:p>
    <w:p w:rsidR="00165B94" w:rsidRDefault="00165B94" w:rsidP="00165B94">
      <w:pPr>
        <w:pStyle w:val="First-LevelSubheading"/>
      </w:pPr>
      <w:r>
        <w:t>The Utility’s Attempt to Address Customer Satisfaction</w:t>
      </w:r>
    </w:p>
    <w:p w:rsidR="00165B94" w:rsidRPr="00126D02" w:rsidRDefault="00165B94" w:rsidP="00165B94">
      <w:pPr>
        <w:pStyle w:val="BodyText"/>
      </w:pPr>
      <w:r w:rsidRPr="00FF46C6">
        <w:t xml:space="preserve">Staff reviewed the Commission’s complaint records </w:t>
      </w:r>
      <w:r>
        <w:t>for the test year and four years prior</w:t>
      </w:r>
      <w:r w:rsidRPr="00FF46C6">
        <w:t xml:space="preserve">, and found </w:t>
      </w:r>
      <w:r>
        <w:t>four</w:t>
      </w:r>
      <w:r w:rsidRPr="00FF46C6">
        <w:t xml:space="preserve"> complaint</w:t>
      </w:r>
      <w:r>
        <w:t>s. The complaints were received in 2014, 2016, 2017, and 2018, and were all related to billing.</w:t>
      </w:r>
      <w:r w:rsidRPr="00F17194">
        <w:t xml:space="preserve"> The complaints were forwarded to the </w:t>
      </w:r>
      <w:r>
        <w:t>u</w:t>
      </w:r>
      <w:r w:rsidRPr="00F17194">
        <w:t>tility for resolution, and each complaint has been closed.</w:t>
      </w:r>
      <w:r>
        <w:t xml:space="preserve"> Correspondence from one customer dated July 22, 2019, was filed in the docket. The letter stated that Placid Lake</w:t>
      </w:r>
      <w:r w:rsidR="003D40A9">
        <w:t>’s</w:t>
      </w:r>
      <w:r>
        <w:t xml:space="preserve"> customers were told that the water was unsafe to drink the previous year, and no update on the water status had been provided. Based on DEP records, notices were mailed out on August 15, 2018</w:t>
      </w:r>
      <w:r w:rsidR="00F703F9">
        <w:t>,</w:t>
      </w:r>
      <w:r>
        <w:t xml:space="preserve"> advising of the </w:t>
      </w:r>
      <w:r w:rsidRPr="00F17194">
        <w:t>disinfection byproducts exceedances</w:t>
      </w:r>
      <w:r>
        <w:t xml:space="preserve">. However, as discussed above, the utility has implemented a new treatment system in order to address the issues with </w:t>
      </w:r>
      <w:r w:rsidRPr="00951536">
        <w:t>disinfection byproducts</w:t>
      </w:r>
      <w:r>
        <w:t>.</w:t>
      </w:r>
    </w:p>
    <w:p w:rsidR="00165B94" w:rsidRDefault="00165B94" w:rsidP="00165B94">
      <w:pPr>
        <w:pStyle w:val="BodyText"/>
      </w:pPr>
      <w:r>
        <w:t>A</w:t>
      </w:r>
      <w:r w:rsidRPr="00126D02">
        <w:t xml:space="preserve"> customer meeting </w:t>
      </w:r>
      <w:r>
        <w:t xml:space="preserve">was </w:t>
      </w:r>
      <w:r w:rsidRPr="00126D02">
        <w:t>held on April 30, 2018,</w:t>
      </w:r>
      <w:r>
        <w:t xml:space="preserve"> where</w:t>
      </w:r>
      <w:r w:rsidRPr="00126D02">
        <w:t xml:space="preserve"> two customers</w:t>
      </w:r>
      <w:r>
        <w:t xml:space="preserve"> provided comments. One customer discussed a reoccurring issue regarding a water leak at their meter, and the second customer voiced concerns about inadequate flushing. In response, the u</w:t>
      </w:r>
      <w:r w:rsidRPr="00FB6CB7">
        <w:t>tility provided</w:t>
      </w:r>
      <w:r>
        <w:t xml:space="preserve"> that for the customer who had experienced water leaks, the leak had been repaired by replacing the valve inside the meter box. In regards to flushing, the utility stated that it has 160 blow-off locations at the end of lines, and 30 of the locations are automatically flushed once a month. The remaining 130 locations are flushed twice a year</w:t>
      </w:r>
      <w:r w:rsidR="00F703F9">
        <w:t xml:space="preserve"> to </w:t>
      </w:r>
      <w:r w:rsidR="00F703F9" w:rsidRPr="00F703F9">
        <w:t>every 3 months</w:t>
      </w:r>
      <w:r>
        <w:t xml:space="preserve">, or more often if needed. </w:t>
      </w:r>
    </w:p>
    <w:p w:rsidR="00165B94" w:rsidRDefault="00165B94" w:rsidP="00165B94">
      <w:pPr>
        <w:pStyle w:val="BodyText"/>
      </w:pPr>
      <w:r>
        <w:t xml:space="preserve">Following the conclusion of the customer meeting, a third customer provided a water sample, which was given to the utility and photos of the sample were placed in the docket. In response to staff’s third data request, Placid Lakes indicated that an abnormal break had occurred, and there </w:t>
      </w:r>
      <w:r w:rsidR="008148DF">
        <w:t>was</w:t>
      </w:r>
      <w:r>
        <w:t xml:space="preserve"> a chance of sediment and loose iron pieces traveling into the lines. However, the utility stated that it had repeatedly flushed the lines and has “passed all testing at the lab deeming the water safe for human consumption.”</w:t>
      </w:r>
    </w:p>
    <w:p w:rsidR="00165B94" w:rsidRDefault="008148DF" w:rsidP="00165B94">
      <w:pPr>
        <w:pStyle w:val="BodyText"/>
      </w:pPr>
      <w:r>
        <w:t>As discussed above</w:t>
      </w:r>
      <w:r w:rsidR="00165B94">
        <w:t>, Placid Lakes provided 66 work orders in response to customer complaints that the utility received for the period of 2014</w:t>
      </w:r>
      <w:r w:rsidR="00C64C44">
        <w:t>-</w:t>
      </w:r>
      <w:r w:rsidR="00165B94">
        <w:t xml:space="preserve">2018. Out of the 66 work orders, all but 7 identified inadequate flushing as the area of concern, and these complaints were addressed by the utility with additional flushing of the lines. </w:t>
      </w:r>
      <w:r>
        <w:t>As discussed previously, the seven other work orders were related to the quality of the water</w:t>
      </w:r>
      <w:r w:rsidR="00165B94">
        <w:t xml:space="preserve">. </w:t>
      </w:r>
    </w:p>
    <w:p w:rsidR="00165B94" w:rsidRDefault="00165B94" w:rsidP="00165B94">
      <w:pPr>
        <w:pStyle w:val="First-LevelSubheading"/>
      </w:pPr>
      <w:r>
        <w:t>Conclusion</w:t>
      </w:r>
    </w:p>
    <w:p w:rsidR="00165B94" w:rsidRDefault="00165B94" w:rsidP="00165B94">
      <w:pPr>
        <w:pStyle w:val="BodyText"/>
      </w:pPr>
      <w:r>
        <w:t>Placid Lakes has taken action to address the disinfection byproduct exceedances addressed in a DEP consent o</w:t>
      </w:r>
      <w:r w:rsidRPr="00677666">
        <w:t xml:space="preserve">rder </w:t>
      </w:r>
      <w:r>
        <w:t>dated</w:t>
      </w:r>
      <w:r w:rsidRPr="00677666">
        <w:t xml:space="preserve"> November 19, 2018</w:t>
      </w:r>
      <w:r>
        <w:t xml:space="preserve">. Based on the most recent test results for disinfection byproducts and </w:t>
      </w:r>
      <w:r w:rsidRPr="00677666">
        <w:t>chemical analyses</w:t>
      </w:r>
      <w:r>
        <w:t>,</w:t>
      </w:r>
      <w:r w:rsidRPr="00677666">
        <w:t xml:space="preserve"> </w:t>
      </w:r>
      <w:r>
        <w:t xml:space="preserve">all contaminants </w:t>
      </w:r>
      <w:r w:rsidRPr="00677666">
        <w:t>were in compliance with the DEP’s drinking water standards.</w:t>
      </w:r>
      <w:r>
        <w:t xml:space="preserve"> Additionally, the utility appears to be responding adequately to the concerns of its customers. Therefore, staff recommends the overall quality of service provided by Placid Lakes be considered satisfactory.</w:t>
      </w:r>
    </w:p>
    <w:p w:rsidR="00165B94" w:rsidRDefault="00165B94">
      <w:pPr>
        <w:pStyle w:val="BodyText"/>
      </w:pPr>
    </w:p>
    <w:p w:rsidR="00165B94" w:rsidRDefault="00165B94">
      <w:pPr>
        <w:pStyle w:val="IssueHeading"/>
        <w:rPr>
          <w:vanish/>
          <w:specVanish/>
        </w:rPr>
      </w:pPr>
      <w:r w:rsidRPr="004C3641">
        <w:rPr>
          <w:b w:val="0"/>
          <w:i w:val="0"/>
        </w:rPr>
        <w:br w:type="page"/>
      </w:r>
      <w:r w:rsidRPr="004C3641">
        <w:lastRenderedPageBreak/>
        <w:t xml:space="preserve">Issue </w:t>
      </w:r>
      <w:r w:rsidR="009019FF">
        <w:fldChar w:fldCharType="begin"/>
      </w:r>
      <w:r w:rsidR="009019FF">
        <w:instrText xml:space="preserve"> SEQ Issue \* MERGEFORMAT </w:instrText>
      </w:r>
      <w:r w:rsidR="009019FF">
        <w:fldChar w:fldCharType="separate"/>
      </w:r>
      <w:r w:rsidR="0014690B">
        <w:rPr>
          <w:noProof/>
        </w:rPr>
        <w:t>2</w:t>
      </w:r>
      <w:r w:rsidR="009019F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7" w:name="_Toc25305754"/>
      <w:r w:rsidR="0014690B">
        <w:rPr>
          <w:noProof/>
        </w:rPr>
        <w:instrText>2</w:instrText>
      </w:r>
      <w:r>
        <w:fldChar w:fldCharType="end"/>
      </w:r>
      <w:r>
        <w:tab/>
        <w:instrText>Used and Useful</w:instrText>
      </w:r>
      <w:r w:rsidR="00844B5A">
        <w:instrText xml:space="preserve"> </w:instrText>
      </w:r>
      <w:r>
        <w:instrText>(Knoblauch)</w:instrText>
      </w:r>
      <w:bookmarkEnd w:id="17"/>
      <w:r>
        <w:instrText xml:space="preserve">" \l 1 </w:instrText>
      </w:r>
      <w:r>
        <w:fldChar w:fldCharType="end"/>
      </w:r>
      <w:r>
        <w:t> </w:t>
      </w:r>
    </w:p>
    <w:p w:rsidR="00165B94" w:rsidRDefault="00165B94">
      <w:pPr>
        <w:pStyle w:val="BodyText"/>
      </w:pPr>
      <w:r>
        <w:t> What are the used and useful (U&amp;U) percentages for Placid Lakes' water treatment plant (WTP), storage, and distribution system?</w:t>
      </w:r>
    </w:p>
    <w:p w:rsidR="00165B94" w:rsidRPr="004C3641" w:rsidRDefault="00165B94">
      <w:pPr>
        <w:pStyle w:val="IssueSubsectionHeading"/>
        <w:rPr>
          <w:vanish/>
          <w:specVanish/>
        </w:rPr>
      </w:pPr>
      <w:r w:rsidRPr="004C3641">
        <w:t>Recommendation: </w:t>
      </w:r>
    </w:p>
    <w:p w:rsidR="00165B94" w:rsidRDefault="00165B94">
      <w:pPr>
        <w:pStyle w:val="BodyText"/>
      </w:pPr>
      <w:r>
        <w:t> </w:t>
      </w:r>
      <w:r w:rsidRPr="00165B94">
        <w:t xml:space="preserve">Staff recommends Placid Lakes’ WTP and storage be considered 100 percent U&amp;U, and the water distribution system </w:t>
      </w:r>
      <w:proofErr w:type="gramStart"/>
      <w:r w:rsidRPr="00165B94">
        <w:t>be</w:t>
      </w:r>
      <w:proofErr w:type="gramEnd"/>
      <w:r w:rsidRPr="00165B94">
        <w:t xml:space="preserve"> considered 79.09 percent U&amp;U. There appears to be no excessive unaccounted for water (EUW); therefore, staff recommends that no adjustment be made to operating expenses for chemicals and purchased power.</w:t>
      </w:r>
      <w:r>
        <w:t xml:space="preserve"> (Knoblauch)</w:t>
      </w:r>
    </w:p>
    <w:p w:rsidR="00165B94" w:rsidRPr="004C3641" w:rsidRDefault="00165B94">
      <w:pPr>
        <w:pStyle w:val="IssueSubsectionHeading"/>
        <w:rPr>
          <w:vanish/>
          <w:specVanish/>
        </w:rPr>
      </w:pPr>
      <w:r w:rsidRPr="004C3641">
        <w:t>Staff Analysis: </w:t>
      </w:r>
    </w:p>
    <w:p w:rsidR="00165B94" w:rsidRDefault="00165B94" w:rsidP="00165B94">
      <w:pPr>
        <w:pStyle w:val="BodyText"/>
      </w:pPr>
      <w:r>
        <w:t> Placid Lakes’ WTP has three wells rated at a combined total of 1,550 gallons per minute (</w:t>
      </w:r>
      <w:proofErr w:type="spellStart"/>
      <w:r>
        <w:t>gpm</w:t>
      </w:r>
      <w:proofErr w:type="spellEnd"/>
      <w:r>
        <w:t xml:space="preserve">) pumping capacity. The utility’s water system has two ground storage tanks with a total capacity of 300,000 gallons, and three </w:t>
      </w:r>
      <w:proofErr w:type="spellStart"/>
      <w:r w:rsidRPr="00497C6C">
        <w:t>hydropneumatic</w:t>
      </w:r>
      <w:proofErr w:type="spellEnd"/>
      <w:r w:rsidRPr="00497C6C">
        <w:t xml:space="preserve"> tank</w:t>
      </w:r>
      <w:r>
        <w:t xml:space="preserve">s with a total capacity of 45,000 gallons. The distribution system is comprised of varying sizes of </w:t>
      </w:r>
      <w:r w:rsidRPr="00B63D4D">
        <w:t>polyvinyl chloride</w:t>
      </w:r>
      <w:r>
        <w:t xml:space="preserve"> (PVC) and asbestos-cement pipes.</w:t>
      </w:r>
    </w:p>
    <w:p w:rsidR="00165B94" w:rsidRPr="008151A7" w:rsidRDefault="00165B94" w:rsidP="00165B94">
      <w:pPr>
        <w:pStyle w:val="BodyText"/>
      </w:pPr>
      <w:r>
        <w:t xml:space="preserve">The U&amp;U for Placid Lakes’ water treatment plant, storage, and distribution system were last determined in Order No. </w:t>
      </w:r>
      <w:proofErr w:type="gramStart"/>
      <w:r w:rsidRPr="00533579">
        <w:t>PSC-13-0646-PAA-WU</w:t>
      </w:r>
      <w:r>
        <w:t>.</w:t>
      </w:r>
      <w:proofErr w:type="gramEnd"/>
      <w:r>
        <w:rPr>
          <w:rStyle w:val="FootnoteReference"/>
        </w:rPr>
        <w:footnoteReference w:id="3"/>
      </w:r>
      <w:r>
        <w:t xml:space="preserve"> In that Order, the Commission found Placid Lakes’ water treatment plant and storage to be 100 percent U&amp;U. For the distribution system, the </w:t>
      </w:r>
      <w:r w:rsidRPr="008151A7">
        <w:t>Commission determined the U&amp;U to be 79.09 percent using a non-traditional methodology.</w:t>
      </w:r>
    </w:p>
    <w:p w:rsidR="00165B94" w:rsidRPr="008151A7" w:rsidRDefault="00165B94" w:rsidP="00165B94">
      <w:pPr>
        <w:pStyle w:val="First-LevelSubheading"/>
      </w:pPr>
      <w:r w:rsidRPr="008151A7">
        <w:t>Water Treatment Plant and Storage Used and Useful</w:t>
      </w:r>
    </w:p>
    <w:p w:rsidR="00165B94" w:rsidRDefault="00165B94" w:rsidP="00165B94">
      <w:pPr>
        <w:pStyle w:val="BodyText"/>
      </w:pPr>
      <w:r w:rsidRPr="008151A7">
        <w:t>As noted above, the Commission found both</w:t>
      </w:r>
      <w:r>
        <w:t xml:space="preserve"> the</w:t>
      </w:r>
      <w:r w:rsidRPr="008151A7">
        <w:t xml:space="preserve"> WTP and the storage to be 100 percent U&amp;U in the prior rate proceeding. The </w:t>
      </w:r>
      <w:r>
        <w:t>u</w:t>
      </w:r>
      <w:r w:rsidRPr="008151A7">
        <w:t xml:space="preserve">tility has not increased the capacity of its WTP or storage since its last rate case. Therefore, consistent with the Commission’s previous decision, staff recommends the </w:t>
      </w:r>
      <w:r>
        <w:t>u</w:t>
      </w:r>
      <w:r w:rsidRPr="008151A7">
        <w:t xml:space="preserve">tility’s WTP and storage </w:t>
      </w:r>
      <w:proofErr w:type="gramStart"/>
      <w:r w:rsidRPr="008151A7">
        <w:t>be</w:t>
      </w:r>
      <w:proofErr w:type="gramEnd"/>
      <w:r w:rsidRPr="008151A7">
        <w:t xml:space="preserve"> considered 100 percent U&amp;U.</w:t>
      </w:r>
      <w:r>
        <w:t xml:space="preserve"> </w:t>
      </w:r>
    </w:p>
    <w:p w:rsidR="00165B94" w:rsidRDefault="00165B94" w:rsidP="00165B94">
      <w:pPr>
        <w:pStyle w:val="First-LevelSubheading"/>
      </w:pPr>
      <w:r>
        <w:t>Excessive Unaccounted for Water (EUW)</w:t>
      </w:r>
    </w:p>
    <w:p w:rsidR="00165B94" w:rsidRDefault="00165B94" w:rsidP="00165B94">
      <w:pPr>
        <w:pStyle w:val="BodyText"/>
      </w:pPr>
      <w:r w:rsidRPr="005719EB">
        <w:t>Rule 25-30.4325, F.A.C., defines EUW as “unaccounted for water in excess of 10 percent of the amount produced.” Unaccounted for water is all water produced that is not sold, metered, or accounted for in the records of the utility. In determining whether adjustments to plant and operating expenses are necessary in accordance with Rule 25-30.4325(10), F.A.C.,</w:t>
      </w:r>
      <w:r w:rsidR="00444C60">
        <w:t xml:space="preserve"> due to EUW</w:t>
      </w:r>
      <w:r w:rsidR="00C359C4">
        <w:t>,</w:t>
      </w:r>
      <w:r w:rsidRPr="005719EB">
        <w:t xml:space="preserve"> staff considers several factors. These include (1) the causes of EUW, (2) any corrective action taken, </w:t>
      </w:r>
      <w:r w:rsidR="00444C60">
        <w:t xml:space="preserve">and </w:t>
      </w:r>
      <w:r w:rsidRPr="005719EB">
        <w:t xml:space="preserve">(3) the </w:t>
      </w:r>
      <w:proofErr w:type="spellStart"/>
      <w:r w:rsidRPr="005719EB">
        <w:t>economical</w:t>
      </w:r>
      <w:proofErr w:type="spellEnd"/>
      <w:r w:rsidRPr="005719EB">
        <w:t xml:space="preserve"> feasibility of a proposed solution. EUW is calculated by subtracting both the gallons sold to customers and the gallons used for other services, such as flushing, from the total gallons pumped for the test year.</w:t>
      </w:r>
    </w:p>
    <w:p w:rsidR="00165B94" w:rsidRDefault="00165B94" w:rsidP="00165B94">
      <w:pPr>
        <w:pStyle w:val="BodyText"/>
      </w:pPr>
      <w:r w:rsidRPr="005719EB">
        <w:t xml:space="preserve">The Monthly Operating Reports indicate that the </w:t>
      </w:r>
      <w:r>
        <w:t>u</w:t>
      </w:r>
      <w:r w:rsidRPr="005719EB">
        <w:t xml:space="preserve">tility pumped </w:t>
      </w:r>
      <w:r>
        <w:t>102,783,000</w:t>
      </w:r>
      <w:r w:rsidRPr="005719EB">
        <w:t xml:space="preserve"> gallons during the test year. In </w:t>
      </w:r>
      <w:r>
        <w:t>its MFRs</w:t>
      </w:r>
      <w:r w:rsidRPr="005719EB">
        <w:t xml:space="preserve">, the </w:t>
      </w:r>
      <w:r>
        <w:t>u</w:t>
      </w:r>
      <w:r w:rsidRPr="005719EB">
        <w:t xml:space="preserve">tility indicated that it purchased no water and estimated </w:t>
      </w:r>
      <w:r>
        <w:t>11,964,000</w:t>
      </w:r>
      <w:r w:rsidRPr="005719EB">
        <w:t xml:space="preserve"> gallons for other uses, such as flushing</w:t>
      </w:r>
      <w:r>
        <w:t>, valve exercises, and customer leak adjustments</w:t>
      </w:r>
      <w:r w:rsidRPr="005719EB">
        <w:t xml:space="preserve">. According to the staff audit report, the </w:t>
      </w:r>
      <w:r>
        <w:t>u</w:t>
      </w:r>
      <w:r w:rsidRPr="005719EB">
        <w:t xml:space="preserve">tility sold </w:t>
      </w:r>
      <w:r>
        <w:t>84,389,000</w:t>
      </w:r>
      <w:r w:rsidRPr="005719EB">
        <w:t xml:space="preserve"> gallons of water for the test year. When both the gallons sold and water used for other uses is subtracted from the total gallons pumped, </w:t>
      </w:r>
      <w:r>
        <w:t>6,430,000</w:t>
      </w:r>
      <w:r w:rsidRPr="005719EB">
        <w:t xml:space="preserve"> gallons are unaccounted for. The formula for unaccounted for water is given by gallons of unaccounted for water / (total gallons pumped + gallons purchased). The resulting unaccounted for water is </w:t>
      </w:r>
      <w:r>
        <w:t>6.3</w:t>
      </w:r>
      <w:r w:rsidRPr="005719EB">
        <w:t xml:space="preserve"> percent</w:t>
      </w:r>
      <w:r>
        <w:t xml:space="preserve">; </w:t>
      </w:r>
      <w:r w:rsidR="00444C60">
        <w:t>since this is less than 10 percent</w:t>
      </w:r>
      <w:r>
        <w:t>, there is no</w:t>
      </w:r>
      <w:r w:rsidRPr="005719EB">
        <w:t xml:space="preserve"> excessive </w:t>
      </w:r>
      <w:r w:rsidRPr="005719EB">
        <w:lastRenderedPageBreak/>
        <w:t>unaccounted for water. Accordingly, staff recommends no adjustment to purchased power and chemical expenses due to EUW.</w:t>
      </w:r>
    </w:p>
    <w:p w:rsidR="00165B94" w:rsidRDefault="00165B94" w:rsidP="00165B94">
      <w:pPr>
        <w:pStyle w:val="First-LevelSubheading"/>
      </w:pPr>
      <w:r>
        <w:t>Water Distribution System Used and Useful</w:t>
      </w:r>
    </w:p>
    <w:p w:rsidR="00165B94" w:rsidRDefault="00165B94" w:rsidP="00165B94">
      <w:pPr>
        <w:pStyle w:val="BodyText"/>
      </w:pPr>
      <w:r>
        <w:t>In Placid Lakes’ 2000 Rate Case, the Commission found the utility’s distribution system to be 76.</w:t>
      </w:r>
      <w:r w:rsidR="009A4151">
        <w:t>37</w:t>
      </w:r>
      <w:r>
        <w:t xml:space="preserve"> percent U&amp;U.</w:t>
      </w:r>
      <w:r w:rsidR="009A4151">
        <w:rPr>
          <w:rStyle w:val="FootnoteReference"/>
        </w:rPr>
        <w:footnoteReference w:id="4"/>
      </w:r>
      <w:r>
        <w:t xml:space="preserve"> In that case</w:t>
      </w:r>
      <w:r w:rsidR="009A4151">
        <w:t>,</w:t>
      </w:r>
      <w:r>
        <w:t xml:space="preserve"> the Commission considered all lines larger than six inches in diameter as 100 percent U&amp;U. Smaller lines were evaluated by comparing the number of connected lots to the number of lots the lines are able to serve. These percentages were then multiplied by the original installed cost of the line, and the sum of these values was compared to the original installed cost of the distribution system, to generate a U&amp;U percent value</w:t>
      </w:r>
      <w:r w:rsidR="009A4151">
        <w:t xml:space="preserve"> of 76.</w:t>
      </w:r>
      <w:r w:rsidR="003D40A9">
        <w:t>37</w:t>
      </w:r>
      <w:r w:rsidR="009A4151">
        <w:t xml:space="preserve"> percent</w:t>
      </w:r>
      <w:r>
        <w:t>. The Commission noted that without these additional considerations, the U&amp;U would have been 54.99 percent.</w:t>
      </w:r>
    </w:p>
    <w:p w:rsidR="00165B94" w:rsidRDefault="00165B94" w:rsidP="00165B94">
      <w:pPr>
        <w:pStyle w:val="BodyText"/>
      </w:pPr>
      <w:r>
        <w:t>In Placid Lakes’ 2008 and 2013 Rate Cases, the Commission determined the utility’s distribution system to be 79.09 percent U&amp;U relying on the method of evaluation discussed above.</w:t>
      </w:r>
      <w:r w:rsidR="009A4151">
        <w:rPr>
          <w:rStyle w:val="FootnoteReference"/>
        </w:rPr>
        <w:footnoteReference w:id="5"/>
      </w:r>
      <w:r>
        <w:t xml:space="preserve"> In Placid Lakes’ 2013 Rate Case</w:t>
      </w:r>
      <w:r w:rsidR="00822A69">
        <w:t>,</w:t>
      </w:r>
      <w:r>
        <w:t xml:space="preserve"> the Commission found that the same evaluation should be used due to a lack of changed conditions in the utility’s service territory. </w:t>
      </w:r>
    </w:p>
    <w:p w:rsidR="00165B94" w:rsidRDefault="00165B94" w:rsidP="00165B94">
      <w:pPr>
        <w:pStyle w:val="BodyText"/>
      </w:pPr>
      <w:r>
        <w:t xml:space="preserve">In its MFRs, Placid Lakes asserted that its distribution system should be considered 100 percent U&amp;U. To support its assertion, the utility </w:t>
      </w:r>
      <w:r w:rsidR="00C64C44">
        <w:t>stated</w:t>
      </w:r>
      <w:r>
        <w:t xml:space="preserve"> that there are no areas of the water transmission or distribution system which could be wholly removed without impacting the ability to reliably serve customers. </w:t>
      </w:r>
    </w:p>
    <w:p w:rsidR="00165B94" w:rsidRDefault="00165B94" w:rsidP="00165B94">
      <w:pPr>
        <w:pStyle w:val="BodyText"/>
      </w:pPr>
      <w:r>
        <w:t>In the current rate case, the utility has not presented, nor has staff identified, a change in the conditions of the utility’s service territory. Therefore, staff recommends that the Commission continue to rely on the method of evaluation first established in the 2000 Rate Case. Using this evaluation, the distribution U&amp;U is calculated to be below the previously approved 79.09 percent. It is Commission practice to not decrease the U&amp;U below a previously approved percentage assuming there have been no changes to the system. Therefore, staff recommends a distribution system U&amp;U of 79.09 percent, consistent with the Commission’s previous decision.</w:t>
      </w:r>
    </w:p>
    <w:p w:rsidR="00165B94" w:rsidRDefault="00165B94" w:rsidP="00165B94">
      <w:pPr>
        <w:pStyle w:val="First-LevelSubheading"/>
      </w:pPr>
      <w:r>
        <w:t>Conclusion</w:t>
      </w:r>
    </w:p>
    <w:p w:rsidR="00165B94" w:rsidRDefault="00165B94" w:rsidP="00165B94">
      <w:pPr>
        <w:pStyle w:val="BodyText"/>
      </w:pPr>
      <w:r>
        <w:t>Staff recommends Placid Lakes’</w:t>
      </w:r>
      <w:r w:rsidRPr="00FE5EC6">
        <w:t xml:space="preserve"> WTP and </w:t>
      </w:r>
      <w:r>
        <w:t>storage</w:t>
      </w:r>
      <w:r w:rsidRPr="00FE5EC6">
        <w:t xml:space="preserve"> be considered 100 percent U&amp;U</w:t>
      </w:r>
      <w:r>
        <w:t xml:space="preserve">, and the water distribution system </w:t>
      </w:r>
      <w:proofErr w:type="gramStart"/>
      <w:r>
        <w:t>be</w:t>
      </w:r>
      <w:proofErr w:type="gramEnd"/>
      <w:r>
        <w:t xml:space="preserve"> considered 79.09 percent U&amp;U</w:t>
      </w:r>
      <w:r w:rsidRPr="00FE5EC6">
        <w:t>. There appears to be no EUW; therefore, staff recommends that no adjustment be made to operating expenses for chemicals and purchased power.</w:t>
      </w:r>
    </w:p>
    <w:p w:rsidR="00165B94" w:rsidRDefault="00165B94">
      <w:pPr>
        <w:pStyle w:val="IssueHeading"/>
        <w:rPr>
          <w:vanish/>
          <w:specVanish/>
        </w:rPr>
      </w:pPr>
      <w:r w:rsidRPr="004C3641">
        <w:rPr>
          <w:b w:val="0"/>
          <w:i w:val="0"/>
        </w:rPr>
        <w:br w:type="page"/>
      </w:r>
      <w:r w:rsidRPr="004C3641">
        <w:lastRenderedPageBreak/>
        <w:t xml:space="preserve">Issue </w:t>
      </w:r>
      <w:r w:rsidR="009019FF">
        <w:fldChar w:fldCharType="begin"/>
      </w:r>
      <w:r w:rsidR="009019FF">
        <w:instrText xml:space="preserve"> SEQ Issue \* MERGEFORMAT </w:instrText>
      </w:r>
      <w:r w:rsidR="009019FF">
        <w:fldChar w:fldCharType="separate"/>
      </w:r>
      <w:r w:rsidR="0014690B">
        <w:rPr>
          <w:noProof/>
        </w:rPr>
        <w:t>3</w:t>
      </w:r>
      <w:r w:rsidR="009019F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8" w:name="_Toc25305755"/>
      <w:r w:rsidR="0014690B">
        <w:rPr>
          <w:noProof/>
        </w:rPr>
        <w:instrText>3</w:instrText>
      </w:r>
      <w:r>
        <w:fldChar w:fldCharType="end"/>
      </w:r>
      <w:r>
        <w:tab/>
        <w:instrText>Pro Forma Plant Additions</w:instrText>
      </w:r>
      <w:r w:rsidR="00844B5A">
        <w:instrText xml:space="preserve"> </w:instrText>
      </w:r>
      <w:r>
        <w:instrText>(Knoblauch, Smith II)</w:instrText>
      </w:r>
      <w:bookmarkEnd w:id="18"/>
      <w:r>
        <w:instrText xml:space="preserve">" \l 1 </w:instrText>
      </w:r>
      <w:r>
        <w:fldChar w:fldCharType="end"/>
      </w:r>
      <w:r>
        <w:t> </w:t>
      </w:r>
    </w:p>
    <w:p w:rsidR="00165B94" w:rsidRDefault="00165B94">
      <w:pPr>
        <w:pStyle w:val="BodyText"/>
      </w:pPr>
      <w:r>
        <w:t xml:space="preserve"> Should adjustments be made to Placid Lakes' </w:t>
      </w:r>
      <w:r w:rsidR="00A91803">
        <w:t>P</w:t>
      </w:r>
      <w:r>
        <w:t xml:space="preserve">ro </w:t>
      </w:r>
      <w:r w:rsidR="00A91803">
        <w:t>F</w:t>
      </w:r>
      <w:r>
        <w:t xml:space="preserve">orma </w:t>
      </w:r>
      <w:r w:rsidR="00A91803">
        <w:t>P</w:t>
      </w:r>
      <w:r>
        <w:t>lant additions?</w:t>
      </w:r>
    </w:p>
    <w:p w:rsidR="00165B94" w:rsidRPr="004C3641" w:rsidRDefault="00165B94">
      <w:pPr>
        <w:pStyle w:val="IssueSubsectionHeading"/>
        <w:rPr>
          <w:vanish/>
          <w:specVanish/>
        </w:rPr>
      </w:pPr>
      <w:r w:rsidRPr="004C3641">
        <w:t>Recommendation: </w:t>
      </w:r>
    </w:p>
    <w:p w:rsidR="00165B94" w:rsidRDefault="00165B94">
      <w:pPr>
        <w:pStyle w:val="BodyText"/>
      </w:pPr>
      <w:r>
        <w:t> </w:t>
      </w:r>
      <w:r w:rsidRPr="00165B94">
        <w:t>Yes. The appropriate pro forma</w:t>
      </w:r>
      <w:r w:rsidR="00822A69">
        <w:t xml:space="preserve"> net</w:t>
      </w:r>
      <w:r w:rsidRPr="00165B94">
        <w:t xml:space="preserve"> plant additions are $58,716. This </w:t>
      </w:r>
      <w:proofErr w:type="gramStart"/>
      <w:r w:rsidRPr="00165B94">
        <w:t>results</w:t>
      </w:r>
      <w:proofErr w:type="gramEnd"/>
      <w:r w:rsidRPr="00165B94">
        <w:t xml:space="preserve"> in a decrease of $14,180 from the utility’s</w:t>
      </w:r>
      <w:r w:rsidR="00822A69">
        <w:t xml:space="preserve"> amended</w:t>
      </w:r>
      <w:r w:rsidRPr="00165B94">
        <w:t xml:space="preserve"> request. Corresponding adjustments should also be made to increase </w:t>
      </w:r>
      <w:r w:rsidR="00A91803">
        <w:t>A</w:t>
      </w:r>
      <w:r w:rsidRPr="00165B94">
        <w:t>ccumulated</w:t>
      </w:r>
      <w:r w:rsidR="00A91803">
        <w:t xml:space="preserve"> D</w:t>
      </w:r>
      <w:r w:rsidRPr="00165B94">
        <w:t>epreciation by $33,122 and decrease depreciation expense by $738. Additionally, pro forma property taxes should be increased by $233.</w:t>
      </w:r>
      <w:r>
        <w:t xml:space="preserve"> (Knoblauch, Smith II)</w:t>
      </w:r>
    </w:p>
    <w:p w:rsidR="00165B94" w:rsidRPr="004C3641" w:rsidRDefault="00165B94">
      <w:pPr>
        <w:pStyle w:val="IssueSubsectionHeading"/>
        <w:rPr>
          <w:vanish/>
          <w:specVanish/>
        </w:rPr>
      </w:pPr>
      <w:r w:rsidRPr="004C3641">
        <w:t>Staff Analysis: </w:t>
      </w:r>
    </w:p>
    <w:p w:rsidR="00165B94" w:rsidRPr="00460EDA" w:rsidRDefault="00165B94" w:rsidP="00165B94">
      <w:pPr>
        <w:pStyle w:val="BodyText"/>
        <w:rPr>
          <w:szCs w:val="22"/>
        </w:rPr>
      </w:pPr>
      <w:r>
        <w:t> </w:t>
      </w:r>
      <w:r w:rsidR="00822A69">
        <w:rPr>
          <w:szCs w:val="22"/>
        </w:rPr>
        <w:t>In its MFRs, Placid Lakes</w:t>
      </w:r>
      <w:r w:rsidRPr="00460EDA">
        <w:rPr>
          <w:szCs w:val="22"/>
        </w:rPr>
        <w:t xml:space="preserve"> requested cost recovery </w:t>
      </w:r>
      <w:r>
        <w:rPr>
          <w:szCs w:val="22"/>
        </w:rPr>
        <w:t>of</w:t>
      </w:r>
      <w:r w:rsidRPr="00460EDA">
        <w:rPr>
          <w:szCs w:val="22"/>
        </w:rPr>
        <w:t xml:space="preserve"> four pro forma projects; however, one of the projects was withdrawn per the utility’s request. The utility’s original request for all four projects was $209,656, which was reduced to $159,865 once the fourth project was withdrawn from consideration.</w:t>
      </w:r>
    </w:p>
    <w:p w:rsidR="00165B94" w:rsidRDefault="00165B94" w:rsidP="00165B94">
      <w:pPr>
        <w:spacing w:after="200"/>
        <w:jc w:val="both"/>
        <w:rPr>
          <w:szCs w:val="22"/>
        </w:rPr>
      </w:pPr>
      <w:r w:rsidRPr="00460EDA">
        <w:rPr>
          <w:szCs w:val="22"/>
        </w:rPr>
        <w:t>Placid Lakes provided the cost for a meter replacement program totaling $38,681, which is</w:t>
      </w:r>
      <w:r w:rsidR="00771334">
        <w:rPr>
          <w:szCs w:val="22"/>
        </w:rPr>
        <w:t xml:space="preserve"> a continuation of a previously-</w:t>
      </w:r>
      <w:r w:rsidRPr="00460EDA">
        <w:rPr>
          <w:szCs w:val="22"/>
        </w:rPr>
        <w:t>approved meter replacement program.</w:t>
      </w:r>
      <w:r w:rsidRPr="00460EDA">
        <w:rPr>
          <w:szCs w:val="22"/>
          <w:vertAlign w:val="superscript"/>
        </w:rPr>
        <w:footnoteReference w:id="6"/>
      </w:r>
      <w:r w:rsidRPr="00460EDA">
        <w:rPr>
          <w:szCs w:val="22"/>
        </w:rPr>
        <w:t xml:space="preserve"> The utility is replacing old meters with radio read devices that provide back-flow prevention, as required by the DEP. The utility estimate</w:t>
      </w:r>
      <w:r w:rsidR="00822A69">
        <w:rPr>
          <w:szCs w:val="22"/>
        </w:rPr>
        <w:t>d</w:t>
      </w:r>
      <w:r w:rsidRPr="00460EDA">
        <w:rPr>
          <w:szCs w:val="22"/>
        </w:rPr>
        <w:t xml:space="preserve"> it will replace six meters per month for a total of 144 meters over two years. This is consistent with the number of meters approved in the utility’s last rate case, and appears to also be consistent with the annual number of meters Placid Lakes has replaced over the last six years. The utility provided invoices totaling $36,372 for the meters, as well as meter boxes and parts, which will not be required for every meter replacement. Additionally, $2,310 was included as the cost of labor for two employees to complete the 144 meter replacements. </w:t>
      </w:r>
      <w:r w:rsidRPr="008B30A8">
        <w:rPr>
          <w:szCs w:val="22"/>
        </w:rPr>
        <w:t xml:space="preserve">The utility requested 75 percent of the replacement cost </w:t>
      </w:r>
      <w:proofErr w:type="gramStart"/>
      <w:r w:rsidRPr="008B30A8">
        <w:rPr>
          <w:szCs w:val="22"/>
        </w:rPr>
        <w:t>be</w:t>
      </w:r>
      <w:proofErr w:type="gramEnd"/>
      <w:r w:rsidRPr="008B30A8">
        <w:rPr>
          <w:szCs w:val="22"/>
        </w:rPr>
        <w:t xml:space="preserve"> utilized for retirement purposes totaling $27,279. However, the utility’s requested retirement amount did not include the labor associated with the project; therefore, staff believes the correct retirement should be $29,011.</w:t>
      </w:r>
    </w:p>
    <w:p w:rsidR="00165B94" w:rsidRPr="00460EDA" w:rsidRDefault="00165B94" w:rsidP="00165B94">
      <w:pPr>
        <w:spacing w:after="200"/>
        <w:jc w:val="both"/>
        <w:rPr>
          <w:szCs w:val="22"/>
        </w:rPr>
      </w:pPr>
      <w:r w:rsidRPr="00460EDA">
        <w:rPr>
          <w:szCs w:val="22"/>
        </w:rPr>
        <w:t>As discussed in Issue 1, Placid Lakes entered into a consent order with the DEP in response to disinfection byproduct exceedances. The utility indicated it would implement a new hydrogen peroxide water treatment system, which was accepted by the DEP on April 19, 2019. The new system was placed into service on May 1, 2019</w:t>
      </w:r>
      <w:r w:rsidR="003F0593">
        <w:rPr>
          <w:szCs w:val="22"/>
        </w:rPr>
        <w:t>;</w:t>
      </w:r>
      <w:r w:rsidRPr="00460EDA">
        <w:rPr>
          <w:szCs w:val="22"/>
        </w:rPr>
        <w:t xml:space="preserve"> and b</w:t>
      </w:r>
      <w:r w:rsidR="003F0593">
        <w:rPr>
          <w:szCs w:val="22"/>
        </w:rPr>
        <w:t xml:space="preserve">ased on the most recent </w:t>
      </w:r>
      <w:proofErr w:type="gramStart"/>
      <w:r w:rsidR="003F0593">
        <w:rPr>
          <w:szCs w:val="22"/>
        </w:rPr>
        <w:t>results,</w:t>
      </w:r>
      <w:proofErr w:type="gramEnd"/>
      <w:r w:rsidRPr="00460EDA">
        <w:rPr>
          <w:szCs w:val="22"/>
        </w:rPr>
        <w:t xml:space="preserve"> the utility is in compliance with DEP disinfection byproduct standards. No bids were obtained for this project as Placid Lakes stated that a “plan to correct water quality issues was designed by Florida Rural Water Association.”</w:t>
      </w:r>
      <w:r w:rsidRPr="00460EDA">
        <w:rPr>
          <w:szCs w:val="22"/>
          <w:vertAlign w:val="superscript"/>
        </w:rPr>
        <w:footnoteReference w:id="7"/>
      </w:r>
      <w:r w:rsidRPr="00460EDA">
        <w:rPr>
          <w:szCs w:val="22"/>
        </w:rPr>
        <w:t xml:space="preserve"> The parts needed for the project were purchased by the utility, and the labor was largely performed by its employees. The invoices for the hydrogen peroxide system were provided to staff at a total cost of $25,000.</w:t>
      </w:r>
    </w:p>
    <w:p w:rsidR="00165B94" w:rsidRPr="00460EDA" w:rsidRDefault="00165B94" w:rsidP="00165B94">
      <w:pPr>
        <w:spacing w:after="200"/>
        <w:jc w:val="both"/>
        <w:rPr>
          <w:szCs w:val="22"/>
        </w:rPr>
      </w:pPr>
      <w:r w:rsidRPr="00460EDA">
        <w:rPr>
          <w:szCs w:val="22"/>
        </w:rPr>
        <w:t xml:space="preserve">The utility also included costs for a WTP control system in its MFRs totaling $60,512. The utility explained that it had experienced problems with the previous control system over the past seven years, and Placid Lakes’ prior contractor was unable to resolve the issue. Following a major failure of the control system in November 2018, the utility contacted a new contractor who was able to provide a quote for an interim control system. The interim control system would provide basic functionality; however, it would not have all of the capabilities of the old system. In response to a data request, the utility stated that due to the emergency nature of the control system failure, only one bid was obtained for the project. Placid Lakes determined that the </w:t>
      </w:r>
      <w:r w:rsidRPr="00460EDA">
        <w:rPr>
          <w:szCs w:val="22"/>
        </w:rPr>
        <w:lastRenderedPageBreak/>
        <w:t xml:space="preserve">interim system was operating properly, and decided to update its original request to include the cost for a complete inner panel at an additional cost of $35,672, bringing the project total to $96,184. The utility also requested 75 percent of the replacement cost </w:t>
      </w:r>
      <w:proofErr w:type="gramStart"/>
      <w:r w:rsidRPr="00460EDA">
        <w:rPr>
          <w:szCs w:val="22"/>
        </w:rPr>
        <w:t>be</w:t>
      </w:r>
      <w:proofErr w:type="gramEnd"/>
      <w:r w:rsidRPr="00460EDA">
        <w:rPr>
          <w:szCs w:val="22"/>
        </w:rPr>
        <w:t xml:space="preserve"> utilized for the retirement of the old control system at an amount of $72,138.</w:t>
      </w:r>
    </w:p>
    <w:p w:rsidR="00165B94" w:rsidRDefault="00165B94" w:rsidP="00165B94">
      <w:pPr>
        <w:spacing w:after="200"/>
        <w:jc w:val="both"/>
        <w:rPr>
          <w:szCs w:val="22"/>
        </w:rPr>
      </w:pPr>
      <w:r w:rsidRPr="00460EDA">
        <w:rPr>
          <w:szCs w:val="22"/>
        </w:rPr>
        <w:t>Staff believes that the proper documentation was provided to support the costs of the meter replacements, hydrogen peroxide water treatment system, and the WTP control system projects. The projects appear to be reasonable as the meter replacement program is largely a continuation of its previously approved program, and the hydrogen peroxide system was required to address the disinfection byproduct exceedances and the DEP consent order. Additionally, the new WTP control system was needed as the previous control system was failing. Therefore, staff recommends approval of the three pro forma projects totaling $159,865</w:t>
      </w:r>
      <w:r>
        <w:rPr>
          <w:szCs w:val="22"/>
        </w:rPr>
        <w:t>, as shown in Table 3-1</w:t>
      </w:r>
      <w:r w:rsidRPr="00460EDA">
        <w:rPr>
          <w:szCs w:val="22"/>
        </w:rPr>
        <w:t>.</w:t>
      </w:r>
    </w:p>
    <w:p w:rsidR="00F14745" w:rsidRDefault="00F14745" w:rsidP="00F14745">
      <w:pPr>
        <w:pStyle w:val="TableNumber"/>
        <w:keepNext/>
      </w:pPr>
      <w:r>
        <w:t xml:space="preserve">Table </w:t>
      </w:r>
      <w:r w:rsidR="009019FF">
        <w:fldChar w:fldCharType="begin"/>
      </w:r>
      <w:r w:rsidR="009019FF">
        <w:instrText xml:space="preserve"> SEQ Issue \c </w:instrText>
      </w:r>
      <w:r w:rsidR="009019FF">
        <w:fldChar w:fldCharType="separate"/>
      </w:r>
      <w:r w:rsidR="0014690B">
        <w:rPr>
          <w:noProof/>
        </w:rPr>
        <w:t>3</w:t>
      </w:r>
      <w:r w:rsidR="009019FF">
        <w:rPr>
          <w:noProof/>
        </w:rPr>
        <w:fldChar w:fldCharType="end"/>
      </w:r>
      <w:r>
        <w:t>-1</w:t>
      </w:r>
    </w:p>
    <w:p w:rsidR="00F14745" w:rsidRDefault="00F14745" w:rsidP="00F14745">
      <w:pPr>
        <w:pStyle w:val="TableTitle"/>
        <w:keepNext/>
      </w:pPr>
      <w:r>
        <w:t>Pro Forma</w:t>
      </w:r>
    </w:p>
    <w:tbl>
      <w:tblPr>
        <w:tblStyle w:val="TableGrid"/>
        <w:tblW w:w="10367" w:type="dxa"/>
        <w:jc w:val="center"/>
        <w:tblLook w:val="04A0" w:firstRow="1" w:lastRow="0" w:firstColumn="1" w:lastColumn="0" w:noHBand="0" w:noVBand="1"/>
      </w:tblPr>
      <w:tblGrid>
        <w:gridCol w:w="3280"/>
        <w:gridCol w:w="1348"/>
        <w:gridCol w:w="1349"/>
        <w:gridCol w:w="1170"/>
        <w:gridCol w:w="1156"/>
        <w:gridCol w:w="1167"/>
        <w:gridCol w:w="897"/>
      </w:tblGrid>
      <w:tr w:rsidR="00F14745" w:rsidTr="00771334">
        <w:trPr>
          <w:trHeight w:val="552"/>
          <w:jc w:val="center"/>
        </w:trPr>
        <w:tc>
          <w:tcPr>
            <w:tcW w:w="3294" w:type="dxa"/>
            <w:tcBorders>
              <w:bottom w:val="single" w:sz="4" w:space="0" w:color="auto"/>
            </w:tcBorders>
          </w:tcPr>
          <w:p w:rsidR="00F14745" w:rsidRDefault="00F14745" w:rsidP="00F14745">
            <w:pPr>
              <w:jc w:val="center"/>
            </w:pPr>
          </w:p>
          <w:p w:rsidR="00F14745" w:rsidRPr="00810409" w:rsidRDefault="00F14745" w:rsidP="00F14745">
            <w:pPr>
              <w:jc w:val="center"/>
            </w:pPr>
            <w:r w:rsidRPr="00810409">
              <w:t>Project</w:t>
            </w:r>
          </w:p>
        </w:tc>
        <w:tc>
          <w:tcPr>
            <w:tcW w:w="1350" w:type="dxa"/>
            <w:tcBorders>
              <w:bottom w:val="single" w:sz="4" w:space="0" w:color="auto"/>
            </w:tcBorders>
          </w:tcPr>
          <w:p w:rsidR="00F14745" w:rsidRDefault="00F14745" w:rsidP="00F14745">
            <w:pPr>
              <w:jc w:val="center"/>
            </w:pPr>
          </w:p>
          <w:p w:rsidR="00F14745" w:rsidRPr="00810409" w:rsidRDefault="00F14745" w:rsidP="00F14745">
            <w:pPr>
              <w:jc w:val="center"/>
            </w:pPr>
            <w:r w:rsidRPr="00810409">
              <w:t>Addition</w:t>
            </w:r>
          </w:p>
        </w:tc>
        <w:tc>
          <w:tcPr>
            <w:tcW w:w="1350" w:type="dxa"/>
            <w:tcBorders>
              <w:bottom w:val="single" w:sz="4" w:space="0" w:color="auto"/>
            </w:tcBorders>
          </w:tcPr>
          <w:p w:rsidR="00F14745" w:rsidRDefault="00F14745" w:rsidP="00F14745">
            <w:pPr>
              <w:jc w:val="center"/>
            </w:pPr>
          </w:p>
          <w:p w:rsidR="00F14745" w:rsidRPr="00810409" w:rsidRDefault="00F14745" w:rsidP="00F14745">
            <w:pPr>
              <w:jc w:val="center"/>
            </w:pPr>
            <w:r w:rsidRPr="00810409">
              <w:t>Retirement</w:t>
            </w:r>
          </w:p>
        </w:tc>
        <w:tc>
          <w:tcPr>
            <w:tcW w:w="1170" w:type="dxa"/>
            <w:tcBorders>
              <w:bottom w:val="single" w:sz="4" w:space="0" w:color="auto"/>
            </w:tcBorders>
          </w:tcPr>
          <w:p w:rsidR="00F14745" w:rsidRDefault="00F14745" w:rsidP="00F14745">
            <w:pPr>
              <w:jc w:val="center"/>
            </w:pPr>
          </w:p>
          <w:p w:rsidR="00F14745" w:rsidRPr="00810409" w:rsidRDefault="00F14745" w:rsidP="00F14745">
            <w:pPr>
              <w:jc w:val="center"/>
            </w:pPr>
            <w:r w:rsidRPr="00810409">
              <w:t>Net Plant</w:t>
            </w:r>
          </w:p>
        </w:tc>
        <w:tc>
          <w:tcPr>
            <w:tcW w:w="1134" w:type="dxa"/>
            <w:tcBorders>
              <w:bottom w:val="single" w:sz="4" w:space="0" w:color="auto"/>
            </w:tcBorders>
          </w:tcPr>
          <w:p w:rsidR="00F14745" w:rsidRDefault="00F14745" w:rsidP="00F14745">
            <w:pPr>
              <w:jc w:val="center"/>
            </w:pPr>
            <w:r w:rsidRPr="00810409">
              <w:t>Net A/D</w:t>
            </w:r>
          </w:p>
          <w:p w:rsidR="00F14745" w:rsidRPr="00810409" w:rsidRDefault="00F14745" w:rsidP="00F14745">
            <w:pPr>
              <w:jc w:val="center"/>
            </w:pPr>
            <w:r w:rsidRPr="00810409">
              <w:t>Adj.</w:t>
            </w:r>
          </w:p>
        </w:tc>
        <w:tc>
          <w:tcPr>
            <w:tcW w:w="1170" w:type="dxa"/>
            <w:tcBorders>
              <w:bottom w:val="single" w:sz="4" w:space="0" w:color="auto"/>
            </w:tcBorders>
          </w:tcPr>
          <w:p w:rsidR="00F14745" w:rsidRDefault="00F14745" w:rsidP="00F14745">
            <w:pPr>
              <w:jc w:val="center"/>
            </w:pPr>
            <w:r w:rsidRPr="00810409">
              <w:t>Net Dep</w:t>
            </w:r>
          </w:p>
          <w:p w:rsidR="00F14745" w:rsidRPr="00810409" w:rsidRDefault="00F14745" w:rsidP="00F14745">
            <w:pPr>
              <w:jc w:val="center"/>
            </w:pPr>
            <w:proofErr w:type="spellStart"/>
            <w:r w:rsidRPr="00810409">
              <w:t>Exp</w:t>
            </w:r>
            <w:proofErr w:type="spellEnd"/>
          </w:p>
        </w:tc>
        <w:tc>
          <w:tcPr>
            <w:tcW w:w="899" w:type="dxa"/>
            <w:tcBorders>
              <w:bottom w:val="single" w:sz="4" w:space="0" w:color="auto"/>
            </w:tcBorders>
          </w:tcPr>
          <w:p w:rsidR="00F14745" w:rsidRDefault="00F14745" w:rsidP="00F14745">
            <w:pPr>
              <w:jc w:val="center"/>
            </w:pPr>
            <w:r w:rsidRPr="00810409">
              <w:t>Prop</w:t>
            </w:r>
          </w:p>
          <w:p w:rsidR="00F14745" w:rsidRDefault="00F14745" w:rsidP="00F14745">
            <w:pPr>
              <w:jc w:val="center"/>
            </w:pPr>
            <w:r w:rsidRPr="00810409">
              <w:t>Tax</w:t>
            </w:r>
          </w:p>
        </w:tc>
      </w:tr>
      <w:tr w:rsidR="00F14745" w:rsidTr="00771334">
        <w:trPr>
          <w:trHeight w:val="296"/>
          <w:jc w:val="center"/>
        </w:trPr>
        <w:tc>
          <w:tcPr>
            <w:tcW w:w="3294" w:type="dxa"/>
            <w:tcBorders>
              <w:top w:val="single" w:sz="4" w:space="0" w:color="auto"/>
              <w:left w:val="single" w:sz="4" w:space="0" w:color="auto"/>
              <w:bottom w:val="nil"/>
              <w:right w:val="single" w:sz="4" w:space="0" w:color="auto"/>
            </w:tcBorders>
          </w:tcPr>
          <w:p w:rsidR="00F14745" w:rsidRPr="003F0DAB" w:rsidRDefault="00F14745" w:rsidP="004A0EC2">
            <w:r w:rsidRPr="003F0DAB">
              <w:t>Meter Replacement Program</w:t>
            </w:r>
          </w:p>
        </w:tc>
        <w:tc>
          <w:tcPr>
            <w:tcW w:w="1350" w:type="dxa"/>
            <w:tcBorders>
              <w:left w:val="single" w:sz="4" w:space="0" w:color="auto"/>
              <w:bottom w:val="nil"/>
            </w:tcBorders>
          </w:tcPr>
          <w:p w:rsidR="00F14745" w:rsidRPr="008134B4" w:rsidRDefault="004C367B" w:rsidP="00F14745">
            <w:pPr>
              <w:jc w:val="right"/>
            </w:pPr>
            <w:r>
              <w:t>$</w:t>
            </w:r>
            <w:r w:rsidR="00F14745" w:rsidRPr="008134B4">
              <w:t xml:space="preserve">38,681 </w:t>
            </w:r>
          </w:p>
        </w:tc>
        <w:tc>
          <w:tcPr>
            <w:tcW w:w="1350" w:type="dxa"/>
            <w:tcBorders>
              <w:bottom w:val="nil"/>
            </w:tcBorders>
          </w:tcPr>
          <w:p w:rsidR="00F14745" w:rsidRPr="00180DE1" w:rsidRDefault="00F14745" w:rsidP="00F14745">
            <w:pPr>
              <w:jc w:val="right"/>
            </w:pPr>
            <w:r w:rsidRPr="00180DE1">
              <w:t>(</w:t>
            </w:r>
            <w:r w:rsidR="004C367B">
              <w:t>$</w:t>
            </w:r>
            <w:r w:rsidRPr="00180DE1">
              <w:t>29,011)</w:t>
            </w:r>
          </w:p>
        </w:tc>
        <w:tc>
          <w:tcPr>
            <w:tcW w:w="1170" w:type="dxa"/>
            <w:tcBorders>
              <w:bottom w:val="nil"/>
            </w:tcBorders>
          </w:tcPr>
          <w:p w:rsidR="00F14745" w:rsidRPr="00B0219E" w:rsidRDefault="004C367B" w:rsidP="00F14745">
            <w:pPr>
              <w:jc w:val="right"/>
            </w:pPr>
            <w:r>
              <w:t>$</w:t>
            </w:r>
            <w:r w:rsidR="00F14745" w:rsidRPr="00B0219E">
              <w:t xml:space="preserve">9,670 </w:t>
            </w:r>
          </w:p>
        </w:tc>
        <w:tc>
          <w:tcPr>
            <w:tcW w:w="1134" w:type="dxa"/>
            <w:tcBorders>
              <w:bottom w:val="nil"/>
            </w:tcBorders>
          </w:tcPr>
          <w:p w:rsidR="00F14745" w:rsidRPr="00BC7D14" w:rsidRDefault="004C367B" w:rsidP="00F14745">
            <w:pPr>
              <w:jc w:val="right"/>
            </w:pPr>
            <w:r>
              <w:t>$</w:t>
            </w:r>
            <w:r w:rsidR="00F14745" w:rsidRPr="00BC7D14">
              <w:t xml:space="preserve">26,431 </w:t>
            </w:r>
          </w:p>
        </w:tc>
        <w:tc>
          <w:tcPr>
            <w:tcW w:w="1170" w:type="dxa"/>
            <w:tcBorders>
              <w:bottom w:val="nil"/>
            </w:tcBorders>
          </w:tcPr>
          <w:p w:rsidR="00F14745" w:rsidRPr="00BE661A" w:rsidRDefault="004C367B" w:rsidP="00F14745">
            <w:pPr>
              <w:jc w:val="right"/>
            </w:pPr>
            <w:r>
              <w:t>$</w:t>
            </w:r>
            <w:r w:rsidR="00F14745" w:rsidRPr="00BE661A">
              <w:t xml:space="preserve">645 </w:t>
            </w:r>
          </w:p>
        </w:tc>
        <w:tc>
          <w:tcPr>
            <w:tcW w:w="899" w:type="dxa"/>
            <w:tcBorders>
              <w:bottom w:val="nil"/>
            </w:tcBorders>
          </w:tcPr>
          <w:p w:rsidR="00F14745" w:rsidRPr="00D956FC" w:rsidRDefault="004C367B" w:rsidP="00F14745">
            <w:pPr>
              <w:jc w:val="right"/>
            </w:pPr>
            <w:r>
              <w:t>$</w:t>
            </w:r>
            <w:r w:rsidR="00F14745" w:rsidRPr="00D956FC">
              <w:t xml:space="preserve">50 </w:t>
            </w:r>
          </w:p>
        </w:tc>
      </w:tr>
      <w:tr w:rsidR="00F14745" w:rsidTr="00771334">
        <w:trPr>
          <w:trHeight w:val="270"/>
          <w:jc w:val="center"/>
        </w:trPr>
        <w:tc>
          <w:tcPr>
            <w:tcW w:w="3294" w:type="dxa"/>
            <w:tcBorders>
              <w:top w:val="nil"/>
              <w:left w:val="single" w:sz="4" w:space="0" w:color="auto"/>
              <w:bottom w:val="nil"/>
              <w:right w:val="single" w:sz="4" w:space="0" w:color="auto"/>
            </w:tcBorders>
          </w:tcPr>
          <w:p w:rsidR="00F14745" w:rsidRPr="003F0DAB" w:rsidRDefault="00F14745" w:rsidP="004A0EC2">
            <w:r w:rsidRPr="003F0DAB">
              <w:t xml:space="preserve">Hydrogen Peroxide </w:t>
            </w:r>
            <w:r w:rsidR="004C367B">
              <w:t>System</w:t>
            </w:r>
          </w:p>
        </w:tc>
        <w:tc>
          <w:tcPr>
            <w:tcW w:w="1350" w:type="dxa"/>
            <w:tcBorders>
              <w:top w:val="nil"/>
              <w:left w:val="single" w:sz="4" w:space="0" w:color="auto"/>
              <w:bottom w:val="nil"/>
            </w:tcBorders>
          </w:tcPr>
          <w:p w:rsidR="00F14745" w:rsidRPr="008134B4" w:rsidRDefault="00F14745" w:rsidP="00F14745">
            <w:pPr>
              <w:jc w:val="right"/>
            </w:pPr>
            <w:r w:rsidRPr="008134B4">
              <w:t xml:space="preserve">25,000 </w:t>
            </w:r>
          </w:p>
        </w:tc>
        <w:tc>
          <w:tcPr>
            <w:tcW w:w="1350" w:type="dxa"/>
            <w:tcBorders>
              <w:top w:val="nil"/>
              <w:bottom w:val="nil"/>
            </w:tcBorders>
          </w:tcPr>
          <w:p w:rsidR="00F14745" w:rsidRPr="00180DE1" w:rsidRDefault="00F14745" w:rsidP="00F14745">
            <w:pPr>
              <w:jc w:val="right"/>
            </w:pPr>
            <w:r w:rsidRPr="00180DE1">
              <w:t xml:space="preserve">0 </w:t>
            </w:r>
          </w:p>
        </w:tc>
        <w:tc>
          <w:tcPr>
            <w:tcW w:w="1170" w:type="dxa"/>
            <w:tcBorders>
              <w:top w:val="nil"/>
              <w:bottom w:val="nil"/>
            </w:tcBorders>
          </w:tcPr>
          <w:p w:rsidR="00F14745" w:rsidRPr="00B0219E" w:rsidRDefault="00F14745" w:rsidP="00F14745">
            <w:pPr>
              <w:jc w:val="right"/>
            </w:pPr>
            <w:r w:rsidRPr="00B0219E">
              <w:t xml:space="preserve">25,000 </w:t>
            </w:r>
          </w:p>
        </w:tc>
        <w:tc>
          <w:tcPr>
            <w:tcW w:w="1134" w:type="dxa"/>
            <w:tcBorders>
              <w:top w:val="nil"/>
              <w:bottom w:val="nil"/>
            </w:tcBorders>
          </w:tcPr>
          <w:p w:rsidR="00F14745" w:rsidRPr="00BC7D14" w:rsidRDefault="00F14745" w:rsidP="00AE2ADC">
            <w:pPr>
              <w:jc w:val="right"/>
            </w:pPr>
            <w:r w:rsidRPr="00BC7D14">
              <w:t>(1,138)</w:t>
            </w:r>
          </w:p>
        </w:tc>
        <w:tc>
          <w:tcPr>
            <w:tcW w:w="1170" w:type="dxa"/>
            <w:tcBorders>
              <w:top w:val="nil"/>
              <w:bottom w:val="nil"/>
            </w:tcBorders>
          </w:tcPr>
          <w:p w:rsidR="00F14745" w:rsidRPr="00BE661A" w:rsidRDefault="00F14745" w:rsidP="00F14745">
            <w:pPr>
              <w:jc w:val="right"/>
            </w:pPr>
            <w:r w:rsidRPr="00BE661A">
              <w:t xml:space="preserve">1,138 </w:t>
            </w:r>
          </w:p>
        </w:tc>
        <w:tc>
          <w:tcPr>
            <w:tcW w:w="899" w:type="dxa"/>
            <w:tcBorders>
              <w:top w:val="nil"/>
              <w:bottom w:val="nil"/>
            </w:tcBorders>
          </w:tcPr>
          <w:p w:rsidR="00F14745" w:rsidRPr="00D956FC" w:rsidRDefault="00F14745" w:rsidP="00F14745">
            <w:pPr>
              <w:jc w:val="right"/>
            </w:pPr>
            <w:r w:rsidRPr="00D956FC">
              <w:t xml:space="preserve">89 </w:t>
            </w:r>
          </w:p>
        </w:tc>
      </w:tr>
      <w:tr w:rsidR="00F14745" w:rsidTr="00771334">
        <w:trPr>
          <w:trHeight w:val="270"/>
          <w:jc w:val="center"/>
        </w:trPr>
        <w:tc>
          <w:tcPr>
            <w:tcW w:w="3294" w:type="dxa"/>
            <w:tcBorders>
              <w:top w:val="nil"/>
              <w:left w:val="single" w:sz="4" w:space="0" w:color="auto"/>
              <w:bottom w:val="nil"/>
              <w:right w:val="single" w:sz="4" w:space="0" w:color="auto"/>
            </w:tcBorders>
          </w:tcPr>
          <w:p w:rsidR="00F14745" w:rsidRPr="003F0DAB" w:rsidRDefault="00F14745" w:rsidP="004A0EC2">
            <w:r w:rsidRPr="003F0DAB">
              <w:t>Control System</w:t>
            </w:r>
          </w:p>
        </w:tc>
        <w:tc>
          <w:tcPr>
            <w:tcW w:w="1350" w:type="dxa"/>
            <w:tcBorders>
              <w:top w:val="nil"/>
              <w:left w:val="single" w:sz="4" w:space="0" w:color="auto"/>
              <w:bottom w:val="nil"/>
            </w:tcBorders>
          </w:tcPr>
          <w:p w:rsidR="00F14745" w:rsidRPr="00F14745" w:rsidRDefault="00F14745" w:rsidP="00F14745">
            <w:pPr>
              <w:jc w:val="right"/>
              <w:rPr>
                <w:u w:val="single"/>
              </w:rPr>
            </w:pPr>
            <w:r w:rsidRPr="00F14745">
              <w:rPr>
                <w:u w:val="single"/>
              </w:rPr>
              <w:t xml:space="preserve">96,184 </w:t>
            </w:r>
          </w:p>
        </w:tc>
        <w:tc>
          <w:tcPr>
            <w:tcW w:w="1350" w:type="dxa"/>
            <w:tcBorders>
              <w:top w:val="nil"/>
              <w:bottom w:val="nil"/>
            </w:tcBorders>
          </w:tcPr>
          <w:p w:rsidR="00F14745" w:rsidRPr="00F14745" w:rsidRDefault="00F14745" w:rsidP="00AE2ADC">
            <w:pPr>
              <w:jc w:val="right"/>
              <w:rPr>
                <w:u w:val="single"/>
              </w:rPr>
            </w:pPr>
            <w:r w:rsidRPr="00F14745">
              <w:rPr>
                <w:u w:val="single"/>
              </w:rPr>
              <w:t>(72,138)</w:t>
            </w:r>
          </w:p>
        </w:tc>
        <w:tc>
          <w:tcPr>
            <w:tcW w:w="1170" w:type="dxa"/>
            <w:tcBorders>
              <w:top w:val="nil"/>
              <w:bottom w:val="nil"/>
            </w:tcBorders>
          </w:tcPr>
          <w:p w:rsidR="00F14745" w:rsidRPr="00F14745" w:rsidRDefault="00F14745" w:rsidP="00F14745">
            <w:pPr>
              <w:jc w:val="right"/>
              <w:rPr>
                <w:u w:val="single"/>
              </w:rPr>
            </w:pPr>
            <w:r w:rsidRPr="00F14745">
              <w:rPr>
                <w:u w:val="single"/>
              </w:rPr>
              <w:t xml:space="preserve">24,046 </w:t>
            </w:r>
          </w:p>
        </w:tc>
        <w:tc>
          <w:tcPr>
            <w:tcW w:w="1134" w:type="dxa"/>
            <w:tcBorders>
              <w:top w:val="nil"/>
              <w:bottom w:val="nil"/>
            </w:tcBorders>
          </w:tcPr>
          <w:p w:rsidR="00F14745" w:rsidRPr="00F14745" w:rsidRDefault="00F14745" w:rsidP="00F14745">
            <w:pPr>
              <w:jc w:val="right"/>
              <w:rPr>
                <w:u w:val="single"/>
              </w:rPr>
            </w:pPr>
            <w:r w:rsidRPr="00F14745">
              <w:rPr>
                <w:u w:val="single"/>
              </w:rPr>
              <w:t xml:space="preserve">67,329 </w:t>
            </w:r>
          </w:p>
        </w:tc>
        <w:tc>
          <w:tcPr>
            <w:tcW w:w="1170" w:type="dxa"/>
            <w:tcBorders>
              <w:top w:val="nil"/>
              <w:bottom w:val="nil"/>
            </w:tcBorders>
          </w:tcPr>
          <w:p w:rsidR="00F14745" w:rsidRPr="00F14745" w:rsidRDefault="00F14745" w:rsidP="00F14745">
            <w:pPr>
              <w:jc w:val="right"/>
              <w:rPr>
                <w:u w:val="single"/>
              </w:rPr>
            </w:pPr>
            <w:r w:rsidRPr="00F14745">
              <w:rPr>
                <w:u w:val="single"/>
              </w:rPr>
              <w:t xml:space="preserve">1,202 </w:t>
            </w:r>
          </w:p>
        </w:tc>
        <w:tc>
          <w:tcPr>
            <w:tcW w:w="899" w:type="dxa"/>
            <w:tcBorders>
              <w:top w:val="nil"/>
              <w:bottom w:val="nil"/>
            </w:tcBorders>
          </w:tcPr>
          <w:p w:rsidR="00F14745" w:rsidRPr="00F14745" w:rsidRDefault="00F14745" w:rsidP="00F14745">
            <w:pPr>
              <w:jc w:val="right"/>
              <w:rPr>
                <w:u w:val="single"/>
              </w:rPr>
            </w:pPr>
            <w:r w:rsidRPr="00F14745">
              <w:rPr>
                <w:u w:val="single"/>
              </w:rPr>
              <w:t xml:space="preserve">94 </w:t>
            </w:r>
          </w:p>
        </w:tc>
      </w:tr>
      <w:tr w:rsidR="00F14745" w:rsidTr="00771334">
        <w:trPr>
          <w:trHeight w:val="288"/>
          <w:jc w:val="center"/>
        </w:trPr>
        <w:tc>
          <w:tcPr>
            <w:tcW w:w="3294" w:type="dxa"/>
            <w:tcBorders>
              <w:top w:val="nil"/>
              <w:left w:val="single" w:sz="4" w:space="0" w:color="auto"/>
              <w:bottom w:val="nil"/>
              <w:right w:val="single" w:sz="4" w:space="0" w:color="auto"/>
            </w:tcBorders>
          </w:tcPr>
          <w:p w:rsidR="00F14745" w:rsidRPr="003F0DAB" w:rsidRDefault="00F14745" w:rsidP="004A0EC2">
            <w:r w:rsidRPr="003F0DAB">
              <w:t>Staff Recommended Totals</w:t>
            </w:r>
          </w:p>
        </w:tc>
        <w:tc>
          <w:tcPr>
            <w:tcW w:w="1350" w:type="dxa"/>
            <w:tcBorders>
              <w:top w:val="nil"/>
              <w:left w:val="single" w:sz="4" w:space="0" w:color="auto"/>
              <w:bottom w:val="nil"/>
            </w:tcBorders>
          </w:tcPr>
          <w:p w:rsidR="00F14745" w:rsidRPr="008134B4" w:rsidRDefault="004C367B" w:rsidP="00F14745">
            <w:pPr>
              <w:jc w:val="right"/>
            </w:pPr>
            <w:r>
              <w:t>$</w:t>
            </w:r>
            <w:r w:rsidR="00F14745" w:rsidRPr="008134B4">
              <w:t xml:space="preserve">159,865 </w:t>
            </w:r>
          </w:p>
        </w:tc>
        <w:tc>
          <w:tcPr>
            <w:tcW w:w="1350" w:type="dxa"/>
            <w:tcBorders>
              <w:top w:val="nil"/>
              <w:bottom w:val="nil"/>
            </w:tcBorders>
          </w:tcPr>
          <w:p w:rsidR="00F14745" w:rsidRPr="00180DE1" w:rsidRDefault="00F14745" w:rsidP="00F14745">
            <w:pPr>
              <w:jc w:val="right"/>
            </w:pPr>
            <w:r w:rsidRPr="00180DE1">
              <w:t>(</w:t>
            </w:r>
            <w:r w:rsidR="004C367B">
              <w:t>$</w:t>
            </w:r>
            <w:r w:rsidRPr="00180DE1">
              <w:t>101,149)</w:t>
            </w:r>
          </w:p>
        </w:tc>
        <w:tc>
          <w:tcPr>
            <w:tcW w:w="1170" w:type="dxa"/>
            <w:tcBorders>
              <w:top w:val="nil"/>
              <w:bottom w:val="nil"/>
            </w:tcBorders>
          </w:tcPr>
          <w:p w:rsidR="00F14745" w:rsidRPr="00B0219E" w:rsidRDefault="004C367B" w:rsidP="00F14745">
            <w:pPr>
              <w:jc w:val="right"/>
            </w:pPr>
            <w:r>
              <w:t>$</w:t>
            </w:r>
            <w:r w:rsidR="00F14745" w:rsidRPr="00B0219E">
              <w:t xml:space="preserve">58,716 </w:t>
            </w:r>
          </w:p>
        </w:tc>
        <w:tc>
          <w:tcPr>
            <w:tcW w:w="1134" w:type="dxa"/>
            <w:tcBorders>
              <w:top w:val="nil"/>
              <w:bottom w:val="nil"/>
            </w:tcBorders>
          </w:tcPr>
          <w:p w:rsidR="00F14745" w:rsidRPr="00BC7D14" w:rsidRDefault="004C367B" w:rsidP="00F14745">
            <w:pPr>
              <w:jc w:val="right"/>
            </w:pPr>
            <w:r>
              <w:t>$</w:t>
            </w:r>
            <w:r w:rsidR="00F14745" w:rsidRPr="00BC7D14">
              <w:t xml:space="preserve">92,622 </w:t>
            </w:r>
          </w:p>
        </w:tc>
        <w:tc>
          <w:tcPr>
            <w:tcW w:w="1170" w:type="dxa"/>
            <w:tcBorders>
              <w:top w:val="nil"/>
              <w:bottom w:val="nil"/>
            </w:tcBorders>
          </w:tcPr>
          <w:p w:rsidR="00F14745" w:rsidRPr="00BE661A" w:rsidRDefault="004C367B" w:rsidP="00F14745">
            <w:pPr>
              <w:jc w:val="right"/>
            </w:pPr>
            <w:r>
              <w:t>$</w:t>
            </w:r>
            <w:r w:rsidR="00F14745" w:rsidRPr="00BE661A">
              <w:t xml:space="preserve">2,985 </w:t>
            </w:r>
          </w:p>
        </w:tc>
        <w:tc>
          <w:tcPr>
            <w:tcW w:w="899" w:type="dxa"/>
            <w:tcBorders>
              <w:top w:val="nil"/>
              <w:bottom w:val="nil"/>
            </w:tcBorders>
          </w:tcPr>
          <w:p w:rsidR="00F14745" w:rsidRPr="00D956FC" w:rsidRDefault="004C367B" w:rsidP="00F14745">
            <w:pPr>
              <w:jc w:val="right"/>
            </w:pPr>
            <w:r>
              <w:t>$</w:t>
            </w:r>
            <w:r w:rsidR="00F14745" w:rsidRPr="00D956FC">
              <w:t xml:space="preserve">233 </w:t>
            </w:r>
          </w:p>
        </w:tc>
      </w:tr>
      <w:tr w:rsidR="00F14745" w:rsidTr="00771334">
        <w:trPr>
          <w:trHeight w:val="297"/>
          <w:jc w:val="center"/>
        </w:trPr>
        <w:tc>
          <w:tcPr>
            <w:tcW w:w="3294" w:type="dxa"/>
            <w:tcBorders>
              <w:top w:val="nil"/>
              <w:left w:val="single" w:sz="4" w:space="0" w:color="auto"/>
              <w:bottom w:val="nil"/>
              <w:right w:val="single" w:sz="4" w:space="0" w:color="auto"/>
            </w:tcBorders>
          </w:tcPr>
          <w:p w:rsidR="00F14745" w:rsidRPr="003F0DAB" w:rsidRDefault="00F14745" w:rsidP="004A0EC2">
            <w:r w:rsidRPr="003F0DAB">
              <w:t>MFR Amounts</w:t>
            </w:r>
          </w:p>
        </w:tc>
        <w:tc>
          <w:tcPr>
            <w:tcW w:w="1350" w:type="dxa"/>
            <w:tcBorders>
              <w:top w:val="nil"/>
              <w:left w:val="single" w:sz="4" w:space="0" w:color="auto"/>
              <w:bottom w:val="nil"/>
            </w:tcBorders>
          </w:tcPr>
          <w:p w:rsidR="00F14745" w:rsidRPr="00F14745" w:rsidRDefault="00F14745" w:rsidP="00F14745">
            <w:pPr>
              <w:jc w:val="right"/>
              <w:rPr>
                <w:u w:val="single"/>
              </w:rPr>
            </w:pPr>
            <w:r w:rsidRPr="00F14745">
              <w:rPr>
                <w:u w:val="single"/>
              </w:rPr>
              <w:t xml:space="preserve">209,656 </w:t>
            </w:r>
          </w:p>
        </w:tc>
        <w:tc>
          <w:tcPr>
            <w:tcW w:w="1350" w:type="dxa"/>
            <w:tcBorders>
              <w:top w:val="nil"/>
              <w:bottom w:val="nil"/>
            </w:tcBorders>
          </w:tcPr>
          <w:p w:rsidR="00F14745" w:rsidRPr="00F14745" w:rsidRDefault="00F14745" w:rsidP="00AE2ADC">
            <w:pPr>
              <w:jc w:val="right"/>
              <w:rPr>
                <w:u w:val="single"/>
              </w:rPr>
            </w:pPr>
            <w:r w:rsidRPr="00F14745">
              <w:rPr>
                <w:u w:val="single"/>
              </w:rPr>
              <w:t>(136,760)</w:t>
            </w:r>
          </w:p>
        </w:tc>
        <w:tc>
          <w:tcPr>
            <w:tcW w:w="1170" w:type="dxa"/>
            <w:tcBorders>
              <w:top w:val="nil"/>
              <w:bottom w:val="nil"/>
            </w:tcBorders>
          </w:tcPr>
          <w:p w:rsidR="00F14745" w:rsidRPr="00F14745" w:rsidRDefault="00F14745" w:rsidP="00F14745">
            <w:pPr>
              <w:jc w:val="right"/>
              <w:rPr>
                <w:u w:val="single"/>
              </w:rPr>
            </w:pPr>
            <w:r w:rsidRPr="00F14745">
              <w:rPr>
                <w:u w:val="single"/>
              </w:rPr>
              <w:t xml:space="preserve">72,896 </w:t>
            </w:r>
          </w:p>
        </w:tc>
        <w:tc>
          <w:tcPr>
            <w:tcW w:w="1134" w:type="dxa"/>
            <w:tcBorders>
              <w:top w:val="nil"/>
              <w:bottom w:val="nil"/>
            </w:tcBorders>
          </w:tcPr>
          <w:p w:rsidR="00F14745" w:rsidRPr="00F14745" w:rsidRDefault="00F14745" w:rsidP="00F14745">
            <w:pPr>
              <w:jc w:val="right"/>
              <w:rPr>
                <w:u w:val="single"/>
              </w:rPr>
            </w:pPr>
            <w:r w:rsidRPr="00F14745">
              <w:rPr>
                <w:u w:val="single"/>
              </w:rPr>
              <w:t xml:space="preserve">125,744 </w:t>
            </w:r>
          </w:p>
        </w:tc>
        <w:tc>
          <w:tcPr>
            <w:tcW w:w="1170" w:type="dxa"/>
            <w:tcBorders>
              <w:top w:val="nil"/>
              <w:bottom w:val="nil"/>
            </w:tcBorders>
          </w:tcPr>
          <w:p w:rsidR="00F14745" w:rsidRPr="00F14745" w:rsidRDefault="00F14745" w:rsidP="00F14745">
            <w:pPr>
              <w:jc w:val="right"/>
              <w:rPr>
                <w:u w:val="single"/>
              </w:rPr>
            </w:pPr>
            <w:r w:rsidRPr="00F14745">
              <w:rPr>
                <w:u w:val="single"/>
              </w:rPr>
              <w:t xml:space="preserve">3,723 </w:t>
            </w:r>
          </w:p>
        </w:tc>
        <w:tc>
          <w:tcPr>
            <w:tcW w:w="899" w:type="dxa"/>
            <w:tcBorders>
              <w:top w:val="nil"/>
              <w:bottom w:val="nil"/>
            </w:tcBorders>
          </w:tcPr>
          <w:p w:rsidR="00F14745" w:rsidRPr="00F14745" w:rsidRDefault="00F14745" w:rsidP="00F14745">
            <w:pPr>
              <w:jc w:val="right"/>
              <w:rPr>
                <w:u w:val="single"/>
              </w:rPr>
            </w:pPr>
            <w:r w:rsidRPr="00F14745">
              <w:rPr>
                <w:u w:val="single"/>
              </w:rPr>
              <w:t xml:space="preserve">0 </w:t>
            </w:r>
          </w:p>
        </w:tc>
      </w:tr>
      <w:tr w:rsidR="00F14745" w:rsidTr="00771334">
        <w:trPr>
          <w:trHeight w:val="290"/>
          <w:jc w:val="center"/>
        </w:trPr>
        <w:tc>
          <w:tcPr>
            <w:tcW w:w="3294" w:type="dxa"/>
            <w:tcBorders>
              <w:top w:val="nil"/>
              <w:left w:val="single" w:sz="4" w:space="0" w:color="auto"/>
              <w:bottom w:val="single" w:sz="4" w:space="0" w:color="auto"/>
              <w:right w:val="single" w:sz="4" w:space="0" w:color="auto"/>
            </w:tcBorders>
          </w:tcPr>
          <w:p w:rsidR="00F14745" w:rsidRDefault="00F14745" w:rsidP="004A0EC2">
            <w:r w:rsidRPr="003F0DAB">
              <w:t>Adjustments</w:t>
            </w:r>
          </w:p>
        </w:tc>
        <w:tc>
          <w:tcPr>
            <w:tcW w:w="1350" w:type="dxa"/>
            <w:tcBorders>
              <w:top w:val="nil"/>
              <w:left w:val="single" w:sz="4" w:space="0" w:color="auto"/>
              <w:bottom w:val="single" w:sz="4" w:space="0" w:color="auto"/>
            </w:tcBorders>
          </w:tcPr>
          <w:p w:rsidR="00F14745" w:rsidRDefault="00F14745" w:rsidP="00F14745">
            <w:pPr>
              <w:jc w:val="right"/>
            </w:pPr>
            <w:r w:rsidRPr="008134B4">
              <w:t>(</w:t>
            </w:r>
            <w:r w:rsidR="004C367B">
              <w:t>$</w:t>
            </w:r>
            <w:r w:rsidRPr="008134B4">
              <w:t>49,791)</w:t>
            </w:r>
          </w:p>
        </w:tc>
        <w:tc>
          <w:tcPr>
            <w:tcW w:w="1350" w:type="dxa"/>
            <w:tcBorders>
              <w:top w:val="nil"/>
            </w:tcBorders>
          </w:tcPr>
          <w:p w:rsidR="00F14745" w:rsidRDefault="004C367B" w:rsidP="00F14745">
            <w:pPr>
              <w:jc w:val="right"/>
            </w:pPr>
            <w:r>
              <w:t>$</w:t>
            </w:r>
            <w:r w:rsidR="00F14745" w:rsidRPr="00180DE1">
              <w:t xml:space="preserve">35,612 </w:t>
            </w:r>
          </w:p>
        </w:tc>
        <w:tc>
          <w:tcPr>
            <w:tcW w:w="1170" w:type="dxa"/>
            <w:tcBorders>
              <w:top w:val="nil"/>
            </w:tcBorders>
          </w:tcPr>
          <w:p w:rsidR="00F14745" w:rsidRDefault="00F14745" w:rsidP="00F14745">
            <w:pPr>
              <w:jc w:val="right"/>
            </w:pPr>
            <w:r w:rsidRPr="00B0219E">
              <w:t>(</w:t>
            </w:r>
            <w:r w:rsidR="004C367B">
              <w:t>$</w:t>
            </w:r>
            <w:r w:rsidRPr="00B0219E">
              <w:t>14,180)</w:t>
            </w:r>
          </w:p>
        </w:tc>
        <w:tc>
          <w:tcPr>
            <w:tcW w:w="1134" w:type="dxa"/>
            <w:tcBorders>
              <w:top w:val="nil"/>
            </w:tcBorders>
          </w:tcPr>
          <w:p w:rsidR="00F14745" w:rsidRDefault="00F14745" w:rsidP="00F14745">
            <w:pPr>
              <w:jc w:val="right"/>
            </w:pPr>
            <w:r w:rsidRPr="00BC7D14">
              <w:t>(</w:t>
            </w:r>
            <w:r w:rsidR="004C367B">
              <w:t>$</w:t>
            </w:r>
            <w:r w:rsidRPr="00BC7D14">
              <w:t>33,122)</w:t>
            </w:r>
          </w:p>
        </w:tc>
        <w:tc>
          <w:tcPr>
            <w:tcW w:w="1170" w:type="dxa"/>
            <w:tcBorders>
              <w:top w:val="nil"/>
            </w:tcBorders>
          </w:tcPr>
          <w:p w:rsidR="00F14745" w:rsidRDefault="00F14745" w:rsidP="00F14745">
            <w:pPr>
              <w:jc w:val="right"/>
            </w:pPr>
            <w:r w:rsidRPr="00BE661A">
              <w:t>(</w:t>
            </w:r>
            <w:r w:rsidR="004C367B">
              <w:t>$</w:t>
            </w:r>
            <w:r w:rsidRPr="00BE661A">
              <w:t>738)</w:t>
            </w:r>
          </w:p>
        </w:tc>
        <w:tc>
          <w:tcPr>
            <w:tcW w:w="899" w:type="dxa"/>
            <w:tcBorders>
              <w:top w:val="nil"/>
            </w:tcBorders>
          </w:tcPr>
          <w:p w:rsidR="00F14745" w:rsidRDefault="004C367B" w:rsidP="00F14745">
            <w:pPr>
              <w:jc w:val="right"/>
            </w:pPr>
            <w:r>
              <w:t>$</w:t>
            </w:r>
            <w:r w:rsidR="00F14745" w:rsidRPr="00D956FC">
              <w:t xml:space="preserve">233 </w:t>
            </w:r>
          </w:p>
        </w:tc>
      </w:tr>
    </w:tbl>
    <w:p w:rsidR="00F14745" w:rsidRDefault="00F14745" w:rsidP="00F14745">
      <w:pPr>
        <w:pStyle w:val="TableSource"/>
      </w:pPr>
      <w:r>
        <w:t xml:space="preserve">Source: </w:t>
      </w:r>
      <w:r w:rsidRPr="00F14745">
        <w:t>Utility’s MFRs and staff’s calculations</w:t>
      </w:r>
    </w:p>
    <w:p w:rsidR="00165B94" w:rsidRDefault="00165B94" w:rsidP="00165B94">
      <w:pPr>
        <w:pStyle w:val="BodyText"/>
      </w:pPr>
      <w:r>
        <w:t>Based on the above, t</w:t>
      </w:r>
      <w:r w:rsidRPr="004D031B">
        <w:t>he appropriate pro forma</w:t>
      </w:r>
      <w:r w:rsidR="00822A69">
        <w:t xml:space="preserve"> net</w:t>
      </w:r>
      <w:r w:rsidRPr="004D031B">
        <w:t xml:space="preserve"> plant additions are $58,716. This </w:t>
      </w:r>
      <w:proofErr w:type="gramStart"/>
      <w:r w:rsidRPr="004D031B">
        <w:t>results</w:t>
      </w:r>
      <w:proofErr w:type="gramEnd"/>
      <w:r w:rsidRPr="004D031B">
        <w:t xml:space="preserve"> in a decrease of $14,180 from the utility’s</w:t>
      </w:r>
      <w:r w:rsidR="00822A69">
        <w:t xml:space="preserve"> amended</w:t>
      </w:r>
      <w:r w:rsidRPr="004D031B">
        <w:t xml:space="preserve"> request. Corresponding adjustments should also be made to increase </w:t>
      </w:r>
      <w:r w:rsidR="00A91803">
        <w:t>A</w:t>
      </w:r>
      <w:r w:rsidRPr="004D031B">
        <w:t xml:space="preserve">ccumulated </w:t>
      </w:r>
      <w:r w:rsidR="00A91803">
        <w:t>D</w:t>
      </w:r>
      <w:r w:rsidRPr="004D031B">
        <w:t>epreciation by $33,122 and decrease depreciation expense by $738. Additionally, pro forma property taxes should be increased by $233.</w:t>
      </w:r>
    </w:p>
    <w:p w:rsidR="00165B94" w:rsidRDefault="00165B94">
      <w:pPr>
        <w:pStyle w:val="IssueHeading"/>
        <w:rPr>
          <w:vanish/>
          <w:specVanish/>
        </w:rPr>
      </w:pPr>
      <w:r w:rsidRPr="004C3641">
        <w:rPr>
          <w:b w:val="0"/>
          <w:i w:val="0"/>
        </w:rPr>
        <w:br w:type="page"/>
      </w:r>
      <w:r w:rsidRPr="004C3641">
        <w:lastRenderedPageBreak/>
        <w:t xml:space="preserve">Issue </w:t>
      </w:r>
      <w:r w:rsidR="009019FF">
        <w:fldChar w:fldCharType="begin"/>
      </w:r>
      <w:r w:rsidR="009019FF">
        <w:instrText xml:space="preserve"> SEQ Issue \* MERGEFORMAT </w:instrText>
      </w:r>
      <w:r w:rsidR="009019FF">
        <w:fldChar w:fldCharType="separate"/>
      </w:r>
      <w:r w:rsidR="0014690B">
        <w:rPr>
          <w:noProof/>
        </w:rPr>
        <w:t>4</w:t>
      </w:r>
      <w:r w:rsidR="009019F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9" w:name="_Toc25305756"/>
      <w:r w:rsidR="0014690B">
        <w:rPr>
          <w:noProof/>
        </w:rPr>
        <w:instrText>4</w:instrText>
      </w:r>
      <w:r>
        <w:fldChar w:fldCharType="end"/>
      </w:r>
      <w:r>
        <w:tab/>
        <w:instrText>Working Capital Allowance</w:instrText>
      </w:r>
      <w:r w:rsidR="00844B5A">
        <w:instrText xml:space="preserve"> </w:instrText>
      </w:r>
      <w:r>
        <w:instrText>(Smith II)</w:instrText>
      </w:r>
      <w:bookmarkEnd w:id="19"/>
      <w:r>
        <w:instrText xml:space="preserve">" \l 1 </w:instrText>
      </w:r>
      <w:r>
        <w:fldChar w:fldCharType="end"/>
      </w:r>
      <w:r>
        <w:t> </w:t>
      </w:r>
    </w:p>
    <w:p w:rsidR="00165B94" w:rsidRDefault="00165B94">
      <w:pPr>
        <w:pStyle w:val="BodyText"/>
      </w:pPr>
      <w:r>
        <w:t xml:space="preserve"> What is the appropriate </w:t>
      </w:r>
      <w:r w:rsidR="00A91803">
        <w:t>W</w:t>
      </w:r>
      <w:r>
        <w:t xml:space="preserve">orking </w:t>
      </w:r>
      <w:r w:rsidR="00A91803">
        <w:t>C</w:t>
      </w:r>
      <w:r>
        <w:t>apital allowance?</w:t>
      </w:r>
    </w:p>
    <w:p w:rsidR="00165B94" w:rsidRPr="004C3641" w:rsidRDefault="00165B94">
      <w:pPr>
        <w:pStyle w:val="IssueSubsectionHeading"/>
        <w:rPr>
          <w:vanish/>
          <w:specVanish/>
        </w:rPr>
      </w:pPr>
      <w:r w:rsidRPr="004C3641">
        <w:t>Recommendation: </w:t>
      </w:r>
    </w:p>
    <w:p w:rsidR="00165B94" w:rsidRDefault="00165B94">
      <w:pPr>
        <w:pStyle w:val="BodyText"/>
      </w:pPr>
      <w:r>
        <w:t> </w:t>
      </w:r>
      <w:r w:rsidRPr="00165B94">
        <w:t xml:space="preserve">The appropriate </w:t>
      </w:r>
      <w:r w:rsidR="00A91803">
        <w:t>W</w:t>
      </w:r>
      <w:r w:rsidRPr="00165B94">
        <w:t xml:space="preserve">orking </w:t>
      </w:r>
      <w:r w:rsidR="00A91803">
        <w:t>C</w:t>
      </w:r>
      <w:r w:rsidRPr="00165B94">
        <w:t xml:space="preserve">apital allowance is $69,556. This results in a reduction of $139 to the </w:t>
      </w:r>
      <w:proofErr w:type="gramStart"/>
      <w:r w:rsidRPr="00165B94">
        <w:t>utility’s</w:t>
      </w:r>
      <w:proofErr w:type="gramEnd"/>
      <w:r w:rsidRPr="00165B94">
        <w:t xml:space="preserve"> requested </w:t>
      </w:r>
      <w:r w:rsidR="00A91803">
        <w:t>W</w:t>
      </w:r>
      <w:r w:rsidRPr="00165B94">
        <w:t xml:space="preserve">orking </w:t>
      </w:r>
      <w:r w:rsidR="00A91803">
        <w:t>C</w:t>
      </w:r>
      <w:r w:rsidRPr="00165B94">
        <w:t>apital allowance.</w:t>
      </w:r>
      <w:r>
        <w:t xml:space="preserve"> (Smith II)</w:t>
      </w:r>
    </w:p>
    <w:p w:rsidR="00165B94" w:rsidRPr="004C3641" w:rsidRDefault="00165B94">
      <w:pPr>
        <w:pStyle w:val="IssueSubsectionHeading"/>
        <w:rPr>
          <w:vanish/>
          <w:specVanish/>
        </w:rPr>
      </w:pPr>
      <w:r w:rsidRPr="004C3641">
        <w:t>Staff Analysis: </w:t>
      </w:r>
    </w:p>
    <w:p w:rsidR="00165B94" w:rsidRDefault="00165B94">
      <w:pPr>
        <w:pStyle w:val="BodyText"/>
      </w:pPr>
      <w:r>
        <w:t> </w:t>
      </w:r>
      <w:r w:rsidRPr="00165B94">
        <w:t>Rule 25-30.433(3), F.A.C., requires that Class B utilities use the formula method, or one-eighth of operation and maintenance (O&amp;M) expense</w:t>
      </w:r>
      <w:r w:rsidR="004C367B">
        <w:t>s</w:t>
      </w:r>
      <w:r w:rsidRPr="00165B94">
        <w:t xml:space="preserve">, to calculate the </w:t>
      </w:r>
      <w:r w:rsidR="00A91803">
        <w:t>W</w:t>
      </w:r>
      <w:r w:rsidRPr="00165B94">
        <w:t xml:space="preserve">orking </w:t>
      </w:r>
      <w:r w:rsidR="00A91803">
        <w:t>C</w:t>
      </w:r>
      <w:r w:rsidRPr="00165B94">
        <w:t xml:space="preserve">apital allowance. The utility has properly </w:t>
      </w:r>
      <w:r w:rsidR="00822A69">
        <w:t>calculated</w:t>
      </w:r>
      <w:r w:rsidRPr="00165B94">
        <w:t xml:space="preserve"> its allowance for </w:t>
      </w:r>
      <w:r w:rsidR="00A91803">
        <w:t>W</w:t>
      </w:r>
      <w:r w:rsidRPr="00165B94">
        <w:t xml:space="preserve">orking </w:t>
      </w:r>
      <w:r w:rsidR="00A91803">
        <w:t>C</w:t>
      </w:r>
      <w:r w:rsidRPr="00165B94">
        <w:t>apital using the one-eighth of O&amp;M expense</w:t>
      </w:r>
      <w:r w:rsidR="004C367B">
        <w:t>s</w:t>
      </w:r>
      <w:r w:rsidRPr="00165B94">
        <w:t xml:space="preserve"> method. </w:t>
      </w:r>
      <w:r w:rsidR="00822A69">
        <w:t xml:space="preserve">However, </w:t>
      </w:r>
      <w:r w:rsidR="004C367B">
        <w:t xml:space="preserve">as detailed in Issue 9, </w:t>
      </w:r>
      <w:r w:rsidR="00822A69">
        <w:t>s</w:t>
      </w:r>
      <w:r w:rsidRPr="00165B94">
        <w:t xml:space="preserve">taff has recommended adjustments to Placid Lakes’ O&amp;M expense. As a result, staff recommends that </w:t>
      </w:r>
      <w:r w:rsidR="00A91803">
        <w:t>W</w:t>
      </w:r>
      <w:r w:rsidRPr="00165B94">
        <w:t xml:space="preserve">orking </w:t>
      </w:r>
      <w:r w:rsidR="00A91803">
        <w:t>C</w:t>
      </w:r>
      <w:r w:rsidRPr="00165B94">
        <w:t xml:space="preserve">apital of $69,556 be approved. This reflects a decrease of $139 to the </w:t>
      </w:r>
      <w:proofErr w:type="gramStart"/>
      <w:r w:rsidRPr="00165B94">
        <w:t>utility’s</w:t>
      </w:r>
      <w:proofErr w:type="gramEnd"/>
      <w:r w:rsidRPr="00165B94">
        <w:t xml:space="preserve"> requested </w:t>
      </w:r>
      <w:r w:rsidR="00A91803">
        <w:t>W</w:t>
      </w:r>
      <w:r w:rsidRPr="00165B94">
        <w:t xml:space="preserve">orking </w:t>
      </w:r>
      <w:r w:rsidR="00A91803">
        <w:t>C</w:t>
      </w:r>
      <w:r w:rsidRPr="00165B94">
        <w:t>apital allowance of $69,695.</w:t>
      </w:r>
    </w:p>
    <w:p w:rsidR="00165B94" w:rsidRDefault="00165B94">
      <w:pPr>
        <w:pStyle w:val="IssueHeading"/>
        <w:rPr>
          <w:vanish/>
          <w:specVanish/>
        </w:rPr>
      </w:pPr>
      <w:r w:rsidRPr="004C3641">
        <w:rPr>
          <w:b w:val="0"/>
          <w:i w:val="0"/>
        </w:rPr>
        <w:br w:type="page"/>
      </w:r>
      <w:r w:rsidRPr="004C3641">
        <w:lastRenderedPageBreak/>
        <w:t xml:space="preserve">Issue </w:t>
      </w:r>
      <w:r w:rsidR="009019FF">
        <w:fldChar w:fldCharType="begin"/>
      </w:r>
      <w:r w:rsidR="009019FF">
        <w:instrText xml:space="preserve"> SEQ Issue \* MERGEFORMAT </w:instrText>
      </w:r>
      <w:r w:rsidR="009019FF">
        <w:fldChar w:fldCharType="separate"/>
      </w:r>
      <w:r w:rsidR="0014690B">
        <w:rPr>
          <w:noProof/>
        </w:rPr>
        <w:t>5</w:t>
      </w:r>
      <w:r w:rsidR="009019F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0" w:name="_Toc25305757"/>
      <w:r w:rsidR="0014690B">
        <w:rPr>
          <w:noProof/>
        </w:rPr>
        <w:instrText>5</w:instrText>
      </w:r>
      <w:r>
        <w:fldChar w:fldCharType="end"/>
      </w:r>
      <w:r>
        <w:tab/>
        <w:instrText>Rate Base</w:instrText>
      </w:r>
      <w:r w:rsidR="00844B5A">
        <w:instrText xml:space="preserve"> </w:instrText>
      </w:r>
      <w:r>
        <w:instrText>(Smith II)</w:instrText>
      </w:r>
      <w:bookmarkEnd w:id="20"/>
      <w:r>
        <w:instrText xml:space="preserve">" \l 1 </w:instrText>
      </w:r>
      <w:r>
        <w:fldChar w:fldCharType="end"/>
      </w:r>
      <w:r>
        <w:t> </w:t>
      </w:r>
    </w:p>
    <w:p w:rsidR="00165B94" w:rsidRDefault="00165B94">
      <w:pPr>
        <w:pStyle w:val="BodyText"/>
      </w:pPr>
      <w:r>
        <w:t> What is the appropriate rate base for the test year end</w:t>
      </w:r>
      <w:r w:rsidR="00517C2A">
        <w:t>ed</w:t>
      </w:r>
      <w:r>
        <w:t xml:space="preserve"> December 31, 2018?</w:t>
      </w:r>
    </w:p>
    <w:p w:rsidR="00165B94" w:rsidRPr="004C3641" w:rsidRDefault="00165B94">
      <w:pPr>
        <w:pStyle w:val="IssueSubsectionHeading"/>
        <w:rPr>
          <w:vanish/>
          <w:specVanish/>
        </w:rPr>
      </w:pPr>
      <w:r w:rsidRPr="004C3641">
        <w:t>Recommendation: </w:t>
      </w:r>
    </w:p>
    <w:p w:rsidR="00165B94" w:rsidRDefault="00165B94">
      <w:pPr>
        <w:pStyle w:val="BodyText"/>
      </w:pPr>
      <w:r>
        <w:t> </w:t>
      </w:r>
      <w:r w:rsidRPr="00165B94">
        <w:t xml:space="preserve">Consistent with other recommended adjustments, the appropriate rate base for the test year ended December 31, 2018, is $585,815. This results in a reduction of $194,441 to the </w:t>
      </w:r>
      <w:proofErr w:type="gramStart"/>
      <w:r w:rsidRPr="00165B94">
        <w:t>utility’s</w:t>
      </w:r>
      <w:proofErr w:type="gramEnd"/>
      <w:r w:rsidRPr="00165B94">
        <w:t xml:space="preserve"> requested rate base.</w:t>
      </w:r>
      <w:r>
        <w:t xml:space="preserve"> (Smith II)</w:t>
      </w:r>
    </w:p>
    <w:p w:rsidR="00165B94" w:rsidRPr="004C3641" w:rsidRDefault="00165B94">
      <w:pPr>
        <w:pStyle w:val="IssueSubsectionHeading"/>
        <w:rPr>
          <w:vanish/>
          <w:specVanish/>
        </w:rPr>
      </w:pPr>
      <w:r w:rsidRPr="004C3641">
        <w:t>Staff Analysis: </w:t>
      </w:r>
    </w:p>
    <w:p w:rsidR="00165B94" w:rsidRDefault="00165B94">
      <w:pPr>
        <w:pStyle w:val="BodyText"/>
      </w:pPr>
      <w:r>
        <w:t> </w:t>
      </w:r>
      <w:r w:rsidR="00F16909" w:rsidRPr="00F16909">
        <w:t xml:space="preserve">In its MFR’s, the Utility requested a rate base of $780,256. Staff’s adjustments recommended in Issue 3 and Issue 4 resulted in decreases to net Pro Forma Plant of $14,180 and Working Capital of $139, respectively. Additionally, the Utility did not make a </w:t>
      </w:r>
      <w:r w:rsidR="00A91803">
        <w:t>U&amp;U</w:t>
      </w:r>
      <w:r w:rsidR="00F16909" w:rsidRPr="00F16909">
        <w:t xml:space="preserve"> adjustment in its </w:t>
      </w:r>
      <w:proofErr w:type="spellStart"/>
      <w:r w:rsidR="00F16909" w:rsidRPr="00F16909">
        <w:t>MFRs.</w:t>
      </w:r>
      <w:proofErr w:type="spellEnd"/>
      <w:r w:rsidR="00F16909" w:rsidRPr="00F16909">
        <w:t xml:space="preserve"> Therefore, as discussed in Issue 2, staff recommends reducing Utility Plant in Service by $275,431 and Accumulated Depreciation by $95,308 to reflect the appropriate U</w:t>
      </w:r>
      <w:r w:rsidR="00517C2A">
        <w:t>&amp;</w:t>
      </w:r>
      <w:r w:rsidR="00F16909" w:rsidRPr="00F16909">
        <w:t>U percentage. This results in a total decrease in rate base of $194,441 ($14,180 + $275,431 - $95,308 + 139). Based on staff’s recommended adjustments, the appropriate rate base is $585,815. The schedule for rate base is attached as Schedule No. 1-</w:t>
      </w:r>
      <w:proofErr w:type="gramStart"/>
      <w:r w:rsidR="00F16909" w:rsidRPr="00F16909">
        <w:t>A and</w:t>
      </w:r>
      <w:proofErr w:type="gramEnd"/>
      <w:r w:rsidR="00F16909" w:rsidRPr="00F16909">
        <w:t xml:space="preserve"> the adjustments are shown on Schedule No. 1-B</w:t>
      </w:r>
      <w:r w:rsidR="00F16909">
        <w:t>.</w:t>
      </w:r>
    </w:p>
    <w:p w:rsidR="00165B94" w:rsidRDefault="00165B94">
      <w:pPr>
        <w:pStyle w:val="IssueHeading"/>
        <w:rPr>
          <w:vanish/>
          <w:specVanish/>
        </w:rPr>
      </w:pPr>
      <w:r w:rsidRPr="004C3641">
        <w:rPr>
          <w:b w:val="0"/>
          <w:i w:val="0"/>
        </w:rPr>
        <w:br w:type="page"/>
      </w:r>
      <w:r w:rsidRPr="004C3641">
        <w:lastRenderedPageBreak/>
        <w:t xml:space="preserve">Issue </w:t>
      </w:r>
      <w:r w:rsidR="009019FF">
        <w:fldChar w:fldCharType="begin"/>
      </w:r>
      <w:r w:rsidR="009019FF">
        <w:instrText xml:space="preserve"> SEQ Issue \* MERGEFORMAT </w:instrText>
      </w:r>
      <w:r w:rsidR="009019FF">
        <w:fldChar w:fldCharType="separate"/>
      </w:r>
      <w:r w:rsidR="0014690B">
        <w:rPr>
          <w:noProof/>
        </w:rPr>
        <w:t>6</w:t>
      </w:r>
      <w:r w:rsidR="009019F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1" w:name="_Toc25305758"/>
      <w:r w:rsidR="0014690B">
        <w:rPr>
          <w:noProof/>
        </w:rPr>
        <w:instrText>6</w:instrText>
      </w:r>
      <w:r>
        <w:fldChar w:fldCharType="end"/>
      </w:r>
      <w:r>
        <w:tab/>
        <w:instrText>Return on Equity</w:instrText>
      </w:r>
      <w:r w:rsidR="00844B5A">
        <w:instrText xml:space="preserve"> </w:instrText>
      </w:r>
      <w:r>
        <w:instrText>(Smith II)</w:instrText>
      </w:r>
      <w:bookmarkEnd w:id="21"/>
      <w:r>
        <w:instrText xml:space="preserve">" \l 1 </w:instrText>
      </w:r>
      <w:r>
        <w:fldChar w:fldCharType="end"/>
      </w:r>
      <w:r>
        <w:t> </w:t>
      </w:r>
    </w:p>
    <w:p w:rsidR="00165B94" w:rsidRDefault="00165B94">
      <w:pPr>
        <w:pStyle w:val="BodyText"/>
      </w:pPr>
      <w:r>
        <w:t> What is the appropriate return on equity</w:t>
      </w:r>
      <w:r w:rsidR="00A91803">
        <w:t xml:space="preserve"> (ROE)</w:t>
      </w:r>
      <w:r>
        <w:t>?</w:t>
      </w:r>
    </w:p>
    <w:p w:rsidR="00165B94" w:rsidRPr="004C3641" w:rsidRDefault="00165B94">
      <w:pPr>
        <w:pStyle w:val="IssueSubsectionHeading"/>
        <w:rPr>
          <w:vanish/>
          <w:specVanish/>
        </w:rPr>
      </w:pPr>
      <w:r w:rsidRPr="004C3641">
        <w:t>Recommendation: </w:t>
      </w:r>
    </w:p>
    <w:p w:rsidR="00165B94" w:rsidRDefault="00165B94">
      <w:pPr>
        <w:pStyle w:val="BodyText"/>
      </w:pPr>
      <w:r>
        <w:t> </w:t>
      </w:r>
      <w:r w:rsidRPr="00B073FF">
        <w:t>Based on the Commission leverage formula currently in effect, the appropriate return on equity (ROE) is 8.76 percent. Staff recommends an allowed range of plus or minus 100 basis points be recognized for ratemaking purposes.</w:t>
      </w:r>
      <w:r>
        <w:t xml:space="preserve"> (Smith II)</w:t>
      </w:r>
    </w:p>
    <w:p w:rsidR="00165B94" w:rsidRPr="004C3641" w:rsidRDefault="00165B94">
      <w:pPr>
        <w:pStyle w:val="IssueSubsectionHeading"/>
        <w:rPr>
          <w:vanish/>
          <w:specVanish/>
        </w:rPr>
      </w:pPr>
      <w:r w:rsidRPr="004C3641">
        <w:t>Staff Analysis: </w:t>
      </w:r>
    </w:p>
    <w:p w:rsidR="00165B94" w:rsidRDefault="00165B94">
      <w:pPr>
        <w:pStyle w:val="BodyText"/>
      </w:pPr>
      <w:r>
        <w:t> </w:t>
      </w:r>
      <w:r w:rsidRPr="00B073FF">
        <w:t xml:space="preserve">The </w:t>
      </w:r>
      <w:r>
        <w:t>u</w:t>
      </w:r>
      <w:r w:rsidRPr="00B073FF">
        <w:t xml:space="preserve">tility requested an ROE of 9.07 percent. The </w:t>
      </w:r>
      <w:r>
        <w:t>u</w:t>
      </w:r>
      <w:r w:rsidRPr="00B073FF">
        <w:t xml:space="preserve">tility utilized the 2018 leverage formula in its filing. However, staff applied the 2019 leverage formula to the </w:t>
      </w:r>
      <w:r>
        <w:t>u</w:t>
      </w:r>
      <w:r w:rsidRPr="00B073FF">
        <w:t>tility’s capital structure in the instant case resulting in an ROE of 8.76.</w:t>
      </w:r>
      <w:r w:rsidRPr="00B073FF">
        <w:rPr>
          <w:vertAlign w:val="superscript"/>
        </w:rPr>
        <w:footnoteReference w:id="8"/>
      </w:r>
      <w:r w:rsidRPr="00B073FF">
        <w:t xml:space="preserve"> </w:t>
      </w:r>
      <w:r w:rsidR="00442896">
        <w:t xml:space="preserve">The ROE is calculated using an equity ratio of 66.50 percent, based on investor sources. </w:t>
      </w:r>
      <w:r w:rsidRPr="00B073FF">
        <w:t>This application of the leverage formula is consistent with past decisions when the leverage formula has been updated during a rate case.</w:t>
      </w:r>
      <w:r w:rsidRPr="00B073FF">
        <w:rPr>
          <w:vertAlign w:val="superscript"/>
        </w:rPr>
        <w:footnoteReference w:id="9"/>
      </w:r>
      <w:r w:rsidRPr="00B073FF">
        <w:t xml:space="preserve"> Staff recommends </w:t>
      </w:r>
      <w:r w:rsidR="00442896">
        <w:t xml:space="preserve">the appropriate ROE </w:t>
      </w:r>
      <w:r w:rsidR="00A91803">
        <w:t>is</w:t>
      </w:r>
      <w:r w:rsidR="00442896">
        <w:t xml:space="preserve"> 8.76 percent with an allowed range of 7.76 percent to 9.76 percent.</w:t>
      </w:r>
    </w:p>
    <w:p w:rsidR="00165B94" w:rsidRDefault="00165B94">
      <w:pPr>
        <w:pStyle w:val="IssueHeading"/>
        <w:rPr>
          <w:vanish/>
          <w:specVanish/>
        </w:rPr>
      </w:pPr>
      <w:r w:rsidRPr="004C3641">
        <w:rPr>
          <w:b w:val="0"/>
          <w:i w:val="0"/>
        </w:rPr>
        <w:br w:type="page"/>
      </w:r>
      <w:r w:rsidRPr="004C3641">
        <w:lastRenderedPageBreak/>
        <w:t xml:space="preserve">Issue </w:t>
      </w:r>
      <w:r w:rsidR="009019FF">
        <w:fldChar w:fldCharType="begin"/>
      </w:r>
      <w:r w:rsidR="009019FF">
        <w:instrText xml:space="preserve"> SEQ Issue \* MERGEFORMAT </w:instrText>
      </w:r>
      <w:r w:rsidR="009019FF">
        <w:fldChar w:fldCharType="separate"/>
      </w:r>
      <w:r w:rsidR="0014690B">
        <w:rPr>
          <w:noProof/>
        </w:rPr>
        <w:t>7</w:t>
      </w:r>
      <w:r w:rsidR="009019F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2" w:name="_Toc25305759"/>
      <w:r w:rsidR="0014690B">
        <w:rPr>
          <w:noProof/>
        </w:rPr>
        <w:instrText>7</w:instrText>
      </w:r>
      <w:r>
        <w:fldChar w:fldCharType="end"/>
      </w:r>
      <w:r>
        <w:tab/>
        <w:instrText>Cost of Capital</w:instrText>
      </w:r>
      <w:r w:rsidR="00844B5A">
        <w:instrText xml:space="preserve"> </w:instrText>
      </w:r>
      <w:r>
        <w:instrText>(Smith II)</w:instrText>
      </w:r>
      <w:bookmarkEnd w:id="22"/>
      <w:r>
        <w:instrText xml:space="preserve">" \l 1 </w:instrText>
      </w:r>
      <w:r>
        <w:fldChar w:fldCharType="end"/>
      </w:r>
      <w:r>
        <w:t> </w:t>
      </w:r>
    </w:p>
    <w:p w:rsidR="00165B94" w:rsidRDefault="00165B94">
      <w:pPr>
        <w:pStyle w:val="BodyText"/>
      </w:pPr>
      <w:r>
        <w:t> What is the appropriate weighted average cost of capital including the proper components, amounts, and cost rates associated with the capital structure</w:t>
      </w:r>
      <w:r w:rsidR="00A91803">
        <w:t xml:space="preserve"> for the test year ended December 31, 2018</w:t>
      </w:r>
      <w:r>
        <w:t>?</w:t>
      </w:r>
    </w:p>
    <w:p w:rsidR="00165B94" w:rsidRPr="004C3641" w:rsidRDefault="00165B94">
      <w:pPr>
        <w:pStyle w:val="IssueSubsectionHeading"/>
        <w:rPr>
          <w:vanish/>
          <w:specVanish/>
        </w:rPr>
      </w:pPr>
      <w:r w:rsidRPr="004C3641">
        <w:t>Recommendation: </w:t>
      </w:r>
    </w:p>
    <w:p w:rsidR="00165B94" w:rsidRDefault="00165B94">
      <w:pPr>
        <w:pStyle w:val="BodyText"/>
      </w:pPr>
      <w:r>
        <w:t> </w:t>
      </w:r>
      <w:r w:rsidRPr="00B073FF">
        <w:t>The appropriate weighted average cost of capital for the test year ended December 31, 2018</w:t>
      </w:r>
      <w:r w:rsidR="000E7B76">
        <w:t>,</w:t>
      </w:r>
      <w:r w:rsidRPr="00B073FF">
        <w:t xml:space="preserve"> is 6.33 percent.</w:t>
      </w:r>
      <w:r>
        <w:t xml:space="preserve"> (Smith II)</w:t>
      </w:r>
    </w:p>
    <w:p w:rsidR="00165B94" w:rsidRPr="004C3641" w:rsidRDefault="00165B94">
      <w:pPr>
        <w:pStyle w:val="IssueSubsectionHeading"/>
        <w:rPr>
          <w:vanish/>
          <w:specVanish/>
        </w:rPr>
      </w:pPr>
      <w:r w:rsidRPr="004C3641">
        <w:t>Staff Analysis: </w:t>
      </w:r>
    </w:p>
    <w:p w:rsidR="00165B94" w:rsidRDefault="00165B94" w:rsidP="00165B94">
      <w:pPr>
        <w:pStyle w:val="BodyText"/>
      </w:pPr>
      <w:r>
        <w:t> </w:t>
      </w:r>
      <w:r w:rsidRPr="00B073FF">
        <w:t xml:space="preserve">In its filing, the </w:t>
      </w:r>
      <w:r>
        <w:t>u</w:t>
      </w:r>
      <w:r w:rsidRPr="00B073FF">
        <w:t xml:space="preserve">tility requested </w:t>
      </w:r>
      <w:r w:rsidR="003330E2">
        <w:t>weighted average</w:t>
      </w:r>
      <w:r w:rsidRPr="00B073FF">
        <w:t xml:space="preserve"> cost of capital </w:t>
      </w:r>
      <w:r w:rsidR="003330E2">
        <w:t xml:space="preserve">(WACC) </w:t>
      </w:r>
      <w:r w:rsidRPr="00B073FF">
        <w:t xml:space="preserve">of 6.67 percent. However, as discussed in </w:t>
      </w:r>
      <w:r w:rsidRPr="00C47B00">
        <w:t>Issue 6,</w:t>
      </w:r>
      <w:r w:rsidRPr="00B073FF">
        <w:t xml:space="preserve"> staff used the 2019 leverage formula, resulting in a lower ROE, and thus</w:t>
      </w:r>
      <w:r w:rsidR="003330E2">
        <w:t xml:space="preserve"> a</w:t>
      </w:r>
      <w:r w:rsidRPr="00B073FF">
        <w:t xml:space="preserve"> lower </w:t>
      </w:r>
      <w:r w:rsidR="003330E2">
        <w:t>WACC</w:t>
      </w:r>
      <w:r w:rsidRPr="00B073FF">
        <w:t xml:space="preserve">. </w:t>
      </w:r>
    </w:p>
    <w:p w:rsidR="003330E2" w:rsidRDefault="003330E2" w:rsidP="003330E2">
      <w:pPr>
        <w:pStyle w:val="BodyText"/>
      </w:pPr>
      <w:r>
        <w:t>Placid Lake’s capital structure consists of $432,580 in common equity, $217,868 of long-term debt at a cost rate of 3.45 percent, $37,450 in customer deposits at a cost rate of 2.00 percent, and $28,711 in deferred income taxes. A staff audit determined that no test year adjustments were necessary. The utility’s capital structure has been reconciled with staff’s recommended rate base which reduced the common equity balance to $345,595, and reduced the long-term debt balance to $174,058. The appropriate ROE is 8.76 percent based upon the Commission-approved leverage formula currently in effect.</w:t>
      </w:r>
      <w:r w:rsidR="000E7B76">
        <w:rPr>
          <w:rStyle w:val="FootnoteReference"/>
        </w:rPr>
        <w:footnoteReference w:id="10"/>
      </w:r>
      <w:r>
        <w:t xml:space="preserve"> Staff recommends the appropriate WACC is 6.33 percent with an allowed range of 5.74 percent to 6.92 percent. The appropriate WACC, including the proper components, amounts, and cost rates is shown on Schedule No. 2.</w:t>
      </w:r>
    </w:p>
    <w:p w:rsidR="003330E2" w:rsidRPr="00B073FF" w:rsidRDefault="003330E2" w:rsidP="003330E2">
      <w:pPr>
        <w:pStyle w:val="BodyText"/>
      </w:pPr>
      <w:r>
        <w:t> </w:t>
      </w:r>
    </w:p>
    <w:p w:rsidR="00165B94" w:rsidRDefault="00165B94">
      <w:pPr>
        <w:pStyle w:val="BodyText"/>
      </w:pPr>
    </w:p>
    <w:p w:rsidR="00165B94" w:rsidRDefault="00165B94">
      <w:pPr>
        <w:pStyle w:val="IssueHeading"/>
        <w:rPr>
          <w:vanish/>
          <w:specVanish/>
        </w:rPr>
      </w:pPr>
      <w:r w:rsidRPr="004C3641">
        <w:rPr>
          <w:b w:val="0"/>
          <w:i w:val="0"/>
        </w:rPr>
        <w:br w:type="page"/>
      </w:r>
      <w:r w:rsidRPr="004C3641">
        <w:lastRenderedPageBreak/>
        <w:t xml:space="preserve">Issue </w:t>
      </w:r>
      <w:r w:rsidR="009019FF">
        <w:fldChar w:fldCharType="begin"/>
      </w:r>
      <w:r w:rsidR="009019FF">
        <w:instrText xml:space="preserve"> SEQ Issue \* MERGEFORMAT </w:instrText>
      </w:r>
      <w:r w:rsidR="009019FF">
        <w:fldChar w:fldCharType="separate"/>
      </w:r>
      <w:r w:rsidR="0014690B">
        <w:rPr>
          <w:noProof/>
        </w:rPr>
        <w:t>8</w:t>
      </w:r>
      <w:r w:rsidR="009019F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3" w:name="_Toc25305760"/>
      <w:r w:rsidR="0014690B">
        <w:rPr>
          <w:noProof/>
        </w:rPr>
        <w:instrText>8</w:instrText>
      </w:r>
      <w:r>
        <w:fldChar w:fldCharType="end"/>
      </w:r>
      <w:r>
        <w:tab/>
        <w:instrText>Test Year Revenues</w:instrText>
      </w:r>
      <w:r w:rsidR="00844B5A">
        <w:instrText xml:space="preserve"> </w:instrText>
      </w:r>
      <w:r>
        <w:instrText>(Ramos)</w:instrText>
      </w:r>
      <w:bookmarkEnd w:id="23"/>
      <w:r>
        <w:instrText xml:space="preserve">" \l 1 </w:instrText>
      </w:r>
      <w:r>
        <w:fldChar w:fldCharType="end"/>
      </w:r>
      <w:r>
        <w:t> </w:t>
      </w:r>
    </w:p>
    <w:p w:rsidR="00165B94" w:rsidRDefault="00165B94">
      <w:pPr>
        <w:pStyle w:val="BodyText"/>
      </w:pPr>
      <w:r>
        <w:t> What are the appropriate test year revenues?</w:t>
      </w:r>
    </w:p>
    <w:p w:rsidR="00165B94" w:rsidRPr="004C3641" w:rsidRDefault="00165B94">
      <w:pPr>
        <w:pStyle w:val="IssueSubsectionHeading"/>
        <w:rPr>
          <w:vanish/>
          <w:specVanish/>
        </w:rPr>
      </w:pPr>
      <w:r w:rsidRPr="004C3641">
        <w:t>Recommendation: </w:t>
      </w:r>
    </w:p>
    <w:p w:rsidR="00165B94" w:rsidRDefault="00165B94">
      <w:pPr>
        <w:pStyle w:val="BodyText"/>
      </w:pPr>
      <w:r>
        <w:t> </w:t>
      </w:r>
      <w:r w:rsidRPr="00B25FE5">
        <w:t>The appropriate test year revenues for Placid Lakes Utilities, Inc. are $701,884.</w:t>
      </w:r>
      <w:r>
        <w:t xml:space="preserve"> (Ramos)</w:t>
      </w:r>
    </w:p>
    <w:p w:rsidR="00165B94" w:rsidRPr="004C3641" w:rsidRDefault="00165B94">
      <w:pPr>
        <w:pStyle w:val="IssueSubsectionHeading"/>
        <w:rPr>
          <w:vanish/>
          <w:specVanish/>
        </w:rPr>
      </w:pPr>
      <w:r w:rsidRPr="004C3641">
        <w:t>Staff Analysis: </w:t>
      </w:r>
    </w:p>
    <w:p w:rsidR="00165B94" w:rsidRDefault="00165B94" w:rsidP="00165B94">
      <w:pPr>
        <w:pStyle w:val="BodyText"/>
      </w:pPr>
      <w:r>
        <w:t> </w:t>
      </w:r>
      <w:r w:rsidRPr="00B25FE5">
        <w:t xml:space="preserve">Placid Lakes recorded total test year revenues of $668,899. The utility’s test year revenues included $661,082 of service revenues and $7,817 of miscellaneous service revenues. In order to calculate the appropriate service revenues, staff utilized the utility’s rates in effect during the test year as well as the bills and gallons provided by the utility within its </w:t>
      </w:r>
      <w:proofErr w:type="spellStart"/>
      <w:r w:rsidRPr="00B25FE5">
        <w:t>MFRs.</w:t>
      </w:r>
      <w:proofErr w:type="spellEnd"/>
      <w:r w:rsidRPr="00B25FE5">
        <w:t xml:space="preserve"> As a result, the appropriate service revenues are $677,567</w:t>
      </w:r>
      <w:r w:rsidR="003F0593">
        <w:t>,</w:t>
      </w:r>
      <w:r w:rsidRPr="00B25FE5">
        <w:t xml:space="preserve"> which results in an increase of $16,485 ($677,567 - $668,899) to the utility’s service revenues. </w:t>
      </w:r>
    </w:p>
    <w:p w:rsidR="00165B94" w:rsidRDefault="00165B94" w:rsidP="00165B94">
      <w:pPr>
        <w:pStyle w:val="BodyText"/>
      </w:pPr>
      <w:r w:rsidRPr="00B25FE5">
        <w:t xml:space="preserve">For miscellaneous revenues, the utility did not reflect miscellaneous revenues associated with late payment charges in its </w:t>
      </w:r>
      <w:proofErr w:type="spellStart"/>
      <w:r w:rsidRPr="00B25FE5">
        <w:t>MFRs.</w:t>
      </w:r>
      <w:proofErr w:type="spellEnd"/>
      <w:r w:rsidRPr="00B25FE5">
        <w:t xml:space="preserve"> Staff requested the utility provide a schedule reflecting miscellaneous revenues associated with the late payment charges. The utility indicated that it was unable to provide a schedule detailing the late payment revenues by month when asked by staff due to the way the occurrences were inputted in</w:t>
      </w:r>
      <w:r>
        <w:t>to the utility’s billing system.</w:t>
      </w:r>
      <w:r w:rsidRPr="00B25FE5">
        <w:t xml:space="preserve"> </w:t>
      </w:r>
      <w:r>
        <w:t>H</w:t>
      </w:r>
      <w:r w:rsidRPr="00B25FE5">
        <w:t>owever, the utility has corrected this feature within its billing system on a going-forward basis. Therefore, staff believes it is appropriate to estimate the late payment charge revenues the utility collected during the test year in order to accurately account for the utility’s total</w:t>
      </w:r>
      <w:r>
        <w:t xml:space="preserve"> test year</w:t>
      </w:r>
      <w:r w:rsidRPr="00B25FE5">
        <w:t xml:space="preserve"> miscellaneous revenues. The utility indicated that it administers approximately 275 late payment charges per month. Based on the utility’s five dollar late payment charge and 275 occurrences each month during the test year, </w:t>
      </w:r>
      <w:proofErr w:type="gramStart"/>
      <w:r w:rsidRPr="00B25FE5">
        <w:t>this results</w:t>
      </w:r>
      <w:proofErr w:type="gramEnd"/>
      <w:r w:rsidRPr="00B25FE5">
        <w:t xml:space="preserve"> in additional miscellaneous revenues of $16,500. As a result, the appropriate miscellaneous revenues </w:t>
      </w:r>
      <w:r>
        <w:t>are $24,</w:t>
      </w:r>
      <w:r w:rsidRPr="00B25FE5">
        <w:t xml:space="preserve">317 ($16,500 + $7,817). Based on the above, </w:t>
      </w:r>
      <w:r w:rsidR="00DF0DFF">
        <w:t xml:space="preserve">staff recommends that </w:t>
      </w:r>
      <w:r w:rsidRPr="00B25FE5">
        <w:t>the appropriate test year revenues for Placid Lakes are $701,884 ($677,567 + $24,317).</w:t>
      </w:r>
    </w:p>
    <w:p w:rsidR="00165B94" w:rsidRDefault="00165B94">
      <w:pPr>
        <w:pStyle w:val="BodyText"/>
      </w:pPr>
    </w:p>
    <w:p w:rsidR="00165B94" w:rsidRDefault="00165B94">
      <w:pPr>
        <w:pStyle w:val="IssueHeading"/>
        <w:rPr>
          <w:vanish/>
          <w:specVanish/>
        </w:rPr>
      </w:pPr>
      <w:r w:rsidRPr="004C3641">
        <w:rPr>
          <w:b w:val="0"/>
          <w:i w:val="0"/>
        </w:rPr>
        <w:br w:type="page"/>
      </w:r>
      <w:r w:rsidRPr="004C3641">
        <w:lastRenderedPageBreak/>
        <w:t xml:space="preserve">Issue </w:t>
      </w:r>
      <w:r w:rsidR="009019FF">
        <w:fldChar w:fldCharType="begin"/>
      </w:r>
      <w:r w:rsidR="009019FF">
        <w:instrText xml:space="preserve"> SEQ Issue \* MERGEFORMAT </w:instrText>
      </w:r>
      <w:r w:rsidR="009019FF">
        <w:fldChar w:fldCharType="separate"/>
      </w:r>
      <w:r w:rsidR="0014690B">
        <w:rPr>
          <w:noProof/>
        </w:rPr>
        <w:t>9</w:t>
      </w:r>
      <w:r w:rsidR="009019F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4" w:name="_Toc25305761"/>
      <w:r w:rsidR="0014690B">
        <w:rPr>
          <w:noProof/>
        </w:rPr>
        <w:instrText>9</w:instrText>
      </w:r>
      <w:r>
        <w:fldChar w:fldCharType="end"/>
      </w:r>
      <w:r>
        <w:tab/>
        <w:instrText>O&amp;M Expense</w:instrText>
      </w:r>
      <w:r w:rsidR="00844B5A">
        <w:instrText xml:space="preserve"> </w:instrText>
      </w:r>
      <w:r>
        <w:instrText>(Knoblauch, Smith II)</w:instrText>
      </w:r>
      <w:bookmarkEnd w:id="24"/>
      <w:r>
        <w:instrText xml:space="preserve">" \l 1 </w:instrText>
      </w:r>
      <w:r>
        <w:fldChar w:fldCharType="end"/>
      </w:r>
      <w:r>
        <w:t> </w:t>
      </w:r>
    </w:p>
    <w:p w:rsidR="00165B94" w:rsidRDefault="00165B94">
      <w:pPr>
        <w:pStyle w:val="BodyText"/>
      </w:pPr>
      <w:r>
        <w:t> Should adjustments be made to the utility's O&amp;M expense</w:t>
      </w:r>
      <w:r w:rsidR="00517C2A">
        <w:t>s</w:t>
      </w:r>
      <w:r>
        <w:t>?</w:t>
      </w:r>
    </w:p>
    <w:p w:rsidR="00165B94" w:rsidRPr="004C3641" w:rsidRDefault="00165B94">
      <w:pPr>
        <w:pStyle w:val="IssueSubsectionHeading"/>
        <w:rPr>
          <w:vanish/>
          <w:specVanish/>
        </w:rPr>
      </w:pPr>
      <w:r w:rsidRPr="004C3641">
        <w:t>Recommendation: </w:t>
      </w:r>
    </w:p>
    <w:p w:rsidR="00165B94" w:rsidRDefault="00165B94">
      <w:pPr>
        <w:pStyle w:val="BodyText"/>
      </w:pPr>
      <w:r>
        <w:t> </w:t>
      </w:r>
      <w:r w:rsidRPr="00460EDA">
        <w:t xml:space="preserve">Yes. O&amp;M expense should be </w:t>
      </w:r>
      <w:r>
        <w:t>in</w:t>
      </w:r>
      <w:r w:rsidRPr="00460EDA">
        <w:t>creased by $2,904 to reflect a</w:t>
      </w:r>
      <w:r w:rsidR="00416540">
        <w:t>n</w:t>
      </w:r>
      <w:r w:rsidRPr="00460EDA">
        <w:t xml:space="preserve"> </w:t>
      </w:r>
      <w:r w:rsidR="00F5213F">
        <w:t>increase</w:t>
      </w:r>
      <w:r w:rsidRPr="00460EDA">
        <w:t xml:space="preserve"> to </w:t>
      </w:r>
      <w:r w:rsidR="00C64C44">
        <w:t>c</w:t>
      </w:r>
      <w:r w:rsidRPr="00460EDA">
        <w:t>hemical expense</w:t>
      </w:r>
      <w:r>
        <w:t>. (Knoblauch, Smith II)</w:t>
      </w:r>
    </w:p>
    <w:p w:rsidR="00165B94" w:rsidRPr="004C3641" w:rsidRDefault="00165B94">
      <w:pPr>
        <w:pStyle w:val="IssueSubsectionHeading"/>
        <w:rPr>
          <w:vanish/>
          <w:specVanish/>
        </w:rPr>
      </w:pPr>
      <w:r w:rsidRPr="004C3641">
        <w:t>Staff Analysis: </w:t>
      </w:r>
    </w:p>
    <w:p w:rsidR="00165B94" w:rsidRDefault="00165B94" w:rsidP="00165B94">
      <w:pPr>
        <w:pStyle w:val="BodyText"/>
      </w:pPr>
      <w:r>
        <w:t> </w:t>
      </w:r>
      <w:r w:rsidRPr="00460EDA">
        <w:t xml:space="preserve">Staff reviewed the </w:t>
      </w:r>
      <w:r>
        <w:t>u</w:t>
      </w:r>
      <w:r w:rsidRPr="00460EDA">
        <w:t>tility’s requested O&amp;M expenses. In particular, staff compared the requested expenses in the</w:t>
      </w:r>
      <w:r w:rsidR="000E7B76">
        <w:t xml:space="preserve"> instant case to the Commission-</w:t>
      </w:r>
      <w:r w:rsidRPr="00460EDA">
        <w:t xml:space="preserve">approved amounts in the </w:t>
      </w:r>
      <w:r>
        <w:t>u</w:t>
      </w:r>
      <w:r w:rsidRPr="00460EDA">
        <w:t>tility’s last rate case. The requested expenses in the instant case represent a slight increase. Howeve</w:t>
      </w:r>
      <w:r w:rsidR="000E7B76">
        <w:t>r, when applying the Commission-</w:t>
      </w:r>
      <w:r w:rsidRPr="00460EDA">
        <w:t>approved index factors to the previously approved expenses, the request in the instant case represents an overall decrease in O&amp;M expenses. Therefore, staff believes these expenses are reasonable.</w:t>
      </w:r>
    </w:p>
    <w:p w:rsidR="001743DD" w:rsidRDefault="001743DD" w:rsidP="001743DD">
      <w:pPr>
        <w:pStyle w:val="BodyText"/>
      </w:pPr>
      <w:r>
        <w:t>Placid Lakes recorded chemical expense of $13,427 in its MFRs for the test year. The utility made a normalization adjustment to this amount of $3,317, resulting in a chemical expense of $16,744. The utility made a normalization adjustment to account for purchase timing differences. Staff reviewed purchases made over a period of three years and believes that a normalization adjustment is appropriate in this case. However, based on calculations using the values provided by Placid Lakes, staff recommends a normalization adjustment of $3,110 to the test year amount. This results in a reduction of $207 to the utility's requested amount of chemical expense.</w:t>
      </w:r>
    </w:p>
    <w:p w:rsidR="001743DD" w:rsidRDefault="001743DD" w:rsidP="001743DD">
      <w:pPr>
        <w:pStyle w:val="BodyText"/>
      </w:pPr>
      <w:r>
        <w:t xml:space="preserve"> In addition to the normalization adjustment discussed above, staff recommends adjustments to reflect the addition of a new water treatment system which was placed in-service after the test year. Based on three months of operation, the utility indicated that chemical costs will increase by a total amount of $3,112. This increase includes costs for hydrogen peroxide which was not needed to operate the previous water treatment system. </w:t>
      </w:r>
    </w:p>
    <w:p w:rsidR="00165B94" w:rsidRDefault="001743DD" w:rsidP="001743DD">
      <w:pPr>
        <w:pStyle w:val="BodyText"/>
      </w:pPr>
      <w:r>
        <w:t>Based on the discussion above, staff recommends an adjustment $2,905 (-$207+$3,112) to the Utility’s request of $16,744. The resulting chemical expense is $19,648 ($16,744+$2,905).</w:t>
      </w:r>
    </w:p>
    <w:p w:rsidR="00165B94" w:rsidRDefault="00165B94">
      <w:pPr>
        <w:pStyle w:val="IssueHeading"/>
        <w:rPr>
          <w:vanish/>
          <w:specVanish/>
        </w:rPr>
      </w:pPr>
      <w:r w:rsidRPr="004C3641">
        <w:rPr>
          <w:b w:val="0"/>
          <w:i w:val="0"/>
        </w:rPr>
        <w:br w:type="page"/>
      </w:r>
      <w:r w:rsidRPr="004C3641">
        <w:lastRenderedPageBreak/>
        <w:t xml:space="preserve">Issue </w:t>
      </w:r>
      <w:r w:rsidR="009019FF">
        <w:fldChar w:fldCharType="begin"/>
      </w:r>
      <w:r w:rsidR="009019FF">
        <w:instrText xml:space="preserve"> SEQ Issue \* MERGEFORMAT </w:instrText>
      </w:r>
      <w:r w:rsidR="009019FF">
        <w:fldChar w:fldCharType="separate"/>
      </w:r>
      <w:r w:rsidR="0014690B">
        <w:rPr>
          <w:noProof/>
        </w:rPr>
        <w:t>10</w:t>
      </w:r>
      <w:r w:rsidR="009019F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5" w:name="_Toc25305762"/>
      <w:r w:rsidR="0014690B">
        <w:rPr>
          <w:noProof/>
        </w:rPr>
        <w:instrText>10</w:instrText>
      </w:r>
      <w:r>
        <w:fldChar w:fldCharType="end"/>
      </w:r>
      <w:r>
        <w:tab/>
        <w:instrText>Rate Case Expense</w:instrText>
      </w:r>
      <w:r w:rsidR="00844B5A">
        <w:instrText xml:space="preserve"> </w:instrText>
      </w:r>
      <w:r>
        <w:instrText>(Smith II)</w:instrText>
      </w:r>
      <w:bookmarkEnd w:id="25"/>
      <w:r>
        <w:instrText xml:space="preserve">" \l 1 </w:instrText>
      </w:r>
      <w:r>
        <w:fldChar w:fldCharType="end"/>
      </w:r>
      <w:r>
        <w:t> </w:t>
      </w:r>
    </w:p>
    <w:p w:rsidR="00165B94" w:rsidRDefault="00165B94">
      <w:pPr>
        <w:pStyle w:val="BodyText"/>
      </w:pPr>
      <w:r>
        <w:t> What is the appropriate amount of rate case expense for the current case?</w:t>
      </w:r>
    </w:p>
    <w:p w:rsidR="00165B94" w:rsidRPr="004C3641" w:rsidRDefault="00165B94">
      <w:pPr>
        <w:pStyle w:val="IssueSubsectionHeading"/>
        <w:rPr>
          <w:vanish/>
          <w:specVanish/>
        </w:rPr>
      </w:pPr>
      <w:r w:rsidRPr="004C3641">
        <w:t>Recommendation: </w:t>
      </w:r>
    </w:p>
    <w:p w:rsidR="00165B94" w:rsidRDefault="00165B94">
      <w:pPr>
        <w:pStyle w:val="BodyText"/>
      </w:pPr>
      <w:r>
        <w:t> </w:t>
      </w:r>
      <w:r w:rsidRPr="00B073FF">
        <w:t>The appropriate amount of rate case expense is $30,66</w:t>
      </w:r>
      <w:r>
        <w:t>4</w:t>
      </w:r>
      <w:r w:rsidRPr="00B073FF">
        <w:t>. This expense should be recovered over four years for an annual expense of $7,666. Therefore, annual rate case expense should be reduced by $4,020.</w:t>
      </w:r>
      <w:r>
        <w:t xml:space="preserve"> (Smith II)</w:t>
      </w:r>
    </w:p>
    <w:p w:rsidR="00165B94" w:rsidRPr="004C3641" w:rsidRDefault="00165B94">
      <w:pPr>
        <w:pStyle w:val="IssueSubsectionHeading"/>
        <w:rPr>
          <w:vanish/>
          <w:specVanish/>
        </w:rPr>
      </w:pPr>
      <w:r w:rsidRPr="004C3641">
        <w:t>Staff Analysis: </w:t>
      </w:r>
    </w:p>
    <w:p w:rsidR="00165B94" w:rsidRPr="00B073FF" w:rsidRDefault="00165B94" w:rsidP="00165B94">
      <w:pPr>
        <w:pStyle w:val="BodyText"/>
      </w:pPr>
      <w:r>
        <w:t> </w:t>
      </w:r>
      <w:r w:rsidRPr="00B073FF">
        <w:t xml:space="preserve">In its filing, Placid Lakes requested $46,744 for current rate case expense with a four-year amortization amount of $11,686. </w:t>
      </w:r>
    </w:p>
    <w:p w:rsidR="00165B94" w:rsidRPr="00B073FF" w:rsidRDefault="00165B94" w:rsidP="00165B94">
      <w:pPr>
        <w:spacing w:after="120"/>
        <w:jc w:val="both"/>
        <w:rPr>
          <w:highlight w:val="yellow"/>
        </w:rPr>
      </w:pPr>
      <w:r w:rsidRPr="00B073FF">
        <w:t xml:space="preserve">In </w:t>
      </w:r>
      <w:r w:rsidR="00AE2ADC">
        <w:t>S</w:t>
      </w:r>
      <w:r w:rsidRPr="00B073FF">
        <w:t>taff’s Third Data Request, staff requested an update of the actual rate case expense incurred, with supporting documentation, as well as the estimated amount to complete the case.</w:t>
      </w:r>
      <w:r w:rsidR="004373DD">
        <w:rPr>
          <w:rStyle w:val="FootnoteReference"/>
        </w:rPr>
        <w:footnoteReference w:id="11"/>
      </w:r>
      <w:r w:rsidRPr="00B073FF">
        <w:t xml:space="preserve"> The </w:t>
      </w:r>
      <w:r>
        <w:t>u</w:t>
      </w:r>
      <w:r w:rsidRPr="00B073FF">
        <w:t xml:space="preserve">tility submitted a revised estimated rate case expense, as of </w:t>
      </w:r>
      <w:r>
        <w:t>October 11, 2019</w:t>
      </w:r>
      <w:r w:rsidRPr="00B073FF">
        <w:t>, through completion of the PAA process of $31,008.</w:t>
      </w:r>
      <w:r w:rsidR="004373DD">
        <w:rPr>
          <w:rStyle w:val="FootnoteReference"/>
        </w:rPr>
        <w:footnoteReference w:id="12"/>
      </w:r>
      <w:r w:rsidRPr="00B073FF">
        <w:t xml:space="preserve"> Table </w:t>
      </w:r>
      <w:r>
        <w:t>10</w:t>
      </w:r>
      <w:r w:rsidRPr="00B073FF">
        <w:t xml:space="preserve">-1 below illustrates the </w:t>
      </w:r>
      <w:r>
        <w:t>u</w:t>
      </w:r>
      <w:r w:rsidRPr="00B073FF">
        <w:t>tility’s requested rate case expense along with staff’s recommended adjustments.</w:t>
      </w:r>
    </w:p>
    <w:p w:rsidR="00165B94" w:rsidRPr="00B073FF" w:rsidRDefault="00165B94" w:rsidP="00165B94">
      <w:pPr>
        <w:spacing w:after="120"/>
        <w:jc w:val="both"/>
        <w:rPr>
          <w:rFonts w:cs="Arial"/>
          <w:bCs/>
          <w:color w:val="000000"/>
          <w:kern w:val="32"/>
          <w:szCs w:val="32"/>
        </w:rPr>
      </w:pPr>
      <w:r w:rsidRPr="00B073FF">
        <w:rPr>
          <w:rFonts w:cs="Arial"/>
          <w:bCs/>
          <w:color w:val="000000"/>
          <w:kern w:val="32"/>
          <w:szCs w:val="32"/>
        </w:rPr>
        <w:t>Pursuant to Section 367.081(7), F.S., the Commission shall determine the reasonableness of rate case expense and shall disallow all rate case expense determined to be unreasonable. Staff has examined the requested actual expenses, supporting documentation, and estimated expenses as listed above for the current rate case. Based on its review, staff believes the following adjustments to Placid Lakes’ rate case expense estimate are appropriate.</w:t>
      </w:r>
    </w:p>
    <w:p w:rsidR="00165B94" w:rsidRPr="00B073FF" w:rsidRDefault="00165B94" w:rsidP="00165B94">
      <w:pPr>
        <w:spacing w:after="120"/>
        <w:jc w:val="both"/>
        <w:rPr>
          <w:rFonts w:cs="Arial"/>
          <w:bCs/>
          <w:color w:val="000000"/>
          <w:kern w:val="32"/>
          <w:szCs w:val="32"/>
        </w:rPr>
      </w:pPr>
      <w:r w:rsidRPr="00B073FF">
        <w:t xml:space="preserve">The first adjustment to rate case expense is to remove ineligible and duplicative legal expenses. In the </w:t>
      </w:r>
      <w:r>
        <w:t>u</w:t>
      </w:r>
      <w:r w:rsidRPr="00B073FF">
        <w:t xml:space="preserve">tility’s update of actual legal fees and costs, fees associated with work on the </w:t>
      </w:r>
      <w:r>
        <w:t>u</w:t>
      </w:r>
      <w:r w:rsidRPr="00B073FF">
        <w:t>tility’s MFR deficiencies ($494) were noted, but not removed. The Commission has previously disallowed rate case</w:t>
      </w:r>
      <w:r w:rsidRPr="00B073FF">
        <w:rPr>
          <w:color w:val="FF0000"/>
        </w:rPr>
        <w:t xml:space="preserve"> </w:t>
      </w:r>
      <w:r w:rsidRPr="00B073FF">
        <w:t>expense associated with correcting MFR deficiencies because of duplicat</w:t>
      </w:r>
      <w:r w:rsidR="00A91803">
        <w:t>ive</w:t>
      </w:r>
      <w:r w:rsidRPr="00B073FF">
        <w:t xml:space="preserve"> filing costs.</w:t>
      </w:r>
      <w:r w:rsidRPr="00B073FF">
        <w:rPr>
          <w:vertAlign w:val="superscript"/>
        </w:rPr>
        <w:footnoteReference w:id="13"/>
      </w:r>
    </w:p>
    <w:p w:rsidR="00165B94" w:rsidRPr="00B073FF" w:rsidRDefault="00165B94" w:rsidP="00165B94">
      <w:pPr>
        <w:spacing w:after="120"/>
        <w:jc w:val="both"/>
      </w:pPr>
      <w:r w:rsidRPr="00B073FF">
        <w:t xml:space="preserve">The second adjustment relates to pay for a retired employee who assisted the </w:t>
      </w:r>
      <w:r>
        <w:t>u</w:t>
      </w:r>
      <w:r w:rsidRPr="00B073FF">
        <w:t xml:space="preserve">tility in preparing for the rate case. The </w:t>
      </w:r>
      <w:r>
        <w:t>u</w:t>
      </w:r>
      <w:r w:rsidRPr="00B073FF">
        <w:t xml:space="preserve">tility submitted 5 months of timesheets for the retired employee. Those timesheets reflected a total of 30 hours. However, in its calculations for </w:t>
      </w:r>
      <w:r>
        <w:t>r</w:t>
      </w:r>
      <w:r w:rsidRPr="00B073FF">
        <w:t xml:space="preserve">ate </w:t>
      </w:r>
      <w:r>
        <w:t>c</w:t>
      </w:r>
      <w:r w:rsidRPr="00B073FF">
        <w:t xml:space="preserve">ase </w:t>
      </w:r>
      <w:r>
        <w:t>e</w:t>
      </w:r>
      <w:r w:rsidRPr="00B073FF">
        <w:t xml:space="preserve">xpense, the </w:t>
      </w:r>
      <w:r>
        <w:t>u</w:t>
      </w:r>
      <w:r w:rsidRPr="00B073FF">
        <w:t xml:space="preserve">tility only included 26 hours. Therefore, staff recommends increasing </w:t>
      </w:r>
      <w:r>
        <w:t>r</w:t>
      </w:r>
      <w:r w:rsidRPr="00B073FF">
        <w:t xml:space="preserve">ate </w:t>
      </w:r>
      <w:r>
        <w:t>c</w:t>
      </w:r>
      <w:r w:rsidRPr="00B073FF">
        <w:t xml:space="preserve">ase </w:t>
      </w:r>
      <w:r>
        <w:t>e</w:t>
      </w:r>
      <w:r w:rsidRPr="00B073FF">
        <w:t xml:space="preserve">xpense by $150 ($37.43 </w:t>
      </w:r>
      <w:r w:rsidR="00416540">
        <w:t>x</w:t>
      </w:r>
      <w:r w:rsidRPr="00B073FF">
        <w:t xml:space="preserve"> 4).</w:t>
      </w:r>
    </w:p>
    <w:p w:rsidR="00165B94" w:rsidRPr="00B073FF" w:rsidRDefault="00165B94" w:rsidP="00165B94">
      <w:pPr>
        <w:spacing w:after="120"/>
        <w:jc w:val="both"/>
        <w:rPr>
          <w:rFonts w:cs="Arial"/>
          <w:bCs/>
          <w:color w:val="000000"/>
          <w:kern w:val="32"/>
          <w:szCs w:val="32"/>
        </w:rPr>
      </w:pPr>
      <w:r w:rsidRPr="00B073FF">
        <w:t xml:space="preserve">Placid Lakes initially included expenses of $2,250 for customer and legal notices. Placid Lakes is responsible for sending three notices: the initial notice, </w:t>
      </w:r>
      <w:r w:rsidR="000E7B76">
        <w:t xml:space="preserve">the </w:t>
      </w:r>
      <w:r w:rsidRPr="00B073FF">
        <w:t xml:space="preserve">customer meeting notice, and </w:t>
      </w:r>
      <w:r w:rsidR="000E7B76">
        <w:t xml:space="preserve">the </w:t>
      </w:r>
      <w:r w:rsidRPr="00B073FF">
        <w:t xml:space="preserve">notice of the final rate increase. In its update of rate case expense, the </w:t>
      </w:r>
      <w:r>
        <w:t>u</w:t>
      </w:r>
      <w:r w:rsidRPr="00B073FF">
        <w:t>tility documented a cost of $1,122 for each notice. This results in a total of $3,366 for not</w:t>
      </w:r>
      <w:r w:rsidRPr="00B073FF">
        <w:rPr>
          <w:rFonts w:cs="Arial"/>
          <w:bCs/>
          <w:color w:val="000000"/>
          <w:kern w:val="32"/>
          <w:szCs w:val="32"/>
        </w:rPr>
        <w:t xml:space="preserve">ices. </w:t>
      </w:r>
    </w:p>
    <w:p w:rsidR="00165B94" w:rsidRPr="00B073FF" w:rsidRDefault="00165B94" w:rsidP="00165B94">
      <w:pPr>
        <w:spacing w:after="120"/>
        <w:jc w:val="both"/>
        <w:rPr>
          <w:rFonts w:eastAsia="MS PGothic"/>
          <w:bCs/>
          <w:color w:val="000000"/>
          <w:kern w:val="32"/>
        </w:rPr>
      </w:pPr>
      <w:r w:rsidRPr="00B073FF">
        <w:rPr>
          <w:rFonts w:cs="Arial"/>
          <w:bCs/>
          <w:color w:val="000000"/>
          <w:kern w:val="32"/>
          <w:szCs w:val="32"/>
        </w:rPr>
        <w:t>Based upon the adjustments above, staff recommend</w:t>
      </w:r>
      <w:r w:rsidRPr="00B073FF">
        <w:rPr>
          <w:rFonts w:eastAsia="MS PGothic"/>
          <w:bCs/>
          <w:kern w:val="32"/>
          <w:szCs w:val="32"/>
        </w:rPr>
        <w:t>s that Placid Lakes’ revised rate case expense of $31,008 be decreased by $344 ($494 - $150) for a total of $30,664. A breakdown of rate case expense is as follows:</w:t>
      </w:r>
    </w:p>
    <w:p w:rsidR="00165B94" w:rsidRDefault="00165B94" w:rsidP="00165B94">
      <w:pPr>
        <w:pStyle w:val="TableNumber"/>
        <w:keepNext/>
      </w:pPr>
      <w:r>
        <w:lastRenderedPageBreak/>
        <w:t xml:space="preserve">Table </w:t>
      </w:r>
      <w:r w:rsidR="009019FF">
        <w:fldChar w:fldCharType="begin"/>
      </w:r>
      <w:r w:rsidR="009019FF">
        <w:instrText xml:space="preserve"> SEQ Issue \c </w:instrText>
      </w:r>
      <w:r w:rsidR="009019FF">
        <w:fldChar w:fldCharType="separate"/>
      </w:r>
      <w:r w:rsidR="0014690B">
        <w:rPr>
          <w:noProof/>
        </w:rPr>
        <w:t>10</w:t>
      </w:r>
      <w:r w:rsidR="009019FF">
        <w:rPr>
          <w:noProof/>
        </w:rPr>
        <w:fldChar w:fldCharType="end"/>
      </w:r>
      <w:r>
        <w:t>-1</w:t>
      </w:r>
    </w:p>
    <w:p w:rsidR="00165B94" w:rsidRDefault="00165B94" w:rsidP="00165B94">
      <w:pPr>
        <w:pStyle w:val="TableTitle"/>
        <w:keepNext/>
      </w:pPr>
      <w:r>
        <w:t>Rate Case Expense</w:t>
      </w:r>
    </w:p>
    <w:tbl>
      <w:tblPr>
        <w:tblW w:w="9035" w:type="dxa"/>
        <w:jc w:val="center"/>
        <w:tblInd w:w="-42" w:type="dxa"/>
        <w:tblLook w:val="04A0" w:firstRow="1" w:lastRow="0" w:firstColumn="1" w:lastColumn="0" w:noHBand="0" w:noVBand="1"/>
      </w:tblPr>
      <w:tblGrid>
        <w:gridCol w:w="3438"/>
        <w:gridCol w:w="1422"/>
        <w:gridCol w:w="1800"/>
        <w:gridCol w:w="1188"/>
        <w:gridCol w:w="1187"/>
      </w:tblGrid>
      <w:tr w:rsidR="00165B94" w:rsidRPr="00C356E3" w:rsidTr="00AF2909">
        <w:trPr>
          <w:trHeight w:val="315"/>
          <w:jc w:val="center"/>
        </w:trPr>
        <w:tc>
          <w:tcPr>
            <w:tcW w:w="3438" w:type="dxa"/>
            <w:tcBorders>
              <w:top w:val="single" w:sz="4" w:space="0" w:color="auto"/>
              <w:left w:val="single" w:sz="4" w:space="0" w:color="auto"/>
              <w:bottom w:val="nil"/>
              <w:right w:val="nil"/>
            </w:tcBorders>
            <w:shd w:val="clear" w:color="auto" w:fill="auto"/>
            <w:noWrap/>
            <w:vAlign w:val="bottom"/>
            <w:hideMark/>
          </w:tcPr>
          <w:p w:rsidR="00165B94" w:rsidRPr="00C356E3" w:rsidRDefault="00165B94" w:rsidP="00AF2909">
            <w:r w:rsidRPr="00C356E3">
              <w:t> </w:t>
            </w:r>
          </w:p>
        </w:tc>
        <w:tc>
          <w:tcPr>
            <w:tcW w:w="1422" w:type="dxa"/>
            <w:tcBorders>
              <w:top w:val="single" w:sz="4" w:space="0" w:color="auto"/>
              <w:left w:val="single" w:sz="4" w:space="0" w:color="auto"/>
              <w:bottom w:val="nil"/>
              <w:right w:val="single" w:sz="4" w:space="0" w:color="auto"/>
            </w:tcBorders>
            <w:shd w:val="clear" w:color="auto" w:fill="auto"/>
            <w:noWrap/>
            <w:vAlign w:val="bottom"/>
            <w:hideMark/>
          </w:tcPr>
          <w:p w:rsidR="00165B94" w:rsidRPr="00C356E3" w:rsidRDefault="00165B94" w:rsidP="00AF2909">
            <w:r w:rsidRPr="00C356E3">
              <w:t> </w:t>
            </w:r>
          </w:p>
        </w:tc>
        <w:tc>
          <w:tcPr>
            <w:tcW w:w="1800" w:type="dxa"/>
            <w:tcBorders>
              <w:top w:val="single" w:sz="4" w:space="0" w:color="auto"/>
              <w:left w:val="nil"/>
              <w:bottom w:val="nil"/>
              <w:right w:val="nil"/>
            </w:tcBorders>
            <w:shd w:val="clear" w:color="auto" w:fill="auto"/>
            <w:noWrap/>
            <w:vAlign w:val="bottom"/>
            <w:hideMark/>
          </w:tcPr>
          <w:p w:rsidR="00165B94" w:rsidRPr="00C356E3" w:rsidRDefault="00165B94" w:rsidP="00AF2909">
            <w:pPr>
              <w:jc w:val="center"/>
            </w:pPr>
            <w:r w:rsidRPr="00C356E3">
              <w:t xml:space="preserve">Utility </w:t>
            </w:r>
          </w:p>
        </w:tc>
        <w:tc>
          <w:tcPr>
            <w:tcW w:w="1188" w:type="dxa"/>
            <w:tcBorders>
              <w:top w:val="single" w:sz="4" w:space="0" w:color="auto"/>
              <w:left w:val="single" w:sz="4" w:space="0" w:color="auto"/>
              <w:bottom w:val="nil"/>
              <w:right w:val="single" w:sz="4" w:space="0" w:color="auto"/>
            </w:tcBorders>
            <w:shd w:val="clear" w:color="auto" w:fill="auto"/>
            <w:noWrap/>
            <w:vAlign w:val="bottom"/>
            <w:hideMark/>
          </w:tcPr>
          <w:p w:rsidR="00165B94" w:rsidRPr="00C356E3" w:rsidRDefault="00165B94" w:rsidP="00AF2909">
            <w:r w:rsidRPr="00C356E3">
              <w:t> </w:t>
            </w:r>
          </w:p>
        </w:tc>
        <w:tc>
          <w:tcPr>
            <w:tcW w:w="1187" w:type="dxa"/>
            <w:tcBorders>
              <w:top w:val="single" w:sz="4" w:space="0" w:color="auto"/>
              <w:left w:val="nil"/>
              <w:bottom w:val="nil"/>
              <w:right w:val="single" w:sz="4" w:space="0" w:color="auto"/>
            </w:tcBorders>
            <w:shd w:val="clear" w:color="auto" w:fill="auto"/>
            <w:noWrap/>
            <w:vAlign w:val="bottom"/>
            <w:hideMark/>
          </w:tcPr>
          <w:p w:rsidR="00165B94" w:rsidRPr="00C356E3" w:rsidRDefault="00165B94" w:rsidP="00AF2909">
            <w:r w:rsidRPr="00C356E3">
              <w:t> </w:t>
            </w:r>
          </w:p>
        </w:tc>
      </w:tr>
      <w:tr w:rsidR="00165B94" w:rsidRPr="00C356E3" w:rsidTr="00AF2909">
        <w:trPr>
          <w:trHeight w:val="315"/>
          <w:jc w:val="center"/>
        </w:trPr>
        <w:tc>
          <w:tcPr>
            <w:tcW w:w="3438" w:type="dxa"/>
            <w:tcBorders>
              <w:top w:val="nil"/>
              <w:left w:val="single" w:sz="4" w:space="0" w:color="auto"/>
              <w:bottom w:val="nil"/>
              <w:right w:val="nil"/>
            </w:tcBorders>
            <w:shd w:val="clear" w:color="auto" w:fill="auto"/>
            <w:noWrap/>
            <w:vAlign w:val="bottom"/>
            <w:hideMark/>
          </w:tcPr>
          <w:p w:rsidR="00165B94" w:rsidRPr="00C356E3" w:rsidRDefault="00165B94" w:rsidP="00AF2909">
            <w:r w:rsidRPr="00C356E3">
              <w:t> </w:t>
            </w:r>
          </w:p>
        </w:tc>
        <w:tc>
          <w:tcPr>
            <w:tcW w:w="1422" w:type="dxa"/>
            <w:tcBorders>
              <w:top w:val="nil"/>
              <w:left w:val="single" w:sz="4" w:space="0" w:color="auto"/>
              <w:bottom w:val="nil"/>
              <w:right w:val="single" w:sz="4" w:space="0" w:color="auto"/>
            </w:tcBorders>
            <w:shd w:val="clear" w:color="auto" w:fill="auto"/>
            <w:noWrap/>
            <w:vAlign w:val="bottom"/>
            <w:hideMark/>
          </w:tcPr>
          <w:p w:rsidR="00165B94" w:rsidRPr="00C356E3" w:rsidRDefault="00165B94" w:rsidP="00AF2909">
            <w:pPr>
              <w:jc w:val="center"/>
            </w:pPr>
            <w:r w:rsidRPr="00C356E3">
              <w:t>MFR B-10</w:t>
            </w:r>
          </w:p>
        </w:tc>
        <w:tc>
          <w:tcPr>
            <w:tcW w:w="1800" w:type="dxa"/>
            <w:tcBorders>
              <w:top w:val="nil"/>
              <w:left w:val="nil"/>
              <w:bottom w:val="nil"/>
              <w:right w:val="nil"/>
            </w:tcBorders>
            <w:shd w:val="clear" w:color="auto" w:fill="auto"/>
            <w:noWrap/>
            <w:vAlign w:val="bottom"/>
            <w:hideMark/>
          </w:tcPr>
          <w:p w:rsidR="00165B94" w:rsidRPr="00C356E3" w:rsidRDefault="00165B94" w:rsidP="00AF2909">
            <w:pPr>
              <w:jc w:val="center"/>
            </w:pPr>
            <w:r w:rsidRPr="00C356E3">
              <w:t>Revised Actual</w:t>
            </w:r>
          </w:p>
        </w:tc>
        <w:tc>
          <w:tcPr>
            <w:tcW w:w="1188" w:type="dxa"/>
            <w:tcBorders>
              <w:top w:val="nil"/>
              <w:left w:val="single" w:sz="4" w:space="0" w:color="auto"/>
              <w:bottom w:val="nil"/>
              <w:right w:val="single" w:sz="4" w:space="0" w:color="auto"/>
            </w:tcBorders>
            <w:shd w:val="clear" w:color="auto" w:fill="auto"/>
            <w:noWrap/>
            <w:vAlign w:val="bottom"/>
            <w:hideMark/>
          </w:tcPr>
          <w:p w:rsidR="00165B94" w:rsidRPr="00C356E3" w:rsidRDefault="00165B94" w:rsidP="00AF2909">
            <w:pPr>
              <w:jc w:val="center"/>
            </w:pPr>
            <w:r w:rsidRPr="00C356E3">
              <w:t>Staff</w:t>
            </w:r>
          </w:p>
        </w:tc>
        <w:tc>
          <w:tcPr>
            <w:tcW w:w="1187" w:type="dxa"/>
            <w:tcBorders>
              <w:top w:val="nil"/>
              <w:left w:val="nil"/>
              <w:bottom w:val="nil"/>
              <w:right w:val="single" w:sz="4" w:space="0" w:color="auto"/>
            </w:tcBorders>
            <w:shd w:val="clear" w:color="auto" w:fill="auto"/>
            <w:noWrap/>
            <w:vAlign w:val="bottom"/>
            <w:hideMark/>
          </w:tcPr>
          <w:p w:rsidR="00165B94" w:rsidRPr="00C356E3" w:rsidRDefault="00165B94" w:rsidP="00AF2909">
            <w:pPr>
              <w:jc w:val="center"/>
            </w:pPr>
            <w:r w:rsidRPr="00C356E3">
              <w:t> </w:t>
            </w:r>
          </w:p>
        </w:tc>
      </w:tr>
      <w:tr w:rsidR="00165B94" w:rsidRPr="00C356E3" w:rsidTr="006F104A">
        <w:trPr>
          <w:trHeight w:val="315"/>
          <w:jc w:val="center"/>
        </w:trPr>
        <w:tc>
          <w:tcPr>
            <w:tcW w:w="3438" w:type="dxa"/>
            <w:tcBorders>
              <w:top w:val="nil"/>
              <w:left w:val="single" w:sz="4" w:space="0" w:color="auto"/>
              <w:bottom w:val="single" w:sz="4" w:space="0" w:color="auto"/>
              <w:right w:val="nil"/>
            </w:tcBorders>
            <w:shd w:val="clear" w:color="auto" w:fill="auto"/>
            <w:noWrap/>
            <w:vAlign w:val="bottom"/>
            <w:hideMark/>
          </w:tcPr>
          <w:p w:rsidR="00165B94" w:rsidRPr="00C356E3" w:rsidRDefault="00165B94" w:rsidP="00AF2909">
            <w:r w:rsidRPr="00C356E3">
              <w:t> </w:t>
            </w:r>
          </w:p>
        </w:tc>
        <w:tc>
          <w:tcPr>
            <w:tcW w:w="1422" w:type="dxa"/>
            <w:tcBorders>
              <w:top w:val="nil"/>
              <w:left w:val="single" w:sz="4" w:space="0" w:color="auto"/>
              <w:bottom w:val="single" w:sz="4" w:space="0" w:color="auto"/>
              <w:right w:val="single" w:sz="4" w:space="0" w:color="auto"/>
            </w:tcBorders>
            <w:shd w:val="clear" w:color="auto" w:fill="auto"/>
            <w:noWrap/>
            <w:vAlign w:val="bottom"/>
            <w:hideMark/>
          </w:tcPr>
          <w:p w:rsidR="00165B94" w:rsidRPr="00FF6FBB" w:rsidRDefault="00165B94" w:rsidP="00AF2909">
            <w:pPr>
              <w:jc w:val="center"/>
            </w:pPr>
            <w:r w:rsidRPr="00FF6FBB">
              <w:t>Estimated</w:t>
            </w:r>
          </w:p>
        </w:tc>
        <w:tc>
          <w:tcPr>
            <w:tcW w:w="1800" w:type="dxa"/>
            <w:tcBorders>
              <w:top w:val="nil"/>
              <w:left w:val="nil"/>
              <w:bottom w:val="single" w:sz="4" w:space="0" w:color="auto"/>
              <w:right w:val="nil"/>
            </w:tcBorders>
            <w:shd w:val="clear" w:color="auto" w:fill="auto"/>
            <w:noWrap/>
            <w:vAlign w:val="bottom"/>
            <w:hideMark/>
          </w:tcPr>
          <w:p w:rsidR="00165B94" w:rsidRPr="00FF6FBB" w:rsidRDefault="00165B94" w:rsidP="00AF2909">
            <w:pPr>
              <w:jc w:val="center"/>
            </w:pPr>
            <w:r w:rsidRPr="00FF6FBB">
              <w:t>and Estimated</w:t>
            </w:r>
          </w:p>
        </w:tc>
        <w:tc>
          <w:tcPr>
            <w:tcW w:w="1188" w:type="dxa"/>
            <w:tcBorders>
              <w:top w:val="nil"/>
              <w:left w:val="single" w:sz="4" w:space="0" w:color="auto"/>
              <w:bottom w:val="single" w:sz="4" w:space="0" w:color="auto"/>
              <w:right w:val="single" w:sz="4" w:space="0" w:color="auto"/>
            </w:tcBorders>
            <w:shd w:val="clear" w:color="auto" w:fill="auto"/>
            <w:noWrap/>
            <w:vAlign w:val="bottom"/>
            <w:hideMark/>
          </w:tcPr>
          <w:p w:rsidR="00165B94" w:rsidRPr="00FF6FBB" w:rsidRDefault="00165B94" w:rsidP="00AF2909">
            <w:pPr>
              <w:jc w:val="center"/>
            </w:pPr>
            <w:proofErr w:type="spellStart"/>
            <w:r w:rsidRPr="00FF6FBB">
              <w:t>Adjs</w:t>
            </w:r>
            <w:proofErr w:type="spellEnd"/>
          </w:p>
        </w:tc>
        <w:tc>
          <w:tcPr>
            <w:tcW w:w="1187" w:type="dxa"/>
            <w:tcBorders>
              <w:top w:val="nil"/>
              <w:left w:val="nil"/>
              <w:bottom w:val="single" w:sz="4" w:space="0" w:color="auto"/>
              <w:right w:val="single" w:sz="4" w:space="0" w:color="auto"/>
            </w:tcBorders>
            <w:shd w:val="clear" w:color="auto" w:fill="auto"/>
            <w:noWrap/>
            <w:vAlign w:val="bottom"/>
            <w:hideMark/>
          </w:tcPr>
          <w:p w:rsidR="00165B94" w:rsidRPr="00FF6FBB" w:rsidRDefault="00165B94" w:rsidP="00AF2909">
            <w:pPr>
              <w:jc w:val="center"/>
            </w:pPr>
            <w:r w:rsidRPr="00FF6FBB">
              <w:t>Total</w:t>
            </w:r>
          </w:p>
        </w:tc>
      </w:tr>
      <w:tr w:rsidR="00165B94" w:rsidRPr="00C356E3" w:rsidTr="006F104A">
        <w:trPr>
          <w:trHeight w:val="315"/>
          <w:jc w:val="center"/>
        </w:trPr>
        <w:tc>
          <w:tcPr>
            <w:tcW w:w="3438" w:type="dxa"/>
            <w:tcBorders>
              <w:top w:val="single" w:sz="4" w:space="0" w:color="auto"/>
              <w:left w:val="single" w:sz="4" w:space="0" w:color="auto"/>
              <w:right w:val="single" w:sz="4" w:space="0" w:color="auto"/>
            </w:tcBorders>
            <w:shd w:val="clear" w:color="auto" w:fill="auto"/>
            <w:noWrap/>
            <w:vAlign w:val="bottom"/>
            <w:hideMark/>
          </w:tcPr>
          <w:p w:rsidR="00165B94" w:rsidRPr="00C356E3" w:rsidRDefault="00604F4A" w:rsidP="00416540">
            <w:r>
              <w:t>Attorney’s Fees (</w:t>
            </w:r>
            <w:r w:rsidR="00165B94" w:rsidRPr="00C356E3">
              <w:t>Dean Mead</w:t>
            </w:r>
            <w:r>
              <w:t>)</w:t>
            </w:r>
            <w:r w:rsidR="00165B94" w:rsidRPr="00C356E3">
              <w:t xml:space="preserve"> </w:t>
            </w:r>
          </w:p>
        </w:tc>
        <w:tc>
          <w:tcPr>
            <w:tcW w:w="1422" w:type="dxa"/>
            <w:tcBorders>
              <w:top w:val="single" w:sz="4" w:space="0" w:color="auto"/>
              <w:left w:val="nil"/>
              <w:right w:val="single" w:sz="4" w:space="0" w:color="auto"/>
            </w:tcBorders>
            <w:shd w:val="clear" w:color="auto" w:fill="auto"/>
            <w:noWrap/>
            <w:vAlign w:val="bottom"/>
            <w:hideMark/>
          </w:tcPr>
          <w:p w:rsidR="00165B94" w:rsidRPr="00C356E3" w:rsidRDefault="00165B94" w:rsidP="00AF2909">
            <w:pPr>
              <w:jc w:val="right"/>
            </w:pPr>
            <w:r w:rsidRPr="00C356E3">
              <w:t xml:space="preserve">$38,000 </w:t>
            </w:r>
          </w:p>
        </w:tc>
        <w:tc>
          <w:tcPr>
            <w:tcW w:w="1800" w:type="dxa"/>
            <w:tcBorders>
              <w:top w:val="single" w:sz="4" w:space="0" w:color="auto"/>
              <w:left w:val="nil"/>
              <w:right w:val="single" w:sz="4" w:space="0" w:color="auto"/>
            </w:tcBorders>
            <w:shd w:val="clear" w:color="auto" w:fill="auto"/>
            <w:noWrap/>
            <w:vAlign w:val="bottom"/>
            <w:hideMark/>
          </w:tcPr>
          <w:p w:rsidR="00165B94" w:rsidRPr="00C356E3" w:rsidRDefault="00165B94" w:rsidP="00AF2909">
            <w:pPr>
              <w:jc w:val="right"/>
            </w:pPr>
            <w:r w:rsidRPr="00C356E3">
              <w:t xml:space="preserve">$21,394 </w:t>
            </w:r>
          </w:p>
        </w:tc>
        <w:tc>
          <w:tcPr>
            <w:tcW w:w="1188" w:type="dxa"/>
            <w:tcBorders>
              <w:top w:val="single" w:sz="4" w:space="0" w:color="auto"/>
              <w:left w:val="nil"/>
              <w:right w:val="single" w:sz="4" w:space="0" w:color="auto"/>
            </w:tcBorders>
            <w:shd w:val="clear" w:color="auto" w:fill="auto"/>
            <w:noWrap/>
            <w:vAlign w:val="bottom"/>
            <w:hideMark/>
          </w:tcPr>
          <w:p w:rsidR="00165B94" w:rsidRPr="00C356E3" w:rsidRDefault="00165B94" w:rsidP="00AF2909">
            <w:pPr>
              <w:jc w:val="right"/>
            </w:pPr>
            <w:r w:rsidRPr="00C356E3">
              <w:t>($494)</w:t>
            </w:r>
          </w:p>
        </w:tc>
        <w:tc>
          <w:tcPr>
            <w:tcW w:w="1187" w:type="dxa"/>
            <w:tcBorders>
              <w:top w:val="single" w:sz="4" w:space="0" w:color="auto"/>
              <w:left w:val="nil"/>
              <w:right w:val="single" w:sz="4" w:space="0" w:color="auto"/>
            </w:tcBorders>
            <w:shd w:val="clear" w:color="auto" w:fill="auto"/>
            <w:noWrap/>
            <w:vAlign w:val="bottom"/>
            <w:hideMark/>
          </w:tcPr>
          <w:p w:rsidR="00165B94" w:rsidRPr="00C356E3" w:rsidRDefault="00165B94" w:rsidP="00AF2909">
            <w:pPr>
              <w:jc w:val="right"/>
            </w:pPr>
            <w:r w:rsidRPr="00C356E3">
              <w:t xml:space="preserve">$20,900 </w:t>
            </w:r>
          </w:p>
        </w:tc>
      </w:tr>
      <w:tr w:rsidR="00165B94" w:rsidRPr="00C356E3" w:rsidTr="006F104A">
        <w:trPr>
          <w:trHeight w:val="315"/>
          <w:jc w:val="center"/>
        </w:trPr>
        <w:tc>
          <w:tcPr>
            <w:tcW w:w="3438" w:type="dxa"/>
            <w:tcBorders>
              <w:left w:val="single" w:sz="4" w:space="0" w:color="auto"/>
              <w:right w:val="single" w:sz="4" w:space="0" w:color="auto"/>
            </w:tcBorders>
            <w:shd w:val="clear" w:color="auto" w:fill="auto"/>
            <w:noWrap/>
            <w:vAlign w:val="bottom"/>
            <w:hideMark/>
          </w:tcPr>
          <w:p w:rsidR="00165B94" w:rsidRPr="00C356E3" w:rsidRDefault="00165B94" w:rsidP="00172F7D">
            <w:r w:rsidRPr="00C356E3">
              <w:t>Retired Employee</w:t>
            </w:r>
          </w:p>
        </w:tc>
        <w:tc>
          <w:tcPr>
            <w:tcW w:w="1422" w:type="dxa"/>
            <w:tcBorders>
              <w:left w:val="nil"/>
              <w:right w:val="single" w:sz="4" w:space="0" w:color="auto"/>
            </w:tcBorders>
            <w:shd w:val="clear" w:color="auto" w:fill="auto"/>
            <w:noWrap/>
            <w:vAlign w:val="bottom"/>
            <w:hideMark/>
          </w:tcPr>
          <w:p w:rsidR="00165B94" w:rsidRPr="00C356E3" w:rsidRDefault="00165B94" w:rsidP="00AF2909">
            <w:pPr>
              <w:jc w:val="right"/>
            </w:pPr>
            <w:r w:rsidRPr="00C356E3">
              <w:t xml:space="preserve">2,994 </w:t>
            </w:r>
          </w:p>
        </w:tc>
        <w:tc>
          <w:tcPr>
            <w:tcW w:w="1800" w:type="dxa"/>
            <w:tcBorders>
              <w:left w:val="nil"/>
              <w:right w:val="single" w:sz="4" w:space="0" w:color="auto"/>
            </w:tcBorders>
            <w:shd w:val="clear" w:color="auto" w:fill="auto"/>
            <w:noWrap/>
            <w:vAlign w:val="bottom"/>
            <w:hideMark/>
          </w:tcPr>
          <w:p w:rsidR="00165B94" w:rsidRPr="00C356E3" w:rsidRDefault="00165B94" w:rsidP="00AF2909">
            <w:pPr>
              <w:jc w:val="right"/>
            </w:pPr>
            <w:r w:rsidRPr="00C356E3">
              <w:t xml:space="preserve">973 </w:t>
            </w:r>
          </w:p>
        </w:tc>
        <w:tc>
          <w:tcPr>
            <w:tcW w:w="1188" w:type="dxa"/>
            <w:tcBorders>
              <w:left w:val="nil"/>
              <w:right w:val="single" w:sz="4" w:space="0" w:color="auto"/>
            </w:tcBorders>
            <w:shd w:val="clear" w:color="auto" w:fill="auto"/>
            <w:noWrap/>
            <w:vAlign w:val="bottom"/>
            <w:hideMark/>
          </w:tcPr>
          <w:p w:rsidR="00165B94" w:rsidRPr="00C356E3" w:rsidRDefault="00165B94" w:rsidP="00AF2909">
            <w:pPr>
              <w:jc w:val="right"/>
            </w:pPr>
            <w:r w:rsidRPr="00C356E3">
              <w:t xml:space="preserve">150 </w:t>
            </w:r>
          </w:p>
        </w:tc>
        <w:tc>
          <w:tcPr>
            <w:tcW w:w="1187" w:type="dxa"/>
            <w:tcBorders>
              <w:left w:val="nil"/>
              <w:right w:val="single" w:sz="4" w:space="0" w:color="auto"/>
            </w:tcBorders>
            <w:shd w:val="clear" w:color="auto" w:fill="auto"/>
            <w:noWrap/>
            <w:vAlign w:val="bottom"/>
            <w:hideMark/>
          </w:tcPr>
          <w:p w:rsidR="00165B94" w:rsidRPr="00C356E3" w:rsidRDefault="00165B94" w:rsidP="00AF2909">
            <w:pPr>
              <w:jc w:val="right"/>
            </w:pPr>
            <w:r w:rsidRPr="00C356E3">
              <w:t xml:space="preserve">1,123 </w:t>
            </w:r>
          </w:p>
        </w:tc>
      </w:tr>
      <w:tr w:rsidR="00165B94" w:rsidRPr="00C356E3" w:rsidTr="006F104A">
        <w:trPr>
          <w:trHeight w:val="315"/>
          <w:jc w:val="center"/>
        </w:trPr>
        <w:tc>
          <w:tcPr>
            <w:tcW w:w="3438" w:type="dxa"/>
            <w:tcBorders>
              <w:left w:val="single" w:sz="4" w:space="0" w:color="auto"/>
              <w:right w:val="single" w:sz="4" w:space="0" w:color="auto"/>
            </w:tcBorders>
            <w:shd w:val="clear" w:color="auto" w:fill="auto"/>
            <w:noWrap/>
            <w:vAlign w:val="bottom"/>
            <w:hideMark/>
          </w:tcPr>
          <w:p w:rsidR="00165B94" w:rsidRPr="00C356E3" w:rsidRDefault="00165B94" w:rsidP="00AF2909">
            <w:r w:rsidRPr="00C356E3">
              <w:t>Filing Fee</w:t>
            </w:r>
          </w:p>
        </w:tc>
        <w:tc>
          <w:tcPr>
            <w:tcW w:w="1422" w:type="dxa"/>
            <w:tcBorders>
              <w:left w:val="nil"/>
              <w:right w:val="single" w:sz="4" w:space="0" w:color="auto"/>
            </w:tcBorders>
            <w:shd w:val="clear" w:color="auto" w:fill="auto"/>
            <w:noWrap/>
            <w:vAlign w:val="bottom"/>
            <w:hideMark/>
          </w:tcPr>
          <w:p w:rsidR="00165B94" w:rsidRPr="00C356E3" w:rsidRDefault="00165B94" w:rsidP="00AF2909">
            <w:pPr>
              <w:jc w:val="right"/>
            </w:pPr>
            <w:r w:rsidRPr="00C356E3">
              <w:t xml:space="preserve">3,500 </w:t>
            </w:r>
          </w:p>
        </w:tc>
        <w:tc>
          <w:tcPr>
            <w:tcW w:w="1800" w:type="dxa"/>
            <w:tcBorders>
              <w:left w:val="nil"/>
              <w:right w:val="single" w:sz="4" w:space="0" w:color="auto"/>
            </w:tcBorders>
            <w:shd w:val="clear" w:color="auto" w:fill="auto"/>
            <w:noWrap/>
            <w:vAlign w:val="bottom"/>
            <w:hideMark/>
          </w:tcPr>
          <w:p w:rsidR="00165B94" w:rsidRPr="00C356E3" w:rsidRDefault="00165B94" w:rsidP="00AF2909">
            <w:pPr>
              <w:jc w:val="right"/>
            </w:pPr>
            <w:r w:rsidRPr="00C356E3">
              <w:t xml:space="preserve">3,500 </w:t>
            </w:r>
          </w:p>
        </w:tc>
        <w:tc>
          <w:tcPr>
            <w:tcW w:w="1188" w:type="dxa"/>
            <w:tcBorders>
              <w:left w:val="nil"/>
              <w:right w:val="single" w:sz="4" w:space="0" w:color="auto"/>
            </w:tcBorders>
            <w:shd w:val="clear" w:color="auto" w:fill="auto"/>
            <w:noWrap/>
            <w:vAlign w:val="bottom"/>
            <w:hideMark/>
          </w:tcPr>
          <w:p w:rsidR="00165B94" w:rsidRPr="00C356E3" w:rsidRDefault="00165B94" w:rsidP="00AF2909">
            <w:pPr>
              <w:jc w:val="right"/>
            </w:pPr>
            <w:r w:rsidRPr="00C356E3">
              <w:t xml:space="preserve">0 </w:t>
            </w:r>
          </w:p>
        </w:tc>
        <w:tc>
          <w:tcPr>
            <w:tcW w:w="1187" w:type="dxa"/>
            <w:tcBorders>
              <w:left w:val="nil"/>
              <w:right w:val="single" w:sz="4" w:space="0" w:color="auto"/>
            </w:tcBorders>
            <w:shd w:val="clear" w:color="auto" w:fill="auto"/>
            <w:noWrap/>
            <w:vAlign w:val="bottom"/>
            <w:hideMark/>
          </w:tcPr>
          <w:p w:rsidR="00165B94" w:rsidRPr="00C356E3" w:rsidRDefault="00165B94" w:rsidP="00AF2909">
            <w:pPr>
              <w:jc w:val="right"/>
            </w:pPr>
            <w:r w:rsidRPr="00C356E3">
              <w:t xml:space="preserve">3,500 </w:t>
            </w:r>
          </w:p>
        </w:tc>
      </w:tr>
      <w:tr w:rsidR="00165B94" w:rsidRPr="00C356E3" w:rsidTr="006F104A">
        <w:trPr>
          <w:trHeight w:val="315"/>
          <w:jc w:val="center"/>
        </w:trPr>
        <w:tc>
          <w:tcPr>
            <w:tcW w:w="3438" w:type="dxa"/>
            <w:tcBorders>
              <w:left w:val="single" w:sz="4" w:space="0" w:color="auto"/>
              <w:right w:val="single" w:sz="4" w:space="0" w:color="auto"/>
            </w:tcBorders>
            <w:shd w:val="clear" w:color="auto" w:fill="auto"/>
            <w:noWrap/>
            <w:vAlign w:val="bottom"/>
            <w:hideMark/>
          </w:tcPr>
          <w:p w:rsidR="00165B94" w:rsidRPr="00C356E3" w:rsidRDefault="00165B94" w:rsidP="00AF2909">
            <w:r w:rsidRPr="00C356E3">
              <w:t>Customer Notices, Postage</w:t>
            </w:r>
          </w:p>
        </w:tc>
        <w:tc>
          <w:tcPr>
            <w:tcW w:w="1422" w:type="dxa"/>
            <w:tcBorders>
              <w:left w:val="nil"/>
              <w:right w:val="single" w:sz="4" w:space="0" w:color="auto"/>
            </w:tcBorders>
            <w:shd w:val="clear" w:color="auto" w:fill="auto"/>
            <w:noWrap/>
            <w:vAlign w:val="bottom"/>
            <w:hideMark/>
          </w:tcPr>
          <w:p w:rsidR="00165B94" w:rsidRPr="00C356E3" w:rsidRDefault="00165B94" w:rsidP="00AF2909">
            <w:pPr>
              <w:jc w:val="right"/>
            </w:pPr>
            <w:r w:rsidRPr="00C356E3">
              <w:t xml:space="preserve">2,250 </w:t>
            </w:r>
          </w:p>
        </w:tc>
        <w:tc>
          <w:tcPr>
            <w:tcW w:w="1800" w:type="dxa"/>
            <w:tcBorders>
              <w:left w:val="nil"/>
              <w:right w:val="single" w:sz="4" w:space="0" w:color="auto"/>
            </w:tcBorders>
            <w:shd w:val="clear" w:color="auto" w:fill="auto"/>
            <w:noWrap/>
            <w:vAlign w:val="bottom"/>
            <w:hideMark/>
          </w:tcPr>
          <w:p w:rsidR="00165B94" w:rsidRPr="00C356E3" w:rsidRDefault="00165B94" w:rsidP="00AF2909">
            <w:pPr>
              <w:jc w:val="right"/>
            </w:pPr>
            <w:r w:rsidRPr="00C356E3">
              <w:t xml:space="preserve">3,367 </w:t>
            </w:r>
          </w:p>
        </w:tc>
        <w:tc>
          <w:tcPr>
            <w:tcW w:w="1188" w:type="dxa"/>
            <w:tcBorders>
              <w:left w:val="nil"/>
              <w:right w:val="single" w:sz="4" w:space="0" w:color="auto"/>
            </w:tcBorders>
            <w:shd w:val="clear" w:color="auto" w:fill="auto"/>
            <w:noWrap/>
            <w:vAlign w:val="bottom"/>
            <w:hideMark/>
          </w:tcPr>
          <w:p w:rsidR="00165B94" w:rsidRPr="00C356E3" w:rsidRDefault="00165B94" w:rsidP="00AF2909">
            <w:pPr>
              <w:jc w:val="right"/>
            </w:pPr>
            <w:r w:rsidRPr="00C356E3">
              <w:t xml:space="preserve">0 </w:t>
            </w:r>
          </w:p>
        </w:tc>
        <w:tc>
          <w:tcPr>
            <w:tcW w:w="1187" w:type="dxa"/>
            <w:tcBorders>
              <w:left w:val="nil"/>
              <w:right w:val="single" w:sz="4" w:space="0" w:color="auto"/>
            </w:tcBorders>
            <w:shd w:val="clear" w:color="auto" w:fill="auto"/>
            <w:noWrap/>
            <w:vAlign w:val="bottom"/>
            <w:hideMark/>
          </w:tcPr>
          <w:p w:rsidR="00165B94" w:rsidRPr="00C356E3" w:rsidRDefault="00165B94" w:rsidP="00AF2909">
            <w:pPr>
              <w:jc w:val="right"/>
            </w:pPr>
            <w:r w:rsidRPr="00C356E3">
              <w:t xml:space="preserve">3,367 </w:t>
            </w:r>
          </w:p>
        </w:tc>
      </w:tr>
      <w:tr w:rsidR="00165B94" w:rsidRPr="00C356E3" w:rsidTr="006F104A">
        <w:trPr>
          <w:trHeight w:val="315"/>
          <w:jc w:val="center"/>
        </w:trPr>
        <w:tc>
          <w:tcPr>
            <w:tcW w:w="3438" w:type="dxa"/>
            <w:tcBorders>
              <w:left w:val="single" w:sz="4" w:space="0" w:color="auto"/>
              <w:right w:val="single" w:sz="4" w:space="0" w:color="auto"/>
            </w:tcBorders>
            <w:shd w:val="clear" w:color="auto" w:fill="auto"/>
            <w:noWrap/>
            <w:vAlign w:val="bottom"/>
            <w:hideMark/>
          </w:tcPr>
          <w:p w:rsidR="00165B94" w:rsidRPr="00C356E3" w:rsidRDefault="00165B94" w:rsidP="00AF2909">
            <w:r w:rsidRPr="00C356E3">
              <w:t>Travel</w:t>
            </w:r>
          </w:p>
        </w:tc>
        <w:tc>
          <w:tcPr>
            <w:tcW w:w="1422" w:type="dxa"/>
            <w:tcBorders>
              <w:left w:val="nil"/>
              <w:right w:val="single" w:sz="4" w:space="0" w:color="auto"/>
            </w:tcBorders>
            <w:shd w:val="clear" w:color="auto" w:fill="auto"/>
            <w:noWrap/>
            <w:vAlign w:val="bottom"/>
            <w:hideMark/>
          </w:tcPr>
          <w:p w:rsidR="00165B94" w:rsidRPr="00C356E3" w:rsidRDefault="00165B94" w:rsidP="00AF2909">
            <w:pPr>
              <w:jc w:val="right"/>
              <w:rPr>
                <w:u w:val="single"/>
              </w:rPr>
            </w:pPr>
            <w:r w:rsidRPr="00C356E3">
              <w:rPr>
                <w:u w:val="single"/>
              </w:rPr>
              <w:t xml:space="preserve">0 </w:t>
            </w:r>
          </w:p>
        </w:tc>
        <w:tc>
          <w:tcPr>
            <w:tcW w:w="1800" w:type="dxa"/>
            <w:tcBorders>
              <w:left w:val="nil"/>
              <w:right w:val="single" w:sz="4" w:space="0" w:color="auto"/>
            </w:tcBorders>
            <w:shd w:val="clear" w:color="auto" w:fill="auto"/>
            <w:noWrap/>
            <w:vAlign w:val="bottom"/>
            <w:hideMark/>
          </w:tcPr>
          <w:p w:rsidR="00165B94" w:rsidRPr="00C356E3" w:rsidRDefault="00165B94" w:rsidP="00AF2909">
            <w:pPr>
              <w:jc w:val="right"/>
              <w:rPr>
                <w:u w:val="single"/>
              </w:rPr>
            </w:pPr>
            <w:r w:rsidRPr="00C356E3">
              <w:rPr>
                <w:u w:val="single"/>
              </w:rPr>
              <w:t xml:space="preserve">1,774 </w:t>
            </w:r>
          </w:p>
        </w:tc>
        <w:tc>
          <w:tcPr>
            <w:tcW w:w="1188" w:type="dxa"/>
            <w:tcBorders>
              <w:left w:val="nil"/>
              <w:right w:val="single" w:sz="4" w:space="0" w:color="auto"/>
            </w:tcBorders>
            <w:shd w:val="clear" w:color="auto" w:fill="auto"/>
            <w:noWrap/>
            <w:vAlign w:val="bottom"/>
            <w:hideMark/>
          </w:tcPr>
          <w:p w:rsidR="00165B94" w:rsidRPr="00C356E3" w:rsidRDefault="00165B94" w:rsidP="00AF2909">
            <w:pPr>
              <w:jc w:val="right"/>
              <w:rPr>
                <w:u w:val="single"/>
              </w:rPr>
            </w:pPr>
            <w:r w:rsidRPr="00C356E3">
              <w:rPr>
                <w:u w:val="single"/>
              </w:rPr>
              <w:t xml:space="preserve">0 </w:t>
            </w:r>
          </w:p>
        </w:tc>
        <w:tc>
          <w:tcPr>
            <w:tcW w:w="1187" w:type="dxa"/>
            <w:tcBorders>
              <w:left w:val="nil"/>
              <w:right w:val="single" w:sz="4" w:space="0" w:color="auto"/>
            </w:tcBorders>
            <w:shd w:val="clear" w:color="auto" w:fill="auto"/>
            <w:noWrap/>
            <w:vAlign w:val="bottom"/>
            <w:hideMark/>
          </w:tcPr>
          <w:p w:rsidR="00165B94" w:rsidRPr="00C356E3" w:rsidRDefault="00165B94" w:rsidP="00AF2909">
            <w:pPr>
              <w:jc w:val="right"/>
              <w:rPr>
                <w:u w:val="single"/>
              </w:rPr>
            </w:pPr>
            <w:r w:rsidRPr="00C356E3">
              <w:rPr>
                <w:u w:val="single"/>
              </w:rPr>
              <w:t xml:space="preserve">1,774 </w:t>
            </w:r>
          </w:p>
        </w:tc>
      </w:tr>
      <w:tr w:rsidR="00165B94" w:rsidRPr="00C356E3" w:rsidTr="006F104A">
        <w:trPr>
          <w:trHeight w:val="315"/>
          <w:jc w:val="center"/>
        </w:trPr>
        <w:tc>
          <w:tcPr>
            <w:tcW w:w="3438" w:type="dxa"/>
            <w:tcBorders>
              <w:left w:val="single" w:sz="4" w:space="0" w:color="auto"/>
              <w:right w:val="single" w:sz="4" w:space="0" w:color="auto"/>
            </w:tcBorders>
            <w:shd w:val="clear" w:color="auto" w:fill="auto"/>
            <w:noWrap/>
            <w:vAlign w:val="bottom"/>
            <w:hideMark/>
          </w:tcPr>
          <w:p w:rsidR="00165B94" w:rsidRPr="00C356E3" w:rsidRDefault="00165B94" w:rsidP="00AF2909">
            <w:r w:rsidRPr="00C356E3">
              <w:t xml:space="preserve">          Total</w:t>
            </w:r>
          </w:p>
        </w:tc>
        <w:tc>
          <w:tcPr>
            <w:tcW w:w="1422" w:type="dxa"/>
            <w:tcBorders>
              <w:left w:val="nil"/>
              <w:right w:val="single" w:sz="4" w:space="0" w:color="auto"/>
            </w:tcBorders>
            <w:shd w:val="clear" w:color="auto" w:fill="auto"/>
            <w:noWrap/>
            <w:vAlign w:val="bottom"/>
            <w:hideMark/>
          </w:tcPr>
          <w:p w:rsidR="00165B94" w:rsidRPr="00C356E3" w:rsidRDefault="00165B94" w:rsidP="00AF2909">
            <w:pPr>
              <w:jc w:val="right"/>
              <w:rPr>
                <w:u w:val="double"/>
              </w:rPr>
            </w:pPr>
            <w:r w:rsidRPr="00C356E3">
              <w:rPr>
                <w:u w:val="double"/>
              </w:rPr>
              <w:t xml:space="preserve">$46,744 </w:t>
            </w:r>
          </w:p>
        </w:tc>
        <w:tc>
          <w:tcPr>
            <w:tcW w:w="1800" w:type="dxa"/>
            <w:tcBorders>
              <w:left w:val="nil"/>
              <w:right w:val="single" w:sz="4" w:space="0" w:color="auto"/>
            </w:tcBorders>
            <w:shd w:val="clear" w:color="auto" w:fill="auto"/>
            <w:noWrap/>
            <w:vAlign w:val="bottom"/>
            <w:hideMark/>
          </w:tcPr>
          <w:p w:rsidR="00165B94" w:rsidRPr="00C356E3" w:rsidRDefault="00165B94" w:rsidP="00AF2909">
            <w:pPr>
              <w:jc w:val="right"/>
              <w:rPr>
                <w:u w:val="double"/>
              </w:rPr>
            </w:pPr>
            <w:r w:rsidRPr="00C356E3">
              <w:rPr>
                <w:u w:val="double"/>
              </w:rPr>
              <w:t xml:space="preserve">$31,008 </w:t>
            </w:r>
          </w:p>
        </w:tc>
        <w:tc>
          <w:tcPr>
            <w:tcW w:w="1188" w:type="dxa"/>
            <w:tcBorders>
              <w:left w:val="nil"/>
              <w:right w:val="single" w:sz="4" w:space="0" w:color="auto"/>
            </w:tcBorders>
            <w:shd w:val="clear" w:color="auto" w:fill="auto"/>
            <w:noWrap/>
            <w:vAlign w:val="bottom"/>
            <w:hideMark/>
          </w:tcPr>
          <w:p w:rsidR="00165B94" w:rsidRPr="00C356E3" w:rsidRDefault="00165B94" w:rsidP="00AF2909">
            <w:pPr>
              <w:jc w:val="right"/>
              <w:rPr>
                <w:u w:val="double"/>
              </w:rPr>
            </w:pPr>
            <w:r w:rsidRPr="00C356E3">
              <w:rPr>
                <w:u w:val="double"/>
              </w:rPr>
              <w:t>($344)</w:t>
            </w:r>
          </w:p>
        </w:tc>
        <w:tc>
          <w:tcPr>
            <w:tcW w:w="1187" w:type="dxa"/>
            <w:tcBorders>
              <w:left w:val="nil"/>
              <w:right w:val="single" w:sz="4" w:space="0" w:color="auto"/>
            </w:tcBorders>
            <w:shd w:val="clear" w:color="auto" w:fill="auto"/>
            <w:noWrap/>
            <w:vAlign w:val="bottom"/>
            <w:hideMark/>
          </w:tcPr>
          <w:p w:rsidR="00165B94" w:rsidRPr="00C356E3" w:rsidRDefault="00165B94" w:rsidP="00AF2909">
            <w:pPr>
              <w:jc w:val="right"/>
              <w:rPr>
                <w:u w:val="double"/>
              </w:rPr>
            </w:pPr>
            <w:r w:rsidRPr="00C356E3">
              <w:rPr>
                <w:u w:val="double"/>
              </w:rPr>
              <w:t xml:space="preserve">$30,664 </w:t>
            </w:r>
          </w:p>
        </w:tc>
      </w:tr>
      <w:tr w:rsidR="00165B94" w:rsidRPr="00C356E3" w:rsidTr="006F104A">
        <w:trPr>
          <w:trHeight w:val="315"/>
          <w:jc w:val="center"/>
        </w:trPr>
        <w:tc>
          <w:tcPr>
            <w:tcW w:w="3438" w:type="dxa"/>
            <w:tcBorders>
              <w:left w:val="single" w:sz="4" w:space="0" w:color="auto"/>
              <w:bottom w:val="single" w:sz="4" w:space="0" w:color="auto"/>
              <w:right w:val="single" w:sz="4" w:space="0" w:color="auto"/>
            </w:tcBorders>
            <w:shd w:val="clear" w:color="auto" w:fill="auto"/>
            <w:noWrap/>
            <w:vAlign w:val="bottom"/>
            <w:hideMark/>
          </w:tcPr>
          <w:p w:rsidR="00165B94" w:rsidRPr="00C356E3" w:rsidRDefault="00165B94" w:rsidP="00AF2909">
            <w:r w:rsidRPr="00C356E3">
              <w:t>Annual Amortization</w:t>
            </w:r>
          </w:p>
        </w:tc>
        <w:tc>
          <w:tcPr>
            <w:tcW w:w="1422" w:type="dxa"/>
            <w:tcBorders>
              <w:left w:val="nil"/>
              <w:bottom w:val="single" w:sz="4" w:space="0" w:color="auto"/>
              <w:right w:val="single" w:sz="4" w:space="0" w:color="auto"/>
            </w:tcBorders>
            <w:shd w:val="clear" w:color="auto" w:fill="auto"/>
            <w:noWrap/>
            <w:vAlign w:val="bottom"/>
            <w:hideMark/>
          </w:tcPr>
          <w:p w:rsidR="00165B94" w:rsidRPr="00C356E3" w:rsidRDefault="00165B94" w:rsidP="00AF2909">
            <w:pPr>
              <w:jc w:val="right"/>
              <w:rPr>
                <w:u w:val="single"/>
              </w:rPr>
            </w:pPr>
            <w:r w:rsidRPr="00C356E3">
              <w:rPr>
                <w:u w:val="single"/>
              </w:rPr>
              <w:t xml:space="preserve">$11,686 </w:t>
            </w:r>
          </w:p>
        </w:tc>
        <w:tc>
          <w:tcPr>
            <w:tcW w:w="1800" w:type="dxa"/>
            <w:tcBorders>
              <w:left w:val="nil"/>
              <w:bottom w:val="single" w:sz="4" w:space="0" w:color="auto"/>
              <w:right w:val="single" w:sz="4" w:space="0" w:color="auto"/>
            </w:tcBorders>
            <w:shd w:val="clear" w:color="auto" w:fill="auto"/>
            <w:noWrap/>
            <w:vAlign w:val="bottom"/>
            <w:hideMark/>
          </w:tcPr>
          <w:p w:rsidR="00165B94" w:rsidRPr="00C356E3" w:rsidRDefault="00165B94" w:rsidP="00AF2909">
            <w:r w:rsidRPr="00C356E3">
              <w:t> </w:t>
            </w:r>
          </w:p>
        </w:tc>
        <w:tc>
          <w:tcPr>
            <w:tcW w:w="1188" w:type="dxa"/>
            <w:tcBorders>
              <w:left w:val="nil"/>
              <w:bottom w:val="single" w:sz="4" w:space="0" w:color="auto"/>
              <w:right w:val="single" w:sz="4" w:space="0" w:color="auto"/>
            </w:tcBorders>
            <w:shd w:val="clear" w:color="auto" w:fill="auto"/>
            <w:noWrap/>
            <w:vAlign w:val="bottom"/>
            <w:hideMark/>
          </w:tcPr>
          <w:p w:rsidR="00165B94" w:rsidRPr="00C356E3" w:rsidRDefault="00165B94" w:rsidP="00AF2909">
            <w:r w:rsidRPr="00C356E3">
              <w:t> </w:t>
            </w:r>
          </w:p>
        </w:tc>
        <w:tc>
          <w:tcPr>
            <w:tcW w:w="1187" w:type="dxa"/>
            <w:tcBorders>
              <w:left w:val="nil"/>
              <w:bottom w:val="single" w:sz="4" w:space="0" w:color="auto"/>
              <w:right w:val="single" w:sz="4" w:space="0" w:color="auto"/>
            </w:tcBorders>
            <w:shd w:val="clear" w:color="auto" w:fill="auto"/>
            <w:noWrap/>
            <w:vAlign w:val="bottom"/>
            <w:hideMark/>
          </w:tcPr>
          <w:p w:rsidR="00165B94" w:rsidRPr="00C356E3" w:rsidRDefault="00165B94" w:rsidP="00AF2909">
            <w:pPr>
              <w:jc w:val="right"/>
              <w:rPr>
                <w:u w:val="single"/>
              </w:rPr>
            </w:pPr>
            <w:r w:rsidRPr="00C356E3">
              <w:rPr>
                <w:u w:val="single"/>
              </w:rPr>
              <w:t xml:space="preserve">$7,666 </w:t>
            </w:r>
          </w:p>
        </w:tc>
      </w:tr>
    </w:tbl>
    <w:p w:rsidR="00165B94" w:rsidRDefault="00165B94" w:rsidP="000E7B76">
      <w:pPr>
        <w:pStyle w:val="TableSource"/>
        <w:ind w:firstLine="720"/>
      </w:pPr>
      <w:r>
        <w:t>Source: Staff Calculations</w:t>
      </w:r>
    </w:p>
    <w:p w:rsidR="00165B94" w:rsidRPr="00C356E3" w:rsidRDefault="00165B94" w:rsidP="00165B94">
      <w:pPr>
        <w:jc w:val="both"/>
        <w:rPr>
          <w:rFonts w:cs="Arial"/>
          <w:bCs/>
          <w:color w:val="000000"/>
          <w:kern w:val="32"/>
          <w:szCs w:val="32"/>
        </w:rPr>
      </w:pPr>
      <w:r w:rsidRPr="00C356E3">
        <w:t>The recommended total rate case expense above should be amortized over four years, pursuant to Section 367.081(8), F.S. Based on the above, staff recommends that annual rate case expense be reduced by $4,020 ($11,686 - $7,666).</w:t>
      </w:r>
    </w:p>
    <w:p w:rsidR="00165B94" w:rsidRDefault="00165B94">
      <w:pPr>
        <w:pStyle w:val="BodyText"/>
      </w:pPr>
    </w:p>
    <w:p w:rsidR="00165B94" w:rsidRDefault="00165B94">
      <w:pPr>
        <w:pStyle w:val="IssueHeading"/>
        <w:rPr>
          <w:vanish/>
          <w:specVanish/>
        </w:rPr>
      </w:pPr>
      <w:r w:rsidRPr="004C3641">
        <w:rPr>
          <w:b w:val="0"/>
          <w:i w:val="0"/>
        </w:rPr>
        <w:br w:type="page"/>
      </w:r>
      <w:r w:rsidRPr="004C3641">
        <w:lastRenderedPageBreak/>
        <w:t xml:space="preserve">Issue </w:t>
      </w:r>
      <w:r w:rsidR="009019FF">
        <w:fldChar w:fldCharType="begin"/>
      </w:r>
      <w:r w:rsidR="009019FF">
        <w:instrText xml:space="preserve"> SEQ Issue \* MERGEFORMAT </w:instrText>
      </w:r>
      <w:r w:rsidR="009019FF">
        <w:fldChar w:fldCharType="separate"/>
      </w:r>
      <w:r w:rsidR="0014690B">
        <w:rPr>
          <w:noProof/>
        </w:rPr>
        <w:t>11</w:t>
      </w:r>
      <w:r w:rsidR="009019F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6" w:name="_Toc25305763"/>
      <w:r w:rsidR="0014690B">
        <w:rPr>
          <w:noProof/>
        </w:rPr>
        <w:instrText>11</w:instrText>
      </w:r>
      <w:r>
        <w:fldChar w:fldCharType="end"/>
      </w:r>
      <w:r>
        <w:tab/>
        <w:instrText>Revenue Requirement (Smith II)</w:instrText>
      </w:r>
      <w:bookmarkEnd w:id="26"/>
      <w:r>
        <w:instrText xml:space="preserve">" \l 1 </w:instrText>
      </w:r>
      <w:r>
        <w:fldChar w:fldCharType="end"/>
      </w:r>
      <w:r>
        <w:t> </w:t>
      </w:r>
    </w:p>
    <w:p w:rsidR="00165B94" w:rsidRDefault="00165B94">
      <w:pPr>
        <w:pStyle w:val="BodyText"/>
      </w:pPr>
      <w:r>
        <w:t> What is the appropriate revenue requirement</w:t>
      </w:r>
      <w:r w:rsidR="00A91803">
        <w:t xml:space="preserve"> for the test year ended December 31, 2018</w:t>
      </w:r>
      <w:r>
        <w:t>?</w:t>
      </w:r>
    </w:p>
    <w:p w:rsidR="00165B94" w:rsidRPr="004C3641" w:rsidRDefault="00165B94">
      <w:pPr>
        <w:pStyle w:val="IssueSubsectionHeading"/>
        <w:rPr>
          <w:vanish/>
          <w:specVanish/>
        </w:rPr>
      </w:pPr>
      <w:r w:rsidRPr="004C3641">
        <w:t>Recommendation: </w:t>
      </w:r>
    </w:p>
    <w:p w:rsidR="00AF2909" w:rsidRDefault="00165B94" w:rsidP="00AF2909">
      <w:pPr>
        <w:pStyle w:val="BodyText"/>
      </w:pPr>
      <w:r>
        <w:t> </w:t>
      </w:r>
      <w:r w:rsidR="009171E4">
        <w:t>Staff recommends t</w:t>
      </w:r>
      <w:r w:rsidRPr="00C356E3">
        <w:t>he following revenue requirement be approved.</w:t>
      </w:r>
      <w:r w:rsidR="00AF2909" w:rsidRPr="00AF2909">
        <w:t xml:space="preserve"> </w:t>
      </w:r>
      <w:r w:rsidR="00AF2909">
        <w:t>(Smith II)</w:t>
      </w:r>
    </w:p>
    <w:tbl>
      <w:tblPr>
        <w:tblW w:w="0" w:type="auto"/>
        <w:jc w:val="center"/>
        <w:tblInd w:w="1405" w:type="dxa"/>
        <w:tblLook w:val="01E0" w:firstRow="1" w:lastRow="1" w:firstColumn="1" w:lastColumn="1" w:noHBand="0" w:noVBand="0"/>
      </w:tblPr>
      <w:tblGrid>
        <w:gridCol w:w="1647"/>
        <w:gridCol w:w="1436"/>
        <w:gridCol w:w="1687"/>
        <w:gridCol w:w="1576"/>
      </w:tblGrid>
      <w:tr w:rsidR="00AF2909" w:rsidRPr="00C356E3" w:rsidTr="00AF2909">
        <w:trPr>
          <w:trHeight w:val="405"/>
          <w:jc w:val="center"/>
        </w:trPr>
        <w:tc>
          <w:tcPr>
            <w:tcW w:w="1647" w:type="dxa"/>
            <w:shd w:val="clear" w:color="auto" w:fill="auto"/>
            <w:vAlign w:val="bottom"/>
          </w:tcPr>
          <w:p w:rsidR="00AF2909" w:rsidRPr="00C356E3" w:rsidRDefault="00AF2909" w:rsidP="00AF2909">
            <w:pPr>
              <w:jc w:val="center"/>
              <w:rPr>
                <w:u w:val="single"/>
              </w:rPr>
            </w:pPr>
            <w:r w:rsidRPr="00C356E3">
              <w:t>Test Year R</w:t>
            </w:r>
            <w:r w:rsidRPr="00C356E3">
              <w:rPr>
                <w:u w:val="single"/>
              </w:rPr>
              <w:t>evenues</w:t>
            </w:r>
          </w:p>
        </w:tc>
        <w:tc>
          <w:tcPr>
            <w:tcW w:w="1436" w:type="dxa"/>
            <w:shd w:val="clear" w:color="auto" w:fill="auto"/>
            <w:vAlign w:val="bottom"/>
          </w:tcPr>
          <w:p w:rsidR="00AF2909" w:rsidRPr="00C356E3" w:rsidRDefault="00AF2909" w:rsidP="00AF2909">
            <w:pPr>
              <w:jc w:val="center"/>
              <w:rPr>
                <w:u w:val="single"/>
              </w:rPr>
            </w:pPr>
            <w:r w:rsidRPr="00C356E3">
              <w:rPr>
                <w:u w:val="single"/>
              </w:rPr>
              <w:t>$ Increase</w:t>
            </w:r>
          </w:p>
        </w:tc>
        <w:tc>
          <w:tcPr>
            <w:tcW w:w="1687" w:type="dxa"/>
            <w:shd w:val="clear" w:color="auto" w:fill="auto"/>
            <w:vAlign w:val="bottom"/>
          </w:tcPr>
          <w:p w:rsidR="00AF2909" w:rsidRPr="00C356E3" w:rsidRDefault="00AF2909" w:rsidP="00AF2909">
            <w:pPr>
              <w:jc w:val="center"/>
            </w:pPr>
            <w:r w:rsidRPr="00C356E3">
              <w:t>Revenue</w:t>
            </w:r>
          </w:p>
          <w:p w:rsidR="00AF2909" w:rsidRPr="00C356E3" w:rsidRDefault="00AF2909" w:rsidP="00AF2909">
            <w:pPr>
              <w:jc w:val="center"/>
              <w:rPr>
                <w:u w:val="single"/>
              </w:rPr>
            </w:pPr>
            <w:r w:rsidRPr="00C356E3">
              <w:rPr>
                <w:u w:val="single"/>
              </w:rPr>
              <w:t>Requirement</w:t>
            </w:r>
          </w:p>
        </w:tc>
        <w:tc>
          <w:tcPr>
            <w:tcW w:w="1576" w:type="dxa"/>
            <w:shd w:val="clear" w:color="auto" w:fill="auto"/>
            <w:vAlign w:val="bottom"/>
          </w:tcPr>
          <w:p w:rsidR="00AF2909" w:rsidRPr="00C356E3" w:rsidRDefault="00AF2909" w:rsidP="00AF2909">
            <w:pPr>
              <w:jc w:val="center"/>
              <w:rPr>
                <w:u w:val="single"/>
              </w:rPr>
            </w:pPr>
            <w:r w:rsidRPr="00C356E3">
              <w:rPr>
                <w:u w:val="single"/>
              </w:rPr>
              <w:t>% Increase</w:t>
            </w:r>
          </w:p>
        </w:tc>
      </w:tr>
      <w:tr w:rsidR="00AF2909" w:rsidRPr="00C356E3" w:rsidTr="00AF2909">
        <w:trPr>
          <w:trHeight w:val="343"/>
          <w:jc w:val="center"/>
        </w:trPr>
        <w:tc>
          <w:tcPr>
            <w:tcW w:w="1647" w:type="dxa"/>
            <w:shd w:val="clear" w:color="auto" w:fill="auto"/>
          </w:tcPr>
          <w:p w:rsidR="00AF2909" w:rsidRPr="00C356E3" w:rsidRDefault="00AF2909" w:rsidP="00AF2909">
            <w:pPr>
              <w:jc w:val="center"/>
            </w:pPr>
            <w:r w:rsidRPr="00C356E3">
              <w:t>$701,884</w:t>
            </w:r>
          </w:p>
        </w:tc>
        <w:tc>
          <w:tcPr>
            <w:tcW w:w="1436" w:type="dxa"/>
            <w:shd w:val="clear" w:color="auto" w:fill="auto"/>
          </w:tcPr>
          <w:p w:rsidR="00AF2909" w:rsidRPr="00C356E3" w:rsidRDefault="00AF2909" w:rsidP="00AF2909">
            <w:pPr>
              <w:jc w:val="center"/>
            </w:pPr>
            <w:r w:rsidRPr="00C356E3">
              <w:t>$60,</w:t>
            </w:r>
            <w:r>
              <w:t>335</w:t>
            </w:r>
          </w:p>
        </w:tc>
        <w:tc>
          <w:tcPr>
            <w:tcW w:w="1687" w:type="dxa"/>
            <w:shd w:val="clear" w:color="auto" w:fill="auto"/>
          </w:tcPr>
          <w:p w:rsidR="00AF2909" w:rsidRPr="00C356E3" w:rsidRDefault="00AF2909" w:rsidP="00AF2909">
            <w:pPr>
              <w:jc w:val="center"/>
            </w:pPr>
            <w:r w:rsidRPr="00C356E3">
              <w:t>$76</w:t>
            </w:r>
            <w:r>
              <w:t>2,219</w:t>
            </w:r>
          </w:p>
        </w:tc>
        <w:tc>
          <w:tcPr>
            <w:tcW w:w="1576" w:type="dxa"/>
            <w:shd w:val="clear" w:color="auto" w:fill="auto"/>
          </w:tcPr>
          <w:p w:rsidR="00AF2909" w:rsidRPr="00C356E3" w:rsidRDefault="00AF2909" w:rsidP="00AF2909">
            <w:pPr>
              <w:jc w:val="center"/>
            </w:pPr>
            <w:r>
              <w:t>8.60</w:t>
            </w:r>
            <w:r w:rsidRPr="00C356E3">
              <w:t>%</w:t>
            </w:r>
          </w:p>
        </w:tc>
      </w:tr>
    </w:tbl>
    <w:p w:rsidR="00AF2909" w:rsidRDefault="00AF2909">
      <w:pPr>
        <w:pStyle w:val="IssueSubsectionHeading"/>
      </w:pPr>
    </w:p>
    <w:p w:rsidR="00165B94" w:rsidRPr="004C3641" w:rsidRDefault="00165B94">
      <w:pPr>
        <w:pStyle w:val="IssueSubsectionHeading"/>
        <w:rPr>
          <w:vanish/>
          <w:specVanish/>
        </w:rPr>
      </w:pPr>
      <w:r w:rsidRPr="004C3641">
        <w:t>Staff Analysis: </w:t>
      </w:r>
    </w:p>
    <w:p w:rsidR="00335250" w:rsidRDefault="00165B94" w:rsidP="00AF2909">
      <w:pPr>
        <w:pStyle w:val="BodyText"/>
      </w:pPr>
      <w:r>
        <w:t> </w:t>
      </w:r>
      <w:r w:rsidR="00AF2909" w:rsidRPr="00C356E3">
        <w:t>In its filing, Placid Lakes requested a revenue requirement of $766,015</w:t>
      </w:r>
      <w:r w:rsidR="006F104A">
        <w:t>,</w:t>
      </w:r>
      <w:r w:rsidR="006F104A" w:rsidRPr="00C356E3">
        <w:t xml:space="preserve"> which</w:t>
      </w:r>
      <w:r w:rsidR="00335250">
        <w:t xml:space="preserve"> </w:t>
      </w:r>
      <w:r w:rsidR="00AF2909" w:rsidRPr="00C356E3">
        <w:t>represents a revenue increase of $97,116, or</w:t>
      </w:r>
      <w:r w:rsidR="00335250">
        <w:t xml:space="preserve"> </w:t>
      </w:r>
      <w:r w:rsidR="00AF2909" w:rsidRPr="00C356E3">
        <w:t>14.52 percent. Consistent with staff’s recommendations concerning the underlying rate base, cost of capital, and operating income issues, staff recommends a revenue requirement of $</w:t>
      </w:r>
      <w:r w:rsidR="00AF2909">
        <w:t>762,219</w:t>
      </w:r>
      <w:r w:rsidR="00AF2909" w:rsidRPr="00C356E3">
        <w:t>. This represents an increase of $60,</w:t>
      </w:r>
      <w:r w:rsidR="00AF2909">
        <w:t>335</w:t>
      </w:r>
      <w:r w:rsidR="00AF2909" w:rsidRPr="00C356E3">
        <w:t>, or 8.</w:t>
      </w:r>
      <w:r w:rsidR="00AF2909">
        <w:t>60</w:t>
      </w:r>
      <w:r w:rsidR="00AF2909" w:rsidRPr="00C356E3">
        <w:t xml:space="preserve"> percent.</w:t>
      </w:r>
      <w:r w:rsidR="00335250">
        <w:t xml:space="preserve"> Staff’s recommended revenue requirement is shown in Table 11-1.</w:t>
      </w:r>
    </w:p>
    <w:p w:rsidR="00335250" w:rsidRPr="00335250" w:rsidRDefault="00335250" w:rsidP="00335250">
      <w:pPr>
        <w:jc w:val="center"/>
        <w:rPr>
          <w:rFonts w:ascii="Arial" w:hAnsi="Arial" w:cs="Arial"/>
          <w:b/>
        </w:rPr>
      </w:pPr>
      <w:r w:rsidRPr="00335250">
        <w:rPr>
          <w:rFonts w:ascii="Arial" w:hAnsi="Arial" w:cs="Arial"/>
          <w:b/>
        </w:rPr>
        <w:t>Table 11-1</w:t>
      </w:r>
    </w:p>
    <w:p w:rsidR="00335250" w:rsidRPr="00335250" w:rsidRDefault="00335250" w:rsidP="00335250">
      <w:pPr>
        <w:jc w:val="center"/>
        <w:rPr>
          <w:rFonts w:ascii="Arial" w:hAnsi="Arial" w:cs="Arial"/>
          <w:b/>
        </w:rPr>
      </w:pPr>
      <w:r w:rsidRPr="00335250">
        <w:rPr>
          <w:rFonts w:ascii="Arial" w:hAnsi="Arial" w:cs="Arial"/>
          <w:b/>
        </w:rPr>
        <w:t>Revenue Requirement</w:t>
      </w:r>
    </w:p>
    <w:tbl>
      <w:tblPr>
        <w:tblW w:w="0" w:type="auto"/>
        <w:jc w:val="center"/>
        <w:tblInd w:w="560" w:type="dxa"/>
        <w:tblBorders>
          <w:top w:val="single" w:sz="4" w:space="0" w:color="auto"/>
          <w:left w:val="single" w:sz="4" w:space="0" w:color="auto"/>
          <w:bottom w:val="single" w:sz="4" w:space="0" w:color="auto"/>
          <w:right w:val="single" w:sz="4" w:space="0" w:color="auto"/>
        </w:tblBorders>
        <w:tblCellMar>
          <w:left w:w="120" w:type="dxa"/>
          <w:right w:w="120" w:type="dxa"/>
        </w:tblCellMar>
        <w:tblLook w:val="0000" w:firstRow="0" w:lastRow="0" w:firstColumn="0" w:lastColumn="0" w:noHBand="0" w:noVBand="0"/>
      </w:tblPr>
      <w:tblGrid>
        <w:gridCol w:w="3681"/>
        <w:gridCol w:w="260"/>
        <w:gridCol w:w="1762"/>
      </w:tblGrid>
      <w:tr w:rsidR="00335250" w:rsidRPr="00335250" w:rsidTr="004A0EC2">
        <w:trPr>
          <w:cantSplit/>
          <w:jc w:val="center"/>
        </w:trPr>
        <w:tc>
          <w:tcPr>
            <w:tcW w:w="3681" w:type="dxa"/>
          </w:tcPr>
          <w:p w:rsidR="00335250" w:rsidRPr="00335250" w:rsidRDefault="00335250" w:rsidP="00335250">
            <w:pPr>
              <w:spacing w:before="116" w:after="44"/>
            </w:pPr>
            <w:r w:rsidRPr="00335250">
              <w:t xml:space="preserve">Adjusted Rate Base </w:t>
            </w:r>
          </w:p>
        </w:tc>
        <w:tc>
          <w:tcPr>
            <w:tcW w:w="260" w:type="dxa"/>
          </w:tcPr>
          <w:p w:rsidR="00335250" w:rsidRPr="00335250" w:rsidRDefault="00335250" w:rsidP="00335250">
            <w:pPr>
              <w:spacing w:before="116" w:after="44"/>
              <w:jc w:val="center"/>
            </w:pPr>
          </w:p>
        </w:tc>
        <w:tc>
          <w:tcPr>
            <w:tcW w:w="1762" w:type="dxa"/>
          </w:tcPr>
          <w:p w:rsidR="00335250" w:rsidRPr="00335250" w:rsidRDefault="00335250" w:rsidP="00335250">
            <w:pPr>
              <w:spacing w:before="116" w:after="44"/>
              <w:jc w:val="right"/>
              <w:rPr>
                <w:highlight w:val="yellow"/>
              </w:rPr>
            </w:pPr>
            <w:r w:rsidRPr="00335250">
              <w:t>$585,815</w:t>
            </w:r>
          </w:p>
        </w:tc>
      </w:tr>
      <w:tr w:rsidR="00335250" w:rsidRPr="00335250" w:rsidTr="004A0EC2">
        <w:trPr>
          <w:cantSplit/>
          <w:jc w:val="center"/>
        </w:trPr>
        <w:tc>
          <w:tcPr>
            <w:tcW w:w="3681" w:type="dxa"/>
          </w:tcPr>
          <w:p w:rsidR="00335250" w:rsidRPr="00335250" w:rsidRDefault="00335250" w:rsidP="00335250">
            <w:pPr>
              <w:spacing w:before="116" w:after="44"/>
            </w:pPr>
            <w:r w:rsidRPr="00335250">
              <w:t>Rate of Return (%)</w:t>
            </w:r>
          </w:p>
        </w:tc>
        <w:tc>
          <w:tcPr>
            <w:tcW w:w="260" w:type="dxa"/>
          </w:tcPr>
          <w:p w:rsidR="00335250" w:rsidRPr="00335250" w:rsidRDefault="00335250" w:rsidP="00335250">
            <w:pPr>
              <w:spacing w:before="116" w:after="44"/>
              <w:jc w:val="center"/>
            </w:pPr>
          </w:p>
        </w:tc>
        <w:tc>
          <w:tcPr>
            <w:tcW w:w="1762" w:type="dxa"/>
            <w:tcBorders>
              <w:top w:val="nil"/>
              <w:bottom w:val="single" w:sz="4" w:space="0" w:color="auto"/>
            </w:tcBorders>
          </w:tcPr>
          <w:p w:rsidR="00335250" w:rsidRPr="00335250" w:rsidRDefault="00335250" w:rsidP="00335250">
            <w:pPr>
              <w:spacing w:before="116" w:after="44"/>
              <w:jc w:val="right"/>
              <w:rPr>
                <w:highlight w:val="yellow"/>
              </w:rPr>
            </w:pPr>
            <w:r w:rsidRPr="00335250">
              <w:t>x 6.33%</w:t>
            </w:r>
          </w:p>
        </w:tc>
      </w:tr>
      <w:tr w:rsidR="00335250" w:rsidRPr="00335250" w:rsidTr="004A0EC2">
        <w:trPr>
          <w:cantSplit/>
          <w:jc w:val="center"/>
        </w:trPr>
        <w:tc>
          <w:tcPr>
            <w:tcW w:w="3681" w:type="dxa"/>
          </w:tcPr>
          <w:p w:rsidR="00335250" w:rsidRPr="00335250" w:rsidRDefault="00335250" w:rsidP="00335250">
            <w:pPr>
              <w:spacing w:before="116" w:after="44"/>
            </w:pPr>
            <w:r w:rsidRPr="00335250">
              <w:t>Return on Rate Base</w:t>
            </w:r>
          </w:p>
        </w:tc>
        <w:tc>
          <w:tcPr>
            <w:tcW w:w="260" w:type="dxa"/>
          </w:tcPr>
          <w:p w:rsidR="00335250" w:rsidRPr="00335250" w:rsidRDefault="00335250" w:rsidP="00335250">
            <w:pPr>
              <w:spacing w:before="116" w:after="44"/>
              <w:jc w:val="center"/>
            </w:pPr>
          </w:p>
        </w:tc>
        <w:tc>
          <w:tcPr>
            <w:tcW w:w="1762" w:type="dxa"/>
            <w:tcBorders>
              <w:top w:val="single" w:sz="4" w:space="0" w:color="auto"/>
            </w:tcBorders>
          </w:tcPr>
          <w:p w:rsidR="00335250" w:rsidRPr="00335250" w:rsidRDefault="00335250" w:rsidP="00335250">
            <w:pPr>
              <w:spacing w:before="116" w:after="44"/>
              <w:jc w:val="right"/>
              <w:rPr>
                <w:highlight w:val="yellow"/>
              </w:rPr>
            </w:pPr>
            <w:r w:rsidRPr="00335250">
              <w:t>$37,082</w:t>
            </w:r>
          </w:p>
        </w:tc>
      </w:tr>
      <w:tr w:rsidR="00335250" w:rsidRPr="00335250" w:rsidTr="004A0EC2">
        <w:trPr>
          <w:cantSplit/>
          <w:jc w:val="center"/>
        </w:trPr>
        <w:tc>
          <w:tcPr>
            <w:tcW w:w="3681" w:type="dxa"/>
          </w:tcPr>
          <w:p w:rsidR="00335250" w:rsidRPr="00335250" w:rsidRDefault="00335250" w:rsidP="00335250">
            <w:pPr>
              <w:spacing w:before="116" w:after="44"/>
            </w:pPr>
            <w:r w:rsidRPr="00335250">
              <w:t>Adjusted O&amp;M Expense</w:t>
            </w:r>
          </w:p>
        </w:tc>
        <w:tc>
          <w:tcPr>
            <w:tcW w:w="260" w:type="dxa"/>
          </w:tcPr>
          <w:p w:rsidR="00335250" w:rsidRPr="00335250" w:rsidRDefault="00335250" w:rsidP="00335250">
            <w:pPr>
              <w:spacing w:before="116" w:after="44"/>
              <w:jc w:val="center"/>
            </w:pPr>
          </w:p>
        </w:tc>
        <w:tc>
          <w:tcPr>
            <w:tcW w:w="1762" w:type="dxa"/>
          </w:tcPr>
          <w:p w:rsidR="00335250" w:rsidRPr="00335250" w:rsidRDefault="00335250" w:rsidP="00335250">
            <w:pPr>
              <w:spacing w:before="116" w:after="44"/>
              <w:jc w:val="right"/>
              <w:rPr>
                <w:highlight w:val="yellow"/>
              </w:rPr>
            </w:pPr>
            <w:r w:rsidRPr="00335250">
              <w:t>556,447</w:t>
            </w:r>
          </w:p>
        </w:tc>
      </w:tr>
      <w:tr w:rsidR="00335250" w:rsidRPr="00335250" w:rsidTr="004A0EC2">
        <w:trPr>
          <w:cantSplit/>
          <w:jc w:val="center"/>
        </w:trPr>
        <w:tc>
          <w:tcPr>
            <w:tcW w:w="3681" w:type="dxa"/>
          </w:tcPr>
          <w:p w:rsidR="00335250" w:rsidRPr="00335250" w:rsidRDefault="00335250" w:rsidP="00335250">
            <w:pPr>
              <w:spacing w:before="116" w:after="44"/>
            </w:pPr>
            <w:r w:rsidRPr="00335250">
              <w:t xml:space="preserve">Depreciation Expense (Net) </w:t>
            </w:r>
          </w:p>
        </w:tc>
        <w:tc>
          <w:tcPr>
            <w:tcW w:w="260" w:type="dxa"/>
          </w:tcPr>
          <w:p w:rsidR="00335250" w:rsidRPr="00335250" w:rsidRDefault="00335250" w:rsidP="00335250">
            <w:pPr>
              <w:spacing w:before="116" w:after="44"/>
              <w:jc w:val="center"/>
            </w:pPr>
          </w:p>
        </w:tc>
        <w:tc>
          <w:tcPr>
            <w:tcW w:w="1762" w:type="dxa"/>
          </w:tcPr>
          <w:p w:rsidR="00335250" w:rsidRPr="00335250" w:rsidRDefault="00335250" w:rsidP="00335250">
            <w:pPr>
              <w:spacing w:before="116" w:after="44"/>
              <w:jc w:val="right"/>
              <w:rPr>
                <w:highlight w:val="yellow"/>
              </w:rPr>
            </w:pPr>
            <w:r w:rsidRPr="00335250">
              <w:t>63,849</w:t>
            </w:r>
          </w:p>
        </w:tc>
      </w:tr>
      <w:tr w:rsidR="00335250" w:rsidRPr="00335250" w:rsidTr="004A0EC2">
        <w:trPr>
          <w:cantSplit/>
          <w:jc w:val="center"/>
        </w:trPr>
        <w:tc>
          <w:tcPr>
            <w:tcW w:w="3681" w:type="dxa"/>
          </w:tcPr>
          <w:p w:rsidR="00335250" w:rsidRPr="00335250" w:rsidRDefault="00335250" w:rsidP="00335250">
            <w:pPr>
              <w:spacing w:before="116" w:after="44"/>
            </w:pPr>
            <w:r w:rsidRPr="00335250">
              <w:t>Taxes Other Than Income</w:t>
            </w:r>
          </w:p>
        </w:tc>
        <w:tc>
          <w:tcPr>
            <w:tcW w:w="260" w:type="dxa"/>
          </w:tcPr>
          <w:p w:rsidR="00335250" w:rsidRPr="00335250" w:rsidRDefault="00335250" w:rsidP="00335250">
            <w:pPr>
              <w:spacing w:before="116" w:after="44"/>
              <w:jc w:val="center"/>
            </w:pPr>
          </w:p>
        </w:tc>
        <w:tc>
          <w:tcPr>
            <w:tcW w:w="1762" w:type="dxa"/>
            <w:tcBorders>
              <w:bottom w:val="nil"/>
            </w:tcBorders>
          </w:tcPr>
          <w:p w:rsidR="00335250" w:rsidRPr="00335250" w:rsidRDefault="00335250" w:rsidP="00335250">
            <w:pPr>
              <w:spacing w:before="116" w:after="44"/>
              <w:jc w:val="right"/>
              <w:rPr>
                <w:highlight w:val="yellow"/>
              </w:rPr>
            </w:pPr>
            <w:r w:rsidRPr="00335250">
              <w:t>73,915</w:t>
            </w:r>
          </w:p>
        </w:tc>
      </w:tr>
      <w:tr w:rsidR="00335250" w:rsidRPr="00335250" w:rsidTr="004A0EC2">
        <w:trPr>
          <w:cantSplit/>
          <w:jc w:val="center"/>
        </w:trPr>
        <w:tc>
          <w:tcPr>
            <w:tcW w:w="3681" w:type="dxa"/>
          </w:tcPr>
          <w:p w:rsidR="00335250" w:rsidRPr="00335250" w:rsidRDefault="00335250" w:rsidP="00335250">
            <w:pPr>
              <w:spacing w:before="116" w:after="44"/>
            </w:pPr>
            <w:r w:rsidRPr="00335250">
              <w:t>Income Taxes</w:t>
            </w:r>
          </w:p>
        </w:tc>
        <w:tc>
          <w:tcPr>
            <w:tcW w:w="260" w:type="dxa"/>
          </w:tcPr>
          <w:p w:rsidR="00335250" w:rsidRPr="00335250" w:rsidRDefault="00335250" w:rsidP="00335250">
            <w:pPr>
              <w:spacing w:before="116" w:after="44"/>
              <w:jc w:val="center"/>
            </w:pPr>
          </w:p>
        </w:tc>
        <w:tc>
          <w:tcPr>
            <w:tcW w:w="1762" w:type="dxa"/>
            <w:tcBorders>
              <w:bottom w:val="nil"/>
            </w:tcBorders>
          </w:tcPr>
          <w:p w:rsidR="00335250" w:rsidRPr="00335250" w:rsidRDefault="00335250" w:rsidP="00335250">
            <w:pPr>
              <w:spacing w:before="116" w:after="44"/>
              <w:jc w:val="right"/>
            </w:pPr>
            <w:r w:rsidRPr="00335250">
              <w:t>31,028</w:t>
            </w:r>
          </w:p>
        </w:tc>
      </w:tr>
      <w:tr w:rsidR="00335250" w:rsidRPr="00335250" w:rsidTr="004A0EC2">
        <w:trPr>
          <w:cantSplit/>
          <w:jc w:val="center"/>
        </w:trPr>
        <w:tc>
          <w:tcPr>
            <w:tcW w:w="3681" w:type="dxa"/>
          </w:tcPr>
          <w:p w:rsidR="00335250" w:rsidRPr="00335250" w:rsidRDefault="00335250" w:rsidP="00335250">
            <w:pPr>
              <w:spacing w:before="116" w:after="44"/>
            </w:pPr>
            <w:r w:rsidRPr="00335250">
              <w:t xml:space="preserve">Revenue Requirement </w:t>
            </w:r>
          </w:p>
        </w:tc>
        <w:tc>
          <w:tcPr>
            <w:tcW w:w="260" w:type="dxa"/>
          </w:tcPr>
          <w:p w:rsidR="00335250" w:rsidRPr="00335250" w:rsidRDefault="00335250" w:rsidP="00335250">
            <w:pPr>
              <w:spacing w:before="116" w:after="44"/>
              <w:jc w:val="center"/>
            </w:pPr>
          </w:p>
        </w:tc>
        <w:tc>
          <w:tcPr>
            <w:tcW w:w="1762" w:type="dxa"/>
            <w:tcBorders>
              <w:top w:val="single" w:sz="4" w:space="0" w:color="auto"/>
              <w:bottom w:val="nil"/>
            </w:tcBorders>
          </w:tcPr>
          <w:p w:rsidR="00335250" w:rsidRPr="00335250" w:rsidRDefault="00335250" w:rsidP="00335250">
            <w:pPr>
              <w:spacing w:before="116" w:after="44"/>
              <w:jc w:val="right"/>
            </w:pPr>
            <w:r w:rsidRPr="00335250">
              <w:t>$762,219</w:t>
            </w:r>
          </w:p>
        </w:tc>
      </w:tr>
      <w:tr w:rsidR="00335250" w:rsidRPr="00335250" w:rsidTr="004A0EC2">
        <w:trPr>
          <w:cantSplit/>
          <w:jc w:val="center"/>
        </w:trPr>
        <w:tc>
          <w:tcPr>
            <w:tcW w:w="3681" w:type="dxa"/>
          </w:tcPr>
          <w:p w:rsidR="00335250" w:rsidRPr="00335250" w:rsidRDefault="00335250" w:rsidP="00335250">
            <w:pPr>
              <w:spacing w:before="116" w:after="44"/>
            </w:pPr>
            <w:r w:rsidRPr="00335250">
              <w:t>Less Adjusted Test Year Revenues</w:t>
            </w:r>
          </w:p>
        </w:tc>
        <w:tc>
          <w:tcPr>
            <w:tcW w:w="260" w:type="dxa"/>
          </w:tcPr>
          <w:p w:rsidR="00335250" w:rsidRPr="00335250" w:rsidRDefault="00335250" w:rsidP="00335250">
            <w:pPr>
              <w:spacing w:before="116" w:after="44"/>
              <w:jc w:val="center"/>
            </w:pPr>
          </w:p>
        </w:tc>
        <w:tc>
          <w:tcPr>
            <w:tcW w:w="1762" w:type="dxa"/>
            <w:tcBorders>
              <w:top w:val="nil"/>
              <w:bottom w:val="single" w:sz="4" w:space="0" w:color="auto"/>
            </w:tcBorders>
          </w:tcPr>
          <w:p w:rsidR="00335250" w:rsidRPr="00335250" w:rsidRDefault="00335250" w:rsidP="00335250">
            <w:pPr>
              <w:spacing w:before="116" w:after="44"/>
              <w:jc w:val="right"/>
            </w:pPr>
            <w:r w:rsidRPr="00335250">
              <w:t>701,884</w:t>
            </w:r>
          </w:p>
        </w:tc>
      </w:tr>
      <w:tr w:rsidR="00335250" w:rsidRPr="00335250" w:rsidTr="004A0EC2">
        <w:trPr>
          <w:cantSplit/>
          <w:jc w:val="center"/>
        </w:trPr>
        <w:tc>
          <w:tcPr>
            <w:tcW w:w="3681" w:type="dxa"/>
          </w:tcPr>
          <w:p w:rsidR="00335250" w:rsidRPr="00335250" w:rsidRDefault="00335250" w:rsidP="00335250">
            <w:pPr>
              <w:spacing w:before="116" w:after="44"/>
            </w:pPr>
            <w:r w:rsidRPr="00335250">
              <w:t>Annual Increase</w:t>
            </w:r>
          </w:p>
        </w:tc>
        <w:tc>
          <w:tcPr>
            <w:tcW w:w="260" w:type="dxa"/>
          </w:tcPr>
          <w:p w:rsidR="00335250" w:rsidRPr="00335250" w:rsidRDefault="00335250" w:rsidP="00335250">
            <w:pPr>
              <w:spacing w:before="116" w:after="44"/>
              <w:jc w:val="center"/>
            </w:pPr>
          </w:p>
        </w:tc>
        <w:tc>
          <w:tcPr>
            <w:tcW w:w="1762" w:type="dxa"/>
            <w:tcBorders>
              <w:top w:val="single" w:sz="4" w:space="0" w:color="auto"/>
            </w:tcBorders>
          </w:tcPr>
          <w:p w:rsidR="00335250" w:rsidRPr="00335250" w:rsidRDefault="00335250" w:rsidP="00335250">
            <w:pPr>
              <w:spacing w:before="116" w:after="44"/>
              <w:jc w:val="right"/>
            </w:pPr>
            <w:r w:rsidRPr="00335250">
              <w:rPr>
                <w:u w:val="double"/>
              </w:rPr>
              <w:t>$60,335</w:t>
            </w:r>
          </w:p>
        </w:tc>
      </w:tr>
      <w:tr w:rsidR="00335250" w:rsidRPr="00335250" w:rsidTr="004A0EC2">
        <w:trPr>
          <w:cantSplit/>
          <w:jc w:val="center"/>
        </w:trPr>
        <w:tc>
          <w:tcPr>
            <w:tcW w:w="3681" w:type="dxa"/>
          </w:tcPr>
          <w:p w:rsidR="00335250" w:rsidRPr="00335250" w:rsidRDefault="00335250" w:rsidP="00335250">
            <w:pPr>
              <w:spacing w:before="116" w:after="44"/>
            </w:pPr>
            <w:r w:rsidRPr="00335250">
              <w:t>Percent Increase</w:t>
            </w:r>
          </w:p>
        </w:tc>
        <w:tc>
          <w:tcPr>
            <w:tcW w:w="260" w:type="dxa"/>
          </w:tcPr>
          <w:p w:rsidR="00335250" w:rsidRPr="00335250" w:rsidRDefault="00335250" w:rsidP="00335250">
            <w:pPr>
              <w:spacing w:before="116" w:after="44"/>
              <w:jc w:val="center"/>
            </w:pPr>
          </w:p>
        </w:tc>
        <w:tc>
          <w:tcPr>
            <w:tcW w:w="1762" w:type="dxa"/>
          </w:tcPr>
          <w:p w:rsidR="00335250" w:rsidRPr="00335250" w:rsidRDefault="00335250" w:rsidP="00335250">
            <w:pPr>
              <w:spacing w:before="116" w:after="44"/>
              <w:jc w:val="right"/>
              <w:rPr>
                <w:u w:val="double"/>
              </w:rPr>
            </w:pPr>
            <w:r w:rsidRPr="00335250">
              <w:rPr>
                <w:u w:val="double"/>
              </w:rPr>
              <w:t>8.60%</w:t>
            </w:r>
          </w:p>
        </w:tc>
      </w:tr>
    </w:tbl>
    <w:p w:rsidR="00335250" w:rsidRPr="00335250" w:rsidRDefault="00335250" w:rsidP="00335250">
      <w:pPr>
        <w:jc w:val="both"/>
      </w:pPr>
    </w:p>
    <w:p w:rsidR="00165B94" w:rsidRDefault="00165B94">
      <w:pPr>
        <w:pStyle w:val="BodyText"/>
      </w:pPr>
    </w:p>
    <w:p w:rsidR="00AF2909" w:rsidRDefault="00AF2909">
      <w:pPr>
        <w:pStyle w:val="IssueHeading"/>
        <w:rPr>
          <w:vanish/>
          <w:specVanish/>
        </w:rPr>
      </w:pPr>
      <w:r w:rsidRPr="004C3641">
        <w:rPr>
          <w:b w:val="0"/>
          <w:i w:val="0"/>
        </w:rPr>
        <w:br w:type="page"/>
      </w:r>
      <w:r w:rsidRPr="004C3641">
        <w:lastRenderedPageBreak/>
        <w:t xml:space="preserve">Issue </w:t>
      </w:r>
      <w:r w:rsidR="009019FF">
        <w:fldChar w:fldCharType="begin"/>
      </w:r>
      <w:r w:rsidR="009019FF">
        <w:instrText xml:space="preserve"> SEQ Issue \* MERGEFORMAT </w:instrText>
      </w:r>
      <w:r w:rsidR="009019FF">
        <w:fldChar w:fldCharType="separate"/>
      </w:r>
      <w:r w:rsidR="0014690B">
        <w:rPr>
          <w:noProof/>
        </w:rPr>
        <w:t>12</w:t>
      </w:r>
      <w:r w:rsidR="009019F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7" w:name="_Toc25305764"/>
      <w:r w:rsidR="0014690B">
        <w:rPr>
          <w:noProof/>
        </w:rPr>
        <w:instrText>12</w:instrText>
      </w:r>
      <w:r>
        <w:fldChar w:fldCharType="end"/>
      </w:r>
      <w:r>
        <w:tab/>
        <w:instrText>Rates and Rate Structure</w:instrText>
      </w:r>
      <w:r w:rsidR="00844B5A">
        <w:instrText xml:space="preserve"> </w:instrText>
      </w:r>
      <w:r>
        <w:instrText>(Ramos)</w:instrText>
      </w:r>
      <w:bookmarkEnd w:id="27"/>
      <w:r>
        <w:instrText xml:space="preserve">" \l 1 </w:instrText>
      </w:r>
      <w:r>
        <w:fldChar w:fldCharType="end"/>
      </w:r>
      <w:r>
        <w:t> </w:t>
      </w:r>
    </w:p>
    <w:p w:rsidR="00AF2909" w:rsidRDefault="00AF2909">
      <w:pPr>
        <w:pStyle w:val="BodyText"/>
      </w:pPr>
      <w:r>
        <w:t> What is the appropriate rate structure and rates for the utility's water system?</w:t>
      </w:r>
    </w:p>
    <w:p w:rsidR="00AF2909" w:rsidRPr="004C3641" w:rsidRDefault="00AF2909">
      <w:pPr>
        <w:pStyle w:val="IssueSubsectionHeading"/>
        <w:rPr>
          <w:vanish/>
          <w:specVanish/>
        </w:rPr>
      </w:pPr>
      <w:r w:rsidRPr="004C3641">
        <w:t>Recommendation: </w:t>
      </w:r>
    </w:p>
    <w:p w:rsidR="00AF2909" w:rsidRDefault="00AF2909">
      <w:pPr>
        <w:pStyle w:val="BodyText"/>
      </w:pPr>
      <w:r>
        <w:t> </w:t>
      </w:r>
      <w:r w:rsidRPr="00F03CDD">
        <w:t xml:space="preserve">The recommended rate structures and monthly water rates are shown on Schedule No. 4. The </w:t>
      </w:r>
      <w:r>
        <w:t>u</w:t>
      </w:r>
      <w:r w:rsidRPr="00F03CDD">
        <w:t xml:space="preserve">tility should file revised tariff sheets and a proposed customer notice to reflect the Commission-approved rates. The approved rates should be effective for service rendered on or after the stamped approval date on the tariff sheets provided customers have received notice pursuant to Rule 25-30.475, F.A.C. The </w:t>
      </w:r>
      <w:r>
        <w:t>u</w:t>
      </w:r>
      <w:r w:rsidRPr="00F03CDD">
        <w:t>tility should provide proof of noticing within 10 days of rendering its approved notice.</w:t>
      </w:r>
      <w:r>
        <w:t xml:space="preserve"> (Ramos)</w:t>
      </w:r>
    </w:p>
    <w:p w:rsidR="00AF2909" w:rsidRPr="004C3641" w:rsidRDefault="00AF2909">
      <w:pPr>
        <w:pStyle w:val="IssueSubsectionHeading"/>
        <w:rPr>
          <w:vanish/>
          <w:specVanish/>
        </w:rPr>
      </w:pPr>
      <w:r w:rsidRPr="004C3641">
        <w:t>Staff Analysis: </w:t>
      </w:r>
    </w:p>
    <w:p w:rsidR="00AF2909" w:rsidRDefault="00AF2909" w:rsidP="00AF2909">
      <w:pPr>
        <w:pStyle w:val="BodyText"/>
      </w:pPr>
      <w:r>
        <w:t xml:space="preserve"> Placid Lakes is located in Highlands County within the SWFWMD. The utility’s water system provides service to 1,973 residential and 34 general service customers. Approximately 8 percent of the residential customer bills during the test year had zero gallons, which indicates a non-seasonal customer base. The average residential water demand during the test year was 3,480 gallons per month, which is a 1.8 percent decrease since the utility’s last rate case. </w:t>
      </w:r>
    </w:p>
    <w:p w:rsidR="00AF2909" w:rsidRDefault="00AF2909" w:rsidP="00AF2909">
      <w:pPr>
        <w:pStyle w:val="BodyText"/>
      </w:pPr>
      <w:r>
        <w:t xml:space="preserve">Currently, the utility’s water system rate structure consists of a </w:t>
      </w:r>
      <w:r w:rsidR="009171E4">
        <w:t>base facility charge (</w:t>
      </w:r>
      <w:r>
        <w:t>BFC</w:t>
      </w:r>
      <w:r w:rsidR="009171E4">
        <w:t>)</w:t>
      </w:r>
      <w:r>
        <w:t xml:space="preserve"> and three tier inclining block rate structure for residential customers. The rate blocks are: </w:t>
      </w:r>
      <w:r w:rsidRPr="00433CF8">
        <w:t>(1) 0-10,000 gallons; (2) 10,001-20,000 gallons; and (3) usage in excess of 20,000 gallons</w:t>
      </w:r>
      <w:r>
        <w:t xml:space="preserve">. General </w:t>
      </w:r>
      <w:proofErr w:type="gramStart"/>
      <w:r>
        <w:t>service</w:t>
      </w:r>
      <w:proofErr w:type="gramEnd"/>
      <w:r>
        <w:t xml:space="preserve"> customers are billed a BFC and a uniform </w:t>
      </w:r>
      <w:proofErr w:type="spellStart"/>
      <w:r>
        <w:t>gallonage</w:t>
      </w:r>
      <w:proofErr w:type="spellEnd"/>
      <w:r>
        <w:t xml:space="preserve"> charge. </w:t>
      </w:r>
    </w:p>
    <w:p w:rsidR="00AF2909" w:rsidRDefault="00AF2909" w:rsidP="00AF2909">
      <w:pPr>
        <w:pStyle w:val="BodyText"/>
      </w:pPr>
      <w:r w:rsidRPr="00433CF8">
        <w:t xml:space="preserve">Staff performed an analysis of the </w:t>
      </w:r>
      <w:r>
        <w:t>u</w:t>
      </w:r>
      <w:r w:rsidRPr="00433CF8">
        <w:t xml:space="preserve">tility’s billing data in order to evaluate various BFC cost recovery percentages, usage blocks, and usage block rate factors for the residential rate class.  The goal of the evaluation was to select the rate design parameters that: 1) produce the recommended revenue requirement; 2) equitably distribute cost recovery among the </w:t>
      </w:r>
      <w:r>
        <w:t>u</w:t>
      </w:r>
      <w:r w:rsidRPr="00433CF8">
        <w:t>tility’s customers; 3) establish the appropriate non-discretionary usage threshold for restricting repression; and 4) implement, where appropriate, water conserving rate structures consistent with Commission practice.</w:t>
      </w:r>
    </w:p>
    <w:p w:rsidR="00AF2909" w:rsidRDefault="00AF2909" w:rsidP="00AF2909">
      <w:pPr>
        <w:pStyle w:val="BodyText"/>
      </w:pPr>
      <w:r w:rsidRPr="00433CF8">
        <w:t xml:space="preserve">Staff believes an across-the-board increase to the </w:t>
      </w:r>
      <w:r>
        <w:t>u</w:t>
      </w:r>
      <w:r w:rsidRPr="00433CF8">
        <w:t>tility’s existing rates is appropriate because of the low revenue requirement percentage increase. In addition, the existing rate structure appears reasonable and no significant repression is anticipated. To determine the appropriate percentage increase to apply to the service rates, miscellaneous revenues were removed from the test year revenues</w:t>
      </w:r>
      <w:r>
        <w:t xml:space="preserve"> ($701,884 - $24,317)</w:t>
      </w:r>
      <w:r w:rsidRPr="00433CF8">
        <w:t xml:space="preserve">, resulting in an </w:t>
      </w:r>
      <w:r>
        <w:t>8.90 ($60,335 / $677,567)</w:t>
      </w:r>
      <w:r w:rsidRPr="00433CF8">
        <w:t xml:space="preserve"> percent increase </w:t>
      </w:r>
      <w:r>
        <w:t>to</w:t>
      </w:r>
      <w:r w:rsidRPr="00433CF8">
        <w:t xml:space="preserve"> the service rates. </w:t>
      </w:r>
    </w:p>
    <w:p w:rsidR="00AF2909" w:rsidRDefault="00AF2909" w:rsidP="00AF2909">
      <w:pPr>
        <w:pStyle w:val="BodyText"/>
      </w:pPr>
      <w:r>
        <w:t>Based on the above, t</w:t>
      </w:r>
      <w:r w:rsidRPr="00433CF8">
        <w:t xml:space="preserve">he recommended rate structures and monthly water rates are shown on Schedule No. 4. The </w:t>
      </w:r>
      <w:r>
        <w:t>u</w:t>
      </w:r>
      <w:r w:rsidRPr="00433CF8">
        <w:t xml:space="preserve">tility should file revised tariff sheets and a proposed customer notice to reflect the Commission-approved rates. The approved rates should be effective for service rendered on or after the stamped approval date on the tariff sheets provided customers have received notice pursuant to Rule 25-30.475, F.A.C. The </w:t>
      </w:r>
      <w:r>
        <w:t>u</w:t>
      </w:r>
      <w:r w:rsidRPr="00433CF8">
        <w:t>tility should provide proof of noticing within 10 days of rendering its approved notice.</w:t>
      </w:r>
    </w:p>
    <w:p w:rsidR="00AF2909" w:rsidRDefault="00AF2909">
      <w:pPr>
        <w:pStyle w:val="BodyText"/>
      </w:pPr>
    </w:p>
    <w:p w:rsidR="00AF2909" w:rsidRDefault="00AF2909">
      <w:pPr>
        <w:pStyle w:val="IssueHeading"/>
        <w:rPr>
          <w:vanish/>
          <w:specVanish/>
        </w:rPr>
      </w:pPr>
      <w:r w:rsidRPr="004C3641">
        <w:rPr>
          <w:b w:val="0"/>
          <w:i w:val="0"/>
        </w:rPr>
        <w:br w:type="page"/>
      </w:r>
      <w:r w:rsidRPr="004C3641">
        <w:lastRenderedPageBreak/>
        <w:t xml:space="preserve">Issue </w:t>
      </w:r>
      <w:r w:rsidR="009019FF">
        <w:fldChar w:fldCharType="begin"/>
      </w:r>
      <w:r w:rsidR="009019FF">
        <w:instrText xml:space="preserve"> SEQ Issue \* MERGEFORMAT </w:instrText>
      </w:r>
      <w:r w:rsidR="009019FF">
        <w:fldChar w:fldCharType="separate"/>
      </w:r>
      <w:r w:rsidR="0014690B">
        <w:rPr>
          <w:noProof/>
        </w:rPr>
        <w:t>13</w:t>
      </w:r>
      <w:r w:rsidR="009019F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8" w:name="_Toc25305765"/>
      <w:r w:rsidR="0014690B">
        <w:rPr>
          <w:noProof/>
        </w:rPr>
        <w:instrText>13</w:instrText>
      </w:r>
      <w:r>
        <w:fldChar w:fldCharType="end"/>
      </w:r>
      <w:r>
        <w:tab/>
        <w:instrText>Private Fire Protection</w:instrText>
      </w:r>
      <w:r w:rsidR="00844B5A">
        <w:instrText xml:space="preserve"> </w:instrText>
      </w:r>
      <w:r>
        <w:instrText>(Ramos)</w:instrText>
      </w:r>
      <w:bookmarkEnd w:id="28"/>
      <w:r>
        <w:instrText xml:space="preserve">" \l 1 </w:instrText>
      </w:r>
      <w:r>
        <w:fldChar w:fldCharType="end"/>
      </w:r>
      <w:r>
        <w:t> </w:t>
      </w:r>
    </w:p>
    <w:p w:rsidR="00AF2909" w:rsidRDefault="00AF2909">
      <w:pPr>
        <w:pStyle w:val="BodyText"/>
      </w:pPr>
      <w:r>
        <w:t> Should the utility's request for a new class of service for private fire protection be approved?</w:t>
      </w:r>
    </w:p>
    <w:p w:rsidR="00AF2909" w:rsidRPr="004C3641" w:rsidRDefault="00AF2909">
      <w:pPr>
        <w:pStyle w:val="IssueSubsectionHeading"/>
        <w:rPr>
          <w:vanish/>
          <w:specVanish/>
        </w:rPr>
      </w:pPr>
      <w:r w:rsidRPr="004C3641">
        <w:t>Recommendation: </w:t>
      </w:r>
    </w:p>
    <w:p w:rsidR="00AF2909" w:rsidRDefault="00AF2909">
      <w:pPr>
        <w:pStyle w:val="BodyText"/>
      </w:pPr>
      <w:r>
        <w:t xml:space="preserve"> Yes, the utility’s request to establish a new class of service for private fire protection should be approved. Staff’s recommended monthly private fire protection rates are shown on Schedule No. 4. </w:t>
      </w:r>
      <w:r w:rsidRPr="00DC031F">
        <w:t xml:space="preserve">The utility should file </w:t>
      </w:r>
      <w:r w:rsidR="009012F8">
        <w:t>a proposed</w:t>
      </w:r>
      <w:r w:rsidRPr="00DC031F">
        <w:t xml:space="preserve"> tariff sheet and a proposed customer notice to reflect the Commission-approved rates. The approved rates should be effective for service rendered on or after the stamped approval date on the tariff sheets provided customers have received notice pursuant to Rule 25-30.475, F.A.C. The utility should provide proof of noticing within 10 days of rendering its approved notice.</w:t>
      </w:r>
      <w:r>
        <w:t xml:space="preserve"> (Ramos)</w:t>
      </w:r>
    </w:p>
    <w:p w:rsidR="00AF2909" w:rsidRPr="004C3641" w:rsidRDefault="00AF2909">
      <w:pPr>
        <w:pStyle w:val="IssueSubsectionHeading"/>
        <w:rPr>
          <w:vanish/>
          <w:specVanish/>
        </w:rPr>
      </w:pPr>
      <w:r w:rsidRPr="004C3641">
        <w:t>Staff Analysis: </w:t>
      </w:r>
    </w:p>
    <w:p w:rsidR="00AF2909" w:rsidRDefault="00AF2909" w:rsidP="00AF2909">
      <w:pPr>
        <w:pStyle w:val="BodyText"/>
      </w:pPr>
      <w:r>
        <w:t xml:space="preserve"> Shortly after the utility filed its application for a water rate increase, the utility requested to establish a new class of service for private fire protection rates as a part of this proceeding by letter dated July 31, 2019. The utility requested a new class of service for private fire protection due to a request from a Dollar General store to provide a 6” fire flow line. The utility is requesting the private fire protection rate be consistent with Rule 25-30.465, F.A.C., which states that the rate shall be one-twelfth the current base facility charge of the utility’s meter sizes. Staff believes the utility’s request is reasonable and should be approved. While the utility only requested the private fire protection rate for a 6” meter, staff recommends setting private fire protection rates for the rest of the utility’s corresponding meter sizes pursuant to Rule 25-30.465, F.A.C.; in the event another customer requests private fire protection in the future, the utility would not have to file an additional application with the Commission. </w:t>
      </w:r>
    </w:p>
    <w:p w:rsidR="00AF2909" w:rsidRDefault="00AF2909" w:rsidP="00AF2909">
      <w:pPr>
        <w:pStyle w:val="BodyText"/>
      </w:pPr>
      <w:r>
        <w:t xml:space="preserve">Based on the above, </w:t>
      </w:r>
      <w:r w:rsidRPr="00DC031F">
        <w:t xml:space="preserve">the utility’s request to establish a new class of service for private fire protection should be approved. Staff’s recommended monthly private fire protection rates are shown on Schedule No. 4. The utility should file </w:t>
      </w:r>
      <w:r w:rsidR="009012F8">
        <w:t>a proposed</w:t>
      </w:r>
      <w:r w:rsidRPr="00DC031F">
        <w:t xml:space="preserve"> tariff sheet and a proposed customer notice to reflect the Commission-approved rates. The approved rates should be effective for service rendered on or after the stamped approval date on the tariff sheets provided customers have received notice pursuant to Rule 25-30.475, F.A.C. The utility should provide proof of noticing within 10 days of rendering its approved notice.</w:t>
      </w:r>
      <w:r>
        <w:t xml:space="preserve"> </w:t>
      </w:r>
    </w:p>
    <w:p w:rsidR="00AF2909" w:rsidRDefault="00AF2909">
      <w:pPr>
        <w:pStyle w:val="BodyText"/>
      </w:pPr>
    </w:p>
    <w:p w:rsidR="00AF2909" w:rsidRDefault="00AF2909">
      <w:pPr>
        <w:pStyle w:val="IssueHeading"/>
        <w:rPr>
          <w:vanish/>
          <w:specVanish/>
        </w:rPr>
      </w:pPr>
      <w:r w:rsidRPr="004C3641">
        <w:rPr>
          <w:b w:val="0"/>
          <w:i w:val="0"/>
        </w:rPr>
        <w:br w:type="page"/>
      </w:r>
      <w:r w:rsidRPr="004C3641">
        <w:lastRenderedPageBreak/>
        <w:t xml:space="preserve">Issue </w:t>
      </w:r>
      <w:r w:rsidR="009019FF">
        <w:fldChar w:fldCharType="begin"/>
      </w:r>
      <w:r w:rsidR="009019FF">
        <w:instrText xml:space="preserve"> SEQ Issue \* MERGEFORMAT </w:instrText>
      </w:r>
      <w:r w:rsidR="009019FF">
        <w:fldChar w:fldCharType="separate"/>
      </w:r>
      <w:r w:rsidR="0014690B">
        <w:rPr>
          <w:noProof/>
        </w:rPr>
        <w:t>14</w:t>
      </w:r>
      <w:r w:rsidR="009019F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9" w:name="_Toc25305766"/>
      <w:r w:rsidR="0014690B">
        <w:rPr>
          <w:noProof/>
        </w:rPr>
        <w:instrText>14</w:instrText>
      </w:r>
      <w:r>
        <w:fldChar w:fldCharType="end"/>
      </w:r>
      <w:r>
        <w:tab/>
        <w:instrText>Rate Case Expense</w:instrText>
      </w:r>
      <w:r w:rsidR="00844B5A">
        <w:instrText xml:space="preserve"> </w:instrText>
      </w:r>
      <w:r>
        <w:instrText>(Ramos, Smith II)</w:instrText>
      </w:r>
      <w:bookmarkEnd w:id="29"/>
      <w:r>
        <w:instrText xml:space="preserve">" \l 1 </w:instrText>
      </w:r>
      <w:r>
        <w:fldChar w:fldCharType="end"/>
      </w:r>
      <w:r>
        <w:t> </w:t>
      </w:r>
    </w:p>
    <w:p w:rsidR="00AF2909" w:rsidRDefault="00AF2909">
      <w:pPr>
        <w:pStyle w:val="BodyText"/>
      </w:pPr>
      <w:r>
        <w:t> What is the appropriate amount by which rates should be reduced four years after the published effective date to reflect the removal of the amortized rate case expense?</w:t>
      </w:r>
    </w:p>
    <w:p w:rsidR="00AF2909" w:rsidRPr="004C3641" w:rsidRDefault="00AF2909">
      <w:pPr>
        <w:pStyle w:val="IssueSubsectionHeading"/>
        <w:rPr>
          <w:vanish/>
          <w:specVanish/>
        </w:rPr>
      </w:pPr>
      <w:r w:rsidRPr="004C3641">
        <w:t>Recommendation: </w:t>
      </w:r>
    </w:p>
    <w:p w:rsidR="00AF2909" w:rsidRDefault="00AF2909">
      <w:pPr>
        <w:pStyle w:val="BodyText"/>
      </w:pPr>
      <w:r>
        <w:t> </w:t>
      </w:r>
      <w:r w:rsidRPr="00C356E3">
        <w:t>The water rates should be reduced, as shown on Schedule No. 4, to remove rate case expense grossed-up for regulatory assessment fees and amortized over a four-year period. The decrease in rates should become effective immediately following the expiration of the four-year rate case expense recovery period, pursuant to Section 367.</w:t>
      </w:r>
      <w:r>
        <w:t>081(8)</w:t>
      </w:r>
      <w:r w:rsidRPr="00C356E3">
        <w:t xml:space="preserve">, F.S. Placid Lakes should be required to file revised tariffs and a proposed customer notice setting forth the lower rates and the reason for the reduction no later than one month prior to the actual date of the required rate reduction. If the </w:t>
      </w:r>
      <w:r w:rsidR="00CA7BD3">
        <w:t>u</w:t>
      </w:r>
      <w:r w:rsidRPr="00C356E3">
        <w:t>tility files this reduction in conjunction with a price index or pass-through rate adjustment, separate data should be filed for the price index and/or pass-through increase or decrease and the reduction in the rates due to the amortized rate case expense.</w:t>
      </w:r>
      <w:r>
        <w:t xml:space="preserve"> (Ramos, Smith II)</w:t>
      </w:r>
    </w:p>
    <w:p w:rsidR="00AF2909" w:rsidRPr="004C3641" w:rsidRDefault="00AF2909">
      <w:pPr>
        <w:pStyle w:val="IssueSubsectionHeading"/>
        <w:rPr>
          <w:vanish/>
          <w:specVanish/>
        </w:rPr>
      </w:pPr>
      <w:r w:rsidRPr="004C3641">
        <w:t>Staff Analysis: </w:t>
      </w:r>
    </w:p>
    <w:p w:rsidR="00AF2909" w:rsidRDefault="00AF2909" w:rsidP="00AF2909">
      <w:pPr>
        <w:pStyle w:val="BodyText"/>
      </w:pPr>
      <w:r>
        <w:t xml:space="preserve"> Section 367.081(8), F.S., requires that the rates be reduced immediately following the expiration of the four-year period by the amount of the rate case expense previously included in rates. The reduction will reflect the removal of revenue associated with the amortization of rate case expense, the associated return in </w:t>
      </w:r>
      <w:r w:rsidR="00A91803">
        <w:t>W</w:t>
      </w:r>
      <w:r>
        <w:t xml:space="preserve">orking </w:t>
      </w:r>
      <w:r w:rsidR="00A91803">
        <w:t>C</w:t>
      </w:r>
      <w:r>
        <w:t>apital, and the gross-up for regulatory assessment fees. The total reduction is $8,091. Using Placid Lakes’ current revenues, expenses, capital structure and customer base, the reduction in revenues will result in the rate decreases as shown on Schedule No. 4.</w:t>
      </w:r>
    </w:p>
    <w:p w:rsidR="00AF2909" w:rsidRDefault="00AF2909" w:rsidP="00AF2909">
      <w:pPr>
        <w:pStyle w:val="BodyText"/>
      </w:pPr>
      <w:r>
        <w:t>The utility should be required to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should be filed for the price index and/or pass-through increase or decrease and the reduction in the rates due to the amortized rate case expense.</w:t>
      </w:r>
    </w:p>
    <w:p w:rsidR="00AF2909" w:rsidRDefault="00AF2909">
      <w:pPr>
        <w:pStyle w:val="BodyText"/>
      </w:pPr>
    </w:p>
    <w:p w:rsidR="00AF2909" w:rsidRDefault="00AF2909">
      <w:pPr>
        <w:pStyle w:val="IssueHeading"/>
        <w:rPr>
          <w:vanish/>
          <w:specVanish/>
        </w:rPr>
      </w:pPr>
      <w:r w:rsidRPr="004C3641">
        <w:rPr>
          <w:b w:val="0"/>
          <w:i w:val="0"/>
        </w:rPr>
        <w:br w:type="page"/>
      </w:r>
      <w:r w:rsidRPr="004C3641">
        <w:lastRenderedPageBreak/>
        <w:t xml:space="preserve">Issue </w:t>
      </w:r>
      <w:r w:rsidR="009019FF">
        <w:fldChar w:fldCharType="begin"/>
      </w:r>
      <w:r w:rsidR="009019FF">
        <w:instrText xml:space="preserve"> SEQ Issue \* MERGEFORMAT</w:instrText>
      </w:r>
      <w:r w:rsidR="009019FF">
        <w:instrText xml:space="preserve"> </w:instrText>
      </w:r>
      <w:r w:rsidR="009019FF">
        <w:fldChar w:fldCharType="separate"/>
      </w:r>
      <w:r w:rsidR="0014690B">
        <w:rPr>
          <w:noProof/>
        </w:rPr>
        <w:t>15</w:t>
      </w:r>
      <w:r w:rsidR="009019F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0" w:name="_Toc25305767"/>
      <w:r w:rsidR="0014690B">
        <w:rPr>
          <w:noProof/>
        </w:rPr>
        <w:instrText>15</w:instrText>
      </w:r>
      <w:r>
        <w:fldChar w:fldCharType="end"/>
      </w:r>
      <w:r>
        <w:tab/>
        <w:instrText>Proof of Adjustments</w:instrText>
      </w:r>
      <w:r w:rsidR="00844B5A">
        <w:instrText xml:space="preserve"> </w:instrText>
      </w:r>
      <w:r>
        <w:instrText>(Smith II)</w:instrText>
      </w:r>
      <w:bookmarkEnd w:id="30"/>
      <w:r>
        <w:instrText xml:space="preserve">" \l 1 </w:instrText>
      </w:r>
      <w:r>
        <w:fldChar w:fldCharType="end"/>
      </w:r>
      <w:r>
        <w:t> </w:t>
      </w:r>
    </w:p>
    <w:p w:rsidR="00AF2909" w:rsidRDefault="00AF2909">
      <w:pPr>
        <w:pStyle w:val="BodyText"/>
      </w:pPr>
      <w:r>
        <w:t> Should the utility be required to notify the Commission, in writing, that it has adjusted its books in accordance with the Commission's decision?</w:t>
      </w:r>
    </w:p>
    <w:p w:rsidR="00AF2909" w:rsidRPr="004C3641" w:rsidRDefault="00AF2909">
      <w:pPr>
        <w:pStyle w:val="IssueSubsectionHeading"/>
        <w:rPr>
          <w:vanish/>
          <w:specVanish/>
        </w:rPr>
      </w:pPr>
      <w:r w:rsidRPr="004C3641">
        <w:t>Recommendation: </w:t>
      </w:r>
    </w:p>
    <w:p w:rsidR="00AF2909" w:rsidRDefault="00AF2909">
      <w:pPr>
        <w:pStyle w:val="BodyText"/>
      </w:pPr>
      <w:r>
        <w:t> </w:t>
      </w:r>
      <w:r w:rsidR="00BD2393" w:rsidRPr="00C356E3">
        <w:rPr>
          <w:i/>
        </w:rPr>
        <w:t> </w:t>
      </w:r>
      <w:r w:rsidR="00BD2393" w:rsidRPr="00C356E3">
        <w:t xml:space="preserve">Yes. Placid Lakes should be required to notify the Commission, in writing, that it has adjusted its books in accordance with the Commission’s decision. Placid Lakes should submit a letter within 90 days of the final order in this docket, confirming that the adjustments to all applicable </w:t>
      </w:r>
      <w:r w:rsidR="00AE2ADC">
        <w:t xml:space="preserve">National </w:t>
      </w:r>
      <w:r w:rsidR="00FE0150">
        <w:t>Association</w:t>
      </w:r>
      <w:r w:rsidR="00AE2ADC">
        <w:t xml:space="preserve"> of Regulatory Utility Commissioners (</w:t>
      </w:r>
      <w:r w:rsidR="00BD2393" w:rsidRPr="00C356E3">
        <w:t>NARUC</w:t>
      </w:r>
      <w:r w:rsidR="00AE2ADC">
        <w:t>) Uniform System of Accounts</w:t>
      </w:r>
      <w:r w:rsidR="00BD2393" w:rsidRPr="00C356E3">
        <w:t xml:space="preserve"> </w:t>
      </w:r>
      <w:r w:rsidR="00AE2ADC">
        <w:t>(</w:t>
      </w:r>
      <w:r w:rsidR="00BD2393" w:rsidRPr="00C356E3">
        <w:t>USOA</w:t>
      </w:r>
      <w:r w:rsidR="00AE2ADC">
        <w:t>)</w:t>
      </w:r>
      <w:r w:rsidR="00BD2393" w:rsidRPr="00C356E3">
        <w:t xml:space="preserve"> primary accounts have been made to the utility’s books and records. In the event the utility needs additional time to complete the adjustments, notice should be provided within seven days prior to the deadline. Upon providing good cause, staff should be given administrative authority to grant an extension of up to 60 days.</w:t>
      </w:r>
      <w:r>
        <w:t xml:space="preserve"> (Smith II)</w:t>
      </w:r>
    </w:p>
    <w:p w:rsidR="00AF2909" w:rsidRPr="004C3641" w:rsidRDefault="00AF2909">
      <w:pPr>
        <w:pStyle w:val="IssueSubsectionHeading"/>
        <w:rPr>
          <w:vanish/>
          <w:specVanish/>
        </w:rPr>
      </w:pPr>
      <w:r w:rsidRPr="004C3641">
        <w:t>Staff Analysis: </w:t>
      </w:r>
    </w:p>
    <w:p w:rsidR="00AF2909" w:rsidRDefault="00AF2909">
      <w:pPr>
        <w:pStyle w:val="BodyText"/>
      </w:pPr>
      <w:r>
        <w:t> </w:t>
      </w:r>
      <w:r w:rsidR="00BD2393" w:rsidRPr="00C356E3">
        <w:t>Placid Lakes should be required to notify the Commission, in writing, that it has adjusted its books in accordance with the Commission’s decision. Placid Lakes should submit a letter within 90 days of the final order in this docket, confirming that the adjustments to all the applicable NARUC USOA primary accounts have been made to the utility’s books and records. In the event the utility needs additional time to complete the adjustments, notice should be provided within seven days prior to the deadline. Upon providing good cause, staff should be given administrative authority to grant an extension of up to 60 days.</w:t>
      </w:r>
    </w:p>
    <w:p w:rsidR="00AF2909" w:rsidRDefault="00AF2909">
      <w:pPr>
        <w:pStyle w:val="IssueHeading"/>
        <w:rPr>
          <w:vanish/>
          <w:specVanish/>
        </w:rPr>
      </w:pPr>
      <w:r w:rsidRPr="004C3641">
        <w:rPr>
          <w:b w:val="0"/>
          <w:i w:val="0"/>
        </w:rPr>
        <w:br w:type="page"/>
      </w:r>
      <w:r w:rsidRPr="004C3641">
        <w:lastRenderedPageBreak/>
        <w:t xml:space="preserve">Issue </w:t>
      </w:r>
      <w:r w:rsidR="009019FF">
        <w:fldChar w:fldCharType="begin"/>
      </w:r>
      <w:r w:rsidR="009019FF">
        <w:instrText xml:space="preserve"> SEQ Issue \* MERGEFORMAT </w:instrText>
      </w:r>
      <w:r w:rsidR="009019FF">
        <w:fldChar w:fldCharType="separate"/>
      </w:r>
      <w:r w:rsidR="0014690B">
        <w:rPr>
          <w:noProof/>
        </w:rPr>
        <w:t>16</w:t>
      </w:r>
      <w:r w:rsidR="009019F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1" w:name="_Toc25305768"/>
      <w:r w:rsidR="0014690B">
        <w:rPr>
          <w:noProof/>
        </w:rPr>
        <w:instrText>16</w:instrText>
      </w:r>
      <w:r>
        <w:fldChar w:fldCharType="end"/>
      </w:r>
      <w:r>
        <w:tab/>
        <w:instrText>Docket Closure</w:instrText>
      </w:r>
      <w:r w:rsidR="00844B5A">
        <w:instrText xml:space="preserve"> </w:instrText>
      </w:r>
      <w:r>
        <w:instrText>(Simmons)</w:instrText>
      </w:r>
      <w:bookmarkEnd w:id="31"/>
      <w:r>
        <w:instrText xml:space="preserve">" \l 1 </w:instrText>
      </w:r>
      <w:r>
        <w:fldChar w:fldCharType="end"/>
      </w:r>
      <w:r>
        <w:t> </w:t>
      </w:r>
    </w:p>
    <w:p w:rsidR="00AF2909" w:rsidRDefault="00AF2909">
      <w:pPr>
        <w:pStyle w:val="BodyText"/>
      </w:pPr>
      <w:r>
        <w:t> Should this docket be closed?</w:t>
      </w:r>
    </w:p>
    <w:p w:rsidR="00AF2909" w:rsidRPr="004C3641" w:rsidRDefault="00AF2909">
      <w:pPr>
        <w:pStyle w:val="IssueSubsectionHeading"/>
        <w:rPr>
          <w:vanish/>
          <w:specVanish/>
        </w:rPr>
      </w:pPr>
      <w:r w:rsidRPr="004C3641">
        <w:t>Recommendation: </w:t>
      </w:r>
    </w:p>
    <w:p w:rsidR="00AF2909" w:rsidRDefault="00AF2909">
      <w:pPr>
        <w:pStyle w:val="BodyText"/>
      </w:pPr>
      <w:r>
        <w:t> </w:t>
      </w:r>
      <w:r w:rsidRPr="00AF2909">
        <w:t>No. 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utility and approved by staff</w:t>
      </w:r>
      <w:r w:rsidR="009171E4">
        <w:t xml:space="preserve">, and the utility has provided staff with proof that the </w:t>
      </w:r>
      <w:r w:rsidR="00FE0150">
        <w:t>adjustments</w:t>
      </w:r>
      <w:r w:rsidR="009171E4">
        <w:t xml:space="preserve"> for all applicable NARUC USOA primary accounts have been made.</w:t>
      </w:r>
      <w:r w:rsidRPr="00AF2909">
        <w:t xml:space="preserve"> Once these actions are complete, this docket should be closed administratively.</w:t>
      </w:r>
      <w:r>
        <w:t xml:space="preserve"> (Simmons)</w:t>
      </w:r>
    </w:p>
    <w:p w:rsidR="00AF2909" w:rsidRPr="004C3641" w:rsidRDefault="00AF2909">
      <w:pPr>
        <w:pStyle w:val="IssueSubsectionHeading"/>
        <w:rPr>
          <w:vanish/>
          <w:specVanish/>
        </w:rPr>
      </w:pPr>
      <w:r w:rsidRPr="004C3641">
        <w:t>Staff Analysis: </w:t>
      </w:r>
    </w:p>
    <w:p w:rsidR="00AF2909" w:rsidRDefault="00AF2909">
      <w:pPr>
        <w:pStyle w:val="BodyText"/>
      </w:pPr>
      <w:r>
        <w:t> </w:t>
      </w:r>
      <w:r w:rsidRPr="00AF2909">
        <w:t>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w:t>
      </w:r>
      <w:r w:rsidR="009171E4">
        <w:t xml:space="preserve">e utility and approved by staff, and the utility has provided staff with proof that the </w:t>
      </w:r>
      <w:r w:rsidR="00FE0150">
        <w:t>adjustments</w:t>
      </w:r>
      <w:r w:rsidR="009171E4">
        <w:t xml:space="preserve"> for all applicable NARUC USOA primary accounts have been made.</w:t>
      </w:r>
      <w:r w:rsidRPr="00AF2909">
        <w:t xml:space="preserve"> Once these actions are complete, this docket should be closed administratively.</w:t>
      </w:r>
    </w:p>
    <w:p w:rsidR="00AF2909" w:rsidRDefault="00AF2909" w:rsidP="00E275D8">
      <w:pPr>
        <w:pStyle w:val="BodyText"/>
        <w:sectPr w:rsidR="00AF2909" w:rsidSect="0068481F">
          <w:headerReference w:type="default" r:id="rId18"/>
          <w:headerReference w:type="first" r:id="rId19"/>
          <w:footerReference w:type="first" r:id="rId20"/>
          <w:pgSz w:w="12240" w:h="15840" w:code="1"/>
          <w:pgMar w:top="1584" w:right="1440" w:bottom="1440" w:left="1440" w:header="720" w:footer="720" w:gutter="0"/>
          <w:cols w:space="720"/>
          <w:formProt w:val="0"/>
          <w:docGrid w:linePitch="360"/>
        </w:sectPr>
      </w:pPr>
    </w:p>
    <w:p w:rsidR="00E06484" w:rsidRDefault="00BD2393" w:rsidP="00BD2393">
      <w:pPr>
        <w:pStyle w:val="BodyText"/>
        <w:jc w:val="center"/>
        <w:rPr>
          <w:noProof/>
        </w:rPr>
      </w:pPr>
      <w:r>
        <w:lastRenderedPageBreak/>
        <w:fldChar w:fldCharType="begin"/>
      </w:r>
      <w:r>
        <w:instrText xml:space="preserve"> TC "</w:instrText>
      </w:r>
      <w:bookmarkStart w:id="32" w:name="_Toc24969906"/>
      <w:bookmarkStart w:id="33" w:name="_Toc25305769"/>
      <w:r>
        <w:tab/>
        <w:instrText>Schedule No. 1-A</w:instrText>
      </w:r>
      <w:bookmarkEnd w:id="32"/>
      <w:r>
        <w:instrText xml:space="preserve"> </w:instrText>
      </w:r>
      <w:r w:rsidR="00527C05">
        <w:instrText>Water Rate Base</w:instrText>
      </w:r>
      <w:bookmarkEnd w:id="33"/>
      <w:r>
        <w:instrText xml:space="preserve">" \l 1 </w:instrText>
      </w:r>
      <w:r>
        <w:fldChar w:fldCharType="end"/>
      </w:r>
    </w:p>
    <w:p w:rsidR="00AF2909" w:rsidRDefault="00AF2909" w:rsidP="00E275D8">
      <w:pPr>
        <w:pStyle w:val="BodyText"/>
        <w:sectPr w:rsidR="00AF2909" w:rsidSect="0068481F">
          <w:headerReference w:type="default" r:id="rId21"/>
          <w:pgSz w:w="12240" w:h="15840" w:code="1"/>
          <w:pgMar w:top="1584" w:right="1440" w:bottom="1440" w:left="1440" w:header="720" w:footer="720" w:gutter="0"/>
          <w:cols w:space="720"/>
          <w:formProt w:val="0"/>
          <w:docGrid w:linePitch="360"/>
        </w:sectPr>
      </w:pPr>
      <w:r w:rsidRPr="00C356E3">
        <w:rPr>
          <w:noProof/>
        </w:rPr>
        <w:drawing>
          <wp:inline distT="0" distB="0" distL="0" distR="0" wp14:anchorId="30DB1619" wp14:editId="5FEB8862">
            <wp:extent cx="5943600" cy="4798189"/>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4798189"/>
                    </a:xfrm>
                    <a:prstGeom prst="rect">
                      <a:avLst/>
                    </a:prstGeom>
                    <a:noFill/>
                    <a:ln>
                      <a:noFill/>
                    </a:ln>
                  </pic:spPr>
                </pic:pic>
              </a:graphicData>
            </a:graphic>
          </wp:inline>
        </w:drawing>
      </w:r>
    </w:p>
    <w:p w:rsidR="00BD2393" w:rsidRDefault="00BD2393" w:rsidP="00BD2393">
      <w:pPr>
        <w:pStyle w:val="BodyText"/>
        <w:jc w:val="center"/>
        <w:rPr>
          <w:noProof/>
        </w:rPr>
      </w:pPr>
      <w:r>
        <w:lastRenderedPageBreak/>
        <w:fldChar w:fldCharType="begin"/>
      </w:r>
      <w:r>
        <w:instrText xml:space="preserve"> TC "</w:instrText>
      </w:r>
      <w:bookmarkStart w:id="34" w:name="_Toc24969907"/>
      <w:bookmarkStart w:id="35" w:name="_Toc25305770"/>
      <w:r>
        <w:tab/>
        <w:instrText>Schedule No. 1-B</w:instrText>
      </w:r>
      <w:bookmarkEnd w:id="34"/>
      <w:r>
        <w:instrText xml:space="preserve"> </w:instrText>
      </w:r>
      <w:r w:rsidR="00527C05">
        <w:instrText>Adjustments to Rate Base</w:instrText>
      </w:r>
      <w:bookmarkEnd w:id="35"/>
      <w:r>
        <w:instrText xml:space="preserve">" \l 1 </w:instrText>
      </w:r>
      <w:r>
        <w:fldChar w:fldCharType="end"/>
      </w:r>
    </w:p>
    <w:tbl>
      <w:tblPr>
        <w:tblW w:w="9463" w:type="dxa"/>
        <w:jc w:val="center"/>
        <w:tblInd w:w="103" w:type="dxa"/>
        <w:tblLook w:val="04A0" w:firstRow="1" w:lastRow="0" w:firstColumn="1" w:lastColumn="0" w:noHBand="0" w:noVBand="1"/>
      </w:tblPr>
      <w:tblGrid>
        <w:gridCol w:w="484"/>
        <w:gridCol w:w="5778"/>
        <w:gridCol w:w="2881"/>
        <w:gridCol w:w="320"/>
      </w:tblGrid>
      <w:tr w:rsidR="00BD2393" w:rsidRPr="00C356E3" w:rsidTr="004752E6">
        <w:trPr>
          <w:trHeight w:val="343"/>
          <w:jc w:val="center"/>
        </w:trPr>
        <w:tc>
          <w:tcPr>
            <w:tcW w:w="484" w:type="dxa"/>
            <w:tcBorders>
              <w:top w:val="single" w:sz="4" w:space="0" w:color="auto"/>
              <w:left w:val="single" w:sz="4" w:space="0" w:color="auto"/>
              <w:bottom w:val="nil"/>
              <w:right w:val="nil"/>
            </w:tcBorders>
            <w:shd w:val="clear" w:color="000000" w:fill="FFFFFF"/>
            <w:noWrap/>
            <w:vAlign w:val="bottom"/>
            <w:hideMark/>
          </w:tcPr>
          <w:p w:rsidR="00BD2393" w:rsidRPr="00C356E3" w:rsidRDefault="00BD2393" w:rsidP="008148DF">
            <w:pPr>
              <w:rPr>
                <w:sz w:val="20"/>
                <w:szCs w:val="20"/>
              </w:rPr>
            </w:pPr>
          </w:p>
        </w:tc>
        <w:tc>
          <w:tcPr>
            <w:tcW w:w="5778" w:type="dxa"/>
            <w:tcBorders>
              <w:top w:val="single" w:sz="4" w:space="0" w:color="auto"/>
              <w:left w:val="nil"/>
              <w:bottom w:val="nil"/>
              <w:right w:val="nil"/>
            </w:tcBorders>
            <w:shd w:val="clear" w:color="000000" w:fill="FFFFFF"/>
            <w:noWrap/>
            <w:vAlign w:val="bottom"/>
            <w:hideMark/>
          </w:tcPr>
          <w:p w:rsidR="00BD2393" w:rsidRPr="00C356E3" w:rsidRDefault="00BD2393" w:rsidP="008148DF">
            <w:pPr>
              <w:rPr>
                <w:b/>
                <w:bCs/>
                <w:sz w:val="22"/>
                <w:szCs w:val="20"/>
              </w:rPr>
            </w:pPr>
            <w:r w:rsidRPr="00C356E3">
              <w:rPr>
                <w:b/>
                <w:bCs/>
                <w:sz w:val="22"/>
                <w:szCs w:val="20"/>
              </w:rPr>
              <w:t>Placid Lakes Utilities, Inc.</w:t>
            </w:r>
          </w:p>
        </w:tc>
        <w:tc>
          <w:tcPr>
            <w:tcW w:w="2881" w:type="dxa"/>
            <w:tcBorders>
              <w:top w:val="single" w:sz="4" w:space="0" w:color="auto"/>
              <w:left w:val="nil"/>
              <w:bottom w:val="nil"/>
              <w:right w:val="nil"/>
            </w:tcBorders>
            <w:shd w:val="clear" w:color="auto" w:fill="auto"/>
            <w:noWrap/>
            <w:vAlign w:val="bottom"/>
            <w:hideMark/>
          </w:tcPr>
          <w:p w:rsidR="00BD2393" w:rsidRPr="00C356E3" w:rsidRDefault="00BD2393" w:rsidP="008148DF">
            <w:pPr>
              <w:jc w:val="right"/>
              <w:rPr>
                <w:b/>
                <w:bCs/>
                <w:sz w:val="22"/>
                <w:szCs w:val="20"/>
              </w:rPr>
            </w:pPr>
            <w:r w:rsidRPr="00C356E3">
              <w:rPr>
                <w:b/>
                <w:bCs/>
                <w:sz w:val="22"/>
                <w:szCs w:val="20"/>
              </w:rPr>
              <w:t>Schedule No. 1-B</w:t>
            </w:r>
          </w:p>
        </w:tc>
        <w:tc>
          <w:tcPr>
            <w:tcW w:w="320" w:type="dxa"/>
            <w:tcBorders>
              <w:top w:val="single" w:sz="4" w:space="0" w:color="auto"/>
              <w:left w:val="nil"/>
              <w:bottom w:val="nil"/>
              <w:right w:val="single" w:sz="4" w:space="0" w:color="auto"/>
            </w:tcBorders>
            <w:shd w:val="clear" w:color="auto" w:fill="auto"/>
            <w:noWrap/>
            <w:vAlign w:val="bottom"/>
            <w:hideMark/>
          </w:tcPr>
          <w:p w:rsidR="00BD2393" w:rsidRPr="00C356E3" w:rsidRDefault="00BD2393" w:rsidP="008148DF">
            <w:pPr>
              <w:rPr>
                <w:b/>
                <w:bCs/>
                <w:sz w:val="20"/>
                <w:szCs w:val="20"/>
              </w:rPr>
            </w:pPr>
            <w:r w:rsidRPr="00C356E3">
              <w:rPr>
                <w:b/>
                <w:bCs/>
                <w:sz w:val="20"/>
                <w:szCs w:val="20"/>
              </w:rPr>
              <w:t> </w:t>
            </w:r>
          </w:p>
        </w:tc>
      </w:tr>
      <w:tr w:rsidR="00BD2393" w:rsidRPr="00C356E3" w:rsidTr="004752E6">
        <w:trPr>
          <w:trHeight w:val="343"/>
          <w:jc w:val="center"/>
        </w:trPr>
        <w:tc>
          <w:tcPr>
            <w:tcW w:w="484" w:type="dxa"/>
            <w:tcBorders>
              <w:top w:val="nil"/>
              <w:left w:val="single" w:sz="4" w:space="0" w:color="auto"/>
              <w:bottom w:val="nil"/>
              <w:right w:val="nil"/>
            </w:tcBorders>
            <w:shd w:val="clear" w:color="000000" w:fill="FFFFFF"/>
            <w:noWrap/>
            <w:vAlign w:val="bottom"/>
            <w:hideMark/>
          </w:tcPr>
          <w:p w:rsidR="00BD2393" w:rsidRPr="00C356E3" w:rsidRDefault="00BD2393" w:rsidP="008148DF">
            <w:pPr>
              <w:rPr>
                <w:sz w:val="20"/>
                <w:szCs w:val="20"/>
              </w:rPr>
            </w:pPr>
            <w:r w:rsidRPr="00C356E3">
              <w:rPr>
                <w:sz w:val="20"/>
                <w:szCs w:val="20"/>
              </w:rPr>
              <w:t> </w:t>
            </w:r>
          </w:p>
        </w:tc>
        <w:tc>
          <w:tcPr>
            <w:tcW w:w="5778" w:type="dxa"/>
            <w:tcBorders>
              <w:top w:val="nil"/>
              <w:left w:val="nil"/>
              <w:bottom w:val="nil"/>
              <w:right w:val="nil"/>
            </w:tcBorders>
            <w:shd w:val="clear" w:color="000000" w:fill="FFFFFF"/>
            <w:noWrap/>
            <w:vAlign w:val="bottom"/>
            <w:hideMark/>
          </w:tcPr>
          <w:p w:rsidR="00BD2393" w:rsidRPr="00C356E3" w:rsidRDefault="00BD2393" w:rsidP="008148DF">
            <w:pPr>
              <w:rPr>
                <w:b/>
                <w:bCs/>
                <w:sz w:val="22"/>
                <w:szCs w:val="20"/>
              </w:rPr>
            </w:pPr>
            <w:r w:rsidRPr="00C356E3">
              <w:rPr>
                <w:b/>
                <w:bCs/>
                <w:sz w:val="22"/>
                <w:szCs w:val="20"/>
              </w:rPr>
              <w:t>Adjustments to Rate Base</w:t>
            </w:r>
          </w:p>
        </w:tc>
        <w:tc>
          <w:tcPr>
            <w:tcW w:w="2881" w:type="dxa"/>
            <w:tcBorders>
              <w:top w:val="nil"/>
              <w:left w:val="nil"/>
              <w:bottom w:val="nil"/>
              <w:right w:val="nil"/>
            </w:tcBorders>
            <w:shd w:val="clear" w:color="000000" w:fill="FFFFFF"/>
            <w:noWrap/>
            <w:vAlign w:val="bottom"/>
            <w:hideMark/>
          </w:tcPr>
          <w:p w:rsidR="00BD2393" w:rsidRPr="00C356E3" w:rsidRDefault="004752E6" w:rsidP="004752E6">
            <w:pPr>
              <w:jc w:val="right"/>
              <w:rPr>
                <w:b/>
                <w:bCs/>
                <w:sz w:val="22"/>
                <w:szCs w:val="20"/>
              </w:rPr>
            </w:pPr>
            <w:r w:rsidRPr="004752E6">
              <w:rPr>
                <w:b/>
                <w:bCs/>
                <w:sz w:val="22"/>
                <w:szCs w:val="20"/>
              </w:rPr>
              <w:t>Docket No. 20190031-WU</w:t>
            </w:r>
          </w:p>
        </w:tc>
        <w:tc>
          <w:tcPr>
            <w:tcW w:w="320" w:type="dxa"/>
            <w:tcBorders>
              <w:top w:val="nil"/>
              <w:left w:val="nil"/>
              <w:bottom w:val="nil"/>
              <w:right w:val="single" w:sz="4" w:space="0" w:color="auto"/>
            </w:tcBorders>
            <w:shd w:val="clear" w:color="000000" w:fill="FFFFFF"/>
            <w:noWrap/>
            <w:vAlign w:val="bottom"/>
            <w:hideMark/>
          </w:tcPr>
          <w:p w:rsidR="00BD2393" w:rsidRPr="00C356E3" w:rsidRDefault="00BD2393" w:rsidP="008148DF">
            <w:pPr>
              <w:rPr>
                <w:sz w:val="20"/>
                <w:szCs w:val="20"/>
              </w:rPr>
            </w:pPr>
            <w:r w:rsidRPr="00C356E3">
              <w:rPr>
                <w:sz w:val="20"/>
                <w:szCs w:val="20"/>
              </w:rPr>
              <w:t> </w:t>
            </w:r>
          </w:p>
        </w:tc>
      </w:tr>
      <w:tr w:rsidR="00BD2393" w:rsidRPr="00C356E3" w:rsidTr="004752E6">
        <w:trPr>
          <w:trHeight w:val="343"/>
          <w:jc w:val="center"/>
        </w:trPr>
        <w:tc>
          <w:tcPr>
            <w:tcW w:w="484" w:type="dxa"/>
            <w:tcBorders>
              <w:top w:val="nil"/>
              <w:left w:val="single" w:sz="4" w:space="0" w:color="auto"/>
              <w:bottom w:val="single" w:sz="4" w:space="0" w:color="auto"/>
              <w:right w:val="nil"/>
            </w:tcBorders>
            <w:shd w:val="clear" w:color="000000" w:fill="FFFFFF"/>
            <w:noWrap/>
            <w:vAlign w:val="bottom"/>
            <w:hideMark/>
          </w:tcPr>
          <w:p w:rsidR="00BD2393" w:rsidRPr="00C356E3" w:rsidRDefault="00BD2393" w:rsidP="008148DF">
            <w:pPr>
              <w:rPr>
                <w:sz w:val="20"/>
                <w:szCs w:val="20"/>
              </w:rPr>
            </w:pPr>
            <w:r w:rsidRPr="00C356E3">
              <w:rPr>
                <w:sz w:val="20"/>
                <w:szCs w:val="20"/>
              </w:rPr>
              <w:t> </w:t>
            </w:r>
          </w:p>
        </w:tc>
        <w:tc>
          <w:tcPr>
            <w:tcW w:w="5778" w:type="dxa"/>
            <w:tcBorders>
              <w:top w:val="nil"/>
              <w:left w:val="nil"/>
              <w:bottom w:val="single" w:sz="4" w:space="0" w:color="auto"/>
              <w:right w:val="nil"/>
            </w:tcBorders>
            <w:shd w:val="clear" w:color="000000" w:fill="FFFFFF"/>
            <w:noWrap/>
            <w:vAlign w:val="bottom"/>
            <w:hideMark/>
          </w:tcPr>
          <w:p w:rsidR="00BD2393" w:rsidRPr="00C356E3" w:rsidRDefault="00BD2393" w:rsidP="008148DF">
            <w:pPr>
              <w:rPr>
                <w:b/>
                <w:bCs/>
                <w:sz w:val="22"/>
                <w:szCs w:val="20"/>
              </w:rPr>
            </w:pPr>
            <w:r w:rsidRPr="00C356E3">
              <w:rPr>
                <w:b/>
                <w:bCs/>
                <w:sz w:val="22"/>
                <w:szCs w:val="20"/>
              </w:rPr>
              <w:t>Test Year Ended 12/31/18</w:t>
            </w:r>
          </w:p>
        </w:tc>
        <w:tc>
          <w:tcPr>
            <w:tcW w:w="2881" w:type="dxa"/>
            <w:tcBorders>
              <w:top w:val="nil"/>
              <w:left w:val="nil"/>
              <w:bottom w:val="single" w:sz="4" w:space="0" w:color="auto"/>
              <w:right w:val="nil"/>
            </w:tcBorders>
            <w:shd w:val="clear" w:color="000000" w:fill="FFFFFF"/>
            <w:noWrap/>
            <w:vAlign w:val="bottom"/>
            <w:hideMark/>
          </w:tcPr>
          <w:p w:rsidR="00BD2393" w:rsidRPr="00C356E3" w:rsidRDefault="00BD2393" w:rsidP="008148DF">
            <w:pPr>
              <w:rPr>
                <w:b/>
                <w:bCs/>
                <w:sz w:val="22"/>
                <w:szCs w:val="20"/>
              </w:rPr>
            </w:pPr>
            <w:r w:rsidRPr="00C356E3">
              <w:rPr>
                <w:b/>
                <w:bCs/>
                <w:sz w:val="22"/>
                <w:szCs w:val="20"/>
              </w:rPr>
              <w:t> </w:t>
            </w:r>
          </w:p>
        </w:tc>
        <w:tc>
          <w:tcPr>
            <w:tcW w:w="320" w:type="dxa"/>
            <w:tcBorders>
              <w:top w:val="nil"/>
              <w:left w:val="nil"/>
              <w:bottom w:val="single" w:sz="4" w:space="0" w:color="auto"/>
              <w:right w:val="single" w:sz="4" w:space="0" w:color="auto"/>
            </w:tcBorders>
            <w:shd w:val="clear" w:color="000000" w:fill="FFFFFF"/>
            <w:noWrap/>
            <w:vAlign w:val="bottom"/>
            <w:hideMark/>
          </w:tcPr>
          <w:p w:rsidR="00BD2393" w:rsidRPr="00C356E3" w:rsidRDefault="00BD2393" w:rsidP="008148DF">
            <w:pPr>
              <w:rPr>
                <w:sz w:val="20"/>
                <w:szCs w:val="20"/>
              </w:rPr>
            </w:pPr>
            <w:r w:rsidRPr="00C356E3">
              <w:rPr>
                <w:sz w:val="20"/>
                <w:szCs w:val="20"/>
              </w:rPr>
              <w:t> </w:t>
            </w:r>
          </w:p>
        </w:tc>
      </w:tr>
      <w:tr w:rsidR="00BD2393" w:rsidRPr="00C356E3" w:rsidTr="004752E6">
        <w:trPr>
          <w:trHeight w:val="343"/>
          <w:jc w:val="center"/>
        </w:trPr>
        <w:tc>
          <w:tcPr>
            <w:tcW w:w="484" w:type="dxa"/>
            <w:tcBorders>
              <w:top w:val="nil"/>
              <w:left w:val="single" w:sz="4" w:space="0" w:color="auto"/>
              <w:bottom w:val="nil"/>
              <w:right w:val="nil"/>
            </w:tcBorders>
            <w:shd w:val="pct12" w:color="000000" w:fill="FFFFFF"/>
            <w:noWrap/>
            <w:vAlign w:val="bottom"/>
            <w:hideMark/>
          </w:tcPr>
          <w:p w:rsidR="00BD2393" w:rsidRPr="00C356E3" w:rsidRDefault="00BD2393" w:rsidP="008148DF">
            <w:pPr>
              <w:rPr>
                <w:sz w:val="20"/>
                <w:szCs w:val="20"/>
              </w:rPr>
            </w:pPr>
            <w:r w:rsidRPr="00C356E3">
              <w:rPr>
                <w:sz w:val="20"/>
                <w:szCs w:val="20"/>
              </w:rPr>
              <w:t> </w:t>
            </w:r>
          </w:p>
        </w:tc>
        <w:tc>
          <w:tcPr>
            <w:tcW w:w="5778" w:type="dxa"/>
            <w:tcBorders>
              <w:top w:val="nil"/>
              <w:left w:val="nil"/>
              <w:bottom w:val="nil"/>
              <w:right w:val="nil"/>
            </w:tcBorders>
            <w:shd w:val="pct12" w:color="000000" w:fill="FFFFFF"/>
            <w:noWrap/>
            <w:vAlign w:val="bottom"/>
            <w:hideMark/>
          </w:tcPr>
          <w:p w:rsidR="00BD2393" w:rsidRPr="00C356E3" w:rsidRDefault="00BD2393" w:rsidP="008148DF">
            <w:pPr>
              <w:rPr>
                <w:sz w:val="22"/>
                <w:szCs w:val="20"/>
              </w:rPr>
            </w:pPr>
            <w:r w:rsidRPr="00C356E3">
              <w:rPr>
                <w:sz w:val="22"/>
                <w:szCs w:val="20"/>
              </w:rPr>
              <w:t> </w:t>
            </w:r>
          </w:p>
        </w:tc>
        <w:tc>
          <w:tcPr>
            <w:tcW w:w="2881" w:type="dxa"/>
            <w:tcBorders>
              <w:top w:val="nil"/>
              <w:left w:val="nil"/>
              <w:bottom w:val="nil"/>
              <w:right w:val="nil"/>
            </w:tcBorders>
            <w:shd w:val="pct12" w:color="000000" w:fill="FFFFFF"/>
            <w:noWrap/>
            <w:vAlign w:val="bottom"/>
            <w:hideMark/>
          </w:tcPr>
          <w:p w:rsidR="00BD2393" w:rsidRPr="00C356E3" w:rsidRDefault="00BD2393" w:rsidP="008148DF">
            <w:pPr>
              <w:rPr>
                <w:sz w:val="22"/>
                <w:szCs w:val="20"/>
              </w:rPr>
            </w:pPr>
            <w:r w:rsidRPr="00C356E3">
              <w:rPr>
                <w:sz w:val="22"/>
                <w:szCs w:val="20"/>
              </w:rPr>
              <w:t> </w:t>
            </w:r>
          </w:p>
        </w:tc>
        <w:tc>
          <w:tcPr>
            <w:tcW w:w="320" w:type="dxa"/>
            <w:tcBorders>
              <w:top w:val="nil"/>
              <w:left w:val="nil"/>
              <w:bottom w:val="nil"/>
              <w:right w:val="single" w:sz="4" w:space="0" w:color="auto"/>
            </w:tcBorders>
            <w:shd w:val="pct12" w:color="000000" w:fill="FFFFFF"/>
            <w:noWrap/>
            <w:vAlign w:val="bottom"/>
            <w:hideMark/>
          </w:tcPr>
          <w:p w:rsidR="00BD2393" w:rsidRPr="00C356E3" w:rsidRDefault="00BD2393" w:rsidP="008148DF">
            <w:pPr>
              <w:rPr>
                <w:sz w:val="20"/>
                <w:szCs w:val="20"/>
              </w:rPr>
            </w:pPr>
            <w:r w:rsidRPr="00C356E3">
              <w:rPr>
                <w:sz w:val="20"/>
                <w:szCs w:val="20"/>
              </w:rPr>
              <w:t> </w:t>
            </w:r>
          </w:p>
        </w:tc>
      </w:tr>
      <w:tr w:rsidR="00BD2393" w:rsidRPr="00C356E3" w:rsidTr="004752E6">
        <w:trPr>
          <w:trHeight w:val="343"/>
          <w:jc w:val="center"/>
        </w:trPr>
        <w:tc>
          <w:tcPr>
            <w:tcW w:w="484" w:type="dxa"/>
            <w:tcBorders>
              <w:top w:val="nil"/>
              <w:left w:val="single" w:sz="4" w:space="0" w:color="auto"/>
              <w:bottom w:val="nil"/>
              <w:right w:val="nil"/>
            </w:tcBorders>
            <w:shd w:val="pct12" w:color="000000" w:fill="FFFFFF"/>
            <w:noWrap/>
            <w:vAlign w:val="bottom"/>
            <w:hideMark/>
          </w:tcPr>
          <w:p w:rsidR="00BD2393" w:rsidRPr="00C356E3" w:rsidRDefault="00BD2393" w:rsidP="008148DF">
            <w:pPr>
              <w:rPr>
                <w:sz w:val="20"/>
                <w:szCs w:val="20"/>
              </w:rPr>
            </w:pPr>
            <w:r w:rsidRPr="00C356E3">
              <w:rPr>
                <w:sz w:val="20"/>
                <w:szCs w:val="20"/>
              </w:rPr>
              <w:t> </w:t>
            </w:r>
          </w:p>
        </w:tc>
        <w:tc>
          <w:tcPr>
            <w:tcW w:w="5778" w:type="dxa"/>
            <w:tcBorders>
              <w:top w:val="nil"/>
              <w:left w:val="nil"/>
              <w:bottom w:val="nil"/>
              <w:right w:val="nil"/>
            </w:tcBorders>
            <w:shd w:val="pct12" w:color="000000" w:fill="FFFFFF"/>
            <w:noWrap/>
            <w:vAlign w:val="bottom"/>
            <w:hideMark/>
          </w:tcPr>
          <w:p w:rsidR="00BD2393" w:rsidRPr="00C356E3" w:rsidRDefault="00BD2393" w:rsidP="008148DF">
            <w:pPr>
              <w:rPr>
                <w:b/>
                <w:bCs/>
                <w:sz w:val="22"/>
                <w:szCs w:val="20"/>
              </w:rPr>
            </w:pPr>
            <w:r w:rsidRPr="00C356E3">
              <w:rPr>
                <w:b/>
                <w:bCs/>
                <w:sz w:val="22"/>
                <w:szCs w:val="20"/>
              </w:rPr>
              <w:t>Explanation</w:t>
            </w:r>
          </w:p>
        </w:tc>
        <w:tc>
          <w:tcPr>
            <w:tcW w:w="2881" w:type="dxa"/>
            <w:tcBorders>
              <w:top w:val="nil"/>
              <w:left w:val="nil"/>
              <w:bottom w:val="nil"/>
              <w:right w:val="nil"/>
            </w:tcBorders>
            <w:shd w:val="pct12" w:color="000000" w:fill="FFFFFF"/>
            <w:noWrap/>
            <w:vAlign w:val="bottom"/>
            <w:hideMark/>
          </w:tcPr>
          <w:p w:rsidR="00BD2393" w:rsidRPr="00C356E3" w:rsidRDefault="00BD2393" w:rsidP="008148DF">
            <w:pPr>
              <w:jc w:val="center"/>
              <w:rPr>
                <w:b/>
                <w:bCs/>
                <w:sz w:val="22"/>
                <w:szCs w:val="20"/>
              </w:rPr>
            </w:pPr>
            <w:r w:rsidRPr="00C356E3">
              <w:rPr>
                <w:b/>
                <w:bCs/>
                <w:sz w:val="22"/>
                <w:szCs w:val="20"/>
              </w:rPr>
              <w:t>Water</w:t>
            </w:r>
          </w:p>
        </w:tc>
        <w:tc>
          <w:tcPr>
            <w:tcW w:w="320" w:type="dxa"/>
            <w:tcBorders>
              <w:top w:val="nil"/>
              <w:left w:val="nil"/>
              <w:bottom w:val="nil"/>
              <w:right w:val="single" w:sz="4" w:space="0" w:color="auto"/>
            </w:tcBorders>
            <w:shd w:val="pct12" w:color="000000" w:fill="FFFFFF"/>
            <w:noWrap/>
            <w:vAlign w:val="bottom"/>
            <w:hideMark/>
          </w:tcPr>
          <w:p w:rsidR="00BD2393" w:rsidRPr="00C356E3" w:rsidRDefault="00BD2393" w:rsidP="008148DF">
            <w:pPr>
              <w:jc w:val="center"/>
              <w:rPr>
                <w:sz w:val="20"/>
                <w:szCs w:val="20"/>
              </w:rPr>
            </w:pPr>
            <w:r w:rsidRPr="00C356E3">
              <w:rPr>
                <w:sz w:val="20"/>
                <w:szCs w:val="20"/>
              </w:rPr>
              <w:t> </w:t>
            </w:r>
          </w:p>
        </w:tc>
      </w:tr>
      <w:tr w:rsidR="00BD2393" w:rsidRPr="00C356E3" w:rsidTr="004752E6">
        <w:trPr>
          <w:trHeight w:val="343"/>
          <w:jc w:val="center"/>
        </w:trPr>
        <w:tc>
          <w:tcPr>
            <w:tcW w:w="484" w:type="dxa"/>
            <w:tcBorders>
              <w:top w:val="nil"/>
              <w:left w:val="single" w:sz="4" w:space="0" w:color="auto"/>
              <w:bottom w:val="nil"/>
              <w:right w:val="nil"/>
            </w:tcBorders>
            <w:shd w:val="pct12" w:color="000000" w:fill="FFFFFF"/>
            <w:noWrap/>
            <w:vAlign w:val="bottom"/>
            <w:hideMark/>
          </w:tcPr>
          <w:p w:rsidR="00BD2393" w:rsidRPr="00C356E3" w:rsidRDefault="00BD2393" w:rsidP="008148DF">
            <w:pPr>
              <w:rPr>
                <w:sz w:val="20"/>
                <w:szCs w:val="20"/>
              </w:rPr>
            </w:pPr>
            <w:r w:rsidRPr="00C356E3">
              <w:rPr>
                <w:sz w:val="20"/>
                <w:szCs w:val="20"/>
              </w:rPr>
              <w:t> </w:t>
            </w:r>
          </w:p>
        </w:tc>
        <w:tc>
          <w:tcPr>
            <w:tcW w:w="5778" w:type="dxa"/>
            <w:tcBorders>
              <w:top w:val="nil"/>
              <w:left w:val="nil"/>
              <w:bottom w:val="nil"/>
              <w:right w:val="nil"/>
            </w:tcBorders>
            <w:shd w:val="pct12" w:color="000000" w:fill="FFFFFF"/>
            <w:noWrap/>
            <w:vAlign w:val="bottom"/>
            <w:hideMark/>
          </w:tcPr>
          <w:p w:rsidR="00BD2393" w:rsidRPr="00C356E3" w:rsidRDefault="00BD2393" w:rsidP="008148DF">
            <w:pPr>
              <w:rPr>
                <w:sz w:val="22"/>
                <w:szCs w:val="20"/>
              </w:rPr>
            </w:pPr>
            <w:r w:rsidRPr="00C356E3">
              <w:rPr>
                <w:sz w:val="22"/>
                <w:szCs w:val="20"/>
              </w:rPr>
              <w:t> </w:t>
            </w:r>
          </w:p>
        </w:tc>
        <w:tc>
          <w:tcPr>
            <w:tcW w:w="2881" w:type="dxa"/>
            <w:tcBorders>
              <w:top w:val="nil"/>
              <w:left w:val="nil"/>
              <w:bottom w:val="nil"/>
              <w:right w:val="nil"/>
            </w:tcBorders>
            <w:shd w:val="pct12" w:color="000000" w:fill="FFFFFF"/>
            <w:noWrap/>
            <w:vAlign w:val="bottom"/>
            <w:hideMark/>
          </w:tcPr>
          <w:p w:rsidR="00BD2393" w:rsidRPr="00C356E3" w:rsidRDefault="00BD2393" w:rsidP="008148DF">
            <w:pPr>
              <w:rPr>
                <w:sz w:val="22"/>
                <w:szCs w:val="20"/>
              </w:rPr>
            </w:pPr>
            <w:r w:rsidRPr="00C356E3">
              <w:rPr>
                <w:sz w:val="22"/>
                <w:szCs w:val="20"/>
              </w:rPr>
              <w:t> </w:t>
            </w:r>
          </w:p>
        </w:tc>
        <w:tc>
          <w:tcPr>
            <w:tcW w:w="320" w:type="dxa"/>
            <w:tcBorders>
              <w:top w:val="nil"/>
              <w:left w:val="nil"/>
              <w:bottom w:val="nil"/>
              <w:right w:val="single" w:sz="4" w:space="0" w:color="auto"/>
            </w:tcBorders>
            <w:shd w:val="pct12" w:color="000000" w:fill="FFFFFF"/>
            <w:noWrap/>
            <w:vAlign w:val="bottom"/>
            <w:hideMark/>
          </w:tcPr>
          <w:p w:rsidR="00BD2393" w:rsidRPr="00C356E3" w:rsidRDefault="00BD2393" w:rsidP="008148DF">
            <w:pPr>
              <w:rPr>
                <w:sz w:val="20"/>
                <w:szCs w:val="20"/>
              </w:rPr>
            </w:pPr>
            <w:r w:rsidRPr="00C356E3">
              <w:rPr>
                <w:sz w:val="20"/>
                <w:szCs w:val="20"/>
              </w:rPr>
              <w:t> </w:t>
            </w:r>
          </w:p>
        </w:tc>
      </w:tr>
      <w:tr w:rsidR="00BD2393" w:rsidRPr="00C356E3" w:rsidTr="004752E6">
        <w:trPr>
          <w:trHeight w:val="343"/>
          <w:jc w:val="center"/>
        </w:trPr>
        <w:tc>
          <w:tcPr>
            <w:tcW w:w="484" w:type="dxa"/>
            <w:tcBorders>
              <w:top w:val="single" w:sz="4" w:space="0" w:color="000000"/>
              <w:left w:val="single" w:sz="4" w:space="0" w:color="auto"/>
              <w:bottom w:val="nil"/>
              <w:right w:val="nil"/>
            </w:tcBorders>
            <w:shd w:val="clear" w:color="000000" w:fill="FFFFFF"/>
            <w:noWrap/>
            <w:vAlign w:val="bottom"/>
            <w:hideMark/>
          </w:tcPr>
          <w:p w:rsidR="00BD2393" w:rsidRPr="00C356E3" w:rsidRDefault="00BD2393" w:rsidP="008148DF">
            <w:pPr>
              <w:jc w:val="center"/>
              <w:rPr>
                <w:sz w:val="20"/>
                <w:szCs w:val="20"/>
              </w:rPr>
            </w:pPr>
            <w:r w:rsidRPr="00C356E3">
              <w:rPr>
                <w:sz w:val="20"/>
                <w:szCs w:val="20"/>
              </w:rPr>
              <w:t> </w:t>
            </w:r>
          </w:p>
        </w:tc>
        <w:tc>
          <w:tcPr>
            <w:tcW w:w="5778" w:type="dxa"/>
            <w:tcBorders>
              <w:top w:val="single" w:sz="4" w:space="0" w:color="000000"/>
              <w:left w:val="nil"/>
              <w:bottom w:val="nil"/>
              <w:right w:val="nil"/>
            </w:tcBorders>
            <w:shd w:val="clear" w:color="000000" w:fill="FFFFFF"/>
            <w:noWrap/>
            <w:vAlign w:val="bottom"/>
            <w:hideMark/>
          </w:tcPr>
          <w:p w:rsidR="00BD2393" w:rsidRPr="00C356E3" w:rsidRDefault="00BD2393" w:rsidP="008148DF">
            <w:pPr>
              <w:rPr>
                <w:sz w:val="22"/>
                <w:szCs w:val="20"/>
              </w:rPr>
            </w:pPr>
            <w:r w:rsidRPr="00C356E3">
              <w:rPr>
                <w:sz w:val="22"/>
                <w:szCs w:val="20"/>
              </w:rPr>
              <w:t> </w:t>
            </w:r>
          </w:p>
        </w:tc>
        <w:tc>
          <w:tcPr>
            <w:tcW w:w="2881" w:type="dxa"/>
            <w:tcBorders>
              <w:top w:val="single" w:sz="4" w:space="0" w:color="000000"/>
              <w:left w:val="nil"/>
              <w:bottom w:val="nil"/>
              <w:right w:val="nil"/>
            </w:tcBorders>
            <w:shd w:val="clear" w:color="000000" w:fill="FFFFFF"/>
            <w:noWrap/>
            <w:vAlign w:val="bottom"/>
            <w:hideMark/>
          </w:tcPr>
          <w:p w:rsidR="00BD2393" w:rsidRPr="00C356E3" w:rsidRDefault="00BD2393" w:rsidP="008148DF">
            <w:pPr>
              <w:rPr>
                <w:sz w:val="22"/>
                <w:szCs w:val="20"/>
              </w:rPr>
            </w:pPr>
            <w:r w:rsidRPr="00C356E3">
              <w:rPr>
                <w:sz w:val="22"/>
                <w:szCs w:val="20"/>
              </w:rPr>
              <w:t> </w:t>
            </w:r>
          </w:p>
        </w:tc>
        <w:tc>
          <w:tcPr>
            <w:tcW w:w="320" w:type="dxa"/>
            <w:tcBorders>
              <w:top w:val="single" w:sz="4" w:space="0" w:color="000000"/>
              <w:left w:val="nil"/>
              <w:bottom w:val="nil"/>
              <w:right w:val="single" w:sz="4" w:space="0" w:color="auto"/>
            </w:tcBorders>
            <w:shd w:val="clear" w:color="000000" w:fill="FFFFFF"/>
            <w:noWrap/>
            <w:vAlign w:val="bottom"/>
            <w:hideMark/>
          </w:tcPr>
          <w:p w:rsidR="00BD2393" w:rsidRPr="00C356E3" w:rsidRDefault="00BD2393" w:rsidP="008148DF">
            <w:pPr>
              <w:rPr>
                <w:sz w:val="20"/>
                <w:szCs w:val="20"/>
              </w:rPr>
            </w:pPr>
            <w:r w:rsidRPr="00C356E3">
              <w:rPr>
                <w:sz w:val="20"/>
                <w:szCs w:val="20"/>
              </w:rPr>
              <w:t> </w:t>
            </w:r>
          </w:p>
        </w:tc>
      </w:tr>
      <w:tr w:rsidR="00BD2393" w:rsidRPr="00C356E3" w:rsidTr="004752E6">
        <w:trPr>
          <w:trHeight w:val="343"/>
          <w:jc w:val="center"/>
        </w:trPr>
        <w:tc>
          <w:tcPr>
            <w:tcW w:w="484" w:type="dxa"/>
            <w:tcBorders>
              <w:top w:val="nil"/>
              <w:left w:val="single" w:sz="4" w:space="0" w:color="auto"/>
              <w:bottom w:val="nil"/>
              <w:right w:val="nil"/>
            </w:tcBorders>
            <w:shd w:val="clear" w:color="000000" w:fill="FFFFFF"/>
            <w:noWrap/>
            <w:vAlign w:val="bottom"/>
            <w:hideMark/>
          </w:tcPr>
          <w:p w:rsidR="00BD2393" w:rsidRPr="00C356E3" w:rsidRDefault="00BD2393" w:rsidP="008148DF">
            <w:pPr>
              <w:jc w:val="center"/>
              <w:rPr>
                <w:sz w:val="20"/>
                <w:szCs w:val="20"/>
              </w:rPr>
            </w:pPr>
            <w:r w:rsidRPr="00C356E3">
              <w:rPr>
                <w:sz w:val="20"/>
                <w:szCs w:val="20"/>
              </w:rPr>
              <w:t> </w:t>
            </w:r>
          </w:p>
        </w:tc>
        <w:tc>
          <w:tcPr>
            <w:tcW w:w="5778" w:type="dxa"/>
            <w:tcBorders>
              <w:top w:val="nil"/>
              <w:left w:val="nil"/>
              <w:bottom w:val="nil"/>
              <w:right w:val="nil"/>
            </w:tcBorders>
            <w:shd w:val="clear" w:color="000000" w:fill="FFFFFF"/>
            <w:noWrap/>
            <w:vAlign w:val="bottom"/>
            <w:hideMark/>
          </w:tcPr>
          <w:p w:rsidR="00BD2393" w:rsidRPr="00C356E3" w:rsidRDefault="00BD2393" w:rsidP="008148DF">
            <w:pPr>
              <w:rPr>
                <w:sz w:val="22"/>
                <w:szCs w:val="20"/>
                <w:u w:val="single"/>
              </w:rPr>
            </w:pPr>
            <w:r w:rsidRPr="00C356E3">
              <w:rPr>
                <w:sz w:val="22"/>
                <w:szCs w:val="20"/>
                <w:u w:val="single"/>
              </w:rPr>
              <w:t>Plant In Service</w:t>
            </w:r>
          </w:p>
        </w:tc>
        <w:tc>
          <w:tcPr>
            <w:tcW w:w="2881" w:type="dxa"/>
            <w:tcBorders>
              <w:top w:val="nil"/>
              <w:left w:val="nil"/>
              <w:bottom w:val="nil"/>
              <w:right w:val="nil"/>
            </w:tcBorders>
            <w:shd w:val="clear" w:color="000000" w:fill="FFFFFF"/>
            <w:noWrap/>
            <w:vAlign w:val="bottom"/>
            <w:hideMark/>
          </w:tcPr>
          <w:p w:rsidR="00BD2393" w:rsidRPr="00C356E3" w:rsidRDefault="00BD2393" w:rsidP="008148DF">
            <w:pPr>
              <w:rPr>
                <w:sz w:val="22"/>
                <w:szCs w:val="20"/>
              </w:rPr>
            </w:pPr>
            <w:r w:rsidRPr="00C356E3">
              <w:rPr>
                <w:sz w:val="22"/>
                <w:szCs w:val="20"/>
              </w:rPr>
              <w:t> </w:t>
            </w:r>
          </w:p>
        </w:tc>
        <w:tc>
          <w:tcPr>
            <w:tcW w:w="320" w:type="dxa"/>
            <w:tcBorders>
              <w:top w:val="nil"/>
              <w:left w:val="nil"/>
              <w:bottom w:val="nil"/>
              <w:right w:val="single" w:sz="4" w:space="0" w:color="auto"/>
            </w:tcBorders>
            <w:shd w:val="clear" w:color="000000" w:fill="FFFFFF"/>
            <w:noWrap/>
            <w:vAlign w:val="bottom"/>
            <w:hideMark/>
          </w:tcPr>
          <w:p w:rsidR="00BD2393" w:rsidRPr="00C356E3" w:rsidRDefault="00BD2393" w:rsidP="008148DF">
            <w:pPr>
              <w:rPr>
                <w:sz w:val="20"/>
                <w:szCs w:val="20"/>
              </w:rPr>
            </w:pPr>
            <w:r w:rsidRPr="00C356E3">
              <w:rPr>
                <w:sz w:val="20"/>
                <w:szCs w:val="20"/>
              </w:rPr>
              <w:t> </w:t>
            </w:r>
          </w:p>
        </w:tc>
      </w:tr>
      <w:tr w:rsidR="00BD2393" w:rsidRPr="00C356E3" w:rsidTr="004752E6">
        <w:trPr>
          <w:trHeight w:val="343"/>
          <w:jc w:val="center"/>
        </w:trPr>
        <w:tc>
          <w:tcPr>
            <w:tcW w:w="484" w:type="dxa"/>
            <w:tcBorders>
              <w:top w:val="nil"/>
              <w:left w:val="single" w:sz="4" w:space="0" w:color="auto"/>
              <w:bottom w:val="nil"/>
              <w:right w:val="nil"/>
            </w:tcBorders>
            <w:shd w:val="clear" w:color="auto" w:fill="auto"/>
            <w:noWrap/>
            <w:vAlign w:val="bottom"/>
            <w:hideMark/>
          </w:tcPr>
          <w:p w:rsidR="00BD2393" w:rsidRPr="00C356E3" w:rsidRDefault="00BD2393" w:rsidP="008148DF">
            <w:pPr>
              <w:jc w:val="center"/>
              <w:rPr>
                <w:sz w:val="20"/>
                <w:szCs w:val="20"/>
              </w:rPr>
            </w:pPr>
            <w:r w:rsidRPr="00C356E3">
              <w:rPr>
                <w:sz w:val="20"/>
                <w:szCs w:val="20"/>
              </w:rPr>
              <w:t> </w:t>
            </w:r>
          </w:p>
        </w:tc>
        <w:tc>
          <w:tcPr>
            <w:tcW w:w="5778" w:type="dxa"/>
            <w:tcBorders>
              <w:top w:val="nil"/>
              <w:left w:val="nil"/>
              <w:bottom w:val="nil"/>
              <w:right w:val="nil"/>
            </w:tcBorders>
            <w:shd w:val="clear" w:color="auto" w:fill="auto"/>
            <w:noWrap/>
            <w:vAlign w:val="bottom"/>
            <w:hideMark/>
          </w:tcPr>
          <w:p w:rsidR="00BD2393" w:rsidRPr="00C356E3" w:rsidRDefault="00BD2393" w:rsidP="008148DF">
            <w:pPr>
              <w:rPr>
                <w:sz w:val="22"/>
                <w:szCs w:val="20"/>
              </w:rPr>
            </w:pPr>
            <w:r w:rsidRPr="00C356E3">
              <w:rPr>
                <w:sz w:val="22"/>
                <w:szCs w:val="20"/>
              </w:rPr>
              <w:t>Pro Forma Plant</w:t>
            </w:r>
          </w:p>
        </w:tc>
        <w:tc>
          <w:tcPr>
            <w:tcW w:w="2881" w:type="dxa"/>
            <w:tcBorders>
              <w:top w:val="nil"/>
              <w:left w:val="nil"/>
              <w:bottom w:val="nil"/>
              <w:right w:val="nil"/>
            </w:tcBorders>
            <w:shd w:val="clear" w:color="auto" w:fill="auto"/>
            <w:noWrap/>
            <w:vAlign w:val="bottom"/>
            <w:hideMark/>
          </w:tcPr>
          <w:p w:rsidR="00BD2393" w:rsidRPr="00C356E3" w:rsidRDefault="00BD2393" w:rsidP="008148DF">
            <w:pPr>
              <w:jc w:val="right"/>
              <w:rPr>
                <w:sz w:val="22"/>
                <w:szCs w:val="20"/>
                <w:u w:val="double"/>
              </w:rPr>
            </w:pPr>
            <w:r w:rsidRPr="00C356E3">
              <w:rPr>
                <w:sz w:val="22"/>
                <w:szCs w:val="20"/>
                <w:u w:val="double"/>
              </w:rPr>
              <w:t>($14,180)</w:t>
            </w:r>
          </w:p>
        </w:tc>
        <w:tc>
          <w:tcPr>
            <w:tcW w:w="320" w:type="dxa"/>
            <w:tcBorders>
              <w:top w:val="nil"/>
              <w:left w:val="nil"/>
              <w:bottom w:val="nil"/>
              <w:right w:val="single" w:sz="4" w:space="0" w:color="auto"/>
            </w:tcBorders>
            <w:shd w:val="clear" w:color="auto" w:fill="auto"/>
            <w:noWrap/>
            <w:vAlign w:val="bottom"/>
            <w:hideMark/>
          </w:tcPr>
          <w:p w:rsidR="00BD2393" w:rsidRPr="00C356E3" w:rsidRDefault="00BD2393" w:rsidP="008148DF">
            <w:pPr>
              <w:rPr>
                <w:sz w:val="20"/>
                <w:szCs w:val="20"/>
              </w:rPr>
            </w:pPr>
            <w:r w:rsidRPr="00C356E3">
              <w:rPr>
                <w:sz w:val="20"/>
                <w:szCs w:val="20"/>
              </w:rPr>
              <w:t> </w:t>
            </w:r>
          </w:p>
        </w:tc>
      </w:tr>
      <w:tr w:rsidR="00BD2393" w:rsidRPr="00C356E3" w:rsidTr="004752E6">
        <w:trPr>
          <w:trHeight w:val="343"/>
          <w:jc w:val="center"/>
        </w:trPr>
        <w:tc>
          <w:tcPr>
            <w:tcW w:w="484" w:type="dxa"/>
            <w:tcBorders>
              <w:top w:val="nil"/>
              <w:left w:val="single" w:sz="4" w:space="0" w:color="auto"/>
              <w:bottom w:val="nil"/>
              <w:right w:val="nil"/>
            </w:tcBorders>
            <w:shd w:val="clear" w:color="auto" w:fill="auto"/>
            <w:noWrap/>
            <w:vAlign w:val="bottom"/>
            <w:hideMark/>
          </w:tcPr>
          <w:p w:rsidR="00BD2393" w:rsidRPr="00C356E3" w:rsidRDefault="00BD2393" w:rsidP="008148DF">
            <w:pPr>
              <w:jc w:val="center"/>
              <w:rPr>
                <w:sz w:val="20"/>
                <w:szCs w:val="20"/>
              </w:rPr>
            </w:pPr>
            <w:r w:rsidRPr="00C356E3">
              <w:rPr>
                <w:sz w:val="20"/>
                <w:szCs w:val="20"/>
              </w:rPr>
              <w:t> </w:t>
            </w:r>
          </w:p>
        </w:tc>
        <w:tc>
          <w:tcPr>
            <w:tcW w:w="5778" w:type="dxa"/>
            <w:tcBorders>
              <w:top w:val="nil"/>
              <w:left w:val="nil"/>
              <w:bottom w:val="nil"/>
              <w:right w:val="nil"/>
            </w:tcBorders>
            <w:shd w:val="clear" w:color="auto" w:fill="auto"/>
            <w:noWrap/>
            <w:vAlign w:val="bottom"/>
            <w:hideMark/>
          </w:tcPr>
          <w:p w:rsidR="00BD2393" w:rsidRPr="00C356E3" w:rsidRDefault="00BD2393" w:rsidP="008148DF">
            <w:pPr>
              <w:rPr>
                <w:sz w:val="22"/>
                <w:szCs w:val="20"/>
              </w:rPr>
            </w:pPr>
          </w:p>
        </w:tc>
        <w:tc>
          <w:tcPr>
            <w:tcW w:w="2881" w:type="dxa"/>
            <w:tcBorders>
              <w:top w:val="nil"/>
              <w:left w:val="nil"/>
              <w:bottom w:val="nil"/>
              <w:right w:val="nil"/>
            </w:tcBorders>
            <w:shd w:val="clear" w:color="auto" w:fill="auto"/>
            <w:noWrap/>
            <w:vAlign w:val="bottom"/>
            <w:hideMark/>
          </w:tcPr>
          <w:p w:rsidR="00BD2393" w:rsidRPr="00C356E3" w:rsidRDefault="00BD2393" w:rsidP="008148DF">
            <w:pPr>
              <w:rPr>
                <w:sz w:val="22"/>
                <w:szCs w:val="20"/>
              </w:rPr>
            </w:pPr>
          </w:p>
        </w:tc>
        <w:tc>
          <w:tcPr>
            <w:tcW w:w="320" w:type="dxa"/>
            <w:tcBorders>
              <w:top w:val="nil"/>
              <w:left w:val="nil"/>
              <w:bottom w:val="nil"/>
              <w:right w:val="single" w:sz="4" w:space="0" w:color="auto"/>
            </w:tcBorders>
            <w:shd w:val="clear" w:color="auto" w:fill="auto"/>
            <w:noWrap/>
            <w:vAlign w:val="bottom"/>
            <w:hideMark/>
          </w:tcPr>
          <w:p w:rsidR="00BD2393" w:rsidRPr="00C356E3" w:rsidRDefault="00BD2393" w:rsidP="008148DF">
            <w:pPr>
              <w:rPr>
                <w:sz w:val="20"/>
                <w:szCs w:val="20"/>
              </w:rPr>
            </w:pPr>
            <w:r w:rsidRPr="00C356E3">
              <w:rPr>
                <w:sz w:val="20"/>
                <w:szCs w:val="20"/>
              </w:rPr>
              <w:t> </w:t>
            </w:r>
          </w:p>
        </w:tc>
      </w:tr>
      <w:tr w:rsidR="00BD2393" w:rsidRPr="00C356E3" w:rsidTr="004752E6">
        <w:trPr>
          <w:trHeight w:val="343"/>
          <w:jc w:val="center"/>
        </w:trPr>
        <w:tc>
          <w:tcPr>
            <w:tcW w:w="484" w:type="dxa"/>
            <w:tcBorders>
              <w:top w:val="nil"/>
              <w:left w:val="single" w:sz="4" w:space="0" w:color="auto"/>
              <w:bottom w:val="nil"/>
              <w:right w:val="nil"/>
            </w:tcBorders>
            <w:shd w:val="clear" w:color="auto" w:fill="auto"/>
            <w:noWrap/>
            <w:vAlign w:val="bottom"/>
            <w:hideMark/>
          </w:tcPr>
          <w:p w:rsidR="00BD2393" w:rsidRPr="00C356E3" w:rsidRDefault="00BD2393" w:rsidP="008148DF">
            <w:pPr>
              <w:jc w:val="center"/>
              <w:rPr>
                <w:sz w:val="20"/>
                <w:szCs w:val="20"/>
              </w:rPr>
            </w:pPr>
            <w:r w:rsidRPr="00C356E3">
              <w:rPr>
                <w:sz w:val="20"/>
                <w:szCs w:val="20"/>
              </w:rPr>
              <w:t> </w:t>
            </w:r>
          </w:p>
        </w:tc>
        <w:tc>
          <w:tcPr>
            <w:tcW w:w="5778" w:type="dxa"/>
            <w:tcBorders>
              <w:top w:val="nil"/>
              <w:left w:val="nil"/>
              <w:bottom w:val="nil"/>
              <w:right w:val="nil"/>
            </w:tcBorders>
            <w:shd w:val="clear" w:color="auto" w:fill="auto"/>
            <w:noWrap/>
            <w:vAlign w:val="bottom"/>
            <w:hideMark/>
          </w:tcPr>
          <w:p w:rsidR="00BD2393" w:rsidRPr="00C356E3" w:rsidRDefault="00BD2393" w:rsidP="008148DF">
            <w:pPr>
              <w:rPr>
                <w:sz w:val="22"/>
                <w:szCs w:val="20"/>
                <w:u w:val="single"/>
              </w:rPr>
            </w:pPr>
            <w:r w:rsidRPr="00C356E3">
              <w:rPr>
                <w:sz w:val="22"/>
                <w:szCs w:val="20"/>
                <w:u w:val="single"/>
              </w:rPr>
              <w:t>Non-used and Useful</w:t>
            </w:r>
          </w:p>
        </w:tc>
        <w:tc>
          <w:tcPr>
            <w:tcW w:w="2881" w:type="dxa"/>
            <w:tcBorders>
              <w:top w:val="nil"/>
              <w:left w:val="nil"/>
              <w:bottom w:val="nil"/>
              <w:right w:val="nil"/>
            </w:tcBorders>
            <w:shd w:val="clear" w:color="auto" w:fill="auto"/>
            <w:noWrap/>
            <w:vAlign w:val="bottom"/>
            <w:hideMark/>
          </w:tcPr>
          <w:p w:rsidR="00BD2393" w:rsidRPr="00C356E3" w:rsidRDefault="00BD2393" w:rsidP="008148DF">
            <w:pPr>
              <w:rPr>
                <w:sz w:val="22"/>
                <w:szCs w:val="20"/>
              </w:rPr>
            </w:pPr>
          </w:p>
        </w:tc>
        <w:tc>
          <w:tcPr>
            <w:tcW w:w="320" w:type="dxa"/>
            <w:tcBorders>
              <w:top w:val="nil"/>
              <w:left w:val="nil"/>
              <w:bottom w:val="nil"/>
              <w:right w:val="single" w:sz="4" w:space="0" w:color="auto"/>
            </w:tcBorders>
            <w:shd w:val="clear" w:color="auto" w:fill="auto"/>
            <w:noWrap/>
            <w:vAlign w:val="bottom"/>
            <w:hideMark/>
          </w:tcPr>
          <w:p w:rsidR="00BD2393" w:rsidRPr="00C356E3" w:rsidRDefault="00BD2393" w:rsidP="008148DF">
            <w:pPr>
              <w:rPr>
                <w:sz w:val="20"/>
                <w:szCs w:val="20"/>
              </w:rPr>
            </w:pPr>
            <w:r w:rsidRPr="00C356E3">
              <w:rPr>
                <w:sz w:val="20"/>
                <w:szCs w:val="20"/>
              </w:rPr>
              <w:t> </w:t>
            </w:r>
          </w:p>
        </w:tc>
      </w:tr>
      <w:tr w:rsidR="00BD2393" w:rsidRPr="00C356E3" w:rsidTr="004752E6">
        <w:trPr>
          <w:trHeight w:val="343"/>
          <w:jc w:val="center"/>
        </w:trPr>
        <w:tc>
          <w:tcPr>
            <w:tcW w:w="484" w:type="dxa"/>
            <w:tcBorders>
              <w:top w:val="nil"/>
              <w:left w:val="single" w:sz="4" w:space="0" w:color="auto"/>
              <w:bottom w:val="nil"/>
              <w:right w:val="nil"/>
            </w:tcBorders>
            <w:shd w:val="clear" w:color="auto" w:fill="auto"/>
            <w:noWrap/>
            <w:vAlign w:val="bottom"/>
            <w:hideMark/>
          </w:tcPr>
          <w:p w:rsidR="00BD2393" w:rsidRPr="00C356E3" w:rsidRDefault="00BD2393" w:rsidP="008148DF">
            <w:pPr>
              <w:jc w:val="center"/>
              <w:rPr>
                <w:sz w:val="20"/>
                <w:szCs w:val="20"/>
              </w:rPr>
            </w:pPr>
            <w:r w:rsidRPr="00C356E3">
              <w:rPr>
                <w:sz w:val="20"/>
                <w:szCs w:val="20"/>
              </w:rPr>
              <w:t> </w:t>
            </w:r>
          </w:p>
        </w:tc>
        <w:tc>
          <w:tcPr>
            <w:tcW w:w="5778" w:type="dxa"/>
            <w:tcBorders>
              <w:top w:val="nil"/>
              <w:left w:val="nil"/>
              <w:bottom w:val="nil"/>
              <w:right w:val="nil"/>
            </w:tcBorders>
            <w:shd w:val="clear" w:color="auto" w:fill="auto"/>
            <w:noWrap/>
            <w:vAlign w:val="bottom"/>
            <w:hideMark/>
          </w:tcPr>
          <w:p w:rsidR="00BD2393" w:rsidRPr="00C356E3" w:rsidRDefault="00BD2393" w:rsidP="008148DF">
            <w:pPr>
              <w:rPr>
                <w:sz w:val="22"/>
                <w:szCs w:val="20"/>
              </w:rPr>
            </w:pPr>
            <w:r w:rsidRPr="00C356E3">
              <w:rPr>
                <w:sz w:val="22"/>
                <w:szCs w:val="20"/>
              </w:rPr>
              <w:t>To reflect non-used &amp; useful adjustment</w:t>
            </w:r>
          </w:p>
        </w:tc>
        <w:tc>
          <w:tcPr>
            <w:tcW w:w="2881" w:type="dxa"/>
            <w:tcBorders>
              <w:top w:val="nil"/>
              <w:left w:val="nil"/>
              <w:bottom w:val="nil"/>
              <w:right w:val="nil"/>
            </w:tcBorders>
            <w:shd w:val="clear" w:color="auto" w:fill="auto"/>
            <w:noWrap/>
            <w:vAlign w:val="bottom"/>
            <w:hideMark/>
          </w:tcPr>
          <w:p w:rsidR="00BD2393" w:rsidRPr="00C356E3" w:rsidRDefault="00BD2393" w:rsidP="008148DF">
            <w:pPr>
              <w:jc w:val="right"/>
              <w:rPr>
                <w:sz w:val="22"/>
                <w:szCs w:val="20"/>
                <w:u w:val="double"/>
              </w:rPr>
            </w:pPr>
            <w:r w:rsidRPr="00C356E3">
              <w:rPr>
                <w:sz w:val="22"/>
                <w:szCs w:val="20"/>
                <w:u w:val="double"/>
              </w:rPr>
              <w:t>($275,431)</w:t>
            </w:r>
          </w:p>
        </w:tc>
        <w:tc>
          <w:tcPr>
            <w:tcW w:w="320" w:type="dxa"/>
            <w:tcBorders>
              <w:top w:val="nil"/>
              <w:left w:val="nil"/>
              <w:bottom w:val="nil"/>
              <w:right w:val="single" w:sz="4" w:space="0" w:color="auto"/>
            </w:tcBorders>
            <w:shd w:val="clear" w:color="auto" w:fill="auto"/>
            <w:noWrap/>
            <w:vAlign w:val="bottom"/>
            <w:hideMark/>
          </w:tcPr>
          <w:p w:rsidR="00BD2393" w:rsidRPr="00C356E3" w:rsidRDefault="00BD2393" w:rsidP="008148DF">
            <w:pPr>
              <w:rPr>
                <w:sz w:val="20"/>
                <w:szCs w:val="20"/>
                <w:u w:val="double"/>
              </w:rPr>
            </w:pPr>
            <w:r w:rsidRPr="00C356E3">
              <w:rPr>
                <w:sz w:val="20"/>
                <w:szCs w:val="20"/>
                <w:u w:val="double"/>
              </w:rPr>
              <w:t xml:space="preserve"> </w:t>
            </w:r>
          </w:p>
        </w:tc>
      </w:tr>
      <w:tr w:rsidR="00BD2393" w:rsidRPr="00C356E3" w:rsidTr="004752E6">
        <w:trPr>
          <w:trHeight w:val="343"/>
          <w:jc w:val="center"/>
        </w:trPr>
        <w:tc>
          <w:tcPr>
            <w:tcW w:w="484" w:type="dxa"/>
            <w:tcBorders>
              <w:top w:val="nil"/>
              <w:left w:val="single" w:sz="4" w:space="0" w:color="auto"/>
              <w:bottom w:val="nil"/>
              <w:right w:val="nil"/>
            </w:tcBorders>
            <w:shd w:val="clear" w:color="auto" w:fill="auto"/>
            <w:noWrap/>
            <w:vAlign w:val="bottom"/>
            <w:hideMark/>
          </w:tcPr>
          <w:p w:rsidR="00BD2393" w:rsidRPr="00C356E3" w:rsidRDefault="00BD2393" w:rsidP="008148DF">
            <w:pPr>
              <w:jc w:val="center"/>
              <w:rPr>
                <w:sz w:val="20"/>
                <w:szCs w:val="20"/>
              </w:rPr>
            </w:pPr>
            <w:r w:rsidRPr="00C356E3">
              <w:rPr>
                <w:sz w:val="20"/>
                <w:szCs w:val="20"/>
              </w:rPr>
              <w:t> </w:t>
            </w:r>
          </w:p>
        </w:tc>
        <w:tc>
          <w:tcPr>
            <w:tcW w:w="5778" w:type="dxa"/>
            <w:tcBorders>
              <w:top w:val="nil"/>
              <w:left w:val="nil"/>
              <w:bottom w:val="nil"/>
              <w:right w:val="nil"/>
            </w:tcBorders>
            <w:shd w:val="clear" w:color="auto" w:fill="auto"/>
            <w:noWrap/>
            <w:vAlign w:val="bottom"/>
            <w:hideMark/>
          </w:tcPr>
          <w:p w:rsidR="00BD2393" w:rsidRPr="00C356E3" w:rsidRDefault="00BD2393" w:rsidP="008148DF">
            <w:pPr>
              <w:rPr>
                <w:sz w:val="22"/>
                <w:szCs w:val="20"/>
              </w:rPr>
            </w:pPr>
          </w:p>
        </w:tc>
        <w:tc>
          <w:tcPr>
            <w:tcW w:w="2881" w:type="dxa"/>
            <w:tcBorders>
              <w:top w:val="nil"/>
              <w:left w:val="nil"/>
              <w:bottom w:val="nil"/>
              <w:right w:val="nil"/>
            </w:tcBorders>
            <w:shd w:val="clear" w:color="auto" w:fill="auto"/>
            <w:noWrap/>
            <w:vAlign w:val="bottom"/>
            <w:hideMark/>
          </w:tcPr>
          <w:p w:rsidR="00BD2393" w:rsidRPr="00C356E3" w:rsidRDefault="00BD2393" w:rsidP="008148DF">
            <w:pPr>
              <w:rPr>
                <w:sz w:val="22"/>
                <w:szCs w:val="20"/>
              </w:rPr>
            </w:pPr>
          </w:p>
        </w:tc>
        <w:tc>
          <w:tcPr>
            <w:tcW w:w="320" w:type="dxa"/>
            <w:tcBorders>
              <w:top w:val="nil"/>
              <w:left w:val="nil"/>
              <w:bottom w:val="nil"/>
              <w:right w:val="single" w:sz="4" w:space="0" w:color="auto"/>
            </w:tcBorders>
            <w:shd w:val="clear" w:color="auto" w:fill="auto"/>
            <w:noWrap/>
            <w:vAlign w:val="bottom"/>
            <w:hideMark/>
          </w:tcPr>
          <w:p w:rsidR="00BD2393" w:rsidRPr="00C356E3" w:rsidRDefault="00BD2393" w:rsidP="008148DF">
            <w:pPr>
              <w:rPr>
                <w:sz w:val="20"/>
                <w:szCs w:val="20"/>
              </w:rPr>
            </w:pPr>
            <w:r w:rsidRPr="00C356E3">
              <w:rPr>
                <w:sz w:val="20"/>
                <w:szCs w:val="20"/>
              </w:rPr>
              <w:t> </w:t>
            </w:r>
          </w:p>
        </w:tc>
      </w:tr>
      <w:tr w:rsidR="00BD2393" w:rsidRPr="00C356E3" w:rsidTr="004752E6">
        <w:trPr>
          <w:trHeight w:val="343"/>
          <w:jc w:val="center"/>
        </w:trPr>
        <w:tc>
          <w:tcPr>
            <w:tcW w:w="484" w:type="dxa"/>
            <w:tcBorders>
              <w:top w:val="nil"/>
              <w:left w:val="single" w:sz="4" w:space="0" w:color="auto"/>
              <w:bottom w:val="nil"/>
              <w:right w:val="nil"/>
            </w:tcBorders>
            <w:shd w:val="clear" w:color="auto" w:fill="auto"/>
            <w:noWrap/>
            <w:vAlign w:val="bottom"/>
            <w:hideMark/>
          </w:tcPr>
          <w:p w:rsidR="00BD2393" w:rsidRPr="00C356E3" w:rsidRDefault="00BD2393" w:rsidP="008148DF">
            <w:pPr>
              <w:jc w:val="center"/>
              <w:rPr>
                <w:sz w:val="20"/>
                <w:szCs w:val="20"/>
              </w:rPr>
            </w:pPr>
            <w:r w:rsidRPr="00C356E3">
              <w:rPr>
                <w:sz w:val="20"/>
                <w:szCs w:val="20"/>
              </w:rPr>
              <w:t> </w:t>
            </w:r>
          </w:p>
        </w:tc>
        <w:tc>
          <w:tcPr>
            <w:tcW w:w="5778" w:type="dxa"/>
            <w:tcBorders>
              <w:top w:val="nil"/>
              <w:left w:val="nil"/>
              <w:bottom w:val="nil"/>
              <w:right w:val="nil"/>
            </w:tcBorders>
            <w:shd w:val="clear" w:color="auto" w:fill="auto"/>
            <w:noWrap/>
            <w:vAlign w:val="bottom"/>
            <w:hideMark/>
          </w:tcPr>
          <w:p w:rsidR="00BD2393" w:rsidRPr="00C356E3" w:rsidRDefault="00BD2393" w:rsidP="008148DF">
            <w:pPr>
              <w:rPr>
                <w:sz w:val="22"/>
                <w:szCs w:val="20"/>
                <w:u w:val="single"/>
              </w:rPr>
            </w:pPr>
            <w:r w:rsidRPr="00C356E3">
              <w:rPr>
                <w:sz w:val="22"/>
                <w:szCs w:val="20"/>
                <w:u w:val="single"/>
              </w:rPr>
              <w:t>Accumulated Depreciation</w:t>
            </w:r>
          </w:p>
        </w:tc>
        <w:tc>
          <w:tcPr>
            <w:tcW w:w="2881" w:type="dxa"/>
            <w:tcBorders>
              <w:top w:val="nil"/>
              <w:left w:val="nil"/>
              <w:bottom w:val="nil"/>
              <w:right w:val="nil"/>
            </w:tcBorders>
            <w:shd w:val="clear" w:color="auto" w:fill="auto"/>
            <w:noWrap/>
            <w:vAlign w:val="bottom"/>
            <w:hideMark/>
          </w:tcPr>
          <w:p w:rsidR="00BD2393" w:rsidRPr="00C356E3" w:rsidRDefault="00BD2393" w:rsidP="008148DF">
            <w:pPr>
              <w:rPr>
                <w:sz w:val="22"/>
                <w:szCs w:val="20"/>
              </w:rPr>
            </w:pPr>
          </w:p>
        </w:tc>
        <w:tc>
          <w:tcPr>
            <w:tcW w:w="320" w:type="dxa"/>
            <w:tcBorders>
              <w:top w:val="nil"/>
              <w:left w:val="nil"/>
              <w:bottom w:val="nil"/>
              <w:right w:val="single" w:sz="4" w:space="0" w:color="auto"/>
            </w:tcBorders>
            <w:shd w:val="clear" w:color="auto" w:fill="auto"/>
            <w:noWrap/>
            <w:vAlign w:val="bottom"/>
            <w:hideMark/>
          </w:tcPr>
          <w:p w:rsidR="00BD2393" w:rsidRPr="00C356E3" w:rsidRDefault="00BD2393" w:rsidP="008148DF">
            <w:pPr>
              <w:rPr>
                <w:sz w:val="20"/>
                <w:szCs w:val="20"/>
              </w:rPr>
            </w:pPr>
            <w:r w:rsidRPr="00C356E3">
              <w:rPr>
                <w:sz w:val="20"/>
                <w:szCs w:val="20"/>
              </w:rPr>
              <w:t> </w:t>
            </w:r>
          </w:p>
        </w:tc>
      </w:tr>
      <w:tr w:rsidR="00BD2393" w:rsidRPr="00C356E3" w:rsidTr="004752E6">
        <w:trPr>
          <w:trHeight w:val="343"/>
          <w:jc w:val="center"/>
        </w:trPr>
        <w:tc>
          <w:tcPr>
            <w:tcW w:w="484" w:type="dxa"/>
            <w:tcBorders>
              <w:top w:val="nil"/>
              <w:left w:val="single" w:sz="4" w:space="0" w:color="auto"/>
              <w:bottom w:val="nil"/>
              <w:right w:val="nil"/>
            </w:tcBorders>
            <w:shd w:val="clear" w:color="auto" w:fill="auto"/>
            <w:noWrap/>
            <w:vAlign w:val="bottom"/>
            <w:hideMark/>
          </w:tcPr>
          <w:p w:rsidR="00BD2393" w:rsidRPr="00C356E3" w:rsidRDefault="00BD2393" w:rsidP="008148DF">
            <w:pPr>
              <w:jc w:val="center"/>
              <w:rPr>
                <w:sz w:val="20"/>
                <w:szCs w:val="20"/>
              </w:rPr>
            </w:pPr>
            <w:r w:rsidRPr="00C356E3">
              <w:rPr>
                <w:sz w:val="20"/>
                <w:szCs w:val="20"/>
              </w:rPr>
              <w:t>1</w:t>
            </w:r>
          </w:p>
        </w:tc>
        <w:tc>
          <w:tcPr>
            <w:tcW w:w="5778" w:type="dxa"/>
            <w:tcBorders>
              <w:top w:val="nil"/>
              <w:left w:val="nil"/>
              <w:bottom w:val="nil"/>
              <w:right w:val="nil"/>
            </w:tcBorders>
            <w:shd w:val="clear" w:color="auto" w:fill="auto"/>
            <w:noWrap/>
            <w:vAlign w:val="bottom"/>
            <w:hideMark/>
          </w:tcPr>
          <w:p w:rsidR="00BD2393" w:rsidRPr="00C356E3" w:rsidRDefault="00BD2393" w:rsidP="008148DF">
            <w:pPr>
              <w:rPr>
                <w:sz w:val="22"/>
                <w:szCs w:val="20"/>
              </w:rPr>
            </w:pPr>
            <w:r w:rsidRPr="00C356E3">
              <w:rPr>
                <w:sz w:val="22"/>
                <w:szCs w:val="20"/>
              </w:rPr>
              <w:t>Pro Forma Accumulated Depreciation</w:t>
            </w:r>
          </w:p>
        </w:tc>
        <w:tc>
          <w:tcPr>
            <w:tcW w:w="2881" w:type="dxa"/>
            <w:tcBorders>
              <w:top w:val="nil"/>
              <w:left w:val="nil"/>
              <w:bottom w:val="nil"/>
              <w:right w:val="nil"/>
            </w:tcBorders>
            <w:shd w:val="clear" w:color="auto" w:fill="auto"/>
            <w:noWrap/>
            <w:vAlign w:val="bottom"/>
            <w:hideMark/>
          </w:tcPr>
          <w:p w:rsidR="00BD2393" w:rsidRPr="00C356E3" w:rsidRDefault="00BD2393" w:rsidP="008148DF">
            <w:pPr>
              <w:jc w:val="right"/>
              <w:rPr>
                <w:sz w:val="22"/>
                <w:szCs w:val="20"/>
              </w:rPr>
            </w:pPr>
            <w:r w:rsidRPr="00C356E3">
              <w:rPr>
                <w:sz w:val="22"/>
                <w:szCs w:val="20"/>
              </w:rPr>
              <w:t>($33,122)</w:t>
            </w:r>
          </w:p>
        </w:tc>
        <w:tc>
          <w:tcPr>
            <w:tcW w:w="320" w:type="dxa"/>
            <w:tcBorders>
              <w:top w:val="nil"/>
              <w:left w:val="nil"/>
              <w:bottom w:val="nil"/>
              <w:right w:val="single" w:sz="4" w:space="0" w:color="auto"/>
            </w:tcBorders>
            <w:shd w:val="clear" w:color="auto" w:fill="auto"/>
            <w:noWrap/>
            <w:vAlign w:val="bottom"/>
            <w:hideMark/>
          </w:tcPr>
          <w:p w:rsidR="00BD2393" w:rsidRPr="00C356E3" w:rsidRDefault="00BD2393" w:rsidP="008148DF">
            <w:pPr>
              <w:rPr>
                <w:sz w:val="20"/>
                <w:szCs w:val="20"/>
              </w:rPr>
            </w:pPr>
            <w:r w:rsidRPr="00C356E3">
              <w:rPr>
                <w:sz w:val="20"/>
                <w:szCs w:val="20"/>
              </w:rPr>
              <w:t> </w:t>
            </w:r>
          </w:p>
        </w:tc>
      </w:tr>
      <w:tr w:rsidR="00BD2393" w:rsidRPr="00C356E3" w:rsidTr="004752E6">
        <w:trPr>
          <w:trHeight w:val="343"/>
          <w:jc w:val="center"/>
        </w:trPr>
        <w:tc>
          <w:tcPr>
            <w:tcW w:w="484" w:type="dxa"/>
            <w:tcBorders>
              <w:top w:val="nil"/>
              <w:left w:val="single" w:sz="4" w:space="0" w:color="auto"/>
              <w:bottom w:val="nil"/>
              <w:right w:val="nil"/>
            </w:tcBorders>
            <w:shd w:val="clear" w:color="auto" w:fill="auto"/>
            <w:noWrap/>
            <w:vAlign w:val="bottom"/>
            <w:hideMark/>
          </w:tcPr>
          <w:p w:rsidR="00BD2393" w:rsidRPr="00C356E3" w:rsidRDefault="00BD2393" w:rsidP="008148DF">
            <w:pPr>
              <w:jc w:val="center"/>
              <w:rPr>
                <w:sz w:val="20"/>
                <w:szCs w:val="20"/>
              </w:rPr>
            </w:pPr>
            <w:r w:rsidRPr="00C356E3">
              <w:rPr>
                <w:sz w:val="20"/>
                <w:szCs w:val="20"/>
              </w:rPr>
              <w:t>2</w:t>
            </w:r>
          </w:p>
        </w:tc>
        <w:tc>
          <w:tcPr>
            <w:tcW w:w="5778" w:type="dxa"/>
            <w:tcBorders>
              <w:top w:val="nil"/>
              <w:left w:val="nil"/>
              <w:bottom w:val="nil"/>
              <w:right w:val="nil"/>
            </w:tcBorders>
            <w:shd w:val="clear" w:color="auto" w:fill="auto"/>
            <w:noWrap/>
            <w:vAlign w:val="bottom"/>
            <w:hideMark/>
          </w:tcPr>
          <w:p w:rsidR="00BD2393" w:rsidRPr="00C356E3" w:rsidRDefault="00BD2393" w:rsidP="008148DF">
            <w:pPr>
              <w:rPr>
                <w:sz w:val="22"/>
                <w:szCs w:val="20"/>
              </w:rPr>
            </w:pPr>
            <w:r w:rsidRPr="00C356E3">
              <w:rPr>
                <w:sz w:val="22"/>
                <w:szCs w:val="20"/>
              </w:rPr>
              <w:t>To reflect non-used &amp; useful adjustment</w:t>
            </w:r>
          </w:p>
        </w:tc>
        <w:tc>
          <w:tcPr>
            <w:tcW w:w="2881" w:type="dxa"/>
            <w:tcBorders>
              <w:top w:val="nil"/>
              <w:left w:val="nil"/>
              <w:bottom w:val="nil"/>
              <w:right w:val="nil"/>
            </w:tcBorders>
            <w:shd w:val="clear" w:color="auto" w:fill="auto"/>
            <w:noWrap/>
            <w:vAlign w:val="bottom"/>
            <w:hideMark/>
          </w:tcPr>
          <w:p w:rsidR="00BD2393" w:rsidRPr="00C356E3" w:rsidRDefault="00BD2393" w:rsidP="008148DF">
            <w:pPr>
              <w:jc w:val="right"/>
              <w:rPr>
                <w:sz w:val="22"/>
                <w:szCs w:val="20"/>
                <w:u w:val="single"/>
              </w:rPr>
            </w:pPr>
            <w:r w:rsidRPr="00C356E3">
              <w:rPr>
                <w:sz w:val="22"/>
                <w:szCs w:val="20"/>
                <w:u w:val="single"/>
              </w:rPr>
              <w:t xml:space="preserve">128,430 </w:t>
            </w:r>
          </w:p>
        </w:tc>
        <w:tc>
          <w:tcPr>
            <w:tcW w:w="320" w:type="dxa"/>
            <w:tcBorders>
              <w:top w:val="nil"/>
              <w:left w:val="nil"/>
              <w:bottom w:val="nil"/>
              <w:right w:val="single" w:sz="4" w:space="0" w:color="auto"/>
            </w:tcBorders>
            <w:shd w:val="clear" w:color="auto" w:fill="auto"/>
            <w:noWrap/>
            <w:vAlign w:val="bottom"/>
            <w:hideMark/>
          </w:tcPr>
          <w:p w:rsidR="00BD2393" w:rsidRPr="00C356E3" w:rsidRDefault="00BD2393" w:rsidP="008148DF">
            <w:pPr>
              <w:rPr>
                <w:sz w:val="20"/>
                <w:szCs w:val="20"/>
              </w:rPr>
            </w:pPr>
            <w:r w:rsidRPr="00C356E3">
              <w:rPr>
                <w:sz w:val="20"/>
                <w:szCs w:val="20"/>
              </w:rPr>
              <w:t> </w:t>
            </w:r>
          </w:p>
        </w:tc>
      </w:tr>
      <w:tr w:rsidR="00BD2393" w:rsidRPr="00C356E3" w:rsidTr="004752E6">
        <w:trPr>
          <w:trHeight w:val="343"/>
          <w:jc w:val="center"/>
        </w:trPr>
        <w:tc>
          <w:tcPr>
            <w:tcW w:w="484" w:type="dxa"/>
            <w:tcBorders>
              <w:top w:val="nil"/>
              <w:left w:val="single" w:sz="4" w:space="0" w:color="auto"/>
              <w:bottom w:val="nil"/>
              <w:right w:val="nil"/>
            </w:tcBorders>
            <w:shd w:val="clear" w:color="auto" w:fill="auto"/>
            <w:noWrap/>
            <w:vAlign w:val="bottom"/>
            <w:hideMark/>
          </w:tcPr>
          <w:p w:rsidR="00BD2393" w:rsidRPr="00C356E3" w:rsidRDefault="00BD2393" w:rsidP="008148DF">
            <w:pPr>
              <w:jc w:val="center"/>
              <w:rPr>
                <w:sz w:val="20"/>
                <w:szCs w:val="20"/>
              </w:rPr>
            </w:pPr>
            <w:r w:rsidRPr="00C356E3">
              <w:rPr>
                <w:sz w:val="20"/>
                <w:szCs w:val="20"/>
              </w:rPr>
              <w:t> </w:t>
            </w:r>
          </w:p>
        </w:tc>
        <w:tc>
          <w:tcPr>
            <w:tcW w:w="5778" w:type="dxa"/>
            <w:tcBorders>
              <w:top w:val="nil"/>
              <w:left w:val="nil"/>
              <w:bottom w:val="nil"/>
              <w:right w:val="nil"/>
            </w:tcBorders>
            <w:shd w:val="clear" w:color="auto" w:fill="auto"/>
            <w:noWrap/>
            <w:vAlign w:val="bottom"/>
            <w:hideMark/>
          </w:tcPr>
          <w:p w:rsidR="00BD2393" w:rsidRPr="00C356E3" w:rsidRDefault="00BD2393" w:rsidP="008148DF">
            <w:pPr>
              <w:rPr>
                <w:sz w:val="22"/>
                <w:szCs w:val="20"/>
              </w:rPr>
            </w:pPr>
            <w:r w:rsidRPr="00C356E3">
              <w:rPr>
                <w:sz w:val="22"/>
                <w:szCs w:val="20"/>
              </w:rPr>
              <w:t xml:space="preserve">    Total</w:t>
            </w:r>
          </w:p>
        </w:tc>
        <w:tc>
          <w:tcPr>
            <w:tcW w:w="2881" w:type="dxa"/>
            <w:tcBorders>
              <w:top w:val="nil"/>
              <w:left w:val="nil"/>
              <w:bottom w:val="nil"/>
              <w:right w:val="nil"/>
            </w:tcBorders>
            <w:shd w:val="clear" w:color="auto" w:fill="auto"/>
            <w:noWrap/>
            <w:vAlign w:val="bottom"/>
            <w:hideMark/>
          </w:tcPr>
          <w:p w:rsidR="00BD2393" w:rsidRPr="00C356E3" w:rsidRDefault="00BD2393" w:rsidP="008148DF">
            <w:pPr>
              <w:jc w:val="right"/>
              <w:rPr>
                <w:sz w:val="22"/>
                <w:szCs w:val="20"/>
                <w:u w:val="double"/>
              </w:rPr>
            </w:pPr>
            <w:r w:rsidRPr="00C356E3">
              <w:rPr>
                <w:sz w:val="22"/>
                <w:szCs w:val="20"/>
                <w:u w:val="double"/>
              </w:rPr>
              <w:t xml:space="preserve">$95,308 </w:t>
            </w:r>
          </w:p>
        </w:tc>
        <w:tc>
          <w:tcPr>
            <w:tcW w:w="320" w:type="dxa"/>
            <w:tcBorders>
              <w:top w:val="nil"/>
              <w:left w:val="nil"/>
              <w:bottom w:val="nil"/>
              <w:right w:val="single" w:sz="4" w:space="0" w:color="auto"/>
            </w:tcBorders>
            <w:shd w:val="clear" w:color="auto" w:fill="auto"/>
            <w:noWrap/>
            <w:vAlign w:val="bottom"/>
            <w:hideMark/>
          </w:tcPr>
          <w:p w:rsidR="00BD2393" w:rsidRPr="00C356E3" w:rsidRDefault="00BD2393" w:rsidP="008148DF">
            <w:pPr>
              <w:rPr>
                <w:sz w:val="20"/>
                <w:szCs w:val="20"/>
              </w:rPr>
            </w:pPr>
            <w:r w:rsidRPr="00C356E3">
              <w:rPr>
                <w:sz w:val="20"/>
                <w:szCs w:val="20"/>
              </w:rPr>
              <w:t> </w:t>
            </w:r>
          </w:p>
        </w:tc>
      </w:tr>
      <w:tr w:rsidR="00BD2393" w:rsidRPr="00C356E3" w:rsidTr="004752E6">
        <w:trPr>
          <w:trHeight w:val="343"/>
          <w:jc w:val="center"/>
        </w:trPr>
        <w:tc>
          <w:tcPr>
            <w:tcW w:w="484" w:type="dxa"/>
            <w:tcBorders>
              <w:top w:val="nil"/>
              <w:left w:val="single" w:sz="4" w:space="0" w:color="auto"/>
              <w:bottom w:val="nil"/>
              <w:right w:val="nil"/>
            </w:tcBorders>
            <w:shd w:val="clear" w:color="auto" w:fill="auto"/>
            <w:noWrap/>
            <w:vAlign w:val="bottom"/>
            <w:hideMark/>
          </w:tcPr>
          <w:p w:rsidR="00BD2393" w:rsidRPr="00C356E3" w:rsidRDefault="00BD2393" w:rsidP="008148DF">
            <w:pPr>
              <w:jc w:val="center"/>
              <w:rPr>
                <w:sz w:val="20"/>
                <w:szCs w:val="20"/>
              </w:rPr>
            </w:pPr>
            <w:r w:rsidRPr="00C356E3">
              <w:rPr>
                <w:sz w:val="20"/>
                <w:szCs w:val="20"/>
              </w:rPr>
              <w:t> </w:t>
            </w:r>
          </w:p>
        </w:tc>
        <w:tc>
          <w:tcPr>
            <w:tcW w:w="5778" w:type="dxa"/>
            <w:tcBorders>
              <w:top w:val="nil"/>
              <w:left w:val="nil"/>
              <w:bottom w:val="nil"/>
              <w:right w:val="nil"/>
            </w:tcBorders>
            <w:shd w:val="clear" w:color="auto" w:fill="auto"/>
            <w:noWrap/>
            <w:vAlign w:val="bottom"/>
            <w:hideMark/>
          </w:tcPr>
          <w:p w:rsidR="00BD2393" w:rsidRPr="00C356E3" w:rsidRDefault="00BD2393" w:rsidP="008148DF">
            <w:pPr>
              <w:rPr>
                <w:sz w:val="22"/>
                <w:szCs w:val="20"/>
                <w:u w:val="single"/>
              </w:rPr>
            </w:pPr>
          </w:p>
        </w:tc>
        <w:tc>
          <w:tcPr>
            <w:tcW w:w="2881" w:type="dxa"/>
            <w:tcBorders>
              <w:top w:val="nil"/>
              <w:left w:val="nil"/>
              <w:bottom w:val="nil"/>
              <w:right w:val="nil"/>
            </w:tcBorders>
            <w:shd w:val="clear" w:color="auto" w:fill="auto"/>
            <w:noWrap/>
            <w:vAlign w:val="bottom"/>
            <w:hideMark/>
          </w:tcPr>
          <w:p w:rsidR="00BD2393" w:rsidRPr="00C356E3" w:rsidRDefault="00BD2393" w:rsidP="008148DF">
            <w:pPr>
              <w:rPr>
                <w:sz w:val="22"/>
                <w:szCs w:val="20"/>
              </w:rPr>
            </w:pPr>
          </w:p>
        </w:tc>
        <w:tc>
          <w:tcPr>
            <w:tcW w:w="320" w:type="dxa"/>
            <w:tcBorders>
              <w:top w:val="nil"/>
              <w:left w:val="nil"/>
              <w:bottom w:val="nil"/>
              <w:right w:val="single" w:sz="4" w:space="0" w:color="auto"/>
            </w:tcBorders>
            <w:shd w:val="clear" w:color="auto" w:fill="auto"/>
            <w:noWrap/>
            <w:vAlign w:val="bottom"/>
            <w:hideMark/>
          </w:tcPr>
          <w:p w:rsidR="00BD2393" w:rsidRPr="00C356E3" w:rsidRDefault="00BD2393" w:rsidP="008148DF">
            <w:pPr>
              <w:rPr>
                <w:sz w:val="20"/>
                <w:szCs w:val="20"/>
              </w:rPr>
            </w:pPr>
            <w:r w:rsidRPr="00C356E3">
              <w:rPr>
                <w:sz w:val="20"/>
                <w:szCs w:val="20"/>
              </w:rPr>
              <w:t> </w:t>
            </w:r>
          </w:p>
        </w:tc>
      </w:tr>
      <w:tr w:rsidR="00BD2393" w:rsidRPr="00C356E3" w:rsidTr="004752E6">
        <w:trPr>
          <w:trHeight w:val="343"/>
          <w:jc w:val="center"/>
        </w:trPr>
        <w:tc>
          <w:tcPr>
            <w:tcW w:w="484" w:type="dxa"/>
            <w:tcBorders>
              <w:top w:val="nil"/>
              <w:left w:val="single" w:sz="4" w:space="0" w:color="auto"/>
              <w:bottom w:val="nil"/>
              <w:right w:val="nil"/>
            </w:tcBorders>
            <w:shd w:val="clear" w:color="auto" w:fill="auto"/>
            <w:noWrap/>
            <w:vAlign w:val="bottom"/>
            <w:hideMark/>
          </w:tcPr>
          <w:p w:rsidR="00BD2393" w:rsidRPr="00C356E3" w:rsidRDefault="00BD2393" w:rsidP="008148DF">
            <w:pPr>
              <w:jc w:val="center"/>
              <w:rPr>
                <w:sz w:val="20"/>
                <w:szCs w:val="20"/>
              </w:rPr>
            </w:pPr>
            <w:r w:rsidRPr="00C356E3">
              <w:rPr>
                <w:sz w:val="20"/>
                <w:szCs w:val="20"/>
              </w:rPr>
              <w:t> </w:t>
            </w:r>
          </w:p>
        </w:tc>
        <w:tc>
          <w:tcPr>
            <w:tcW w:w="5778" w:type="dxa"/>
            <w:tcBorders>
              <w:top w:val="nil"/>
              <w:left w:val="nil"/>
              <w:bottom w:val="nil"/>
              <w:right w:val="nil"/>
            </w:tcBorders>
            <w:shd w:val="clear" w:color="auto" w:fill="auto"/>
            <w:noWrap/>
            <w:vAlign w:val="bottom"/>
            <w:hideMark/>
          </w:tcPr>
          <w:p w:rsidR="00BD2393" w:rsidRPr="00C356E3" w:rsidRDefault="00BD2393" w:rsidP="008148DF">
            <w:pPr>
              <w:rPr>
                <w:sz w:val="22"/>
                <w:szCs w:val="20"/>
                <w:u w:val="single"/>
              </w:rPr>
            </w:pPr>
            <w:r w:rsidRPr="00C356E3">
              <w:rPr>
                <w:sz w:val="22"/>
                <w:szCs w:val="20"/>
                <w:u w:val="single"/>
              </w:rPr>
              <w:t>Working Capital</w:t>
            </w:r>
          </w:p>
        </w:tc>
        <w:tc>
          <w:tcPr>
            <w:tcW w:w="2881" w:type="dxa"/>
            <w:tcBorders>
              <w:top w:val="nil"/>
              <w:left w:val="nil"/>
              <w:bottom w:val="nil"/>
              <w:right w:val="nil"/>
            </w:tcBorders>
            <w:shd w:val="clear" w:color="auto" w:fill="auto"/>
            <w:noWrap/>
            <w:vAlign w:val="bottom"/>
            <w:hideMark/>
          </w:tcPr>
          <w:p w:rsidR="00BD2393" w:rsidRPr="00C356E3" w:rsidRDefault="00BD2393" w:rsidP="008148DF">
            <w:pPr>
              <w:rPr>
                <w:sz w:val="22"/>
                <w:szCs w:val="20"/>
              </w:rPr>
            </w:pPr>
          </w:p>
        </w:tc>
        <w:tc>
          <w:tcPr>
            <w:tcW w:w="320" w:type="dxa"/>
            <w:tcBorders>
              <w:top w:val="nil"/>
              <w:left w:val="nil"/>
              <w:bottom w:val="nil"/>
              <w:right w:val="single" w:sz="4" w:space="0" w:color="auto"/>
            </w:tcBorders>
            <w:shd w:val="clear" w:color="auto" w:fill="auto"/>
            <w:noWrap/>
            <w:vAlign w:val="bottom"/>
            <w:hideMark/>
          </w:tcPr>
          <w:p w:rsidR="00BD2393" w:rsidRPr="00C356E3" w:rsidRDefault="00BD2393" w:rsidP="008148DF">
            <w:pPr>
              <w:rPr>
                <w:sz w:val="20"/>
                <w:szCs w:val="20"/>
              </w:rPr>
            </w:pPr>
            <w:r w:rsidRPr="00C356E3">
              <w:rPr>
                <w:sz w:val="20"/>
                <w:szCs w:val="20"/>
              </w:rPr>
              <w:t> </w:t>
            </w:r>
          </w:p>
        </w:tc>
      </w:tr>
      <w:tr w:rsidR="00BD2393" w:rsidRPr="00C356E3" w:rsidTr="004752E6">
        <w:trPr>
          <w:trHeight w:val="343"/>
          <w:jc w:val="center"/>
        </w:trPr>
        <w:tc>
          <w:tcPr>
            <w:tcW w:w="484" w:type="dxa"/>
            <w:tcBorders>
              <w:top w:val="nil"/>
              <w:left w:val="single" w:sz="4" w:space="0" w:color="auto"/>
              <w:bottom w:val="nil"/>
              <w:right w:val="nil"/>
            </w:tcBorders>
            <w:shd w:val="clear" w:color="auto" w:fill="auto"/>
            <w:noWrap/>
            <w:vAlign w:val="bottom"/>
            <w:hideMark/>
          </w:tcPr>
          <w:p w:rsidR="00BD2393" w:rsidRPr="00C356E3" w:rsidRDefault="00BD2393" w:rsidP="008148DF">
            <w:pPr>
              <w:jc w:val="center"/>
              <w:rPr>
                <w:sz w:val="20"/>
                <w:szCs w:val="20"/>
              </w:rPr>
            </w:pPr>
            <w:r w:rsidRPr="00C356E3">
              <w:rPr>
                <w:sz w:val="20"/>
                <w:szCs w:val="20"/>
              </w:rPr>
              <w:t> </w:t>
            </w:r>
          </w:p>
        </w:tc>
        <w:tc>
          <w:tcPr>
            <w:tcW w:w="5778" w:type="dxa"/>
            <w:tcBorders>
              <w:top w:val="nil"/>
              <w:left w:val="nil"/>
              <w:bottom w:val="nil"/>
              <w:right w:val="nil"/>
            </w:tcBorders>
            <w:shd w:val="clear" w:color="auto" w:fill="auto"/>
            <w:noWrap/>
            <w:vAlign w:val="bottom"/>
            <w:hideMark/>
          </w:tcPr>
          <w:p w:rsidR="00BD2393" w:rsidRPr="00C356E3" w:rsidRDefault="00BD2393" w:rsidP="00A91803">
            <w:pPr>
              <w:rPr>
                <w:sz w:val="22"/>
                <w:szCs w:val="20"/>
              </w:rPr>
            </w:pPr>
            <w:r w:rsidRPr="00C356E3">
              <w:rPr>
                <w:sz w:val="22"/>
                <w:szCs w:val="20"/>
              </w:rPr>
              <w:t xml:space="preserve">To reflect appropriate </w:t>
            </w:r>
            <w:r w:rsidR="00A91803">
              <w:rPr>
                <w:sz w:val="22"/>
                <w:szCs w:val="20"/>
              </w:rPr>
              <w:t>W</w:t>
            </w:r>
            <w:r w:rsidRPr="00C356E3">
              <w:rPr>
                <w:sz w:val="22"/>
                <w:szCs w:val="20"/>
              </w:rPr>
              <w:t xml:space="preserve">orking </w:t>
            </w:r>
            <w:r w:rsidR="00A91803">
              <w:rPr>
                <w:sz w:val="22"/>
                <w:szCs w:val="20"/>
              </w:rPr>
              <w:t>C</w:t>
            </w:r>
            <w:r w:rsidRPr="00C356E3">
              <w:rPr>
                <w:sz w:val="22"/>
                <w:szCs w:val="20"/>
              </w:rPr>
              <w:t>apital</w:t>
            </w:r>
          </w:p>
        </w:tc>
        <w:tc>
          <w:tcPr>
            <w:tcW w:w="2881" w:type="dxa"/>
            <w:tcBorders>
              <w:top w:val="nil"/>
              <w:left w:val="nil"/>
              <w:bottom w:val="nil"/>
              <w:right w:val="nil"/>
            </w:tcBorders>
            <w:shd w:val="clear" w:color="auto" w:fill="auto"/>
            <w:noWrap/>
            <w:vAlign w:val="bottom"/>
            <w:hideMark/>
          </w:tcPr>
          <w:p w:rsidR="00BD2393" w:rsidRPr="00C356E3" w:rsidRDefault="00BD2393" w:rsidP="008148DF">
            <w:pPr>
              <w:jc w:val="right"/>
              <w:rPr>
                <w:sz w:val="22"/>
                <w:szCs w:val="20"/>
                <w:u w:val="double"/>
              </w:rPr>
            </w:pPr>
            <w:r w:rsidRPr="00C356E3">
              <w:rPr>
                <w:sz w:val="22"/>
                <w:szCs w:val="20"/>
                <w:u w:val="double"/>
              </w:rPr>
              <w:t>($139)</w:t>
            </w:r>
          </w:p>
        </w:tc>
        <w:tc>
          <w:tcPr>
            <w:tcW w:w="320" w:type="dxa"/>
            <w:tcBorders>
              <w:top w:val="nil"/>
              <w:left w:val="nil"/>
              <w:bottom w:val="nil"/>
              <w:right w:val="single" w:sz="4" w:space="0" w:color="auto"/>
            </w:tcBorders>
            <w:shd w:val="clear" w:color="auto" w:fill="auto"/>
            <w:noWrap/>
            <w:vAlign w:val="bottom"/>
          </w:tcPr>
          <w:p w:rsidR="00BD2393" w:rsidRPr="00C356E3" w:rsidRDefault="00BD2393" w:rsidP="008148DF">
            <w:pPr>
              <w:rPr>
                <w:sz w:val="20"/>
                <w:szCs w:val="20"/>
                <w:u w:val="double"/>
              </w:rPr>
            </w:pPr>
          </w:p>
        </w:tc>
      </w:tr>
      <w:tr w:rsidR="00BD2393" w:rsidRPr="00C356E3" w:rsidTr="004752E6">
        <w:trPr>
          <w:trHeight w:val="343"/>
          <w:jc w:val="center"/>
        </w:trPr>
        <w:tc>
          <w:tcPr>
            <w:tcW w:w="484" w:type="dxa"/>
            <w:tcBorders>
              <w:top w:val="nil"/>
              <w:left w:val="single" w:sz="4" w:space="0" w:color="auto"/>
              <w:bottom w:val="single" w:sz="4" w:space="0" w:color="auto"/>
              <w:right w:val="nil"/>
            </w:tcBorders>
            <w:shd w:val="clear" w:color="auto" w:fill="auto"/>
            <w:noWrap/>
            <w:vAlign w:val="bottom"/>
            <w:hideMark/>
          </w:tcPr>
          <w:p w:rsidR="00BD2393" w:rsidRPr="00C356E3" w:rsidRDefault="00BD2393" w:rsidP="008148DF">
            <w:pPr>
              <w:jc w:val="center"/>
              <w:rPr>
                <w:sz w:val="20"/>
                <w:szCs w:val="20"/>
              </w:rPr>
            </w:pPr>
            <w:r w:rsidRPr="00C356E3">
              <w:rPr>
                <w:sz w:val="20"/>
                <w:szCs w:val="20"/>
              </w:rPr>
              <w:t> </w:t>
            </w:r>
          </w:p>
        </w:tc>
        <w:tc>
          <w:tcPr>
            <w:tcW w:w="5778" w:type="dxa"/>
            <w:tcBorders>
              <w:top w:val="nil"/>
              <w:left w:val="nil"/>
              <w:bottom w:val="single" w:sz="4" w:space="0" w:color="auto"/>
              <w:right w:val="nil"/>
            </w:tcBorders>
            <w:shd w:val="clear" w:color="auto" w:fill="auto"/>
            <w:noWrap/>
            <w:vAlign w:val="bottom"/>
            <w:hideMark/>
          </w:tcPr>
          <w:p w:rsidR="00BD2393" w:rsidRPr="00C356E3" w:rsidRDefault="00BD2393" w:rsidP="008148DF">
            <w:pPr>
              <w:rPr>
                <w:sz w:val="22"/>
                <w:szCs w:val="20"/>
              </w:rPr>
            </w:pPr>
            <w:r w:rsidRPr="00C356E3">
              <w:rPr>
                <w:sz w:val="22"/>
                <w:szCs w:val="20"/>
              </w:rPr>
              <w:t> </w:t>
            </w:r>
          </w:p>
        </w:tc>
        <w:tc>
          <w:tcPr>
            <w:tcW w:w="2881" w:type="dxa"/>
            <w:tcBorders>
              <w:top w:val="nil"/>
              <w:left w:val="nil"/>
              <w:bottom w:val="single" w:sz="4" w:space="0" w:color="auto"/>
              <w:right w:val="nil"/>
            </w:tcBorders>
            <w:shd w:val="clear" w:color="auto" w:fill="auto"/>
            <w:noWrap/>
            <w:vAlign w:val="bottom"/>
            <w:hideMark/>
          </w:tcPr>
          <w:p w:rsidR="00BD2393" w:rsidRPr="00C356E3" w:rsidRDefault="00BD2393" w:rsidP="008148DF">
            <w:pPr>
              <w:rPr>
                <w:sz w:val="22"/>
                <w:szCs w:val="20"/>
              </w:rPr>
            </w:pPr>
            <w:r w:rsidRPr="00C356E3">
              <w:rPr>
                <w:sz w:val="22"/>
                <w:szCs w:val="20"/>
              </w:rPr>
              <w:t> </w:t>
            </w:r>
          </w:p>
        </w:tc>
        <w:tc>
          <w:tcPr>
            <w:tcW w:w="320" w:type="dxa"/>
            <w:tcBorders>
              <w:top w:val="nil"/>
              <w:left w:val="nil"/>
              <w:bottom w:val="single" w:sz="4" w:space="0" w:color="auto"/>
              <w:right w:val="single" w:sz="4" w:space="0" w:color="auto"/>
            </w:tcBorders>
            <w:shd w:val="clear" w:color="auto" w:fill="auto"/>
            <w:noWrap/>
            <w:vAlign w:val="bottom"/>
            <w:hideMark/>
          </w:tcPr>
          <w:p w:rsidR="00BD2393" w:rsidRPr="00C356E3" w:rsidRDefault="00BD2393" w:rsidP="008148DF">
            <w:pPr>
              <w:rPr>
                <w:sz w:val="20"/>
                <w:szCs w:val="20"/>
              </w:rPr>
            </w:pPr>
            <w:r w:rsidRPr="00C356E3">
              <w:rPr>
                <w:sz w:val="20"/>
                <w:szCs w:val="20"/>
              </w:rPr>
              <w:t> </w:t>
            </w:r>
          </w:p>
        </w:tc>
      </w:tr>
    </w:tbl>
    <w:p w:rsidR="00BD2393" w:rsidRDefault="00BD2393" w:rsidP="00E275D8">
      <w:pPr>
        <w:pStyle w:val="BodyText"/>
      </w:pPr>
    </w:p>
    <w:p w:rsidR="00BD2393" w:rsidRDefault="00BD2393" w:rsidP="00E275D8">
      <w:pPr>
        <w:pStyle w:val="BodyText"/>
      </w:pPr>
    </w:p>
    <w:p w:rsidR="00BD2393" w:rsidRDefault="00BD2393" w:rsidP="00E275D8">
      <w:pPr>
        <w:pStyle w:val="BodyText"/>
        <w:sectPr w:rsidR="00BD2393" w:rsidSect="0068481F">
          <w:headerReference w:type="default" r:id="rId23"/>
          <w:pgSz w:w="12240" w:h="15840" w:code="1"/>
          <w:pgMar w:top="1584" w:right="1440" w:bottom="1440" w:left="1440" w:header="720" w:footer="720" w:gutter="0"/>
          <w:cols w:space="720"/>
          <w:formProt w:val="0"/>
          <w:docGrid w:linePitch="360"/>
        </w:sectPr>
      </w:pPr>
    </w:p>
    <w:p w:rsidR="00AF2909" w:rsidRDefault="00BD2393" w:rsidP="00BD2393">
      <w:pPr>
        <w:pStyle w:val="BodyText"/>
        <w:jc w:val="center"/>
        <w:rPr>
          <w:noProof/>
        </w:rPr>
      </w:pPr>
      <w:r>
        <w:lastRenderedPageBreak/>
        <w:fldChar w:fldCharType="begin"/>
      </w:r>
      <w:r>
        <w:instrText xml:space="preserve"> TC "</w:instrText>
      </w:r>
      <w:bookmarkStart w:id="36" w:name="_Toc24969908"/>
      <w:bookmarkStart w:id="37" w:name="_Toc25305771"/>
      <w:r>
        <w:tab/>
        <w:instrText>Schedule No. 2</w:instrText>
      </w:r>
      <w:bookmarkEnd w:id="36"/>
      <w:r>
        <w:instrText xml:space="preserve"> </w:instrText>
      </w:r>
      <w:r w:rsidR="00527C05">
        <w:instrText>Capital Structure 13-Month Average</w:instrText>
      </w:r>
      <w:bookmarkEnd w:id="37"/>
      <w:r>
        <w:instrText xml:space="preserve">" \l 1 </w:instrText>
      </w:r>
      <w:r>
        <w:fldChar w:fldCharType="end"/>
      </w:r>
    </w:p>
    <w:p w:rsidR="00BD2393" w:rsidRDefault="00A21340" w:rsidP="00E275D8">
      <w:pPr>
        <w:pStyle w:val="BodyText"/>
        <w:rPr>
          <w:noProof/>
        </w:rPr>
      </w:pPr>
      <w:r w:rsidRPr="00E37526">
        <w:rPr>
          <w:noProof/>
        </w:rPr>
        <w:drawing>
          <wp:inline distT="0" distB="0" distL="0" distR="0" wp14:anchorId="79DC6996" wp14:editId="17CB955B">
            <wp:extent cx="8138160" cy="521759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138160" cy="5217590"/>
                    </a:xfrm>
                    <a:prstGeom prst="rect">
                      <a:avLst/>
                    </a:prstGeom>
                    <a:noFill/>
                    <a:ln>
                      <a:noFill/>
                    </a:ln>
                  </pic:spPr>
                </pic:pic>
              </a:graphicData>
            </a:graphic>
          </wp:inline>
        </w:drawing>
      </w:r>
    </w:p>
    <w:p w:rsidR="00BD2393" w:rsidRDefault="00BD2393" w:rsidP="00E275D8">
      <w:pPr>
        <w:pStyle w:val="BodyText"/>
        <w:rPr>
          <w:noProof/>
        </w:rPr>
      </w:pPr>
    </w:p>
    <w:p w:rsidR="00BD2393" w:rsidRDefault="00BD2393" w:rsidP="00E275D8">
      <w:pPr>
        <w:pStyle w:val="BodyText"/>
        <w:sectPr w:rsidR="00BD2393" w:rsidSect="00AF2909">
          <w:headerReference w:type="default" r:id="rId25"/>
          <w:pgSz w:w="15840" w:h="12240" w:orient="landscape" w:code="1"/>
          <w:pgMar w:top="1440" w:right="1584" w:bottom="1440" w:left="1440" w:header="720" w:footer="720" w:gutter="0"/>
          <w:cols w:space="720"/>
          <w:formProt w:val="0"/>
          <w:docGrid w:linePitch="360"/>
        </w:sectPr>
      </w:pPr>
    </w:p>
    <w:p w:rsidR="004373DD" w:rsidRDefault="004373DD" w:rsidP="00BD2393">
      <w:pPr>
        <w:pStyle w:val="BodyText"/>
        <w:jc w:val="center"/>
      </w:pPr>
    </w:p>
    <w:p w:rsidR="00AF2909" w:rsidRDefault="004373DD" w:rsidP="00BD2393">
      <w:pPr>
        <w:pStyle w:val="BodyText"/>
        <w:jc w:val="center"/>
        <w:rPr>
          <w:noProof/>
        </w:rPr>
      </w:pPr>
      <w:r w:rsidRPr="004373DD">
        <w:rPr>
          <w:noProof/>
        </w:rPr>
        <w:drawing>
          <wp:inline distT="0" distB="0" distL="0" distR="0">
            <wp:extent cx="7047865" cy="4545965"/>
            <wp:effectExtent l="0" t="0" r="635"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047865" cy="4545965"/>
                    </a:xfrm>
                    <a:prstGeom prst="rect">
                      <a:avLst/>
                    </a:prstGeom>
                    <a:noFill/>
                    <a:ln>
                      <a:noFill/>
                    </a:ln>
                  </pic:spPr>
                </pic:pic>
              </a:graphicData>
            </a:graphic>
          </wp:inline>
        </w:drawing>
      </w:r>
      <w:r w:rsidR="00BD2393">
        <w:fldChar w:fldCharType="begin"/>
      </w:r>
      <w:r w:rsidR="00BD2393">
        <w:instrText xml:space="preserve"> TC "</w:instrText>
      </w:r>
      <w:bookmarkStart w:id="38" w:name="_Toc25305772"/>
      <w:r w:rsidR="00BD2393">
        <w:tab/>
        <w:instrText xml:space="preserve">Schedule No. 3-A </w:instrText>
      </w:r>
      <w:r w:rsidR="00527C05">
        <w:instrText>Statement of Water Operations</w:instrText>
      </w:r>
      <w:bookmarkEnd w:id="38"/>
      <w:r w:rsidR="00BD2393">
        <w:instrText xml:space="preserve">" \l 1 </w:instrText>
      </w:r>
      <w:r w:rsidR="00BD2393">
        <w:fldChar w:fldCharType="end"/>
      </w:r>
    </w:p>
    <w:p w:rsidR="00BD2393" w:rsidRDefault="00BD2393" w:rsidP="00E275D8">
      <w:pPr>
        <w:pStyle w:val="BodyText"/>
        <w:rPr>
          <w:noProof/>
        </w:rPr>
      </w:pPr>
    </w:p>
    <w:p w:rsidR="00BD2393" w:rsidRDefault="00BD2393" w:rsidP="00E275D8">
      <w:pPr>
        <w:pStyle w:val="BodyText"/>
        <w:rPr>
          <w:noProof/>
        </w:rPr>
      </w:pPr>
    </w:p>
    <w:p w:rsidR="00BD2393" w:rsidRDefault="00BD2393" w:rsidP="00E275D8">
      <w:pPr>
        <w:pStyle w:val="BodyText"/>
        <w:sectPr w:rsidR="00BD2393" w:rsidSect="00AF2909">
          <w:headerReference w:type="default" r:id="rId27"/>
          <w:pgSz w:w="15840" w:h="12240" w:orient="landscape" w:code="1"/>
          <w:pgMar w:top="1440" w:right="1584" w:bottom="1440" w:left="1440" w:header="720" w:footer="720" w:gutter="0"/>
          <w:cols w:space="720"/>
          <w:formProt w:val="0"/>
          <w:docGrid w:linePitch="360"/>
        </w:sectPr>
      </w:pPr>
    </w:p>
    <w:p w:rsidR="00AF2909" w:rsidRDefault="00BD2393" w:rsidP="00BD2393">
      <w:pPr>
        <w:pStyle w:val="BodyText"/>
        <w:jc w:val="center"/>
        <w:rPr>
          <w:noProof/>
        </w:rPr>
      </w:pPr>
      <w:r>
        <w:lastRenderedPageBreak/>
        <w:tab/>
      </w:r>
      <w:r>
        <w:fldChar w:fldCharType="begin"/>
      </w:r>
      <w:r>
        <w:instrText xml:space="preserve"> TC "</w:instrText>
      </w:r>
      <w:bookmarkStart w:id="39" w:name="_Toc24969910"/>
      <w:bookmarkStart w:id="40" w:name="_Toc25305773"/>
      <w:r>
        <w:tab/>
        <w:instrText>Schedule No. 3-B</w:instrText>
      </w:r>
      <w:bookmarkEnd w:id="39"/>
      <w:r>
        <w:instrText xml:space="preserve"> </w:instrText>
      </w:r>
      <w:r w:rsidR="00527C05">
        <w:instrText>Adjustment to Operating Income</w:instrText>
      </w:r>
      <w:bookmarkEnd w:id="40"/>
      <w:r>
        <w:instrText xml:space="preserve">" \l 1 </w:instrText>
      </w:r>
      <w:r>
        <w:fldChar w:fldCharType="end"/>
      </w:r>
    </w:p>
    <w:tbl>
      <w:tblPr>
        <w:tblW w:w="9080" w:type="dxa"/>
        <w:jc w:val="center"/>
        <w:tblInd w:w="103" w:type="dxa"/>
        <w:tblLook w:val="04A0" w:firstRow="1" w:lastRow="0" w:firstColumn="1" w:lastColumn="0" w:noHBand="0" w:noVBand="1"/>
      </w:tblPr>
      <w:tblGrid>
        <w:gridCol w:w="462"/>
        <w:gridCol w:w="5608"/>
        <w:gridCol w:w="2656"/>
        <w:gridCol w:w="354"/>
      </w:tblGrid>
      <w:tr w:rsidR="00BD2393" w:rsidRPr="00C356E3" w:rsidTr="004752E6">
        <w:trPr>
          <w:trHeight w:val="316"/>
          <w:jc w:val="center"/>
        </w:trPr>
        <w:tc>
          <w:tcPr>
            <w:tcW w:w="462" w:type="dxa"/>
            <w:tcBorders>
              <w:top w:val="single" w:sz="4" w:space="0" w:color="auto"/>
              <w:left w:val="single" w:sz="4" w:space="0" w:color="auto"/>
              <w:bottom w:val="nil"/>
              <w:right w:val="nil"/>
            </w:tcBorders>
            <w:shd w:val="clear" w:color="auto" w:fill="auto"/>
            <w:noWrap/>
            <w:vAlign w:val="bottom"/>
            <w:hideMark/>
          </w:tcPr>
          <w:p w:rsidR="00BD2393" w:rsidRPr="00C356E3" w:rsidRDefault="00BD2393" w:rsidP="008148DF">
            <w:pPr>
              <w:rPr>
                <w:sz w:val="20"/>
                <w:szCs w:val="20"/>
              </w:rPr>
            </w:pPr>
            <w:bookmarkStart w:id="41" w:name="RANGE!B31:D57"/>
            <w:r w:rsidRPr="00C356E3">
              <w:rPr>
                <w:sz w:val="20"/>
                <w:szCs w:val="20"/>
              </w:rPr>
              <w:t> </w:t>
            </w:r>
            <w:bookmarkEnd w:id="41"/>
          </w:p>
        </w:tc>
        <w:tc>
          <w:tcPr>
            <w:tcW w:w="5608" w:type="dxa"/>
            <w:tcBorders>
              <w:top w:val="single" w:sz="4" w:space="0" w:color="auto"/>
              <w:left w:val="nil"/>
              <w:bottom w:val="nil"/>
              <w:right w:val="nil"/>
            </w:tcBorders>
            <w:shd w:val="clear" w:color="auto" w:fill="auto"/>
            <w:noWrap/>
            <w:vAlign w:val="bottom"/>
            <w:hideMark/>
          </w:tcPr>
          <w:p w:rsidR="00BD2393" w:rsidRPr="00C356E3" w:rsidRDefault="00BD2393" w:rsidP="008148DF">
            <w:pPr>
              <w:rPr>
                <w:b/>
                <w:bCs/>
                <w:sz w:val="22"/>
                <w:szCs w:val="22"/>
              </w:rPr>
            </w:pPr>
            <w:r w:rsidRPr="00C356E3">
              <w:rPr>
                <w:b/>
                <w:bCs/>
                <w:sz w:val="22"/>
                <w:szCs w:val="22"/>
              </w:rPr>
              <w:t>Placid Lakes Utilities, Inc.</w:t>
            </w:r>
          </w:p>
        </w:tc>
        <w:tc>
          <w:tcPr>
            <w:tcW w:w="2656" w:type="dxa"/>
            <w:tcBorders>
              <w:top w:val="single" w:sz="4" w:space="0" w:color="auto"/>
              <w:left w:val="nil"/>
              <w:bottom w:val="nil"/>
              <w:right w:val="nil"/>
            </w:tcBorders>
            <w:shd w:val="clear" w:color="auto" w:fill="auto"/>
            <w:noWrap/>
            <w:vAlign w:val="bottom"/>
            <w:hideMark/>
          </w:tcPr>
          <w:p w:rsidR="00BD2393" w:rsidRPr="00C356E3" w:rsidRDefault="00BD2393" w:rsidP="008148DF">
            <w:pPr>
              <w:jc w:val="right"/>
              <w:rPr>
                <w:b/>
                <w:bCs/>
                <w:sz w:val="22"/>
                <w:szCs w:val="22"/>
              </w:rPr>
            </w:pPr>
            <w:r w:rsidRPr="00C356E3">
              <w:rPr>
                <w:b/>
                <w:bCs/>
                <w:sz w:val="22"/>
                <w:szCs w:val="22"/>
              </w:rPr>
              <w:t>Schedule No. 3-B</w:t>
            </w:r>
          </w:p>
        </w:tc>
        <w:tc>
          <w:tcPr>
            <w:tcW w:w="354" w:type="dxa"/>
            <w:tcBorders>
              <w:top w:val="single" w:sz="4" w:space="0" w:color="auto"/>
              <w:left w:val="nil"/>
              <w:bottom w:val="nil"/>
              <w:right w:val="single" w:sz="4" w:space="0" w:color="auto"/>
            </w:tcBorders>
            <w:shd w:val="clear" w:color="auto" w:fill="auto"/>
            <w:noWrap/>
            <w:vAlign w:val="bottom"/>
            <w:hideMark/>
          </w:tcPr>
          <w:p w:rsidR="00BD2393" w:rsidRPr="00C356E3" w:rsidRDefault="00BD2393" w:rsidP="008148DF">
            <w:pPr>
              <w:rPr>
                <w:sz w:val="20"/>
                <w:szCs w:val="20"/>
              </w:rPr>
            </w:pPr>
            <w:r w:rsidRPr="00C356E3">
              <w:rPr>
                <w:sz w:val="20"/>
                <w:szCs w:val="20"/>
              </w:rPr>
              <w:t> </w:t>
            </w:r>
          </w:p>
        </w:tc>
      </w:tr>
      <w:tr w:rsidR="00BD2393" w:rsidRPr="00C356E3" w:rsidTr="004752E6">
        <w:trPr>
          <w:trHeight w:val="316"/>
          <w:jc w:val="center"/>
        </w:trPr>
        <w:tc>
          <w:tcPr>
            <w:tcW w:w="462" w:type="dxa"/>
            <w:tcBorders>
              <w:top w:val="nil"/>
              <w:left w:val="single" w:sz="4" w:space="0" w:color="auto"/>
              <w:bottom w:val="nil"/>
              <w:right w:val="nil"/>
            </w:tcBorders>
            <w:shd w:val="clear" w:color="auto" w:fill="auto"/>
            <w:noWrap/>
            <w:vAlign w:val="bottom"/>
            <w:hideMark/>
          </w:tcPr>
          <w:p w:rsidR="00BD2393" w:rsidRPr="00C356E3" w:rsidRDefault="00BD2393" w:rsidP="008148DF">
            <w:pPr>
              <w:rPr>
                <w:sz w:val="20"/>
                <w:szCs w:val="20"/>
              </w:rPr>
            </w:pPr>
            <w:r w:rsidRPr="00C356E3">
              <w:rPr>
                <w:sz w:val="20"/>
                <w:szCs w:val="20"/>
              </w:rPr>
              <w:t> </w:t>
            </w:r>
          </w:p>
        </w:tc>
        <w:tc>
          <w:tcPr>
            <w:tcW w:w="5608" w:type="dxa"/>
            <w:tcBorders>
              <w:top w:val="nil"/>
              <w:left w:val="nil"/>
              <w:bottom w:val="nil"/>
              <w:right w:val="nil"/>
            </w:tcBorders>
            <w:shd w:val="clear" w:color="auto" w:fill="auto"/>
            <w:noWrap/>
            <w:vAlign w:val="bottom"/>
            <w:hideMark/>
          </w:tcPr>
          <w:p w:rsidR="00BD2393" w:rsidRPr="00C356E3" w:rsidRDefault="00BD2393" w:rsidP="008148DF">
            <w:pPr>
              <w:rPr>
                <w:b/>
                <w:bCs/>
                <w:sz w:val="22"/>
                <w:szCs w:val="22"/>
              </w:rPr>
            </w:pPr>
            <w:r w:rsidRPr="00C356E3">
              <w:rPr>
                <w:b/>
                <w:bCs/>
                <w:sz w:val="22"/>
                <w:szCs w:val="22"/>
              </w:rPr>
              <w:t>Adjustment to Operating Income</w:t>
            </w:r>
          </w:p>
        </w:tc>
        <w:tc>
          <w:tcPr>
            <w:tcW w:w="2656" w:type="dxa"/>
            <w:tcBorders>
              <w:top w:val="nil"/>
              <w:left w:val="nil"/>
              <w:bottom w:val="nil"/>
              <w:right w:val="nil"/>
            </w:tcBorders>
            <w:shd w:val="clear" w:color="auto" w:fill="auto"/>
            <w:noWrap/>
            <w:vAlign w:val="bottom"/>
            <w:hideMark/>
          </w:tcPr>
          <w:p w:rsidR="00BD2393" w:rsidRPr="00C356E3" w:rsidRDefault="004752E6" w:rsidP="008148DF">
            <w:pPr>
              <w:jc w:val="right"/>
              <w:rPr>
                <w:b/>
                <w:bCs/>
                <w:sz w:val="22"/>
                <w:szCs w:val="22"/>
              </w:rPr>
            </w:pPr>
            <w:r>
              <w:rPr>
                <w:b/>
                <w:bCs/>
                <w:sz w:val="22"/>
                <w:szCs w:val="22"/>
              </w:rPr>
              <w:t>Docket No. 20190031-WU</w:t>
            </w:r>
          </w:p>
        </w:tc>
        <w:tc>
          <w:tcPr>
            <w:tcW w:w="354" w:type="dxa"/>
            <w:tcBorders>
              <w:top w:val="nil"/>
              <w:left w:val="nil"/>
              <w:bottom w:val="nil"/>
              <w:right w:val="single" w:sz="4" w:space="0" w:color="auto"/>
            </w:tcBorders>
            <w:shd w:val="clear" w:color="auto" w:fill="auto"/>
            <w:noWrap/>
            <w:vAlign w:val="bottom"/>
            <w:hideMark/>
          </w:tcPr>
          <w:p w:rsidR="00BD2393" w:rsidRPr="00C356E3" w:rsidRDefault="00BD2393" w:rsidP="008148DF">
            <w:pPr>
              <w:rPr>
                <w:sz w:val="20"/>
                <w:szCs w:val="20"/>
              </w:rPr>
            </w:pPr>
            <w:r w:rsidRPr="00C356E3">
              <w:rPr>
                <w:sz w:val="20"/>
                <w:szCs w:val="20"/>
              </w:rPr>
              <w:t> </w:t>
            </w:r>
          </w:p>
        </w:tc>
      </w:tr>
      <w:tr w:rsidR="00BD2393" w:rsidRPr="00C356E3" w:rsidTr="004752E6">
        <w:trPr>
          <w:trHeight w:val="316"/>
          <w:jc w:val="center"/>
        </w:trPr>
        <w:tc>
          <w:tcPr>
            <w:tcW w:w="462" w:type="dxa"/>
            <w:tcBorders>
              <w:top w:val="nil"/>
              <w:left w:val="single" w:sz="4" w:space="0" w:color="auto"/>
              <w:bottom w:val="single" w:sz="4" w:space="0" w:color="auto"/>
              <w:right w:val="nil"/>
            </w:tcBorders>
            <w:shd w:val="clear" w:color="auto" w:fill="auto"/>
            <w:noWrap/>
            <w:vAlign w:val="bottom"/>
            <w:hideMark/>
          </w:tcPr>
          <w:p w:rsidR="00BD2393" w:rsidRPr="00C356E3" w:rsidRDefault="00BD2393" w:rsidP="008148DF">
            <w:pPr>
              <w:rPr>
                <w:sz w:val="20"/>
                <w:szCs w:val="20"/>
              </w:rPr>
            </w:pPr>
            <w:r w:rsidRPr="00C356E3">
              <w:rPr>
                <w:sz w:val="20"/>
                <w:szCs w:val="20"/>
              </w:rPr>
              <w:t> </w:t>
            </w:r>
          </w:p>
        </w:tc>
        <w:tc>
          <w:tcPr>
            <w:tcW w:w="5608" w:type="dxa"/>
            <w:tcBorders>
              <w:top w:val="nil"/>
              <w:left w:val="nil"/>
              <w:bottom w:val="single" w:sz="4" w:space="0" w:color="auto"/>
              <w:right w:val="nil"/>
            </w:tcBorders>
            <w:shd w:val="clear" w:color="auto" w:fill="auto"/>
            <w:noWrap/>
            <w:vAlign w:val="bottom"/>
            <w:hideMark/>
          </w:tcPr>
          <w:p w:rsidR="00BD2393" w:rsidRPr="00C356E3" w:rsidRDefault="00BD2393" w:rsidP="008148DF">
            <w:pPr>
              <w:rPr>
                <w:b/>
                <w:bCs/>
                <w:sz w:val="22"/>
                <w:szCs w:val="22"/>
              </w:rPr>
            </w:pPr>
            <w:r w:rsidRPr="00C356E3">
              <w:rPr>
                <w:b/>
                <w:bCs/>
                <w:sz w:val="22"/>
                <w:szCs w:val="22"/>
              </w:rPr>
              <w:t>Test Year Ended 12/31/18</w:t>
            </w:r>
          </w:p>
        </w:tc>
        <w:tc>
          <w:tcPr>
            <w:tcW w:w="2656" w:type="dxa"/>
            <w:tcBorders>
              <w:top w:val="nil"/>
              <w:left w:val="nil"/>
              <w:bottom w:val="single" w:sz="4" w:space="0" w:color="auto"/>
              <w:right w:val="nil"/>
            </w:tcBorders>
            <w:shd w:val="clear" w:color="auto" w:fill="auto"/>
            <w:noWrap/>
            <w:vAlign w:val="bottom"/>
            <w:hideMark/>
          </w:tcPr>
          <w:p w:rsidR="00BD2393" w:rsidRPr="00C356E3" w:rsidRDefault="00BD2393" w:rsidP="008148DF">
            <w:pPr>
              <w:rPr>
                <w:b/>
                <w:bCs/>
                <w:sz w:val="22"/>
                <w:szCs w:val="22"/>
              </w:rPr>
            </w:pPr>
            <w:r w:rsidRPr="00C356E3">
              <w:rPr>
                <w:b/>
                <w:bCs/>
                <w:sz w:val="22"/>
                <w:szCs w:val="22"/>
              </w:rPr>
              <w:t> </w:t>
            </w:r>
          </w:p>
        </w:tc>
        <w:tc>
          <w:tcPr>
            <w:tcW w:w="354" w:type="dxa"/>
            <w:tcBorders>
              <w:top w:val="nil"/>
              <w:left w:val="nil"/>
              <w:bottom w:val="single" w:sz="4" w:space="0" w:color="auto"/>
              <w:right w:val="single" w:sz="4" w:space="0" w:color="auto"/>
            </w:tcBorders>
            <w:shd w:val="clear" w:color="auto" w:fill="auto"/>
            <w:noWrap/>
            <w:vAlign w:val="bottom"/>
            <w:hideMark/>
          </w:tcPr>
          <w:p w:rsidR="00BD2393" w:rsidRPr="00C356E3" w:rsidRDefault="00BD2393" w:rsidP="008148DF">
            <w:pPr>
              <w:rPr>
                <w:sz w:val="20"/>
                <w:szCs w:val="20"/>
              </w:rPr>
            </w:pPr>
            <w:r w:rsidRPr="00C356E3">
              <w:rPr>
                <w:sz w:val="20"/>
                <w:szCs w:val="20"/>
              </w:rPr>
              <w:t> </w:t>
            </w:r>
          </w:p>
        </w:tc>
      </w:tr>
      <w:tr w:rsidR="00BD2393" w:rsidRPr="00C356E3" w:rsidTr="004752E6">
        <w:trPr>
          <w:trHeight w:val="316"/>
          <w:jc w:val="center"/>
        </w:trPr>
        <w:tc>
          <w:tcPr>
            <w:tcW w:w="462" w:type="dxa"/>
            <w:tcBorders>
              <w:top w:val="nil"/>
              <w:left w:val="single" w:sz="4" w:space="0" w:color="auto"/>
              <w:bottom w:val="nil"/>
              <w:right w:val="nil"/>
            </w:tcBorders>
            <w:shd w:val="clear" w:color="auto" w:fill="auto"/>
            <w:noWrap/>
            <w:vAlign w:val="bottom"/>
            <w:hideMark/>
          </w:tcPr>
          <w:p w:rsidR="00BD2393" w:rsidRPr="00C356E3" w:rsidRDefault="00BD2393" w:rsidP="008148DF">
            <w:pPr>
              <w:rPr>
                <w:sz w:val="20"/>
                <w:szCs w:val="20"/>
              </w:rPr>
            </w:pPr>
            <w:r w:rsidRPr="00C356E3">
              <w:rPr>
                <w:sz w:val="20"/>
                <w:szCs w:val="20"/>
              </w:rPr>
              <w:t> </w:t>
            </w:r>
          </w:p>
        </w:tc>
        <w:tc>
          <w:tcPr>
            <w:tcW w:w="5608" w:type="dxa"/>
            <w:tcBorders>
              <w:top w:val="nil"/>
              <w:left w:val="nil"/>
              <w:bottom w:val="nil"/>
              <w:right w:val="nil"/>
            </w:tcBorders>
            <w:shd w:val="clear" w:color="auto" w:fill="auto"/>
            <w:noWrap/>
            <w:vAlign w:val="bottom"/>
            <w:hideMark/>
          </w:tcPr>
          <w:p w:rsidR="00BD2393" w:rsidRPr="00C356E3" w:rsidRDefault="00BD2393" w:rsidP="008148DF">
            <w:pPr>
              <w:rPr>
                <w:sz w:val="22"/>
                <w:szCs w:val="22"/>
              </w:rPr>
            </w:pPr>
          </w:p>
        </w:tc>
        <w:tc>
          <w:tcPr>
            <w:tcW w:w="2656" w:type="dxa"/>
            <w:tcBorders>
              <w:top w:val="nil"/>
              <w:left w:val="nil"/>
              <w:bottom w:val="nil"/>
              <w:right w:val="nil"/>
            </w:tcBorders>
            <w:shd w:val="clear" w:color="auto" w:fill="auto"/>
            <w:noWrap/>
            <w:vAlign w:val="bottom"/>
            <w:hideMark/>
          </w:tcPr>
          <w:p w:rsidR="00BD2393" w:rsidRPr="00C356E3" w:rsidRDefault="00BD2393" w:rsidP="008148DF">
            <w:pPr>
              <w:rPr>
                <w:sz w:val="22"/>
                <w:szCs w:val="22"/>
              </w:rPr>
            </w:pPr>
          </w:p>
        </w:tc>
        <w:tc>
          <w:tcPr>
            <w:tcW w:w="354" w:type="dxa"/>
            <w:tcBorders>
              <w:top w:val="nil"/>
              <w:left w:val="nil"/>
              <w:bottom w:val="nil"/>
              <w:right w:val="single" w:sz="4" w:space="0" w:color="auto"/>
            </w:tcBorders>
            <w:shd w:val="clear" w:color="auto" w:fill="auto"/>
            <w:noWrap/>
            <w:vAlign w:val="bottom"/>
            <w:hideMark/>
          </w:tcPr>
          <w:p w:rsidR="00BD2393" w:rsidRPr="00C356E3" w:rsidRDefault="00BD2393" w:rsidP="008148DF">
            <w:pPr>
              <w:rPr>
                <w:sz w:val="20"/>
                <w:szCs w:val="20"/>
              </w:rPr>
            </w:pPr>
            <w:r w:rsidRPr="00C356E3">
              <w:rPr>
                <w:sz w:val="20"/>
                <w:szCs w:val="20"/>
              </w:rPr>
              <w:t> </w:t>
            </w:r>
          </w:p>
        </w:tc>
      </w:tr>
      <w:tr w:rsidR="00BD2393" w:rsidRPr="00C356E3" w:rsidTr="004752E6">
        <w:trPr>
          <w:trHeight w:val="316"/>
          <w:jc w:val="center"/>
        </w:trPr>
        <w:tc>
          <w:tcPr>
            <w:tcW w:w="462" w:type="dxa"/>
            <w:tcBorders>
              <w:top w:val="nil"/>
              <w:left w:val="single" w:sz="4" w:space="0" w:color="auto"/>
              <w:bottom w:val="nil"/>
              <w:right w:val="nil"/>
            </w:tcBorders>
            <w:shd w:val="clear" w:color="auto" w:fill="auto"/>
            <w:noWrap/>
            <w:vAlign w:val="bottom"/>
            <w:hideMark/>
          </w:tcPr>
          <w:p w:rsidR="00BD2393" w:rsidRPr="00C356E3" w:rsidRDefault="00BD2393" w:rsidP="008148DF">
            <w:pPr>
              <w:rPr>
                <w:sz w:val="20"/>
                <w:szCs w:val="20"/>
              </w:rPr>
            </w:pPr>
            <w:r w:rsidRPr="00C356E3">
              <w:rPr>
                <w:sz w:val="20"/>
                <w:szCs w:val="20"/>
              </w:rPr>
              <w:t> </w:t>
            </w:r>
          </w:p>
        </w:tc>
        <w:tc>
          <w:tcPr>
            <w:tcW w:w="5608" w:type="dxa"/>
            <w:tcBorders>
              <w:top w:val="nil"/>
              <w:left w:val="nil"/>
              <w:bottom w:val="nil"/>
              <w:right w:val="nil"/>
            </w:tcBorders>
            <w:shd w:val="clear" w:color="auto" w:fill="auto"/>
            <w:noWrap/>
            <w:vAlign w:val="bottom"/>
            <w:hideMark/>
          </w:tcPr>
          <w:p w:rsidR="00BD2393" w:rsidRPr="00C356E3" w:rsidRDefault="00BD2393" w:rsidP="008148DF">
            <w:pPr>
              <w:rPr>
                <w:b/>
                <w:bCs/>
                <w:sz w:val="22"/>
                <w:szCs w:val="22"/>
              </w:rPr>
            </w:pPr>
            <w:r w:rsidRPr="00C356E3">
              <w:rPr>
                <w:b/>
                <w:bCs/>
                <w:sz w:val="22"/>
                <w:szCs w:val="22"/>
              </w:rPr>
              <w:t>Explanation</w:t>
            </w:r>
          </w:p>
        </w:tc>
        <w:tc>
          <w:tcPr>
            <w:tcW w:w="2656" w:type="dxa"/>
            <w:tcBorders>
              <w:top w:val="nil"/>
              <w:left w:val="nil"/>
              <w:bottom w:val="nil"/>
              <w:right w:val="nil"/>
            </w:tcBorders>
            <w:shd w:val="clear" w:color="auto" w:fill="auto"/>
            <w:noWrap/>
            <w:vAlign w:val="bottom"/>
            <w:hideMark/>
          </w:tcPr>
          <w:p w:rsidR="00BD2393" w:rsidRPr="00C356E3" w:rsidRDefault="00BD2393" w:rsidP="008148DF">
            <w:pPr>
              <w:jc w:val="center"/>
              <w:rPr>
                <w:b/>
                <w:bCs/>
                <w:sz w:val="22"/>
                <w:szCs w:val="22"/>
              </w:rPr>
            </w:pPr>
            <w:r w:rsidRPr="00C356E3">
              <w:rPr>
                <w:b/>
                <w:bCs/>
                <w:sz w:val="22"/>
                <w:szCs w:val="22"/>
              </w:rPr>
              <w:t>Water</w:t>
            </w:r>
          </w:p>
        </w:tc>
        <w:tc>
          <w:tcPr>
            <w:tcW w:w="354" w:type="dxa"/>
            <w:tcBorders>
              <w:top w:val="nil"/>
              <w:left w:val="nil"/>
              <w:bottom w:val="nil"/>
              <w:right w:val="single" w:sz="4" w:space="0" w:color="auto"/>
            </w:tcBorders>
            <w:shd w:val="clear" w:color="auto" w:fill="auto"/>
            <w:noWrap/>
            <w:vAlign w:val="bottom"/>
            <w:hideMark/>
          </w:tcPr>
          <w:p w:rsidR="00BD2393" w:rsidRPr="00C356E3" w:rsidRDefault="00BD2393" w:rsidP="008148DF">
            <w:pPr>
              <w:jc w:val="center"/>
              <w:rPr>
                <w:sz w:val="20"/>
                <w:szCs w:val="20"/>
              </w:rPr>
            </w:pPr>
            <w:r w:rsidRPr="00C356E3">
              <w:rPr>
                <w:sz w:val="20"/>
                <w:szCs w:val="20"/>
              </w:rPr>
              <w:t> </w:t>
            </w:r>
          </w:p>
        </w:tc>
      </w:tr>
      <w:tr w:rsidR="00BD2393" w:rsidRPr="00C356E3" w:rsidTr="004752E6">
        <w:trPr>
          <w:trHeight w:val="316"/>
          <w:jc w:val="center"/>
        </w:trPr>
        <w:tc>
          <w:tcPr>
            <w:tcW w:w="462" w:type="dxa"/>
            <w:tcBorders>
              <w:top w:val="nil"/>
              <w:left w:val="single" w:sz="4" w:space="0" w:color="auto"/>
              <w:bottom w:val="nil"/>
              <w:right w:val="nil"/>
            </w:tcBorders>
            <w:shd w:val="clear" w:color="auto" w:fill="auto"/>
            <w:noWrap/>
            <w:vAlign w:val="bottom"/>
            <w:hideMark/>
          </w:tcPr>
          <w:p w:rsidR="00BD2393" w:rsidRPr="00C356E3" w:rsidRDefault="00BD2393" w:rsidP="008148DF">
            <w:pPr>
              <w:rPr>
                <w:sz w:val="20"/>
                <w:szCs w:val="20"/>
              </w:rPr>
            </w:pPr>
            <w:r w:rsidRPr="00C356E3">
              <w:rPr>
                <w:sz w:val="20"/>
                <w:szCs w:val="20"/>
              </w:rPr>
              <w:t> </w:t>
            </w:r>
          </w:p>
        </w:tc>
        <w:tc>
          <w:tcPr>
            <w:tcW w:w="5608" w:type="dxa"/>
            <w:tcBorders>
              <w:top w:val="nil"/>
              <w:left w:val="nil"/>
              <w:bottom w:val="nil"/>
              <w:right w:val="nil"/>
            </w:tcBorders>
            <w:shd w:val="clear" w:color="auto" w:fill="auto"/>
            <w:noWrap/>
            <w:vAlign w:val="bottom"/>
            <w:hideMark/>
          </w:tcPr>
          <w:p w:rsidR="00BD2393" w:rsidRPr="00C356E3" w:rsidRDefault="00BD2393" w:rsidP="008148DF">
            <w:pPr>
              <w:rPr>
                <w:sz w:val="22"/>
                <w:szCs w:val="22"/>
              </w:rPr>
            </w:pPr>
          </w:p>
        </w:tc>
        <w:tc>
          <w:tcPr>
            <w:tcW w:w="2656" w:type="dxa"/>
            <w:tcBorders>
              <w:top w:val="nil"/>
              <w:left w:val="nil"/>
              <w:bottom w:val="nil"/>
              <w:right w:val="nil"/>
            </w:tcBorders>
            <w:shd w:val="clear" w:color="auto" w:fill="auto"/>
            <w:noWrap/>
            <w:vAlign w:val="bottom"/>
            <w:hideMark/>
          </w:tcPr>
          <w:p w:rsidR="00BD2393" w:rsidRPr="00C356E3" w:rsidRDefault="00BD2393" w:rsidP="008148DF">
            <w:pPr>
              <w:rPr>
                <w:sz w:val="22"/>
                <w:szCs w:val="22"/>
              </w:rPr>
            </w:pPr>
          </w:p>
        </w:tc>
        <w:tc>
          <w:tcPr>
            <w:tcW w:w="354" w:type="dxa"/>
            <w:tcBorders>
              <w:top w:val="nil"/>
              <w:left w:val="nil"/>
              <w:bottom w:val="nil"/>
              <w:right w:val="single" w:sz="4" w:space="0" w:color="auto"/>
            </w:tcBorders>
            <w:shd w:val="clear" w:color="auto" w:fill="auto"/>
            <w:noWrap/>
            <w:vAlign w:val="bottom"/>
            <w:hideMark/>
          </w:tcPr>
          <w:p w:rsidR="00BD2393" w:rsidRPr="00C356E3" w:rsidRDefault="00BD2393" w:rsidP="008148DF">
            <w:pPr>
              <w:rPr>
                <w:sz w:val="20"/>
                <w:szCs w:val="20"/>
              </w:rPr>
            </w:pPr>
            <w:r w:rsidRPr="00C356E3">
              <w:rPr>
                <w:sz w:val="20"/>
                <w:szCs w:val="20"/>
              </w:rPr>
              <w:t> </w:t>
            </w:r>
          </w:p>
        </w:tc>
      </w:tr>
      <w:tr w:rsidR="00BD2393" w:rsidRPr="00C356E3" w:rsidTr="004752E6">
        <w:trPr>
          <w:trHeight w:val="316"/>
          <w:jc w:val="center"/>
        </w:trPr>
        <w:tc>
          <w:tcPr>
            <w:tcW w:w="462" w:type="dxa"/>
            <w:tcBorders>
              <w:top w:val="single" w:sz="4" w:space="0" w:color="000000"/>
              <w:left w:val="single" w:sz="4" w:space="0" w:color="auto"/>
              <w:bottom w:val="nil"/>
              <w:right w:val="nil"/>
            </w:tcBorders>
            <w:shd w:val="clear" w:color="auto" w:fill="auto"/>
            <w:noWrap/>
            <w:vAlign w:val="bottom"/>
            <w:hideMark/>
          </w:tcPr>
          <w:p w:rsidR="00BD2393" w:rsidRPr="00C356E3" w:rsidRDefault="00BD2393" w:rsidP="008148DF">
            <w:pPr>
              <w:jc w:val="center"/>
              <w:rPr>
                <w:sz w:val="20"/>
                <w:szCs w:val="20"/>
              </w:rPr>
            </w:pPr>
            <w:r w:rsidRPr="00C356E3">
              <w:rPr>
                <w:sz w:val="20"/>
                <w:szCs w:val="20"/>
              </w:rPr>
              <w:t> </w:t>
            </w:r>
          </w:p>
        </w:tc>
        <w:tc>
          <w:tcPr>
            <w:tcW w:w="5608" w:type="dxa"/>
            <w:tcBorders>
              <w:top w:val="single" w:sz="4" w:space="0" w:color="000000"/>
              <w:left w:val="nil"/>
              <w:bottom w:val="nil"/>
              <w:right w:val="nil"/>
            </w:tcBorders>
            <w:shd w:val="clear" w:color="auto" w:fill="auto"/>
            <w:noWrap/>
            <w:vAlign w:val="bottom"/>
            <w:hideMark/>
          </w:tcPr>
          <w:p w:rsidR="00BD2393" w:rsidRPr="00C356E3" w:rsidRDefault="00BD2393" w:rsidP="008148DF">
            <w:pPr>
              <w:rPr>
                <w:sz w:val="22"/>
                <w:szCs w:val="22"/>
              </w:rPr>
            </w:pPr>
            <w:r w:rsidRPr="00C356E3">
              <w:rPr>
                <w:sz w:val="22"/>
                <w:szCs w:val="22"/>
              </w:rPr>
              <w:t> </w:t>
            </w:r>
          </w:p>
        </w:tc>
        <w:tc>
          <w:tcPr>
            <w:tcW w:w="2656" w:type="dxa"/>
            <w:tcBorders>
              <w:top w:val="single" w:sz="4" w:space="0" w:color="000000"/>
              <w:left w:val="nil"/>
              <w:bottom w:val="nil"/>
              <w:right w:val="nil"/>
            </w:tcBorders>
            <w:shd w:val="clear" w:color="auto" w:fill="auto"/>
            <w:noWrap/>
            <w:vAlign w:val="bottom"/>
            <w:hideMark/>
          </w:tcPr>
          <w:p w:rsidR="00BD2393" w:rsidRPr="00C356E3" w:rsidRDefault="00BD2393" w:rsidP="008148DF">
            <w:pPr>
              <w:rPr>
                <w:sz w:val="22"/>
                <w:szCs w:val="22"/>
              </w:rPr>
            </w:pPr>
            <w:r w:rsidRPr="00C356E3">
              <w:rPr>
                <w:sz w:val="22"/>
                <w:szCs w:val="22"/>
              </w:rPr>
              <w:t> </w:t>
            </w:r>
          </w:p>
        </w:tc>
        <w:tc>
          <w:tcPr>
            <w:tcW w:w="354" w:type="dxa"/>
            <w:tcBorders>
              <w:top w:val="single" w:sz="4" w:space="0" w:color="000000"/>
              <w:left w:val="nil"/>
              <w:bottom w:val="nil"/>
              <w:right w:val="single" w:sz="4" w:space="0" w:color="auto"/>
            </w:tcBorders>
            <w:shd w:val="clear" w:color="auto" w:fill="auto"/>
            <w:noWrap/>
            <w:vAlign w:val="bottom"/>
            <w:hideMark/>
          </w:tcPr>
          <w:p w:rsidR="00BD2393" w:rsidRPr="00C356E3" w:rsidRDefault="00BD2393" w:rsidP="008148DF">
            <w:pPr>
              <w:rPr>
                <w:sz w:val="20"/>
                <w:szCs w:val="20"/>
              </w:rPr>
            </w:pPr>
            <w:r w:rsidRPr="00C356E3">
              <w:rPr>
                <w:sz w:val="20"/>
                <w:szCs w:val="20"/>
              </w:rPr>
              <w:t> </w:t>
            </w:r>
          </w:p>
        </w:tc>
      </w:tr>
      <w:tr w:rsidR="00BD2393" w:rsidRPr="00C356E3" w:rsidTr="004752E6">
        <w:trPr>
          <w:trHeight w:val="316"/>
          <w:jc w:val="center"/>
        </w:trPr>
        <w:tc>
          <w:tcPr>
            <w:tcW w:w="462" w:type="dxa"/>
            <w:tcBorders>
              <w:top w:val="nil"/>
              <w:left w:val="single" w:sz="4" w:space="0" w:color="auto"/>
              <w:bottom w:val="nil"/>
              <w:right w:val="nil"/>
            </w:tcBorders>
            <w:shd w:val="clear" w:color="auto" w:fill="auto"/>
            <w:noWrap/>
            <w:vAlign w:val="bottom"/>
            <w:hideMark/>
          </w:tcPr>
          <w:p w:rsidR="00BD2393" w:rsidRPr="00C356E3" w:rsidRDefault="00BD2393" w:rsidP="008148DF">
            <w:pPr>
              <w:jc w:val="center"/>
              <w:rPr>
                <w:sz w:val="20"/>
                <w:szCs w:val="20"/>
              </w:rPr>
            </w:pPr>
            <w:r w:rsidRPr="00C356E3">
              <w:rPr>
                <w:sz w:val="20"/>
                <w:szCs w:val="20"/>
              </w:rPr>
              <w:t> </w:t>
            </w:r>
          </w:p>
        </w:tc>
        <w:tc>
          <w:tcPr>
            <w:tcW w:w="5608" w:type="dxa"/>
            <w:tcBorders>
              <w:top w:val="nil"/>
              <w:left w:val="nil"/>
              <w:bottom w:val="nil"/>
              <w:right w:val="nil"/>
            </w:tcBorders>
            <w:shd w:val="clear" w:color="auto" w:fill="auto"/>
            <w:noWrap/>
            <w:vAlign w:val="bottom"/>
            <w:hideMark/>
          </w:tcPr>
          <w:p w:rsidR="00BD2393" w:rsidRPr="00C356E3" w:rsidRDefault="00BD2393" w:rsidP="008148DF">
            <w:pPr>
              <w:rPr>
                <w:sz w:val="22"/>
                <w:szCs w:val="22"/>
                <w:u w:val="single"/>
              </w:rPr>
            </w:pPr>
            <w:r w:rsidRPr="00C356E3">
              <w:rPr>
                <w:sz w:val="22"/>
                <w:szCs w:val="22"/>
                <w:u w:val="single"/>
              </w:rPr>
              <w:t>Operating Revenues</w:t>
            </w:r>
          </w:p>
        </w:tc>
        <w:tc>
          <w:tcPr>
            <w:tcW w:w="2656" w:type="dxa"/>
            <w:tcBorders>
              <w:top w:val="nil"/>
              <w:left w:val="nil"/>
              <w:bottom w:val="nil"/>
              <w:right w:val="nil"/>
            </w:tcBorders>
            <w:shd w:val="clear" w:color="auto" w:fill="auto"/>
            <w:noWrap/>
            <w:vAlign w:val="bottom"/>
            <w:hideMark/>
          </w:tcPr>
          <w:p w:rsidR="00BD2393" w:rsidRPr="00C356E3" w:rsidRDefault="00BD2393" w:rsidP="008148DF">
            <w:pPr>
              <w:rPr>
                <w:sz w:val="22"/>
                <w:szCs w:val="22"/>
              </w:rPr>
            </w:pPr>
          </w:p>
        </w:tc>
        <w:tc>
          <w:tcPr>
            <w:tcW w:w="354" w:type="dxa"/>
            <w:tcBorders>
              <w:top w:val="nil"/>
              <w:left w:val="nil"/>
              <w:bottom w:val="nil"/>
              <w:right w:val="single" w:sz="4" w:space="0" w:color="auto"/>
            </w:tcBorders>
            <w:shd w:val="clear" w:color="auto" w:fill="auto"/>
            <w:noWrap/>
            <w:vAlign w:val="bottom"/>
            <w:hideMark/>
          </w:tcPr>
          <w:p w:rsidR="00BD2393" w:rsidRPr="00C356E3" w:rsidRDefault="00BD2393" w:rsidP="008148DF">
            <w:pPr>
              <w:rPr>
                <w:sz w:val="20"/>
                <w:szCs w:val="20"/>
              </w:rPr>
            </w:pPr>
            <w:r w:rsidRPr="00C356E3">
              <w:rPr>
                <w:sz w:val="20"/>
                <w:szCs w:val="20"/>
              </w:rPr>
              <w:t> </w:t>
            </w:r>
          </w:p>
        </w:tc>
      </w:tr>
      <w:tr w:rsidR="00BD2393" w:rsidRPr="00C356E3" w:rsidTr="004752E6">
        <w:trPr>
          <w:trHeight w:val="316"/>
          <w:jc w:val="center"/>
        </w:trPr>
        <w:tc>
          <w:tcPr>
            <w:tcW w:w="462" w:type="dxa"/>
            <w:tcBorders>
              <w:top w:val="nil"/>
              <w:left w:val="single" w:sz="4" w:space="0" w:color="auto"/>
              <w:bottom w:val="nil"/>
              <w:right w:val="nil"/>
            </w:tcBorders>
            <w:shd w:val="clear" w:color="auto" w:fill="auto"/>
            <w:noWrap/>
            <w:vAlign w:val="bottom"/>
            <w:hideMark/>
          </w:tcPr>
          <w:p w:rsidR="00BD2393" w:rsidRPr="00C356E3" w:rsidRDefault="00BD2393" w:rsidP="008148DF">
            <w:pPr>
              <w:jc w:val="center"/>
              <w:rPr>
                <w:sz w:val="20"/>
                <w:szCs w:val="20"/>
              </w:rPr>
            </w:pPr>
            <w:r w:rsidRPr="00C356E3">
              <w:rPr>
                <w:sz w:val="20"/>
                <w:szCs w:val="20"/>
              </w:rPr>
              <w:t>1</w:t>
            </w:r>
          </w:p>
        </w:tc>
        <w:tc>
          <w:tcPr>
            <w:tcW w:w="5608" w:type="dxa"/>
            <w:tcBorders>
              <w:top w:val="nil"/>
              <w:left w:val="nil"/>
              <w:bottom w:val="nil"/>
              <w:right w:val="nil"/>
            </w:tcBorders>
            <w:shd w:val="clear" w:color="auto" w:fill="auto"/>
            <w:noWrap/>
            <w:vAlign w:val="bottom"/>
            <w:hideMark/>
          </w:tcPr>
          <w:p w:rsidR="00BD2393" w:rsidRPr="00C356E3" w:rsidRDefault="00BD2393" w:rsidP="008148DF">
            <w:pPr>
              <w:rPr>
                <w:sz w:val="22"/>
                <w:szCs w:val="22"/>
              </w:rPr>
            </w:pPr>
            <w:r w:rsidRPr="00C356E3">
              <w:rPr>
                <w:sz w:val="22"/>
                <w:szCs w:val="22"/>
              </w:rPr>
              <w:t>To remove requested revenue increase</w:t>
            </w:r>
          </w:p>
        </w:tc>
        <w:tc>
          <w:tcPr>
            <w:tcW w:w="2656" w:type="dxa"/>
            <w:tcBorders>
              <w:top w:val="nil"/>
              <w:left w:val="nil"/>
              <w:bottom w:val="nil"/>
              <w:right w:val="nil"/>
            </w:tcBorders>
            <w:shd w:val="clear" w:color="auto" w:fill="auto"/>
            <w:noWrap/>
            <w:vAlign w:val="bottom"/>
            <w:hideMark/>
          </w:tcPr>
          <w:p w:rsidR="00BD2393" w:rsidRPr="00C356E3" w:rsidRDefault="00BD2393" w:rsidP="008148DF">
            <w:pPr>
              <w:jc w:val="right"/>
              <w:rPr>
                <w:sz w:val="22"/>
                <w:szCs w:val="22"/>
              </w:rPr>
            </w:pPr>
            <w:r w:rsidRPr="00C356E3">
              <w:rPr>
                <w:sz w:val="22"/>
                <w:szCs w:val="22"/>
              </w:rPr>
              <w:t>($97,116)</w:t>
            </w:r>
          </w:p>
        </w:tc>
        <w:tc>
          <w:tcPr>
            <w:tcW w:w="354" w:type="dxa"/>
            <w:tcBorders>
              <w:top w:val="nil"/>
              <w:left w:val="nil"/>
              <w:bottom w:val="nil"/>
              <w:right w:val="single" w:sz="4" w:space="0" w:color="auto"/>
            </w:tcBorders>
            <w:shd w:val="clear" w:color="auto" w:fill="auto"/>
            <w:noWrap/>
            <w:vAlign w:val="bottom"/>
            <w:hideMark/>
          </w:tcPr>
          <w:p w:rsidR="00BD2393" w:rsidRPr="00C356E3" w:rsidRDefault="00BD2393" w:rsidP="008148DF">
            <w:pPr>
              <w:rPr>
                <w:sz w:val="20"/>
                <w:szCs w:val="20"/>
              </w:rPr>
            </w:pPr>
            <w:r w:rsidRPr="00C356E3">
              <w:rPr>
                <w:sz w:val="20"/>
                <w:szCs w:val="20"/>
              </w:rPr>
              <w:t> </w:t>
            </w:r>
          </w:p>
        </w:tc>
      </w:tr>
      <w:tr w:rsidR="00BD2393" w:rsidRPr="00C356E3" w:rsidTr="004752E6">
        <w:trPr>
          <w:trHeight w:val="316"/>
          <w:jc w:val="center"/>
        </w:trPr>
        <w:tc>
          <w:tcPr>
            <w:tcW w:w="462" w:type="dxa"/>
            <w:tcBorders>
              <w:top w:val="nil"/>
              <w:left w:val="single" w:sz="4" w:space="0" w:color="auto"/>
              <w:bottom w:val="nil"/>
              <w:right w:val="nil"/>
            </w:tcBorders>
            <w:shd w:val="clear" w:color="auto" w:fill="auto"/>
            <w:noWrap/>
            <w:vAlign w:val="bottom"/>
            <w:hideMark/>
          </w:tcPr>
          <w:p w:rsidR="00BD2393" w:rsidRPr="00C356E3" w:rsidRDefault="00BD2393" w:rsidP="008148DF">
            <w:pPr>
              <w:jc w:val="center"/>
              <w:rPr>
                <w:sz w:val="20"/>
                <w:szCs w:val="20"/>
              </w:rPr>
            </w:pPr>
            <w:r w:rsidRPr="00C356E3">
              <w:rPr>
                <w:sz w:val="20"/>
                <w:szCs w:val="20"/>
              </w:rPr>
              <w:t>2</w:t>
            </w:r>
          </w:p>
        </w:tc>
        <w:tc>
          <w:tcPr>
            <w:tcW w:w="5608" w:type="dxa"/>
            <w:tcBorders>
              <w:top w:val="nil"/>
              <w:left w:val="nil"/>
              <w:bottom w:val="nil"/>
              <w:right w:val="nil"/>
            </w:tcBorders>
            <w:shd w:val="clear" w:color="auto" w:fill="auto"/>
            <w:noWrap/>
            <w:vAlign w:val="bottom"/>
            <w:hideMark/>
          </w:tcPr>
          <w:p w:rsidR="00BD2393" w:rsidRPr="00C356E3" w:rsidRDefault="00BD2393" w:rsidP="008148DF">
            <w:pPr>
              <w:rPr>
                <w:sz w:val="22"/>
                <w:szCs w:val="22"/>
              </w:rPr>
            </w:pPr>
            <w:r w:rsidRPr="00C356E3">
              <w:rPr>
                <w:sz w:val="22"/>
                <w:szCs w:val="22"/>
              </w:rPr>
              <w:t>Revenues per ECO</w:t>
            </w:r>
          </w:p>
        </w:tc>
        <w:tc>
          <w:tcPr>
            <w:tcW w:w="2656" w:type="dxa"/>
            <w:tcBorders>
              <w:top w:val="nil"/>
              <w:left w:val="nil"/>
              <w:bottom w:val="nil"/>
              <w:right w:val="nil"/>
            </w:tcBorders>
            <w:shd w:val="clear" w:color="auto" w:fill="auto"/>
            <w:noWrap/>
            <w:vAlign w:val="bottom"/>
            <w:hideMark/>
          </w:tcPr>
          <w:p w:rsidR="00BD2393" w:rsidRPr="00C356E3" w:rsidRDefault="00BD2393" w:rsidP="008148DF">
            <w:pPr>
              <w:jc w:val="right"/>
              <w:rPr>
                <w:sz w:val="22"/>
                <w:szCs w:val="22"/>
                <w:u w:val="single"/>
              </w:rPr>
            </w:pPr>
            <w:r w:rsidRPr="00C356E3">
              <w:rPr>
                <w:sz w:val="22"/>
                <w:szCs w:val="22"/>
                <w:u w:val="single"/>
              </w:rPr>
              <w:t xml:space="preserve">32,985 </w:t>
            </w:r>
          </w:p>
        </w:tc>
        <w:tc>
          <w:tcPr>
            <w:tcW w:w="354" w:type="dxa"/>
            <w:tcBorders>
              <w:top w:val="nil"/>
              <w:left w:val="nil"/>
              <w:bottom w:val="nil"/>
              <w:right w:val="single" w:sz="4" w:space="0" w:color="auto"/>
            </w:tcBorders>
            <w:shd w:val="clear" w:color="auto" w:fill="auto"/>
            <w:noWrap/>
            <w:vAlign w:val="bottom"/>
            <w:hideMark/>
          </w:tcPr>
          <w:p w:rsidR="00BD2393" w:rsidRPr="00C356E3" w:rsidRDefault="00BD2393" w:rsidP="008148DF">
            <w:pPr>
              <w:rPr>
                <w:sz w:val="20"/>
                <w:szCs w:val="20"/>
              </w:rPr>
            </w:pPr>
            <w:r w:rsidRPr="00C356E3">
              <w:rPr>
                <w:sz w:val="20"/>
                <w:szCs w:val="20"/>
              </w:rPr>
              <w:t> </w:t>
            </w:r>
          </w:p>
        </w:tc>
      </w:tr>
      <w:tr w:rsidR="00BD2393" w:rsidRPr="00C356E3" w:rsidTr="004752E6">
        <w:trPr>
          <w:trHeight w:val="316"/>
          <w:jc w:val="center"/>
        </w:trPr>
        <w:tc>
          <w:tcPr>
            <w:tcW w:w="462" w:type="dxa"/>
            <w:tcBorders>
              <w:top w:val="nil"/>
              <w:left w:val="single" w:sz="4" w:space="0" w:color="auto"/>
              <w:bottom w:val="nil"/>
              <w:right w:val="nil"/>
            </w:tcBorders>
            <w:shd w:val="clear" w:color="auto" w:fill="auto"/>
            <w:noWrap/>
            <w:vAlign w:val="bottom"/>
            <w:hideMark/>
          </w:tcPr>
          <w:p w:rsidR="00BD2393" w:rsidRPr="00C356E3" w:rsidRDefault="00BD2393" w:rsidP="008148DF">
            <w:pPr>
              <w:jc w:val="center"/>
              <w:rPr>
                <w:sz w:val="20"/>
                <w:szCs w:val="20"/>
              </w:rPr>
            </w:pPr>
            <w:r w:rsidRPr="00C356E3">
              <w:rPr>
                <w:sz w:val="20"/>
                <w:szCs w:val="20"/>
              </w:rPr>
              <w:t> </w:t>
            </w:r>
          </w:p>
        </w:tc>
        <w:tc>
          <w:tcPr>
            <w:tcW w:w="5608" w:type="dxa"/>
            <w:tcBorders>
              <w:top w:val="nil"/>
              <w:left w:val="nil"/>
              <w:bottom w:val="nil"/>
              <w:right w:val="nil"/>
            </w:tcBorders>
            <w:shd w:val="clear" w:color="auto" w:fill="auto"/>
            <w:noWrap/>
            <w:vAlign w:val="bottom"/>
            <w:hideMark/>
          </w:tcPr>
          <w:p w:rsidR="00BD2393" w:rsidRPr="00C356E3" w:rsidRDefault="00BD2393" w:rsidP="008148DF">
            <w:pPr>
              <w:rPr>
                <w:sz w:val="22"/>
                <w:szCs w:val="22"/>
              </w:rPr>
            </w:pPr>
            <w:r w:rsidRPr="00C356E3">
              <w:rPr>
                <w:sz w:val="22"/>
                <w:szCs w:val="22"/>
              </w:rPr>
              <w:t xml:space="preserve">    Total</w:t>
            </w:r>
          </w:p>
        </w:tc>
        <w:tc>
          <w:tcPr>
            <w:tcW w:w="2656" w:type="dxa"/>
            <w:tcBorders>
              <w:top w:val="nil"/>
              <w:left w:val="nil"/>
              <w:bottom w:val="nil"/>
              <w:right w:val="nil"/>
            </w:tcBorders>
            <w:shd w:val="clear" w:color="auto" w:fill="auto"/>
            <w:noWrap/>
            <w:vAlign w:val="bottom"/>
            <w:hideMark/>
          </w:tcPr>
          <w:p w:rsidR="00BD2393" w:rsidRPr="00C356E3" w:rsidRDefault="00BD2393" w:rsidP="008148DF">
            <w:pPr>
              <w:jc w:val="right"/>
              <w:rPr>
                <w:sz w:val="22"/>
                <w:szCs w:val="22"/>
                <w:u w:val="double"/>
              </w:rPr>
            </w:pPr>
            <w:r w:rsidRPr="00C356E3">
              <w:rPr>
                <w:sz w:val="22"/>
                <w:szCs w:val="22"/>
                <w:u w:val="double"/>
              </w:rPr>
              <w:t>($64,131)</w:t>
            </w:r>
          </w:p>
        </w:tc>
        <w:tc>
          <w:tcPr>
            <w:tcW w:w="354" w:type="dxa"/>
            <w:tcBorders>
              <w:top w:val="nil"/>
              <w:left w:val="nil"/>
              <w:bottom w:val="nil"/>
              <w:right w:val="single" w:sz="4" w:space="0" w:color="auto"/>
            </w:tcBorders>
            <w:shd w:val="clear" w:color="auto" w:fill="auto"/>
            <w:noWrap/>
            <w:vAlign w:val="bottom"/>
            <w:hideMark/>
          </w:tcPr>
          <w:p w:rsidR="00BD2393" w:rsidRPr="00C356E3" w:rsidRDefault="00BD2393" w:rsidP="008148DF">
            <w:pPr>
              <w:rPr>
                <w:sz w:val="20"/>
                <w:szCs w:val="20"/>
                <w:u w:val="double"/>
              </w:rPr>
            </w:pPr>
            <w:r w:rsidRPr="00C356E3">
              <w:rPr>
                <w:sz w:val="20"/>
                <w:szCs w:val="20"/>
                <w:u w:val="single"/>
              </w:rPr>
              <w:t xml:space="preserve"> </w:t>
            </w:r>
          </w:p>
        </w:tc>
      </w:tr>
      <w:tr w:rsidR="00BD2393" w:rsidRPr="00C356E3" w:rsidTr="004752E6">
        <w:trPr>
          <w:trHeight w:val="316"/>
          <w:jc w:val="center"/>
        </w:trPr>
        <w:tc>
          <w:tcPr>
            <w:tcW w:w="462" w:type="dxa"/>
            <w:tcBorders>
              <w:top w:val="nil"/>
              <w:left w:val="single" w:sz="4" w:space="0" w:color="auto"/>
              <w:bottom w:val="nil"/>
              <w:right w:val="nil"/>
            </w:tcBorders>
            <w:shd w:val="clear" w:color="auto" w:fill="auto"/>
            <w:noWrap/>
            <w:vAlign w:val="bottom"/>
            <w:hideMark/>
          </w:tcPr>
          <w:p w:rsidR="00BD2393" w:rsidRPr="00C356E3" w:rsidRDefault="00BD2393" w:rsidP="008148DF">
            <w:pPr>
              <w:jc w:val="center"/>
              <w:rPr>
                <w:sz w:val="20"/>
                <w:szCs w:val="20"/>
              </w:rPr>
            </w:pPr>
            <w:r w:rsidRPr="00C356E3">
              <w:rPr>
                <w:sz w:val="20"/>
                <w:szCs w:val="20"/>
              </w:rPr>
              <w:t> </w:t>
            </w:r>
          </w:p>
        </w:tc>
        <w:tc>
          <w:tcPr>
            <w:tcW w:w="5608" w:type="dxa"/>
            <w:tcBorders>
              <w:top w:val="nil"/>
              <w:left w:val="nil"/>
              <w:bottom w:val="nil"/>
              <w:right w:val="nil"/>
            </w:tcBorders>
            <w:shd w:val="clear" w:color="auto" w:fill="auto"/>
            <w:noWrap/>
            <w:vAlign w:val="bottom"/>
            <w:hideMark/>
          </w:tcPr>
          <w:p w:rsidR="00BD2393" w:rsidRPr="00C356E3" w:rsidRDefault="00BD2393" w:rsidP="008148DF">
            <w:pPr>
              <w:rPr>
                <w:sz w:val="22"/>
                <w:szCs w:val="22"/>
              </w:rPr>
            </w:pPr>
          </w:p>
        </w:tc>
        <w:tc>
          <w:tcPr>
            <w:tcW w:w="2656" w:type="dxa"/>
            <w:tcBorders>
              <w:top w:val="nil"/>
              <w:left w:val="nil"/>
              <w:bottom w:val="nil"/>
              <w:right w:val="nil"/>
            </w:tcBorders>
            <w:shd w:val="clear" w:color="auto" w:fill="auto"/>
            <w:noWrap/>
            <w:vAlign w:val="bottom"/>
            <w:hideMark/>
          </w:tcPr>
          <w:p w:rsidR="00BD2393" w:rsidRPr="00C356E3" w:rsidRDefault="00BD2393" w:rsidP="008148DF">
            <w:pPr>
              <w:rPr>
                <w:sz w:val="22"/>
                <w:szCs w:val="22"/>
                <w:u w:val="double"/>
              </w:rPr>
            </w:pPr>
          </w:p>
        </w:tc>
        <w:tc>
          <w:tcPr>
            <w:tcW w:w="354" w:type="dxa"/>
            <w:tcBorders>
              <w:top w:val="nil"/>
              <w:left w:val="nil"/>
              <w:bottom w:val="nil"/>
              <w:right w:val="single" w:sz="4" w:space="0" w:color="auto"/>
            </w:tcBorders>
            <w:shd w:val="clear" w:color="auto" w:fill="auto"/>
            <w:noWrap/>
            <w:vAlign w:val="bottom"/>
            <w:hideMark/>
          </w:tcPr>
          <w:p w:rsidR="00BD2393" w:rsidRPr="00C356E3" w:rsidRDefault="00BD2393" w:rsidP="008148DF">
            <w:pPr>
              <w:rPr>
                <w:sz w:val="20"/>
                <w:szCs w:val="20"/>
              </w:rPr>
            </w:pPr>
            <w:r w:rsidRPr="00C356E3">
              <w:rPr>
                <w:sz w:val="20"/>
                <w:szCs w:val="20"/>
              </w:rPr>
              <w:t> </w:t>
            </w:r>
          </w:p>
        </w:tc>
      </w:tr>
      <w:tr w:rsidR="00BD2393" w:rsidRPr="00C356E3" w:rsidTr="004752E6">
        <w:trPr>
          <w:trHeight w:val="316"/>
          <w:jc w:val="center"/>
        </w:trPr>
        <w:tc>
          <w:tcPr>
            <w:tcW w:w="462" w:type="dxa"/>
            <w:tcBorders>
              <w:top w:val="nil"/>
              <w:left w:val="single" w:sz="4" w:space="0" w:color="auto"/>
              <w:bottom w:val="nil"/>
              <w:right w:val="nil"/>
            </w:tcBorders>
            <w:shd w:val="clear" w:color="auto" w:fill="auto"/>
            <w:noWrap/>
            <w:vAlign w:val="bottom"/>
            <w:hideMark/>
          </w:tcPr>
          <w:p w:rsidR="00BD2393" w:rsidRPr="00C356E3" w:rsidRDefault="00BD2393" w:rsidP="008148DF">
            <w:pPr>
              <w:jc w:val="center"/>
              <w:rPr>
                <w:sz w:val="20"/>
                <w:szCs w:val="20"/>
              </w:rPr>
            </w:pPr>
            <w:r w:rsidRPr="00C356E3">
              <w:rPr>
                <w:sz w:val="20"/>
                <w:szCs w:val="20"/>
              </w:rPr>
              <w:t> </w:t>
            </w:r>
          </w:p>
        </w:tc>
        <w:tc>
          <w:tcPr>
            <w:tcW w:w="5608" w:type="dxa"/>
            <w:tcBorders>
              <w:top w:val="nil"/>
              <w:left w:val="nil"/>
              <w:bottom w:val="nil"/>
              <w:right w:val="nil"/>
            </w:tcBorders>
            <w:shd w:val="clear" w:color="auto" w:fill="auto"/>
            <w:noWrap/>
            <w:vAlign w:val="bottom"/>
            <w:hideMark/>
          </w:tcPr>
          <w:p w:rsidR="00BD2393" w:rsidRPr="00C356E3" w:rsidRDefault="00BD2393" w:rsidP="008148DF">
            <w:pPr>
              <w:rPr>
                <w:sz w:val="22"/>
                <w:szCs w:val="22"/>
                <w:u w:val="single"/>
              </w:rPr>
            </w:pPr>
            <w:r w:rsidRPr="00C356E3">
              <w:rPr>
                <w:sz w:val="22"/>
                <w:szCs w:val="22"/>
                <w:u w:val="single"/>
              </w:rPr>
              <w:t>Operation and Maintenance Expense</w:t>
            </w:r>
          </w:p>
        </w:tc>
        <w:tc>
          <w:tcPr>
            <w:tcW w:w="2656" w:type="dxa"/>
            <w:tcBorders>
              <w:top w:val="nil"/>
              <w:left w:val="nil"/>
              <w:bottom w:val="nil"/>
              <w:right w:val="nil"/>
            </w:tcBorders>
            <w:shd w:val="clear" w:color="auto" w:fill="auto"/>
            <w:noWrap/>
            <w:vAlign w:val="bottom"/>
            <w:hideMark/>
          </w:tcPr>
          <w:p w:rsidR="00BD2393" w:rsidRPr="00C356E3" w:rsidRDefault="00BD2393" w:rsidP="008148DF">
            <w:pPr>
              <w:rPr>
                <w:sz w:val="22"/>
                <w:szCs w:val="22"/>
              </w:rPr>
            </w:pPr>
          </w:p>
        </w:tc>
        <w:tc>
          <w:tcPr>
            <w:tcW w:w="354" w:type="dxa"/>
            <w:tcBorders>
              <w:top w:val="nil"/>
              <w:left w:val="nil"/>
              <w:bottom w:val="nil"/>
              <w:right w:val="single" w:sz="4" w:space="0" w:color="auto"/>
            </w:tcBorders>
            <w:shd w:val="clear" w:color="auto" w:fill="auto"/>
            <w:noWrap/>
            <w:vAlign w:val="bottom"/>
            <w:hideMark/>
          </w:tcPr>
          <w:p w:rsidR="00BD2393" w:rsidRPr="00C356E3" w:rsidRDefault="00BD2393" w:rsidP="008148DF">
            <w:pPr>
              <w:rPr>
                <w:sz w:val="20"/>
                <w:szCs w:val="20"/>
              </w:rPr>
            </w:pPr>
            <w:r w:rsidRPr="00C356E3">
              <w:rPr>
                <w:sz w:val="20"/>
                <w:szCs w:val="20"/>
              </w:rPr>
              <w:t> </w:t>
            </w:r>
          </w:p>
        </w:tc>
      </w:tr>
      <w:tr w:rsidR="00BD2393" w:rsidRPr="00C356E3" w:rsidTr="004752E6">
        <w:trPr>
          <w:trHeight w:val="316"/>
          <w:jc w:val="center"/>
        </w:trPr>
        <w:tc>
          <w:tcPr>
            <w:tcW w:w="462" w:type="dxa"/>
            <w:tcBorders>
              <w:top w:val="nil"/>
              <w:left w:val="single" w:sz="4" w:space="0" w:color="auto"/>
              <w:bottom w:val="nil"/>
              <w:right w:val="nil"/>
            </w:tcBorders>
            <w:shd w:val="clear" w:color="auto" w:fill="auto"/>
            <w:noWrap/>
            <w:vAlign w:val="bottom"/>
            <w:hideMark/>
          </w:tcPr>
          <w:p w:rsidR="00BD2393" w:rsidRPr="00C356E3" w:rsidRDefault="00BD2393" w:rsidP="008148DF">
            <w:pPr>
              <w:jc w:val="center"/>
              <w:rPr>
                <w:sz w:val="20"/>
                <w:szCs w:val="20"/>
              </w:rPr>
            </w:pPr>
            <w:r w:rsidRPr="00C356E3">
              <w:rPr>
                <w:sz w:val="20"/>
                <w:szCs w:val="20"/>
              </w:rPr>
              <w:t>1</w:t>
            </w:r>
          </w:p>
        </w:tc>
        <w:tc>
          <w:tcPr>
            <w:tcW w:w="5608" w:type="dxa"/>
            <w:tcBorders>
              <w:top w:val="nil"/>
              <w:left w:val="nil"/>
              <w:bottom w:val="nil"/>
              <w:right w:val="nil"/>
            </w:tcBorders>
            <w:shd w:val="clear" w:color="000000" w:fill="FFFFFF"/>
            <w:noWrap/>
            <w:vAlign w:val="bottom"/>
            <w:hideMark/>
          </w:tcPr>
          <w:p w:rsidR="00BD2393" w:rsidRPr="00C356E3" w:rsidRDefault="00BD2393" w:rsidP="001707D2">
            <w:pPr>
              <w:rPr>
                <w:color w:val="000000"/>
                <w:sz w:val="22"/>
                <w:szCs w:val="22"/>
              </w:rPr>
            </w:pPr>
            <w:r w:rsidRPr="00C356E3">
              <w:rPr>
                <w:color w:val="000000"/>
                <w:sz w:val="22"/>
                <w:szCs w:val="22"/>
              </w:rPr>
              <w:t xml:space="preserve">To reflect appropriate </w:t>
            </w:r>
            <w:r w:rsidR="001707D2">
              <w:rPr>
                <w:color w:val="000000"/>
                <w:sz w:val="22"/>
                <w:szCs w:val="22"/>
              </w:rPr>
              <w:t>c</w:t>
            </w:r>
            <w:r w:rsidRPr="00C356E3">
              <w:rPr>
                <w:color w:val="000000"/>
                <w:sz w:val="22"/>
                <w:szCs w:val="22"/>
              </w:rPr>
              <w:t>hemical expense</w:t>
            </w:r>
          </w:p>
        </w:tc>
        <w:tc>
          <w:tcPr>
            <w:tcW w:w="2656" w:type="dxa"/>
            <w:tcBorders>
              <w:top w:val="nil"/>
              <w:left w:val="nil"/>
              <w:bottom w:val="nil"/>
              <w:right w:val="nil"/>
            </w:tcBorders>
            <w:shd w:val="clear" w:color="auto" w:fill="auto"/>
            <w:noWrap/>
            <w:vAlign w:val="bottom"/>
            <w:hideMark/>
          </w:tcPr>
          <w:p w:rsidR="00BD2393" w:rsidRPr="00C356E3" w:rsidRDefault="00BD2393" w:rsidP="008148DF">
            <w:pPr>
              <w:jc w:val="right"/>
              <w:rPr>
                <w:sz w:val="22"/>
                <w:szCs w:val="22"/>
              </w:rPr>
            </w:pPr>
            <w:r w:rsidRPr="00C356E3">
              <w:rPr>
                <w:sz w:val="22"/>
                <w:szCs w:val="22"/>
              </w:rPr>
              <w:t xml:space="preserve">$2,904 </w:t>
            </w:r>
          </w:p>
        </w:tc>
        <w:tc>
          <w:tcPr>
            <w:tcW w:w="354" w:type="dxa"/>
            <w:tcBorders>
              <w:top w:val="nil"/>
              <w:left w:val="nil"/>
              <w:bottom w:val="nil"/>
              <w:right w:val="single" w:sz="4" w:space="0" w:color="auto"/>
            </w:tcBorders>
            <w:shd w:val="clear" w:color="auto" w:fill="auto"/>
            <w:noWrap/>
            <w:vAlign w:val="bottom"/>
            <w:hideMark/>
          </w:tcPr>
          <w:p w:rsidR="00BD2393" w:rsidRPr="00C356E3" w:rsidRDefault="00BD2393" w:rsidP="008148DF">
            <w:pPr>
              <w:rPr>
                <w:sz w:val="20"/>
                <w:szCs w:val="20"/>
              </w:rPr>
            </w:pPr>
            <w:r w:rsidRPr="00C356E3">
              <w:rPr>
                <w:sz w:val="20"/>
                <w:szCs w:val="20"/>
              </w:rPr>
              <w:t> </w:t>
            </w:r>
          </w:p>
        </w:tc>
      </w:tr>
      <w:tr w:rsidR="00BD2393" w:rsidRPr="00C356E3" w:rsidTr="004752E6">
        <w:trPr>
          <w:trHeight w:val="316"/>
          <w:jc w:val="center"/>
        </w:trPr>
        <w:tc>
          <w:tcPr>
            <w:tcW w:w="462" w:type="dxa"/>
            <w:tcBorders>
              <w:top w:val="nil"/>
              <w:left w:val="single" w:sz="4" w:space="0" w:color="auto"/>
              <w:bottom w:val="nil"/>
              <w:right w:val="nil"/>
            </w:tcBorders>
            <w:shd w:val="clear" w:color="auto" w:fill="auto"/>
            <w:noWrap/>
            <w:vAlign w:val="bottom"/>
            <w:hideMark/>
          </w:tcPr>
          <w:p w:rsidR="00BD2393" w:rsidRPr="00C356E3" w:rsidRDefault="00BD2393" w:rsidP="008148DF">
            <w:pPr>
              <w:jc w:val="center"/>
              <w:rPr>
                <w:sz w:val="20"/>
                <w:szCs w:val="20"/>
              </w:rPr>
            </w:pPr>
            <w:r w:rsidRPr="00C356E3">
              <w:rPr>
                <w:sz w:val="20"/>
                <w:szCs w:val="20"/>
              </w:rPr>
              <w:t>2</w:t>
            </w:r>
          </w:p>
        </w:tc>
        <w:tc>
          <w:tcPr>
            <w:tcW w:w="5608" w:type="dxa"/>
            <w:tcBorders>
              <w:top w:val="nil"/>
              <w:left w:val="nil"/>
              <w:bottom w:val="nil"/>
              <w:right w:val="nil"/>
            </w:tcBorders>
            <w:shd w:val="clear" w:color="auto" w:fill="auto"/>
            <w:noWrap/>
            <w:vAlign w:val="bottom"/>
            <w:hideMark/>
          </w:tcPr>
          <w:p w:rsidR="00BD2393" w:rsidRPr="00C356E3" w:rsidRDefault="00BD2393" w:rsidP="008148DF">
            <w:pPr>
              <w:rPr>
                <w:sz w:val="22"/>
                <w:szCs w:val="22"/>
              </w:rPr>
            </w:pPr>
            <w:r w:rsidRPr="00C356E3">
              <w:rPr>
                <w:sz w:val="22"/>
                <w:szCs w:val="22"/>
              </w:rPr>
              <w:t>Rate Case Expense Amortization</w:t>
            </w:r>
          </w:p>
        </w:tc>
        <w:tc>
          <w:tcPr>
            <w:tcW w:w="2656" w:type="dxa"/>
            <w:tcBorders>
              <w:top w:val="nil"/>
              <w:left w:val="nil"/>
              <w:bottom w:val="nil"/>
              <w:right w:val="nil"/>
            </w:tcBorders>
            <w:shd w:val="clear" w:color="auto" w:fill="auto"/>
            <w:noWrap/>
            <w:vAlign w:val="bottom"/>
            <w:hideMark/>
          </w:tcPr>
          <w:p w:rsidR="00BD2393" w:rsidRPr="00C356E3" w:rsidRDefault="00BD2393" w:rsidP="008148DF">
            <w:pPr>
              <w:jc w:val="right"/>
              <w:rPr>
                <w:sz w:val="22"/>
                <w:szCs w:val="22"/>
                <w:u w:val="single"/>
              </w:rPr>
            </w:pPr>
            <w:r w:rsidRPr="00C356E3">
              <w:rPr>
                <w:sz w:val="22"/>
                <w:szCs w:val="22"/>
                <w:u w:val="single"/>
              </w:rPr>
              <w:t>(4,020)</w:t>
            </w:r>
          </w:p>
        </w:tc>
        <w:tc>
          <w:tcPr>
            <w:tcW w:w="354" w:type="dxa"/>
            <w:tcBorders>
              <w:top w:val="nil"/>
              <w:left w:val="nil"/>
              <w:bottom w:val="nil"/>
              <w:right w:val="single" w:sz="4" w:space="0" w:color="auto"/>
            </w:tcBorders>
            <w:shd w:val="clear" w:color="auto" w:fill="auto"/>
            <w:noWrap/>
            <w:vAlign w:val="bottom"/>
            <w:hideMark/>
          </w:tcPr>
          <w:p w:rsidR="00BD2393" w:rsidRPr="00C356E3" w:rsidRDefault="00BD2393" w:rsidP="008148DF">
            <w:pPr>
              <w:rPr>
                <w:sz w:val="20"/>
                <w:szCs w:val="20"/>
              </w:rPr>
            </w:pPr>
            <w:r w:rsidRPr="00C356E3">
              <w:rPr>
                <w:sz w:val="20"/>
                <w:szCs w:val="20"/>
              </w:rPr>
              <w:t> </w:t>
            </w:r>
          </w:p>
        </w:tc>
      </w:tr>
      <w:tr w:rsidR="00BD2393" w:rsidRPr="00C356E3" w:rsidTr="004752E6">
        <w:trPr>
          <w:trHeight w:val="316"/>
          <w:jc w:val="center"/>
        </w:trPr>
        <w:tc>
          <w:tcPr>
            <w:tcW w:w="462" w:type="dxa"/>
            <w:tcBorders>
              <w:top w:val="nil"/>
              <w:left w:val="single" w:sz="4" w:space="0" w:color="auto"/>
              <w:bottom w:val="nil"/>
              <w:right w:val="nil"/>
            </w:tcBorders>
            <w:shd w:val="clear" w:color="auto" w:fill="auto"/>
            <w:noWrap/>
            <w:vAlign w:val="bottom"/>
            <w:hideMark/>
          </w:tcPr>
          <w:p w:rsidR="00BD2393" w:rsidRPr="00C356E3" w:rsidRDefault="00BD2393" w:rsidP="008148DF">
            <w:pPr>
              <w:jc w:val="center"/>
              <w:rPr>
                <w:sz w:val="20"/>
                <w:szCs w:val="20"/>
              </w:rPr>
            </w:pPr>
            <w:r w:rsidRPr="00C356E3">
              <w:rPr>
                <w:sz w:val="20"/>
                <w:szCs w:val="20"/>
              </w:rPr>
              <w:t> </w:t>
            </w:r>
          </w:p>
        </w:tc>
        <w:tc>
          <w:tcPr>
            <w:tcW w:w="5608" w:type="dxa"/>
            <w:tcBorders>
              <w:top w:val="nil"/>
              <w:left w:val="nil"/>
              <w:bottom w:val="nil"/>
              <w:right w:val="nil"/>
            </w:tcBorders>
            <w:shd w:val="clear" w:color="auto" w:fill="auto"/>
            <w:noWrap/>
            <w:vAlign w:val="bottom"/>
            <w:hideMark/>
          </w:tcPr>
          <w:p w:rsidR="00BD2393" w:rsidRPr="00C356E3" w:rsidRDefault="00BD2393" w:rsidP="008148DF">
            <w:pPr>
              <w:rPr>
                <w:sz w:val="22"/>
                <w:szCs w:val="22"/>
              </w:rPr>
            </w:pPr>
            <w:r w:rsidRPr="00C356E3">
              <w:rPr>
                <w:sz w:val="22"/>
                <w:szCs w:val="22"/>
              </w:rPr>
              <w:t xml:space="preserve">    Total</w:t>
            </w:r>
          </w:p>
        </w:tc>
        <w:tc>
          <w:tcPr>
            <w:tcW w:w="2656" w:type="dxa"/>
            <w:tcBorders>
              <w:top w:val="nil"/>
              <w:left w:val="nil"/>
              <w:bottom w:val="nil"/>
              <w:right w:val="nil"/>
            </w:tcBorders>
            <w:shd w:val="clear" w:color="auto" w:fill="auto"/>
            <w:noWrap/>
            <w:vAlign w:val="bottom"/>
            <w:hideMark/>
          </w:tcPr>
          <w:p w:rsidR="00BD2393" w:rsidRPr="00C356E3" w:rsidRDefault="00BD2393" w:rsidP="008148DF">
            <w:pPr>
              <w:jc w:val="right"/>
              <w:rPr>
                <w:sz w:val="22"/>
                <w:szCs w:val="22"/>
                <w:u w:val="double"/>
              </w:rPr>
            </w:pPr>
            <w:r w:rsidRPr="00C356E3">
              <w:rPr>
                <w:sz w:val="22"/>
                <w:szCs w:val="22"/>
                <w:u w:val="double"/>
              </w:rPr>
              <w:t>($1,116)</w:t>
            </w:r>
          </w:p>
        </w:tc>
        <w:tc>
          <w:tcPr>
            <w:tcW w:w="354" w:type="dxa"/>
            <w:tcBorders>
              <w:top w:val="nil"/>
              <w:left w:val="nil"/>
              <w:bottom w:val="nil"/>
              <w:right w:val="single" w:sz="4" w:space="0" w:color="auto"/>
            </w:tcBorders>
            <w:shd w:val="clear" w:color="auto" w:fill="auto"/>
            <w:noWrap/>
            <w:vAlign w:val="bottom"/>
            <w:hideMark/>
          </w:tcPr>
          <w:p w:rsidR="00BD2393" w:rsidRPr="00C356E3" w:rsidRDefault="00BD2393" w:rsidP="008148DF">
            <w:pPr>
              <w:rPr>
                <w:sz w:val="20"/>
                <w:szCs w:val="20"/>
              </w:rPr>
            </w:pPr>
            <w:r w:rsidRPr="00C356E3">
              <w:rPr>
                <w:sz w:val="20"/>
                <w:szCs w:val="20"/>
              </w:rPr>
              <w:t> </w:t>
            </w:r>
          </w:p>
        </w:tc>
      </w:tr>
      <w:tr w:rsidR="00BD2393" w:rsidRPr="00C356E3" w:rsidTr="004752E6">
        <w:trPr>
          <w:trHeight w:val="316"/>
          <w:jc w:val="center"/>
        </w:trPr>
        <w:tc>
          <w:tcPr>
            <w:tcW w:w="462" w:type="dxa"/>
            <w:tcBorders>
              <w:top w:val="nil"/>
              <w:left w:val="single" w:sz="4" w:space="0" w:color="auto"/>
              <w:bottom w:val="nil"/>
              <w:right w:val="nil"/>
            </w:tcBorders>
            <w:shd w:val="clear" w:color="auto" w:fill="auto"/>
            <w:noWrap/>
            <w:vAlign w:val="bottom"/>
            <w:hideMark/>
          </w:tcPr>
          <w:p w:rsidR="00BD2393" w:rsidRPr="00C356E3" w:rsidRDefault="00BD2393" w:rsidP="008148DF">
            <w:pPr>
              <w:jc w:val="center"/>
              <w:rPr>
                <w:sz w:val="20"/>
                <w:szCs w:val="20"/>
              </w:rPr>
            </w:pPr>
            <w:r w:rsidRPr="00C356E3">
              <w:rPr>
                <w:sz w:val="20"/>
                <w:szCs w:val="20"/>
              </w:rPr>
              <w:t> </w:t>
            </w:r>
          </w:p>
        </w:tc>
        <w:tc>
          <w:tcPr>
            <w:tcW w:w="5608" w:type="dxa"/>
            <w:tcBorders>
              <w:top w:val="nil"/>
              <w:left w:val="nil"/>
              <w:bottom w:val="nil"/>
              <w:right w:val="nil"/>
            </w:tcBorders>
            <w:shd w:val="clear" w:color="auto" w:fill="auto"/>
            <w:noWrap/>
            <w:vAlign w:val="bottom"/>
            <w:hideMark/>
          </w:tcPr>
          <w:p w:rsidR="00BD2393" w:rsidRPr="00C356E3" w:rsidRDefault="00BD2393" w:rsidP="008148DF">
            <w:pPr>
              <w:rPr>
                <w:sz w:val="22"/>
                <w:szCs w:val="22"/>
              </w:rPr>
            </w:pPr>
          </w:p>
        </w:tc>
        <w:tc>
          <w:tcPr>
            <w:tcW w:w="2656" w:type="dxa"/>
            <w:tcBorders>
              <w:top w:val="nil"/>
              <w:left w:val="nil"/>
              <w:bottom w:val="nil"/>
              <w:right w:val="nil"/>
            </w:tcBorders>
            <w:shd w:val="clear" w:color="auto" w:fill="auto"/>
            <w:noWrap/>
            <w:vAlign w:val="bottom"/>
            <w:hideMark/>
          </w:tcPr>
          <w:p w:rsidR="00BD2393" w:rsidRPr="00C356E3" w:rsidRDefault="00BD2393" w:rsidP="008148DF">
            <w:pPr>
              <w:rPr>
                <w:sz w:val="22"/>
                <w:szCs w:val="22"/>
              </w:rPr>
            </w:pPr>
          </w:p>
        </w:tc>
        <w:tc>
          <w:tcPr>
            <w:tcW w:w="354" w:type="dxa"/>
            <w:tcBorders>
              <w:top w:val="nil"/>
              <w:left w:val="nil"/>
              <w:bottom w:val="nil"/>
              <w:right w:val="single" w:sz="4" w:space="0" w:color="auto"/>
            </w:tcBorders>
            <w:shd w:val="clear" w:color="auto" w:fill="auto"/>
            <w:noWrap/>
            <w:vAlign w:val="bottom"/>
            <w:hideMark/>
          </w:tcPr>
          <w:p w:rsidR="00BD2393" w:rsidRPr="00C356E3" w:rsidRDefault="00BD2393" w:rsidP="008148DF">
            <w:pPr>
              <w:rPr>
                <w:sz w:val="20"/>
                <w:szCs w:val="20"/>
              </w:rPr>
            </w:pPr>
            <w:r w:rsidRPr="00C356E3">
              <w:rPr>
                <w:sz w:val="20"/>
                <w:szCs w:val="20"/>
              </w:rPr>
              <w:t> </w:t>
            </w:r>
          </w:p>
        </w:tc>
      </w:tr>
      <w:tr w:rsidR="00BD2393" w:rsidRPr="00C356E3" w:rsidTr="004752E6">
        <w:trPr>
          <w:trHeight w:val="316"/>
          <w:jc w:val="center"/>
        </w:trPr>
        <w:tc>
          <w:tcPr>
            <w:tcW w:w="462" w:type="dxa"/>
            <w:tcBorders>
              <w:top w:val="nil"/>
              <w:left w:val="single" w:sz="4" w:space="0" w:color="auto"/>
              <w:bottom w:val="nil"/>
              <w:right w:val="nil"/>
            </w:tcBorders>
            <w:shd w:val="clear" w:color="auto" w:fill="auto"/>
            <w:noWrap/>
            <w:vAlign w:val="bottom"/>
            <w:hideMark/>
          </w:tcPr>
          <w:p w:rsidR="00BD2393" w:rsidRPr="00C356E3" w:rsidRDefault="00BD2393" w:rsidP="008148DF">
            <w:pPr>
              <w:jc w:val="center"/>
              <w:rPr>
                <w:sz w:val="20"/>
                <w:szCs w:val="20"/>
              </w:rPr>
            </w:pPr>
            <w:r w:rsidRPr="00C356E3">
              <w:rPr>
                <w:sz w:val="20"/>
                <w:szCs w:val="20"/>
              </w:rPr>
              <w:t> </w:t>
            </w:r>
          </w:p>
        </w:tc>
        <w:tc>
          <w:tcPr>
            <w:tcW w:w="5608" w:type="dxa"/>
            <w:tcBorders>
              <w:top w:val="nil"/>
              <w:left w:val="nil"/>
              <w:bottom w:val="nil"/>
              <w:right w:val="nil"/>
            </w:tcBorders>
            <w:shd w:val="clear" w:color="auto" w:fill="auto"/>
            <w:noWrap/>
            <w:vAlign w:val="bottom"/>
            <w:hideMark/>
          </w:tcPr>
          <w:p w:rsidR="00BD2393" w:rsidRPr="00C356E3" w:rsidRDefault="00BD2393" w:rsidP="008148DF">
            <w:pPr>
              <w:rPr>
                <w:sz w:val="22"/>
                <w:szCs w:val="22"/>
                <w:u w:val="single"/>
              </w:rPr>
            </w:pPr>
            <w:r w:rsidRPr="00C356E3">
              <w:rPr>
                <w:sz w:val="22"/>
                <w:szCs w:val="22"/>
                <w:u w:val="single"/>
              </w:rPr>
              <w:t>Depreciation Expense - Net</w:t>
            </w:r>
          </w:p>
        </w:tc>
        <w:tc>
          <w:tcPr>
            <w:tcW w:w="2656" w:type="dxa"/>
            <w:tcBorders>
              <w:top w:val="nil"/>
              <w:left w:val="nil"/>
              <w:bottom w:val="nil"/>
              <w:right w:val="nil"/>
            </w:tcBorders>
            <w:shd w:val="clear" w:color="auto" w:fill="auto"/>
            <w:noWrap/>
            <w:vAlign w:val="bottom"/>
            <w:hideMark/>
          </w:tcPr>
          <w:p w:rsidR="00BD2393" w:rsidRPr="00C356E3" w:rsidRDefault="00BD2393" w:rsidP="008148DF">
            <w:pPr>
              <w:rPr>
                <w:sz w:val="22"/>
                <w:szCs w:val="22"/>
              </w:rPr>
            </w:pPr>
          </w:p>
        </w:tc>
        <w:tc>
          <w:tcPr>
            <w:tcW w:w="354" w:type="dxa"/>
            <w:tcBorders>
              <w:top w:val="nil"/>
              <w:left w:val="nil"/>
              <w:bottom w:val="nil"/>
              <w:right w:val="single" w:sz="4" w:space="0" w:color="auto"/>
            </w:tcBorders>
            <w:shd w:val="clear" w:color="auto" w:fill="auto"/>
            <w:noWrap/>
            <w:vAlign w:val="bottom"/>
            <w:hideMark/>
          </w:tcPr>
          <w:p w:rsidR="00BD2393" w:rsidRPr="00C356E3" w:rsidRDefault="00BD2393" w:rsidP="008148DF">
            <w:pPr>
              <w:rPr>
                <w:sz w:val="20"/>
                <w:szCs w:val="20"/>
              </w:rPr>
            </w:pPr>
            <w:r w:rsidRPr="00C356E3">
              <w:rPr>
                <w:sz w:val="20"/>
                <w:szCs w:val="20"/>
              </w:rPr>
              <w:t> </w:t>
            </w:r>
          </w:p>
        </w:tc>
      </w:tr>
      <w:tr w:rsidR="00BD2393" w:rsidRPr="00C356E3" w:rsidTr="004752E6">
        <w:trPr>
          <w:trHeight w:val="316"/>
          <w:jc w:val="center"/>
        </w:trPr>
        <w:tc>
          <w:tcPr>
            <w:tcW w:w="462" w:type="dxa"/>
            <w:tcBorders>
              <w:top w:val="nil"/>
              <w:left w:val="single" w:sz="4" w:space="0" w:color="auto"/>
              <w:bottom w:val="nil"/>
              <w:right w:val="nil"/>
            </w:tcBorders>
            <w:shd w:val="clear" w:color="auto" w:fill="auto"/>
            <w:noWrap/>
            <w:vAlign w:val="bottom"/>
            <w:hideMark/>
          </w:tcPr>
          <w:p w:rsidR="00BD2393" w:rsidRPr="00C356E3" w:rsidRDefault="00BD2393" w:rsidP="008148DF">
            <w:pPr>
              <w:jc w:val="center"/>
              <w:rPr>
                <w:sz w:val="20"/>
                <w:szCs w:val="20"/>
              </w:rPr>
            </w:pPr>
            <w:r w:rsidRPr="00C356E3">
              <w:rPr>
                <w:sz w:val="20"/>
                <w:szCs w:val="20"/>
              </w:rPr>
              <w:t>1</w:t>
            </w:r>
          </w:p>
        </w:tc>
        <w:tc>
          <w:tcPr>
            <w:tcW w:w="5608" w:type="dxa"/>
            <w:tcBorders>
              <w:top w:val="nil"/>
              <w:left w:val="nil"/>
              <w:bottom w:val="nil"/>
              <w:right w:val="nil"/>
            </w:tcBorders>
            <w:shd w:val="clear" w:color="auto" w:fill="auto"/>
            <w:noWrap/>
            <w:vAlign w:val="bottom"/>
            <w:hideMark/>
          </w:tcPr>
          <w:p w:rsidR="00BD2393" w:rsidRPr="00C356E3" w:rsidRDefault="00BD2393" w:rsidP="008148DF">
            <w:pPr>
              <w:rPr>
                <w:color w:val="000000"/>
                <w:sz w:val="22"/>
                <w:szCs w:val="22"/>
              </w:rPr>
            </w:pPr>
            <w:r w:rsidRPr="00C356E3">
              <w:rPr>
                <w:color w:val="000000"/>
                <w:sz w:val="22"/>
                <w:szCs w:val="22"/>
              </w:rPr>
              <w:t>Pro</w:t>
            </w:r>
            <w:r>
              <w:rPr>
                <w:color w:val="000000"/>
                <w:sz w:val="22"/>
                <w:szCs w:val="22"/>
              </w:rPr>
              <w:t xml:space="preserve"> F</w:t>
            </w:r>
            <w:r w:rsidRPr="00C356E3">
              <w:rPr>
                <w:color w:val="000000"/>
                <w:sz w:val="22"/>
                <w:szCs w:val="22"/>
              </w:rPr>
              <w:t>orma Depreciation Expense</w:t>
            </w:r>
          </w:p>
        </w:tc>
        <w:tc>
          <w:tcPr>
            <w:tcW w:w="2656" w:type="dxa"/>
            <w:tcBorders>
              <w:top w:val="nil"/>
              <w:left w:val="nil"/>
              <w:bottom w:val="nil"/>
              <w:right w:val="nil"/>
            </w:tcBorders>
            <w:shd w:val="clear" w:color="auto" w:fill="auto"/>
            <w:noWrap/>
            <w:vAlign w:val="bottom"/>
            <w:hideMark/>
          </w:tcPr>
          <w:p w:rsidR="00BD2393" w:rsidRPr="00C356E3" w:rsidRDefault="00BD2393" w:rsidP="008148DF">
            <w:pPr>
              <w:jc w:val="right"/>
              <w:rPr>
                <w:sz w:val="22"/>
                <w:szCs w:val="22"/>
              </w:rPr>
            </w:pPr>
            <w:r w:rsidRPr="00C356E3">
              <w:rPr>
                <w:sz w:val="22"/>
                <w:szCs w:val="22"/>
              </w:rPr>
              <w:t>($738)</w:t>
            </w:r>
          </w:p>
        </w:tc>
        <w:tc>
          <w:tcPr>
            <w:tcW w:w="354" w:type="dxa"/>
            <w:tcBorders>
              <w:top w:val="nil"/>
              <w:left w:val="nil"/>
              <w:bottom w:val="nil"/>
              <w:right w:val="single" w:sz="4" w:space="0" w:color="auto"/>
            </w:tcBorders>
            <w:shd w:val="clear" w:color="auto" w:fill="auto"/>
            <w:noWrap/>
            <w:vAlign w:val="bottom"/>
            <w:hideMark/>
          </w:tcPr>
          <w:p w:rsidR="00BD2393" w:rsidRPr="00C356E3" w:rsidRDefault="00BD2393" w:rsidP="008148DF">
            <w:pPr>
              <w:rPr>
                <w:sz w:val="20"/>
                <w:szCs w:val="20"/>
              </w:rPr>
            </w:pPr>
            <w:r w:rsidRPr="00C356E3">
              <w:rPr>
                <w:sz w:val="20"/>
                <w:szCs w:val="20"/>
              </w:rPr>
              <w:t> </w:t>
            </w:r>
          </w:p>
        </w:tc>
      </w:tr>
      <w:tr w:rsidR="00BD2393" w:rsidRPr="00C356E3" w:rsidTr="004752E6">
        <w:trPr>
          <w:trHeight w:val="316"/>
          <w:jc w:val="center"/>
        </w:trPr>
        <w:tc>
          <w:tcPr>
            <w:tcW w:w="462" w:type="dxa"/>
            <w:tcBorders>
              <w:top w:val="nil"/>
              <w:left w:val="single" w:sz="4" w:space="0" w:color="auto"/>
              <w:bottom w:val="nil"/>
              <w:right w:val="nil"/>
            </w:tcBorders>
            <w:shd w:val="clear" w:color="auto" w:fill="auto"/>
            <w:noWrap/>
            <w:vAlign w:val="bottom"/>
            <w:hideMark/>
          </w:tcPr>
          <w:p w:rsidR="00BD2393" w:rsidRPr="00C356E3" w:rsidRDefault="00BD2393" w:rsidP="008148DF">
            <w:pPr>
              <w:jc w:val="center"/>
              <w:rPr>
                <w:sz w:val="20"/>
                <w:szCs w:val="20"/>
              </w:rPr>
            </w:pPr>
            <w:r w:rsidRPr="00C356E3">
              <w:rPr>
                <w:sz w:val="20"/>
                <w:szCs w:val="20"/>
              </w:rPr>
              <w:t>2</w:t>
            </w:r>
          </w:p>
        </w:tc>
        <w:tc>
          <w:tcPr>
            <w:tcW w:w="5608" w:type="dxa"/>
            <w:tcBorders>
              <w:top w:val="nil"/>
              <w:left w:val="nil"/>
              <w:bottom w:val="nil"/>
              <w:right w:val="nil"/>
            </w:tcBorders>
            <w:shd w:val="clear" w:color="auto" w:fill="auto"/>
            <w:noWrap/>
            <w:vAlign w:val="bottom"/>
            <w:hideMark/>
          </w:tcPr>
          <w:p w:rsidR="00BD2393" w:rsidRPr="00C356E3" w:rsidRDefault="00BD2393" w:rsidP="008148DF">
            <w:pPr>
              <w:rPr>
                <w:sz w:val="22"/>
                <w:szCs w:val="22"/>
              </w:rPr>
            </w:pPr>
            <w:r w:rsidRPr="00C356E3">
              <w:rPr>
                <w:sz w:val="22"/>
                <w:szCs w:val="22"/>
              </w:rPr>
              <w:t>To reflect non-used &amp; useful adjustment</w:t>
            </w:r>
          </w:p>
        </w:tc>
        <w:tc>
          <w:tcPr>
            <w:tcW w:w="2656" w:type="dxa"/>
            <w:tcBorders>
              <w:top w:val="nil"/>
              <w:left w:val="nil"/>
              <w:bottom w:val="nil"/>
              <w:right w:val="nil"/>
            </w:tcBorders>
            <w:shd w:val="clear" w:color="auto" w:fill="auto"/>
            <w:noWrap/>
            <w:vAlign w:val="bottom"/>
            <w:hideMark/>
          </w:tcPr>
          <w:p w:rsidR="00BD2393" w:rsidRPr="00C356E3" w:rsidRDefault="00BD2393" w:rsidP="008148DF">
            <w:pPr>
              <w:jc w:val="right"/>
              <w:rPr>
                <w:sz w:val="22"/>
                <w:szCs w:val="22"/>
                <w:u w:val="single"/>
              </w:rPr>
            </w:pPr>
            <w:r w:rsidRPr="00C356E3">
              <w:rPr>
                <w:sz w:val="22"/>
                <w:szCs w:val="22"/>
                <w:u w:val="single"/>
              </w:rPr>
              <w:t xml:space="preserve">6,215 </w:t>
            </w:r>
          </w:p>
        </w:tc>
        <w:tc>
          <w:tcPr>
            <w:tcW w:w="354" w:type="dxa"/>
            <w:tcBorders>
              <w:top w:val="nil"/>
              <w:left w:val="nil"/>
              <w:bottom w:val="nil"/>
              <w:right w:val="single" w:sz="4" w:space="0" w:color="auto"/>
            </w:tcBorders>
            <w:shd w:val="clear" w:color="auto" w:fill="auto"/>
            <w:noWrap/>
            <w:vAlign w:val="bottom"/>
            <w:hideMark/>
          </w:tcPr>
          <w:p w:rsidR="00BD2393" w:rsidRPr="00C356E3" w:rsidRDefault="00BD2393" w:rsidP="008148DF">
            <w:pPr>
              <w:rPr>
                <w:sz w:val="20"/>
                <w:szCs w:val="20"/>
              </w:rPr>
            </w:pPr>
            <w:r w:rsidRPr="00C356E3">
              <w:rPr>
                <w:sz w:val="20"/>
                <w:szCs w:val="20"/>
              </w:rPr>
              <w:t> </w:t>
            </w:r>
          </w:p>
        </w:tc>
      </w:tr>
      <w:tr w:rsidR="00BD2393" w:rsidRPr="00C356E3" w:rsidTr="004752E6">
        <w:trPr>
          <w:trHeight w:val="316"/>
          <w:jc w:val="center"/>
        </w:trPr>
        <w:tc>
          <w:tcPr>
            <w:tcW w:w="462" w:type="dxa"/>
            <w:tcBorders>
              <w:top w:val="nil"/>
              <w:left w:val="single" w:sz="4" w:space="0" w:color="auto"/>
              <w:bottom w:val="nil"/>
              <w:right w:val="nil"/>
            </w:tcBorders>
            <w:shd w:val="clear" w:color="auto" w:fill="auto"/>
            <w:noWrap/>
            <w:vAlign w:val="bottom"/>
            <w:hideMark/>
          </w:tcPr>
          <w:p w:rsidR="00BD2393" w:rsidRPr="00C356E3" w:rsidRDefault="00BD2393" w:rsidP="008148DF">
            <w:pPr>
              <w:jc w:val="center"/>
              <w:rPr>
                <w:sz w:val="20"/>
                <w:szCs w:val="20"/>
              </w:rPr>
            </w:pPr>
            <w:r w:rsidRPr="00C356E3">
              <w:rPr>
                <w:sz w:val="20"/>
                <w:szCs w:val="20"/>
              </w:rPr>
              <w:t> </w:t>
            </w:r>
          </w:p>
        </w:tc>
        <w:tc>
          <w:tcPr>
            <w:tcW w:w="5608" w:type="dxa"/>
            <w:tcBorders>
              <w:top w:val="nil"/>
              <w:left w:val="nil"/>
              <w:bottom w:val="nil"/>
              <w:right w:val="nil"/>
            </w:tcBorders>
            <w:shd w:val="clear" w:color="auto" w:fill="auto"/>
            <w:noWrap/>
            <w:vAlign w:val="bottom"/>
            <w:hideMark/>
          </w:tcPr>
          <w:p w:rsidR="00BD2393" w:rsidRPr="00C356E3" w:rsidRDefault="00BD2393" w:rsidP="008148DF">
            <w:pPr>
              <w:rPr>
                <w:sz w:val="22"/>
                <w:szCs w:val="22"/>
              </w:rPr>
            </w:pPr>
            <w:r w:rsidRPr="00C356E3">
              <w:rPr>
                <w:sz w:val="22"/>
                <w:szCs w:val="22"/>
              </w:rPr>
              <w:t xml:space="preserve">    Total</w:t>
            </w:r>
          </w:p>
        </w:tc>
        <w:tc>
          <w:tcPr>
            <w:tcW w:w="2656" w:type="dxa"/>
            <w:tcBorders>
              <w:top w:val="nil"/>
              <w:left w:val="nil"/>
              <w:bottom w:val="nil"/>
              <w:right w:val="nil"/>
            </w:tcBorders>
            <w:shd w:val="clear" w:color="auto" w:fill="auto"/>
            <w:noWrap/>
            <w:vAlign w:val="bottom"/>
            <w:hideMark/>
          </w:tcPr>
          <w:p w:rsidR="00BD2393" w:rsidRPr="00C356E3" w:rsidRDefault="00BD2393" w:rsidP="008148DF">
            <w:pPr>
              <w:jc w:val="right"/>
              <w:rPr>
                <w:sz w:val="22"/>
                <w:szCs w:val="22"/>
                <w:u w:val="double"/>
              </w:rPr>
            </w:pPr>
            <w:r w:rsidRPr="00C356E3">
              <w:rPr>
                <w:sz w:val="22"/>
                <w:szCs w:val="22"/>
                <w:u w:val="double"/>
              </w:rPr>
              <w:t xml:space="preserve">$5,477 </w:t>
            </w:r>
          </w:p>
        </w:tc>
        <w:tc>
          <w:tcPr>
            <w:tcW w:w="354" w:type="dxa"/>
            <w:tcBorders>
              <w:top w:val="nil"/>
              <w:left w:val="nil"/>
              <w:bottom w:val="nil"/>
              <w:right w:val="single" w:sz="4" w:space="0" w:color="auto"/>
            </w:tcBorders>
            <w:shd w:val="clear" w:color="auto" w:fill="auto"/>
            <w:noWrap/>
            <w:vAlign w:val="bottom"/>
            <w:hideMark/>
          </w:tcPr>
          <w:p w:rsidR="00BD2393" w:rsidRPr="00C356E3" w:rsidRDefault="00BD2393" w:rsidP="008148DF">
            <w:pPr>
              <w:rPr>
                <w:sz w:val="20"/>
                <w:szCs w:val="20"/>
              </w:rPr>
            </w:pPr>
            <w:r w:rsidRPr="00C356E3">
              <w:rPr>
                <w:sz w:val="20"/>
                <w:szCs w:val="20"/>
              </w:rPr>
              <w:t> </w:t>
            </w:r>
          </w:p>
        </w:tc>
      </w:tr>
      <w:tr w:rsidR="00BD2393" w:rsidRPr="00C356E3" w:rsidTr="004752E6">
        <w:trPr>
          <w:trHeight w:val="316"/>
          <w:jc w:val="center"/>
        </w:trPr>
        <w:tc>
          <w:tcPr>
            <w:tcW w:w="462" w:type="dxa"/>
            <w:tcBorders>
              <w:top w:val="nil"/>
              <w:left w:val="single" w:sz="4" w:space="0" w:color="auto"/>
              <w:bottom w:val="nil"/>
              <w:right w:val="nil"/>
            </w:tcBorders>
            <w:shd w:val="clear" w:color="auto" w:fill="auto"/>
            <w:noWrap/>
            <w:vAlign w:val="bottom"/>
            <w:hideMark/>
          </w:tcPr>
          <w:p w:rsidR="00BD2393" w:rsidRPr="00C356E3" w:rsidRDefault="00BD2393" w:rsidP="008148DF">
            <w:pPr>
              <w:jc w:val="center"/>
              <w:rPr>
                <w:sz w:val="20"/>
                <w:szCs w:val="20"/>
              </w:rPr>
            </w:pPr>
            <w:r w:rsidRPr="00C356E3">
              <w:rPr>
                <w:sz w:val="20"/>
                <w:szCs w:val="20"/>
              </w:rPr>
              <w:t> </w:t>
            </w:r>
          </w:p>
        </w:tc>
        <w:tc>
          <w:tcPr>
            <w:tcW w:w="5608" w:type="dxa"/>
            <w:tcBorders>
              <w:top w:val="nil"/>
              <w:left w:val="nil"/>
              <w:bottom w:val="nil"/>
              <w:right w:val="nil"/>
            </w:tcBorders>
            <w:shd w:val="clear" w:color="auto" w:fill="auto"/>
            <w:noWrap/>
            <w:vAlign w:val="bottom"/>
            <w:hideMark/>
          </w:tcPr>
          <w:p w:rsidR="00BD2393" w:rsidRPr="00C356E3" w:rsidRDefault="00BD2393" w:rsidP="008148DF">
            <w:pPr>
              <w:rPr>
                <w:sz w:val="22"/>
                <w:szCs w:val="22"/>
              </w:rPr>
            </w:pPr>
          </w:p>
        </w:tc>
        <w:tc>
          <w:tcPr>
            <w:tcW w:w="2656" w:type="dxa"/>
            <w:tcBorders>
              <w:top w:val="nil"/>
              <w:left w:val="nil"/>
              <w:bottom w:val="nil"/>
              <w:right w:val="nil"/>
            </w:tcBorders>
            <w:shd w:val="clear" w:color="auto" w:fill="auto"/>
            <w:noWrap/>
            <w:vAlign w:val="bottom"/>
            <w:hideMark/>
          </w:tcPr>
          <w:p w:rsidR="00BD2393" w:rsidRPr="00C356E3" w:rsidRDefault="00BD2393" w:rsidP="008148DF">
            <w:pPr>
              <w:rPr>
                <w:sz w:val="22"/>
                <w:szCs w:val="22"/>
              </w:rPr>
            </w:pPr>
          </w:p>
        </w:tc>
        <w:tc>
          <w:tcPr>
            <w:tcW w:w="354" w:type="dxa"/>
            <w:tcBorders>
              <w:top w:val="nil"/>
              <w:left w:val="nil"/>
              <w:bottom w:val="nil"/>
              <w:right w:val="single" w:sz="4" w:space="0" w:color="auto"/>
            </w:tcBorders>
            <w:shd w:val="clear" w:color="auto" w:fill="auto"/>
            <w:noWrap/>
            <w:vAlign w:val="bottom"/>
            <w:hideMark/>
          </w:tcPr>
          <w:p w:rsidR="00BD2393" w:rsidRPr="00C356E3" w:rsidRDefault="00BD2393" w:rsidP="008148DF">
            <w:pPr>
              <w:rPr>
                <w:sz w:val="20"/>
                <w:szCs w:val="20"/>
              </w:rPr>
            </w:pPr>
            <w:r w:rsidRPr="00C356E3">
              <w:rPr>
                <w:sz w:val="20"/>
                <w:szCs w:val="20"/>
              </w:rPr>
              <w:t> </w:t>
            </w:r>
          </w:p>
        </w:tc>
      </w:tr>
      <w:tr w:rsidR="00BD2393" w:rsidRPr="00C356E3" w:rsidTr="004752E6">
        <w:trPr>
          <w:trHeight w:val="316"/>
          <w:jc w:val="center"/>
        </w:trPr>
        <w:tc>
          <w:tcPr>
            <w:tcW w:w="462" w:type="dxa"/>
            <w:tcBorders>
              <w:top w:val="nil"/>
              <w:left w:val="single" w:sz="4" w:space="0" w:color="auto"/>
              <w:bottom w:val="nil"/>
              <w:right w:val="nil"/>
            </w:tcBorders>
            <w:shd w:val="clear" w:color="auto" w:fill="auto"/>
            <w:noWrap/>
            <w:vAlign w:val="bottom"/>
            <w:hideMark/>
          </w:tcPr>
          <w:p w:rsidR="00BD2393" w:rsidRPr="00C356E3" w:rsidRDefault="00BD2393" w:rsidP="008148DF">
            <w:pPr>
              <w:jc w:val="center"/>
              <w:rPr>
                <w:sz w:val="20"/>
                <w:szCs w:val="20"/>
              </w:rPr>
            </w:pPr>
            <w:r w:rsidRPr="00C356E3">
              <w:rPr>
                <w:sz w:val="20"/>
                <w:szCs w:val="20"/>
              </w:rPr>
              <w:t> </w:t>
            </w:r>
          </w:p>
        </w:tc>
        <w:tc>
          <w:tcPr>
            <w:tcW w:w="5608" w:type="dxa"/>
            <w:tcBorders>
              <w:top w:val="nil"/>
              <w:left w:val="nil"/>
              <w:bottom w:val="nil"/>
              <w:right w:val="nil"/>
            </w:tcBorders>
            <w:shd w:val="clear" w:color="auto" w:fill="auto"/>
            <w:noWrap/>
            <w:vAlign w:val="bottom"/>
            <w:hideMark/>
          </w:tcPr>
          <w:p w:rsidR="00BD2393" w:rsidRPr="00C356E3" w:rsidRDefault="00BD2393" w:rsidP="008148DF">
            <w:pPr>
              <w:rPr>
                <w:sz w:val="22"/>
                <w:szCs w:val="22"/>
                <w:u w:val="single"/>
              </w:rPr>
            </w:pPr>
            <w:r w:rsidRPr="00C356E3">
              <w:rPr>
                <w:sz w:val="22"/>
                <w:szCs w:val="22"/>
                <w:u w:val="single"/>
              </w:rPr>
              <w:t>Taxes Other Than Income</w:t>
            </w:r>
          </w:p>
        </w:tc>
        <w:tc>
          <w:tcPr>
            <w:tcW w:w="2656" w:type="dxa"/>
            <w:tcBorders>
              <w:top w:val="nil"/>
              <w:left w:val="nil"/>
              <w:bottom w:val="nil"/>
              <w:right w:val="nil"/>
            </w:tcBorders>
            <w:shd w:val="clear" w:color="auto" w:fill="auto"/>
            <w:noWrap/>
            <w:vAlign w:val="bottom"/>
            <w:hideMark/>
          </w:tcPr>
          <w:p w:rsidR="00BD2393" w:rsidRPr="00C356E3" w:rsidRDefault="00BD2393" w:rsidP="008148DF">
            <w:pPr>
              <w:rPr>
                <w:sz w:val="22"/>
                <w:szCs w:val="22"/>
              </w:rPr>
            </w:pPr>
          </w:p>
        </w:tc>
        <w:tc>
          <w:tcPr>
            <w:tcW w:w="354" w:type="dxa"/>
            <w:tcBorders>
              <w:top w:val="nil"/>
              <w:left w:val="nil"/>
              <w:bottom w:val="nil"/>
              <w:right w:val="single" w:sz="4" w:space="0" w:color="auto"/>
            </w:tcBorders>
            <w:shd w:val="clear" w:color="auto" w:fill="auto"/>
            <w:noWrap/>
            <w:vAlign w:val="bottom"/>
            <w:hideMark/>
          </w:tcPr>
          <w:p w:rsidR="00BD2393" w:rsidRPr="00C356E3" w:rsidRDefault="00BD2393" w:rsidP="008148DF">
            <w:pPr>
              <w:rPr>
                <w:sz w:val="20"/>
                <w:szCs w:val="20"/>
              </w:rPr>
            </w:pPr>
            <w:r w:rsidRPr="00C356E3">
              <w:rPr>
                <w:sz w:val="20"/>
                <w:szCs w:val="20"/>
              </w:rPr>
              <w:t> </w:t>
            </w:r>
          </w:p>
        </w:tc>
      </w:tr>
      <w:tr w:rsidR="00BD2393" w:rsidRPr="00C356E3" w:rsidTr="004752E6">
        <w:trPr>
          <w:trHeight w:val="316"/>
          <w:jc w:val="center"/>
        </w:trPr>
        <w:tc>
          <w:tcPr>
            <w:tcW w:w="462" w:type="dxa"/>
            <w:tcBorders>
              <w:top w:val="nil"/>
              <w:left w:val="single" w:sz="4" w:space="0" w:color="auto"/>
              <w:bottom w:val="nil"/>
              <w:right w:val="nil"/>
            </w:tcBorders>
            <w:shd w:val="clear" w:color="auto" w:fill="auto"/>
            <w:noWrap/>
            <w:vAlign w:val="bottom"/>
            <w:hideMark/>
          </w:tcPr>
          <w:p w:rsidR="00BD2393" w:rsidRPr="00C356E3" w:rsidRDefault="00BD2393" w:rsidP="008148DF">
            <w:pPr>
              <w:jc w:val="center"/>
              <w:rPr>
                <w:sz w:val="20"/>
                <w:szCs w:val="20"/>
              </w:rPr>
            </w:pPr>
            <w:r w:rsidRPr="00C356E3">
              <w:rPr>
                <w:sz w:val="20"/>
                <w:szCs w:val="20"/>
              </w:rPr>
              <w:t>1</w:t>
            </w:r>
          </w:p>
        </w:tc>
        <w:tc>
          <w:tcPr>
            <w:tcW w:w="5608" w:type="dxa"/>
            <w:tcBorders>
              <w:top w:val="nil"/>
              <w:left w:val="nil"/>
              <w:bottom w:val="nil"/>
              <w:right w:val="nil"/>
            </w:tcBorders>
            <w:shd w:val="clear" w:color="auto" w:fill="auto"/>
            <w:noWrap/>
            <w:vAlign w:val="bottom"/>
            <w:hideMark/>
          </w:tcPr>
          <w:p w:rsidR="00BD2393" w:rsidRPr="00C356E3" w:rsidRDefault="00BD2393" w:rsidP="008148DF">
            <w:pPr>
              <w:rPr>
                <w:sz w:val="22"/>
                <w:szCs w:val="22"/>
              </w:rPr>
            </w:pPr>
            <w:r w:rsidRPr="00C356E3">
              <w:rPr>
                <w:sz w:val="22"/>
                <w:szCs w:val="22"/>
              </w:rPr>
              <w:t>To remove RAFs on revenue adjustment above</w:t>
            </w:r>
          </w:p>
        </w:tc>
        <w:tc>
          <w:tcPr>
            <w:tcW w:w="2656" w:type="dxa"/>
            <w:tcBorders>
              <w:top w:val="nil"/>
              <w:left w:val="nil"/>
              <w:bottom w:val="nil"/>
              <w:right w:val="nil"/>
            </w:tcBorders>
            <w:shd w:val="clear" w:color="auto" w:fill="auto"/>
            <w:noWrap/>
            <w:vAlign w:val="bottom"/>
            <w:hideMark/>
          </w:tcPr>
          <w:p w:rsidR="00BD2393" w:rsidRPr="00C356E3" w:rsidRDefault="00BD2393" w:rsidP="008148DF">
            <w:pPr>
              <w:jc w:val="right"/>
              <w:rPr>
                <w:sz w:val="22"/>
                <w:szCs w:val="22"/>
              </w:rPr>
            </w:pPr>
            <w:r w:rsidRPr="00C356E3">
              <w:rPr>
                <w:sz w:val="22"/>
                <w:szCs w:val="22"/>
              </w:rPr>
              <w:t>($3,022)</w:t>
            </w:r>
          </w:p>
        </w:tc>
        <w:tc>
          <w:tcPr>
            <w:tcW w:w="354" w:type="dxa"/>
            <w:tcBorders>
              <w:top w:val="nil"/>
              <w:left w:val="nil"/>
              <w:bottom w:val="nil"/>
              <w:right w:val="single" w:sz="4" w:space="0" w:color="auto"/>
            </w:tcBorders>
            <w:shd w:val="clear" w:color="auto" w:fill="auto"/>
            <w:noWrap/>
            <w:vAlign w:val="bottom"/>
            <w:hideMark/>
          </w:tcPr>
          <w:p w:rsidR="00BD2393" w:rsidRPr="00C356E3" w:rsidRDefault="00BD2393" w:rsidP="008148DF">
            <w:pPr>
              <w:rPr>
                <w:sz w:val="20"/>
                <w:szCs w:val="20"/>
              </w:rPr>
            </w:pPr>
            <w:r w:rsidRPr="00C356E3">
              <w:rPr>
                <w:sz w:val="20"/>
                <w:szCs w:val="20"/>
              </w:rPr>
              <w:t> </w:t>
            </w:r>
          </w:p>
        </w:tc>
      </w:tr>
      <w:tr w:rsidR="00BD2393" w:rsidRPr="00C356E3" w:rsidTr="004752E6">
        <w:trPr>
          <w:trHeight w:val="316"/>
          <w:jc w:val="center"/>
        </w:trPr>
        <w:tc>
          <w:tcPr>
            <w:tcW w:w="462" w:type="dxa"/>
            <w:tcBorders>
              <w:top w:val="nil"/>
              <w:left w:val="single" w:sz="4" w:space="0" w:color="auto"/>
              <w:bottom w:val="nil"/>
              <w:right w:val="nil"/>
            </w:tcBorders>
            <w:shd w:val="clear" w:color="auto" w:fill="auto"/>
            <w:noWrap/>
            <w:vAlign w:val="bottom"/>
            <w:hideMark/>
          </w:tcPr>
          <w:p w:rsidR="00BD2393" w:rsidRPr="00C356E3" w:rsidRDefault="00BD2393" w:rsidP="008148DF">
            <w:pPr>
              <w:jc w:val="center"/>
              <w:rPr>
                <w:sz w:val="20"/>
                <w:szCs w:val="20"/>
              </w:rPr>
            </w:pPr>
            <w:r w:rsidRPr="00C356E3">
              <w:rPr>
                <w:sz w:val="20"/>
                <w:szCs w:val="20"/>
              </w:rPr>
              <w:t>2</w:t>
            </w:r>
          </w:p>
        </w:tc>
        <w:tc>
          <w:tcPr>
            <w:tcW w:w="5608" w:type="dxa"/>
            <w:tcBorders>
              <w:top w:val="nil"/>
              <w:left w:val="nil"/>
              <w:bottom w:val="nil"/>
              <w:right w:val="nil"/>
            </w:tcBorders>
            <w:shd w:val="clear" w:color="000000" w:fill="FFFFFF"/>
            <w:noWrap/>
            <w:vAlign w:val="bottom"/>
            <w:hideMark/>
          </w:tcPr>
          <w:p w:rsidR="00BD2393" w:rsidRPr="00C356E3" w:rsidRDefault="00BD2393" w:rsidP="008148DF">
            <w:pPr>
              <w:rPr>
                <w:color w:val="000000"/>
                <w:sz w:val="22"/>
                <w:szCs w:val="22"/>
              </w:rPr>
            </w:pPr>
            <w:r w:rsidRPr="00C356E3">
              <w:rPr>
                <w:color w:val="000000"/>
                <w:sz w:val="22"/>
                <w:szCs w:val="22"/>
              </w:rPr>
              <w:t>Used and Useful Property Tax adjustment</w:t>
            </w:r>
          </w:p>
        </w:tc>
        <w:tc>
          <w:tcPr>
            <w:tcW w:w="2656" w:type="dxa"/>
            <w:tcBorders>
              <w:top w:val="nil"/>
              <w:left w:val="nil"/>
              <w:bottom w:val="nil"/>
              <w:right w:val="nil"/>
            </w:tcBorders>
            <w:shd w:val="clear" w:color="auto" w:fill="auto"/>
            <w:noWrap/>
            <w:vAlign w:val="bottom"/>
            <w:hideMark/>
          </w:tcPr>
          <w:p w:rsidR="00BD2393" w:rsidRPr="00C356E3" w:rsidRDefault="00BD2393" w:rsidP="008148DF">
            <w:pPr>
              <w:jc w:val="right"/>
              <w:rPr>
                <w:sz w:val="22"/>
                <w:szCs w:val="22"/>
              </w:rPr>
            </w:pPr>
            <w:r w:rsidRPr="00C356E3">
              <w:rPr>
                <w:sz w:val="22"/>
                <w:szCs w:val="22"/>
              </w:rPr>
              <w:t>(2,291)</w:t>
            </w:r>
          </w:p>
        </w:tc>
        <w:tc>
          <w:tcPr>
            <w:tcW w:w="354" w:type="dxa"/>
            <w:tcBorders>
              <w:top w:val="nil"/>
              <w:left w:val="nil"/>
              <w:bottom w:val="nil"/>
              <w:right w:val="single" w:sz="4" w:space="0" w:color="auto"/>
            </w:tcBorders>
            <w:shd w:val="clear" w:color="auto" w:fill="auto"/>
            <w:noWrap/>
            <w:vAlign w:val="bottom"/>
            <w:hideMark/>
          </w:tcPr>
          <w:p w:rsidR="00BD2393" w:rsidRPr="00C356E3" w:rsidRDefault="00BD2393" w:rsidP="008148DF">
            <w:pPr>
              <w:rPr>
                <w:sz w:val="20"/>
                <w:szCs w:val="20"/>
              </w:rPr>
            </w:pPr>
            <w:r w:rsidRPr="00C356E3">
              <w:rPr>
                <w:sz w:val="20"/>
                <w:szCs w:val="20"/>
              </w:rPr>
              <w:t> </w:t>
            </w:r>
          </w:p>
        </w:tc>
      </w:tr>
      <w:tr w:rsidR="00BD2393" w:rsidRPr="00C356E3" w:rsidTr="004752E6">
        <w:trPr>
          <w:trHeight w:val="316"/>
          <w:jc w:val="center"/>
        </w:trPr>
        <w:tc>
          <w:tcPr>
            <w:tcW w:w="462" w:type="dxa"/>
            <w:tcBorders>
              <w:top w:val="nil"/>
              <w:left w:val="single" w:sz="4" w:space="0" w:color="auto"/>
              <w:bottom w:val="nil"/>
              <w:right w:val="nil"/>
            </w:tcBorders>
            <w:shd w:val="clear" w:color="auto" w:fill="auto"/>
            <w:noWrap/>
            <w:vAlign w:val="bottom"/>
            <w:hideMark/>
          </w:tcPr>
          <w:p w:rsidR="00BD2393" w:rsidRPr="00C356E3" w:rsidRDefault="00BD2393" w:rsidP="008148DF">
            <w:pPr>
              <w:jc w:val="center"/>
              <w:rPr>
                <w:sz w:val="20"/>
                <w:szCs w:val="20"/>
              </w:rPr>
            </w:pPr>
            <w:r w:rsidRPr="00C356E3">
              <w:rPr>
                <w:sz w:val="20"/>
                <w:szCs w:val="20"/>
              </w:rPr>
              <w:t>3</w:t>
            </w:r>
          </w:p>
        </w:tc>
        <w:tc>
          <w:tcPr>
            <w:tcW w:w="5608" w:type="dxa"/>
            <w:tcBorders>
              <w:top w:val="nil"/>
              <w:left w:val="nil"/>
              <w:bottom w:val="nil"/>
              <w:right w:val="nil"/>
            </w:tcBorders>
            <w:shd w:val="clear" w:color="auto" w:fill="auto"/>
            <w:noWrap/>
            <w:vAlign w:val="bottom"/>
            <w:hideMark/>
          </w:tcPr>
          <w:p w:rsidR="00BD2393" w:rsidRPr="00C356E3" w:rsidRDefault="00BD2393" w:rsidP="008148DF">
            <w:pPr>
              <w:rPr>
                <w:sz w:val="22"/>
                <w:szCs w:val="22"/>
              </w:rPr>
            </w:pPr>
            <w:r w:rsidRPr="00C356E3">
              <w:rPr>
                <w:sz w:val="22"/>
                <w:szCs w:val="22"/>
              </w:rPr>
              <w:t>Pro Forma Property taxes</w:t>
            </w:r>
          </w:p>
        </w:tc>
        <w:tc>
          <w:tcPr>
            <w:tcW w:w="2656" w:type="dxa"/>
            <w:tcBorders>
              <w:top w:val="nil"/>
              <w:left w:val="nil"/>
              <w:bottom w:val="nil"/>
              <w:right w:val="nil"/>
            </w:tcBorders>
            <w:shd w:val="clear" w:color="auto" w:fill="auto"/>
            <w:noWrap/>
            <w:vAlign w:val="bottom"/>
            <w:hideMark/>
          </w:tcPr>
          <w:p w:rsidR="00BD2393" w:rsidRPr="00C356E3" w:rsidRDefault="00BD2393" w:rsidP="008148DF">
            <w:pPr>
              <w:jc w:val="right"/>
              <w:rPr>
                <w:sz w:val="22"/>
                <w:szCs w:val="22"/>
                <w:u w:val="single"/>
              </w:rPr>
            </w:pPr>
            <w:r w:rsidRPr="00C356E3">
              <w:rPr>
                <w:sz w:val="22"/>
                <w:szCs w:val="22"/>
                <w:u w:val="single"/>
              </w:rPr>
              <w:t xml:space="preserve">233 </w:t>
            </w:r>
          </w:p>
        </w:tc>
        <w:tc>
          <w:tcPr>
            <w:tcW w:w="354" w:type="dxa"/>
            <w:tcBorders>
              <w:top w:val="nil"/>
              <w:left w:val="nil"/>
              <w:bottom w:val="nil"/>
              <w:right w:val="single" w:sz="4" w:space="0" w:color="auto"/>
            </w:tcBorders>
            <w:shd w:val="clear" w:color="auto" w:fill="auto"/>
            <w:noWrap/>
            <w:vAlign w:val="bottom"/>
            <w:hideMark/>
          </w:tcPr>
          <w:p w:rsidR="00BD2393" w:rsidRPr="00C356E3" w:rsidRDefault="00BD2393" w:rsidP="008148DF">
            <w:pPr>
              <w:rPr>
                <w:sz w:val="20"/>
                <w:szCs w:val="20"/>
              </w:rPr>
            </w:pPr>
            <w:r w:rsidRPr="00C356E3">
              <w:rPr>
                <w:sz w:val="20"/>
                <w:szCs w:val="20"/>
              </w:rPr>
              <w:t> </w:t>
            </w:r>
          </w:p>
        </w:tc>
      </w:tr>
      <w:tr w:rsidR="00BD2393" w:rsidRPr="00C356E3" w:rsidTr="004752E6">
        <w:trPr>
          <w:trHeight w:val="316"/>
          <w:jc w:val="center"/>
        </w:trPr>
        <w:tc>
          <w:tcPr>
            <w:tcW w:w="462" w:type="dxa"/>
            <w:tcBorders>
              <w:top w:val="nil"/>
              <w:left w:val="single" w:sz="4" w:space="0" w:color="auto"/>
              <w:bottom w:val="nil"/>
              <w:right w:val="nil"/>
            </w:tcBorders>
            <w:shd w:val="clear" w:color="000000" w:fill="FFFFFF"/>
            <w:noWrap/>
            <w:vAlign w:val="bottom"/>
            <w:hideMark/>
          </w:tcPr>
          <w:p w:rsidR="00BD2393" w:rsidRPr="00C356E3" w:rsidRDefault="00BD2393" w:rsidP="008148DF">
            <w:pPr>
              <w:jc w:val="center"/>
              <w:rPr>
                <w:sz w:val="20"/>
                <w:szCs w:val="20"/>
              </w:rPr>
            </w:pPr>
            <w:r w:rsidRPr="00C356E3">
              <w:rPr>
                <w:sz w:val="20"/>
                <w:szCs w:val="20"/>
              </w:rPr>
              <w:t> </w:t>
            </w:r>
          </w:p>
        </w:tc>
        <w:tc>
          <w:tcPr>
            <w:tcW w:w="5608" w:type="dxa"/>
            <w:tcBorders>
              <w:top w:val="nil"/>
              <w:left w:val="nil"/>
              <w:bottom w:val="nil"/>
              <w:right w:val="nil"/>
            </w:tcBorders>
            <w:shd w:val="clear" w:color="000000" w:fill="FFFFFF"/>
            <w:noWrap/>
            <w:vAlign w:val="bottom"/>
            <w:hideMark/>
          </w:tcPr>
          <w:p w:rsidR="00BD2393" w:rsidRPr="00C356E3" w:rsidRDefault="00BD2393" w:rsidP="008148DF">
            <w:pPr>
              <w:rPr>
                <w:sz w:val="22"/>
                <w:szCs w:val="22"/>
              </w:rPr>
            </w:pPr>
            <w:r w:rsidRPr="00C356E3">
              <w:rPr>
                <w:sz w:val="22"/>
                <w:szCs w:val="22"/>
              </w:rPr>
              <w:t xml:space="preserve">    Total</w:t>
            </w:r>
          </w:p>
        </w:tc>
        <w:tc>
          <w:tcPr>
            <w:tcW w:w="2656" w:type="dxa"/>
            <w:tcBorders>
              <w:top w:val="nil"/>
              <w:left w:val="nil"/>
              <w:bottom w:val="nil"/>
              <w:right w:val="nil"/>
            </w:tcBorders>
            <w:shd w:val="clear" w:color="auto" w:fill="auto"/>
            <w:noWrap/>
            <w:vAlign w:val="bottom"/>
            <w:hideMark/>
          </w:tcPr>
          <w:p w:rsidR="00BD2393" w:rsidRPr="00C356E3" w:rsidRDefault="00BD2393" w:rsidP="008148DF">
            <w:pPr>
              <w:jc w:val="right"/>
              <w:rPr>
                <w:sz w:val="22"/>
                <w:szCs w:val="22"/>
                <w:u w:val="double"/>
              </w:rPr>
            </w:pPr>
            <w:r w:rsidRPr="00C356E3">
              <w:rPr>
                <w:sz w:val="22"/>
                <w:szCs w:val="22"/>
                <w:u w:val="double"/>
              </w:rPr>
              <w:t>($5,</w:t>
            </w:r>
            <w:r>
              <w:rPr>
                <w:sz w:val="22"/>
                <w:szCs w:val="22"/>
                <w:u w:val="double"/>
              </w:rPr>
              <w:t>080</w:t>
            </w:r>
            <w:r w:rsidRPr="00C356E3">
              <w:rPr>
                <w:sz w:val="22"/>
                <w:szCs w:val="22"/>
                <w:u w:val="double"/>
              </w:rPr>
              <w:t>)</w:t>
            </w:r>
          </w:p>
        </w:tc>
        <w:tc>
          <w:tcPr>
            <w:tcW w:w="354" w:type="dxa"/>
            <w:tcBorders>
              <w:top w:val="nil"/>
              <w:left w:val="nil"/>
              <w:bottom w:val="nil"/>
              <w:right w:val="single" w:sz="4" w:space="0" w:color="auto"/>
            </w:tcBorders>
            <w:shd w:val="clear" w:color="000000" w:fill="FFFFFF"/>
            <w:noWrap/>
            <w:vAlign w:val="bottom"/>
            <w:hideMark/>
          </w:tcPr>
          <w:p w:rsidR="00BD2393" w:rsidRPr="00C356E3" w:rsidRDefault="00BD2393" w:rsidP="008148DF">
            <w:pPr>
              <w:rPr>
                <w:sz w:val="20"/>
                <w:szCs w:val="20"/>
                <w:u w:val="double"/>
              </w:rPr>
            </w:pPr>
            <w:r w:rsidRPr="00C356E3">
              <w:rPr>
                <w:sz w:val="20"/>
                <w:szCs w:val="20"/>
                <w:u w:val="double"/>
              </w:rPr>
              <w:t xml:space="preserve"> </w:t>
            </w:r>
          </w:p>
        </w:tc>
      </w:tr>
      <w:tr w:rsidR="00BD2393" w:rsidRPr="00C356E3" w:rsidTr="004752E6">
        <w:trPr>
          <w:trHeight w:val="316"/>
          <w:jc w:val="center"/>
        </w:trPr>
        <w:tc>
          <w:tcPr>
            <w:tcW w:w="462" w:type="dxa"/>
            <w:tcBorders>
              <w:top w:val="nil"/>
              <w:left w:val="single" w:sz="4" w:space="0" w:color="auto"/>
              <w:bottom w:val="single" w:sz="4" w:space="0" w:color="auto"/>
              <w:right w:val="nil"/>
            </w:tcBorders>
            <w:shd w:val="clear" w:color="000000" w:fill="FFFFFF"/>
            <w:noWrap/>
            <w:vAlign w:val="bottom"/>
            <w:hideMark/>
          </w:tcPr>
          <w:p w:rsidR="00BD2393" w:rsidRPr="00C356E3" w:rsidRDefault="00BD2393" w:rsidP="008148DF">
            <w:pPr>
              <w:jc w:val="center"/>
              <w:rPr>
                <w:sz w:val="20"/>
                <w:szCs w:val="20"/>
              </w:rPr>
            </w:pPr>
            <w:r w:rsidRPr="00C356E3">
              <w:rPr>
                <w:sz w:val="20"/>
                <w:szCs w:val="20"/>
              </w:rPr>
              <w:t> </w:t>
            </w:r>
          </w:p>
        </w:tc>
        <w:tc>
          <w:tcPr>
            <w:tcW w:w="5608" w:type="dxa"/>
            <w:tcBorders>
              <w:top w:val="nil"/>
              <w:left w:val="nil"/>
              <w:bottom w:val="single" w:sz="4" w:space="0" w:color="auto"/>
              <w:right w:val="nil"/>
            </w:tcBorders>
            <w:shd w:val="clear" w:color="000000" w:fill="FFFFFF"/>
            <w:noWrap/>
            <w:vAlign w:val="bottom"/>
            <w:hideMark/>
          </w:tcPr>
          <w:p w:rsidR="00BD2393" w:rsidRPr="00C356E3" w:rsidRDefault="00BD2393" w:rsidP="008148DF">
            <w:pPr>
              <w:rPr>
                <w:sz w:val="22"/>
                <w:szCs w:val="22"/>
              </w:rPr>
            </w:pPr>
            <w:r w:rsidRPr="00C356E3">
              <w:rPr>
                <w:sz w:val="22"/>
                <w:szCs w:val="22"/>
              </w:rPr>
              <w:t> </w:t>
            </w:r>
          </w:p>
        </w:tc>
        <w:tc>
          <w:tcPr>
            <w:tcW w:w="2656" w:type="dxa"/>
            <w:tcBorders>
              <w:top w:val="nil"/>
              <w:left w:val="nil"/>
              <w:bottom w:val="single" w:sz="4" w:space="0" w:color="auto"/>
              <w:right w:val="nil"/>
            </w:tcBorders>
            <w:shd w:val="clear" w:color="000000" w:fill="FFFFFF"/>
            <w:noWrap/>
            <w:vAlign w:val="bottom"/>
            <w:hideMark/>
          </w:tcPr>
          <w:p w:rsidR="00BD2393" w:rsidRPr="00C356E3" w:rsidRDefault="00BD2393" w:rsidP="008148DF">
            <w:pPr>
              <w:rPr>
                <w:sz w:val="22"/>
                <w:szCs w:val="22"/>
              </w:rPr>
            </w:pPr>
            <w:r w:rsidRPr="00C356E3">
              <w:rPr>
                <w:sz w:val="22"/>
                <w:szCs w:val="22"/>
              </w:rPr>
              <w:t> </w:t>
            </w:r>
          </w:p>
        </w:tc>
        <w:tc>
          <w:tcPr>
            <w:tcW w:w="354" w:type="dxa"/>
            <w:tcBorders>
              <w:top w:val="nil"/>
              <w:left w:val="nil"/>
              <w:bottom w:val="single" w:sz="4" w:space="0" w:color="auto"/>
              <w:right w:val="single" w:sz="4" w:space="0" w:color="auto"/>
            </w:tcBorders>
            <w:shd w:val="clear" w:color="000000" w:fill="FFFFFF"/>
            <w:noWrap/>
            <w:vAlign w:val="bottom"/>
            <w:hideMark/>
          </w:tcPr>
          <w:p w:rsidR="00BD2393" w:rsidRPr="00C356E3" w:rsidRDefault="00BD2393" w:rsidP="008148DF">
            <w:pPr>
              <w:rPr>
                <w:sz w:val="20"/>
                <w:szCs w:val="20"/>
              </w:rPr>
            </w:pPr>
            <w:r w:rsidRPr="00C356E3">
              <w:rPr>
                <w:sz w:val="20"/>
                <w:szCs w:val="20"/>
              </w:rPr>
              <w:t> </w:t>
            </w:r>
          </w:p>
        </w:tc>
      </w:tr>
    </w:tbl>
    <w:p w:rsidR="00BD2393" w:rsidRDefault="00BD2393" w:rsidP="00E275D8">
      <w:pPr>
        <w:pStyle w:val="BodyText"/>
      </w:pPr>
    </w:p>
    <w:p w:rsidR="00BD2393" w:rsidRDefault="00BD2393" w:rsidP="00E275D8">
      <w:pPr>
        <w:pStyle w:val="BodyText"/>
      </w:pPr>
    </w:p>
    <w:p w:rsidR="00BD2393" w:rsidRDefault="00BD2393" w:rsidP="00E275D8">
      <w:pPr>
        <w:pStyle w:val="BodyText"/>
        <w:sectPr w:rsidR="00BD2393" w:rsidSect="00AF2909">
          <w:headerReference w:type="default" r:id="rId28"/>
          <w:pgSz w:w="12240" w:h="15840" w:code="1"/>
          <w:pgMar w:top="1584" w:right="1440" w:bottom="1440" w:left="1440" w:header="720" w:footer="720" w:gutter="0"/>
          <w:cols w:space="720"/>
          <w:formProt w:val="0"/>
          <w:docGrid w:linePitch="360"/>
        </w:sectPr>
      </w:pPr>
    </w:p>
    <w:p w:rsidR="00AF2909" w:rsidRDefault="00BD2393" w:rsidP="00BD2393">
      <w:pPr>
        <w:pStyle w:val="BodyText"/>
        <w:jc w:val="center"/>
        <w:rPr>
          <w:noProof/>
        </w:rPr>
      </w:pPr>
      <w:r>
        <w:lastRenderedPageBreak/>
        <w:fldChar w:fldCharType="begin"/>
      </w:r>
      <w:r>
        <w:instrText xml:space="preserve"> TC "</w:instrText>
      </w:r>
      <w:bookmarkStart w:id="42" w:name="_Toc24969911"/>
      <w:bookmarkStart w:id="43" w:name="_Toc25305774"/>
      <w:r>
        <w:tab/>
        <w:instrText>Schedule No. 4</w:instrText>
      </w:r>
      <w:bookmarkEnd w:id="42"/>
      <w:r>
        <w:instrText xml:space="preserve"> </w:instrText>
      </w:r>
      <w:r w:rsidR="00527C05">
        <w:instrText>Monthly Water Rates</w:instrText>
      </w:r>
      <w:bookmarkEnd w:id="43"/>
      <w:r>
        <w:instrText xml:space="preserve">" \l 1 </w:instrText>
      </w:r>
      <w:r>
        <w:fldChar w:fldCharType="end"/>
      </w:r>
    </w:p>
    <w:tbl>
      <w:tblPr>
        <w:tblW w:w="11510" w:type="dxa"/>
        <w:jc w:val="center"/>
        <w:tblInd w:w="-342" w:type="dxa"/>
        <w:tblLook w:val="04A0" w:firstRow="1" w:lastRow="0" w:firstColumn="1" w:lastColumn="0" w:noHBand="0" w:noVBand="1"/>
      </w:tblPr>
      <w:tblGrid>
        <w:gridCol w:w="4535"/>
        <w:gridCol w:w="458"/>
        <w:gridCol w:w="821"/>
        <w:gridCol w:w="1557"/>
        <w:gridCol w:w="1347"/>
        <w:gridCol w:w="1610"/>
        <w:gridCol w:w="1182"/>
      </w:tblGrid>
      <w:tr w:rsidR="007245DC" w:rsidRPr="007245DC" w:rsidTr="005B1F9E">
        <w:trPr>
          <w:trHeight w:val="184"/>
          <w:jc w:val="center"/>
        </w:trPr>
        <w:tc>
          <w:tcPr>
            <w:tcW w:w="4535" w:type="dxa"/>
            <w:tcBorders>
              <w:top w:val="single" w:sz="4" w:space="0" w:color="auto"/>
              <w:left w:val="single" w:sz="4" w:space="0" w:color="auto"/>
              <w:bottom w:val="nil"/>
              <w:right w:val="nil"/>
            </w:tcBorders>
            <w:shd w:val="clear" w:color="auto" w:fill="auto"/>
            <w:noWrap/>
            <w:vAlign w:val="bottom"/>
            <w:hideMark/>
          </w:tcPr>
          <w:p w:rsidR="007245DC" w:rsidRPr="007245DC" w:rsidRDefault="007245DC" w:rsidP="007245DC">
            <w:pPr>
              <w:rPr>
                <w:b/>
                <w:bCs/>
                <w:color w:val="000000"/>
                <w:sz w:val="22"/>
                <w:szCs w:val="22"/>
              </w:rPr>
            </w:pPr>
            <w:r w:rsidRPr="007245DC">
              <w:rPr>
                <w:b/>
                <w:bCs/>
                <w:color w:val="000000"/>
                <w:sz w:val="22"/>
                <w:szCs w:val="22"/>
              </w:rPr>
              <w:t>Placid Lakes Utilities, Inc.</w:t>
            </w:r>
          </w:p>
        </w:tc>
        <w:tc>
          <w:tcPr>
            <w:tcW w:w="1279" w:type="dxa"/>
            <w:gridSpan w:val="2"/>
            <w:tcBorders>
              <w:top w:val="single" w:sz="4" w:space="0" w:color="auto"/>
              <w:left w:val="nil"/>
              <w:bottom w:val="nil"/>
              <w:right w:val="nil"/>
            </w:tcBorders>
            <w:shd w:val="clear" w:color="auto" w:fill="auto"/>
            <w:noWrap/>
            <w:vAlign w:val="bottom"/>
            <w:hideMark/>
          </w:tcPr>
          <w:p w:rsidR="007245DC" w:rsidRPr="007245DC" w:rsidRDefault="007245DC" w:rsidP="007245DC">
            <w:pPr>
              <w:rPr>
                <w:sz w:val="22"/>
                <w:szCs w:val="22"/>
              </w:rPr>
            </w:pPr>
            <w:r w:rsidRPr="007245DC">
              <w:rPr>
                <w:sz w:val="22"/>
                <w:szCs w:val="22"/>
              </w:rPr>
              <w:t> </w:t>
            </w:r>
          </w:p>
        </w:tc>
        <w:tc>
          <w:tcPr>
            <w:tcW w:w="1561" w:type="dxa"/>
            <w:tcBorders>
              <w:top w:val="single" w:sz="4" w:space="0" w:color="auto"/>
              <w:left w:val="nil"/>
              <w:bottom w:val="nil"/>
              <w:right w:val="nil"/>
            </w:tcBorders>
          </w:tcPr>
          <w:p w:rsidR="007245DC" w:rsidRPr="007245DC" w:rsidRDefault="007245DC" w:rsidP="007245DC">
            <w:pPr>
              <w:jc w:val="right"/>
              <w:rPr>
                <w:b/>
                <w:bCs/>
                <w:sz w:val="22"/>
                <w:szCs w:val="22"/>
              </w:rPr>
            </w:pPr>
          </w:p>
        </w:tc>
        <w:tc>
          <w:tcPr>
            <w:tcW w:w="1350" w:type="dxa"/>
            <w:tcBorders>
              <w:top w:val="single" w:sz="4" w:space="0" w:color="auto"/>
              <w:left w:val="nil"/>
              <w:bottom w:val="nil"/>
              <w:right w:val="nil"/>
            </w:tcBorders>
          </w:tcPr>
          <w:p w:rsidR="007245DC" w:rsidRPr="007245DC" w:rsidRDefault="007245DC" w:rsidP="007245DC">
            <w:pPr>
              <w:jc w:val="right"/>
              <w:rPr>
                <w:b/>
                <w:bCs/>
                <w:sz w:val="22"/>
                <w:szCs w:val="22"/>
              </w:rPr>
            </w:pPr>
          </w:p>
        </w:tc>
        <w:tc>
          <w:tcPr>
            <w:tcW w:w="2785" w:type="dxa"/>
            <w:gridSpan w:val="2"/>
            <w:tcBorders>
              <w:top w:val="single" w:sz="4" w:space="0" w:color="auto"/>
              <w:left w:val="nil"/>
              <w:bottom w:val="nil"/>
              <w:right w:val="single" w:sz="4" w:space="0" w:color="auto"/>
            </w:tcBorders>
            <w:shd w:val="clear" w:color="auto" w:fill="auto"/>
            <w:noWrap/>
            <w:vAlign w:val="bottom"/>
            <w:hideMark/>
          </w:tcPr>
          <w:p w:rsidR="007245DC" w:rsidRPr="007245DC" w:rsidRDefault="007245DC" w:rsidP="007245DC">
            <w:pPr>
              <w:jc w:val="right"/>
              <w:rPr>
                <w:b/>
                <w:bCs/>
                <w:sz w:val="22"/>
                <w:szCs w:val="22"/>
              </w:rPr>
            </w:pPr>
            <w:r w:rsidRPr="007245DC">
              <w:rPr>
                <w:b/>
                <w:bCs/>
                <w:sz w:val="22"/>
                <w:szCs w:val="22"/>
              </w:rPr>
              <w:t>Schedule No. 4</w:t>
            </w:r>
          </w:p>
        </w:tc>
      </w:tr>
      <w:tr w:rsidR="007245DC" w:rsidRPr="007245DC" w:rsidTr="005B1F9E">
        <w:trPr>
          <w:trHeight w:val="221"/>
          <w:jc w:val="center"/>
        </w:trPr>
        <w:tc>
          <w:tcPr>
            <w:tcW w:w="5814" w:type="dxa"/>
            <w:gridSpan w:val="3"/>
            <w:tcBorders>
              <w:top w:val="nil"/>
              <w:left w:val="single" w:sz="4" w:space="0" w:color="auto"/>
              <w:bottom w:val="nil"/>
              <w:right w:val="nil"/>
            </w:tcBorders>
            <w:shd w:val="clear" w:color="auto" w:fill="auto"/>
            <w:noWrap/>
            <w:vAlign w:val="bottom"/>
            <w:hideMark/>
          </w:tcPr>
          <w:p w:rsidR="007245DC" w:rsidRPr="007245DC" w:rsidRDefault="007245DC" w:rsidP="007245DC">
            <w:pPr>
              <w:rPr>
                <w:b/>
                <w:bCs/>
                <w:color w:val="000000"/>
                <w:sz w:val="22"/>
                <w:szCs w:val="22"/>
              </w:rPr>
            </w:pPr>
            <w:r w:rsidRPr="007245DC">
              <w:rPr>
                <w:b/>
                <w:bCs/>
                <w:color w:val="000000"/>
                <w:sz w:val="22"/>
                <w:szCs w:val="22"/>
              </w:rPr>
              <w:t>Monthly Water Rates</w:t>
            </w:r>
          </w:p>
        </w:tc>
        <w:tc>
          <w:tcPr>
            <w:tcW w:w="1561" w:type="dxa"/>
            <w:tcBorders>
              <w:top w:val="nil"/>
              <w:left w:val="nil"/>
              <w:bottom w:val="nil"/>
              <w:right w:val="nil"/>
            </w:tcBorders>
          </w:tcPr>
          <w:p w:rsidR="007245DC" w:rsidRPr="007245DC" w:rsidRDefault="007245DC" w:rsidP="007245DC">
            <w:pPr>
              <w:rPr>
                <w:b/>
                <w:bCs/>
                <w:color w:val="000000"/>
                <w:sz w:val="22"/>
                <w:szCs w:val="22"/>
              </w:rPr>
            </w:pPr>
          </w:p>
        </w:tc>
        <w:tc>
          <w:tcPr>
            <w:tcW w:w="1350" w:type="dxa"/>
            <w:tcBorders>
              <w:top w:val="nil"/>
              <w:left w:val="nil"/>
              <w:bottom w:val="nil"/>
              <w:right w:val="nil"/>
            </w:tcBorders>
          </w:tcPr>
          <w:p w:rsidR="007245DC" w:rsidRPr="007245DC" w:rsidRDefault="007245DC" w:rsidP="007245DC">
            <w:pPr>
              <w:jc w:val="right"/>
              <w:rPr>
                <w:b/>
                <w:sz w:val="22"/>
                <w:szCs w:val="22"/>
              </w:rPr>
            </w:pPr>
          </w:p>
        </w:tc>
        <w:tc>
          <w:tcPr>
            <w:tcW w:w="2785" w:type="dxa"/>
            <w:gridSpan w:val="2"/>
            <w:tcBorders>
              <w:top w:val="nil"/>
              <w:left w:val="nil"/>
              <w:bottom w:val="nil"/>
              <w:right w:val="single" w:sz="4" w:space="0" w:color="auto"/>
            </w:tcBorders>
            <w:shd w:val="clear" w:color="auto" w:fill="auto"/>
            <w:noWrap/>
            <w:vAlign w:val="bottom"/>
            <w:hideMark/>
          </w:tcPr>
          <w:p w:rsidR="007245DC" w:rsidRPr="007245DC" w:rsidRDefault="007245DC" w:rsidP="007245DC">
            <w:pPr>
              <w:jc w:val="right"/>
              <w:rPr>
                <w:b/>
                <w:sz w:val="22"/>
                <w:szCs w:val="22"/>
              </w:rPr>
            </w:pPr>
            <w:r w:rsidRPr="007245DC">
              <w:rPr>
                <w:b/>
                <w:sz w:val="22"/>
                <w:szCs w:val="22"/>
              </w:rPr>
              <w:t> Docket No. 20190031-WU</w:t>
            </w:r>
          </w:p>
        </w:tc>
      </w:tr>
      <w:tr w:rsidR="007245DC" w:rsidRPr="007245DC" w:rsidTr="005B1F9E">
        <w:trPr>
          <w:trHeight w:val="232"/>
          <w:jc w:val="center"/>
        </w:trPr>
        <w:tc>
          <w:tcPr>
            <w:tcW w:w="4535" w:type="dxa"/>
            <w:tcBorders>
              <w:top w:val="nil"/>
              <w:left w:val="single" w:sz="4" w:space="0" w:color="auto"/>
              <w:bottom w:val="single" w:sz="8" w:space="0" w:color="auto"/>
              <w:right w:val="nil"/>
            </w:tcBorders>
            <w:shd w:val="clear" w:color="auto" w:fill="auto"/>
            <w:noWrap/>
            <w:vAlign w:val="bottom"/>
            <w:hideMark/>
          </w:tcPr>
          <w:p w:rsidR="007245DC" w:rsidRPr="007245DC" w:rsidRDefault="007245DC" w:rsidP="007245DC">
            <w:pPr>
              <w:rPr>
                <w:b/>
                <w:bCs/>
                <w:color w:val="000000"/>
                <w:sz w:val="22"/>
                <w:szCs w:val="22"/>
              </w:rPr>
            </w:pPr>
            <w:r w:rsidRPr="007245DC">
              <w:rPr>
                <w:b/>
                <w:bCs/>
                <w:color w:val="000000"/>
                <w:sz w:val="22"/>
                <w:szCs w:val="22"/>
              </w:rPr>
              <w:t>Test Year Ended 12/31/18</w:t>
            </w:r>
          </w:p>
        </w:tc>
        <w:tc>
          <w:tcPr>
            <w:tcW w:w="1279" w:type="dxa"/>
            <w:gridSpan w:val="2"/>
            <w:tcBorders>
              <w:top w:val="nil"/>
              <w:left w:val="nil"/>
              <w:bottom w:val="single" w:sz="8" w:space="0" w:color="auto"/>
              <w:right w:val="nil"/>
            </w:tcBorders>
            <w:shd w:val="clear" w:color="auto" w:fill="auto"/>
            <w:noWrap/>
            <w:vAlign w:val="bottom"/>
            <w:hideMark/>
          </w:tcPr>
          <w:p w:rsidR="007245DC" w:rsidRPr="007245DC" w:rsidRDefault="007245DC" w:rsidP="007245DC">
            <w:pPr>
              <w:rPr>
                <w:b/>
                <w:bCs/>
                <w:color w:val="000000"/>
                <w:sz w:val="22"/>
                <w:szCs w:val="22"/>
              </w:rPr>
            </w:pPr>
            <w:r w:rsidRPr="007245DC">
              <w:rPr>
                <w:b/>
                <w:bCs/>
                <w:color w:val="000000"/>
                <w:sz w:val="22"/>
                <w:szCs w:val="22"/>
              </w:rPr>
              <w:t> </w:t>
            </w:r>
          </w:p>
        </w:tc>
        <w:tc>
          <w:tcPr>
            <w:tcW w:w="1561" w:type="dxa"/>
            <w:tcBorders>
              <w:top w:val="nil"/>
              <w:left w:val="nil"/>
              <w:bottom w:val="single" w:sz="8" w:space="0" w:color="auto"/>
              <w:right w:val="nil"/>
            </w:tcBorders>
          </w:tcPr>
          <w:p w:rsidR="007245DC" w:rsidRPr="007245DC" w:rsidRDefault="007245DC" w:rsidP="007245DC">
            <w:pPr>
              <w:rPr>
                <w:b/>
                <w:bCs/>
                <w:color w:val="000000"/>
                <w:sz w:val="22"/>
                <w:szCs w:val="22"/>
              </w:rPr>
            </w:pPr>
          </w:p>
        </w:tc>
        <w:tc>
          <w:tcPr>
            <w:tcW w:w="1350" w:type="dxa"/>
            <w:tcBorders>
              <w:top w:val="nil"/>
              <w:left w:val="nil"/>
              <w:bottom w:val="single" w:sz="8" w:space="0" w:color="auto"/>
              <w:right w:val="nil"/>
            </w:tcBorders>
          </w:tcPr>
          <w:p w:rsidR="007245DC" w:rsidRPr="007245DC" w:rsidRDefault="007245DC" w:rsidP="007245DC">
            <w:pPr>
              <w:rPr>
                <w:b/>
                <w:bCs/>
                <w:color w:val="000000"/>
                <w:sz w:val="22"/>
                <w:szCs w:val="22"/>
              </w:rPr>
            </w:pPr>
          </w:p>
        </w:tc>
        <w:tc>
          <w:tcPr>
            <w:tcW w:w="1603" w:type="dxa"/>
            <w:tcBorders>
              <w:top w:val="nil"/>
              <w:left w:val="nil"/>
              <w:bottom w:val="single" w:sz="8" w:space="0" w:color="auto"/>
              <w:right w:val="nil"/>
            </w:tcBorders>
            <w:shd w:val="clear" w:color="auto" w:fill="auto"/>
            <w:noWrap/>
            <w:vAlign w:val="bottom"/>
            <w:hideMark/>
          </w:tcPr>
          <w:p w:rsidR="007245DC" w:rsidRPr="007245DC" w:rsidRDefault="007245DC" w:rsidP="007245DC">
            <w:pPr>
              <w:rPr>
                <w:b/>
                <w:bCs/>
                <w:color w:val="000000"/>
                <w:sz w:val="22"/>
                <w:szCs w:val="22"/>
              </w:rPr>
            </w:pPr>
            <w:r w:rsidRPr="007245DC">
              <w:rPr>
                <w:b/>
                <w:bCs/>
                <w:color w:val="000000"/>
                <w:sz w:val="22"/>
                <w:szCs w:val="22"/>
              </w:rPr>
              <w:t> </w:t>
            </w:r>
          </w:p>
        </w:tc>
        <w:tc>
          <w:tcPr>
            <w:tcW w:w="1182" w:type="dxa"/>
            <w:tcBorders>
              <w:top w:val="nil"/>
              <w:left w:val="nil"/>
              <w:bottom w:val="single" w:sz="8" w:space="0" w:color="auto"/>
              <w:right w:val="single" w:sz="4" w:space="0" w:color="auto"/>
            </w:tcBorders>
            <w:shd w:val="clear" w:color="auto" w:fill="auto"/>
            <w:noWrap/>
            <w:vAlign w:val="bottom"/>
            <w:hideMark/>
          </w:tcPr>
          <w:p w:rsidR="007245DC" w:rsidRPr="007245DC" w:rsidRDefault="007245DC" w:rsidP="007245DC">
            <w:pPr>
              <w:jc w:val="right"/>
              <w:rPr>
                <w:b/>
                <w:bCs/>
                <w:color w:val="000000"/>
                <w:sz w:val="22"/>
                <w:szCs w:val="22"/>
              </w:rPr>
            </w:pPr>
            <w:r w:rsidRPr="007245DC">
              <w:rPr>
                <w:b/>
                <w:bCs/>
                <w:color w:val="000000"/>
                <w:sz w:val="22"/>
                <w:szCs w:val="22"/>
              </w:rPr>
              <w:t> </w:t>
            </w:r>
          </w:p>
        </w:tc>
      </w:tr>
      <w:tr w:rsidR="007245DC" w:rsidRPr="007245DC" w:rsidTr="005B1F9E">
        <w:trPr>
          <w:trHeight w:val="221"/>
          <w:jc w:val="center"/>
        </w:trPr>
        <w:tc>
          <w:tcPr>
            <w:tcW w:w="4535" w:type="dxa"/>
            <w:tcBorders>
              <w:top w:val="nil"/>
              <w:left w:val="single" w:sz="4" w:space="0" w:color="auto"/>
              <w:bottom w:val="nil"/>
              <w:right w:val="nil"/>
            </w:tcBorders>
            <w:shd w:val="clear" w:color="auto" w:fill="auto"/>
            <w:noWrap/>
            <w:vAlign w:val="bottom"/>
            <w:hideMark/>
          </w:tcPr>
          <w:p w:rsidR="007245DC" w:rsidRPr="007245DC" w:rsidRDefault="007245DC" w:rsidP="007245DC">
            <w:pPr>
              <w:rPr>
                <w:b/>
                <w:bCs/>
                <w:sz w:val="22"/>
                <w:szCs w:val="22"/>
              </w:rPr>
            </w:pPr>
            <w:r w:rsidRPr="007245DC">
              <w:rPr>
                <w:b/>
                <w:bCs/>
                <w:sz w:val="22"/>
                <w:szCs w:val="22"/>
              </w:rPr>
              <w:t> </w:t>
            </w:r>
          </w:p>
        </w:tc>
        <w:tc>
          <w:tcPr>
            <w:tcW w:w="1279" w:type="dxa"/>
            <w:gridSpan w:val="2"/>
            <w:tcBorders>
              <w:top w:val="nil"/>
              <w:left w:val="nil"/>
              <w:bottom w:val="nil"/>
              <w:right w:val="nil"/>
            </w:tcBorders>
            <w:shd w:val="clear" w:color="auto" w:fill="auto"/>
            <w:noWrap/>
            <w:vAlign w:val="bottom"/>
            <w:hideMark/>
          </w:tcPr>
          <w:p w:rsidR="007245DC" w:rsidRPr="007245DC" w:rsidRDefault="007245DC" w:rsidP="007245DC">
            <w:pPr>
              <w:jc w:val="center"/>
              <w:rPr>
                <w:b/>
                <w:bCs/>
                <w:color w:val="000000"/>
                <w:sz w:val="22"/>
                <w:szCs w:val="22"/>
              </w:rPr>
            </w:pPr>
            <w:r w:rsidRPr="007245DC">
              <w:rPr>
                <w:b/>
                <w:bCs/>
                <w:color w:val="000000"/>
                <w:sz w:val="22"/>
                <w:szCs w:val="22"/>
              </w:rPr>
              <w:t>Rates at</w:t>
            </w:r>
          </w:p>
        </w:tc>
        <w:tc>
          <w:tcPr>
            <w:tcW w:w="1561" w:type="dxa"/>
            <w:tcBorders>
              <w:top w:val="nil"/>
              <w:left w:val="nil"/>
              <w:bottom w:val="nil"/>
              <w:right w:val="nil"/>
            </w:tcBorders>
          </w:tcPr>
          <w:p w:rsidR="007245DC" w:rsidRPr="007245DC" w:rsidRDefault="007245DC" w:rsidP="007245DC">
            <w:pPr>
              <w:jc w:val="center"/>
              <w:rPr>
                <w:b/>
                <w:bCs/>
                <w:color w:val="000000"/>
                <w:sz w:val="22"/>
                <w:szCs w:val="22"/>
              </w:rPr>
            </w:pPr>
            <w:r w:rsidRPr="007245DC">
              <w:rPr>
                <w:b/>
                <w:bCs/>
                <w:color w:val="000000"/>
                <w:sz w:val="22"/>
                <w:szCs w:val="22"/>
              </w:rPr>
              <w:t>Commission</w:t>
            </w:r>
          </w:p>
        </w:tc>
        <w:tc>
          <w:tcPr>
            <w:tcW w:w="1350" w:type="dxa"/>
            <w:tcBorders>
              <w:top w:val="nil"/>
              <w:left w:val="nil"/>
              <w:bottom w:val="nil"/>
              <w:right w:val="nil"/>
            </w:tcBorders>
          </w:tcPr>
          <w:p w:rsidR="007245DC" w:rsidRPr="007245DC" w:rsidRDefault="007245DC" w:rsidP="007245DC">
            <w:pPr>
              <w:jc w:val="center"/>
              <w:rPr>
                <w:b/>
                <w:bCs/>
                <w:color w:val="000000"/>
                <w:sz w:val="22"/>
                <w:szCs w:val="22"/>
              </w:rPr>
            </w:pPr>
            <w:r w:rsidRPr="007245DC">
              <w:rPr>
                <w:b/>
                <w:bCs/>
                <w:color w:val="000000"/>
                <w:sz w:val="22"/>
                <w:szCs w:val="22"/>
              </w:rPr>
              <w:t xml:space="preserve">Utility </w:t>
            </w:r>
          </w:p>
        </w:tc>
        <w:tc>
          <w:tcPr>
            <w:tcW w:w="1603" w:type="dxa"/>
            <w:tcBorders>
              <w:top w:val="nil"/>
              <w:left w:val="nil"/>
              <w:bottom w:val="nil"/>
              <w:right w:val="nil"/>
            </w:tcBorders>
            <w:shd w:val="clear" w:color="auto" w:fill="auto"/>
            <w:noWrap/>
            <w:vAlign w:val="bottom"/>
            <w:hideMark/>
          </w:tcPr>
          <w:p w:rsidR="007245DC" w:rsidRPr="007245DC" w:rsidRDefault="007245DC" w:rsidP="007245DC">
            <w:pPr>
              <w:jc w:val="center"/>
              <w:rPr>
                <w:b/>
                <w:bCs/>
                <w:color w:val="000000"/>
                <w:sz w:val="22"/>
                <w:szCs w:val="22"/>
              </w:rPr>
            </w:pPr>
            <w:r w:rsidRPr="007245DC">
              <w:rPr>
                <w:b/>
                <w:bCs/>
                <w:color w:val="000000"/>
                <w:sz w:val="22"/>
                <w:szCs w:val="22"/>
              </w:rPr>
              <w:t>Staff</w:t>
            </w:r>
          </w:p>
        </w:tc>
        <w:tc>
          <w:tcPr>
            <w:tcW w:w="1182" w:type="dxa"/>
            <w:tcBorders>
              <w:top w:val="nil"/>
              <w:left w:val="nil"/>
              <w:bottom w:val="nil"/>
              <w:right w:val="single" w:sz="4" w:space="0" w:color="auto"/>
            </w:tcBorders>
            <w:shd w:val="clear" w:color="auto" w:fill="auto"/>
            <w:noWrap/>
            <w:vAlign w:val="bottom"/>
            <w:hideMark/>
          </w:tcPr>
          <w:p w:rsidR="007245DC" w:rsidRPr="007245DC" w:rsidRDefault="007245DC" w:rsidP="007245DC">
            <w:pPr>
              <w:jc w:val="center"/>
              <w:rPr>
                <w:b/>
                <w:bCs/>
                <w:sz w:val="22"/>
                <w:szCs w:val="22"/>
              </w:rPr>
            </w:pPr>
            <w:r w:rsidRPr="007245DC">
              <w:rPr>
                <w:b/>
                <w:bCs/>
                <w:sz w:val="22"/>
                <w:szCs w:val="22"/>
              </w:rPr>
              <w:t>4 Year</w:t>
            </w:r>
          </w:p>
        </w:tc>
      </w:tr>
      <w:tr w:rsidR="007245DC" w:rsidRPr="007245DC" w:rsidTr="005B1F9E">
        <w:trPr>
          <w:trHeight w:val="221"/>
          <w:jc w:val="center"/>
        </w:trPr>
        <w:tc>
          <w:tcPr>
            <w:tcW w:w="4535" w:type="dxa"/>
            <w:tcBorders>
              <w:top w:val="nil"/>
              <w:left w:val="single" w:sz="4" w:space="0" w:color="auto"/>
              <w:bottom w:val="nil"/>
              <w:right w:val="nil"/>
            </w:tcBorders>
            <w:shd w:val="clear" w:color="auto" w:fill="auto"/>
            <w:noWrap/>
            <w:vAlign w:val="bottom"/>
            <w:hideMark/>
          </w:tcPr>
          <w:p w:rsidR="007245DC" w:rsidRPr="007245DC" w:rsidRDefault="007245DC" w:rsidP="007245DC">
            <w:pPr>
              <w:rPr>
                <w:b/>
                <w:bCs/>
                <w:sz w:val="22"/>
                <w:szCs w:val="22"/>
                <w:u w:val="single"/>
              </w:rPr>
            </w:pPr>
          </w:p>
        </w:tc>
        <w:tc>
          <w:tcPr>
            <w:tcW w:w="1279" w:type="dxa"/>
            <w:gridSpan w:val="2"/>
            <w:tcBorders>
              <w:top w:val="nil"/>
              <w:left w:val="nil"/>
              <w:bottom w:val="nil"/>
              <w:right w:val="nil"/>
            </w:tcBorders>
            <w:shd w:val="clear" w:color="auto" w:fill="auto"/>
            <w:noWrap/>
            <w:vAlign w:val="bottom"/>
            <w:hideMark/>
          </w:tcPr>
          <w:p w:rsidR="007245DC" w:rsidRPr="007245DC" w:rsidRDefault="007245DC" w:rsidP="007245DC">
            <w:pPr>
              <w:jc w:val="center"/>
              <w:rPr>
                <w:b/>
                <w:bCs/>
                <w:color w:val="000000"/>
                <w:sz w:val="22"/>
                <w:szCs w:val="22"/>
              </w:rPr>
            </w:pPr>
            <w:r w:rsidRPr="007245DC">
              <w:rPr>
                <w:b/>
                <w:bCs/>
                <w:color w:val="000000"/>
                <w:sz w:val="22"/>
                <w:szCs w:val="22"/>
              </w:rPr>
              <w:t>Time of</w:t>
            </w:r>
          </w:p>
        </w:tc>
        <w:tc>
          <w:tcPr>
            <w:tcW w:w="1561" w:type="dxa"/>
            <w:tcBorders>
              <w:top w:val="nil"/>
              <w:left w:val="nil"/>
              <w:bottom w:val="nil"/>
              <w:right w:val="nil"/>
            </w:tcBorders>
          </w:tcPr>
          <w:p w:rsidR="007245DC" w:rsidRPr="007245DC" w:rsidRDefault="007245DC" w:rsidP="007245DC">
            <w:pPr>
              <w:jc w:val="center"/>
              <w:rPr>
                <w:b/>
                <w:bCs/>
                <w:color w:val="000000"/>
                <w:sz w:val="22"/>
                <w:szCs w:val="22"/>
              </w:rPr>
            </w:pPr>
            <w:r w:rsidRPr="007245DC">
              <w:rPr>
                <w:b/>
                <w:bCs/>
                <w:color w:val="000000"/>
                <w:sz w:val="22"/>
                <w:szCs w:val="22"/>
              </w:rPr>
              <w:t>Approved</w:t>
            </w:r>
          </w:p>
        </w:tc>
        <w:tc>
          <w:tcPr>
            <w:tcW w:w="1350" w:type="dxa"/>
            <w:tcBorders>
              <w:top w:val="nil"/>
              <w:left w:val="nil"/>
              <w:bottom w:val="nil"/>
              <w:right w:val="nil"/>
            </w:tcBorders>
          </w:tcPr>
          <w:p w:rsidR="007245DC" w:rsidRPr="007245DC" w:rsidRDefault="007245DC" w:rsidP="007245DC">
            <w:pPr>
              <w:jc w:val="center"/>
              <w:rPr>
                <w:b/>
                <w:bCs/>
                <w:color w:val="000000"/>
                <w:sz w:val="22"/>
                <w:szCs w:val="22"/>
              </w:rPr>
            </w:pPr>
            <w:r w:rsidRPr="007245DC">
              <w:rPr>
                <w:b/>
                <w:bCs/>
                <w:color w:val="000000"/>
                <w:sz w:val="22"/>
                <w:szCs w:val="22"/>
              </w:rPr>
              <w:t>Requested</w:t>
            </w:r>
          </w:p>
        </w:tc>
        <w:tc>
          <w:tcPr>
            <w:tcW w:w="1603" w:type="dxa"/>
            <w:tcBorders>
              <w:top w:val="nil"/>
              <w:left w:val="nil"/>
              <w:bottom w:val="nil"/>
              <w:right w:val="nil"/>
            </w:tcBorders>
            <w:shd w:val="clear" w:color="auto" w:fill="auto"/>
            <w:noWrap/>
            <w:vAlign w:val="bottom"/>
            <w:hideMark/>
          </w:tcPr>
          <w:p w:rsidR="007245DC" w:rsidRPr="007245DC" w:rsidRDefault="007245DC" w:rsidP="007245DC">
            <w:pPr>
              <w:jc w:val="center"/>
              <w:rPr>
                <w:b/>
                <w:bCs/>
                <w:color w:val="000000"/>
                <w:sz w:val="22"/>
                <w:szCs w:val="22"/>
              </w:rPr>
            </w:pPr>
            <w:r w:rsidRPr="007245DC">
              <w:rPr>
                <w:b/>
                <w:bCs/>
                <w:color w:val="000000"/>
                <w:sz w:val="22"/>
                <w:szCs w:val="22"/>
              </w:rPr>
              <w:t>Recommended</w:t>
            </w:r>
          </w:p>
        </w:tc>
        <w:tc>
          <w:tcPr>
            <w:tcW w:w="1182" w:type="dxa"/>
            <w:tcBorders>
              <w:top w:val="nil"/>
              <w:left w:val="nil"/>
              <w:bottom w:val="nil"/>
              <w:right w:val="single" w:sz="4" w:space="0" w:color="auto"/>
            </w:tcBorders>
            <w:shd w:val="clear" w:color="auto" w:fill="auto"/>
            <w:noWrap/>
            <w:vAlign w:val="bottom"/>
            <w:hideMark/>
          </w:tcPr>
          <w:p w:rsidR="007245DC" w:rsidRPr="007245DC" w:rsidRDefault="007245DC" w:rsidP="007245DC">
            <w:pPr>
              <w:jc w:val="center"/>
              <w:rPr>
                <w:b/>
                <w:bCs/>
                <w:sz w:val="22"/>
                <w:szCs w:val="22"/>
              </w:rPr>
            </w:pPr>
            <w:r w:rsidRPr="007245DC">
              <w:rPr>
                <w:b/>
                <w:bCs/>
                <w:sz w:val="22"/>
                <w:szCs w:val="22"/>
              </w:rPr>
              <w:t>Rate</w:t>
            </w:r>
          </w:p>
        </w:tc>
      </w:tr>
      <w:tr w:rsidR="007245DC" w:rsidRPr="007245DC" w:rsidTr="005B1F9E">
        <w:trPr>
          <w:trHeight w:val="232"/>
          <w:jc w:val="center"/>
        </w:trPr>
        <w:tc>
          <w:tcPr>
            <w:tcW w:w="4535" w:type="dxa"/>
            <w:tcBorders>
              <w:top w:val="nil"/>
              <w:left w:val="single" w:sz="4" w:space="0" w:color="auto"/>
              <w:bottom w:val="single" w:sz="8" w:space="0" w:color="000000"/>
              <w:right w:val="nil"/>
            </w:tcBorders>
            <w:shd w:val="clear" w:color="auto" w:fill="auto"/>
            <w:noWrap/>
            <w:vAlign w:val="bottom"/>
            <w:hideMark/>
          </w:tcPr>
          <w:p w:rsidR="007245DC" w:rsidRPr="007245DC" w:rsidRDefault="007245DC" w:rsidP="007245DC">
            <w:pPr>
              <w:rPr>
                <w:b/>
                <w:bCs/>
                <w:sz w:val="22"/>
                <w:szCs w:val="22"/>
                <w:u w:val="single"/>
              </w:rPr>
            </w:pPr>
          </w:p>
        </w:tc>
        <w:tc>
          <w:tcPr>
            <w:tcW w:w="1279" w:type="dxa"/>
            <w:gridSpan w:val="2"/>
            <w:tcBorders>
              <w:top w:val="nil"/>
              <w:left w:val="nil"/>
              <w:bottom w:val="single" w:sz="8" w:space="0" w:color="000000"/>
              <w:right w:val="nil"/>
            </w:tcBorders>
            <w:shd w:val="clear" w:color="auto" w:fill="auto"/>
            <w:noWrap/>
            <w:vAlign w:val="bottom"/>
            <w:hideMark/>
          </w:tcPr>
          <w:p w:rsidR="007245DC" w:rsidRPr="007245DC" w:rsidRDefault="007245DC" w:rsidP="007245DC">
            <w:pPr>
              <w:jc w:val="center"/>
              <w:rPr>
                <w:b/>
                <w:bCs/>
                <w:color w:val="000000"/>
                <w:sz w:val="22"/>
                <w:szCs w:val="22"/>
              </w:rPr>
            </w:pPr>
            <w:r w:rsidRPr="007245DC">
              <w:rPr>
                <w:b/>
                <w:bCs/>
                <w:color w:val="000000"/>
                <w:sz w:val="22"/>
                <w:szCs w:val="22"/>
              </w:rPr>
              <w:t>Filing</w:t>
            </w:r>
          </w:p>
        </w:tc>
        <w:tc>
          <w:tcPr>
            <w:tcW w:w="1561" w:type="dxa"/>
            <w:tcBorders>
              <w:top w:val="nil"/>
              <w:left w:val="nil"/>
              <w:bottom w:val="single" w:sz="8" w:space="0" w:color="000000"/>
              <w:right w:val="nil"/>
            </w:tcBorders>
          </w:tcPr>
          <w:p w:rsidR="007245DC" w:rsidRPr="007245DC" w:rsidRDefault="007245DC" w:rsidP="007245DC">
            <w:pPr>
              <w:jc w:val="center"/>
              <w:rPr>
                <w:b/>
                <w:bCs/>
                <w:color w:val="000000"/>
                <w:sz w:val="22"/>
                <w:szCs w:val="22"/>
              </w:rPr>
            </w:pPr>
            <w:r w:rsidRPr="007245DC">
              <w:rPr>
                <w:b/>
                <w:bCs/>
                <w:color w:val="000000"/>
                <w:sz w:val="22"/>
                <w:szCs w:val="22"/>
              </w:rPr>
              <w:t>Interim Rates</w:t>
            </w:r>
          </w:p>
        </w:tc>
        <w:tc>
          <w:tcPr>
            <w:tcW w:w="1350" w:type="dxa"/>
            <w:tcBorders>
              <w:top w:val="nil"/>
              <w:left w:val="nil"/>
              <w:bottom w:val="single" w:sz="8" w:space="0" w:color="000000"/>
              <w:right w:val="nil"/>
            </w:tcBorders>
          </w:tcPr>
          <w:p w:rsidR="007245DC" w:rsidRPr="007245DC" w:rsidRDefault="007245DC" w:rsidP="007245DC">
            <w:pPr>
              <w:jc w:val="center"/>
              <w:rPr>
                <w:b/>
                <w:bCs/>
                <w:color w:val="000000"/>
                <w:sz w:val="22"/>
                <w:szCs w:val="22"/>
              </w:rPr>
            </w:pPr>
            <w:r w:rsidRPr="007245DC">
              <w:rPr>
                <w:b/>
                <w:bCs/>
                <w:color w:val="000000"/>
                <w:sz w:val="22"/>
                <w:szCs w:val="22"/>
              </w:rPr>
              <w:t>Final Rates</w:t>
            </w:r>
          </w:p>
        </w:tc>
        <w:tc>
          <w:tcPr>
            <w:tcW w:w="1603" w:type="dxa"/>
            <w:tcBorders>
              <w:top w:val="nil"/>
              <w:left w:val="nil"/>
              <w:bottom w:val="single" w:sz="8" w:space="0" w:color="000000"/>
              <w:right w:val="nil"/>
            </w:tcBorders>
            <w:shd w:val="clear" w:color="auto" w:fill="auto"/>
            <w:noWrap/>
            <w:vAlign w:val="bottom"/>
            <w:hideMark/>
          </w:tcPr>
          <w:p w:rsidR="007245DC" w:rsidRPr="007245DC" w:rsidRDefault="007245DC" w:rsidP="007245DC">
            <w:pPr>
              <w:jc w:val="center"/>
              <w:rPr>
                <w:b/>
                <w:bCs/>
                <w:color w:val="000000"/>
                <w:sz w:val="22"/>
                <w:szCs w:val="22"/>
              </w:rPr>
            </w:pPr>
            <w:r w:rsidRPr="007245DC">
              <w:rPr>
                <w:b/>
                <w:bCs/>
                <w:color w:val="000000"/>
                <w:sz w:val="22"/>
                <w:szCs w:val="22"/>
              </w:rPr>
              <w:t>Final Rates</w:t>
            </w:r>
          </w:p>
        </w:tc>
        <w:tc>
          <w:tcPr>
            <w:tcW w:w="1182" w:type="dxa"/>
            <w:tcBorders>
              <w:top w:val="nil"/>
              <w:left w:val="nil"/>
              <w:bottom w:val="single" w:sz="8" w:space="0" w:color="auto"/>
              <w:right w:val="single" w:sz="4" w:space="0" w:color="auto"/>
            </w:tcBorders>
            <w:shd w:val="clear" w:color="auto" w:fill="auto"/>
            <w:noWrap/>
            <w:vAlign w:val="bottom"/>
            <w:hideMark/>
          </w:tcPr>
          <w:p w:rsidR="007245DC" w:rsidRPr="007245DC" w:rsidRDefault="007245DC" w:rsidP="007245DC">
            <w:pPr>
              <w:jc w:val="center"/>
              <w:rPr>
                <w:b/>
                <w:bCs/>
                <w:sz w:val="22"/>
                <w:szCs w:val="22"/>
              </w:rPr>
            </w:pPr>
            <w:r w:rsidRPr="007245DC">
              <w:rPr>
                <w:b/>
                <w:bCs/>
                <w:sz w:val="22"/>
                <w:szCs w:val="22"/>
              </w:rPr>
              <w:t>Reduction</w:t>
            </w:r>
          </w:p>
        </w:tc>
      </w:tr>
      <w:tr w:rsidR="007245DC" w:rsidRPr="007245DC" w:rsidTr="005B1F9E">
        <w:trPr>
          <w:trHeight w:val="221"/>
          <w:jc w:val="center"/>
        </w:trPr>
        <w:tc>
          <w:tcPr>
            <w:tcW w:w="4535" w:type="dxa"/>
            <w:tcBorders>
              <w:top w:val="nil"/>
              <w:left w:val="single" w:sz="4" w:space="0" w:color="auto"/>
              <w:bottom w:val="nil"/>
              <w:right w:val="nil"/>
            </w:tcBorders>
            <w:shd w:val="clear" w:color="auto" w:fill="auto"/>
            <w:noWrap/>
            <w:vAlign w:val="bottom"/>
            <w:hideMark/>
          </w:tcPr>
          <w:p w:rsidR="007245DC" w:rsidRPr="007245DC" w:rsidRDefault="007245DC" w:rsidP="007245DC">
            <w:pPr>
              <w:rPr>
                <w:b/>
                <w:bCs/>
                <w:color w:val="000000"/>
                <w:sz w:val="22"/>
                <w:szCs w:val="22"/>
                <w:u w:val="single"/>
              </w:rPr>
            </w:pPr>
            <w:r w:rsidRPr="007245DC">
              <w:rPr>
                <w:b/>
                <w:bCs/>
                <w:color w:val="000000"/>
                <w:sz w:val="22"/>
                <w:szCs w:val="22"/>
                <w:u w:val="single"/>
              </w:rPr>
              <w:t>Residential and General Service</w:t>
            </w:r>
          </w:p>
        </w:tc>
        <w:tc>
          <w:tcPr>
            <w:tcW w:w="1279" w:type="dxa"/>
            <w:gridSpan w:val="2"/>
            <w:tcBorders>
              <w:top w:val="nil"/>
              <w:left w:val="nil"/>
              <w:bottom w:val="nil"/>
              <w:right w:val="nil"/>
            </w:tcBorders>
            <w:shd w:val="clear" w:color="auto" w:fill="auto"/>
            <w:noWrap/>
            <w:vAlign w:val="bottom"/>
            <w:hideMark/>
          </w:tcPr>
          <w:p w:rsidR="007245DC" w:rsidRPr="007245DC" w:rsidRDefault="007245DC" w:rsidP="007245DC">
            <w:pPr>
              <w:jc w:val="center"/>
              <w:rPr>
                <w:b/>
                <w:bCs/>
                <w:color w:val="000000"/>
                <w:sz w:val="22"/>
                <w:szCs w:val="22"/>
              </w:rPr>
            </w:pPr>
          </w:p>
        </w:tc>
        <w:tc>
          <w:tcPr>
            <w:tcW w:w="1561" w:type="dxa"/>
            <w:tcBorders>
              <w:top w:val="nil"/>
              <w:left w:val="nil"/>
              <w:bottom w:val="nil"/>
              <w:right w:val="nil"/>
            </w:tcBorders>
          </w:tcPr>
          <w:p w:rsidR="007245DC" w:rsidRPr="007245DC" w:rsidRDefault="007245DC" w:rsidP="007245DC">
            <w:pPr>
              <w:jc w:val="center"/>
              <w:rPr>
                <w:b/>
                <w:bCs/>
                <w:color w:val="000000"/>
                <w:sz w:val="22"/>
                <w:szCs w:val="22"/>
              </w:rPr>
            </w:pPr>
          </w:p>
        </w:tc>
        <w:tc>
          <w:tcPr>
            <w:tcW w:w="1350" w:type="dxa"/>
            <w:tcBorders>
              <w:top w:val="nil"/>
              <w:left w:val="nil"/>
              <w:bottom w:val="nil"/>
              <w:right w:val="nil"/>
            </w:tcBorders>
          </w:tcPr>
          <w:p w:rsidR="007245DC" w:rsidRPr="007245DC" w:rsidRDefault="007245DC" w:rsidP="007245DC">
            <w:pPr>
              <w:jc w:val="center"/>
              <w:rPr>
                <w:b/>
                <w:bCs/>
                <w:color w:val="000000"/>
                <w:sz w:val="22"/>
                <w:szCs w:val="22"/>
              </w:rPr>
            </w:pPr>
          </w:p>
        </w:tc>
        <w:tc>
          <w:tcPr>
            <w:tcW w:w="1603" w:type="dxa"/>
            <w:tcBorders>
              <w:top w:val="nil"/>
              <w:left w:val="nil"/>
              <w:bottom w:val="nil"/>
              <w:right w:val="nil"/>
            </w:tcBorders>
            <w:shd w:val="clear" w:color="auto" w:fill="auto"/>
            <w:noWrap/>
            <w:vAlign w:val="bottom"/>
            <w:hideMark/>
          </w:tcPr>
          <w:p w:rsidR="007245DC" w:rsidRPr="007245DC" w:rsidRDefault="007245DC" w:rsidP="007245DC">
            <w:pPr>
              <w:jc w:val="center"/>
              <w:rPr>
                <w:b/>
                <w:bCs/>
                <w:color w:val="000000"/>
                <w:sz w:val="22"/>
                <w:szCs w:val="22"/>
              </w:rPr>
            </w:pPr>
            <w:r w:rsidRPr="007245DC">
              <w:rPr>
                <w:b/>
                <w:bCs/>
                <w:color w:val="000000"/>
                <w:sz w:val="22"/>
                <w:szCs w:val="22"/>
              </w:rPr>
              <w:t> </w:t>
            </w:r>
          </w:p>
        </w:tc>
        <w:tc>
          <w:tcPr>
            <w:tcW w:w="1182" w:type="dxa"/>
            <w:tcBorders>
              <w:top w:val="nil"/>
              <w:left w:val="nil"/>
              <w:bottom w:val="nil"/>
              <w:right w:val="single" w:sz="4" w:space="0" w:color="auto"/>
            </w:tcBorders>
            <w:shd w:val="clear" w:color="auto" w:fill="auto"/>
            <w:noWrap/>
            <w:vAlign w:val="bottom"/>
            <w:hideMark/>
          </w:tcPr>
          <w:p w:rsidR="007245DC" w:rsidRPr="007245DC" w:rsidRDefault="007245DC" w:rsidP="007245DC">
            <w:pPr>
              <w:rPr>
                <w:sz w:val="22"/>
                <w:szCs w:val="22"/>
              </w:rPr>
            </w:pPr>
            <w:r w:rsidRPr="007245DC">
              <w:rPr>
                <w:sz w:val="22"/>
                <w:szCs w:val="22"/>
              </w:rPr>
              <w:t> </w:t>
            </w:r>
          </w:p>
        </w:tc>
      </w:tr>
      <w:tr w:rsidR="007245DC" w:rsidRPr="007245DC" w:rsidTr="005B1F9E">
        <w:trPr>
          <w:trHeight w:val="221"/>
          <w:jc w:val="center"/>
        </w:trPr>
        <w:tc>
          <w:tcPr>
            <w:tcW w:w="4535" w:type="dxa"/>
            <w:tcBorders>
              <w:top w:val="nil"/>
              <w:left w:val="single" w:sz="4" w:space="0" w:color="auto"/>
              <w:bottom w:val="nil"/>
              <w:right w:val="nil"/>
            </w:tcBorders>
            <w:shd w:val="clear" w:color="auto" w:fill="auto"/>
            <w:noWrap/>
            <w:vAlign w:val="bottom"/>
            <w:hideMark/>
          </w:tcPr>
          <w:p w:rsidR="007245DC" w:rsidRPr="007245DC" w:rsidRDefault="007245DC" w:rsidP="007245DC">
            <w:pPr>
              <w:rPr>
                <w:color w:val="000000"/>
                <w:sz w:val="22"/>
                <w:szCs w:val="22"/>
              </w:rPr>
            </w:pPr>
            <w:r w:rsidRPr="007245DC">
              <w:rPr>
                <w:color w:val="000000"/>
                <w:sz w:val="22"/>
                <w:szCs w:val="22"/>
              </w:rPr>
              <w:t>Base Facility Charge by Meter Size</w:t>
            </w:r>
          </w:p>
        </w:tc>
        <w:tc>
          <w:tcPr>
            <w:tcW w:w="1279" w:type="dxa"/>
            <w:gridSpan w:val="2"/>
            <w:tcBorders>
              <w:top w:val="nil"/>
              <w:left w:val="nil"/>
              <w:bottom w:val="nil"/>
              <w:right w:val="nil"/>
            </w:tcBorders>
            <w:shd w:val="clear" w:color="auto" w:fill="auto"/>
            <w:noWrap/>
            <w:vAlign w:val="bottom"/>
            <w:hideMark/>
          </w:tcPr>
          <w:p w:rsidR="007245DC" w:rsidRPr="007245DC" w:rsidRDefault="007245DC" w:rsidP="007245DC">
            <w:pPr>
              <w:jc w:val="right"/>
              <w:rPr>
                <w:color w:val="000000"/>
                <w:sz w:val="22"/>
                <w:szCs w:val="22"/>
              </w:rPr>
            </w:pPr>
          </w:p>
        </w:tc>
        <w:tc>
          <w:tcPr>
            <w:tcW w:w="1561" w:type="dxa"/>
            <w:tcBorders>
              <w:top w:val="nil"/>
              <w:left w:val="nil"/>
              <w:bottom w:val="nil"/>
              <w:right w:val="nil"/>
            </w:tcBorders>
          </w:tcPr>
          <w:p w:rsidR="007245DC" w:rsidRPr="007245DC" w:rsidRDefault="007245DC" w:rsidP="007245DC">
            <w:pPr>
              <w:jc w:val="right"/>
              <w:rPr>
                <w:color w:val="000000"/>
                <w:sz w:val="22"/>
                <w:szCs w:val="22"/>
              </w:rPr>
            </w:pPr>
          </w:p>
        </w:tc>
        <w:tc>
          <w:tcPr>
            <w:tcW w:w="1350" w:type="dxa"/>
            <w:tcBorders>
              <w:top w:val="nil"/>
              <w:left w:val="nil"/>
              <w:bottom w:val="nil"/>
              <w:right w:val="nil"/>
            </w:tcBorders>
          </w:tcPr>
          <w:p w:rsidR="007245DC" w:rsidRPr="007245DC" w:rsidRDefault="007245DC" w:rsidP="007245DC">
            <w:pPr>
              <w:jc w:val="right"/>
              <w:rPr>
                <w:color w:val="000000"/>
                <w:sz w:val="22"/>
                <w:szCs w:val="22"/>
              </w:rPr>
            </w:pPr>
          </w:p>
        </w:tc>
        <w:tc>
          <w:tcPr>
            <w:tcW w:w="1603" w:type="dxa"/>
            <w:tcBorders>
              <w:top w:val="nil"/>
              <w:left w:val="nil"/>
              <w:bottom w:val="nil"/>
              <w:right w:val="nil"/>
            </w:tcBorders>
            <w:shd w:val="clear" w:color="auto" w:fill="auto"/>
            <w:noWrap/>
            <w:vAlign w:val="bottom"/>
            <w:hideMark/>
          </w:tcPr>
          <w:p w:rsidR="007245DC" w:rsidRPr="007245DC" w:rsidRDefault="007245DC" w:rsidP="007245DC">
            <w:pPr>
              <w:jc w:val="right"/>
              <w:rPr>
                <w:color w:val="000000"/>
                <w:sz w:val="22"/>
                <w:szCs w:val="22"/>
              </w:rPr>
            </w:pPr>
          </w:p>
        </w:tc>
        <w:tc>
          <w:tcPr>
            <w:tcW w:w="1182" w:type="dxa"/>
            <w:tcBorders>
              <w:top w:val="nil"/>
              <w:left w:val="nil"/>
              <w:bottom w:val="nil"/>
              <w:right w:val="single" w:sz="4" w:space="0" w:color="auto"/>
            </w:tcBorders>
            <w:shd w:val="clear" w:color="auto" w:fill="auto"/>
            <w:noWrap/>
            <w:vAlign w:val="bottom"/>
            <w:hideMark/>
          </w:tcPr>
          <w:p w:rsidR="007245DC" w:rsidRPr="007245DC" w:rsidRDefault="007245DC" w:rsidP="007245DC">
            <w:pPr>
              <w:rPr>
                <w:sz w:val="22"/>
                <w:szCs w:val="22"/>
              </w:rPr>
            </w:pPr>
            <w:r w:rsidRPr="007245DC">
              <w:rPr>
                <w:sz w:val="22"/>
                <w:szCs w:val="22"/>
              </w:rPr>
              <w:t> </w:t>
            </w:r>
          </w:p>
        </w:tc>
      </w:tr>
      <w:tr w:rsidR="007245DC" w:rsidRPr="007245DC" w:rsidTr="005B1F9E">
        <w:trPr>
          <w:trHeight w:val="197"/>
          <w:jc w:val="center"/>
        </w:trPr>
        <w:tc>
          <w:tcPr>
            <w:tcW w:w="4535" w:type="dxa"/>
            <w:tcBorders>
              <w:top w:val="nil"/>
              <w:left w:val="single" w:sz="4" w:space="0" w:color="auto"/>
              <w:bottom w:val="nil"/>
              <w:right w:val="nil"/>
            </w:tcBorders>
            <w:shd w:val="clear" w:color="auto" w:fill="auto"/>
            <w:noWrap/>
            <w:vAlign w:val="bottom"/>
            <w:hideMark/>
          </w:tcPr>
          <w:p w:rsidR="007245DC" w:rsidRPr="007245DC" w:rsidRDefault="007245DC" w:rsidP="007245DC">
            <w:pPr>
              <w:rPr>
                <w:color w:val="000000"/>
                <w:sz w:val="22"/>
                <w:szCs w:val="22"/>
              </w:rPr>
            </w:pPr>
            <w:r w:rsidRPr="007245DC">
              <w:rPr>
                <w:color w:val="000000"/>
                <w:sz w:val="22"/>
                <w:szCs w:val="22"/>
              </w:rPr>
              <w:t>5/8" x 3/4"</w:t>
            </w:r>
          </w:p>
        </w:tc>
        <w:tc>
          <w:tcPr>
            <w:tcW w:w="1279" w:type="dxa"/>
            <w:gridSpan w:val="2"/>
            <w:tcBorders>
              <w:top w:val="nil"/>
              <w:left w:val="nil"/>
              <w:bottom w:val="nil"/>
              <w:right w:val="nil"/>
            </w:tcBorders>
            <w:shd w:val="clear" w:color="auto" w:fill="auto"/>
            <w:noWrap/>
            <w:vAlign w:val="bottom"/>
            <w:hideMark/>
          </w:tcPr>
          <w:p w:rsidR="007245DC" w:rsidRPr="007245DC" w:rsidRDefault="007245DC" w:rsidP="007245DC">
            <w:pPr>
              <w:jc w:val="right"/>
              <w:rPr>
                <w:color w:val="000000"/>
                <w:sz w:val="22"/>
                <w:szCs w:val="22"/>
              </w:rPr>
            </w:pPr>
            <w:r w:rsidRPr="007245DC">
              <w:rPr>
                <w:color w:val="000000"/>
                <w:sz w:val="22"/>
                <w:szCs w:val="22"/>
              </w:rPr>
              <w:t>$11.59</w:t>
            </w:r>
          </w:p>
        </w:tc>
        <w:tc>
          <w:tcPr>
            <w:tcW w:w="1561" w:type="dxa"/>
            <w:tcBorders>
              <w:top w:val="nil"/>
              <w:left w:val="nil"/>
              <w:bottom w:val="nil"/>
              <w:right w:val="nil"/>
            </w:tcBorders>
          </w:tcPr>
          <w:p w:rsidR="007245DC" w:rsidRPr="007245DC" w:rsidRDefault="007245DC" w:rsidP="007245DC">
            <w:pPr>
              <w:jc w:val="right"/>
              <w:rPr>
                <w:color w:val="000000"/>
                <w:sz w:val="22"/>
                <w:szCs w:val="22"/>
              </w:rPr>
            </w:pPr>
            <w:r w:rsidRPr="007245DC">
              <w:rPr>
                <w:color w:val="000000"/>
                <w:sz w:val="22"/>
                <w:szCs w:val="22"/>
              </w:rPr>
              <w:t>$12.11</w:t>
            </w:r>
          </w:p>
        </w:tc>
        <w:tc>
          <w:tcPr>
            <w:tcW w:w="1350" w:type="dxa"/>
            <w:tcBorders>
              <w:top w:val="nil"/>
              <w:left w:val="nil"/>
              <w:bottom w:val="nil"/>
              <w:right w:val="nil"/>
            </w:tcBorders>
          </w:tcPr>
          <w:p w:rsidR="007245DC" w:rsidRPr="007245DC" w:rsidRDefault="007245DC" w:rsidP="007245DC">
            <w:pPr>
              <w:jc w:val="right"/>
              <w:rPr>
                <w:color w:val="000000"/>
                <w:sz w:val="22"/>
                <w:szCs w:val="22"/>
              </w:rPr>
            </w:pPr>
            <w:r w:rsidRPr="007245DC">
              <w:rPr>
                <w:color w:val="000000"/>
                <w:sz w:val="22"/>
                <w:szCs w:val="22"/>
              </w:rPr>
              <w:t>$11.76</w:t>
            </w:r>
          </w:p>
        </w:tc>
        <w:tc>
          <w:tcPr>
            <w:tcW w:w="1603" w:type="dxa"/>
            <w:tcBorders>
              <w:top w:val="nil"/>
              <w:left w:val="nil"/>
              <w:bottom w:val="nil"/>
              <w:right w:val="nil"/>
            </w:tcBorders>
            <w:shd w:val="clear" w:color="auto" w:fill="auto"/>
            <w:noWrap/>
            <w:vAlign w:val="bottom"/>
            <w:hideMark/>
          </w:tcPr>
          <w:p w:rsidR="007245DC" w:rsidRPr="007245DC" w:rsidRDefault="007245DC" w:rsidP="007245DC">
            <w:pPr>
              <w:jc w:val="right"/>
              <w:rPr>
                <w:color w:val="000000"/>
                <w:sz w:val="22"/>
                <w:szCs w:val="22"/>
              </w:rPr>
            </w:pPr>
            <w:r w:rsidRPr="007245DC">
              <w:rPr>
                <w:color w:val="000000"/>
                <w:sz w:val="22"/>
                <w:szCs w:val="22"/>
              </w:rPr>
              <w:t>$12.62</w:t>
            </w:r>
          </w:p>
        </w:tc>
        <w:tc>
          <w:tcPr>
            <w:tcW w:w="1182" w:type="dxa"/>
            <w:tcBorders>
              <w:top w:val="nil"/>
              <w:left w:val="nil"/>
              <w:bottom w:val="nil"/>
              <w:right w:val="single" w:sz="4" w:space="0" w:color="auto"/>
            </w:tcBorders>
            <w:shd w:val="clear" w:color="auto" w:fill="auto"/>
            <w:noWrap/>
            <w:vAlign w:val="bottom"/>
            <w:hideMark/>
          </w:tcPr>
          <w:p w:rsidR="007245DC" w:rsidRPr="007245DC" w:rsidRDefault="007245DC" w:rsidP="007245DC">
            <w:pPr>
              <w:jc w:val="right"/>
              <w:rPr>
                <w:sz w:val="22"/>
                <w:szCs w:val="22"/>
              </w:rPr>
            </w:pPr>
            <w:r w:rsidRPr="007245DC">
              <w:rPr>
                <w:sz w:val="22"/>
                <w:szCs w:val="22"/>
              </w:rPr>
              <w:t>$0.13</w:t>
            </w:r>
          </w:p>
        </w:tc>
      </w:tr>
      <w:tr w:rsidR="007245DC" w:rsidRPr="007245DC" w:rsidTr="005B1F9E">
        <w:trPr>
          <w:trHeight w:val="221"/>
          <w:jc w:val="center"/>
        </w:trPr>
        <w:tc>
          <w:tcPr>
            <w:tcW w:w="4535" w:type="dxa"/>
            <w:tcBorders>
              <w:top w:val="nil"/>
              <w:left w:val="single" w:sz="4" w:space="0" w:color="auto"/>
              <w:bottom w:val="nil"/>
              <w:right w:val="nil"/>
            </w:tcBorders>
            <w:shd w:val="clear" w:color="auto" w:fill="auto"/>
            <w:noWrap/>
            <w:vAlign w:val="bottom"/>
            <w:hideMark/>
          </w:tcPr>
          <w:p w:rsidR="007245DC" w:rsidRPr="007245DC" w:rsidRDefault="007245DC" w:rsidP="007245DC">
            <w:pPr>
              <w:rPr>
                <w:color w:val="000000"/>
                <w:sz w:val="22"/>
                <w:szCs w:val="22"/>
              </w:rPr>
            </w:pPr>
            <w:r w:rsidRPr="007245DC">
              <w:rPr>
                <w:color w:val="000000"/>
                <w:sz w:val="22"/>
                <w:szCs w:val="22"/>
              </w:rPr>
              <w:t>1"</w:t>
            </w:r>
          </w:p>
        </w:tc>
        <w:tc>
          <w:tcPr>
            <w:tcW w:w="1279" w:type="dxa"/>
            <w:gridSpan w:val="2"/>
            <w:tcBorders>
              <w:top w:val="nil"/>
              <w:left w:val="nil"/>
              <w:bottom w:val="nil"/>
              <w:right w:val="nil"/>
            </w:tcBorders>
            <w:shd w:val="clear" w:color="auto" w:fill="auto"/>
            <w:noWrap/>
            <w:vAlign w:val="bottom"/>
            <w:hideMark/>
          </w:tcPr>
          <w:p w:rsidR="007245DC" w:rsidRPr="007245DC" w:rsidRDefault="007245DC" w:rsidP="007245DC">
            <w:pPr>
              <w:jc w:val="right"/>
              <w:rPr>
                <w:color w:val="000000"/>
                <w:sz w:val="22"/>
                <w:szCs w:val="22"/>
              </w:rPr>
            </w:pPr>
            <w:r w:rsidRPr="007245DC">
              <w:rPr>
                <w:color w:val="000000"/>
                <w:sz w:val="22"/>
                <w:szCs w:val="22"/>
              </w:rPr>
              <w:t>$28.98</w:t>
            </w:r>
          </w:p>
        </w:tc>
        <w:tc>
          <w:tcPr>
            <w:tcW w:w="1561" w:type="dxa"/>
            <w:tcBorders>
              <w:top w:val="nil"/>
              <w:left w:val="nil"/>
              <w:bottom w:val="nil"/>
              <w:right w:val="nil"/>
            </w:tcBorders>
          </w:tcPr>
          <w:p w:rsidR="007245DC" w:rsidRPr="007245DC" w:rsidRDefault="007245DC" w:rsidP="007245DC">
            <w:pPr>
              <w:jc w:val="right"/>
              <w:rPr>
                <w:color w:val="000000"/>
                <w:sz w:val="22"/>
                <w:szCs w:val="22"/>
              </w:rPr>
            </w:pPr>
            <w:r w:rsidRPr="007245DC">
              <w:rPr>
                <w:color w:val="000000"/>
                <w:sz w:val="22"/>
                <w:szCs w:val="22"/>
              </w:rPr>
              <w:t>$30.28</w:t>
            </w:r>
          </w:p>
        </w:tc>
        <w:tc>
          <w:tcPr>
            <w:tcW w:w="1350" w:type="dxa"/>
            <w:tcBorders>
              <w:top w:val="nil"/>
              <w:left w:val="nil"/>
              <w:bottom w:val="nil"/>
              <w:right w:val="nil"/>
            </w:tcBorders>
          </w:tcPr>
          <w:p w:rsidR="007245DC" w:rsidRPr="007245DC" w:rsidRDefault="007245DC" w:rsidP="007245DC">
            <w:pPr>
              <w:jc w:val="right"/>
              <w:rPr>
                <w:color w:val="000000"/>
                <w:sz w:val="22"/>
                <w:szCs w:val="22"/>
              </w:rPr>
            </w:pPr>
            <w:r w:rsidRPr="007245DC">
              <w:rPr>
                <w:color w:val="000000"/>
                <w:sz w:val="22"/>
                <w:szCs w:val="22"/>
              </w:rPr>
              <w:t>$29.39</w:t>
            </w:r>
          </w:p>
        </w:tc>
        <w:tc>
          <w:tcPr>
            <w:tcW w:w="1603" w:type="dxa"/>
            <w:tcBorders>
              <w:top w:val="nil"/>
              <w:left w:val="nil"/>
              <w:bottom w:val="nil"/>
              <w:right w:val="nil"/>
            </w:tcBorders>
            <w:shd w:val="clear" w:color="auto" w:fill="auto"/>
            <w:noWrap/>
            <w:vAlign w:val="bottom"/>
            <w:hideMark/>
          </w:tcPr>
          <w:p w:rsidR="007245DC" w:rsidRPr="007245DC" w:rsidRDefault="007245DC" w:rsidP="007245DC">
            <w:pPr>
              <w:jc w:val="right"/>
              <w:rPr>
                <w:color w:val="000000"/>
                <w:sz w:val="22"/>
                <w:szCs w:val="22"/>
              </w:rPr>
            </w:pPr>
            <w:r w:rsidRPr="007245DC">
              <w:rPr>
                <w:color w:val="000000"/>
                <w:sz w:val="22"/>
                <w:szCs w:val="22"/>
              </w:rPr>
              <w:t>$31.55</w:t>
            </w:r>
          </w:p>
        </w:tc>
        <w:tc>
          <w:tcPr>
            <w:tcW w:w="1182" w:type="dxa"/>
            <w:tcBorders>
              <w:top w:val="nil"/>
              <w:left w:val="nil"/>
              <w:bottom w:val="nil"/>
              <w:right w:val="single" w:sz="4" w:space="0" w:color="auto"/>
            </w:tcBorders>
            <w:shd w:val="clear" w:color="auto" w:fill="auto"/>
            <w:noWrap/>
            <w:vAlign w:val="bottom"/>
            <w:hideMark/>
          </w:tcPr>
          <w:p w:rsidR="007245DC" w:rsidRPr="007245DC" w:rsidRDefault="007245DC" w:rsidP="007245DC">
            <w:pPr>
              <w:jc w:val="right"/>
              <w:rPr>
                <w:sz w:val="22"/>
                <w:szCs w:val="22"/>
              </w:rPr>
            </w:pPr>
            <w:r w:rsidRPr="007245DC">
              <w:rPr>
                <w:sz w:val="22"/>
                <w:szCs w:val="22"/>
              </w:rPr>
              <w:t>$0.33</w:t>
            </w:r>
          </w:p>
        </w:tc>
      </w:tr>
      <w:tr w:rsidR="007245DC" w:rsidRPr="007245DC" w:rsidTr="005B1F9E">
        <w:trPr>
          <w:trHeight w:val="221"/>
          <w:jc w:val="center"/>
        </w:trPr>
        <w:tc>
          <w:tcPr>
            <w:tcW w:w="4535" w:type="dxa"/>
            <w:tcBorders>
              <w:top w:val="nil"/>
              <w:left w:val="single" w:sz="4" w:space="0" w:color="auto"/>
              <w:bottom w:val="nil"/>
              <w:right w:val="nil"/>
            </w:tcBorders>
            <w:shd w:val="clear" w:color="auto" w:fill="auto"/>
            <w:noWrap/>
            <w:vAlign w:val="bottom"/>
            <w:hideMark/>
          </w:tcPr>
          <w:p w:rsidR="007245DC" w:rsidRPr="007245DC" w:rsidRDefault="007245DC" w:rsidP="007245DC">
            <w:pPr>
              <w:rPr>
                <w:color w:val="000000"/>
                <w:sz w:val="22"/>
                <w:szCs w:val="22"/>
              </w:rPr>
            </w:pPr>
            <w:r w:rsidRPr="007245DC">
              <w:rPr>
                <w:color w:val="000000"/>
                <w:sz w:val="22"/>
                <w:szCs w:val="22"/>
              </w:rPr>
              <w:t>1-1/2"</w:t>
            </w:r>
          </w:p>
        </w:tc>
        <w:tc>
          <w:tcPr>
            <w:tcW w:w="1279" w:type="dxa"/>
            <w:gridSpan w:val="2"/>
            <w:tcBorders>
              <w:top w:val="nil"/>
              <w:left w:val="nil"/>
              <w:bottom w:val="nil"/>
              <w:right w:val="nil"/>
            </w:tcBorders>
            <w:shd w:val="clear" w:color="auto" w:fill="auto"/>
            <w:noWrap/>
            <w:vAlign w:val="bottom"/>
            <w:hideMark/>
          </w:tcPr>
          <w:p w:rsidR="007245DC" w:rsidRPr="007245DC" w:rsidRDefault="007245DC" w:rsidP="007245DC">
            <w:pPr>
              <w:jc w:val="right"/>
              <w:rPr>
                <w:color w:val="000000"/>
                <w:sz w:val="22"/>
                <w:szCs w:val="22"/>
              </w:rPr>
            </w:pPr>
            <w:r w:rsidRPr="007245DC">
              <w:rPr>
                <w:color w:val="000000"/>
                <w:sz w:val="22"/>
                <w:szCs w:val="22"/>
              </w:rPr>
              <w:t>$57.95</w:t>
            </w:r>
          </w:p>
        </w:tc>
        <w:tc>
          <w:tcPr>
            <w:tcW w:w="1561" w:type="dxa"/>
            <w:tcBorders>
              <w:top w:val="nil"/>
              <w:left w:val="nil"/>
              <w:bottom w:val="nil"/>
              <w:right w:val="nil"/>
            </w:tcBorders>
          </w:tcPr>
          <w:p w:rsidR="007245DC" w:rsidRPr="007245DC" w:rsidRDefault="007245DC" w:rsidP="007245DC">
            <w:pPr>
              <w:jc w:val="right"/>
              <w:rPr>
                <w:color w:val="000000"/>
                <w:sz w:val="22"/>
                <w:szCs w:val="22"/>
              </w:rPr>
            </w:pPr>
            <w:r w:rsidRPr="007245DC">
              <w:rPr>
                <w:color w:val="000000"/>
                <w:sz w:val="22"/>
                <w:szCs w:val="22"/>
              </w:rPr>
              <w:t>$60.55</w:t>
            </w:r>
          </w:p>
        </w:tc>
        <w:tc>
          <w:tcPr>
            <w:tcW w:w="1350" w:type="dxa"/>
            <w:tcBorders>
              <w:top w:val="nil"/>
              <w:left w:val="nil"/>
              <w:bottom w:val="nil"/>
              <w:right w:val="nil"/>
            </w:tcBorders>
          </w:tcPr>
          <w:p w:rsidR="007245DC" w:rsidRPr="007245DC" w:rsidRDefault="007245DC" w:rsidP="007245DC">
            <w:pPr>
              <w:jc w:val="right"/>
              <w:rPr>
                <w:color w:val="000000"/>
                <w:sz w:val="22"/>
                <w:szCs w:val="22"/>
              </w:rPr>
            </w:pPr>
            <w:r w:rsidRPr="007245DC">
              <w:rPr>
                <w:color w:val="000000"/>
                <w:sz w:val="22"/>
                <w:szCs w:val="22"/>
              </w:rPr>
              <w:t>$58.78</w:t>
            </w:r>
          </w:p>
        </w:tc>
        <w:tc>
          <w:tcPr>
            <w:tcW w:w="1603" w:type="dxa"/>
            <w:tcBorders>
              <w:top w:val="nil"/>
              <w:left w:val="nil"/>
              <w:bottom w:val="nil"/>
              <w:right w:val="nil"/>
            </w:tcBorders>
            <w:shd w:val="clear" w:color="auto" w:fill="auto"/>
            <w:noWrap/>
            <w:vAlign w:val="bottom"/>
            <w:hideMark/>
          </w:tcPr>
          <w:p w:rsidR="007245DC" w:rsidRPr="007245DC" w:rsidRDefault="007245DC" w:rsidP="007245DC">
            <w:pPr>
              <w:jc w:val="right"/>
              <w:rPr>
                <w:color w:val="000000"/>
                <w:sz w:val="22"/>
                <w:szCs w:val="22"/>
              </w:rPr>
            </w:pPr>
            <w:r w:rsidRPr="007245DC">
              <w:rPr>
                <w:color w:val="000000"/>
                <w:sz w:val="22"/>
                <w:szCs w:val="22"/>
              </w:rPr>
              <w:t>$63.10</w:t>
            </w:r>
          </w:p>
        </w:tc>
        <w:tc>
          <w:tcPr>
            <w:tcW w:w="1182" w:type="dxa"/>
            <w:tcBorders>
              <w:top w:val="nil"/>
              <w:left w:val="nil"/>
              <w:bottom w:val="nil"/>
              <w:right w:val="single" w:sz="4" w:space="0" w:color="auto"/>
            </w:tcBorders>
            <w:shd w:val="clear" w:color="auto" w:fill="auto"/>
            <w:noWrap/>
            <w:vAlign w:val="bottom"/>
            <w:hideMark/>
          </w:tcPr>
          <w:p w:rsidR="007245DC" w:rsidRPr="007245DC" w:rsidRDefault="007245DC" w:rsidP="007245DC">
            <w:pPr>
              <w:jc w:val="right"/>
              <w:rPr>
                <w:sz w:val="22"/>
                <w:szCs w:val="22"/>
              </w:rPr>
            </w:pPr>
            <w:r w:rsidRPr="007245DC">
              <w:rPr>
                <w:sz w:val="22"/>
                <w:szCs w:val="22"/>
              </w:rPr>
              <w:t>$0.65</w:t>
            </w:r>
          </w:p>
        </w:tc>
      </w:tr>
      <w:tr w:rsidR="007245DC" w:rsidRPr="007245DC" w:rsidTr="005B1F9E">
        <w:trPr>
          <w:trHeight w:val="221"/>
          <w:jc w:val="center"/>
        </w:trPr>
        <w:tc>
          <w:tcPr>
            <w:tcW w:w="4535" w:type="dxa"/>
            <w:tcBorders>
              <w:top w:val="nil"/>
              <w:left w:val="single" w:sz="4" w:space="0" w:color="auto"/>
              <w:bottom w:val="nil"/>
              <w:right w:val="nil"/>
            </w:tcBorders>
            <w:shd w:val="clear" w:color="auto" w:fill="auto"/>
            <w:noWrap/>
            <w:vAlign w:val="bottom"/>
            <w:hideMark/>
          </w:tcPr>
          <w:p w:rsidR="007245DC" w:rsidRPr="007245DC" w:rsidRDefault="007245DC" w:rsidP="007245DC">
            <w:pPr>
              <w:rPr>
                <w:color w:val="000000"/>
                <w:sz w:val="22"/>
                <w:szCs w:val="22"/>
              </w:rPr>
            </w:pPr>
            <w:r w:rsidRPr="007245DC">
              <w:rPr>
                <w:color w:val="000000"/>
                <w:sz w:val="22"/>
                <w:szCs w:val="22"/>
              </w:rPr>
              <w:t>2"</w:t>
            </w:r>
          </w:p>
        </w:tc>
        <w:tc>
          <w:tcPr>
            <w:tcW w:w="1279" w:type="dxa"/>
            <w:gridSpan w:val="2"/>
            <w:tcBorders>
              <w:top w:val="nil"/>
              <w:left w:val="nil"/>
              <w:bottom w:val="nil"/>
              <w:right w:val="nil"/>
            </w:tcBorders>
            <w:shd w:val="clear" w:color="auto" w:fill="auto"/>
            <w:noWrap/>
            <w:vAlign w:val="bottom"/>
            <w:hideMark/>
          </w:tcPr>
          <w:p w:rsidR="007245DC" w:rsidRPr="007245DC" w:rsidRDefault="007245DC" w:rsidP="007245DC">
            <w:pPr>
              <w:jc w:val="right"/>
              <w:rPr>
                <w:color w:val="000000"/>
                <w:sz w:val="22"/>
                <w:szCs w:val="22"/>
              </w:rPr>
            </w:pPr>
            <w:r w:rsidRPr="007245DC">
              <w:rPr>
                <w:color w:val="000000"/>
                <w:sz w:val="22"/>
                <w:szCs w:val="22"/>
              </w:rPr>
              <w:t>$92.72</w:t>
            </w:r>
          </w:p>
        </w:tc>
        <w:tc>
          <w:tcPr>
            <w:tcW w:w="1561" w:type="dxa"/>
            <w:tcBorders>
              <w:top w:val="nil"/>
              <w:left w:val="nil"/>
              <w:bottom w:val="nil"/>
              <w:right w:val="nil"/>
            </w:tcBorders>
          </w:tcPr>
          <w:p w:rsidR="007245DC" w:rsidRPr="007245DC" w:rsidRDefault="007245DC" w:rsidP="007245DC">
            <w:pPr>
              <w:jc w:val="right"/>
              <w:rPr>
                <w:color w:val="000000"/>
                <w:sz w:val="22"/>
                <w:szCs w:val="22"/>
              </w:rPr>
            </w:pPr>
            <w:r w:rsidRPr="007245DC">
              <w:rPr>
                <w:color w:val="000000"/>
                <w:sz w:val="22"/>
                <w:szCs w:val="22"/>
              </w:rPr>
              <w:t>$96.88</w:t>
            </w:r>
          </w:p>
        </w:tc>
        <w:tc>
          <w:tcPr>
            <w:tcW w:w="1350" w:type="dxa"/>
            <w:tcBorders>
              <w:top w:val="nil"/>
              <w:left w:val="nil"/>
              <w:bottom w:val="nil"/>
              <w:right w:val="nil"/>
            </w:tcBorders>
          </w:tcPr>
          <w:p w:rsidR="007245DC" w:rsidRPr="007245DC" w:rsidRDefault="007245DC" w:rsidP="007245DC">
            <w:pPr>
              <w:jc w:val="right"/>
              <w:rPr>
                <w:color w:val="000000"/>
                <w:sz w:val="22"/>
                <w:szCs w:val="22"/>
              </w:rPr>
            </w:pPr>
            <w:r w:rsidRPr="007245DC">
              <w:rPr>
                <w:color w:val="000000"/>
                <w:sz w:val="22"/>
                <w:szCs w:val="22"/>
              </w:rPr>
              <w:t>$94.04</w:t>
            </w:r>
          </w:p>
        </w:tc>
        <w:tc>
          <w:tcPr>
            <w:tcW w:w="1603" w:type="dxa"/>
            <w:tcBorders>
              <w:top w:val="nil"/>
              <w:left w:val="nil"/>
              <w:bottom w:val="nil"/>
              <w:right w:val="nil"/>
            </w:tcBorders>
            <w:shd w:val="clear" w:color="auto" w:fill="auto"/>
            <w:noWrap/>
            <w:vAlign w:val="bottom"/>
            <w:hideMark/>
          </w:tcPr>
          <w:p w:rsidR="007245DC" w:rsidRPr="007245DC" w:rsidRDefault="007245DC" w:rsidP="007245DC">
            <w:pPr>
              <w:jc w:val="right"/>
              <w:rPr>
                <w:color w:val="000000"/>
                <w:sz w:val="22"/>
                <w:szCs w:val="22"/>
              </w:rPr>
            </w:pPr>
            <w:r w:rsidRPr="007245DC">
              <w:rPr>
                <w:color w:val="000000"/>
                <w:sz w:val="22"/>
                <w:szCs w:val="22"/>
              </w:rPr>
              <w:t>$100.96</w:t>
            </w:r>
          </w:p>
        </w:tc>
        <w:tc>
          <w:tcPr>
            <w:tcW w:w="1182" w:type="dxa"/>
            <w:tcBorders>
              <w:top w:val="nil"/>
              <w:left w:val="nil"/>
              <w:bottom w:val="nil"/>
              <w:right w:val="single" w:sz="4" w:space="0" w:color="auto"/>
            </w:tcBorders>
            <w:shd w:val="clear" w:color="auto" w:fill="auto"/>
            <w:noWrap/>
            <w:vAlign w:val="bottom"/>
            <w:hideMark/>
          </w:tcPr>
          <w:p w:rsidR="007245DC" w:rsidRPr="007245DC" w:rsidRDefault="007245DC" w:rsidP="007245DC">
            <w:pPr>
              <w:jc w:val="right"/>
              <w:rPr>
                <w:sz w:val="22"/>
                <w:szCs w:val="22"/>
              </w:rPr>
            </w:pPr>
            <w:r w:rsidRPr="007245DC">
              <w:rPr>
                <w:sz w:val="22"/>
                <w:szCs w:val="22"/>
              </w:rPr>
              <w:t>$1.04</w:t>
            </w:r>
          </w:p>
        </w:tc>
      </w:tr>
      <w:tr w:rsidR="007245DC" w:rsidRPr="007245DC" w:rsidTr="005B1F9E">
        <w:trPr>
          <w:trHeight w:val="221"/>
          <w:jc w:val="center"/>
        </w:trPr>
        <w:tc>
          <w:tcPr>
            <w:tcW w:w="4535" w:type="dxa"/>
            <w:tcBorders>
              <w:top w:val="nil"/>
              <w:left w:val="single" w:sz="4" w:space="0" w:color="auto"/>
              <w:bottom w:val="nil"/>
              <w:right w:val="nil"/>
            </w:tcBorders>
            <w:shd w:val="clear" w:color="auto" w:fill="auto"/>
            <w:noWrap/>
            <w:vAlign w:val="bottom"/>
            <w:hideMark/>
          </w:tcPr>
          <w:p w:rsidR="007245DC" w:rsidRPr="007245DC" w:rsidRDefault="007245DC" w:rsidP="007245DC">
            <w:pPr>
              <w:rPr>
                <w:color w:val="000000"/>
                <w:sz w:val="22"/>
                <w:szCs w:val="22"/>
              </w:rPr>
            </w:pPr>
            <w:r w:rsidRPr="007245DC">
              <w:rPr>
                <w:color w:val="000000"/>
                <w:sz w:val="22"/>
                <w:szCs w:val="22"/>
              </w:rPr>
              <w:t>3"</w:t>
            </w:r>
          </w:p>
        </w:tc>
        <w:tc>
          <w:tcPr>
            <w:tcW w:w="1279" w:type="dxa"/>
            <w:gridSpan w:val="2"/>
            <w:tcBorders>
              <w:top w:val="nil"/>
              <w:left w:val="nil"/>
              <w:bottom w:val="nil"/>
              <w:right w:val="nil"/>
            </w:tcBorders>
            <w:shd w:val="clear" w:color="auto" w:fill="auto"/>
            <w:noWrap/>
            <w:vAlign w:val="bottom"/>
            <w:hideMark/>
          </w:tcPr>
          <w:p w:rsidR="007245DC" w:rsidRPr="007245DC" w:rsidRDefault="007245DC" w:rsidP="007245DC">
            <w:pPr>
              <w:jc w:val="right"/>
              <w:rPr>
                <w:color w:val="000000"/>
                <w:sz w:val="22"/>
                <w:szCs w:val="22"/>
              </w:rPr>
            </w:pPr>
            <w:r w:rsidRPr="007245DC">
              <w:rPr>
                <w:color w:val="000000"/>
                <w:sz w:val="22"/>
                <w:szCs w:val="22"/>
              </w:rPr>
              <w:t>$185.44</w:t>
            </w:r>
          </w:p>
        </w:tc>
        <w:tc>
          <w:tcPr>
            <w:tcW w:w="1561" w:type="dxa"/>
            <w:tcBorders>
              <w:top w:val="nil"/>
              <w:left w:val="nil"/>
              <w:bottom w:val="nil"/>
              <w:right w:val="nil"/>
            </w:tcBorders>
          </w:tcPr>
          <w:p w:rsidR="007245DC" w:rsidRPr="007245DC" w:rsidRDefault="007245DC" w:rsidP="007245DC">
            <w:pPr>
              <w:jc w:val="right"/>
              <w:rPr>
                <w:color w:val="000000"/>
                <w:sz w:val="22"/>
                <w:szCs w:val="22"/>
              </w:rPr>
            </w:pPr>
            <w:r w:rsidRPr="007245DC">
              <w:rPr>
                <w:color w:val="000000"/>
                <w:sz w:val="22"/>
                <w:szCs w:val="22"/>
              </w:rPr>
              <w:t>$193.76</w:t>
            </w:r>
          </w:p>
        </w:tc>
        <w:tc>
          <w:tcPr>
            <w:tcW w:w="1350" w:type="dxa"/>
            <w:tcBorders>
              <w:top w:val="nil"/>
              <w:left w:val="nil"/>
              <w:bottom w:val="nil"/>
              <w:right w:val="nil"/>
            </w:tcBorders>
          </w:tcPr>
          <w:p w:rsidR="007245DC" w:rsidRPr="007245DC" w:rsidRDefault="007245DC" w:rsidP="00AF5428">
            <w:pPr>
              <w:jc w:val="right"/>
              <w:rPr>
                <w:color w:val="000000"/>
                <w:sz w:val="22"/>
                <w:szCs w:val="22"/>
              </w:rPr>
            </w:pPr>
            <w:r w:rsidRPr="007245DC">
              <w:rPr>
                <w:color w:val="000000"/>
                <w:sz w:val="22"/>
                <w:szCs w:val="22"/>
              </w:rPr>
              <w:t>$188.</w:t>
            </w:r>
            <w:r w:rsidR="00AF5428">
              <w:rPr>
                <w:color w:val="000000"/>
                <w:sz w:val="22"/>
                <w:szCs w:val="22"/>
              </w:rPr>
              <w:t>08</w:t>
            </w:r>
          </w:p>
        </w:tc>
        <w:tc>
          <w:tcPr>
            <w:tcW w:w="1603" w:type="dxa"/>
            <w:tcBorders>
              <w:top w:val="nil"/>
              <w:left w:val="nil"/>
              <w:bottom w:val="nil"/>
              <w:right w:val="nil"/>
            </w:tcBorders>
            <w:shd w:val="clear" w:color="auto" w:fill="auto"/>
            <w:noWrap/>
            <w:vAlign w:val="bottom"/>
            <w:hideMark/>
          </w:tcPr>
          <w:p w:rsidR="007245DC" w:rsidRPr="007245DC" w:rsidRDefault="007245DC" w:rsidP="007245DC">
            <w:pPr>
              <w:jc w:val="right"/>
              <w:rPr>
                <w:color w:val="000000"/>
                <w:sz w:val="22"/>
                <w:szCs w:val="22"/>
              </w:rPr>
            </w:pPr>
            <w:r w:rsidRPr="007245DC">
              <w:rPr>
                <w:color w:val="000000"/>
                <w:sz w:val="22"/>
                <w:szCs w:val="22"/>
              </w:rPr>
              <w:t>$201.92</w:t>
            </w:r>
          </w:p>
        </w:tc>
        <w:tc>
          <w:tcPr>
            <w:tcW w:w="1182" w:type="dxa"/>
            <w:tcBorders>
              <w:top w:val="nil"/>
              <w:left w:val="nil"/>
              <w:bottom w:val="nil"/>
              <w:right w:val="single" w:sz="4" w:space="0" w:color="auto"/>
            </w:tcBorders>
            <w:shd w:val="clear" w:color="auto" w:fill="auto"/>
            <w:noWrap/>
            <w:vAlign w:val="bottom"/>
            <w:hideMark/>
          </w:tcPr>
          <w:p w:rsidR="007245DC" w:rsidRPr="007245DC" w:rsidRDefault="007245DC" w:rsidP="007245DC">
            <w:pPr>
              <w:jc w:val="right"/>
              <w:rPr>
                <w:sz w:val="22"/>
                <w:szCs w:val="22"/>
              </w:rPr>
            </w:pPr>
            <w:r w:rsidRPr="007245DC">
              <w:rPr>
                <w:sz w:val="22"/>
                <w:szCs w:val="22"/>
              </w:rPr>
              <w:t>$2.08</w:t>
            </w:r>
          </w:p>
        </w:tc>
      </w:tr>
      <w:tr w:rsidR="007245DC" w:rsidRPr="007245DC" w:rsidTr="005B1F9E">
        <w:trPr>
          <w:trHeight w:val="221"/>
          <w:jc w:val="center"/>
        </w:trPr>
        <w:tc>
          <w:tcPr>
            <w:tcW w:w="4535" w:type="dxa"/>
            <w:tcBorders>
              <w:top w:val="nil"/>
              <w:left w:val="single" w:sz="4" w:space="0" w:color="auto"/>
              <w:bottom w:val="nil"/>
              <w:right w:val="nil"/>
            </w:tcBorders>
            <w:shd w:val="clear" w:color="auto" w:fill="auto"/>
            <w:noWrap/>
            <w:vAlign w:val="bottom"/>
            <w:hideMark/>
          </w:tcPr>
          <w:p w:rsidR="007245DC" w:rsidRPr="007245DC" w:rsidRDefault="007245DC" w:rsidP="007245DC">
            <w:pPr>
              <w:rPr>
                <w:color w:val="000000"/>
                <w:sz w:val="22"/>
                <w:szCs w:val="22"/>
              </w:rPr>
            </w:pPr>
            <w:r w:rsidRPr="007245DC">
              <w:rPr>
                <w:color w:val="000000"/>
                <w:sz w:val="22"/>
                <w:szCs w:val="22"/>
              </w:rPr>
              <w:t>4"</w:t>
            </w:r>
          </w:p>
        </w:tc>
        <w:tc>
          <w:tcPr>
            <w:tcW w:w="1279" w:type="dxa"/>
            <w:gridSpan w:val="2"/>
            <w:tcBorders>
              <w:top w:val="nil"/>
              <w:left w:val="nil"/>
              <w:bottom w:val="nil"/>
              <w:right w:val="nil"/>
            </w:tcBorders>
            <w:shd w:val="clear" w:color="auto" w:fill="auto"/>
            <w:noWrap/>
            <w:vAlign w:val="bottom"/>
            <w:hideMark/>
          </w:tcPr>
          <w:p w:rsidR="007245DC" w:rsidRPr="007245DC" w:rsidRDefault="007245DC" w:rsidP="007245DC">
            <w:pPr>
              <w:jc w:val="right"/>
              <w:rPr>
                <w:color w:val="000000"/>
                <w:sz w:val="22"/>
                <w:szCs w:val="22"/>
              </w:rPr>
            </w:pPr>
            <w:r w:rsidRPr="007245DC">
              <w:rPr>
                <w:color w:val="000000"/>
                <w:sz w:val="22"/>
                <w:szCs w:val="22"/>
              </w:rPr>
              <w:t>$289.75</w:t>
            </w:r>
          </w:p>
        </w:tc>
        <w:tc>
          <w:tcPr>
            <w:tcW w:w="1561" w:type="dxa"/>
            <w:tcBorders>
              <w:top w:val="nil"/>
              <w:left w:val="nil"/>
              <w:bottom w:val="nil"/>
              <w:right w:val="nil"/>
            </w:tcBorders>
          </w:tcPr>
          <w:p w:rsidR="007245DC" w:rsidRPr="007245DC" w:rsidRDefault="007245DC" w:rsidP="007245DC">
            <w:pPr>
              <w:jc w:val="right"/>
              <w:rPr>
                <w:color w:val="000000"/>
                <w:sz w:val="22"/>
                <w:szCs w:val="22"/>
              </w:rPr>
            </w:pPr>
            <w:r w:rsidRPr="007245DC">
              <w:rPr>
                <w:color w:val="000000"/>
                <w:sz w:val="22"/>
                <w:szCs w:val="22"/>
              </w:rPr>
              <w:t>$302.75</w:t>
            </w:r>
          </w:p>
        </w:tc>
        <w:tc>
          <w:tcPr>
            <w:tcW w:w="1350" w:type="dxa"/>
            <w:tcBorders>
              <w:top w:val="nil"/>
              <w:left w:val="nil"/>
              <w:bottom w:val="nil"/>
              <w:right w:val="nil"/>
            </w:tcBorders>
          </w:tcPr>
          <w:p w:rsidR="007245DC" w:rsidRPr="007245DC" w:rsidRDefault="007245DC" w:rsidP="00AF5428">
            <w:pPr>
              <w:jc w:val="right"/>
              <w:rPr>
                <w:color w:val="000000"/>
                <w:sz w:val="22"/>
                <w:szCs w:val="22"/>
              </w:rPr>
            </w:pPr>
            <w:r w:rsidRPr="007245DC">
              <w:rPr>
                <w:color w:val="000000"/>
                <w:sz w:val="22"/>
                <w:szCs w:val="22"/>
              </w:rPr>
              <w:t>$29</w:t>
            </w:r>
            <w:r w:rsidR="00AF5428">
              <w:rPr>
                <w:color w:val="000000"/>
                <w:sz w:val="22"/>
                <w:szCs w:val="22"/>
              </w:rPr>
              <w:t>3.88</w:t>
            </w:r>
          </w:p>
        </w:tc>
        <w:tc>
          <w:tcPr>
            <w:tcW w:w="1603" w:type="dxa"/>
            <w:tcBorders>
              <w:top w:val="nil"/>
              <w:left w:val="nil"/>
              <w:bottom w:val="nil"/>
              <w:right w:val="nil"/>
            </w:tcBorders>
            <w:shd w:val="clear" w:color="auto" w:fill="auto"/>
            <w:noWrap/>
            <w:vAlign w:val="bottom"/>
            <w:hideMark/>
          </w:tcPr>
          <w:p w:rsidR="007245DC" w:rsidRPr="007245DC" w:rsidRDefault="007245DC" w:rsidP="007245DC">
            <w:pPr>
              <w:jc w:val="right"/>
              <w:rPr>
                <w:color w:val="000000"/>
                <w:sz w:val="22"/>
                <w:szCs w:val="22"/>
              </w:rPr>
            </w:pPr>
            <w:r w:rsidRPr="007245DC">
              <w:rPr>
                <w:color w:val="000000"/>
                <w:sz w:val="22"/>
                <w:szCs w:val="22"/>
              </w:rPr>
              <w:t>$315.50</w:t>
            </w:r>
          </w:p>
        </w:tc>
        <w:tc>
          <w:tcPr>
            <w:tcW w:w="1182" w:type="dxa"/>
            <w:tcBorders>
              <w:top w:val="nil"/>
              <w:left w:val="nil"/>
              <w:bottom w:val="nil"/>
              <w:right w:val="single" w:sz="4" w:space="0" w:color="auto"/>
            </w:tcBorders>
            <w:shd w:val="clear" w:color="auto" w:fill="auto"/>
            <w:noWrap/>
            <w:vAlign w:val="bottom"/>
            <w:hideMark/>
          </w:tcPr>
          <w:p w:rsidR="007245DC" w:rsidRPr="007245DC" w:rsidRDefault="007245DC" w:rsidP="007245DC">
            <w:pPr>
              <w:jc w:val="right"/>
              <w:rPr>
                <w:sz w:val="22"/>
                <w:szCs w:val="22"/>
              </w:rPr>
            </w:pPr>
            <w:r w:rsidRPr="007245DC">
              <w:rPr>
                <w:sz w:val="22"/>
                <w:szCs w:val="22"/>
              </w:rPr>
              <w:t>$3.25</w:t>
            </w:r>
          </w:p>
        </w:tc>
      </w:tr>
      <w:tr w:rsidR="007245DC" w:rsidRPr="007245DC" w:rsidTr="005B1F9E">
        <w:trPr>
          <w:trHeight w:val="221"/>
          <w:jc w:val="center"/>
        </w:trPr>
        <w:tc>
          <w:tcPr>
            <w:tcW w:w="4535" w:type="dxa"/>
            <w:tcBorders>
              <w:top w:val="nil"/>
              <w:left w:val="single" w:sz="4" w:space="0" w:color="auto"/>
              <w:bottom w:val="nil"/>
              <w:right w:val="nil"/>
            </w:tcBorders>
            <w:shd w:val="clear" w:color="auto" w:fill="auto"/>
            <w:noWrap/>
            <w:vAlign w:val="bottom"/>
            <w:hideMark/>
          </w:tcPr>
          <w:p w:rsidR="007245DC" w:rsidRPr="007245DC" w:rsidRDefault="007245DC" w:rsidP="007245DC">
            <w:pPr>
              <w:rPr>
                <w:color w:val="000000"/>
                <w:sz w:val="22"/>
                <w:szCs w:val="22"/>
              </w:rPr>
            </w:pPr>
            <w:r w:rsidRPr="007245DC">
              <w:rPr>
                <w:color w:val="000000"/>
                <w:sz w:val="22"/>
                <w:szCs w:val="22"/>
              </w:rPr>
              <w:t>6"</w:t>
            </w:r>
          </w:p>
        </w:tc>
        <w:tc>
          <w:tcPr>
            <w:tcW w:w="1279" w:type="dxa"/>
            <w:gridSpan w:val="2"/>
            <w:tcBorders>
              <w:top w:val="nil"/>
              <w:left w:val="nil"/>
              <w:bottom w:val="nil"/>
              <w:right w:val="nil"/>
            </w:tcBorders>
            <w:shd w:val="clear" w:color="auto" w:fill="auto"/>
            <w:noWrap/>
            <w:vAlign w:val="bottom"/>
            <w:hideMark/>
          </w:tcPr>
          <w:p w:rsidR="007245DC" w:rsidRPr="007245DC" w:rsidRDefault="007245DC" w:rsidP="007245DC">
            <w:pPr>
              <w:jc w:val="right"/>
              <w:rPr>
                <w:color w:val="000000"/>
                <w:sz w:val="22"/>
                <w:szCs w:val="22"/>
              </w:rPr>
            </w:pPr>
            <w:r w:rsidRPr="007245DC">
              <w:rPr>
                <w:color w:val="000000"/>
                <w:sz w:val="22"/>
                <w:szCs w:val="22"/>
              </w:rPr>
              <w:t>$579.50</w:t>
            </w:r>
          </w:p>
        </w:tc>
        <w:tc>
          <w:tcPr>
            <w:tcW w:w="1561" w:type="dxa"/>
            <w:tcBorders>
              <w:top w:val="nil"/>
              <w:left w:val="nil"/>
              <w:bottom w:val="nil"/>
              <w:right w:val="nil"/>
            </w:tcBorders>
          </w:tcPr>
          <w:p w:rsidR="007245DC" w:rsidRPr="007245DC" w:rsidRDefault="007245DC" w:rsidP="007245DC">
            <w:pPr>
              <w:jc w:val="right"/>
              <w:rPr>
                <w:color w:val="000000"/>
                <w:sz w:val="22"/>
                <w:szCs w:val="22"/>
              </w:rPr>
            </w:pPr>
            <w:r w:rsidRPr="007245DC">
              <w:rPr>
                <w:color w:val="000000"/>
                <w:sz w:val="22"/>
                <w:szCs w:val="22"/>
              </w:rPr>
              <w:t>$605.50</w:t>
            </w:r>
          </w:p>
        </w:tc>
        <w:tc>
          <w:tcPr>
            <w:tcW w:w="1350" w:type="dxa"/>
            <w:tcBorders>
              <w:top w:val="nil"/>
              <w:left w:val="nil"/>
              <w:bottom w:val="nil"/>
              <w:right w:val="nil"/>
            </w:tcBorders>
          </w:tcPr>
          <w:p w:rsidR="007245DC" w:rsidRPr="007245DC" w:rsidRDefault="007245DC" w:rsidP="00AF5428">
            <w:pPr>
              <w:jc w:val="right"/>
              <w:rPr>
                <w:color w:val="000000"/>
                <w:sz w:val="22"/>
                <w:szCs w:val="22"/>
              </w:rPr>
            </w:pPr>
            <w:r w:rsidRPr="007245DC">
              <w:rPr>
                <w:color w:val="000000"/>
                <w:sz w:val="22"/>
                <w:szCs w:val="22"/>
              </w:rPr>
              <w:t>$58</w:t>
            </w:r>
            <w:r w:rsidR="00AF5428">
              <w:rPr>
                <w:color w:val="000000"/>
                <w:sz w:val="22"/>
                <w:szCs w:val="22"/>
              </w:rPr>
              <w:t>7.75</w:t>
            </w:r>
          </w:p>
        </w:tc>
        <w:tc>
          <w:tcPr>
            <w:tcW w:w="1603" w:type="dxa"/>
            <w:tcBorders>
              <w:top w:val="nil"/>
              <w:left w:val="nil"/>
              <w:bottom w:val="nil"/>
              <w:right w:val="nil"/>
            </w:tcBorders>
            <w:shd w:val="clear" w:color="auto" w:fill="auto"/>
            <w:noWrap/>
            <w:vAlign w:val="bottom"/>
            <w:hideMark/>
          </w:tcPr>
          <w:p w:rsidR="007245DC" w:rsidRPr="007245DC" w:rsidRDefault="007245DC" w:rsidP="007245DC">
            <w:pPr>
              <w:jc w:val="right"/>
              <w:rPr>
                <w:color w:val="000000"/>
                <w:sz w:val="22"/>
                <w:szCs w:val="22"/>
              </w:rPr>
            </w:pPr>
            <w:r w:rsidRPr="007245DC">
              <w:rPr>
                <w:color w:val="000000"/>
                <w:sz w:val="22"/>
                <w:szCs w:val="22"/>
              </w:rPr>
              <w:t>$631.00</w:t>
            </w:r>
          </w:p>
        </w:tc>
        <w:tc>
          <w:tcPr>
            <w:tcW w:w="1182" w:type="dxa"/>
            <w:tcBorders>
              <w:top w:val="nil"/>
              <w:left w:val="nil"/>
              <w:bottom w:val="nil"/>
              <w:right w:val="single" w:sz="4" w:space="0" w:color="auto"/>
            </w:tcBorders>
            <w:shd w:val="clear" w:color="auto" w:fill="auto"/>
            <w:noWrap/>
            <w:vAlign w:val="bottom"/>
            <w:hideMark/>
          </w:tcPr>
          <w:p w:rsidR="007245DC" w:rsidRPr="007245DC" w:rsidRDefault="007245DC" w:rsidP="007245DC">
            <w:pPr>
              <w:jc w:val="right"/>
              <w:rPr>
                <w:sz w:val="22"/>
                <w:szCs w:val="22"/>
              </w:rPr>
            </w:pPr>
            <w:r w:rsidRPr="007245DC">
              <w:rPr>
                <w:sz w:val="22"/>
                <w:szCs w:val="22"/>
              </w:rPr>
              <w:t>$6.50</w:t>
            </w:r>
          </w:p>
        </w:tc>
      </w:tr>
      <w:tr w:rsidR="007245DC" w:rsidRPr="007245DC" w:rsidTr="005B1F9E">
        <w:trPr>
          <w:trHeight w:val="124"/>
          <w:jc w:val="center"/>
        </w:trPr>
        <w:tc>
          <w:tcPr>
            <w:tcW w:w="4535" w:type="dxa"/>
            <w:tcBorders>
              <w:top w:val="nil"/>
              <w:left w:val="single" w:sz="4" w:space="0" w:color="auto"/>
              <w:bottom w:val="nil"/>
              <w:right w:val="nil"/>
            </w:tcBorders>
            <w:shd w:val="clear" w:color="auto" w:fill="auto"/>
            <w:noWrap/>
            <w:vAlign w:val="bottom"/>
            <w:hideMark/>
          </w:tcPr>
          <w:p w:rsidR="007245DC" w:rsidRPr="007245DC" w:rsidRDefault="007245DC" w:rsidP="007245DC">
            <w:pPr>
              <w:rPr>
                <w:color w:val="000000"/>
                <w:sz w:val="22"/>
                <w:szCs w:val="22"/>
              </w:rPr>
            </w:pPr>
            <w:r w:rsidRPr="007245DC">
              <w:rPr>
                <w:color w:val="000000"/>
                <w:sz w:val="22"/>
                <w:szCs w:val="22"/>
              </w:rPr>
              <w:t> </w:t>
            </w:r>
          </w:p>
        </w:tc>
        <w:tc>
          <w:tcPr>
            <w:tcW w:w="1279" w:type="dxa"/>
            <w:gridSpan w:val="2"/>
            <w:tcBorders>
              <w:top w:val="nil"/>
              <w:left w:val="nil"/>
              <w:bottom w:val="nil"/>
              <w:right w:val="nil"/>
            </w:tcBorders>
            <w:shd w:val="clear" w:color="auto" w:fill="auto"/>
            <w:noWrap/>
            <w:vAlign w:val="bottom"/>
            <w:hideMark/>
          </w:tcPr>
          <w:p w:rsidR="007245DC" w:rsidRPr="007245DC" w:rsidRDefault="007245DC" w:rsidP="007245DC">
            <w:pPr>
              <w:jc w:val="right"/>
              <w:rPr>
                <w:color w:val="000000"/>
                <w:sz w:val="22"/>
                <w:szCs w:val="22"/>
              </w:rPr>
            </w:pPr>
          </w:p>
        </w:tc>
        <w:tc>
          <w:tcPr>
            <w:tcW w:w="1561" w:type="dxa"/>
            <w:tcBorders>
              <w:top w:val="nil"/>
              <w:left w:val="nil"/>
              <w:bottom w:val="nil"/>
              <w:right w:val="nil"/>
            </w:tcBorders>
          </w:tcPr>
          <w:p w:rsidR="007245DC" w:rsidRPr="007245DC" w:rsidRDefault="007245DC" w:rsidP="007245DC">
            <w:pPr>
              <w:jc w:val="right"/>
              <w:rPr>
                <w:color w:val="000000"/>
                <w:sz w:val="22"/>
                <w:szCs w:val="22"/>
              </w:rPr>
            </w:pPr>
          </w:p>
        </w:tc>
        <w:tc>
          <w:tcPr>
            <w:tcW w:w="1350" w:type="dxa"/>
            <w:tcBorders>
              <w:top w:val="nil"/>
              <w:left w:val="nil"/>
              <w:bottom w:val="nil"/>
              <w:right w:val="nil"/>
            </w:tcBorders>
          </w:tcPr>
          <w:p w:rsidR="007245DC" w:rsidRPr="007245DC" w:rsidRDefault="007245DC" w:rsidP="007245DC">
            <w:pPr>
              <w:jc w:val="right"/>
              <w:rPr>
                <w:color w:val="000000"/>
                <w:sz w:val="22"/>
                <w:szCs w:val="22"/>
              </w:rPr>
            </w:pPr>
          </w:p>
        </w:tc>
        <w:tc>
          <w:tcPr>
            <w:tcW w:w="1603" w:type="dxa"/>
            <w:tcBorders>
              <w:top w:val="nil"/>
              <w:left w:val="nil"/>
              <w:bottom w:val="nil"/>
              <w:right w:val="nil"/>
            </w:tcBorders>
            <w:shd w:val="clear" w:color="auto" w:fill="auto"/>
            <w:noWrap/>
            <w:vAlign w:val="bottom"/>
            <w:hideMark/>
          </w:tcPr>
          <w:p w:rsidR="007245DC" w:rsidRPr="007245DC" w:rsidRDefault="007245DC" w:rsidP="007245DC">
            <w:pPr>
              <w:jc w:val="right"/>
              <w:rPr>
                <w:color w:val="000000"/>
                <w:sz w:val="22"/>
                <w:szCs w:val="22"/>
              </w:rPr>
            </w:pPr>
          </w:p>
        </w:tc>
        <w:tc>
          <w:tcPr>
            <w:tcW w:w="1182" w:type="dxa"/>
            <w:tcBorders>
              <w:top w:val="nil"/>
              <w:left w:val="nil"/>
              <w:bottom w:val="nil"/>
              <w:right w:val="single" w:sz="4" w:space="0" w:color="auto"/>
            </w:tcBorders>
            <w:shd w:val="clear" w:color="auto" w:fill="auto"/>
            <w:noWrap/>
            <w:vAlign w:val="bottom"/>
            <w:hideMark/>
          </w:tcPr>
          <w:p w:rsidR="007245DC" w:rsidRPr="007245DC" w:rsidRDefault="007245DC" w:rsidP="007245DC">
            <w:pPr>
              <w:rPr>
                <w:sz w:val="22"/>
                <w:szCs w:val="22"/>
              </w:rPr>
            </w:pPr>
            <w:r w:rsidRPr="007245DC">
              <w:rPr>
                <w:sz w:val="22"/>
                <w:szCs w:val="22"/>
              </w:rPr>
              <w:t> </w:t>
            </w:r>
          </w:p>
        </w:tc>
      </w:tr>
      <w:tr w:rsidR="007245DC" w:rsidRPr="007245DC" w:rsidTr="005B1F9E">
        <w:trPr>
          <w:trHeight w:val="221"/>
          <w:jc w:val="center"/>
        </w:trPr>
        <w:tc>
          <w:tcPr>
            <w:tcW w:w="4535" w:type="dxa"/>
            <w:tcBorders>
              <w:top w:val="nil"/>
              <w:left w:val="single" w:sz="4" w:space="0" w:color="auto"/>
              <w:bottom w:val="nil"/>
              <w:right w:val="nil"/>
            </w:tcBorders>
            <w:shd w:val="clear" w:color="auto" w:fill="auto"/>
            <w:noWrap/>
            <w:vAlign w:val="bottom"/>
            <w:hideMark/>
          </w:tcPr>
          <w:p w:rsidR="007245DC" w:rsidRPr="007245DC" w:rsidRDefault="007245DC" w:rsidP="007245DC">
            <w:pPr>
              <w:rPr>
                <w:sz w:val="22"/>
                <w:szCs w:val="22"/>
              </w:rPr>
            </w:pPr>
            <w:r w:rsidRPr="007245DC">
              <w:rPr>
                <w:sz w:val="22"/>
                <w:szCs w:val="22"/>
              </w:rPr>
              <w:t>Charge per 1,000 gallons - Residential</w:t>
            </w:r>
          </w:p>
        </w:tc>
        <w:tc>
          <w:tcPr>
            <w:tcW w:w="1279" w:type="dxa"/>
            <w:gridSpan w:val="2"/>
            <w:tcBorders>
              <w:top w:val="nil"/>
              <w:left w:val="nil"/>
              <w:bottom w:val="nil"/>
              <w:right w:val="nil"/>
            </w:tcBorders>
            <w:shd w:val="clear" w:color="auto" w:fill="auto"/>
            <w:noWrap/>
            <w:vAlign w:val="bottom"/>
            <w:hideMark/>
          </w:tcPr>
          <w:p w:rsidR="007245DC" w:rsidRPr="007245DC" w:rsidRDefault="007245DC" w:rsidP="007245DC">
            <w:pPr>
              <w:jc w:val="right"/>
              <w:rPr>
                <w:color w:val="000000"/>
                <w:sz w:val="22"/>
                <w:szCs w:val="22"/>
              </w:rPr>
            </w:pPr>
          </w:p>
        </w:tc>
        <w:tc>
          <w:tcPr>
            <w:tcW w:w="1561" w:type="dxa"/>
            <w:tcBorders>
              <w:top w:val="nil"/>
              <w:left w:val="nil"/>
              <w:bottom w:val="nil"/>
              <w:right w:val="nil"/>
            </w:tcBorders>
          </w:tcPr>
          <w:p w:rsidR="007245DC" w:rsidRPr="007245DC" w:rsidRDefault="007245DC" w:rsidP="007245DC">
            <w:pPr>
              <w:jc w:val="right"/>
              <w:rPr>
                <w:color w:val="000000"/>
                <w:sz w:val="22"/>
                <w:szCs w:val="22"/>
              </w:rPr>
            </w:pPr>
          </w:p>
        </w:tc>
        <w:tc>
          <w:tcPr>
            <w:tcW w:w="1350" w:type="dxa"/>
            <w:tcBorders>
              <w:top w:val="nil"/>
              <w:left w:val="nil"/>
              <w:bottom w:val="nil"/>
              <w:right w:val="nil"/>
            </w:tcBorders>
          </w:tcPr>
          <w:p w:rsidR="007245DC" w:rsidRPr="007245DC" w:rsidRDefault="007245DC" w:rsidP="007245DC">
            <w:pPr>
              <w:jc w:val="right"/>
              <w:rPr>
                <w:color w:val="000000"/>
                <w:sz w:val="22"/>
                <w:szCs w:val="22"/>
              </w:rPr>
            </w:pPr>
          </w:p>
        </w:tc>
        <w:tc>
          <w:tcPr>
            <w:tcW w:w="1603" w:type="dxa"/>
            <w:tcBorders>
              <w:top w:val="nil"/>
              <w:left w:val="nil"/>
              <w:bottom w:val="nil"/>
              <w:right w:val="nil"/>
            </w:tcBorders>
            <w:shd w:val="clear" w:color="auto" w:fill="auto"/>
            <w:noWrap/>
            <w:vAlign w:val="bottom"/>
            <w:hideMark/>
          </w:tcPr>
          <w:p w:rsidR="007245DC" w:rsidRPr="007245DC" w:rsidRDefault="007245DC" w:rsidP="007245DC">
            <w:pPr>
              <w:jc w:val="right"/>
              <w:rPr>
                <w:color w:val="000000"/>
                <w:sz w:val="22"/>
                <w:szCs w:val="22"/>
              </w:rPr>
            </w:pPr>
          </w:p>
        </w:tc>
        <w:tc>
          <w:tcPr>
            <w:tcW w:w="1182" w:type="dxa"/>
            <w:tcBorders>
              <w:top w:val="nil"/>
              <w:left w:val="nil"/>
              <w:bottom w:val="nil"/>
              <w:right w:val="single" w:sz="4" w:space="0" w:color="auto"/>
            </w:tcBorders>
            <w:shd w:val="clear" w:color="auto" w:fill="auto"/>
            <w:noWrap/>
            <w:vAlign w:val="bottom"/>
            <w:hideMark/>
          </w:tcPr>
          <w:p w:rsidR="007245DC" w:rsidRPr="007245DC" w:rsidRDefault="007245DC" w:rsidP="007245DC">
            <w:pPr>
              <w:rPr>
                <w:sz w:val="22"/>
                <w:szCs w:val="22"/>
              </w:rPr>
            </w:pPr>
            <w:r w:rsidRPr="007245DC">
              <w:rPr>
                <w:sz w:val="22"/>
                <w:szCs w:val="22"/>
              </w:rPr>
              <w:t> </w:t>
            </w:r>
          </w:p>
        </w:tc>
      </w:tr>
      <w:tr w:rsidR="007245DC" w:rsidRPr="007245DC" w:rsidTr="005B1F9E">
        <w:trPr>
          <w:trHeight w:val="221"/>
          <w:jc w:val="center"/>
        </w:trPr>
        <w:tc>
          <w:tcPr>
            <w:tcW w:w="4535" w:type="dxa"/>
            <w:tcBorders>
              <w:top w:val="nil"/>
              <w:left w:val="single" w:sz="4" w:space="0" w:color="auto"/>
              <w:bottom w:val="nil"/>
              <w:right w:val="nil"/>
            </w:tcBorders>
            <w:shd w:val="clear" w:color="auto" w:fill="auto"/>
            <w:noWrap/>
            <w:vAlign w:val="bottom"/>
            <w:hideMark/>
          </w:tcPr>
          <w:p w:rsidR="007245DC" w:rsidRPr="007245DC" w:rsidRDefault="007245DC" w:rsidP="007245DC">
            <w:pPr>
              <w:rPr>
                <w:sz w:val="22"/>
                <w:szCs w:val="22"/>
              </w:rPr>
            </w:pPr>
            <w:r w:rsidRPr="007245DC">
              <w:rPr>
                <w:sz w:val="22"/>
                <w:szCs w:val="22"/>
              </w:rPr>
              <w:t>0-10,000 gallons</w:t>
            </w:r>
          </w:p>
        </w:tc>
        <w:tc>
          <w:tcPr>
            <w:tcW w:w="1279" w:type="dxa"/>
            <w:gridSpan w:val="2"/>
            <w:tcBorders>
              <w:top w:val="nil"/>
              <w:left w:val="nil"/>
              <w:bottom w:val="nil"/>
              <w:right w:val="nil"/>
            </w:tcBorders>
            <w:shd w:val="clear" w:color="auto" w:fill="auto"/>
            <w:noWrap/>
            <w:vAlign w:val="bottom"/>
            <w:hideMark/>
          </w:tcPr>
          <w:p w:rsidR="007245DC" w:rsidRPr="007245DC" w:rsidRDefault="007245DC" w:rsidP="007245DC">
            <w:pPr>
              <w:jc w:val="right"/>
              <w:rPr>
                <w:color w:val="000000"/>
                <w:sz w:val="22"/>
                <w:szCs w:val="22"/>
              </w:rPr>
            </w:pPr>
            <w:r w:rsidRPr="007245DC">
              <w:rPr>
                <w:color w:val="000000"/>
                <w:sz w:val="22"/>
                <w:szCs w:val="22"/>
              </w:rPr>
              <w:t>$4.34</w:t>
            </w:r>
          </w:p>
        </w:tc>
        <w:tc>
          <w:tcPr>
            <w:tcW w:w="1561" w:type="dxa"/>
            <w:tcBorders>
              <w:top w:val="nil"/>
              <w:left w:val="nil"/>
              <w:bottom w:val="nil"/>
              <w:right w:val="nil"/>
            </w:tcBorders>
          </w:tcPr>
          <w:p w:rsidR="007245DC" w:rsidRPr="007245DC" w:rsidRDefault="007245DC" w:rsidP="007245DC">
            <w:pPr>
              <w:jc w:val="right"/>
              <w:rPr>
                <w:color w:val="000000"/>
                <w:sz w:val="22"/>
                <w:szCs w:val="22"/>
              </w:rPr>
            </w:pPr>
            <w:r w:rsidRPr="007245DC">
              <w:rPr>
                <w:color w:val="000000"/>
                <w:sz w:val="22"/>
                <w:szCs w:val="22"/>
              </w:rPr>
              <w:t>$4.54</w:t>
            </w:r>
          </w:p>
        </w:tc>
        <w:tc>
          <w:tcPr>
            <w:tcW w:w="1350" w:type="dxa"/>
            <w:tcBorders>
              <w:top w:val="nil"/>
              <w:left w:val="nil"/>
              <w:bottom w:val="nil"/>
              <w:right w:val="nil"/>
            </w:tcBorders>
          </w:tcPr>
          <w:p w:rsidR="007245DC" w:rsidRPr="007245DC" w:rsidRDefault="007245DC" w:rsidP="007245DC">
            <w:pPr>
              <w:jc w:val="right"/>
              <w:rPr>
                <w:color w:val="000000"/>
                <w:sz w:val="22"/>
                <w:szCs w:val="22"/>
              </w:rPr>
            </w:pPr>
            <w:r w:rsidRPr="007245DC">
              <w:rPr>
                <w:color w:val="000000"/>
                <w:sz w:val="22"/>
                <w:szCs w:val="22"/>
              </w:rPr>
              <w:t>$5.21</w:t>
            </w:r>
          </w:p>
        </w:tc>
        <w:tc>
          <w:tcPr>
            <w:tcW w:w="1603" w:type="dxa"/>
            <w:tcBorders>
              <w:top w:val="nil"/>
              <w:left w:val="nil"/>
              <w:bottom w:val="nil"/>
              <w:right w:val="nil"/>
            </w:tcBorders>
            <w:shd w:val="clear" w:color="auto" w:fill="auto"/>
            <w:noWrap/>
            <w:vAlign w:val="bottom"/>
            <w:hideMark/>
          </w:tcPr>
          <w:p w:rsidR="007245DC" w:rsidRPr="007245DC" w:rsidRDefault="007245DC" w:rsidP="007245DC">
            <w:pPr>
              <w:jc w:val="right"/>
              <w:rPr>
                <w:color w:val="000000"/>
                <w:sz w:val="22"/>
                <w:szCs w:val="22"/>
              </w:rPr>
            </w:pPr>
            <w:r w:rsidRPr="007245DC">
              <w:rPr>
                <w:color w:val="000000"/>
                <w:sz w:val="22"/>
                <w:szCs w:val="22"/>
              </w:rPr>
              <w:t>$4.73</w:t>
            </w:r>
          </w:p>
        </w:tc>
        <w:tc>
          <w:tcPr>
            <w:tcW w:w="1182" w:type="dxa"/>
            <w:tcBorders>
              <w:top w:val="nil"/>
              <w:left w:val="nil"/>
              <w:bottom w:val="nil"/>
              <w:right w:val="single" w:sz="4" w:space="0" w:color="auto"/>
            </w:tcBorders>
            <w:shd w:val="clear" w:color="auto" w:fill="auto"/>
            <w:noWrap/>
            <w:vAlign w:val="bottom"/>
            <w:hideMark/>
          </w:tcPr>
          <w:p w:rsidR="007245DC" w:rsidRPr="007245DC" w:rsidRDefault="007245DC" w:rsidP="007245DC">
            <w:pPr>
              <w:jc w:val="right"/>
              <w:rPr>
                <w:sz w:val="22"/>
                <w:szCs w:val="22"/>
              </w:rPr>
            </w:pPr>
            <w:r w:rsidRPr="007245DC">
              <w:rPr>
                <w:sz w:val="22"/>
                <w:szCs w:val="22"/>
              </w:rPr>
              <w:t>$0.05</w:t>
            </w:r>
          </w:p>
        </w:tc>
      </w:tr>
      <w:tr w:rsidR="007245DC" w:rsidRPr="007245DC" w:rsidTr="005B1F9E">
        <w:trPr>
          <w:trHeight w:val="221"/>
          <w:jc w:val="center"/>
        </w:trPr>
        <w:tc>
          <w:tcPr>
            <w:tcW w:w="4535" w:type="dxa"/>
            <w:tcBorders>
              <w:top w:val="nil"/>
              <w:left w:val="single" w:sz="4" w:space="0" w:color="auto"/>
              <w:bottom w:val="nil"/>
              <w:right w:val="nil"/>
            </w:tcBorders>
            <w:shd w:val="clear" w:color="auto" w:fill="auto"/>
            <w:noWrap/>
            <w:vAlign w:val="bottom"/>
            <w:hideMark/>
          </w:tcPr>
          <w:p w:rsidR="007245DC" w:rsidRPr="007245DC" w:rsidRDefault="007245DC" w:rsidP="007245DC">
            <w:pPr>
              <w:rPr>
                <w:sz w:val="22"/>
                <w:szCs w:val="22"/>
              </w:rPr>
            </w:pPr>
            <w:r w:rsidRPr="007245DC">
              <w:rPr>
                <w:sz w:val="22"/>
                <w:szCs w:val="22"/>
              </w:rPr>
              <w:t>10,001 - 20,000 gallons</w:t>
            </w:r>
          </w:p>
        </w:tc>
        <w:tc>
          <w:tcPr>
            <w:tcW w:w="1279" w:type="dxa"/>
            <w:gridSpan w:val="2"/>
            <w:tcBorders>
              <w:top w:val="nil"/>
              <w:left w:val="nil"/>
              <w:bottom w:val="nil"/>
              <w:right w:val="nil"/>
            </w:tcBorders>
            <w:shd w:val="clear" w:color="auto" w:fill="auto"/>
            <w:noWrap/>
            <w:vAlign w:val="bottom"/>
            <w:hideMark/>
          </w:tcPr>
          <w:p w:rsidR="007245DC" w:rsidRPr="007245DC" w:rsidRDefault="007245DC" w:rsidP="007245DC">
            <w:pPr>
              <w:jc w:val="right"/>
              <w:rPr>
                <w:color w:val="000000"/>
                <w:sz w:val="22"/>
                <w:szCs w:val="22"/>
              </w:rPr>
            </w:pPr>
            <w:r w:rsidRPr="007245DC">
              <w:rPr>
                <w:color w:val="000000"/>
                <w:sz w:val="22"/>
                <w:szCs w:val="22"/>
              </w:rPr>
              <w:t>$6.52</w:t>
            </w:r>
          </w:p>
        </w:tc>
        <w:tc>
          <w:tcPr>
            <w:tcW w:w="1561" w:type="dxa"/>
            <w:tcBorders>
              <w:top w:val="nil"/>
              <w:left w:val="nil"/>
              <w:bottom w:val="nil"/>
              <w:right w:val="nil"/>
            </w:tcBorders>
          </w:tcPr>
          <w:p w:rsidR="007245DC" w:rsidRPr="007245DC" w:rsidRDefault="007245DC" w:rsidP="007245DC">
            <w:pPr>
              <w:jc w:val="right"/>
              <w:rPr>
                <w:color w:val="000000"/>
                <w:sz w:val="22"/>
                <w:szCs w:val="22"/>
              </w:rPr>
            </w:pPr>
            <w:r w:rsidRPr="007245DC">
              <w:rPr>
                <w:color w:val="000000"/>
                <w:sz w:val="22"/>
                <w:szCs w:val="22"/>
              </w:rPr>
              <w:t>$6.81</w:t>
            </w:r>
          </w:p>
        </w:tc>
        <w:tc>
          <w:tcPr>
            <w:tcW w:w="1350" w:type="dxa"/>
            <w:tcBorders>
              <w:top w:val="nil"/>
              <w:left w:val="nil"/>
              <w:bottom w:val="nil"/>
              <w:right w:val="nil"/>
            </w:tcBorders>
          </w:tcPr>
          <w:p w:rsidR="007245DC" w:rsidRPr="007245DC" w:rsidRDefault="007245DC" w:rsidP="007245DC">
            <w:pPr>
              <w:jc w:val="right"/>
              <w:rPr>
                <w:color w:val="000000"/>
                <w:sz w:val="22"/>
                <w:szCs w:val="22"/>
              </w:rPr>
            </w:pPr>
            <w:r w:rsidRPr="007245DC">
              <w:rPr>
                <w:color w:val="000000"/>
                <w:sz w:val="22"/>
                <w:szCs w:val="22"/>
              </w:rPr>
              <w:t>$7.81</w:t>
            </w:r>
          </w:p>
        </w:tc>
        <w:tc>
          <w:tcPr>
            <w:tcW w:w="1603" w:type="dxa"/>
            <w:tcBorders>
              <w:top w:val="nil"/>
              <w:left w:val="nil"/>
              <w:bottom w:val="nil"/>
              <w:right w:val="nil"/>
            </w:tcBorders>
            <w:shd w:val="clear" w:color="auto" w:fill="auto"/>
            <w:noWrap/>
            <w:vAlign w:val="bottom"/>
            <w:hideMark/>
          </w:tcPr>
          <w:p w:rsidR="007245DC" w:rsidRPr="007245DC" w:rsidRDefault="007245DC" w:rsidP="007245DC">
            <w:pPr>
              <w:jc w:val="right"/>
              <w:rPr>
                <w:color w:val="000000"/>
                <w:sz w:val="22"/>
                <w:szCs w:val="22"/>
              </w:rPr>
            </w:pPr>
            <w:r w:rsidRPr="007245DC">
              <w:rPr>
                <w:color w:val="000000"/>
                <w:sz w:val="22"/>
                <w:szCs w:val="22"/>
              </w:rPr>
              <w:t>$7.10</w:t>
            </w:r>
          </w:p>
        </w:tc>
        <w:tc>
          <w:tcPr>
            <w:tcW w:w="1182" w:type="dxa"/>
            <w:tcBorders>
              <w:top w:val="nil"/>
              <w:left w:val="nil"/>
              <w:bottom w:val="nil"/>
              <w:right w:val="single" w:sz="4" w:space="0" w:color="auto"/>
            </w:tcBorders>
            <w:shd w:val="clear" w:color="auto" w:fill="auto"/>
            <w:noWrap/>
            <w:vAlign w:val="bottom"/>
            <w:hideMark/>
          </w:tcPr>
          <w:p w:rsidR="007245DC" w:rsidRPr="007245DC" w:rsidRDefault="007245DC" w:rsidP="007245DC">
            <w:pPr>
              <w:jc w:val="right"/>
              <w:rPr>
                <w:sz w:val="22"/>
                <w:szCs w:val="22"/>
              </w:rPr>
            </w:pPr>
            <w:r w:rsidRPr="007245DC">
              <w:rPr>
                <w:sz w:val="22"/>
                <w:szCs w:val="22"/>
              </w:rPr>
              <w:t>$0.07</w:t>
            </w:r>
          </w:p>
        </w:tc>
      </w:tr>
      <w:tr w:rsidR="007245DC" w:rsidRPr="007245DC" w:rsidTr="005B1F9E">
        <w:trPr>
          <w:trHeight w:val="221"/>
          <w:jc w:val="center"/>
        </w:trPr>
        <w:tc>
          <w:tcPr>
            <w:tcW w:w="4535" w:type="dxa"/>
            <w:tcBorders>
              <w:top w:val="nil"/>
              <w:left w:val="single" w:sz="4" w:space="0" w:color="auto"/>
              <w:bottom w:val="nil"/>
              <w:right w:val="nil"/>
            </w:tcBorders>
            <w:shd w:val="clear" w:color="auto" w:fill="auto"/>
            <w:noWrap/>
            <w:vAlign w:val="bottom"/>
            <w:hideMark/>
          </w:tcPr>
          <w:p w:rsidR="007245DC" w:rsidRPr="007245DC" w:rsidRDefault="007245DC" w:rsidP="007245DC">
            <w:pPr>
              <w:rPr>
                <w:sz w:val="22"/>
                <w:szCs w:val="22"/>
              </w:rPr>
            </w:pPr>
            <w:r w:rsidRPr="007245DC">
              <w:rPr>
                <w:sz w:val="22"/>
                <w:szCs w:val="22"/>
              </w:rPr>
              <w:t>Over 20,000 gallons</w:t>
            </w:r>
          </w:p>
        </w:tc>
        <w:tc>
          <w:tcPr>
            <w:tcW w:w="1279" w:type="dxa"/>
            <w:gridSpan w:val="2"/>
            <w:tcBorders>
              <w:top w:val="nil"/>
              <w:left w:val="nil"/>
              <w:bottom w:val="nil"/>
              <w:right w:val="nil"/>
            </w:tcBorders>
            <w:shd w:val="clear" w:color="auto" w:fill="auto"/>
            <w:noWrap/>
            <w:vAlign w:val="bottom"/>
            <w:hideMark/>
          </w:tcPr>
          <w:p w:rsidR="007245DC" w:rsidRPr="007245DC" w:rsidRDefault="007245DC" w:rsidP="007245DC">
            <w:pPr>
              <w:jc w:val="right"/>
              <w:rPr>
                <w:color w:val="000000"/>
                <w:sz w:val="22"/>
                <w:szCs w:val="22"/>
              </w:rPr>
            </w:pPr>
            <w:r w:rsidRPr="007245DC">
              <w:rPr>
                <w:color w:val="000000"/>
                <w:sz w:val="22"/>
                <w:szCs w:val="22"/>
              </w:rPr>
              <w:t>$8.68</w:t>
            </w:r>
          </w:p>
        </w:tc>
        <w:tc>
          <w:tcPr>
            <w:tcW w:w="1561" w:type="dxa"/>
            <w:tcBorders>
              <w:top w:val="nil"/>
              <w:left w:val="nil"/>
              <w:bottom w:val="nil"/>
              <w:right w:val="nil"/>
            </w:tcBorders>
          </w:tcPr>
          <w:p w:rsidR="007245DC" w:rsidRPr="007245DC" w:rsidRDefault="007245DC" w:rsidP="007245DC">
            <w:pPr>
              <w:jc w:val="right"/>
              <w:rPr>
                <w:color w:val="000000"/>
                <w:sz w:val="22"/>
                <w:szCs w:val="22"/>
              </w:rPr>
            </w:pPr>
            <w:r w:rsidRPr="007245DC">
              <w:rPr>
                <w:color w:val="000000"/>
                <w:sz w:val="22"/>
                <w:szCs w:val="22"/>
              </w:rPr>
              <w:t>$9.07</w:t>
            </w:r>
          </w:p>
        </w:tc>
        <w:tc>
          <w:tcPr>
            <w:tcW w:w="1350" w:type="dxa"/>
            <w:tcBorders>
              <w:top w:val="nil"/>
              <w:left w:val="nil"/>
              <w:bottom w:val="nil"/>
              <w:right w:val="nil"/>
            </w:tcBorders>
          </w:tcPr>
          <w:p w:rsidR="007245DC" w:rsidRPr="007245DC" w:rsidRDefault="007245DC" w:rsidP="007245DC">
            <w:pPr>
              <w:jc w:val="right"/>
              <w:rPr>
                <w:color w:val="000000"/>
                <w:sz w:val="22"/>
                <w:szCs w:val="22"/>
              </w:rPr>
            </w:pPr>
            <w:r w:rsidRPr="007245DC">
              <w:rPr>
                <w:color w:val="000000"/>
                <w:sz w:val="22"/>
                <w:szCs w:val="22"/>
              </w:rPr>
              <w:t>$10.41</w:t>
            </w:r>
          </w:p>
        </w:tc>
        <w:tc>
          <w:tcPr>
            <w:tcW w:w="1603" w:type="dxa"/>
            <w:tcBorders>
              <w:top w:val="nil"/>
              <w:left w:val="nil"/>
              <w:bottom w:val="nil"/>
              <w:right w:val="nil"/>
            </w:tcBorders>
            <w:shd w:val="clear" w:color="auto" w:fill="auto"/>
            <w:noWrap/>
            <w:vAlign w:val="bottom"/>
            <w:hideMark/>
          </w:tcPr>
          <w:p w:rsidR="007245DC" w:rsidRPr="007245DC" w:rsidRDefault="007245DC" w:rsidP="007245DC">
            <w:pPr>
              <w:jc w:val="right"/>
              <w:rPr>
                <w:color w:val="000000"/>
                <w:sz w:val="22"/>
                <w:szCs w:val="22"/>
              </w:rPr>
            </w:pPr>
            <w:r w:rsidRPr="007245DC">
              <w:rPr>
                <w:color w:val="000000"/>
                <w:sz w:val="22"/>
                <w:szCs w:val="22"/>
              </w:rPr>
              <w:t>$9.45</w:t>
            </w:r>
          </w:p>
        </w:tc>
        <w:tc>
          <w:tcPr>
            <w:tcW w:w="1182" w:type="dxa"/>
            <w:tcBorders>
              <w:top w:val="nil"/>
              <w:left w:val="nil"/>
              <w:bottom w:val="nil"/>
              <w:right w:val="single" w:sz="4" w:space="0" w:color="auto"/>
            </w:tcBorders>
            <w:shd w:val="clear" w:color="auto" w:fill="auto"/>
            <w:noWrap/>
            <w:vAlign w:val="bottom"/>
            <w:hideMark/>
          </w:tcPr>
          <w:p w:rsidR="007245DC" w:rsidRPr="007245DC" w:rsidRDefault="007245DC" w:rsidP="007245DC">
            <w:pPr>
              <w:jc w:val="right"/>
              <w:rPr>
                <w:sz w:val="22"/>
                <w:szCs w:val="22"/>
              </w:rPr>
            </w:pPr>
            <w:r w:rsidRPr="007245DC">
              <w:rPr>
                <w:sz w:val="22"/>
                <w:szCs w:val="22"/>
              </w:rPr>
              <w:t> $0.09</w:t>
            </w:r>
          </w:p>
        </w:tc>
      </w:tr>
      <w:tr w:rsidR="007245DC" w:rsidRPr="007245DC" w:rsidTr="005B1F9E">
        <w:trPr>
          <w:trHeight w:val="221"/>
          <w:jc w:val="center"/>
        </w:trPr>
        <w:tc>
          <w:tcPr>
            <w:tcW w:w="4535" w:type="dxa"/>
            <w:tcBorders>
              <w:top w:val="nil"/>
              <w:left w:val="single" w:sz="4" w:space="0" w:color="auto"/>
              <w:bottom w:val="nil"/>
              <w:right w:val="nil"/>
            </w:tcBorders>
            <w:shd w:val="clear" w:color="auto" w:fill="auto"/>
            <w:noWrap/>
            <w:vAlign w:val="bottom"/>
            <w:hideMark/>
          </w:tcPr>
          <w:p w:rsidR="007245DC" w:rsidRPr="007245DC" w:rsidRDefault="007245DC" w:rsidP="007245DC">
            <w:pPr>
              <w:rPr>
                <w:sz w:val="22"/>
                <w:szCs w:val="22"/>
              </w:rPr>
            </w:pPr>
            <w:r w:rsidRPr="007245DC">
              <w:rPr>
                <w:sz w:val="22"/>
                <w:szCs w:val="22"/>
              </w:rPr>
              <w:t> </w:t>
            </w:r>
          </w:p>
        </w:tc>
        <w:tc>
          <w:tcPr>
            <w:tcW w:w="1279" w:type="dxa"/>
            <w:gridSpan w:val="2"/>
            <w:tcBorders>
              <w:top w:val="nil"/>
              <w:left w:val="nil"/>
              <w:bottom w:val="nil"/>
              <w:right w:val="nil"/>
            </w:tcBorders>
            <w:shd w:val="clear" w:color="auto" w:fill="auto"/>
            <w:noWrap/>
            <w:vAlign w:val="bottom"/>
            <w:hideMark/>
          </w:tcPr>
          <w:p w:rsidR="007245DC" w:rsidRPr="007245DC" w:rsidRDefault="007245DC" w:rsidP="007245DC">
            <w:pPr>
              <w:jc w:val="right"/>
              <w:rPr>
                <w:color w:val="000000"/>
                <w:sz w:val="22"/>
                <w:szCs w:val="22"/>
              </w:rPr>
            </w:pPr>
          </w:p>
        </w:tc>
        <w:tc>
          <w:tcPr>
            <w:tcW w:w="1561" w:type="dxa"/>
            <w:tcBorders>
              <w:top w:val="nil"/>
              <w:left w:val="nil"/>
              <w:bottom w:val="nil"/>
              <w:right w:val="nil"/>
            </w:tcBorders>
          </w:tcPr>
          <w:p w:rsidR="007245DC" w:rsidRPr="007245DC" w:rsidRDefault="007245DC" w:rsidP="007245DC">
            <w:pPr>
              <w:jc w:val="right"/>
              <w:rPr>
                <w:color w:val="000000"/>
                <w:sz w:val="22"/>
                <w:szCs w:val="22"/>
              </w:rPr>
            </w:pPr>
          </w:p>
        </w:tc>
        <w:tc>
          <w:tcPr>
            <w:tcW w:w="1350" w:type="dxa"/>
            <w:tcBorders>
              <w:top w:val="nil"/>
              <w:left w:val="nil"/>
              <w:bottom w:val="nil"/>
              <w:right w:val="nil"/>
            </w:tcBorders>
          </w:tcPr>
          <w:p w:rsidR="007245DC" w:rsidRPr="007245DC" w:rsidRDefault="007245DC" w:rsidP="007245DC">
            <w:pPr>
              <w:jc w:val="right"/>
              <w:rPr>
                <w:color w:val="000000"/>
                <w:sz w:val="22"/>
                <w:szCs w:val="22"/>
              </w:rPr>
            </w:pPr>
          </w:p>
        </w:tc>
        <w:tc>
          <w:tcPr>
            <w:tcW w:w="1603" w:type="dxa"/>
            <w:tcBorders>
              <w:top w:val="nil"/>
              <w:left w:val="nil"/>
              <w:bottom w:val="nil"/>
              <w:right w:val="nil"/>
            </w:tcBorders>
            <w:shd w:val="clear" w:color="auto" w:fill="auto"/>
            <w:noWrap/>
            <w:vAlign w:val="bottom"/>
            <w:hideMark/>
          </w:tcPr>
          <w:p w:rsidR="007245DC" w:rsidRPr="007245DC" w:rsidRDefault="007245DC" w:rsidP="007245DC">
            <w:pPr>
              <w:jc w:val="right"/>
              <w:rPr>
                <w:color w:val="000000"/>
                <w:sz w:val="22"/>
                <w:szCs w:val="22"/>
              </w:rPr>
            </w:pPr>
          </w:p>
        </w:tc>
        <w:tc>
          <w:tcPr>
            <w:tcW w:w="1182" w:type="dxa"/>
            <w:tcBorders>
              <w:top w:val="nil"/>
              <w:left w:val="nil"/>
              <w:bottom w:val="nil"/>
              <w:right w:val="single" w:sz="4" w:space="0" w:color="auto"/>
            </w:tcBorders>
            <w:shd w:val="clear" w:color="auto" w:fill="auto"/>
            <w:noWrap/>
            <w:vAlign w:val="bottom"/>
            <w:hideMark/>
          </w:tcPr>
          <w:p w:rsidR="007245DC" w:rsidRPr="007245DC" w:rsidRDefault="007245DC" w:rsidP="007245DC">
            <w:pPr>
              <w:rPr>
                <w:sz w:val="22"/>
                <w:szCs w:val="22"/>
              </w:rPr>
            </w:pPr>
            <w:r w:rsidRPr="007245DC">
              <w:rPr>
                <w:sz w:val="22"/>
                <w:szCs w:val="22"/>
              </w:rPr>
              <w:t> </w:t>
            </w:r>
          </w:p>
        </w:tc>
      </w:tr>
      <w:tr w:rsidR="007245DC" w:rsidRPr="007245DC" w:rsidTr="005B1F9E">
        <w:trPr>
          <w:trHeight w:val="221"/>
          <w:jc w:val="center"/>
        </w:trPr>
        <w:tc>
          <w:tcPr>
            <w:tcW w:w="4535" w:type="dxa"/>
            <w:tcBorders>
              <w:top w:val="nil"/>
              <w:left w:val="single" w:sz="4" w:space="0" w:color="auto"/>
              <w:bottom w:val="nil"/>
              <w:right w:val="nil"/>
            </w:tcBorders>
            <w:shd w:val="clear" w:color="auto" w:fill="auto"/>
            <w:noWrap/>
            <w:vAlign w:val="bottom"/>
            <w:hideMark/>
          </w:tcPr>
          <w:p w:rsidR="007245DC" w:rsidRPr="007245DC" w:rsidRDefault="007245DC" w:rsidP="007245DC">
            <w:pPr>
              <w:rPr>
                <w:sz w:val="22"/>
                <w:szCs w:val="22"/>
              </w:rPr>
            </w:pPr>
            <w:r w:rsidRPr="007245DC">
              <w:rPr>
                <w:sz w:val="22"/>
                <w:szCs w:val="22"/>
              </w:rPr>
              <w:t>Charge per 1,000 gallons - General Service</w:t>
            </w:r>
          </w:p>
        </w:tc>
        <w:tc>
          <w:tcPr>
            <w:tcW w:w="1279" w:type="dxa"/>
            <w:gridSpan w:val="2"/>
            <w:tcBorders>
              <w:top w:val="nil"/>
              <w:left w:val="nil"/>
              <w:bottom w:val="nil"/>
              <w:right w:val="nil"/>
            </w:tcBorders>
            <w:shd w:val="clear" w:color="auto" w:fill="auto"/>
            <w:noWrap/>
            <w:vAlign w:val="bottom"/>
            <w:hideMark/>
          </w:tcPr>
          <w:p w:rsidR="007245DC" w:rsidRPr="007245DC" w:rsidRDefault="007245DC" w:rsidP="007245DC">
            <w:pPr>
              <w:jc w:val="right"/>
              <w:rPr>
                <w:color w:val="000000"/>
                <w:sz w:val="22"/>
                <w:szCs w:val="22"/>
              </w:rPr>
            </w:pPr>
            <w:r w:rsidRPr="007245DC">
              <w:rPr>
                <w:color w:val="000000"/>
                <w:sz w:val="22"/>
                <w:szCs w:val="22"/>
              </w:rPr>
              <w:t>$4.64</w:t>
            </w:r>
          </w:p>
        </w:tc>
        <w:tc>
          <w:tcPr>
            <w:tcW w:w="1561" w:type="dxa"/>
            <w:tcBorders>
              <w:top w:val="nil"/>
              <w:left w:val="nil"/>
              <w:bottom w:val="nil"/>
              <w:right w:val="nil"/>
            </w:tcBorders>
          </w:tcPr>
          <w:p w:rsidR="007245DC" w:rsidRPr="007245DC" w:rsidRDefault="007245DC" w:rsidP="007245DC">
            <w:pPr>
              <w:jc w:val="right"/>
              <w:rPr>
                <w:color w:val="000000"/>
                <w:sz w:val="22"/>
                <w:szCs w:val="22"/>
              </w:rPr>
            </w:pPr>
            <w:r w:rsidRPr="007245DC">
              <w:rPr>
                <w:color w:val="000000"/>
                <w:sz w:val="22"/>
                <w:szCs w:val="22"/>
              </w:rPr>
              <w:t>$4.85</w:t>
            </w:r>
          </w:p>
        </w:tc>
        <w:tc>
          <w:tcPr>
            <w:tcW w:w="1350" w:type="dxa"/>
            <w:tcBorders>
              <w:top w:val="nil"/>
              <w:left w:val="nil"/>
              <w:bottom w:val="nil"/>
              <w:right w:val="nil"/>
            </w:tcBorders>
          </w:tcPr>
          <w:p w:rsidR="007245DC" w:rsidRPr="007245DC" w:rsidRDefault="007245DC" w:rsidP="007245DC">
            <w:pPr>
              <w:jc w:val="right"/>
              <w:rPr>
                <w:color w:val="000000"/>
                <w:sz w:val="22"/>
                <w:szCs w:val="22"/>
              </w:rPr>
            </w:pPr>
            <w:r w:rsidRPr="007245DC">
              <w:rPr>
                <w:color w:val="000000"/>
                <w:sz w:val="22"/>
                <w:szCs w:val="22"/>
              </w:rPr>
              <w:t>$5.57</w:t>
            </w:r>
          </w:p>
        </w:tc>
        <w:tc>
          <w:tcPr>
            <w:tcW w:w="1603" w:type="dxa"/>
            <w:tcBorders>
              <w:top w:val="nil"/>
              <w:left w:val="nil"/>
              <w:bottom w:val="nil"/>
              <w:right w:val="nil"/>
            </w:tcBorders>
            <w:shd w:val="clear" w:color="auto" w:fill="auto"/>
            <w:noWrap/>
            <w:vAlign w:val="bottom"/>
            <w:hideMark/>
          </w:tcPr>
          <w:p w:rsidR="007245DC" w:rsidRPr="007245DC" w:rsidRDefault="007245DC" w:rsidP="007245DC">
            <w:pPr>
              <w:jc w:val="right"/>
              <w:rPr>
                <w:color w:val="000000"/>
                <w:sz w:val="22"/>
                <w:szCs w:val="22"/>
              </w:rPr>
            </w:pPr>
            <w:r w:rsidRPr="007245DC">
              <w:rPr>
                <w:color w:val="000000"/>
                <w:sz w:val="22"/>
                <w:szCs w:val="22"/>
              </w:rPr>
              <w:t>$5.05</w:t>
            </w:r>
          </w:p>
        </w:tc>
        <w:tc>
          <w:tcPr>
            <w:tcW w:w="1182" w:type="dxa"/>
            <w:tcBorders>
              <w:top w:val="nil"/>
              <w:left w:val="nil"/>
              <w:bottom w:val="nil"/>
              <w:right w:val="single" w:sz="4" w:space="0" w:color="auto"/>
            </w:tcBorders>
            <w:shd w:val="clear" w:color="auto" w:fill="auto"/>
            <w:noWrap/>
            <w:vAlign w:val="bottom"/>
            <w:hideMark/>
          </w:tcPr>
          <w:p w:rsidR="007245DC" w:rsidRPr="007245DC" w:rsidRDefault="007245DC" w:rsidP="007245DC">
            <w:pPr>
              <w:jc w:val="right"/>
              <w:rPr>
                <w:sz w:val="22"/>
                <w:szCs w:val="22"/>
              </w:rPr>
            </w:pPr>
            <w:r w:rsidRPr="007245DC">
              <w:rPr>
                <w:sz w:val="22"/>
                <w:szCs w:val="22"/>
              </w:rPr>
              <w:t>$0.05</w:t>
            </w:r>
          </w:p>
        </w:tc>
      </w:tr>
      <w:tr w:rsidR="007245DC" w:rsidRPr="007245DC" w:rsidTr="005B1F9E">
        <w:trPr>
          <w:trHeight w:val="221"/>
          <w:jc w:val="center"/>
        </w:trPr>
        <w:tc>
          <w:tcPr>
            <w:tcW w:w="4535" w:type="dxa"/>
            <w:tcBorders>
              <w:top w:val="nil"/>
              <w:left w:val="single" w:sz="4" w:space="0" w:color="auto"/>
              <w:bottom w:val="nil"/>
              <w:right w:val="nil"/>
            </w:tcBorders>
            <w:shd w:val="clear" w:color="auto" w:fill="auto"/>
            <w:noWrap/>
            <w:vAlign w:val="bottom"/>
            <w:hideMark/>
          </w:tcPr>
          <w:p w:rsidR="007245DC" w:rsidRPr="007245DC" w:rsidRDefault="007245DC" w:rsidP="007245DC">
            <w:pPr>
              <w:rPr>
                <w:sz w:val="22"/>
                <w:szCs w:val="22"/>
              </w:rPr>
            </w:pPr>
            <w:r w:rsidRPr="007245DC">
              <w:rPr>
                <w:sz w:val="22"/>
                <w:szCs w:val="22"/>
              </w:rPr>
              <w:t> </w:t>
            </w:r>
          </w:p>
        </w:tc>
        <w:tc>
          <w:tcPr>
            <w:tcW w:w="1279" w:type="dxa"/>
            <w:gridSpan w:val="2"/>
            <w:tcBorders>
              <w:top w:val="nil"/>
              <w:left w:val="nil"/>
              <w:bottom w:val="nil"/>
              <w:right w:val="nil"/>
            </w:tcBorders>
            <w:shd w:val="clear" w:color="auto" w:fill="auto"/>
            <w:noWrap/>
            <w:vAlign w:val="bottom"/>
            <w:hideMark/>
          </w:tcPr>
          <w:p w:rsidR="007245DC" w:rsidRPr="007245DC" w:rsidRDefault="007245DC" w:rsidP="007245DC">
            <w:pPr>
              <w:jc w:val="right"/>
              <w:rPr>
                <w:color w:val="000000"/>
                <w:sz w:val="22"/>
                <w:szCs w:val="22"/>
              </w:rPr>
            </w:pPr>
          </w:p>
        </w:tc>
        <w:tc>
          <w:tcPr>
            <w:tcW w:w="1561" w:type="dxa"/>
            <w:tcBorders>
              <w:top w:val="nil"/>
              <w:left w:val="nil"/>
              <w:bottom w:val="nil"/>
              <w:right w:val="nil"/>
            </w:tcBorders>
          </w:tcPr>
          <w:p w:rsidR="007245DC" w:rsidRPr="007245DC" w:rsidRDefault="007245DC" w:rsidP="007245DC">
            <w:pPr>
              <w:jc w:val="right"/>
              <w:rPr>
                <w:color w:val="000000"/>
                <w:sz w:val="22"/>
                <w:szCs w:val="22"/>
              </w:rPr>
            </w:pPr>
          </w:p>
        </w:tc>
        <w:tc>
          <w:tcPr>
            <w:tcW w:w="1350" w:type="dxa"/>
            <w:tcBorders>
              <w:top w:val="nil"/>
              <w:left w:val="nil"/>
              <w:bottom w:val="nil"/>
              <w:right w:val="nil"/>
            </w:tcBorders>
          </w:tcPr>
          <w:p w:rsidR="007245DC" w:rsidRPr="007245DC" w:rsidRDefault="007245DC" w:rsidP="007245DC">
            <w:pPr>
              <w:jc w:val="right"/>
              <w:rPr>
                <w:color w:val="000000"/>
                <w:sz w:val="22"/>
                <w:szCs w:val="22"/>
              </w:rPr>
            </w:pPr>
          </w:p>
        </w:tc>
        <w:tc>
          <w:tcPr>
            <w:tcW w:w="1603" w:type="dxa"/>
            <w:tcBorders>
              <w:top w:val="nil"/>
              <w:left w:val="nil"/>
              <w:bottom w:val="nil"/>
              <w:right w:val="nil"/>
            </w:tcBorders>
            <w:shd w:val="clear" w:color="auto" w:fill="auto"/>
            <w:noWrap/>
            <w:vAlign w:val="bottom"/>
            <w:hideMark/>
          </w:tcPr>
          <w:p w:rsidR="007245DC" w:rsidRPr="007245DC" w:rsidRDefault="007245DC" w:rsidP="007245DC">
            <w:pPr>
              <w:jc w:val="right"/>
              <w:rPr>
                <w:color w:val="000000"/>
                <w:sz w:val="22"/>
                <w:szCs w:val="22"/>
              </w:rPr>
            </w:pPr>
          </w:p>
        </w:tc>
        <w:tc>
          <w:tcPr>
            <w:tcW w:w="1182" w:type="dxa"/>
            <w:tcBorders>
              <w:top w:val="nil"/>
              <w:left w:val="nil"/>
              <w:bottom w:val="nil"/>
              <w:right w:val="single" w:sz="4" w:space="0" w:color="auto"/>
            </w:tcBorders>
            <w:shd w:val="clear" w:color="auto" w:fill="auto"/>
            <w:noWrap/>
            <w:vAlign w:val="bottom"/>
            <w:hideMark/>
          </w:tcPr>
          <w:p w:rsidR="007245DC" w:rsidRPr="007245DC" w:rsidRDefault="007245DC" w:rsidP="007245DC">
            <w:pPr>
              <w:rPr>
                <w:sz w:val="22"/>
                <w:szCs w:val="22"/>
              </w:rPr>
            </w:pPr>
            <w:r w:rsidRPr="007245DC">
              <w:rPr>
                <w:sz w:val="22"/>
                <w:szCs w:val="22"/>
              </w:rPr>
              <w:t> </w:t>
            </w:r>
          </w:p>
        </w:tc>
      </w:tr>
      <w:tr w:rsidR="007245DC" w:rsidRPr="007245DC" w:rsidTr="005B1F9E">
        <w:trPr>
          <w:trHeight w:val="221"/>
          <w:jc w:val="center"/>
        </w:trPr>
        <w:tc>
          <w:tcPr>
            <w:tcW w:w="4535" w:type="dxa"/>
            <w:tcBorders>
              <w:top w:val="nil"/>
              <w:left w:val="single" w:sz="4" w:space="0" w:color="auto"/>
              <w:bottom w:val="nil"/>
              <w:right w:val="nil"/>
            </w:tcBorders>
            <w:shd w:val="clear" w:color="auto" w:fill="auto"/>
            <w:noWrap/>
            <w:vAlign w:val="bottom"/>
            <w:hideMark/>
          </w:tcPr>
          <w:p w:rsidR="007245DC" w:rsidRPr="007245DC" w:rsidRDefault="007245DC" w:rsidP="007245DC">
            <w:pPr>
              <w:rPr>
                <w:b/>
                <w:bCs/>
                <w:sz w:val="22"/>
                <w:szCs w:val="22"/>
                <w:u w:val="single"/>
              </w:rPr>
            </w:pPr>
            <w:r w:rsidRPr="007245DC">
              <w:rPr>
                <w:b/>
                <w:bCs/>
                <w:sz w:val="22"/>
                <w:szCs w:val="22"/>
                <w:u w:val="single"/>
              </w:rPr>
              <w:t>Private Fire Protection</w:t>
            </w:r>
          </w:p>
        </w:tc>
        <w:tc>
          <w:tcPr>
            <w:tcW w:w="1279" w:type="dxa"/>
            <w:gridSpan w:val="2"/>
            <w:tcBorders>
              <w:top w:val="nil"/>
              <w:left w:val="nil"/>
              <w:bottom w:val="nil"/>
              <w:right w:val="nil"/>
            </w:tcBorders>
            <w:shd w:val="clear" w:color="auto" w:fill="auto"/>
            <w:noWrap/>
            <w:vAlign w:val="bottom"/>
            <w:hideMark/>
          </w:tcPr>
          <w:p w:rsidR="007245DC" w:rsidRPr="007245DC" w:rsidRDefault="007245DC" w:rsidP="007245DC">
            <w:pPr>
              <w:jc w:val="right"/>
              <w:rPr>
                <w:color w:val="000000"/>
                <w:sz w:val="22"/>
                <w:szCs w:val="22"/>
              </w:rPr>
            </w:pPr>
          </w:p>
        </w:tc>
        <w:tc>
          <w:tcPr>
            <w:tcW w:w="1561" w:type="dxa"/>
            <w:tcBorders>
              <w:top w:val="nil"/>
              <w:left w:val="nil"/>
              <w:bottom w:val="nil"/>
              <w:right w:val="nil"/>
            </w:tcBorders>
          </w:tcPr>
          <w:p w:rsidR="007245DC" w:rsidRPr="007245DC" w:rsidRDefault="007245DC" w:rsidP="007245DC">
            <w:pPr>
              <w:jc w:val="right"/>
              <w:rPr>
                <w:color w:val="000000"/>
                <w:sz w:val="22"/>
                <w:szCs w:val="22"/>
              </w:rPr>
            </w:pPr>
          </w:p>
        </w:tc>
        <w:tc>
          <w:tcPr>
            <w:tcW w:w="1350" w:type="dxa"/>
            <w:tcBorders>
              <w:top w:val="nil"/>
              <w:left w:val="nil"/>
              <w:bottom w:val="nil"/>
              <w:right w:val="nil"/>
            </w:tcBorders>
          </w:tcPr>
          <w:p w:rsidR="007245DC" w:rsidRPr="007245DC" w:rsidRDefault="007245DC" w:rsidP="007245DC">
            <w:pPr>
              <w:jc w:val="right"/>
              <w:rPr>
                <w:color w:val="000000"/>
                <w:sz w:val="22"/>
                <w:szCs w:val="22"/>
              </w:rPr>
            </w:pPr>
          </w:p>
        </w:tc>
        <w:tc>
          <w:tcPr>
            <w:tcW w:w="1603" w:type="dxa"/>
            <w:tcBorders>
              <w:top w:val="nil"/>
              <w:left w:val="nil"/>
              <w:bottom w:val="nil"/>
              <w:right w:val="nil"/>
            </w:tcBorders>
            <w:shd w:val="clear" w:color="auto" w:fill="auto"/>
            <w:noWrap/>
            <w:vAlign w:val="bottom"/>
            <w:hideMark/>
          </w:tcPr>
          <w:p w:rsidR="007245DC" w:rsidRPr="007245DC" w:rsidRDefault="007245DC" w:rsidP="007245DC">
            <w:pPr>
              <w:jc w:val="right"/>
              <w:rPr>
                <w:color w:val="000000"/>
                <w:sz w:val="22"/>
                <w:szCs w:val="22"/>
              </w:rPr>
            </w:pPr>
          </w:p>
        </w:tc>
        <w:tc>
          <w:tcPr>
            <w:tcW w:w="1182" w:type="dxa"/>
            <w:tcBorders>
              <w:top w:val="nil"/>
              <w:left w:val="nil"/>
              <w:bottom w:val="nil"/>
              <w:right w:val="single" w:sz="4" w:space="0" w:color="auto"/>
            </w:tcBorders>
            <w:shd w:val="clear" w:color="auto" w:fill="auto"/>
            <w:noWrap/>
            <w:vAlign w:val="bottom"/>
            <w:hideMark/>
          </w:tcPr>
          <w:p w:rsidR="007245DC" w:rsidRPr="007245DC" w:rsidRDefault="007245DC" w:rsidP="007245DC">
            <w:pPr>
              <w:rPr>
                <w:sz w:val="22"/>
                <w:szCs w:val="22"/>
              </w:rPr>
            </w:pPr>
            <w:r w:rsidRPr="007245DC">
              <w:rPr>
                <w:sz w:val="22"/>
                <w:szCs w:val="22"/>
              </w:rPr>
              <w:t> </w:t>
            </w:r>
          </w:p>
        </w:tc>
      </w:tr>
      <w:tr w:rsidR="007245DC" w:rsidRPr="007245DC" w:rsidTr="005B1F9E">
        <w:trPr>
          <w:trHeight w:val="221"/>
          <w:jc w:val="center"/>
        </w:trPr>
        <w:tc>
          <w:tcPr>
            <w:tcW w:w="4535" w:type="dxa"/>
            <w:tcBorders>
              <w:top w:val="nil"/>
              <w:left w:val="single" w:sz="4" w:space="0" w:color="auto"/>
              <w:bottom w:val="nil"/>
              <w:right w:val="nil"/>
            </w:tcBorders>
            <w:shd w:val="clear" w:color="auto" w:fill="auto"/>
            <w:noWrap/>
            <w:vAlign w:val="bottom"/>
            <w:hideMark/>
          </w:tcPr>
          <w:p w:rsidR="007245DC" w:rsidRPr="007245DC" w:rsidRDefault="007245DC" w:rsidP="007245DC">
            <w:pPr>
              <w:rPr>
                <w:sz w:val="22"/>
                <w:szCs w:val="22"/>
              </w:rPr>
            </w:pPr>
            <w:r w:rsidRPr="007245DC">
              <w:rPr>
                <w:sz w:val="22"/>
                <w:szCs w:val="22"/>
              </w:rPr>
              <w:t>Base Facility Charge by Meter Size</w:t>
            </w:r>
          </w:p>
        </w:tc>
        <w:tc>
          <w:tcPr>
            <w:tcW w:w="1279" w:type="dxa"/>
            <w:gridSpan w:val="2"/>
            <w:tcBorders>
              <w:top w:val="nil"/>
              <w:left w:val="nil"/>
              <w:bottom w:val="nil"/>
              <w:right w:val="nil"/>
            </w:tcBorders>
            <w:shd w:val="clear" w:color="auto" w:fill="auto"/>
            <w:noWrap/>
            <w:vAlign w:val="bottom"/>
            <w:hideMark/>
          </w:tcPr>
          <w:p w:rsidR="007245DC" w:rsidRPr="007245DC" w:rsidRDefault="007245DC" w:rsidP="007245DC">
            <w:pPr>
              <w:jc w:val="right"/>
              <w:rPr>
                <w:color w:val="000000"/>
                <w:sz w:val="22"/>
                <w:szCs w:val="22"/>
              </w:rPr>
            </w:pPr>
          </w:p>
        </w:tc>
        <w:tc>
          <w:tcPr>
            <w:tcW w:w="1561" w:type="dxa"/>
            <w:tcBorders>
              <w:top w:val="nil"/>
              <w:left w:val="nil"/>
              <w:bottom w:val="nil"/>
              <w:right w:val="nil"/>
            </w:tcBorders>
          </w:tcPr>
          <w:p w:rsidR="007245DC" w:rsidRPr="007245DC" w:rsidRDefault="007245DC" w:rsidP="007245DC">
            <w:pPr>
              <w:jc w:val="right"/>
              <w:rPr>
                <w:color w:val="000000"/>
                <w:sz w:val="22"/>
                <w:szCs w:val="22"/>
              </w:rPr>
            </w:pPr>
          </w:p>
        </w:tc>
        <w:tc>
          <w:tcPr>
            <w:tcW w:w="1350" w:type="dxa"/>
            <w:tcBorders>
              <w:top w:val="nil"/>
              <w:left w:val="nil"/>
              <w:bottom w:val="nil"/>
              <w:right w:val="nil"/>
            </w:tcBorders>
          </w:tcPr>
          <w:p w:rsidR="007245DC" w:rsidRPr="007245DC" w:rsidRDefault="007245DC" w:rsidP="007245DC">
            <w:pPr>
              <w:jc w:val="right"/>
              <w:rPr>
                <w:color w:val="000000"/>
                <w:sz w:val="22"/>
                <w:szCs w:val="22"/>
              </w:rPr>
            </w:pPr>
          </w:p>
        </w:tc>
        <w:tc>
          <w:tcPr>
            <w:tcW w:w="1603" w:type="dxa"/>
            <w:tcBorders>
              <w:top w:val="nil"/>
              <w:left w:val="nil"/>
              <w:bottom w:val="nil"/>
              <w:right w:val="nil"/>
            </w:tcBorders>
            <w:shd w:val="clear" w:color="auto" w:fill="auto"/>
            <w:noWrap/>
            <w:vAlign w:val="bottom"/>
            <w:hideMark/>
          </w:tcPr>
          <w:p w:rsidR="007245DC" w:rsidRPr="007245DC" w:rsidRDefault="007245DC" w:rsidP="007245DC">
            <w:pPr>
              <w:jc w:val="right"/>
              <w:rPr>
                <w:color w:val="000000"/>
                <w:sz w:val="22"/>
                <w:szCs w:val="22"/>
              </w:rPr>
            </w:pPr>
          </w:p>
        </w:tc>
        <w:tc>
          <w:tcPr>
            <w:tcW w:w="1182" w:type="dxa"/>
            <w:tcBorders>
              <w:top w:val="nil"/>
              <w:left w:val="nil"/>
              <w:bottom w:val="nil"/>
              <w:right w:val="single" w:sz="4" w:space="0" w:color="auto"/>
            </w:tcBorders>
            <w:shd w:val="clear" w:color="auto" w:fill="auto"/>
            <w:noWrap/>
            <w:vAlign w:val="bottom"/>
            <w:hideMark/>
          </w:tcPr>
          <w:p w:rsidR="007245DC" w:rsidRPr="007245DC" w:rsidRDefault="007245DC" w:rsidP="007245DC">
            <w:pPr>
              <w:rPr>
                <w:sz w:val="22"/>
                <w:szCs w:val="22"/>
              </w:rPr>
            </w:pPr>
            <w:r w:rsidRPr="007245DC">
              <w:rPr>
                <w:sz w:val="22"/>
                <w:szCs w:val="22"/>
              </w:rPr>
              <w:t> </w:t>
            </w:r>
          </w:p>
        </w:tc>
      </w:tr>
      <w:tr w:rsidR="007245DC" w:rsidRPr="007245DC" w:rsidTr="005B1F9E">
        <w:trPr>
          <w:trHeight w:val="221"/>
          <w:jc w:val="center"/>
        </w:trPr>
        <w:tc>
          <w:tcPr>
            <w:tcW w:w="4535" w:type="dxa"/>
            <w:tcBorders>
              <w:top w:val="nil"/>
              <w:left w:val="single" w:sz="4" w:space="0" w:color="auto"/>
              <w:bottom w:val="nil"/>
              <w:right w:val="nil"/>
            </w:tcBorders>
            <w:shd w:val="clear" w:color="auto" w:fill="auto"/>
            <w:noWrap/>
            <w:vAlign w:val="bottom"/>
            <w:hideMark/>
          </w:tcPr>
          <w:p w:rsidR="007245DC" w:rsidRPr="007245DC" w:rsidRDefault="007245DC" w:rsidP="007245DC">
            <w:pPr>
              <w:rPr>
                <w:sz w:val="22"/>
                <w:szCs w:val="22"/>
              </w:rPr>
            </w:pPr>
            <w:r w:rsidRPr="007245DC">
              <w:rPr>
                <w:sz w:val="22"/>
                <w:szCs w:val="22"/>
              </w:rPr>
              <w:t>5/8" x 3/4"</w:t>
            </w:r>
          </w:p>
        </w:tc>
        <w:tc>
          <w:tcPr>
            <w:tcW w:w="1279" w:type="dxa"/>
            <w:gridSpan w:val="2"/>
            <w:tcBorders>
              <w:top w:val="nil"/>
              <w:left w:val="nil"/>
              <w:bottom w:val="nil"/>
              <w:right w:val="nil"/>
            </w:tcBorders>
            <w:shd w:val="clear" w:color="auto" w:fill="auto"/>
            <w:noWrap/>
            <w:vAlign w:val="bottom"/>
            <w:hideMark/>
          </w:tcPr>
          <w:p w:rsidR="007245DC" w:rsidRPr="007245DC" w:rsidRDefault="007245DC" w:rsidP="007245DC">
            <w:pPr>
              <w:jc w:val="right"/>
              <w:rPr>
                <w:color w:val="000000"/>
                <w:sz w:val="22"/>
                <w:szCs w:val="22"/>
              </w:rPr>
            </w:pPr>
            <w:r w:rsidRPr="007245DC">
              <w:rPr>
                <w:color w:val="000000"/>
                <w:sz w:val="22"/>
                <w:szCs w:val="22"/>
              </w:rPr>
              <w:t>N/A</w:t>
            </w:r>
          </w:p>
        </w:tc>
        <w:tc>
          <w:tcPr>
            <w:tcW w:w="1561" w:type="dxa"/>
            <w:tcBorders>
              <w:top w:val="nil"/>
              <w:left w:val="nil"/>
              <w:bottom w:val="nil"/>
              <w:right w:val="nil"/>
            </w:tcBorders>
            <w:vAlign w:val="bottom"/>
          </w:tcPr>
          <w:p w:rsidR="007245DC" w:rsidRPr="007245DC" w:rsidRDefault="007245DC" w:rsidP="007245DC">
            <w:pPr>
              <w:jc w:val="right"/>
              <w:rPr>
                <w:color w:val="000000"/>
                <w:sz w:val="22"/>
                <w:szCs w:val="22"/>
              </w:rPr>
            </w:pPr>
            <w:r w:rsidRPr="007245DC">
              <w:rPr>
                <w:color w:val="000000"/>
                <w:sz w:val="22"/>
                <w:szCs w:val="22"/>
              </w:rPr>
              <w:t>N/A</w:t>
            </w:r>
          </w:p>
        </w:tc>
        <w:tc>
          <w:tcPr>
            <w:tcW w:w="1350" w:type="dxa"/>
            <w:tcBorders>
              <w:top w:val="nil"/>
              <w:left w:val="nil"/>
              <w:bottom w:val="nil"/>
              <w:right w:val="nil"/>
            </w:tcBorders>
          </w:tcPr>
          <w:p w:rsidR="007245DC" w:rsidRPr="007245DC" w:rsidRDefault="002569FC" w:rsidP="007245DC">
            <w:pPr>
              <w:jc w:val="right"/>
              <w:rPr>
                <w:color w:val="000000"/>
                <w:sz w:val="22"/>
                <w:szCs w:val="22"/>
              </w:rPr>
            </w:pPr>
            <w:r>
              <w:rPr>
                <w:color w:val="000000"/>
                <w:sz w:val="22"/>
                <w:szCs w:val="22"/>
              </w:rPr>
              <w:t>N/A</w:t>
            </w:r>
          </w:p>
        </w:tc>
        <w:tc>
          <w:tcPr>
            <w:tcW w:w="1603" w:type="dxa"/>
            <w:tcBorders>
              <w:top w:val="nil"/>
              <w:left w:val="nil"/>
              <w:bottom w:val="nil"/>
              <w:right w:val="nil"/>
            </w:tcBorders>
            <w:shd w:val="clear" w:color="auto" w:fill="auto"/>
            <w:noWrap/>
            <w:vAlign w:val="bottom"/>
            <w:hideMark/>
          </w:tcPr>
          <w:p w:rsidR="007245DC" w:rsidRPr="007245DC" w:rsidRDefault="007245DC" w:rsidP="007245DC">
            <w:pPr>
              <w:jc w:val="right"/>
              <w:rPr>
                <w:color w:val="000000"/>
                <w:sz w:val="22"/>
                <w:szCs w:val="22"/>
              </w:rPr>
            </w:pPr>
            <w:r w:rsidRPr="007245DC">
              <w:rPr>
                <w:color w:val="000000"/>
                <w:sz w:val="22"/>
                <w:szCs w:val="22"/>
              </w:rPr>
              <w:t>$1.05</w:t>
            </w:r>
          </w:p>
        </w:tc>
        <w:tc>
          <w:tcPr>
            <w:tcW w:w="1182" w:type="dxa"/>
            <w:tcBorders>
              <w:top w:val="nil"/>
              <w:left w:val="nil"/>
              <w:bottom w:val="nil"/>
              <w:right w:val="single" w:sz="4" w:space="0" w:color="auto"/>
            </w:tcBorders>
            <w:shd w:val="clear" w:color="auto" w:fill="auto"/>
            <w:noWrap/>
            <w:vAlign w:val="bottom"/>
            <w:hideMark/>
          </w:tcPr>
          <w:p w:rsidR="007245DC" w:rsidRPr="007245DC" w:rsidRDefault="007245DC" w:rsidP="007245DC">
            <w:pPr>
              <w:jc w:val="right"/>
              <w:rPr>
                <w:sz w:val="22"/>
                <w:szCs w:val="22"/>
              </w:rPr>
            </w:pPr>
            <w:r w:rsidRPr="007245DC">
              <w:rPr>
                <w:sz w:val="22"/>
                <w:szCs w:val="22"/>
              </w:rPr>
              <w:t>$0.01</w:t>
            </w:r>
          </w:p>
        </w:tc>
      </w:tr>
      <w:tr w:rsidR="007245DC" w:rsidRPr="007245DC" w:rsidTr="005B1F9E">
        <w:trPr>
          <w:trHeight w:val="221"/>
          <w:jc w:val="center"/>
        </w:trPr>
        <w:tc>
          <w:tcPr>
            <w:tcW w:w="4535" w:type="dxa"/>
            <w:tcBorders>
              <w:top w:val="nil"/>
              <w:left w:val="single" w:sz="4" w:space="0" w:color="auto"/>
              <w:bottom w:val="nil"/>
              <w:right w:val="nil"/>
            </w:tcBorders>
            <w:shd w:val="clear" w:color="auto" w:fill="auto"/>
            <w:noWrap/>
            <w:vAlign w:val="bottom"/>
            <w:hideMark/>
          </w:tcPr>
          <w:p w:rsidR="007245DC" w:rsidRPr="007245DC" w:rsidRDefault="007245DC" w:rsidP="007245DC">
            <w:pPr>
              <w:rPr>
                <w:sz w:val="22"/>
                <w:szCs w:val="22"/>
              </w:rPr>
            </w:pPr>
            <w:r w:rsidRPr="007245DC">
              <w:rPr>
                <w:sz w:val="22"/>
                <w:szCs w:val="22"/>
              </w:rPr>
              <w:t>1"</w:t>
            </w:r>
          </w:p>
        </w:tc>
        <w:tc>
          <w:tcPr>
            <w:tcW w:w="1279" w:type="dxa"/>
            <w:gridSpan w:val="2"/>
            <w:tcBorders>
              <w:top w:val="nil"/>
              <w:left w:val="nil"/>
              <w:bottom w:val="nil"/>
              <w:right w:val="nil"/>
            </w:tcBorders>
            <w:shd w:val="clear" w:color="auto" w:fill="auto"/>
            <w:noWrap/>
            <w:vAlign w:val="bottom"/>
            <w:hideMark/>
          </w:tcPr>
          <w:p w:rsidR="007245DC" w:rsidRPr="007245DC" w:rsidRDefault="007245DC" w:rsidP="007245DC">
            <w:pPr>
              <w:jc w:val="right"/>
              <w:rPr>
                <w:color w:val="000000"/>
                <w:sz w:val="22"/>
                <w:szCs w:val="22"/>
              </w:rPr>
            </w:pPr>
            <w:r w:rsidRPr="007245DC">
              <w:rPr>
                <w:color w:val="000000"/>
                <w:sz w:val="22"/>
                <w:szCs w:val="22"/>
              </w:rPr>
              <w:t>N/A</w:t>
            </w:r>
          </w:p>
        </w:tc>
        <w:tc>
          <w:tcPr>
            <w:tcW w:w="1561" w:type="dxa"/>
            <w:tcBorders>
              <w:top w:val="nil"/>
              <w:left w:val="nil"/>
              <w:bottom w:val="nil"/>
              <w:right w:val="nil"/>
            </w:tcBorders>
            <w:vAlign w:val="bottom"/>
          </w:tcPr>
          <w:p w:rsidR="007245DC" w:rsidRPr="007245DC" w:rsidRDefault="007245DC" w:rsidP="007245DC">
            <w:pPr>
              <w:jc w:val="right"/>
              <w:rPr>
                <w:color w:val="000000"/>
                <w:sz w:val="22"/>
                <w:szCs w:val="22"/>
              </w:rPr>
            </w:pPr>
            <w:r w:rsidRPr="007245DC">
              <w:rPr>
                <w:color w:val="000000"/>
                <w:sz w:val="22"/>
                <w:szCs w:val="22"/>
              </w:rPr>
              <w:t>N/A</w:t>
            </w:r>
          </w:p>
        </w:tc>
        <w:tc>
          <w:tcPr>
            <w:tcW w:w="1350" w:type="dxa"/>
            <w:tcBorders>
              <w:top w:val="nil"/>
              <w:left w:val="nil"/>
              <w:bottom w:val="nil"/>
              <w:right w:val="nil"/>
            </w:tcBorders>
          </w:tcPr>
          <w:p w:rsidR="007245DC" w:rsidRPr="007245DC" w:rsidRDefault="002569FC" w:rsidP="007245DC">
            <w:pPr>
              <w:jc w:val="right"/>
              <w:rPr>
                <w:color w:val="000000"/>
                <w:sz w:val="22"/>
                <w:szCs w:val="22"/>
              </w:rPr>
            </w:pPr>
            <w:r>
              <w:rPr>
                <w:color w:val="000000"/>
                <w:sz w:val="22"/>
                <w:szCs w:val="22"/>
              </w:rPr>
              <w:t>N/A</w:t>
            </w:r>
          </w:p>
        </w:tc>
        <w:tc>
          <w:tcPr>
            <w:tcW w:w="1603" w:type="dxa"/>
            <w:tcBorders>
              <w:top w:val="nil"/>
              <w:left w:val="nil"/>
              <w:bottom w:val="nil"/>
              <w:right w:val="nil"/>
            </w:tcBorders>
            <w:shd w:val="clear" w:color="auto" w:fill="auto"/>
            <w:noWrap/>
            <w:vAlign w:val="bottom"/>
            <w:hideMark/>
          </w:tcPr>
          <w:p w:rsidR="007245DC" w:rsidRPr="007245DC" w:rsidRDefault="007245DC" w:rsidP="007245DC">
            <w:pPr>
              <w:jc w:val="right"/>
              <w:rPr>
                <w:color w:val="000000"/>
                <w:sz w:val="22"/>
                <w:szCs w:val="22"/>
              </w:rPr>
            </w:pPr>
            <w:r w:rsidRPr="007245DC">
              <w:rPr>
                <w:color w:val="000000"/>
                <w:sz w:val="22"/>
                <w:szCs w:val="22"/>
              </w:rPr>
              <w:t>$2.63</w:t>
            </w:r>
          </w:p>
        </w:tc>
        <w:tc>
          <w:tcPr>
            <w:tcW w:w="1182" w:type="dxa"/>
            <w:tcBorders>
              <w:top w:val="nil"/>
              <w:left w:val="nil"/>
              <w:bottom w:val="nil"/>
              <w:right w:val="single" w:sz="4" w:space="0" w:color="auto"/>
            </w:tcBorders>
            <w:shd w:val="clear" w:color="auto" w:fill="auto"/>
            <w:noWrap/>
            <w:vAlign w:val="bottom"/>
            <w:hideMark/>
          </w:tcPr>
          <w:p w:rsidR="007245DC" w:rsidRPr="007245DC" w:rsidRDefault="007245DC" w:rsidP="007245DC">
            <w:pPr>
              <w:jc w:val="right"/>
              <w:rPr>
                <w:sz w:val="22"/>
                <w:szCs w:val="22"/>
              </w:rPr>
            </w:pPr>
            <w:r w:rsidRPr="007245DC">
              <w:rPr>
                <w:sz w:val="22"/>
                <w:szCs w:val="22"/>
              </w:rPr>
              <w:t>$0.03</w:t>
            </w:r>
          </w:p>
        </w:tc>
      </w:tr>
      <w:tr w:rsidR="007245DC" w:rsidRPr="007245DC" w:rsidTr="005B1F9E">
        <w:trPr>
          <w:trHeight w:val="221"/>
          <w:jc w:val="center"/>
        </w:trPr>
        <w:tc>
          <w:tcPr>
            <w:tcW w:w="4535" w:type="dxa"/>
            <w:tcBorders>
              <w:top w:val="nil"/>
              <w:left w:val="single" w:sz="4" w:space="0" w:color="auto"/>
              <w:bottom w:val="nil"/>
              <w:right w:val="nil"/>
            </w:tcBorders>
            <w:shd w:val="clear" w:color="auto" w:fill="auto"/>
            <w:noWrap/>
            <w:vAlign w:val="bottom"/>
            <w:hideMark/>
          </w:tcPr>
          <w:p w:rsidR="007245DC" w:rsidRPr="007245DC" w:rsidRDefault="007245DC" w:rsidP="007245DC">
            <w:pPr>
              <w:rPr>
                <w:sz w:val="22"/>
                <w:szCs w:val="22"/>
              </w:rPr>
            </w:pPr>
            <w:r w:rsidRPr="007245DC">
              <w:rPr>
                <w:sz w:val="22"/>
                <w:szCs w:val="22"/>
              </w:rPr>
              <w:t>1-1/2"</w:t>
            </w:r>
          </w:p>
        </w:tc>
        <w:tc>
          <w:tcPr>
            <w:tcW w:w="1279" w:type="dxa"/>
            <w:gridSpan w:val="2"/>
            <w:tcBorders>
              <w:top w:val="nil"/>
              <w:left w:val="nil"/>
              <w:bottom w:val="nil"/>
              <w:right w:val="nil"/>
            </w:tcBorders>
            <w:shd w:val="clear" w:color="auto" w:fill="auto"/>
            <w:noWrap/>
            <w:vAlign w:val="bottom"/>
            <w:hideMark/>
          </w:tcPr>
          <w:p w:rsidR="007245DC" w:rsidRPr="007245DC" w:rsidRDefault="007245DC" w:rsidP="007245DC">
            <w:pPr>
              <w:jc w:val="right"/>
              <w:rPr>
                <w:color w:val="000000"/>
                <w:sz w:val="22"/>
                <w:szCs w:val="22"/>
              </w:rPr>
            </w:pPr>
            <w:r w:rsidRPr="007245DC">
              <w:rPr>
                <w:color w:val="000000"/>
                <w:sz w:val="22"/>
                <w:szCs w:val="22"/>
              </w:rPr>
              <w:t>N/A</w:t>
            </w:r>
          </w:p>
        </w:tc>
        <w:tc>
          <w:tcPr>
            <w:tcW w:w="1561" w:type="dxa"/>
            <w:tcBorders>
              <w:top w:val="nil"/>
              <w:left w:val="nil"/>
              <w:bottom w:val="nil"/>
              <w:right w:val="nil"/>
            </w:tcBorders>
            <w:vAlign w:val="bottom"/>
          </w:tcPr>
          <w:p w:rsidR="007245DC" w:rsidRPr="007245DC" w:rsidRDefault="007245DC" w:rsidP="007245DC">
            <w:pPr>
              <w:jc w:val="right"/>
              <w:rPr>
                <w:color w:val="000000"/>
                <w:sz w:val="22"/>
                <w:szCs w:val="22"/>
              </w:rPr>
            </w:pPr>
            <w:r w:rsidRPr="007245DC">
              <w:rPr>
                <w:color w:val="000000"/>
                <w:sz w:val="22"/>
                <w:szCs w:val="22"/>
              </w:rPr>
              <w:t>N/A</w:t>
            </w:r>
          </w:p>
        </w:tc>
        <w:tc>
          <w:tcPr>
            <w:tcW w:w="1350" w:type="dxa"/>
            <w:tcBorders>
              <w:top w:val="nil"/>
              <w:left w:val="nil"/>
              <w:bottom w:val="nil"/>
              <w:right w:val="nil"/>
            </w:tcBorders>
          </w:tcPr>
          <w:p w:rsidR="007245DC" w:rsidRPr="007245DC" w:rsidRDefault="002569FC" w:rsidP="007245DC">
            <w:pPr>
              <w:jc w:val="right"/>
              <w:rPr>
                <w:color w:val="000000"/>
                <w:sz w:val="22"/>
                <w:szCs w:val="22"/>
              </w:rPr>
            </w:pPr>
            <w:r>
              <w:rPr>
                <w:color w:val="000000"/>
                <w:sz w:val="22"/>
                <w:szCs w:val="22"/>
              </w:rPr>
              <w:t>N/A</w:t>
            </w:r>
          </w:p>
        </w:tc>
        <w:tc>
          <w:tcPr>
            <w:tcW w:w="1603" w:type="dxa"/>
            <w:tcBorders>
              <w:top w:val="nil"/>
              <w:left w:val="nil"/>
              <w:bottom w:val="nil"/>
              <w:right w:val="nil"/>
            </w:tcBorders>
            <w:shd w:val="clear" w:color="auto" w:fill="auto"/>
            <w:noWrap/>
            <w:vAlign w:val="bottom"/>
            <w:hideMark/>
          </w:tcPr>
          <w:p w:rsidR="007245DC" w:rsidRPr="007245DC" w:rsidRDefault="007245DC" w:rsidP="007245DC">
            <w:pPr>
              <w:jc w:val="right"/>
              <w:rPr>
                <w:color w:val="000000"/>
                <w:sz w:val="22"/>
                <w:szCs w:val="22"/>
              </w:rPr>
            </w:pPr>
            <w:r w:rsidRPr="007245DC">
              <w:rPr>
                <w:color w:val="000000"/>
                <w:sz w:val="22"/>
                <w:szCs w:val="22"/>
              </w:rPr>
              <w:t>$5.26</w:t>
            </w:r>
          </w:p>
        </w:tc>
        <w:tc>
          <w:tcPr>
            <w:tcW w:w="1182" w:type="dxa"/>
            <w:tcBorders>
              <w:top w:val="nil"/>
              <w:left w:val="nil"/>
              <w:bottom w:val="nil"/>
              <w:right w:val="single" w:sz="4" w:space="0" w:color="auto"/>
            </w:tcBorders>
            <w:shd w:val="clear" w:color="auto" w:fill="auto"/>
            <w:noWrap/>
            <w:vAlign w:val="bottom"/>
            <w:hideMark/>
          </w:tcPr>
          <w:p w:rsidR="007245DC" w:rsidRPr="007245DC" w:rsidRDefault="007245DC" w:rsidP="007245DC">
            <w:pPr>
              <w:jc w:val="right"/>
              <w:rPr>
                <w:sz w:val="22"/>
                <w:szCs w:val="22"/>
              </w:rPr>
            </w:pPr>
            <w:r w:rsidRPr="007245DC">
              <w:rPr>
                <w:sz w:val="22"/>
                <w:szCs w:val="22"/>
              </w:rPr>
              <w:t>$0.05</w:t>
            </w:r>
          </w:p>
        </w:tc>
      </w:tr>
      <w:tr w:rsidR="007245DC" w:rsidRPr="007245DC" w:rsidTr="005B1F9E">
        <w:trPr>
          <w:trHeight w:val="221"/>
          <w:jc w:val="center"/>
        </w:trPr>
        <w:tc>
          <w:tcPr>
            <w:tcW w:w="4535" w:type="dxa"/>
            <w:tcBorders>
              <w:top w:val="nil"/>
              <w:left w:val="single" w:sz="4" w:space="0" w:color="auto"/>
              <w:bottom w:val="nil"/>
              <w:right w:val="nil"/>
            </w:tcBorders>
            <w:shd w:val="clear" w:color="auto" w:fill="auto"/>
            <w:noWrap/>
            <w:vAlign w:val="bottom"/>
            <w:hideMark/>
          </w:tcPr>
          <w:p w:rsidR="007245DC" w:rsidRPr="007245DC" w:rsidRDefault="007245DC" w:rsidP="007245DC">
            <w:pPr>
              <w:rPr>
                <w:sz w:val="22"/>
                <w:szCs w:val="22"/>
              </w:rPr>
            </w:pPr>
            <w:r w:rsidRPr="007245DC">
              <w:rPr>
                <w:sz w:val="22"/>
                <w:szCs w:val="22"/>
              </w:rPr>
              <w:t>2"</w:t>
            </w:r>
          </w:p>
        </w:tc>
        <w:tc>
          <w:tcPr>
            <w:tcW w:w="1279" w:type="dxa"/>
            <w:gridSpan w:val="2"/>
            <w:tcBorders>
              <w:top w:val="nil"/>
              <w:left w:val="nil"/>
              <w:bottom w:val="nil"/>
              <w:right w:val="nil"/>
            </w:tcBorders>
            <w:shd w:val="clear" w:color="auto" w:fill="auto"/>
            <w:noWrap/>
            <w:vAlign w:val="bottom"/>
            <w:hideMark/>
          </w:tcPr>
          <w:p w:rsidR="007245DC" w:rsidRPr="007245DC" w:rsidRDefault="007245DC" w:rsidP="007245DC">
            <w:pPr>
              <w:jc w:val="right"/>
              <w:rPr>
                <w:color w:val="000000"/>
                <w:sz w:val="22"/>
                <w:szCs w:val="22"/>
              </w:rPr>
            </w:pPr>
            <w:r w:rsidRPr="007245DC">
              <w:rPr>
                <w:color w:val="000000"/>
                <w:sz w:val="22"/>
                <w:szCs w:val="22"/>
              </w:rPr>
              <w:t>N/A</w:t>
            </w:r>
          </w:p>
        </w:tc>
        <w:tc>
          <w:tcPr>
            <w:tcW w:w="1561" w:type="dxa"/>
            <w:tcBorders>
              <w:top w:val="nil"/>
              <w:left w:val="nil"/>
              <w:bottom w:val="nil"/>
              <w:right w:val="nil"/>
            </w:tcBorders>
            <w:vAlign w:val="bottom"/>
          </w:tcPr>
          <w:p w:rsidR="007245DC" w:rsidRPr="007245DC" w:rsidRDefault="007245DC" w:rsidP="007245DC">
            <w:pPr>
              <w:jc w:val="right"/>
              <w:rPr>
                <w:color w:val="000000"/>
                <w:sz w:val="22"/>
                <w:szCs w:val="22"/>
              </w:rPr>
            </w:pPr>
            <w:r w:rsidRPr="007245DC">
              <w:rPr>
                <w:color w:val="000000"/>
                <w:sz w:val="22"/>
                <w:szCs w:val="22"/>
              </w:rPr>
              <w:t>N/A</w:t>
            </w:r>
          </w:p>
        </w:tc>
        <w:tc>
          <w:tcPr>
            <w:tcW w:w="1350" w:type="dxa"/>
            <w:tcBorders>
              <w:top w:val="nil"/>
              <w:left w:val="nil"/>
              <w:bottom w:val="nil"/>
              <w:right w:val="nil"/>
            </w:tcBorders>
          </w:tcPr>
          <w:p w:rsidR="007245DC" w:rsidRPr="007245DC" w:rsidRDefault="002569FC" w:rsidP="007245DC">
            <w:pPr>
              <w:jc w:val="right"/>
              <w:rPr>
                <w:color w:val="000000"/>
                <w:sz w:val="22"/>
                <w:szCs w:val="22"/>
              </w:rPr>
            </w:pPr>
            <w:r>
              <w:rPr>
                <w:color w:val="000000"/>
                <w:sz w:val="22"/>
                <w:szCs w:val="22"/>
              </w:rPr>
              <w:t>N/A</w:t>
            </w:r>
          </w:p>
        </w:tc>
        <w:tc>
          <w:tcPr>
            <w:tcW w:w="1603" w:type="dxa"/>
            <w:tcBorders>
              <w:top w:val="nil"/>
              <w:left w:val="nil"/>
              <w:bottom w:val="nil"/>
              <w:right w:val="nil"/>
            </w:tcBorders>
            <w:shd w:val="clear" w:color="auto" w:fill="auto"/>
            <w:noWrap/>
            <w:vAlign w:val="bottom"/>
            <w:hideMark/>
          </w:tcPr>
          <w:p w:rsidR="007245DC" w:rsidRPr="007245DC" w:rsidRDefault="007245DC" w:rsidP="007245DC">
            <w:pPr>
              <w:jc w:val="right"/>
              <w:rPr>
                <w:color w:val="000000"/>
                <w:sz w:val="22"/>
                <w:szCs w:val="22"/>
              </w:rPr>
            </w:pPr>
            <w:r w:rsidRPr="007245DC">
              <w:rPr>
                <w:color w:val="000000"/>
                <w:sz w:val="22"/>
                <w:szCs w:val="22"/>
              </w:rPr>
              <w:t>$8.41</w:t>
            </w:r>
          </w:p>
        </w:tc>
        <w:tc>
          <w:tcPr>
            <w:tcW w:w="1182" w:type="dxa"/>
            <w:tcBorders>
              <w:top w:val="nil"/>
              <w:left w:val="nil"/>
              <w:bottom w:val="nil"/>
              <w:right w:val="single" w:sz="4" w:space="0" w:color="auto"/>
            </w:tcBorders>
            <w:shd w:val="clear" w:color="auto" w:fill="auto"/>
            <w:noWrap/>
            <w:vAlign w:val="bottom"/>
            <w:hideMark/>
          </w:tcPr>
          <w:p w:rsidR="007245DC" w:rsidRPr="007245DC" w:rsidRDefault="007245DC" w:rsidP="007245DC">
            <w:pPr>
              <w:jc w:val="right"/>
              <w:rPr>
                <w:sz w:val="22"/>
                <w:szCs w:val="22"/>
              </w:rPr>
            </w:pPr>
            <w:r w:rsidRPr="007245DC">
              <w:rPr>
                <w:sz w:val="22"/>
                <w:szCs w:val="22"/>
              </w:rPr>
              <w:t>$0.09</w:t>
            </w:r>
          </w:p>
        </w:tc>
      </w:tr>
      <w:tr w:rsidR="007245DC" w:rsidRPr="007245DC" w:rsidTr="005B1F9E">
        <w:trPr>
          <w:trHeight w:val="221"/>
          <w:jc w:val="center"/>
        </w:trPr>
        <w:tc>
          <w:tcPr>
            <w:tcW w:w="4535" w:type="dxa"/>
            <w:tcBorders>
              <w:top w:val="nil"/>
              <w:left w:val="single" w:sz="4" w:space="0" w:color="auto"/>
              <w:bottom w:val="nil"/>
              <w:right w:val="nil"/>
            </w:tcBorders>
            <w:shd w:val="clear" w:color="auto" w:fill="auto"/>
            <w:noWrap/>
            <w:vAlign w:val="bottom"/>
            <w:hideMark/>
          </w:tcPr>
          <w:p w:rsidR="007245DC" w:rsidRPr="007245DC" w:rsidRDefault="007245DC" w:rsidP="007245DC">
            <w:pPr>
              <w:rPr>
                <w:sz w:val="22"/>
                <w:szCs w:val="22"/>
              </w:rPr>
            </w:pPr>
            <w:r w:rsidRPr="007245DC">
              <w:rPr>
                <w:sz w:val="22"/>
                <w:szCs w:val="22"/>
              </w:rPr>
              <w:t>3"</w:t>
            </w:r>
          </w:p>
        </w:tc>
        <w:tc>
          <w:tcPr>
            <w:tcW w:w="1279" w:type="dxa"/>
            <w:gridSpan w:val="2"/>
            <w:tcBorders>
              <w:top w:val="nil"/>
              <w:left w:val="nil"/>
              <w:bottom w:val="nil"/>
              <w:right w:val="nil"/>
            </w:tcBorders>
            <w:shd w:val="clear" w:color="auto" w:fill="auto"/>
            <w:noWrap/>
            <w:vAlign w:val="bottom"/>
            <w:hideMark/>
          </w:tcPr>
          <w:p w:rsidR="007245DC" w:rsidRPr="007245DC" w:rsidRDefault="007245DC" w:rsidP="007245DC">
            <w:pPr>
              <w:jc w:val="right"/>
              <w:rPr>
                <w:color w:val="000000"/>
                <w:sz w:val="22"/>
                <w:szCs w:val="22"/>
              </w:rPr>
            </w:pPr>
            <w:r w:rsidRPr="007245DC">
              <w:rPr>
                <w:color w:val="000000"/>
                <w:sz w:val="22"/>
                <w:szCs w:val="22"/>
              </w:rPr>
              <w:t>N/A</w:t>
            </w:r>
          </w:p>
        </w:tc>
        <w:tc>
          <w:tcPr>
            <w:tcW w:w="1561" w:type="dxa"/>
            <w:tcBorders>
              <w:top w:val="nil"/>
              <w:left w:val="nil"/>
              <w:bottom w:val="nil"/>
              <w:right w:val="nil"/>
            </w:tcBorders>
            <w:vAlign w:val="bottom"/>
          </w:tcPr>
          <w:p w:rsidR="007245DC" w:rsidRPr="007245DC" w:rsidRDefault="007245DC" w:rsidP="007245DC">
            <w:pPr>
              <w:jc w:val="right"/>
              <w:rPr>
                <w:color w:val="000000"/>
                <w:sz w:val="22"/>
                <w:szCs w:val="22"/>
              </w:rPr>
            </w:pPr>
            <w:r w:rsidRPr="007245DC">
              <w:rPr>
                <w:color w:val="000000"/>
                <w:sz w:val="22"/>
                <w:szCs w:val="22"/>
              </w:rPr>
              <w:t>N/A</w:t>
            </w:r>
          </w:p>
        </w:tc>
        <w:tc>
          <w:tcPr>
            <w:tcW w:w="1350" w:type="dxa"/>
            <w:tcBorders>
              <w:top w:val="nil"/>
              <w:left w:val="nil"/>
              <w:bottom w:val="nil"/>
              <w:right w:val="nil"/>
            </w:tcBorders>
          </w:tcPr>
          <w:p w:rsidR="007245DC" w:rsidRPr="007245DC" w:rsidRDefault="002569FC" w:rsidP="007245DC">
            <w:pPr>
              <w:jc w:val="right"/>
              <w:rPr>
                <w:color w:val="000000"/>
                <w:sz w:val="22"/>
                <w:szCs w:val="22"/>
              </w:rPr>
            </w:pPr>
            <w:r>
              <w:rPr>
                <w:color w:val="000000"/>
                <w:sz w:val="22"/>
                <w:szCs w:val="22"/>
              </w:rPr>
              <w:t>N/A</w:t>
            </w:r>
          </w:p>
        </w:tc>
        <w:tc>
          <w:tcPr>
            <w:tcW w:w="1603" w:type="dxa"/>
            <w:tcBorders>
              <w:top w:val="nil"/>
              <w:left w:val="nil"/>
              <w:bottom w:val="nil"/>
              <w:right w:val="nil"/>
            </w:tcBorders>
            <w:shd w:val="clear" w:color="auto" w:fill="auto"/>
            <w:noWrap/>
            <w:vAlign w:val="bottom"/>
            <w:hideMark/>
          </w:tcPr>
          <w:p w:rsidR="007245DC" w:rsidRPr="007245DC" w:rsidRDefault="007245DC" w:rsidP="007245DC">
            <w:pPr>
              <w:jc w:val="right"/>
              <w:rPr>
                <w:color w:val="000000"/>
                <w:sz w:val="22"/>
                <w:szCs w:val="22"/>
              </w:rPr>
            </w:pPr>
            <w:r w:rsidRPr="007245DC">
              <w:rPr>
                <w:color w:val="000000"/>
                <w:sz w:val="22"/>
                <w:szCs w:val="22"/>
              </w:rPr>
              <w:t>$16.83</w:t>
            </w:r>
          </w:p>
        </w:tc>
        <w:tc>
          <w:tcPr>
            <w:tcW w:w="1182" w:type="dxa"/>
            <w:tcBorders>
              <w:top w:val="nil"/>
              <w:left w:val="nil"/>
              <w:bottom w:val="nil"/>
              <w:right w:val="single" w:sz="4" w:space="0" w:color="auto"/>
            </w:tcBorders>
            <w:shd w:val="clear" w:color="auto" w:fill="auto"/>
            <w:noWrap/>
            <w:vAlign w:val="bottom"/>
            <w:hideMark/>
          </w:tcPr>
          <w:p w:rsidR="007245DC" w:rsidRPr="007245DC" w:rsidRDefault="007245DC" w:rsidP="007245DC">
            <w:pPr>
              <w:jc w:val="right"/>
              <w:rPr>
                <w:sz w:val="22"/>
                <w:szCs w:val="22"/>
              </w:rPr>
            </w:pPr>
            <w:r w:rsidRPr="007245DC">
              <w:rPr>
                <w:sz w:val="22"/>
                <w:szCs w:val="22"/>
              </w:rPr>
              <w:t>$0.17</w:t>
            </w:r>
          </w:p>
        </w:tc>
      </w:tr>
      <w:tr w:rsidR="007245DC" w:rsidRPr="007245DC" w:rsidTr="005B1F9E">
        <w:trPr>
          <w:trHeight w:val="221"/>
          <w:jc w:val="center"/>
        </w:trPr>
        <w:tc>
          <w:tcPr>
            <w:tcW w:w="4535" w:type="dxa"/>
            <w:tcBorders>
              <w:top w:val="nil"/>
              <w:left w:val="single" w:sz="4" w:space="0" w:color="auto"/>
              <w:bottom w:val="nil"/>
              <w:right w:val="nil"/>
            </w:tcBorders>
            <w:shd w:val="clear" w:color="auto" w:fill="auto"/>
            <w:noWrap/>
            <w:vAlign w:val="bottom"/>
            <w:hideMark/>
          </w:tcPr>
          <w:p w:rsidR="007245DC" w:rsidRPr="007245DC" w:rsidRDefault="007245DC" w:rsidP="007245DC">
            <w:pPr>
              <w:rPr>
                <w:sz w:val="22"/>
                <w:szCs w:val="22"/>
              </w:rPr>
            </w:pPr>
            <w:r w:rsidRPr="007245DC">
              <w:rPr>
                <w:sz w:val="22"/>
                <w:szCs w:val="22"/>
              </w:rPr>
              <w:t>4"</w:t>
            </w:r>
          </w:p>
        </w:tc>
        <w:tc>
          <w:tcPr>
            <w:tcW w:w="1279" w:type="dxa"/>
            <w:gridSpan w:val="2"/>
            <w:tcBorders>
              <w:top w:val="nil"/>
              <w:left w:val="nil"/>
              <w:bottom w:val="nil"/>
              <w:right w:val="nil"/>
            </w:tcBorders>
            <w:shd w:val="clear" w:color="auto" w:fill="auto"/>
            <w:noWrap/>
            <w:vAlign w:val="bottom"/>
            <w:hideMark/>
          </w:tcPr>
          <w:p w:rsidR="007245DC" w:rsidRPr="007245DC" w:rsidRDefault="007245DC" w:rsidP="007245DC">
            <w:pPr>
              <w:jc w:val="right"/>
              <w:rPr>
                <w:color w:val="000000"/>
                <w:sz w:val="22"/>
                <w:szCs w:val="22"/>
              </w:rPr>
            </w:pPr>
            <w:r w:rsidRPr="007245DC">
              <w:rPr>
                <w:color w:val="000000"/>
                <w:sz w:val="22"/>
                <w:szCs w:val="22"/>
              </w:rPr>
              <w:t>N/A</w:t>
            </w:r>
          </w:p>
        </w:tc>
        <w:tc>
          <w:tcPr>
            <w:tcW w:w="1561" w:type="dxa"/>
            <w:tcBorders>
              <w:top w:val="nil"/>
              <w:left w:val="nil"/>
              <w:bottom w:val="nil"/>
              <w:right w:val="nil"/>
            </w:tcBorders>
            <w:vAlign w:val="bottom"/>
          </w:tcPr>
          <w:p w:rsidR="007245DC" w:rsidRPr="007245DC" w:rsidRDefault="007245DC" w:rsidP="007245DC">
            <w:pPr>
              <w:jc w:val="right"/>
              <w:rPr>
                <w:color w:val="000000"/>
                <w:sz w:val="22"/>
                <w:szCs w:val="22"/>
              </w:rPr>
            </w:pPr>
            <w:r w:rsidRPr="007245DC">
              <w:rPr>
                <w:color w:val="000000"/>
                <w:sz w:val="22"/>
                <w:szCs w:val="22"/>
              </w:rPr>
              <w:t>N/A</w:t>
            </w:r>
          </w:p>
        </w:tc>
        <w:tc>
          <w:tcPr>
            <w:tcW w:w="1350" w:type="dxa"/>
            <w:tcBorders>
              <w:top w:val="nil"/>
              <w:left w:val="nil"/>
              <w:bottom w:val="nil"/>
              <w:right w:val="nil"/>
            </w:tcBorders>
          </w:tcPr>
          <w:p w:rsidR="007245DC" w:rsidRPr="007245DC" w:rsidRDefault="002569FC" w:rsidP="007245DC">
            <w:pPr>
              <w:jc w:val="right"/>
              <w:rPr>
                <w:color w:val="000000"/>
                <w:sz w:val="22"/>
                <w:szCs w:val="22"/>
              </w:rPr>
            </w:pPr>
            <w:r>
              <w:rPr>
                <w:color w:val="000000"/>
                <w:sz w:val="22"/>
                <w:szCs w:val="22"/>
              </w:rPr>
              <w:t>N/A</w:t>
            </w:r>
          </w:p>
        </w:tc>
        <w:tc>
          <w:tcPr>
            <w:tcW w:w="1603" w:type="dxa"/>
            <w:tcBorders>
              <w:top w:val="nil"/>
              <w:left w:val="nil"/>
              <w:bottom w:val="nil"/>
              <w:right w:val="nil"/>
            </w:tcBorders>
            <w:shd w:val="clear" w:color="auto" w:fill="auto"/>
            <w:noWrap/>
            <w:vAlign w:val="bottom"/>
            <w:hideMark/>
          </w:tcPr>
          <w:p w:rsidR="007245DC" w:rsidRPr="007245DC" w:rsidRDefault="007245DC" w:rsidP="007245DC">
            <w:pPr>
              <w:jc w:val="right"/>
              <w:rPr>
                <w:color w:val="000000"/>
                <w:sz w:val="22"/>
                <w:szCs w:val="22"/>
              </w:rPr>
            </w:pPr>
            <w:r w:rsidRPr="007245DC">
              <w:rPr>
                <w:color w:val="000000"/>
                <w:sz w:val="22"/>
                <w:szCs w:val="22"/>
              </w:rPr>
              <w:t>$26.29</w:t>
            </w:r>
          </w:p>
        </w:tc>
        <w:tc>
          <w:tcPr>
            <w:tcW w:w="1182" w:type="dxa"/>
            <w:tcBorders>
              <w:top w:val="nil"/>
              <w:left w:val="nil"/>
              <w:bottom w:val="nil"/>
              <w:right w:val="single" w:sz="4" w:space="0" w:color="auto"/>
            </w:tcBorders>
            <w:shd w:val="clear" w:color="auto" w:fill="auto"/>
            <w:noWrap/>
            <w:vAlign w:val="bottom"/>
            <w:hideMark/>
          </w:tcPr>
          <w:p w:rsidR="007245DC" w:rsidRPr="007245DC" w:rsidRDefault="007245DC" w:rsidP="007245DC">
            <w:pPr>
              <w:jc w:val="right"/>
              <w:rPr>
                <w:sz w:val="22"/>
                <w:szCs w:val="22"/>
              </w:rPr>
            </w:pPr>
            <w:r w:rsidRPr="007245DC">
              <w:rPr>
                <w:sz w:val="22"/>
                <w:szCs w:val="22"/>
              </w:rPr>
              <w:t>$0.27</w:t>
            </w:r>
          </w:p>
        </w:tc>
      </w:tr>
      <w:tr w:rsidR="007245DC" w:rsidRPr="007245DC" w:rsidTr="005B1F9E">
        <w:trPr>
          <w:trHeight w:val="221"/>
          <w:jc w:val="center"/>
        </w:trPr>
        <w:tc>
          <w:tcPr>
            <w:tcW w:w="4535" w:type="dxa"/>
            <w:tcBorders>
              <w:top w:val="nil"/>
              <w:left w:val="single" w:sz="4" w:space="0" w:color="auto"/>
              <w:bottom w:val="nil"/>
              <w:right w:val="nil"/>
            </w:tcBorders>
            <w:shd w:val="clear" w:color="auto" w:fill="auto"/>
            <w:noWrap/>
            <w:vAlign w:val="bottom"/>
            <w:hideMark/>
          </w:tcPr>
          <w:p w:rsidR="007245DC" w:rsidRPr="007245DC" w:rsidRDefault="007245DC" w:rsidP="007245DC">
            <w:pPr>
              <w:rPr>
                <w:sz w:val="22"/>
                <w:szCs w:val="22"/>
              </w:rPr>
            </w:pPr>
            <w:r w:rsidRPr="007245DC">
              <w:rPr>
                <w:sz w:val="22"/>
                <w:szCs w:val="22"/>
              </w:rPr>
              <w:t>6"</w:t>
            </w:r>
          </w:p>
        </w:tc>
        <w:tc>
          <w:tcPr>
            <w:tcW w:w="1279" w:type="dxa"/>
            <w:gridSpan w:val="2"/>
            <w:tcBorders>
              <w:top w:val="nil"/>
              <w:left w:val="nil"/>
              <w:bottom w:val="nil"/>
              <w:right w:val="nil"/>
            </w:tcBorders>
            <w:shd w:val="clear" w:color="auto" w:fill="auto"/>
            <w:noWrap/>
            <w:vAlign w:val="bottom"/>
            <w:hideMark/>
          </w:tcPr>
          <w:p w:rsidR="007245DC" w:rsidRPr="007245DC" w:rsidRDefault="007245DC" w:rsidP="007245DC">
            <w:pPr>
              <w:jc w:val="right"/>
              <w:rPr>
                <w:color w:val="000000"/>
                <w:sz w:val="22"/>
                <w:szCs w:val="22"/>
              </w:rPr>
            </w:pPr>
            <w:r w:rsidRPr="007245DC">
              <w:rPr>
                <w:color w:val="000000"/>
                <w:sz w:val="22"/>
                <w:szCs w:val="22"/>
              </w:rPr>
              <w:t>N/A</w:t>
            </w:r>
          </w:p>
        </w:tc>
        <w:tc>
          <w:tcPr>
            <w:tcW w:w="1561" w:type="dxa"/>
            <w:tcBorders>
              <w:top w:val="nil"/>
              <w:left w:val="nil"/>
              <w:bottom w:val="nil"/>
              <w:right w:val="nil"/>
            </w:tcBorders>
            <w:vAlign w:val="bottom"/>
          </w:tcPr>
          <w:p w:rsidR="007245DC" w:rsidRPr="007245DC" w:rsidRDefault="007245DC" w:rsidP="007245DC">
            <w:pPr>
              <w:jc w:val="right"/>
              <w:rPr>
                <w:color w:val="000000"/>
                <w:sz w:val="22"/>
                <w:szCs w:val="22"/>
              </w:rPr>
            </w:pPr>
            <w:r w:rsidRPr="007245DC">
              <w:rPr>
                <w:color w:val="000000"/>
                <w:sz w:val="22"/>
                <w:szCs w:val="22"/>
              </w:rPr>
              <w:t>N/A</w:t>
            </w:r>
          </w:p>
        </w:tc>
        <w:tc>
          <w:tcPr>
            <w:tcW w:w="1350" w:type="dxa"/>
            <w:tcBorders>
              <w:top w:val="nil"/>
              <w:left w:val="nil"/>
              <w:bottom w:val="nil"/>
              <w:right w:val="nil"/>
            </w:tcBorders>
          </w:tcPr>
          <w:p w:rsidR="007245DC" w:rsidRPr="007245DC" w:rsidRDefault="007245DC" w:rsidP="007245DC">
            <w:pPr>
              <w:jc w:val="right"/>
              <w:rPr>
                <w:color w:val="000000"/>
                <w:sz w:val="22"/>
                <w:szCs w:val="22"/>
              </w:rPr>
            </w:pPr>
            <w:r w:rsidRPr="007245DC">
              <w:rPr>
                <w:color w:val="000000"/>
                <w:sz w:val="22"/>
                <w:szCs w:val="22"/>
              </w:rPr>
              <w:t>$49.00</w:t>
            </w:r>
          </w:p>
        </w:tc>
        <w:tc>
          <w:tcPr>
            <w:tcW w:w="1603" w:type="dxa"/>
            <w:tcBorders>
              <w:top w:val="nil"/>
              <w:left w:val="nil"/>
              <w:bottom w:val="nil"/>
              <w:right w:val="nil"/>
            </w:tcBorders>
            <w:shd w:val="clear" w:color="auto" w:fill="auto"/>
            <w:noWrap/>
            <w:vAlign w:val="bottom"/>
            <w:hideMark/>
          </w:tcPr>
          <w:p w:rsidR="007245DC" w:rsidRPr="007245DC" w:rsidRDefault="007245DC" w:rsidP="007245DC">
            <w:pPr>
              <w:jc w:val="right"/>
              <w:rPr>
                <w:color w:val="000000"/>
                <w:sz w:val="22"/>
                <w:szCs w:val="22"/>
              </w:rPr>
            </w:pPr>
            <w:r w:rsidRPr="007245DC">
              <w:rPr>
                <w:color w:val="000000"/>
                <w:sz w:val="22"/>
                <w:szCs w:val="22"/>
              </w:rPr>
              <w:t>$52.58</w:t>
            </w:r>
          </w:p>
        </w:tc>
        <w:tc>
          <w:tcPr>
            <w:tcW w:w="1182" w:type="dxa"/>
            <w:tcBorders>
              <w:top w:val="nil"/>
              <w:left w:val="nil"/>
              <w:bottom w:val="nil"/>
              <w:right w:val="single" w:sz="4" w:space="0" w:color="auto"/>
            </w:tcBorders>
            <w:shd w:val="clear" w:color="auto" w:fill="auto"/>
            <w:noWrap/>
            <w:vAlign w:val="bottom"/>
            <w:hideMark/>
          </w:tcPr>
          <w:p w:rsidR="007245DC" w:rsidRPr="007245DC" w:rsidRDefault="007245DC" w:rsidP="007245DC">
            <w:pPr>
              <w:jc w:val="right"/>
              <w:rPr>
                <w:sz w:val="22"/>
                <w:szCs w:val="22"/>
              </w:rPr>
            </w:pPr>
            <w:r w:rsidRPr="007245DC">
              <w:rPr>
                <w:sz w:val="22"/>
                <w:szCs w:val="22"/>
              </w:rPr>
              <w:t>$0.54</w:t>
            </w:r>
          </w:p>
        </w:tc>
      </w:tr>
      <w:tr w:rsidR="007245DC" w:rsidRPr="007245DC" w:rsidTr="005B1F9E">
        <w:trPr>
          <w:trHeight w:val="221"/>
          <w:jc w:val="center"/>
        </w:trPr>
        <w:tc>
          <w:tcPr>
            <w:tcW w:w="4535" w:type="dxa"/>
            <w:tcBorders>
              <w:top w:val="nil"/>
              <w:left w:val="single" w:sz="4" w:space="0" w:color="auto"/>
              <w:bottom w:val="nil"/>
              <w:right w:val="nil"/>
            </w:tcBorders>
            <w:shd w:val="clear" w:color="auto" w:fill="auto"/>
            <w:noWrap/>
            <w:vAlign w:val="bottom"/>
            <w:hideMark/>
          </w:tcPr>
          <w:p w:rsidR="007245DC" w:rsidRPr="007245DC" w:rsidRDefault="007245DC" w:rsidP="007245DC">
            <w:pPr>
              <w:rPr>
                <w:sz w:val="22"/>
                <w:szCs w:val="22"/>
              </w:rPr>
            </w:pPr>
            <w:r w:rsidRPr="007245DC">
              <w:rPr>
                <w:sz w:val="22"/>
                <w:szCs w:val="22"/>
              </w:rPr>
              <w:t> </w:t>
            </w:r>
          </w:p>
        </w:tc>
        <w:tc>
          <w:tcPr>
            <w:tcW w:w="1279" w:type="dxa"/>
            <w:gridSpan w:val="2"/>
            <w:tcBorders>
              <w:top w:val="nil"/>
              <w:left w:val="nil"/>
              <w:bottom w:val="nil"/>
              <w:right w:val="nil"/>
            </w:tcBorders>
            <w:shd w:val="clear" w:color="auto" w:fill="auto"/>
            <w:noWrap/>
            <w:vAlign w:val="bottom"/>
            <w:hideMark/>
          </w:tcPr>
          <w:p w:rsidR="007245DC" w:rsidRPr="007245DC" w:rsidRDefault="007245DC" w:rsidP="007245DC">
            <w:pPr>
              <w:jc w:val="right"/>
              <w:rPr>
                <w:color w:val="000000"/>
                <w:sz w:val="22"/>
                <w:szCs w:val="22"/>
              </w:rPr>
            </w:pPr>
          </w:p>
        </w:tc>
        <w:tc>
          <w:tcPr>
            <w:tcW w:w="1561" w:type="dxa"/>
            <w:tcBorders>
              <w:top w:val="nil"/>
              <w:left w:val="nil"/>
              <w:bottom w:val="nil"/>
              <w:right w:val="nil"/>
            </w:tcBorders>
          </w:tcPr>
          <w:p w:rsidR="007245DC" w:rsidRPr="007245DC" w:rsidRDefault="007245DC" w:rsidP="007245DC">
            <w:pPr>
              <w:jc w:val="right"/>
              <w:rPr>
                <w:color w:val="000000"/>
                <w:sz w:val="22"/>
                <w:szCs w:val="22"/>
              </w:rPr>
            </w:pPr>
          </w:p>
        </w:tc>
        <w:tc>
          <w:tcPr>
            <w:tcW w:w="1350" w:type="dxa"/>
            <w:tcBorders>
              <w:top w:val="nil"/>
              <w:left w:val="nil"/>
              <w:bottom w:val="nil"/>
              <w:right w:val="nil"/>
            </w:tcBorders>
          </w:tcPr>
          <w:p w:rsidR="007245DC" w:rsidRPr="007245DC" w:rsidRDefault="007245DC" w:rsidP="007245DC">
            <w:pPr>
              <w:jc w:val="right"/>
              <w:rPr>
                <w:color w:val="000000"/>
                <w:sz w:val="22"/>
                <w:szCs w:val="22"/>
              </w:rPr>
            </w:pPr>
          </w:p>
        </w:tc>
        <w:tc>
          <w:tcPr>
            <w:tcW w:w="1603" w:type="dxa"/>
            <w:tcBorders>
              <w:top w:val="nil"/>
              <w:left w:val="nil"/>
              <w:bottom w:val="nil"/>
              <w:right w:val="nil"/>
            </w:tcBorders>
            <w:shd w:val="clear" w:color="auto" w:fill="auto"/>
            <w:noWrap/>
            <w:vAlign w:val="bottom"/>
            <w:hideMark/>
          </w:tcPr>
          <w:p w:rsidR="007245DC" w:rsidRPr="007245DC" w:rsidRDefault="007245DC" w:rsidP="007245DC">
            <w:pPr>
              <w:jc w:val="right"/>
              <w:rPr>
                <w:color w:val="000000"/>
                <w:sz w:val="22"/>
                <w:szCs w:val="22"/>
              </w:rPr>
            </w:pPr>
          </w:p>
        </w:tc>
        <w:tc>
          <w:tcPr>
            <w:tcW w:w="1182" w:type="dxa"/>
            <w:tcBorders>
              <w:top w:val="nil"/>
              <w:left w:val="nil"/>
              <w:bottom w:val="nil"/>
              <w:right w:val="single" w:sz="4" w:space="0" w:color="auto"/>
            </w:tcBorders>
            <w:shd w:val="clear" w:color="auto" w:fill="auto"/>
            <w:noWrap/>
            <w:vAlign w:val="bottom"/>
            <w:hideMark/>
          </w:tcPr>
          <w:p w:rsidR="007245DC" w:rsidRPr="007245DC" w:rsidRDefault="007245DC" w:rsidP="007245DC">
            <w:pPr>
              <w:rPr>
                <w:sz w:val="22"/>
                <w:szCs w:val="22"/>
              </w:rPr>
            </w:pPr>
            <w:r w:rsidRPr="007245DC">
              <w:rPr>
                <w:sz w:val="22"/>
                <w:szCs w:val="22"/>
              </w:rPr>
              <w:t> </w:t>
            </w:r>
          </w:p>
        </w:tc>
      </w:tr>
      <w:tr w:rsidR="007245DC" w:rsidRPr="007245DC" w:rsidTr="005B1F9E">
        <w:trPr>
          <w:trHeight w:val="221"/>
          <w:jc w:val="center"/>
        </w:trPr>
        <w:tc>
          <w:tcPr>
            <w:tcW w:w="5814" w:type="dxa"/>
            <w:gridSpan w:val="3"/>
            <w:tcBorders>
              <w:top w:val="nil"/>
              <w:left w:val="single" w:sz="4" w:space="0" w:color="auto"/>
              <w:bottom w:val="nil"/>
              <w:right w:val="nil"/>
            </w:tcBorders>
            <w:shd w:val="clear" w:color="auto" w:fill="auto"/>
            <w:noWrap/>
            <w:vAlign w:val="bottom"/>
            <w:hideMark/>
          </w:tcPr>
          <w:p w:rsidR="007245DC" w:rsidRPr="007245DC" w:rsidRDefault="007245DC" w:rsidP="007245DC">
            <w:pPr>
              <w:rPr>
                <w:b/>
                <w:bCs/>
                <w:color w:val="000000"/>
                <w:sz w:val="22"/>
                <w:szCs w:val="22"/>
                <w:u w:val="single"/>
              </w:rPr>
            </w:pPr>
            <w:r w:rsidRPr="007245DC">
              <w:rPr>
                <w:b/>
                <w:bCs/>
                <w:color w:val="000000"/>
                <w:sz w:val="22"/>
                <w:szCs w:val="22"/>
                <w:u w:val="single"/>
              </w:rPr>
              <w:t>Typical Residential 5/8" x 3/4" Meter Bill Comparison</w:t>
            </w:r>
          </w:p>
        </w:tc>
        <w:tc>
          <w:tcPr>
            <w:tcW w:w="1561" w:type="dxa"/>
            <w:tcBorders>
              <w:top w:val="nil"/>
              <w:left w:val="nil"/>
              <w:bottom w:val="nil"/>
              <w:right w:val="nil"/>
            </w:tcBorders>
          </w:tcPr>
          <w:p w:rsidR="007245DC" w:rsidRPr="007245DC" w:rsidRDefault="007245DC" w:rsidP="007245DC">
            <w:pPr>
              <w:jc w:val="right"/>
              <w:rPr>
                <w:color w:val="000000"/>
                <w:sz w:val="22"/>
                <w:szCs w:val="22"/>
              </w:rPr>
            </w:pPr>
          </w:p>
        </w:tc>
        <w:tc>
          <w:tcPr>
            <w:tcW w:w="1350" w:type="dxa"/>
            <w:tcBorders>
              <w:top w:val="nil"/>
              <w:left w:val="nil"/>
              <w:bottom w:val="nil"/>
              <w:right w:val="nil"/>
            </w:tcBorders>
          </w:tcPr>
          <w:p w:rsidR="007245DC" w:rsidRPr="007245DC" w:rsidRDefault="007245DC" w:rsidP="007245DC">
            <w:pPr>
              <w:jc w:val="right"/>
              <w:rPr>
                <w:color w:val="000000"/>
                <w:sz w:val="22"/>
                <w:szCs w:val="22"/>
              </w:rPr>
            </w:pPr>
          </w:p>
        </w:tc>
        <w:tc>
          <w:tcPr>
            <w:tcW w:w="1603" w:type="dxa"/>
            <w:tcBorders>
              <w:top w:val="nil"/>
              <w:left w:val="nil"/>
              <w:bottom w:val="nil"/>
              <w:right w:val="nil"/>
            </w:tcBorders>
            <w:shd w:val="clear" w:color="auto" w:fill="auto"/>
            <w:noWrap/>
            <w:vAlign w:val="bottom"/>
            <w:hideMark/>
          </w:tcPr>
          <w:p w:rsidR="007245DC" w:rsidRPr="007245DC" w:rsidRDefault="007245DC" w:rsidP="007245DC">
            <w:pPr>
              <w:jc w:val="right"/>
              <w:rPr>
                <w:color w:val="000000"/>
                <w:sz w:val="22"/>
                <w:szCs w:val="22"/>
              </w:rPr>
            </w:pPr>
          </w:p>
        </w:tc>
        <w:tc>
          <w:tcPr>
            <w:tcW w:w="1182" w:type="dxa"/>
            <w:tcBorders>
              <w:top w:val="nil"/>
              <w:left w:val="nil"/>
              <w:bottom w:val="nil"/>
              <w:right w:val="single" w:sz="4" w:space="0" w:color="auto"/>
            </w:tcBorders>
            <w:shd w:val="clear" w:color="auto" w:fill="auto"/>
            <w:noWrap/>
            <w:vAlign w:val="bottom"/>
            <w:hideMark/>
          </w:tcPr>
          <w:p w:rsidR="007245DC" w:rsidRPr="007245DC" w:rsidRDefault="007245DC" w:rsidP="007245DC">
            <w:pPr>
              <w:rPr>
                <w:sz w:val="22"/>
                <w:szCs w:val="22"/>
              </w:rPr>
            </w:pPr>
            <w:r w:rsidRPr="007245DC">
              <w:rPr>
                <w:sz w:val="22"/>
                <w:szCs w:val="22"/>
              </w:rPr>
              <w:t> </w:t>
            </w:r>
          </w:p>
        </w:tc>
      </w:tr>
      <w:tr w:rsidR="007245DC" w:rsidRPr="007245DC" w:rsidTr="005B1F9E">
        <w:trPr>
          <w:trHeight w:val="221"/>
          <w:jc w:val="center"/>
        </w:trPr>
        <w:tc>
          <w:tcPr>
            <w:tcW w:w="4993" w:type="dxa"/>
            <w:gridSpan w:val="2"/>
            <w:tcBorders>
              <w:top w:val="nil"/>
              <w:left w:val="single" w:sz="4" w:space="0" w:color="auto"/>
              <w:bottom w:val="nil"/>
              <w:right w:val="nil"/>
            </w:tcBorders>
            <w:shd w:val="clear" w:color="auto" w:fill="auto"/>
            <w:noWrap/>
            <w:vAlign w:val="bottom"/>
            <w:hideMark/>
          </w:tcPr>
          <w:p w:rsidR="007245DC" w:rsidRPr="007245DC" w:rsidRDefault="007245DC" w:rsidP="007245DC">
            <w:pPr>
              <w:rPr>
                <w:color w:val="000000"/>
                <w:sz w:val="22"/>
                <w:szCs w:val="22"/>
              </w:rPr>
            </w:pPr>
            <w:r w:rsidRPr="007245DC">
              <w:rPr>
                <w:color w:val="000000"/>
                <w:sz w:val="22"/>
                <w:szCs w:val="22"/>
              </w:rPr>
              <w:t>3,000 Gallons</w:t>
            </w:r>
          </w:p>
        </w:tc>
        <w:tc>
          <w:tcPr>
            <w:tcW w:w="821" w:type="dxa"/>
            <w:tcBorders>
              <w:top w:val="nil"/>
              <w:left w:val="nil"/>
              <w:bottom w:val="nil"/>
              <w:right w:val="nil"/>
            </w:tcBorders>
            <w:shd w:val="clear" w:color="auto" w:fill="auto"/>
            <w:noWrap/>
            <w:vAlign w:val="bottom"/>
            <w:hideMark/>
          </w:tcPr>
          <w:p w:rsidR="007245DC" w:rsidRPr="007245DC" w:rsidRDefault="007245DC" w:rsidP="007245DC">
            <w:pPr>
              <w:jc w:val="right"/>
              <w:rPr>
                <w:color w:val="000000"/>
                <w:sz w:val="22"/>
                <w:szCs w:val="22"/>
              </w:rPr>
            </w:pPr>
            <w:r w:rsidRPr="007245DC">
              <w:rPr>
                <w:color w:val="000000"/>
                <w:sz w:val="22"/>
                <w:szCs w:val="22"/>
              </w:rPr>
              <w:t xml:space="preserve">$24.61 </w:t>
            </w:r>
          </w:p>
        </w:tc>
        <w:tc>
          <w:tcPr>
            <w:tcW w:w="1561" w:type="dxa"/>
            <w:tcBorders>
              <w:top w:val="nil"/>
              <w:left w:val="nil"/>
              <w:bottom w:val="nil"/>
              <w:right w:val="nil"/>
            </w:tcBorders>
          </w:tcPr>
          <w:p w:rsidR="007245DC" w:rsidRPr="007245DC" w:rsidRDefault="007245DC" w:rsidP="007245DC">
            <w:pPr>
              <w:jc w:val="right"/>
              <w:rPr>
                <w:color w:val="000000"/>
                <w:sz w:val="22"/>
                <w:szCs w:val="22"/>
              </w:rPr>
            </w:pPr>
            <w:r w:rsidRPr="007245DC">
              <w:rPr>
                <w:color w:val="000000"/>
                <w:sz w:val="22"/>
                <w:szCs w:val="22"/>
              </w:rPr>
              <w:t>$25.73</w:t>
            </w:r>
          </w:p>
        </w:tc>
        <w:tc>
          <w:tcPr>
            <w:tcW w:w="1350" w:type="dxa"/>
            <w:tcBorders>
              <w:top w:val="nil"/>
              <w:left w:val="nil"/>
              <w:bottom w:val="nil"/>
              <w:right w:val="nil"/>
            </w:tcBorders>
          </w:tcPr>
          <w:p w:rsidR="007245DC" w:rsidRPr="007245DC" w:rsidRDefault="007245DC" w:rsidP="007245DC">
            <w:pPr>
              <w:jc w:val="right"/>
              <w:rPr>
                <w:color w:val="000000"/>
                <w:sz w:val="22"/>
                <w:szCs w:val="22"/>
              </w:rPr>
            </w:pPr>
            <w:r w:rsidRPr="007245DC">
              <w:rPr>
                <w:color w:val="000000"/>
                <w:sz w:val="22"/>
                <w:szCs w:val="22"/>
              </w:rPr>
              <w:t>$27.39</w:t>
            </w:r>
          </w:p>
        </w:tc>
        <w:tc>
          <w:tcPr>
            <w:tcW w:w="1603" w:type="dxa"/>
            <w:tcBorders>
              <w:top w:val="nil"/>
              <w:left w:val="nil"/>
              <w:bottom w:val="nil"/>
              <w:right w:val="nil"/>
            </w:tcBorders>
            <w:shd w:val="clear" w:color="auto" w:fill="auto"/>
            <w:noWrap/>
            <w:vAlign w:val="bottom"/>
            <w:hideMark/>
          </w:tcPr>
          <w:p w:rsidR="007245DC" w:rsidRPr="007245DC" w:rsidRDefault="007245DC" w:rsidP="007245DC">
            <w:pPr>
              <w:jc w:val="right"/>
              <w:rPr>
                <w:color w:val="000000"/>
                <w:sz w:val="22"/>
                <w:szCs w:val="22"/>
              </w:rPr>
            </w:pPr>
            <w:r w:rsidRPr="007245DC">
              <w:rPr>
                <w:color w:val="000000"/>
                <w:sz w:val="22"/>
                <w:szCs w:val="22"/>
              </w:rPr>
              <w:t xml:space="preserve">$26.81 </w:t>
            </w:r>
          </w:p>
        </w:tc>
        <w:tc>
          <w:tcPr>
            <w:tcW w:w="1182" w:type="dxa"/>
            <w:tcBorders>
              <w:top w:val="nil"/>
              <w:left w:val="nil"/>
              <w:bottom w:val="nil"/>
              <w:right w:val="single" w:sz="4" w:space="0" w:color="auto"/>
            </w:tcBorders>
            <w:shd w:val="clear" w:color="auto" w:fill="auto"/>
            <w:noWrap/>
            <w:vAlign w:val="bottom"/>
            <w:hideMark/>
          </w:tcPr>
          <w:p w:rsidR="007245DC" w:rsidRPr="007245DC" w:rsidRDefault="007245DC" w:rsidP="007245DC">
            <w:pPr>
              <w:jc w:val="right"/>
              <w:rPr>
                <w:color w:val="000000"/>
                <w:sz w:val="22"/>
                <w:szCs w:val="22"/>
              </w:rPr>
            </w:pPr>
            <w:r w:rsidRPr="007245DC">
              <w:rPr>
                <w:color w:val="000000"/>
                <w:sz w:val="22"/>
                <w:szCs w:val="22"/>
              </w:rPr>
              <w:t> </w:t>
            </w:r>
          </w:p>
        </w:tc>
      </w:tr>
      <w:tr w:rsidR="007245DC" w:rsidRPr="007245DC" w:rsidTr="005B1F9E">
        <w:trPr>
          <w:trHeight w:val="221"/>
          <w:jc w:val="center"/>
        </w:trPr>
        <w:tc>
          <w:tcPr>
            <w:tcW w:w="4993" w:type="dxa"/>
            <w:gridSpan w:val="2"/>
            <w:tcBorders>
              <w:top w:val="nil"/>
              <w:left w:val="single" w:sz="4" w:space="0" w:color="auto"/>
              <w:bottom w:val="nil"/>
              <w:right w:val="nil"/>
            </w:tcBorders>
            <w:shd w:val="clear" w:color="auto" w:fill="auto"/>
            <w:noWrap/>
            <w:vAlign w:val="bottom"/>
            <w:hideMark/>
          </w:tcPr>
          <w:p w:rsidR="007245DC" w:rsidRPr="007245DC" w:rsidRDefault="007245DC" w:rsidP="007245DC">
            <w:pPr>
              <w:rPr>
                <w:color w:val="000000"/>
                <w:sz w:val="22"/>
                <w:szCs w:val="22"/>
              </w:rPr>
            </w:pPr>
            <w:r w:rsidRPr="007245DC">
              <w:rPr>
                <w:color w:val="000000"/>
                <w:sz w:val="22"/>
                <w:szCs w:val="22"/>
              </w:rPr>
              <w:t>6,000 Gallons</w:t>
            </w:r>
          </w:p>
        </w:tc>
        <w:tc>
          <w:tcPr>
            <w:tcW w:w="821" w:type="dxa"/>
            <w:tcBorders>
              <w:top w:val="nil"/>
              <w:left w:val="nil"/>
              <w:bottom w:val="nil"/>
              <w:right w:val="nil"/>
            </w:tcBorders>
            <w:shd w:val="clear" w:color="auto" w:fill="auto"/>
            <w:noWrap/>
            <w:vAlign w:val="bottom"/>
            <w:hideMark/>
          </w:tcPr>
          <w:p w:rsidR="007245DC" w:rsidRPr="007245DC" w:rsidRDefault="007245DC" w:rsidP="007245DC">
            <w:pPr>
              <w:jc w:val="right"/>
              <w:rPr>
                <w:color w:val="000000"/>
                <w:sz w:val="22"/>
                <w:szCs w:val="22"/>
              </w:rPr>
            </w:pPr>
            <w:r w:rsidRPr="007245DC">
              <w:rPr>
                <w:color w:val="000000"/>
                <w:sz w:val="22"/>
                <w:szCs w:val="22"/>
              </w:rPr>
              <w:t xml:space="preserve">$37.63 </w:t>
            </w:r>
          </w:p>
        </w:tc>
        <w:tc>
          <w:tcPr>
            <w:tcW w:w="1561" w:type="dxa"/>
            <w:tcBorders>
              <w:top w:val="nil"/>
              <w:left w:val="nil"/>
              <w:bottom w:val="nil"/>
              <w:right w:val="nil"/>
            </w:tcBorders>
          </w:tcPr>
          <w:p w:rsidR="007245DC" w:rsidRPr="007245DC" w:rsidRDefault="007245DC" w:rsidP="007245DC">
            <w:pPr>
              <w:jc w:val="right"/>
              <w:rPr>
                <w:color w:val="000000"/>
                <w:sz w:val="22"/>
                <w:szCs w:val="22"/>
              </w:rPr>
            </w:pPr>
            <w:r w:rsidRPr="007245DC">
              <w:rPr>
                <w:color w:val="000000"/>
                <w:sz w:val="22"/>
                <w:szCs w:val="22"/>
              </w:rPr>
              <w:t>$39.35</w:t>
            </w:r>
          </w:p>
        </w:tc>
        <w:tc>
          <w:tcPr>
            <w:tcW w:w="1350" w:type="dxa"/>
            <w:tcBorders>
              <w:top w:val="nil"/>
              <w:left w:val="nil"/>
              <w:bottom w:val="nil"/>
              <w:right w:val="nil"/>
            </w:tcBorders>
          </w:tcPr>
          <w:p w:rsidR="007245DC" w:rsidRPr="007245DC" w:rsidRDefault="007245DC" w:rsidP="007245DC">
            <w:pPr>
              <w:jc w:val="right"/>
              <w:rPr>
                <w:color w:val="000000"/>
                <w:sz w:val="22"/>
                <w:szCs w:val="22"/>
              </w:rPr>
            </w:pPr>
            <w:r w:rsidRPr="007245DC">
              <w:rPr>
                <w:color w:val="000000"/>
                <w:sz w:val="22"/>
                <w:szCs w:val="22"/>
              </w:rPr>
              <w:t>$43.02</w:t>
            </w:r>
          </w:p>
        </w:tc>
        <w:tc>
          <w:tcPr>
            <w:tcW w:w="1603" w:type="dxa"/>
            <w:tcBorders>
              <w:top w:val="nil"/>
              <w:left w:val="nil"/>
              <w:bottom w:val="nil"/>
              <w:right w:val="nil"/>
            </w:tcBorders>
            <w:shd w:val="clear" w:color="auto" w:fill="auto"/>
            <w:noWrap/>
            <w:vAlign w:val="bottom"/>
            <w:hideMark/>
          </w:tcPr>
          <w:p w:rsidR="007245DC" w:rsidRPr="007245DC" w:rsidRDefault="007245DC" w:rsidP="007245DC">
            <w:pPr>
              <w:jc w:val="right"/>
              <w:rPr>
                <w:color w:val="000000"/>
                <w:sz w:val="22"/>
                <w:szCs w:val="22"/>
              </w:rPr>
            </w:pPr>
            <w:r w:rsidRPr="007245DC">
              <w:rPr>
                <w:color w:val="000000"/>
                <w:sz w:val="22"/>
                <w:szCs w:val="22"/>
              </w:rPr>
              <w:t xml:space="preserve">$41.00 </w:t>
            </w:r>
          </w:p>
        </w:tc>
        <w:tc>
          <w:tcPr>
            <w:tcW w:w="1182" w:type="dxa"/>
            <w:tcBorders>
              <w:top w:val="nil"/>
              <w:left w:val="nil"/>
              <w:bottom w:val="nil"/>
              <w:right w:val="single" w:sz="4" w:space="0" w:color="auto"/>
            </w:tcBorders>
            <w:shd w:val="clear" w:color="auto" w:fill="auto"/>
            <w:noWrap/>
            <w:vAlign w:val="bottom"/>
            <w:hideMark/>
          </w:tcPr>
          <w:p w:rsidR="007245DC" w:rsidRPr="007245DC" w:rsidRDefault="007245DC" w:rsidP="007245DC">
            <w:pPr>
              <w:jc w:val="right"/>
              <w:rPr>
                <w:color w:val="000000"/>
                <w:sz w:val="22"/>
                <w:szCs w:val="22"/>
              </w:rPr>
            </w:pPr>
            <w:r w:rsidRPr="007245DC">
              <w:rPr>
                <w:color w:val="000000"/>
                <w:sz w:val="22"/>
                <w:szCs w:val="22"/>
              </w:rPr>
              <w:t> </w:t>
            </w:r>
          </w:p>
        </w:tc>
      </w:tr>
      <w:tr w:rsidR="007245DC" w:rsidRPr="007245DC" w:rsidTr="005B1F9E">
        <w:trPr>
          <w:trHeight w:val="232"/>
          <w:jc w:val="center"/>
        </w:trPr>
        <w:tc>
          <w:tcPr>
            <w:tcW w:w="4993" w:type="dxa"/>
            <w:gridSpan w:val="2"/>
            <w:tcBorders>
              <w:top w:val="nil"/>
              <w:left w:val="single" w:sz="4" w:space="0" w:color="auto"/>
              <w:bottom w:val="single" w:sz="4" w:space="0" w:color="auto"/>
              <w:right w:val="nil"/>
            </w:tcBorders>
            <w:shd w:val="clear" w:color="auto" w:fill="auto"/>
            <w:noWrap/>
            <w:vAlign w:val="bottom"/>
            <w:hideMark/>
          </w:tcPr>
          <w:p w:rsidR="007245DC" w:rsidRPr="007245DC" w:rsidRDefault="007245DC" w:rsidP="007245DC">
            <w:pPr>
              <w:rPr>
                <w:color w:val="000000"/>
                <w:sz w:val="22"/>
                <w:szCs w:val="22"/>
              </w:rPr>
            </w:pPr>
            <w:r w:rsidRPr="007245DC">
              <w:rPr>
                <w:color w:val="000000"/>
                <w:sz w:val="22"/>
                <w:szCs w:val="22"/>
              </w:rPr>
              <w:t>8,000 Gallons</w:t>
            </w:r>
          </w:p>
        </w:tc>
        <w:tc>
          <w:tcPr>
            <w:tcW w:w="821" w:type="dxa"/>
            <w:tcBorders>
              <w:top w:val="nil"/>
              <w:left w:val="nil"/>
              <w:bottom w:val="single" w:sz="4" w:space="0" w:color="auto"/>
              <w:right w:val="nil"/>
            </w:tcBorders>
            <w:shd w:val="clear" w:color="auto" w:fill="auto"/>
            <w:noWrap/>
            <w:vAlign w:val="bottom"/>
            <w:hideMark/>
          </w:tcPr>
          <w:p w:rsidR="007245DC" w:rsidRPr="007245DC" w:rsidRDefault="007245DC" w:rsidP="007245DC">
            <w:pPr>
              <w:jc w:val="right"/>
              <w:rPr>
                <w:color w:val="000000"/>
                <w:sz w:val="22"/>
                <w:szCs w:val="22"/>
              </w:rPr>
            </w:pPr>
            <w:r w:rsidRPr="007245DC">
              <w:rPr>
                <w:color w:val="000000"/>
                <w:sz w:val="22"/>
                <w:szCs w:val="22"/>
              </w:rPr>
              <w:t xml:space="preserve">$46.31 </w:t>
            </w:r>
          </w:p>
        </w:tc>
        <w:tc>
          <w:tcPr>
            <w:tcW w:w="1561" w:type="dxa"/>
            <w:tcBorders>
              <w:top w:val="nil"/>
              <w:left w:val="nil"/>
              <w:bottom w:val="single" w:sz="4" w:space="0" w:color="auto"/>
              <w:right w:val="nil"/>
            </w:tcBorders>
          </w:tcPr>
          <w:p w:rsidR="007245DC" w:rsidRPr="007245DC" w:rsidRDefault="007245DC" w:rsidP="007245DC">
            <w:pPr>
              <w:jc w:val="right"/>
              <w:rPr>
                <w:color w:val="000000"/>
                <w:sz w:val="22"/>
                <w:szCs w:val="22"/>
              </w:rPr>
            </w:pPr>
            <w:r w:rsidRPr="007245DC">
              <w:rPr>
                <w:color w:val="000000"/>
                <w:sz w:val="22"/>
                <w:szCs w:val="22"/>
              </w:rPr>
              <w:t>$48.43</w:t>
            </w:r>
          </w:p>
        </w:tc>
        <w:tc>
          <w:tcPr>
            <w:tcW w:w="1350" w:type="dxa"/>
            <w:tcBorders>
              <w:top w:val="nil"/>
              <w:left w:val="nil"/>
              <w:bottom w:val="single" w:sz="4" w:space="0" w:color="auto"/>
              <w:right w:val="nil"/>
            </w:tcBorders>
          </w:tcPr>
          <w:p w:rsidR="007245DC" w:rsidRPr="007245DC" w:rsidRDefault="007245DC" w:rsidP="007245DC">
            <w:pPr>
              <w:jc w:val="right"/>
              <w:rPr>
                <w:color w:val="000000"/>
                <w:sz w:val="22"/>
                <w:szCs w:val="22"/>
              </w:rPr>
            </w:pPr>
            <w:r w:rsidRPr="007245DC">
              <w:rPr>
                <w:color w:val="000000"/>
                <w:sz w:val="22"/>
                <w:szCs w:val="22"/>
              </w:rPr>
              <w:t>$53.44</w:t>
            </w:r>
          </w:p>
        </w:tc>
        <w:tc>
          <w:tcPr>
            <w:tcW w:w="1603" w:type="dxa"/>
            <w:tcBorders>
              <w:top w:val="nil"/>
              <w:left w:val="nil"/>
              <w:bottom w:val="single" w:sz="4" w:space="0" w:color="auto"/>
              <w:right w:val="nil"/>
            </w:tcBorders>
            <w:shd w:val="clear" w:color="auto" w:fill="auto"/>
            <w:noWrap/>
            <w:vAlign w:val="bottom"/>
            <w:hideMark/>
          </w:tcPr>
          <w:p w:rsidR="007245DC" w:rsidRPr="007245DC" w:rsidRDefault="007245DC" w:rsidP="007245DC">
            <w:pPr>
              <w:jc w:val="right"/>
              <w:rPr>
                <w:color w:val="000000"/>
                <w:sz w:val="22"/>
                <w:szCs w:val="22"/>
              </w:rPr>
            </w:pPr>
            <w:r w:rsidRPr="007245DC">
              <w:rPr>
                <w:color w:val="000000"/>
                <w:sz w:val="22"/>
                <w:szCs w:val="22"/>
              </w:rPr>
              <w:t xml:space="preserve">$50.46 </w:t>
            </w:r>
          </w:p>
        </w:tc>
        <w:tc>
          <w:tcPr>
            <w:tcW w:w="1182" w:type="dxa"/>
            <w:tcBorders>
              <w:top w:val="nil"/>
              <w:left w:val="nil"/>
              <w:bottom w:val="single" w:sz="4" w:space="0" w:color="auto"/>
              <w:right w:val="single" w:sz="4" w:space="0" w:color="auto"/>
            </w:tcBorders>
            <w:shd w:val="clear" w:color="auto" w:fill="auto"/>
            <w:noWrap/>
            <w:vAlign w:val="bottom"/>
            <w:hideMark/>
          </w:tcPr>
          <w:p w:rsidR="007245DC" w:rsidRPr="007245DC" w:rsidRDefault="007245DC" w:rsidP="007245DC">
            <w:pPr>
              <w:jc w:val="right"/>
              <w:rPr>
                <w:color w:val="000000"/>
                <w:sz w:val="22"/>
                <w:szCs w:val="22"/>
              </w:rPr>
            </w:pPr>
            <w:r w:rsidRPr="007245DC">
              <w:rPr>
                <w:color w:val="000000"/>
                <w:sz w:val="22"/>
                <w:szCs w:val="22"/>
              </w:rPr>
              <w:t> </w:t>
            </w:r>
          </w:p>
        </w:tc>
      </w:tr>
    </w:tbl>
    <w:p w:rsidR="00BD2393" w:rsidRDefault="00BD2393" w:rsidP="00E275D8">
      <w:pPr>
        <w:pStyle w:val="BodyText"/>
      </w:pPr>
    </w:p>
    <w:sectPr w:rsidR="00BD2393" w:rsidSect="00AF2909">
      <w:headerReference w:type="default" r:id="rId29"/>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106" w:rsidRDefault="00001106">
      <w:r>
        <w:separator/>
      </w:r>
    </w:p>
  </w:endnote>
  <w:endnote w:type="continuationSeparator" w:id="0">
    <w:p w:rsidR="00001106" w:rsidRDefault="00001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106" w:rsidRDefault="00001106">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5D0E19">
      <w:rPr>
        <w:rStyle w:val="PageNumber"/>
        <w:noProof/>
      </w:rPr>
      <w:t>3</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106" w:rsidRDefault="000011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106" w:rsidRDefault="00001106" w:rsidP="00A21340">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5D0E19">
      <w:rPr>
        <w:rStyle w:val="PageNumber"/>
        <w:noProof/>
      </w:rPr>
      <w:t>29</w:t>
    </w:r>
    <w:r>
      <w:rPr>
        <w:rStyle w:val="PageNumber"/>
      </w:rPr>
      <w:fldChar w:fldCharType="end"/>
    </w:r>
    <w:r>
      <w:rPr>
        <w:rStyle w:val="PageNumber"/>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106" w:rsidRDefault="0000110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106" w:rsidRDefault="000011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106" w:rsidRDefault="00001106">
      <w:r>
        <w:separator/>
      </w:r>
    </w:p>
  </w:footnote>
  <w:footnote w:type="continuationSeparator" w:id="0">
    <w:p w:rsidR="00001106" w:rsidRDefault="00001106">
      <w:r>
        <w:continuationSeparator/>
      </w:r>
    </w:p>
  </w:footnote>
  <w:footnote w:id="1">
    <w:p w:rsidR="00001106" w:rsidRPr="0003221E" w:rsidRDefault="00001106" w:rsidP="00165B94">
      <w:pPr>
        <w:pStyle w:val="FootnoteText"/>
        <w:rPr>
          <w:i/>
        </w:rPr>
      </w:pPr>
      <w:r>
        <w:rPr>
          <w:rStyle w:val="FootnoteReference"/>
        </w:rPr>
        <w:footnoteRef/>
      </w:r>
      <w:proofErr w:type="gramStart"/>
      <w:r>
        <w:t>Order No.</w:t>
      </w:r>
      <w:proofErr w:type="gramEnd"/>
      <w:r>
        <w:t xml:space="preserve"> PSC-2013-0646-PAA-WU, issued December 5, 2013, in Docket No. 20130025-WU, </w:t>
      </w:r>
      <w:r w:rsidRPr="0003221E">
        <w:rPr>
          <w:i/>
        </w:rPr>
        <w:t>In re: Application for increase in water rates in Highlands County by Placid Lakes Utilities, Inc.</w:t>
      </w:r>
    </w:p>
  </w:footnote>
  <w:footnote w:id="2">
    <w:p w:rsidR="00001106" w:rsidRPr="008F7CB8" w:rsidRDefault="00001106" w:rsidP="00165B94">
      <w:pPr>
        <w:pStyle w:val="FootnoteText"/>
        <w:rPr>
          <w:i/>
        </w:rPr>
      </w:pPr>
      <w:r>
        <w:rPr>
          <w:rStyle w:val="FootnoteReference"/>
        </w:rPr>
        <w:footnoteRef/>
      </w:r>
      <w:proofErr w:type="gramStart"/>
      <w:r>
        <w:t>Order No.</w:t>
      </w:r>
      <w:proofErr w:type="gramEnd"/>
      <w:r>
        <w:t xml:space="preserve"> PSC-2019-0286-PCO-WU, issued July 18, 2019, in Docket No. 20190031-WU, </w:t>
      </w:r>
      <w:r w:rsidRPr="008F7CB8">
        <w:rPr>
          <w:i/>
        </w:rPr>
        <w:t>In re: Application for increase in water rates in Highlands County by Placid Lakes Utilities, Inc.</w:t>
      </w:r>
    </w:p>
  </w:footnote>
  <w:footnote w:id="3">
    <w:p w:rsidR="00001106" w:rsidRDefault="00001106" w:rsidP="00165B94">
      <w:pPr>
        <w:pStyle w:val="FootnoteText"/>
      </w:pPr>
      <w:r>
        <w:rPr>
          <w:rStyle w:val="FootnoteReference"/>
        </w:rPr>
        <w:footnoteRef/>
      </w:r>
      <w:proofErr w:type="gramStart"/>
      <w:r>
        <w:t>Order No.</w:t>
      </w:r>
      <w:proofErr w:type="gramEnd"/>
      <w:r>
        <w:t xml:space="preserve"> </w:t>
      </w:r>
      <w:r w:rsidRPr="00DA679F">
        <w:t>PSC-13-0646-PAA-WU</w:t>
      </w:r>
      <w:r>
        <w:t xml:space="preserve">, issued </w:t>
      </w:r>
      <w:r w:rsidRPr="00DA679F">
        <w:t>December 5, 2013</w:t>
      </w:r>
      <w:r>
        <w:t>, in Docket No. 20</w:t>
      </w:r>
      <w:r w:rsidRPr="00DA679F">
        <w:t>130025-WU</w:t>
      </w:r>
      <w:r>
        <w:t xml:space="preserve">, </w:t>
      </w:r>
      <w:r w:rsidRPr="00DA679F">
        <w:rPr>
          <w:i/>
        </w:rPr>
        <w:t>In re: Application for increase in water rates in Highlands County by Placid Lakes Utilities, Inc.</w:t>
      </w:r>
    </w:p>
  </w:footnote>
  <w:footnote w:id="4">
    <w:p w:rsidR="00001106" w:rsidRPr="009A4151" w:rsidRDefault="00001106">
      <w:pPr>
        <w:pStyle w:val="FootnoteText"/>
        <w:rPr>
          <w:i/>
        </w:rPr>
      </w:pPr>
      <w:r>
        <w:rPr>
          <w:rStyle w:val="FootnoteReference"/>
        </w:rPr>
        <w:footnoteRef/>
      </w:r>
      <w:proofErr w:type="gramStart"/>
      <w:r>
        <w:t xml:space="preserve">Order No PSC-01-0327-PAA-WU, issued February 6, 2001, in Docket No. 20000295-WU, </w:t>
      </w:r>
      <w:r w:rsidRPr="009A4151">
        <w:rPr>
          <w:i/>
        </w:rPr>
        <w:t>In re: Application for increase in water rates in Highlands County by Placid Lakes Utilities, Inc.</w:t>
      </w:r>
      <w:proofErr w:type="gramEnd"/>
    </w:p>
  </w:footnote>
  <w:footnote w:id="5">
    <w:p w:rsidR="00001106" w:rsidRPr="009A4151" w:rsidRDefault="00001106">
      <w:pPr>
        <w:pStyle w:val="FootnoteText"/>
        <w:rPr>
          <w:i/>
        </w:rPr>
      </w:pPr>
      <w:r>
        <w:rPr>
          <w:rStyle w:val="FootnoteReference"/>
        </w:rPr>
        <w:footnoteRef/>
      </w:r>
      <w:r>
        <w:t xml:space="preserve">Order Nos. PSC-09-0632-PAA-WU, issued September 17, 2009, in Docket No. 20080353-WU, </w:t>
      </w:r>
      <w:r w:rsidRPr="006F5412">
        <w:rPr>
          <w:i/>
        </w:rPr>
        <w:t>In re: Application for increase in water rates in Highlands County by Placid Lakes Utilities Inc.</w:t>
      </w:r>
      <w:r>
        <w:t xml:space="preserve">; and PSC-13-0646-PAA-WU, issued December 5, 2013, in Docket No. 20130025-WU, </w:t>
      </w:r>
      <w:r w:rsidRPr="009A4151">
        <w:rPr>
          <w:i/>
        </w:rPr>
        <w:t>In re: Application for increase in water rates in Highlands County by Placid Lakes Utilities, Inc.</w:t>
      </w:r>
    </w:p>
  </w:footnote>
  <w:footnote w:id="6">
    <w:p w:rsidR="00001106" w:rsidRDefault="00001106" w:rsidP="00165B94">
      <w:pPr>
        <w:pStyle w:val="FootnoteText"/>
      </w:pPr>
      <w:r>
        <w:rPr>
          <w:rStyle w:val="FootnoteReference"/>
        </w:rPr>
        <w:footnoteRef/>
      </w:r>
      <w:proofErr w:type="gramStart"/>
      <w:r>
        <w:t>Order No.</w:t>
      </w:r>
      <w:proofErr w:type="gramEnd"/>
      <w:r>
        <w:t xml:space="preserve"> </w:t>
      </w:r>
      <w:proofErr w:type="gramStart"/>
      <w:r w:rsidRPr="00441300">
        <w:t>PSC-13-0646-PAA-WU</w:t>
      </w:r>
      <w:r>
        <w:t>.</w:t>
      </w:r>
      <w:proofErr w:type="gramEnd"/>
    </w:p>
  </w:footnote>
  <w:footnote w:id="7">
    <w:p w:rsidR="00001106" w:rsidRDefault="00001106" w:rsidP="00165B94">
      <w:pPr>
        <w:pStyle w:val="FootnoteText"/>
      </w:pPr>
      <w:r>
        <w:rPr>
          <w:rStyle w:val="FootnoteReference"/>
        </w:rPr>
        <w:footnoteRef/>
      </w:r>
      <w:proofErr w:type="gramStart"/>
      <w:r>
        <w:t>Response to Staff’s First Data Request, Document No. 05322-2019.</w:t>
      </w:r>
      <w:proofErr w:type="gramEnd"/>
      <w:r>
        <w:t xml:space="preserve"> </w:t>
      </w:r>
    </w:p>
  </w:footnote>
  <w:footnote w:id="8">
    <w:p w:rsidR="00001106" w:rsidRDefault="00001106" w:rsidP="00165B94">
      <w:pPr>
        <w:pStyle w:val="FootnoteText"/>
      </w:pPr>
      <w:r>
        <w:rPr>
          <w:rStyle w:val="FootnoteReference"/>
        </w:rPr>
        <w:footnoteRef/>
      </w:r>
      <w:proofErr w:type="gramStart"/>
      <w:r w:rsidRPr="00DB244A">
        <w:t>Order No.</w:t>
      </w:r>
      <w:proofErr w:type="gramEnd"/>
      <w:r w:rsidRPr="00DB244A">
        <w:t xml:space="preserve"> </w:t>
      </w:r>
      <w:r>
        <w:t>PSC-2019-0267-PAA-WS</w:t>
      </w:r>
      <w:r w:rsidRPr="00DB244A">
        <w:t xml:space="preserve">, issued </w:t>
      </w:r>
      <w:r>
        <w:t>July 1</w:t>
      </w:r>
      <w:r w:rsidRPr="00DB244A">
        <w:t>, 201</w:t>
      </w:r>
      <w:r>
        <w:t>9</w:t>
      </w:r>
      <w:r w:rsidRPr="00DB244A">
        <w:t xml:space="preserve">, in Docket No. </w:t>
      </w:r>
      <w:r>
        <w:t>20190006-WS</w:t>
      </w:r>
      <w:r w:rsidRPr="00DB244A">
        <w:t>,</w:t>
      </w:r>
      <w:r w:rsidRPr="00DD163E">
        <w:rPr>
          <w:i/>
        </w:rPr>
        <w:t xml:space="preserve"> </w:t>
      </w:r>
      <w:r w:rsidRPr="005C0460">
        <w:rPr>
          <w:i/>
        </w:rPr>
        <w:t>In re:</w:t>
      </w:r>
      <w:r w:rsidRPr="005C0460">
        <w:rPr>
          <w:rFonts w:ascii="TimesNewRoman" w:eastAsia="TimesNewRoman" w:cs="TimesNewRoman"/>
          <w:i/>
        </w:rPr>
        <w:t xml:space="preserve"> </w:t>
      </w:r>
      <w:r>
        <w:rPr>
          <w:i/>
        </w:rPr>
        <w:t>Water and wastewater industry annual reestablishment of authorized range of return on common equity for water and wastewater utilities pursuant to Section 367.081(4</w:t>
      </w:r>
      <w:proofErr w:type="gramStart"/>
      <w:r>
        <w:rPr>
          <w:i/>
        </w:rPr>
        <w:t>)(</w:t>
      </w:r>
      <w:proofErr w:type="gramEnd"/>
      <w:r>
        <w:rPr>
          <w:i/>
        </w:rPr>
        <w:t>f), F.S.</w:t>
      </w:r>
    </w:p>
  </w:footnote>
  <w:footnote w:id="9">
    <w:p w:rsidR="00001106" w:rsidRDefault="00001106" w:rsidP="00165B94">
      <w:pPr>
        <w:pStyle w:val="FootnoteText"/>
      </w:pPr>
      <w:r>
        <w:rPr>
          <w:rStyle w:val="FootnoteReference"/>
        </w:rPr>
        <w:footnoteRef/>
      </w:r>
      <w:proofErr w:type="gramStart"/>
      <w:r>
        <w:t>Order No.</w:t>
      </w:r>
      <w:proofErr w:type="gramEnd"/>
      <w:r>
        <w:t xml:space="preserve"> PSC-09-0057-FOF-SU, issued January 27, 2009, in Docket No. 070293-SU, </w:t>
      </w:r>
      <w:r w:rsidRPr="00DF4C97">
        <w:rPr>
          <w:i/>
        </w:rPr>
        <w:t>In re: Application for</w:t>
      </w:r>
      <w:r>
        <w:rPr>
          <w:i/>
        </w:rPr>
        <w:t xml:space="preserve"> </w:t>
      </w:r>
      <w:r w:rsidRPr="00DF4C97">
        <w:rPr>
          <w:i/>
        </w:rPr>
        <w:t xml:space="preserve">increase </w:t>
      </w:r>
      <w:r>
        <w:rPr>
          <w:i/>
        </w:rPr>
        <w:t xml:space="preserve">in wastewater rates </w:t>
      </w:r>
      <w:r w:rsidRPr="00DF4C97">
        <w:rPr>
          <w:i/>
        </w:rPr>
        <w:t>in M</w:t>
      </w:r>
      <w:r>
        <w:rPr>
          <w:i/>
        </w:rPr>
        <w:t>onroe</w:t>
      </w:r>
      <w:r w:rsidRPr="00DF4C97">
        <w:rPr>
          <w:i/>
        </w:rPr>
        <w:t xml:space="preserve"> County by</w:t>
      </w:r>
      <w:r>
        <w:rPr>
          <w:i/>
        </w:rPr>
        <w:t xml:space="preserve"> K W Resort Utilities Corp.</w:t>
      </w:r>
      <w:r>
        <w:t xml:space="preserve"> </w:t>
      </w:r>
    </w:p>
  </w:footnote>
  <w:footnote w:id="10">
    <w:p w:rsidR="00001106" w:rsidRDefault="00001106">
      <w:pPr>
        <w:pStyle w:val="FootnoteText"/>
      </w:pPr>
      <w:r>
        <w:rPr>
          <w:rStyle w:val="FootnoteReference"/>
        </w:rPr>
        <w:footnoteRef/>
      </w:r>
      <w:proofErr w:type="gramStart"/>
      <w:r>
        <w:t>Order No.</w:t>
      </w:r>
      <w:proofErr w:type="gramEnd"/>
      <w:r>
        <w:t xml:space="preserve"> </w:t>
      </w:r>
      <w:proofErr w:type="gramStart"/>
      <w:r>
        <w:t>PSC-2019-0267-PAA-WS.</w:t>
      </w:r>
      <w:proofErr w:type="gramEnd"/>
    </w:p>
  </w:footnote>
  <w:footnote w:id="11">
    <w:p w:rsidR="00001106" w:rsidRDefault="00001106">
      <w:pPr>
        <w:pStyle w:val="FootnoteText"/>
      </w:pPr>
      <w:r>
        <w:rPr>
          <w:rStyle w:val="FootnoteReference"/>
        </w:rPr>
        <w:footnoteRef/>
      </w:r>
      <w:r>
        <w:t>Document No. 09121-2019</w:t>
      </w:r>
    </w:p>
  </w:footnote>
  <w:footnote w:id="12">
    <w:p w:rsidR="00001106" w:rsidRDefault="00001106">
      <w:pPr>
        <w:pStyle w:val="FootnoteText"/>
      </w:pPr>
      <w:r>
        <w:rPr>
          <w:rStyle w:val="FootnoteReference"/>
        </w:rPr>
        <w:footnoteRef/>
      </w:r>
      <w:r>
        <w:t>Document No. 09325-2019</w:t>
      </w:r>
    </w:p>
  </w:footnote>
  <w:footnote w:id="13">
    <w:p w:rsidR="00001106" w:rsidRDefault="00001106" w:rsidP="00165B94">
      <w:pPr>
        <w:pStyle w:val="FootnoteText"/>
      </w:pPr>
      <w:r>
        <w:rPr>
          <w:rStyle w:val="FootnoteReference"/>
        </w:rPr>
        <w:footnoteRef/>
      </w:r>
      <w:r>
        <w:t xml:space="preserve">Order Nos. PSC-05-0624-PAA-WS, issued June 7, 2005, in Docket No. 040450-WS, </w:t>
      </w:r>
      <w:r w:rsidRPr="00DF4C97">
        <w:rPr>
          <w:i/>
        </w:rPr>
        <w:t>In re: Application for rate increase in Martin County by Indiantown Company, Inc.</w:t>
      </w:r>
      <w:r>
        <w:t xml:space="preserve">; and PSC-01-0326-FOF-SU, issued February 6, 2001, in Docket No. 991643-SU, </w:t>
      </w:r>
      <w:r w:rsidRPr="00DF4C97">
        <w:rPr>
          <w:i/>
        </w:rPr>
        <w:t>In re: Application for increase in wastewater rates in Seven Springs System in Pasco County by Aloha Utilities,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106" w:rsidRDefault="00001106" w:rsidP="00220732">
    <w:pPr>
      <w:pStyle w:val="Header"/>
      <w:tabs>
        <w:tab w:val="clear" w:pos="4320"/>
        <w:tab w:val="clear" w:pos="8640"/>
        <w:tab w:val="right" w:pos="9360"/>
      </w:tabs>
    </w:pPr>
    <w:r>
      <w:t>Docket No. 20190031-WU</w:t>
    </w:r>
  </w:p>
  <w:p w:rsidR="00001106" w:rsidRDefault="00001106">
    <w:pPr>
      <w:pStyle w:val="Header"/>
    </w:pPr>
    <w:r>
      <w:t xml:space="preserve">Date: </w:t>
    </w:r>
    <w:r w:rsidR="009019FF">
      <w:fldChar w:fldCharType="begin"/>
    </w:r>
    <w:r w:rsidR="009019FF">
      <w:instrText xml:space="preserve"> REF FilingDate </w:instrText>
    </w:r>
    <w:r w:rsidR="009019FF">
      <w:fldChar w:fldCharType="separate"/>
    </w:r>
    <w:r w:rsidR="0014690B">
      <w:t>November 26, 2019</w:t>
    </w:r>
    <w:r w:rsidR="009019FF">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106" w:rsidRDefault="00001106" w:rsidP="00220732">
    <w:pPr>
      <w:pStyle w:val="Header"/>
      <w:tabs>
        <w:tab w:val="clear" w:pos="4320"/>
        <w:tab w:val="clear" w:pos="8640"/>
        <w:tab w:val="right" w:pos="9360"/>
      </w:tabs>
    </w:pPr>
    <w:r>
      <w:fldChar w:fldCharType="begin"/>
    </w:r>
    <w:r>
      <w:instrText xml:space="preserve"> REF DocketLabel</w:instrText>
    </w:r>
    <w:r>
      <w:fldChar w:fldCharType="separate"/>
    </w:r>
    <w:r w:rsidR="0014690B">
      <w:t>Docket No.</w:t>
    </w:r>
    <w:r>
      <w:fldChar w:fldCharType="end"/>
    </w:r>
    <w:r>
      <w:t xml:space="preserve"> </w:t>
    </w:r>
    <w:r>
      <w:fldChar w:fldCharType="begin"/>
    </w:r>
    <w:r>
      <w:instrText xml:space="preserve"> REF DocketList</w:instrText>
    </w:r>
    <w:r>
      <w:fldChar w:fldCharType="separate"/>
    </w:r>
    <w:r w:rsidR="0014690B">
      <w:t>20190031-WU</w:t>
    </w:r>
    <w:r>
      <w:fldChar w:fldCharType="end"/>
    </w:r>
    <w:r>
      <w:tab/>
    </w:r>
    <w:r>
      <w:tab/>
      <w:t>Schedule No. 3-A</w:t>
    </w:r>
  </w:p>
  <w:p w:rsidR="00001106" w:rsidRDefault="00001106">
    <w:pPr>
      <w:pStyle w:val="Header"/>
    </w:pPr>
    <w:r>
      <w:t xml:space="preserve">Date: </w:t>
    </w:r>
    <w:r w:rsidR="009019FF">
      <w:fldChar w:fldCharType="begin"/>
    </w:r>
    <w:r w:rsidR="009019FF">
      <w:instrText xml:space="preserve"> REF FilingDate </w:instrText>
    </w:r>
    <w:r w:rsidR="009019FF">
      <w:fldChar w:fldCharType="separate"/>
    </w:r>
    <w:r w:rsidR="0014690B">
      <w:t>November 26, 2019</w:t>
    </w:r>
    <w:r w:rsidR="009019FF">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106" w:rsidRDefault="00001106" w:rsidP="00220732">
    <w:pPr>
      <w:pStyle w:val="Header"/>
      <w:tabs>
        <w:tab w:val="clear" w:pos="4320"/>
        <w:tab w:val="clear" w:pos="8640"/>
        <w:tab w:val="right" w:pos="9360"/>
      </w:tabs>
    </w:pPr>
    <w:r>
      <w:fldChar w:fldCharType="begin"/>
    </w:r>
    <w:r>
      <w:instrText xml:space="preserve"> REF DocketLabel</w:instrText>
    </w:r>
    <w:r>
      <w:fldChar w:fldCharType="separate"/>
    </w:r>
    <w:r w:rsidR="0014690B">
      <w:t>Docket No.</w:t>
    </w:r>
    <w:r>
      <w:fldChar w:fldCharType="end"/>
    </w:r>
    <w:r>
      <w:t xml:space="preserve"> </w:t>
    </w:r>
    <w:r>
      <w:fldChar w:fldCharType="begin"/>
    </w:r>
    <w:r>
      <w:instrText xml:space="preserve"> REF DocketList</w:instrText>
    </w:r>
    <w:r>
      <w:fldChar w:fldCharType="separate"/>
    </w:r>
    <w:r w:rsidR="0014690B">
      <w:t>20190031-WU</w:t>
    </w:r>
    <w:r>
      <w:fldChar w:fldCharType="end"/>
    </w:r>
    <w:r>
      <w:tab/>
      <w:t>Schedule No. 3-B</w:t>
    </w:r>
  </w:p>
  <w:p w:rsidR="00001106" w:rsidRDefault="00001106">
    <w:pPr>
      <w:pStyle w:val="Header"/>
    </w:pPr>
    <w:r>
      <w:t xml:space="preserve">Date: </w:t>
    </w:r>
    <w:r w:rsidR="009019FF">
      <w:fldChar w:fldCharType="begin"/>
    </w:r>
    <w:r w:rsidR="009019FF">
      <w:instrText xml:space="preserve"> REF FilingDate </w:instrText>
    </w:r>
    <w:r w:rsidR="009019FF">
      <w:fldChar w:fldCharType="separate"/>
    </w:r>
    <w:r w:rsidR="0014690B">
      <w:t>November 26, 2019</w:t>
    </w:r>
    <w:r w:rsidR="009019FF">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106" w:rsidRDefault="00001106" w:rsidP="00220732">
    <w:pPr>
      <w:pStyle w:val="Header"/>
      <w:tabs>
        <w:tab w:val="clear" w:pos="4320"/>
        <w:tab w:val="clear" w:pos="8640"/>
        <w:tab w:val="right" w:pos="9360"/>
      </w:tabs>
    </w:pPr>
    <w:r>
      <w:fldChar w:fldCharType="begin"/>
    </w:r>
    <w:r>
      <w:instrText xml:space="preserve"> REF DocketLabel</w:instrText>
    </w:r>
    <w:r>
      <w:fldChar w:fldCharType="separate"/>
    </w:r>
    <w:r w:rsidR="0014690B">
      <w:t>Docket No.</w:t>
    </w:r>
    <w:r>
      <w:fldChar w:fldCharType="end"/>
    </w:r>
    <w:r>
      <w:t xml:space="preserve"> </w:t>
    </w:r>
    <w:r>
      <w:fldChar w:fldCharType="begin"/>
    </w:r>
    <w:r>
      <w:instrText xml:space="preserve"> REF DocketList</w:instrText>
    </w:r>
    <w:r>
      <w:fldChar w:fldCharType="separate"/>
    </w:r>
    <w:r w:rsidR="0014690B">
      <w:t>20190031-WU</w:t>
    </w:r>
    <w:r>
      <w:fldChar w:fldCharType="end"/>
    </w:r>
    <w:r>
      <w:tab/>
      <w:t>Schedule No. 4</w:t>
    </w:r>
  </w:p>
  <w:p w:rsidR="00001106" w:rsidRDefault="00001106">
    <w:pPr>
      <w:pStyle w:val="Header"/>
    </w:pPr>
    <w:r>
      <w:t xml:space="preserve">Date: </w:t>
    </w:r>
    <w:r w:rsidR="009019FF">
      <w:fldChar w:fldCharType="begin"/>
    </w:r>
    <w:r w:rsidR="009019FF">
      <w:instrText xml:space="preserve"> REF FilingDate </w:instrText>
    </w:r>
    <w:r w:rsidR="009019FF">
      <w:fldChar w:fldCharType="separate"/>
    </w:r>
    <w:r w:rsidR="0014690B">
      <w:t>November 26, 2019</w:t>
    </w:r>
    <w:r w:rsidR="009019FF">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106" w:rsidRDefault="000011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106" w:rsidRDefault="00001106" w:rsidP="00220732">
    <w:pPr>
      <w:pStyle w:val="Header"/>
      <w:tabs>
        <w:tab w:val="clear" w:pos="4320"/>
        <w:tab w:val="clear" w:pos="8640"/>
        <w:tab w:val="right" w:pos="9360"/>
      </w:tabs>
    </w:pPr>
    <w:bookmarkStart w:id="13" w:name="DocketLabel"/>
    <w:r>
      <w:t>Docket No.</w:t>
    </w:r>
    <w:bookmarkEnd w:id="13"/>
    <w:r>
      <w:t xml:space="preserve"> </w:t>
    </w:r>
    <w:bookmarkStart w:id="14" w:name="DocketList"/>
    <w:r>
      <w:t>20190031-WU</w:t>
    </w:r>
    <w:bookmarkEnd w:id="14"/>
  </w:p>
  <w:p w:rsidR="00001106" w:rsidRDefault="00001106">
    <w:pPr>
      <w:pStyle w:val="Header"/>
    </w:pPr>
    <w:r>
      <w:t xml:space="preserve">Date: </w:t>
    </w:r>
    <w:r w:rsidR="009019FF">
      <w:fldChar w:fldCharType="begin"/>
    </w:r>
    <w:r w:rsidR="009019FF">
      <w:instrText xml:space="preserve"> REF FilingDate </w:instrText>
    </w:r>
    <w:r w:rsidR="009019FF">
      <w:fldChar w:fldCharType="separate"/>
    </w:r>
    <w:r w:rsidR="0014690B">
      <w:t>November 26, 2019</w:t>
    </w:r>
    <w:r w:rsidR="009019FF">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106" w:rsidRDefault="0000110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106" w:rsidRDefault="00001106" w:rsidP="00220732">
    <w:pPr>
      <w:pStyle w:val="Header"/>
      <w:tabs>
        <w:tab w:val="clear" w:pos="4320"/>
        <w:tab w:val="clear" w:pos="8640"/>
        <w:tab w:val="right" w:pos="9360"/>
      </w:tabs>
    </w:pPr>
    <w:r>
      <w:fldChar w:fldCharType="begin"/>
    </w:r>
    <w:r>
      <w:instrText xml:space="preserve"> REF DocketLabel</w:instrText>
    </w:r>
    <w:r>
      <w:fldChar w:fldCharType="separate"/>
    </w:r>
    <w:r w:rsidR="0014690B">
      <w:t>Docket No.</w:t>
    </w:r>
    <w:r>
      <w:fldChar w:fldCharType="end"/>
    </w:r>
    <w:r>
      <w:t xml:space="preserve"> </w:t>
    </w:r>
    <w:r>
      <w:fldChar w:fldCharType="begin"/>
    </w:r>
    <w:r>
      <w:instrText xml:space="preserve"> REF DocketList</w:instrText>
    </w:r>
    <w:r>
      <w:fldChar w:fldCharType="separate"/>
    </w:r>
    <w:r w:rsidR="0014690B">
      <w:t>20190031-WU</w:t>
    </w:r>
    <w:r>
      <w:fldChar w:fldCharType="end"/>
    </w:r>
    <w:r>
      <w:tab/>
      <w:t xml:space="preserve">Issue </w:t>
    </w:r>
    <w:r w:rsidR="009019FF">
      <w:fldChar w:fldCharType="begin"/>
    </w:r>
    <w:r w:rsidR="009019FF">
      <w:instrText xml:space="preserve"> Seq Issue \c \* Arabic </w:instrText>
    </w:r>
    <w:r w:rsidR="009019FF">
      <w:fldChar w:fldCharType="separate"/>
    </w:r>
    <w:r w:rsidR="005D0E19">
      <w:rPr>
        <w:noProof/>
      </w:rPr>
      <w:t>16</w:t>
    </w:r>
    <w:r w:rsidR="009019FF">
      <w:rPr>
        <w:noProof/>
      </w:rPr>
      <w:fldChar w:fldCharType="end"/>
    </w:r>
  </w:p>
  <w:p w:rsidR="00001106" w:rsidRDefault="00001106">
    <w:pPr>
      <w:pStyle w:val="Header"/>
    </w:pPr>
    <w:r>
      <w:t xml:space="preserve">Date: </w:t>
    </w:r>
    <w:r w:rsidR="009019FF">
      <w:fldChar w:fldCharType="begin"/>
    </w:r>
    <w:r w:rsidR="009019FF">
      <w:instrText xml:space="preserve"> REF FilingDate </w:instrText>
    </w:r>
    <w:r w:rsidR="009019FF">
      <w:fldChar w:fldCharType="separate"/>
    </w:r>
    <w:r w:rsidR="0014690B">
      <w:t>November 26, 2019</w:t>
    </w:r>
    <w:r w:rsidR="009019FF">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106" w:rsidRDefault="0000110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106" w:rsidRDefault="00001106" w:rsidP="00220732">
    <w:pPr>
      <w:pStyle w:val="Header"/>
      <w:tabs>
        <w:tab w:val="clear" w:pos="4320"/>
        <w:tab w:val="clear" w:pos="8640"/>
        <w:tab w:val="right" w:pos="9360"/>
      </w:tabs>
    </w:pPr>
    <w:r>
      <w:fldChar w:fldCharType="begin"/>
    </w:r>
    <w:r>
      <w:instrText xml:space="preserve"> REF DocketLabel</w:instrText>
    </w:r>
    <w:r>
      <w:fldChar w:fldCharType="separate"/>
    </w:r>
    <w:r w:rsidR="0014690B">
      <w:t>Docket No.</w:t>
    </w:r>
    <w:r>
      <w:fldChar w:fldCharType="end"/>
    </w:r>
    <w:r>
      <w:t xml:space="preserve"> </w:t>
    </w:r>
    <w:r>
      <w:fldChar w:fldCharType="begin"/>
    </w:r>
    <w:r>
      <w:instrText xml:space="preserve"> REF DocketList</w:instrText>
    </w:r>
    <w:r>
      <w:fldChar w:fldCharType="separate"/>
    </w:r>
    <w:r w:rsidR="0014690B">
      <w:t>20190031-WU</w:t>
    </w:r>
    <w:r>
      <w:fldChar w:fldCharType="end"/>
    </w:r>
    <w:r>
      <w:tab/>
      <w:t>Schedule No. 1-A</w:t>
    </w:r>
  </w:p>
  <w:p w:rsidR="00001106" w:rsidRDefault="00001106">
    <w:pPr>
      <w:pStyle w:val="Header"/>
    </w:pPr>
    <w:r>
      <w:t xml:space="preserve">Date: </w:t>
    </w:r>
    <w:r w:rsidR="009019FF">
      <w:fldChar w:fldCharType="begin"/>
    </w:r>
    <w:r w:rsidR="009019FF">
      <w:instrText xml:space="preserve"> REF FilingDate </w:instrText>
    </w:r>
    <w:r w:rsidR="009019FF">
      <w:fldChar w:fldCharType="separate"/>
    </w:r>
    <w:r w:rsidR="0014690B">
      <w:t>November 26, 2019</w:t>
    </w:r>
    <w:r w:rsidR="009019FF">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106" w:rsidRDefault="00001106" w:rsidP="00220732">
    <w:pPr>
      <w:pStyle w:val="Header"/>
      <w:tabs>
        <w:tab w:val="clear" w:pos="4320"/>
        <w:tab w:val="clear" w:pos="8640"/>
        <w:tab w:val="right" w:pos="9360"/>
      </w:tabs>
    </w:pPr>
    <w:r>
      <w:fldChar w:fldCharType="begin"/>
    </w:r>
    <w:r>
      <w:instrText xml:space="preserve"> REF DocketLabel</w:instrText>
    </w:r>
    <w:r>
      <w:fldChar w:fldCharType="separate"/>
    </w:r>
    <w:r w:rsidR="0014690B">
      <w:t>Docket No.</w:t>
    </w:r>
    <w:r>
      <w:fldChar w:fldCharType="end"/>
    </w:r>
    <w:r>
      <w:t xml:space="preserve"> </w:t>
    </w:r>
    <w:r>
      <w:fldChar w:fldCharType="begin"/>
    </w:r>
    <w:r>
      <w:instrText xml:space="preserve"> REF DocketList</w:instrText>
    </w:r>
    <w:r>
      <w:fldChar w:fldCharType="separate"/>
    </w:r>
    <w:r w:rsidR="0014690B">
      <w:t>20190031-WU</w:t>
    </w:r>
    <w:r>
      <w:fldChar w:fldCharType="end"/>
    </w:r>
    <w:r>
      <w:tab/>
      <w:t>Schedule No. 1-B</w:t>
    </w:r>
  </w:p>
  <w:p w:rsidR="00001106" w:rsidRDefault="00001106">
    <w:pPr>
      <w:pStyle w:val="Header"/>
    </w:pPr>
    <w:r>
      <w:t xml:space="preserve">Date: </w:t>
    </w:r>
    <w:r w:rsidR="009019FF">
      <w:fldChar w:fldCharType="begin"/>
    </w:r>
    <w:r w:rsidR="009019FF">
      <w:instrText xml:space="preserve"> REF FilingDate </w:instrText>
    </w:r>
    <w:r w:rsidR="009019FF">
      <w:fldChar w:fldCharType="separate"/>
    </w:r>
    <w:r w:rsidR="0014690B">
      <w:t>November 26, 2019</w:t>
    </w:r>
    <w:r w:rsidR="009019FF">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106" w:rsidRDefault="00001106" w:rsidP="00220732">
    <w:pPr>
      <w:pStyle w:val="Header"/>
      <w:tabs>
        <w:tab w:val="clear" w:pos="4320"/>
        <w:tab w:val="clear" w:pos="8640"/>
        <w:tab w:val="right" w:pos="9360"/>
      </w:tabs>
    </w:pPr>
    <w:r>
      <w:fldChar w:fldCharType="begin"/>
    </w:r>
    <w:r>
      <w:instrText xml:space="preserve"> REF DocketLabel</w:instrText>
    </w:r>
    <w:r>
      <w:fldChar w:fldCharType="separate"/>
    </w:r>
    <w:r w:rsidR="0014690B">
      <w:t>Docket No.</w:t>
    </w:r>
    <w:r>
      <w:fldChar w:fldCharType="end"/>
    </w:r>
    <w:r>
      <w:t xml:space="preserve"> </w:t>
    </w:r>
    <w:r>
      <w:fldChar w:fldCharType="begin"/>
    </w:r>
    <w:r>
      <w:instrText xml:space="preserve"> REF DocketList</w:instrText>
    </w:r>
    <w:r>
      <w:fldChar w:fldCharType="separate"/>
    </w:r>
    <w:r w:rsidR="0014690B">
      <w:t>20190031-WU</w:t>
    </w:r>
    <w:r>
      <w:fldChar w:fldCharType="end"/>
    </w:r>
    <w:r>
      <w:tab/>
    </w:r>
    <w:r>
      <w:tab/>
      <w:t>Schedule No. 2</w:t>
    </w:r>
  </w:p>
  <w:p w:rsidR="00001106" w:rsidRDefault="00001106">
    <w:pPr>
      <w:pStyle w:val="Header"/>
    </w:pPr>
    <w:r>
      <w:t xml:space="preserve">Date: </w:t>
    </w:r>
    <w:r w:rsidR="009019FF">
      <w:fldChar w:fldCharType="begin"/>
    </w:r>
    <w:r w:rsidR="009019FF">
      <w:instrText xml:space="preserve"> REF FilingDate </w:instrText>
    </w:r>
    <w:r w:rsidR="009019FF">
      <w:fldChar w:fldCharType="separate"/>
    </w:r>
    <w:r w:rsidR="0014690B">
      <w:t>November 26, 2019</w:t>
    </w:r>
    <w:r w:rsidR="009019FF">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252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False"/>
    <w:docVar w:name="NumberOfIssues" w:val="0"/>
    <w:docVar w:name="StaffInToC" w:val="True"/>
  </w:docVars>
  <w:rsids>
    <w:rsidRoot w:val="00165B94"/>
    <w:rsid w:val="00001106"/>
    <w:rsid w:val="000043D5"/>
    <w:rsid w:val="00006170"/>
    <w:rsid w:val="00010E37"/>
    <w:rsid w:val="000172DA"/>
    <w:rsid w:val="00022782"/>
    <w:rsid w:val="000247C5"/>
    <w:rsid w:val="000277C2"/>
    <w:rsid w:val="00035B48"/>
    <w:rsid w:val="00036CE2"/>
    <w:rsid w:val="000437FE"/>
    <w:rsid w:val="000513BE"/>
    <w:rsid w:val="00065A06"/>
    <w:rsid w:val="000666F3"/>
    <w:rsid w:val="00070DCB"/>
    <w:rsid w:val="00072CCA"/>
    <w:rsid w:val="00073120"/>
    <w:rsid w:val="000764D0"/>
    <w:rsid w:val="000828D3"/>
    <w:rsid w:val="000A2B57"/>
    <w:rsid w:val="000A418B"/>
    <w:rsid w:val="000C4431"/>
    <w:rsid w:val="000D1C06"/>
    <w:rsid w:val="000D4319"/>
    <w:rsid w:val="000E6453"/>
    <w:rsid w:val="000E7B76"/>
    <w:rsid w:val="000F374A"/>
    <w:rsid w:val="0010630D"/>
    <w:rsid w:val="001076AF"/>
    <w:rsid w:val="00117C8C"/>
    <w:rsid w:val="00124C38"/>
    <w:rsid w:val="00124E2E"/>
    <w:rsid w:val="00125ED4"/>
    <w:rsid w:val="001305E9"/>
    <w:rsid w:val="001307AF"/>
    <w:rsid w:val="00135687"/>
    <w:rsid w:val="0014690B"/>
    <w:rsid w:val="0015506E"/>
    <w:rsid w:val="00163031"/>
    <w:rsid w:val="00165B94"/>
    <w:rsid w:val="001707D2"/>
    <w:rsid w:val="00171A90"/>
    <w:rsid w:val="00172F7D"/>
    <w:rsid w:val="001743DD"/>
    <w:rsid w:val="00180254"/>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569FC"/>
    <w:rsid w:val="00263D44"/>
    <w:rsid w:val="00264DBC"/>
    <w:rsid w:val="002702AD"/>
    <w:rsid w:val="00292D82"/>
    <w:rsid w:val="002963CB"/>
    <w:rsid w:val="002B4A01"/>
    <w:rsid w:val="002D226D"/>
    <w:rsid w:val="002F6030"/>
    <w:rsid w:val="003037E1"/>
    <w:rsid w:val="00307E51"/>
    <w:rsid w:val="003103EC"/>
    <w:rsid w:val="003144EF"/>
    <w:rsid w:val="00322F74"/>
    <w:rsid w:val="003330E2"/>
    <w:rsid w:val="00335250"/>
    <w:rsid w:val="00340073"/>
    <w:rsid w:val="003632FD"/>
    <w:rsid w:val="00363621"/>
    <w:rsid w:val="00372805"/>
    <w:rsid w:val="00373180"/>
    <w:rsid w:val="00375AB9"/>
    <w:rsid w:val="0037681D"/>
    <w:rsid w:val="003821A0"/>
    <w:rsid w:val="00385B04"/>
    <w:rsid w:val="003864CF"/>
    <w:rsid w:val="003948AE"/>
    <w:rsid w:val="003A22A6"/>
    <w:rsid w:val="003A423C"/>
    <w:rsid w:val="003A5494"/>
    <w:rsid w:val="003B2510"/>
    <w:rsid w:val="003C2CC4"/>
    <w:rsid w:val="003C3710"/>
    <w:rsid w:val="003D40A9"/>
    <w:rsid w:val="003E0EFC"/>
    <w:rsid w:val="003E4A2B"/>
    <w:rsid w:val="003E76C2"/>
    <w:rsid w:val="003F0593"/>
    <w:rsid w:val="003F1679"/>
    <w:rsid w:val="003F21EB"/>
    <w:rsid w:val="003F4A35"/>
    <w:rsid w:val="003F7FDD"/>
    <w:rsid w:val="00402481"/>
    <w:rsid w:val="004042B4"/>
    <w:rsid w:val="00410DC4"/>
    <w:rsid w:val="00412DAE"/>
    <w:rsid w:val="00416540"/>
    <w:rsid w:val="004242E6"/>
    <w:rsid w:val="00431598"/>
    <w:rsid w:val="004319AD"/>
    <w:rsid w:val="004373DD"/>
    <w:rsid w:val="004426B8"/>
    <w:rsid w:val="00442896"/>
    <w:rsid w:val="00444432"/>
    <w:rsid w:val="00444C60"/>
    <w:rsid w:val="004557CA"/>
    <w:rsid w:val="00464734"/>
    <w:rsid w:val="00466D69"/>
    <w:rsid w:val="00471860"/>
    <w:rsid w:val="004752E6"/>
    <w:rsid w:val="00477026"/>
    <w:rsid w:val="004A0EC2"/>
    <w:rsid w:val="004A744D"/>
    <w:rsid w:val="004B60BD"/>
    <w:rsid w:val="004C3150"/>
    <w:rsid w:val="004C3641"/>
    <w:rsid w:val="004C367B"/>
    <w:rsid w:val="004C4390"/>
    <w:rsid w:val="004C4AF7"/>
    <w:rsid w:val="004D2881"/>
    <w:rsid w:val="004D385F"/>
    <w:rsid w:val="004D5B39"/>
    <w:rsid w:val="004E330D"/>
    <w:rsid w:val="004E5147"/>
    <w:rsid w:val="004E69B5"/>
    <w:rsid w:val="004F5A62"/>
    <w:rsid w:val="004F5C43"/>
    <w:rsid w:val="0050652D"/>
    <w:rsid w:val="00506C03"/>
    <w:rsid w:val="00511A11"/>
    <w:rsid w:val="00516496"/>
    <w:rsid w:val="00517C2A"/>
    <w:rsid w:val="00523B11"/>
    <w:rsid w:val="00524A0E"/>
    <w:rsid w:val="0052572A"/>
    <w:rsid w:val="00527C05"/>
    <w:rsid w:val="00532DFB"/>
    <w:rsid w:val="00540A19"/>
    <w:rsid w:val="00543CB3"/>
    <w:rsid w:val="005442E4"/>
    <w:rsid w:val="0055529B"/>
    <w:rsid w:val="00560FF0"/>
    <w:rsid w:val="005614BD"/>
    <w:rsid w:val="0057154F"/>
    <w:rsid w:val="00580F69"/>
    <w:rsid w:val="00581CA3"/>
    <w:rsid w:val="00587A44"/>
    <w:rsid w:val="00597730"/>
    <w:rsid w:val="005977EC"/>
    <w:rsid w:val="00597DE7"/>
    <w:rsid w:val="005A4AA2"/>
    <w:rsid w:val="005B34B6"/>
    <w:rsid w:val="005B6C8F"/>
    <w:rsid w:val="005B6EC3"/>
    <w:rsid w:val="005C5F6E"/>
    <w:rsid w:val="005C7926"/>
    <w:rsid w:val="005D0E19"/>
    <w:rsid w:val="005D0F74"/>
    <w:rsid w:val="005D2E7D"/>
    <w:rsid w:val="005D4A8F"/>
    <w:rsid w:val="005D561B"/>
    <w:rsid w:val="005D5ECF"/>
    <w:rsid w:val="005F468D"/>
    <w:rsid w:val="005F69A3"/>
    <w:rsid w:val="00604CC7"/>
    <w:rsid w:val="00604F4A"/>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86FBE"/>
    <w:rsid w:val="006950C4"/>
    <w:rsid w:val="00696F5D"/>
    <w:rsid w:val="00697249"/>
    <w:rsid w:val="006B3947"/>
    <w:rsid w:val="006B4293"/>
    <w:rsid w:val="006B52D1"/>
    <w:rsid w:val="006B624F"/>
    <w:rsid w:val="006C0C95"/>
    <w:rsid w:val="006C31E3"/>
    <w:rsid w:val="006D18D3"/>
    <w:rsid w:val="006E08CB"/>
    <w:rsid w:val="006E598D"/>
    <w:rsid w:val="006F104A"/>
    <w:rsid w:val="006F5412"/>
    <w:rsid w:val="0070437D"/>
    <w:rsid w:val="00704CF1"/>
    <w:rsid w:val="00705B04"/>
    <w:rsid w:val="007245DC"/>
    <w:rsid w:val="00724992"/>
    <w:rsid w:val="00734820"/>
    <w:rsid w:val="007349DC"/>
    <w:rsid w:val="0074365E"/>
    <w:rsid w:val="00744B55"/>
    <w:rsid w:val="00747323"/>
    <w:rsid w:val="007515FD"/>
    <w:rsid w:val="00760D80"/>
    <w:rsid w:val="00771334"/>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148DF"/>
    <w:rsid w:val="00816624"/>
    <w:rsid w:val="00822427"/>
    <w:rsid w:val="00822562"/>
    <w:rsid w:val="00822A69"/>
    <w:rsid w:val="00823663"/>
    <w:rsid w:val="00832DDC"/>
    <w:rsid w:val="00843A47"/>
    <w:rsid w:val="00844B5A"/>
    <w:rsid w:val="00850BAC"/>
    <w:rsid w:val="00852FCB"/>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2F8"/>
    <w:rsid w:val="00901C8A"/>
    <w:rsid w:val="00905886"/>
    <w:rsid w:val="009070D6"/>
    <w:rsid w:val="009076C6"/>
    <w:rsid w:val="0091019E"/>
    <w:rsid w:val="009106F1"/>
    <w:rsid w:val="00912404"/>
    <w:rsid w:val="009145D6"/>
    <w:rsid w:val="009171E4"/>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4151"/>
    <w:rsid w:val="009A7C96"/>
    <w:rsid w:val="009C3DB9"/>
    <w:rsid w:val="009D46E5"/>
    <w:rsid w:val="009D568A"/>
    <w:rsid w:val="009F04EC"/>
    <w:rsid w:val="009F2A7C"/>
    <w:rsid w:val="009F3B36"/>
    <w:rsid w:val="00A019B9"/>
    <w:rsid w:val="00A12508"/>
    <w:rsid w:val="00A1282B"/>
    <w:rsid w:val="00A13A27"/>
    <w:rsid w:val="00A175B6"/>
    <w:rsid w:val="00A21340"/>
    <w:rsid w:val="00A21835"/>
    <w:rsid w:val="00A2374B"/>
    <w:rsid w:val="00A27D6E"/>
    <w:rsid w:val="00A328EC"/>
    <w:rsid w:val="00A33A51"/>
    <w:rsid w:val="00A41CA6"/>
    <w:rsid w:val="00A47927"/>
    <w:rsid w:val="00A47FFC"/>
    <w:rsid w:val="00A5442F"/>
    <w:rsid w:val="00A54FF9"/>
    <w:rsid w:val="00A56765"/>
    <w:rsid w:val="00A675AC"/>
    <w:rsid w:val="00A7581F"/>
    <w:rsid w:val="00A91803"/>
    <w:rsid w:val="00A92FB1"/>
    <w:rsid w:val="00A95A0C"/>
    <w:rsid w:val="00AA2765"/>
    <w:rsid w:val="00AA77B5"/>
    <w:rsid w:val="00AB6C5D"/>
    <w:rsid w:val="00AC3401"/>
    <w:rsid w:val="00AC51A7"/>
    <w:rsid w:val="00AD444B"/>
    <w:rsid w:val="00AD5614"/>
    <w:rsid w:val="00AD6C78"/>
    <w:rsid w:val="00AE2ADC"/>
    <w:rsid w:val="00AE2EAB"/>
    <w:rsid w:val="00AF2909"/>
    <w:rsid w:val="00AF5428"/>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21EC"/>
    <w:rsid w:val="00B760F1"/>
    <w:rsid w:val="00B7669E"/>
    <w:rsid w:val="00B77DA1"/>
    <w:rsid w:val="00B822A0"/>
    <w:rsid w:val="00B858AE"/>
    <w:rsid w:val="00B85964"/>
    <w:rsid w:val="00B96250"/>
    <w:rsid w:val="00BA0D55"/>
    <w:rsid w:val="00BA37B3"/>
    <w:rsid w:val="00BA4CC6"/>
    <w:rsid w:val="00BB3493"/>
    <w:rsid w:val="00BB7468"/>
    <w:rsid w:val="00BC188A"/>
    <w:rsid w:val="00BC1B39"/>
    <w:rsid w:val="00BC402E"/>
    <w:rsid w:val="00BD0F48"/>
    <w:rsid w:val="00BD2393"/>
    <w:rsid w:val="00BE0D87"/>
    <w:rsid w:val="00BE6DDB"/>
    <w:rsid w:val="00BF5010"/>
    <w:rsid w:val="00C01865"/>
    <w:rsid w:val="00C03D5F"/>
    <w:rsid w:val="00C13791"/>
    <w:rsid w:val="00C31BB3"/>
    <w:rsid w:val="00C359C4"/>
    <w:rsid w:val="00C36977"/>
    <w:rsid w:val="00C467DA"/>
    <w:rsid w:val="00C477D9"/>
    <w:rsid w:val="00C60BA3"/>
    <w:rsid w:val="00C623F7"/>
    <w:rsid w:val="00C62A81"/>
    <w:rsid w:val="00C64C44"/>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A7BD3"/>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0DFF"/>
    <w:rsid w:val="00DF1510"/>
    <w:rsid w:val="00E02F1F"/>
    <w:rsid w:val="00E06484"/>
    <w:rsid w:val="00E20A7D"/>
    <w:rsid w:val="00E275D8"/>
    <w:rsid w:val="00E30F6A"/>
    <w:rsid w:val="00E3117C"/>
    <w:rsid w:val="00E375CA"/>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F264C"/>
    <w:rsid w:val="00EF3FEE"/>
    <w:rsid w:val="00F04B59"/>
    <w:rsid w:val="00F11741"/>
    <w:rsid w:val="00F12B1C"/>
    <w:rsid w:val="00F13CF8"/>
    <w:rsid w:val="00F14745"/>
    <w:rsid w:val="00F15855"/>
    <w:rsid w:val="00F16909"/>
    <w:rsid w:val="00F200B2"/>
    <w:rsid w:val="00F227DC"/>
    <w:rsid w:val="00F32978"/>
    <w:rsid w:val="00F45CB2"/>
    <w:rsid w:val="00F5213F"/>
    <w:rsid w:val="00F544C0"/>
    <w:rsid w:val="00F55332"/>
    <w:rsid w:val="00F6504A"/>
    <w:rsid w:val="00F65519"/>
    <w:rsid w:val="00F703F9"/>
    <w:rsid w:val="00F713C0"/>
    <w:rsid w:val="00F75DDC"/>
    <w:rsid w:val="00F7792F"/>
    <w:rsid w:val="00F842AA"/>
    <w:rsid w:val="00F8476F"/>
    <w:rsid w:val="00F853E1"/>
    <w:rsid w:val="00F85604"/>
    <w:rsid w:val="00F94B7A"/>
    <w:rsid w:val="00F953FB"/>
    <w:rsid w:val="00FA17AC"/>
    <w:rsid w:val="00FA32DE"/>
    <w:rsid w:val="00FA3382"/>
    <w:rsid w:val="00FA59CD"/>
    <w:rsid w:val="00FB1740"/>
    <w:rsid w:val="00FC5469"/>
    <w:rsid w:val="00FC6D7D"/>
    <w:rsid w:val="00FD16B0"/>
    <w:rsid w:val="00FD4FED"/>
    <w:rsid w:val="00FE0150"/>
    <w:rsid w:val="00FE0577"/>
    <w:rsid w:val="00FE59EC"/>
    <w:rsid w:val="00FE5B67"/>
    <w:rsid w:val="00FE60D6"/>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unhideWhenUsed/>
    <w:rsid w:val="00165B9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unhideWhenUsed/>
    <w:rsid w:val="00165B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image" Target="media/image4.emf"/><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image" Target="media/image2.emf"/><Relationship Id="rId27" Type="http://schemas.openxmlformats.org/officeDocument/2006/relationships/header" Target="header10.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6B1E5-4C1A-47C1-AAF9-83CB47FFB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29</Pages>
  <Words>7277</Words>
  <Characters>43711</Characters>
  <Application>Microsoft Office Word</Application>
  <DocSecurity>0</DocSecurity>
  <Lines>364</Lines>
  <Paragraphs>101</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50887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Marissa Ramos</dc:creator>
  <cp:lastModifiedBy>Jackie Colson</cp:lastModifiedBy>
  <cp:revision>2</cp:revision>
  <cp:lastPrinted>2019-11-26T15:10:00Z</cp:lastPrinted>
  <dcterms:created xsi:type="dcterms:W3CDTF">2019-11-26T16:06:00Z</dcterms:created>
  <dcterms:modified xsi:type="dcterms:W3CDTF">2019-11-26T16:06:00Z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20190031-WU</vt:lpwstr>
  </property>
  <property fmtid="{D5CDD505-2E9C-101B-9397-08002B2CF9AE}" pid="3" name="MasterDocument">
    <vt:bool>false</vt:bool>
  </property>
</Properties>
</file>