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63B69" w:rsidP="00F63B69">
      <w:pPr>
        <w:pStyle w:val="OrderHeading"/>
      </w:pPr>
      <w:r>
        <w:t>BEFORE THE FLORIDA PUBLIC SERVICE COMMISSION</w:t>
      </w:r>
    </w:p>
    <w:p w:rsidR="00F63B69" w:rsidRDefault="00F63B69" w:rsidP="00F63B69">
      <w:pPr>
        <w:pStyle w:val="OrderBody"/>
      </w:pPr>
    </w:p>
    <w:p w:rsidR="00F63B69" w:rsidRDefault="00F63B69" w:rsidP="00F63B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3B69" w:rsidRPr="00C63FCF" w:rsidTr="00765DDA">
        <w:trPr>
          <w:trHeight w:val="828"/>
        </w:trPr>
        <w:tc>
          <w:tcPr>
            <w:tcW w:w="4788" w:type="dxa"/>
            <w:tcBorders>
              <w:bottom w:val="single" w:sz="8" w:space="0" w:color="auto"/>
              <w:right w:val="double" w:sz="6" w:space="0" w:color="auto"/>
            </w:tcBorders>
            <w:shd w:val="clear" w:color="auto" w:fill="auto"/>
          </w:tcPr>
          <w:p w:rsidR="00F63B69" w:rsidRDefault="00F63B69" w:rsidP="00765DDA">
            <w:pPr>
              <w:pStyle w:val="OrderBody"/>
              <w:tabs>
                <w:tab w:val="center" w:pos="4320"/>
                <w:tab w:val="right" w:pos="8640"/>
              </w:tabs>
              <w:jc w:val="left"/>
            </w:pPr>
            <w:r>
              <w:t xml:space="preserve">In re: </w:t>
            </w:r>
            <w:bookmarkStart w:id="0" w:name="SSInRe"/>
            <w:bookmarkEnd w:id="0"/>
            <w:r>
              <w:t>Application for rate increase in Highlands, Hardee, and Desoto Counties, by Sebring Gas System, Inc.</w:t>
            </w:r>
          </w:p>
        </w:tc>
        <w:tc>
          <w:tcPr>
            <w:tcW w:w="4788" w:type="dxa"/>
            <w:tcBorders>
              <w:left w:val="double" w:sz="6" w:space="0" w:color="auto"/>
            </w:tcBorders>
            <w:shd w:val="clear" w:color="auto" w:fill="auto"/>
          </w:tcPr>
          <w:p w:rsidR="00F63B69" w:rsidRDefault="00F63B69" w:rsidP="00F63B69">
            <w:pPr>
              <w:pStyle w:val="OrderBody"/>
            </w:pPr>
            <w:r>
              <w:t xml:space="preserve">DOCKET NO. </w:t>
            </w:r>
            <w:bookmarkStart w:id="1" w:name="SSDocketNo"/>
            <w:bookmarkEnd w:id="1"/>
            <w:r>
              <w:t>20190083-GU</w:t>
            </w:r>
          </w:p>
          <w:p w:rsidR="00F63B69" w:rsidRDefault="00F63B69" w:rsidP="00765DDA">
            <w:pPr>
              <w:pStyle w:val="OrderBody"/>
              <w:tabs>
                <w:tab w:val="center" w:pos="4320"/>
                <w:tab w:val="right" w:pos="8640"/>
              </w:tabs>
              <w:jc w:val="left"/>
            </w:pPr>
            <w:r>
              <w:t xml:space="preserve">ORDER NO. </w:t>
            </w:r>
            <w:bookmarkStart w:id="2" w:name="OrderNo0047"/>
            <w:r w:rsidR="00AC7B8D">
              <w:t>PSC-2020-0047-PAA-GU</w:t>
            </w:r>
            <w:bookmarkEnd w:id="2"/>
          </w:p>
          <w:p w:rsidR="00F63B69" w:rsidRDefault="00F63B69" w:rsidP="00765DDA">
            <w:pPr>
              <w:pStyle w:val="OrderBody"/>
              <w:tabs>
                <w:tab w:val="center" w:pos="4320"/>
                <w:tab w:val="right" w:pos="8640"/>
              </w:tabs>
              <w:jc w:val="left"/>
            </w:pPr>
            <w:r>
              <w:t xml:space="preserve">ISSUED: </w:t>
            </w:r>
            <w:r w:rsidR="00AC7B8D">
              <w:t>February 3, 2020</w:t>
            </w:r>
          </w:p>
        </w:tc>
      </w:tr>
    </w:tbl>
    <w:p w:rsidR="00F63B69" w:rsidRDefault="00F63B69" w:rsidP="00F63B69"/>
    <w:p w:rsidR="00F63B69" w:rsidRDefault="00F63B69" w:rsidP="00F63B69"/>
    <w:p w:rsidR="00F63B69" w:rsidRDefault="00F63B69" w:rsidP="00B67A43">
      <w:pPr>
        <w:ind w:firstLine="720"/>
        <w:jc w:val="both"/>
      </w:pPr>
      <w:bookmarkStart w:id="3" w:name="Commissioners"/>
      <w:bookmarkEnd w:id="3"/>
      <w:r>
        <w:t>The following Commissioners participated in the disposition of this matter:</w:t>
      </w:r>
    </w:p>
    <w:p w:rsidR="00F63B69" w:rsidRDefault="00F63B69" w:rsidP="00B67A43"/>
    <w:p w:rsidR="00F63B69" w:rsidRDefault="00F63B69" w:rsidP="00B67A43">
      <w:pPr>
        <w:jc w:val="center"/>
      </w:pPr>
      <w:r>
        <w:t>GARY F. CLARK, Chairman</w:t>
      </w:r>
    </w:p>
    <w:p w:rsidR="00F63B69" w:rsidRDefault="00F63B69" w:rsidP="00B67A43">
      <w:pPr>
        <w:jc w:val="center"/>
      </w:pPr>
      <w:r>
        <w:t>ART GRAHAM</w:t>
      </w:r>
    </w:p>
    <w:p w:rsidR="00F63B69" w:rsidRDefault="00F63B69" w:rsidP="00B67A43">
      <w:pPr>
        <w:jc w:val="center"/>
      </w:pPr>
      <w:r>
        <w:t>JULIE I. BROWN</w:t>
      </w:r>
    </w:p>
    <w:p w:rsidR="00F63B69" w:rsidRDefault="00F63B69" w:rsidP="00B67A43">
      <w:pPr>
        <w:jc w:val="center"/>
      </w:pPr>
      <w:r>
        <w:t>DONALD J. POLMANN</w:t>
      </w:r>
    </w:p>
    <w:p w:rsidR="00F63B69" w:rsidRDefault="00F63B69" w:rsidP="00B67A43">
      <w:pPr>
        <w:jc w:val="center"/>
      </w:pPr>
      <w:r>
        <w:t>ANDREW GILES FAY</w:t>
      </w:r>
    </w:p>
    <w:p w:rsidR="00F63B69" w:rsidRDefault="00F63B69" w:rsidP="00B67A43"/>
    <w:p w:rsidR="00F63B69" w:rsidRDefault="00F63B69" w:rsidP="00F63B69">
      <w:pPr>
        <w:pStyle w:val="OrderBody"/>
      </w:pPr>
    </w:p>
    <w:bookmarkStart w:id="4" w:name="OrderText"/>
    <w:bookmarkEnd w:id="4"/>
    <w:p w:rsidR="00F63B69" w:rsidRPr="003E4B2D" w:rsidRDefault="00F63B6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147A41" w:rsidRDefault="00F63B69">
      <w:pPr>
        <w:pStyle w:val="OrderBody"/>
        <w:jc w:val="center"/>
        <w:rPr>
          <w:u w:val="single"/>
        </w:rPr>
      </w:pPr>
      <w:r w:rsidRPr="003E4B2D">
        <w:rPr>
          <w:u w:val="single"/>
        </w:rPr>
        <w:t>ORDER</w:t>
      </w:r>
      <w:bookmarkStart w:id="5" w:name="OrderTitle"/>
      <w:r w:rsidR="00147A41">
        <w:rPr>
          <w:u w:val="single"/>
        </w:rPr>
        <w:t xml:space="preserve"> APPROVING RATE INCREASE FOR SEBRING GAS SYSTEM, INC.</w:t>
      </w:r>
    </w:p>
    <w:p w:rsidR="00F63B69" w:rsidRPr="003E4B2D" w:rsidRDefault="00147A41">
      <w:pPr>
        <w:pStyle w:val="OrderBody"/>
        <w:jc w:val="center"/>
        <w:rPr>
          <w:u w:val="single"/>
        </w:rPr>
      </w:pPr>
      <w:r>
        <w:rPr>
          <w:u w:val="single"/>
        </w:rPr>
        <w:t>AND FINAL ORDER ON ACCOUNTING ADJUSTMENTS</w:t>
      </w:r>
      <w:bookmarkEnd w:id="5"/>
    </w:p>
    <w:p w:rsidR="00F63B69" w:rsidRPr="003E4B2D" w:rsidRDefault="00F63B69">
      <w:pPr>
        <w:pStyle w:val="OrderBody"/>
      </w:pPr>
    </w:p>
    <w:p w:rsidR="00F63B69" w:rsidRPr="003E4B2D" w:rsidRDefault="00F63B69">
      <w:pPr>
        <w:pStyle w:val="OrderBody"/>
      </w:pPr>
    </w:p>
    <w:p w:rsidR="00F63B69" w:rsidRPr="003E4B2D" w:rsidRDefault="00F63B69">
      <w:pPr>
        <w:pStyle w:val="OrderBody"/>
      </w:pPr>
      <w:r w:rsidRPr="003E4B2D">
        <w:t>BY THE COMMISSION:</w:t>
      </w:r>
    </w:p>
    <w:p w:rsidR="00F63B69" w:rsidRPr="003E4B2D" w:rsidRDefault="00F63B69">
      <w:pPr>
        <w:pStyle w:val="OrderBody"/>
      </w:pPr>
    </w:p>
    <w:p w:rsidR="00F63B69" w:rsidRDefault="00F63B69">
      <w:pPr>
        <w:pStyle w:val="OrderBody"/>
      </w:pPr>
      <w:r w:rsidRPr="003E4B2D">
        <w:tab/>
        <w:t>NOTICE is hereby given by the Florida Public Service Commission</w:t>
      </w:r>
      <w:r w:rsidR="00073E05">
        <w:t xml:space="preserve"> (Commission)</w:t>
      </w:r>
      <w:r w:rsidRPr="003E4B2D">
        <w:t xml:space="preserve"> that the action</w:t>
      </w:r>
      <w:r w:rsidR="00073E05">
        <w:t>s discussed herein, except for the requirement for proof of adjustment of books and records, are</w:t>
      </w:r>
      <w:r w:rsidRPr="003E4B2D">
        <w:t xml:space="preserve"> preliminary in nature and will become final unless a person whose interests are substantially affected files a petition for a formal proceeding, pursuant to Rule 25-22.029, Florida Administrative Code</w:t>
      </w:r>
      <w:r>
        <w:t xml:space="preserve"> (F.A.C.)</w:t>
      </w:r>
      <w:r w:rsidRPr="003E4B2D">
        <w:t>.</w:t>
      </w:r>
      <w:r w:rsidR="00073E05">
        <w:t xml:space="preserve"> The requirement for proof of adjustment of books and records is</w:t>
      </w:r>
      <w:r w:rsidR="00C01704">
        <w:t xml:space="preserve"> a</w:t>
      </w:r>
      <w:r w:rsidR="00073E05">
        <w:t xml:space="preserve"> final agency action and subject to reconsideration and appeal as described below under the heading, “NOTICE OF FURTHER PROCEEDINGS OR JUDICIAL REVIEW.”</w:t>
      </w:r>
    </w:p>
    <w:p w:rsidR="00CB5276" w:rsidRDefault="00CB5276" w:rsidP="00F63B69"/>
    <w:p w:rsidR="00F63B69" w:rsidRPr="00073E05" w:rsidRDefault="00F63B69" w:rsidP="00F63B69">
      <w:pPr>
        <w:keepNext/>
        <w:spacing w:after="240"/>
        <w:jc w:val="center"/>
        <w:outlineLvl w:val="0"/>
      </w:pPr>
      <w:r w:rsidRPr="00073E05">
        <w:rPr>
          <w:b/>
          <w:bCs/>
          <w:kern w:val="32"/>
          <w:szCs w:val="32"/>
        </w:rPr>
        <w:t>Background</w:t>
      </w:r>
    </w:p>
    <w:p w:rsidR="00F63B69" w:rsidRPr="00F63B69" w:rsidRDefault="00F63B69" w:rsidP="00F63B69">
      <w:pPr>
        <w:spacing w:after="240"/>
        <w:jc w:val="both"/>
      </w:pPr>
      <w:r>
        <w:tab/>
      </w:r>
      <w:r w:rsidRPr="00F63B69">
        <w:t>On April 1, 2019, Sebring Gas System, Inc. (Sebring or the Company) filed a test year notification letter with th</w:t>
      </w:r>
      <w:r w:rsidR="00441C10">
        <w:t xml:space="preserve">is </w:t>
      </w:r>
      <w:r w:rsidRPr="00F63B69">
        <w:t>Commission, pursuant to Rule 25-7.140, F.A.C., in which it stated its intent to use the calendar year 2020 as the projected test year for a proposed rate increase. The Company serves approximately 662 gas customers in Highlands, Hardee, and DeSoto counties.</w:t>
      </w:r>
    </w:p>
    <w:p w:rsidR="00F63B69" w:rsidRPr="00F63B69" w:rsidRDefault="00F63B69" w:rsidP="00F63B69">
      <w:pPr>
        <w:spacing w:after="240"/>
        <w:jc w:val="both"/>
      </w:pPr>
      <w:r>
        <w:tab/>
      </w:r>
      <w:r w:rsidRPr="00F63B69">
        <w:t>By Order No.</w:t>
      </w:r>
      <w:r w:rsidR="00441C10">
        <w:t xml:space="preserve"> 24761, issued July 5, 1991, this</w:t>
      </w:r>
      <w:r w:rsidRPr="00F63B69">
        <w:t xml:space="preserve"> Commission found Sebring to be a public utility subject to </w:t>
      </w:r>
      <w:r w:rsidR="00441C10">
        <w:t>our jurisdiction. This</w:t>
      </w:r>
      <w:r w:rsidRPr="00F63B69">
        <w:t xml:space="preserve"> Commission set initial rates for Sebring by Order No. PSC-92-0229-FOF-GU, issued April 20, 1992.</w:t>
      </w:r>
      <w:r w:rsidRPr="00F63B69">
        <w:rPr>
          <w:vertAlign w:val="superscript"/>
        </w:rPr>
        <w:footnoteReference w:id="1"/>
      </w:r>
      <w:r w:rsidRPr="00F63B69">
        <w:t xml:space="preserve"> Since </w:t>
      </w:r>
      <w:r w:rsidR="00AC10D8">
        <w:t>that time</w:t>
      </w:r>
      <w:r w:rsidRPr="00F63B69">
        <w:t>,</w:t>
      </w:r>
      <w:r w:rsidR="00441C10">
        <w:t xml:space="preserve"> the Company </w:t>
      </w:r>
      <w:r w:rsidR="00E07892">
        <w:t xml:space="preserve">has only </w:t>
      </w:r>
      <w:r w:rsidR="00441C10">
        <w:t>petitioned this</w:t>
      </w:r>
      <w:r w:rsidRPr="00F63B69">
        <w:t xml:space="preserve"> Commission for a rate increase</w:t>
      </w:r>
      <w:r w:rsidR="00AC10D8">
        <w:t xml:space="preserve"> one time;</w:t>
      </w:r>
      <w:r w:rsidRPr="00F63B69">
        <w:t xml:space="preserve"> in 2004 with rates effect</w:t>
      </w:r>
      <w:r w:rsidR="00441C10">
        <w:t>ive in 2005. In that docket, this</w:t>
      </w:r>
      <w:r w:rsidRPr="00F63B69">
        <w:t xml:space="preserve"> Commission approved a jurisdictional rate base of $1,100,766 for the projected </w:t>
      </w:r>
      <w:r w:rsidRPr="00F63B69">
        <w:lastRenderedPageBreak/>
        <w:t>y</w:t>
      </w:r>
      <w:r w:rsidR="00441C10">
        <w:t>ear ended December 31, 2005. This</w:t>
      </w:r>
      <w:r w:rsidRPr="00F63B69">
        <w:t xml:space="preserve"> Commission also approved a weighted average overall rate of return of 8.64 percent, including a cost rate for common equity of 11.5 percent, with an authorized return on equity of plus or minus 100 basis points.</w:t>
      </w:r>
      <w:r w:rsidRPr="00F63B69">
        <w:rPr>
          <w:vertAlign w:val="superscript"/>
        </w:rPr>
        <w:footnoteReference w:id="2"/>
      </w:r>
      <w:r w:rsidRPr="00F63B69">
        <w:t xml:space="preserve">  </w:t>
      </w:r>
    </w:p>
    <w:p w:rsidR="00F63B69" w:rsidRPr="00F63B69" w:rsidRDefault="00F63B69" w:rsidP="00F63B69">
      <w:pPr>
        <w:spacing w:after="240"/>
        <w:jc w:val="both"/>
      </w:pPr>
      <w:r>
        <w:tab/>
      </w:r>
      <w:r w:rsidRPr="00F63B69">
        <w:t>On June 5, 2019, Sebring filed its petition for a permanent rate i</w:t>
      </w:r>
      <w:r w:rsidR="00441C10">
        <w:t>ncrease with this</w:t>
      </w:r>
      <w:r w:rsidRPr="00F63B69">
        <w:t xml:space="preserve"> Commission. The Company requested </w:t>
      </w:r>
      <w:r w:rsidR="00441C10">
        <w:t>we</w:t>
      </w:r>
      <w:r w:rsidRPr="00F63B69">
        <w:t xml:space="preserve"> process its request as a Proposed Agency Action (PAA). In its petition filed on June 5, 2019, Sebring requested an increase of $309,847 in additional annual revenues. Its request was based on a 13-month average rate base of $5,085,214 for the projected test year ending December 31, 2020. Sebring’s requested overall rate of return is 7.70 percent, including a 12.5 percent mid-point return on common equity.</w:t>
      </w:r>
    </w:p>
    <w:p w:rsidR="00F63B69" w:rsidRPr="00F63B69" w:rsidRDefault="00F63B69" w:rsidP="00F63B69">
      <w:pPr>
        <w:spacing w:after="240"/>
        <w:jc w:val="both"/>
      </w:pPr>
      <w:r>
        <w:tab/>
      </w:r>
      <w:r w:rsidRPr="00F63B69">
        <w:t>In its inst</w:t>
      </w:r>
      <w:r w:rsidR="00E07892">
        <w:t>ant petition, the Company stated</w:t>
      </w:r>
      <w:r w:rsidRPr="00F63B69">
        <w:t xml:space="preserve"> that there are three key drivers for its request for a rate increase. According to the Company, the three key drivers include: 1) increases to rate base associated with extensions to serve new customers and additional personnel consistent with the expansion; 2) increases in regulatory costs, particularly those associated with federal pipeline safety, as well as increases in overall operating costs, including almost 15 years’ worth of inflation; and 3) income tax not currently included in customer rates and deferred income tax expense accumulated since the Company’s last rate case.</w:t>
      </w:r>
      <w:r w:rsidRPr="00F63B69">
        <w:rPr>
          <w:vertAlign w:val="superscript"/>
        </w:rPr>
        <w:footnoteReference w:id="3"/>
      </w:r>
      <w:r w:rsidR="00E07892">
        <w:t xml:space="preserve">  The Company also stated</w:t>
      </w:r>
      <w:r w:rsidRPr="00F63B69">
        <w:t xml:space="preserve"> that it has managed to avoid seeking a base rate increase for over 15 years, but “[w]ithout the requested revenue increase...its overall rate of return will fall to 3.17%, well below its currently authorized rate of return of 8.64%.”</w:t>
      </w:r>
      <w:r w:rsidRPr="00F63B69">
        <w:rPr>
          <w:vertAlign w:val="superscript"/>
        </w:rPr>
        <w:footnoteReference w:id="4"/>
      </w:r>
      <w:r w:rsidRPr="00F63B69">
        <w:t xml:space="preserve"> </w:t>
      </w:r>
    </w:p>
    <w:p w:rsidR="00F63B69" w:rsidRPr="00F63B69" w:rsidRDefault="00F63B69" w:rsidP="00F63B69">
      <w:pPr>
        <w:spacing w:after="240"/>
        <w:jc w:val="both"/>
      </w:pPr>
      <w:r>
        <w:tab/>
      </w:r>
      <w:r w:rsidRPr="00F63B69">
        <w:t>On April 3, 2019, the Office of Public Counsel (OPC) filed its Notice of Intervention in this proceeding, pursuant to Section 350.</w:t>
      </w:r>
      <w:r w:rsidR="00441C10">
        <w:t>0611, Florida Statutes (F.S.). We</w:t>
      </w:r>
      <w:r w:rsidRPr="00F63B69">
        <w:t xml:space="preserve"> acknowledged OPC’s intervention</w:t>
      </w:r>
      <w:r w:rsidR="00441C10" w:rsidRPr="00441C10">
        <w:t xml:space="preserve"> </w:t>
      </w:r>
      <w:r w:rsidR="00441C10">
        <w:t>b</w:t>
      </w:r>
      <w:r w:rsidR="00441C10" w:rsidRPr="00F63B69">
        <w:t>y Order No. PSC-2019-0226-PCO-GU, issued on June 12, 2019</w:t>
      </w:r>
      <w:r w:rsidRPr="00F63B69">
        <w:t>.</w:t>
      </w:r>
      <w:r w:rsidRPr="00F63B69">
        <w:rPr>
          <w:vertAlign w:val="superscript"/>
        </w:rPr>
        <w:footnoteReference w:id="5"/>
      </w:r>
      <w:r w:rsidRPr="00F63B69">
        <w:t xml:space="preserve">  A customer meeting was held on August 8, 2019. No customers attended the meeting and </w:t>
      </w:r>
      <w:r w:rsidR="00F14797">
        <w:t>we have</w:t>
      </w:r>
      <w:r w:rsidRPr="00F63B69">
        <w:t xml:space="preserve"> not received any customer complaints.</w:t>
      </w:r>
    </w:p>
    <w:p w:rsidR="00D57E57" w:rsidRDefault="00F63B69" w:rsidP="00F14797">
      <w:pPr>
        <w:jc w:val="both"/>
      </w:pPr>
      <w:r>
        <w:tab/>
      </w:r>
      <w:r w:rsidRPr="00F63B69">
        <w:t xml:space="preserve">In response to </w:t>
      </w:r>
      <w:r w:rsidR="00F14797">
        <w:t xml:space="preserve">our </w:t>
      </w:r>
      <w:r w:rsidRPr="00F63B69">
        <w:t xml:space="preserve">staff’s data requests, </w:t>
      </w:r>
      <w:r w:rsidR="00E07892" w:rsidRPr="00F63B69">
        <w:t xml:space="preserve">Sebring submitted revised </w:t>
      </w:r>
      <w:r w:rsidR="00230772">
        <w:t>Minimum Filing Requirements (MFRs)</w:t>
      </w:r>
      <w:r w:rsidR="00E07892" w:rsidRPr="00F63B69">
        <w:t xml:space="preserve"> G-Schedules </w:t>
      </w:r>
      <w:r w:rsidRPr="00F63B69">
        <w:t>on November 12, 2019,</w:t>
      </w:r>
      <w:r w:rsidR="00E07892">
        <w:t xml:space="preserve"> and</w:t>
      </w:r>
      <w:r w:rsidRPr="00F63B69">
        <w:t xml:space="preserve"> revised MFR H-Schedules</w:t>
      </w:r>
      <w:r w:rsidR="00E07892">
        <w:t xml:space="preserve"> </w:t>
      </w:r>
      <w:r w:rsidR="00E07892" w:rsidRPr="00F63B69">
        <w:t>on November 21, 2019</w:t>
      </w:r>
      <w:r w:rsidRPr="00F63B69">
        <w:t xml:space="preserve">. In its revised MFR schedules, Sebring’s requested increase of $309,847 decreased to $302,041, and its requested rate base of $5,085,214 decreased to $5,044,363. By email dated August 22, 2019, Sebring waived the 5-month effective date through the December Agenda Conference. Sebring extended this waiver through the January 7, 2020 Agenda Conference by email dated November 18, 2019. After the January Agenda Conference’s rescheduling, Sebring extended its waiver through January 14, 2020, by </w:t>
      </w:r>
      <w:r w:rsidR="00F14797">
        <w:t>email dated December 12, 2019. We have</w:t>
      </w:r>
      <w:r w:rsidRPr="00F63B69">
        <w:t xml:space="preserve"> jurisdiction over this request for a rate increase under Section 366.06, F.S.</w:t>
      </w:r>
    </w:p>
    <w:p w:rsidR="00F63B69" w:rsidRDefault="00F63B69" w:rsidP="00F63B69"/>
    <w:p w:rsidR="00F63B69" w:rsidRDefault="00F63B69" w:rsidP="00F63B69"/>
    <w:p w:rsidR="00F63B69" w:rsidRPr="00F14797" w:rsidRDefault="00F14797" w:rsidP="00F63B69">
      <w:pPr>
        <w:keepNext/>
        <w:spacing w:after="240"/>
        <w:jc w:val="center"/>
        <w:outlineLvl w:val="0"/>
        <w:rPr>
          <w:b/>
          <w:bCs/>
          <w:kern w:val="32"/>
          <w:szCs w:val="32"/>
        </w:rPr>
      </w:pPr>
      <w:bookmarkStart w:id="6" w:name="DiscussionOfIssues"/>
      <w:r>
        <w:rPr>
          <w:b/>
          <w:bCs/>
          <w:kern w:val="32"/>
          <w:szCs w:val="32"/>
        </w:rPr>
        <w:lastRenderedPageBreak/>
        <w:t>Review and Decision</w:t>
      </w:r>
    </w:p>
    <w:bookmarkEnd w:id="6"/>
    <w:p w:rsidR="00F14797" w:rsidRPr="00F14797" w:rsidRDefault="00F14797" w:rsidP="00F63B69">
      <w:pPr>
        <w:spacing w:after="240"/>
        <w:jc w:val="both"/>
        <w:rPr>
          <w:u w:val="single"/>
        </w:rPr>
      </w:pPr>
      <w:r>
        <w:rPr>
          <w:u w:val="single"/>
        </w:rPr>
        <w:t>1. Test Year</w:t>
      </w:r>
    </w:p>
    <w:p w:rsidR="00F63B69" w:rsidRPr="00F63B69" w:rsidRDefault="00685941" w:rsidP="00F63B69">
      <w:pPr>
        <w:spacing w:after="240"/>
        <w:jc w:val="both"/>
      </w:pPr>
      <w:r>
        <w:tab/>
      </w:r>
      <w:r w:rsidR="00F63B69" w:rsidRPr="00F63B69">
        <w:t>Sebring proposed to use the projected test period ending December 31, 2020, as the projected test year, with the historic base year being the 12-month period ended December 31, 2018. Sebring used actual data for the 2018 base year rate base, net operating income, and capital structure.</w:t>
      </w:r>
      <w:r w:rsidR="00F63B69" w:rsidRPr="00F63B69">
        <w:rPr>
          <w:vertAlign w:val="superscript"/>
        </w:rPr>
        <w:footnoteReference w:id="6"/>
      </w:r>
      <w:r w:rsidR="00C01704">
        <w:t xml:space="preserve"> </w:t>
      </w:r>
      <w:r w:rsidR="00F63B69" w:rsidRPr="00F63B69">
        <w:t>The 2020 projected test year data was determined based upon the combination of 2018 data trended for customer growth, inflation, and payroll growth using the Commission-prescribed trending methodology, as well as a forecast of the Company’s growth.</w:t>
      </w:r>
      <w:r w:rsidR="00F63B69" w:rsidRPr="00F63B69">
        <w:rPr>
          <w:vertAlign w:val="superscript"/>
        </w:rPr>
        <w:footnoteReference w:id="7"/>
      </w:r>
      <w:r w:rsidR="00F63B69" w:rsidRPr="00F63B69">
        <w:t xml:space="preserve"> This growth includes the new service territories in the Cities of Wauchula and Arcadia as indicated in the Direct Testimony of Mr. Russell Melendy of Sebring.</w:t>
      </w:r>
      <w:r w:rsidR="00F63B69" w:rsidRPr="00F63B69">
        <w:rPr>
          <w:vertAlign w:val="superscript"/>
        </w:rPr>
        <w:footnoteReference w:id="8"/>
      </w:r>
    </w:p>
    <w:p w:rsidR="00F63B69" w:rsidRPr="00F63B69" w:rsidRDefault="00F63B69" w:rsidP="00F63B69">
      <w:pPr>
        <w:spacing w:after="240"/>
        <w:jc w:val="both"/>
      </w:pPr>
      <w:r>
        <w:tab/>
      </w:r>
      <w:r w:rsidRPr="00F63B69">
        <w:t>The purpose of the test year is to represent the financial operations of a company during the period in which the new rates will be e</w:t>
      </w:r>
      <w:r w:rsidR="00F14797">
        <w:t>ffective. Sebring petitioned this</w:t>
      </w:r>
      <w:r w:rsidRPr="00F63B69">
        <w:t xml:space="preserve"> Commission to approve the Company’s proposed new tariff sheets with an effective date of January 1, 2020. The projected test year ending December 31, 2020 represents a relevant period upon which the Company’s operations sh</w:t>
      </w:r>
      <w:r w:rsidR="00055AAC">
        <w:t>all</w:t>
      </w:r>
      <w:r w:rsidRPr="00F63B69">
        <w:t xml:space="preserve"> be analyzed for the purpose of establishing new base rates. This test period will reflect actual conditions and be indicative of the actual investments, expenses, and revenues during the first 12 months that new rates will be in effect. Therefore, Sebring’s proposed projected test year matches the timing of the Company’s projected investments and expenses with its projected revenues for the period following the date on which the new base rates become effective.</w:t>
      </w:r>
    </w:p>
    <w:p w:rsidR="00F63B69" w:rsidRDefault="00F63B69" w:rsidP="00F14797">
      <w:pPr>
        <w:jc w:val="both"/>
      </w:pPr>
      <w:r>
        <w:tab/>
      </w:r>
      <w:r w:rsidRPr="00F63B69">
        <w:t xml:space="preserve">With the inclusion of </w:t>
      </w:r>
      <w:r w:rsidR="00F14797">
        <w:t>our</w:t>
      </w:r>
      <w:r w:rsidRPr="00F63B69">
        <w:t xml:space="preserve"> adjustments</w:t>
      </w:r>
      <w:r w:rsidR="00F14797">
        <w:t xml:space="preserve"> to Sebring’s test year data</w:t>
      </w:r>
      <w:r w:rsidRPr="00F63B69">
        <w:t xml:space="preserve">, </w:t>
      </w:r>
      <w:r w:rsidR="00F14797">
        <w:t>we</w:t>
      </w:r>
      <w:r w:rsidRPr="00F63B69">
        <w:t xml:space="preserve"> believe that the 2020 projections of Sebring’s financial operations are appropriate to use as the basis for setting new rates.</w:t>
      </w:r>
    </w:p>
    <w:p w:rsidR="00F63B69" w:rsidRDefault="00F63B69" w:rsidP="00F63B69"/>
    <w:p w:rsidR="002B22C8" w:rsidRPr="002B22C8" w:rsidRDefault="002B22C8" w:rsidP="00F63B69">
      <w:pPr>
        <w:spacing w:after="240"/>
        <w:jc w:val="both"/>
        <w:rPr>
          <w:u w:val="single"/>
        </w:rPr>
      </w:pPr>
      <w:r>
        <w:rPr>
          <w:u w:val="single"/>
        </w:rPr>
        <w:t>2. Customer Growth &amp; Therms</w:t>
      </w:r>
    </w:p>
    <w:p w:rsidR="00F63B69" w:rsidRPr="00F63B69" w:rsidRDefault="00685941" w:rsidP="00F63B69">
      <w:pPr>
        <w:spacing w:after="240"/>
        <w:jc w:val="both"/>
      </w:pPr>
      <w:r>
        <w:tab/>
      </w:r>
      <w:r w:rsidR="00F63B69" w:rsidRPr="00F63B69">
        <w:t>For the instant rate case, Sebring utilized the historical base year (HBY) 2018 data as a basis to develop the forecasts of customer growth and therms growth by rate class for 2019, which is the historical base year plus one (HBY+1) and the 2020 projected test year (PTY).</w:t>
      </w:r>
    </w:p>
    <w:p w:rsidR="002B22C8" w:rsidRDefault="00F63B69" w:rsidP="00F63B69">
      <w:pPr>
        <w:spacing w:after="240"/>
        <w:jc w:val="both"/>
      </w:pPr>
      <w:r>
        <w:tab/>
      </w:r>
      <w:r w:rsidRPr="00F63B69">
        <w:t>To achieve its forecast of customer growth, Sebring identified the potential new service areas, including the Cities of Wauchula and Arcadia. It then determined the potential customer additions related to the new service areas, as well as for the Company’s existing service territory.</w:t>
      </w:r>
    </w:p>
    <w:p w:rsidR="00F63B69" w:rsidRPr="00F63B69" w:rsidRDefault="00F63B69" w:rsidP="00F63B69">
      <w:pPr>
        <w:spacing w:after="240"/>
        <w:jc w:val="both"/>
      </w:pPr>
      <w:r>
        <w:tab/>
      </w:r>
      <w:r w:rsidRPr="00F63B69">
        <w:t>Sebring primarily relied upon its management’s local knowledge to determine its projections of customer additions related to the new service areas.</w:t>
      </w:r>
      <w:r w:rsidRPr="00F63B69">
        <w:rPr>
          <w:vertAlign w:val="superscript"/>
        </w:rPr>
        <w:footnoteReference w:id="9"/>
      </w:r>
      <w:r w:rsidRPr="00F63B69">
        <w:t xml:space="preserve">  In his testimony, Mr. Russell </w:t>
      </w:r>
      <w:r w:rsidRPr="00F63B69">
        <w:lastRenderedPageBreak/>
        <w:t>Melendy, Project Manager of Sebring, testified that “[t]he Company is well aware of construction and building activities in the area,” and that he is very familiar with the proposed new service areas in the Cities of Wauchula and Arcadia.</w:t>
      </w:r>
      <w:r w:rsidRPr="00F63B69">
        <w:rPr>
          <w:vertAlign w:val="superscript"/>
        </w:rPr>
        <w:footnoteReference w:id="10"/>
      </w:r>
      <w:r w:rsidRPr="00F63B69">
        <w:t xml:space="preserve"> Mr. Russell Melendy asserted that Coker Fuel, which is also owned by the Melendy family, provided propane service in these areas, and many of Sebring’s projected new commercial and industrial customers for this rate case currently use propane provided by Coker Fuel or other competing propane companies. Mr. Russell Melendy claimed that as a local business-owner/operator and a two-term Hardee County Commissioner, his professional and public service experiences further expanded his involvement and understanding of these communities. Additionally, he indicated that Mr. Jerry Melendy, “in his capacity as [Sebring’s] President, is active in the Sebring community, participating in numerous community and civic events.”</w:t>
      </w:r>
      <w:r w:rsidRPr="00F63B69">
        <w:rPr>
          <w:vertAlign w:val="superscript"/>
        </w:rPr>
        <w:footnoteReference w:id="11"/>
      </w:r>
      <w:r w:rsidRPr="00F63B69">
        <w:t xml:space="preserve"> Mr. Russell Melendy averred that these activities, coupled with the Company management’s knowledge of the areas served through the ownership and participation in Coker Fuel, allow them the insight into the potential for customer growth in these areas.</w:t>
      </w:r>
      <w:r w:rsidRPr="00F63B69">
        <w:rPr>
          <w:vertAlign w:val="superscript"/>
        </w:rPr>
        <w:footnoteReference w:id="12"/>
      </w:r>
      <w:r w:rsidRPr="00F63B69">
        <w:t xml:space="preserve"> Sebring’s personnel also examined each community to identify growth potential.</w:t>
      </w:r>
      <w:r w:rsidRPr="00F63B69">
        <w:rPr>
          <w:vertAlign w:val="superscript"/>
        </w:rPr>
        <w:footnoteReference w:id="13"/>
      </w:r>
      <w:r w:rsidRPr="00F63B69">
        <w:t xml:space="preserve">  In its response to </w:t>
      </w:r>
      <w:r w:rsidR="002B22C8">
        <w:t xml:space="preserve">our </w:t>
      </w:r>
      <w:r w:rsidRPr="00F63B69">
        <w:t>staff’s data requests, Sebring indicated that the majority of the new commercial and industrial customers in Wauchula and Arcadia projected by the Company have either requested Sebring for service, or have already paid their deposits to Sebring; and one large industrial customer has recently become an active customer of Sebring.</w:t>
      </w:r>
      <w:r w:rsidRPr="00F63B69">
        <w:rPr>
          <w:vertAlign w:val="superscript"/>
        </w:rPr>
        <w:footnoteReference w:id="14"/>
      </w:r>
    </w:p>
    <w:p w:rsidR="00F63B69" w:rsidRPr="00F63B69" w:rsidRDefault="00F63B69" w:rsidP="00F63B69">
      <w:pPr>
        <w:spacing w:after="240"/>
        <w:jc w:val="both"/>
      </w:pPr>
      <w:r>
        <w:tab/>
      </w:r>
      <w:r w:rsidRPr="00F63B69">
        <w:t xml:space="preserve">Using its forecast of customer growth, Sebring calculated the number of customers billed each month and by rate class for HBY+1 and PTY. It then multiplied that number by the average usage per customer each month to determine the projected therm usage. Sebring assumed that the average usage per customer, by month, for each rate class, for the HBY, HBY+1 and PTY is unchanged from the corresponding HBY month and </w:t>
      </w:r>
      <w:r w:rsidR="00D35939">
        <w:t>rate class. The Company believe</w:t>
      </w:r>
      <w:r w:rsidR="004437CA">
        <w:t>s</w:t>
      </w:r>
      <w:r w:rsidRPr="00F63B69">
        <w:t xml:space="preserve"> that this assumption is appropriate, and is not aware of any alternate methodology that would result in a more accurate projection of therm usage.</w:t>
      </w:r>
      <w:r w:rsidRPr="00F63B69">
        <w:rPr>
          <w:vertAlign w:val="superscript"/>
        </w:rPr>
        <w:footnoteReference w:id="15"/>
      </w:r>
      <w:r w:rsidRPr="00F63B69">
        <w:t xml:space="preserve">  Sebring explained that 2018 is a representative year, because weather is not a primary driver of usage for the Company’s customers, and there were no unusual circumstances affecting customer usage; thus, year-over-year consumption patterns are consistent.</w:t>
      </w:r>
      <w:r w:rsidRPr="00F63B69">
        <w:rPr>
          <w:vertAlign w:val="superscript"/>
        </w:rPr>
        <w:footnoteReference w:id="16"/>
      </w:r>
      <w:r w:rsidRPr="00F63B69">
        <w:t xml:space="preserve"> The Company further explained that a typical driver of therm usage for residential customers in many locations in the U.S. is cold weather. However, this is not so for Sebring due to the geographical location of the Company’s service territories and the competitiveness of the electric heat pump. Sebring has very few residential customers with furnaces. Commercial usage is usually more stable as it is rare for commercial accounts to utilize natural gas for traditional space heating purposes. As a result, the driver of the therm usage, by rate class, is simply the historical average usage per customer, by month.</w:t>
      </w:r>
      <w:r w:rsidRPr="00F63B69">
        <w:rPr>
          <w:vertAlign w:val="superscript"/>
        </w:rPr>
        <w:footnoteReference w:id="17"/>
      </w:r>
    </w:p>
    <w:p w:rsidR="00F63B69" w:rsidRDefault="00F63B69" w:rsidP="00144280">
      <w:pPr>
        <w:jc w:val="both"/>
      </w:pPr>
      <w:r>
        <w:tab/>
      </w:r>
      <w:r w:rsidRPr="00F63B69">
        <w:t xml:space="preserve">Based on the information provided by the Company and </w:t>
      </w:r>
      <w:r w:rsidR="00144280">
        <w:t>our</w:t>
      </w:r>
      <w:r w:rsidRPr="00F63B69">
        <w:t xml:space="preserve"> analyses, </w:t>
      </w:r>
      <w:r w:rsidR="00144280">
        <w:t>we find</w:t>
      </w:r>
      <w:r w:rsidRPr="00F63B69">
        <w:t xml:space="preserve"> that Sebring’s forecasts of customer growth and therms by rate class</w:t>
      </w:r>
      <w:r w:rsidR="00144280">
        <w:t xml:space="preserve"> for the 2020 projected test year</w:t>
      </w:r>
      <w:r w:rsidRPr="00F63B69">
        <w:t xml:space="preserve"> </w:t>
      </w:r>
      <w:r w:rsidRPr="00F63B69">
        <w:lastRenderedPageBreak/>
        <w:t xml:space="preserve">as contained in </w:t>
      </w:r>
      <w:r w:rsidR="00230772">
        <w:t>MFR</w:t>
      </w:r>
      <w:r w:rsidRPr="00F63B69">
        <w:t xml:space="preserve"> Schedule G-2, as revised on November 12, 2019, pages 8 and 8.5 of 31, are appropriate for the instant rate case.</w:t>
      </w:r>
    </w:p>
    <w:p w:rsidR="00F63B69" w:rsidRDefault="00F63B69" w:rsidP="00F63B69"/>
    <w:p w:rsidR="00144280" w:rsidRPr="00230772" w:rsidRDefault="00144280" w:rsidP="00F63B69">
      <w:pPr>
        <w:spacing w:after="240"/>
        <w:jc w:val="both"/>
        <w:outlineLvl w:val="1"/>
        <w:rPr>
          <w:bCs/>
          <w:iCs/>
          <w:szCs w:val="28"/>
          <w:u w:val="single"/>
        </w:rPr>
      </w:pPr>
      <w:r>
        <w:rPr>
          <w:bCs/>
          <w:iCs/>
          <w:szCs w:val="28"/>
          <w:u w:val="single"/>
        </w:rPr>
        <w:t>3. Estimated Revenues From Sales of Gas</w:t>
      </w:r>
    </w:p>
    <w:p w:rsidR="00986808" w:rsidRDefault="00F63B69" w:rsidP="00144280">
      <w:pPr>
        <w:jc w:val="both"/>
      </w:pPr>
      <w:r>
        <w:tab/>
      </w:r>
      <w:r w:rsidR="00144280">
        <w:t>We have</w:t>
      </w:r>
      <w:r w:rsidRPr="00F63B69">
        <w:t xml:space="preserve"> reviewed MFR Schedule E-2, Page 1, where Sebring calculated present revenues from sales of gas at present rates for the projected test year, in the amount of $1,171,865, based upon its proposed billing determinants. The proposed billing determinants are derived from the forecasts of the number of customers and the therm usage per customer, consistent with </w:t>
      </w:r>
      <w:r w:rsidR="00144280">
        <w:t>our findings in the Customer Growth &amp; Therms section of this Order</w:t>
      </w:r>
      <w:r w:rsidRPr="00F63B69">
        <w:t xml:space="preserve">. </w:t>
      </w:r>
    </w:p>
    <w:p w:rsidR="00986808" w:rsidRDefault="00986808" w:rsidP="00144280">
      <w:pPr>
        <w:jc w:val="both"/>
      </w:pPr>
    </w:p>
    <w:p w:rsidR="00F63B69" w:rsidRDefault="00144280" w:rsidP="00986808">
      <w:pPr>
        <w:ind w:firstLine="720"/>
        <w:jc w:val="both"/>
      </w:pPr>
      <w:r>
        <w:t>We find</w:t>
      </w:r>
      <w:r w:rsidR="00F63B69" w:rsidRPr="00F63B69">
        <w:t xml:space="preserve"> that the Company’s estimation of revenues, in the amount of $1,171,865, from sales of gas, by rate class, at present rates for the 2020 projected test year is appropriate. As addressed separately in </w:t>
      </w:r>
      <w:r>
        <w:t>the Projected Operating Revenues section of this Order</w:t>
      </w:r>
      <w:r w:rsidR="00F63B69" w:rsidRPr="00F63B69">
        <w:t xml:space="preserve">, this revenue amount, plus the amount identified as Miscellaneous Service revenue ($14,335), equals </w:t>
      </w:r>
      <w:r>
        <w:t>the Commission-approved</w:t>
      </w:r>
      <w:r w:rsidR="00F63B69" w:rsidRPr="00F63B69">
        <w:t xml:space="preserve"> projected test year total operating revenue ($1,186,200) for Sebring.</w:t>
      </w:r>
    </w:p>
    <w:p w:rsidR="00F63B69" w:rsidRDefault="00F63B69" w:rsidP="00F63B69"/>
    <w:p w:rsidR="00952ABE" w:rsidRPr="00952ABE" w:rsidRDefault="00952ABE" w:rsidP="00F63B69">
      <w:pPr>
        <w:spacing w:after="240"/>
        <w:jc w:val="both"/>
        <w:rPr>
          <w:u w:val="single"/>
        </w:rPr>
      </w:pPr>
      <w:r>
        <w:rPr>
          <w:u w:val="single"/>
        </w:rPr>
        <w:t>4. Quality of Service</w:t>
      </w:r>
    </w:p>
    <w:p w:rsidR="00F63B69" w:rsidRPr="00F63B69" w:rsidRDefault="00685941" w:rsidP="00F63B69">
      <w:pPr>
        <w:spacing w:after="240"/>
        <w:jc w:val="both"/>
      </w:pPr>
      <w:r>
        <w:tab/>
      </w:r>
      <w:r w:rsidR="00F63B69" w:rsidRPr="00F63B69">
        <w:t xml:space="preserve">Pursuant to Section 366.041, F.S., in fixing rates </w:t>
      </w:r>
      <w:r w:rsidR="009D553F">
        <w:t>we are</w:t>
      </w:r>
      <w:r w:rsidR="00F63B69" w:rsidRPr="00F63B69">
        <w:t xml:space="preserve"> authorized to give consideration, among other things, to the efficiency, sufficiency, and adequacy of the facilities provided and the services rendered. </w:t>
      </w:r>
      <w:r w:rsidR="009D553F">
        <w:t>Our</w:t>
      </w:r>
      <w:r w:rsidR="00F63B69" w:rsidRPr="00F63B69">
        <w:t xml:space="preserve"> staff held a publicly noticed meeting in Sebring, Florida on August 8, 2019. The meeting was scheduled to gather information regarding customer concerns about Sebring’s quality of service and its request for a rate increase. No customers attended the meeting. The Company also indicated that it received no customer complaints d</w:t>
      </w:r>
      <w:r w:rsidR="00833CC1">
        <w:t>uring the years 2017 and 2018. A</w:t>
      </w:r>
      <w:r w:rsidR="00833CC1" w:rsidRPr="00F63B69">
        <w:t>dditionally</w:t>
      </w:r>
      <w:r w:rsidR="00833CC1">
        <w:t>, o</w:t>
      </w:r>
      <w:r w:rsidR="009D553F">
        <w:t>ur s</w:t>
      </w:r>
      <w:r w:rsidR="00F63B69" w:rsidRPr="00F63B69">
        <w:t xml:space="preserve">taff </w:t>
      </w:r>
      <w:r w:rsidR="00055AAC">
        <w:t>searched this</w:t>
      </w:r>
      <w:r w:rsidR="00F63B69" w:rsidRPr="00F63B69">
        <w:t xml:space="preserve"> Commission’s Consumer Complaint Tracking System, which showed no customer complaints filed against Sebring since January 1, 2014. </w:t>
      </w:r>
    </w:p>
    <w:p w:rsidR="00F63B69" w:rsidRPr="00F63B69" w:rsidRDefault="00F63B69" w:rsidP="00F63B69">
      <w:pPr>
        <w:spacing w:after="240"/>
        <w:jc w:val="both"/>
      </w:pPr>
      <w:r>
        <w:tab/>
      </w:r>
      <w:r w:rsidRPr="00F63B69">
        <w:t xml:space="preserve">Pursuant to Rule 25-7.018, F.A.C., each utility shall keep a complete record of all interruptions affecting the lesser of 10 percent or 500 or more of its division meters. Based on the Company’s filing, there were no customer interruptions affecting either 10 percent or 500 meters during the historic test year ended 2018. Pursuant to Rule 25-7.064, F.A.C., the Company has tested all of its meters within 120 months of the test year, and all have been determined to be in compliance with testing requirements. </w:t>
      </w:r>
    </w:p>
    <w:p w:rsidR="00F63B69" w:rsidRPr="00F63B69" w:rsidRDefault="00F63B69" w:rsidP="00F63B69">
      <w:pPr>
        <w:spacing w:after="240"/>
        <w:jc w:val="both"/>
      </w:pPr>
      <w:r>
        <w:tab/>
      </w:r>
      <w:r w:rsidRPr="00F63B69">
        <w:t xml:space="preserve">A review of </w:t>
      </w:r>
      <w:r w:rsidR="009D553F">
        <w:t xml:space="preserve">our </w:t>
      </w:r>
      <w:r w:rsidRPr="00F63B69">
        <w:t>staff’s annual safety inspections of the Company’s facilities was also conducted. There were a total of 29 safety violations logged against Sebring from 2014 through 2018. The Company responded to the identified violations (which were varying in nature)</w:t>
      </w:r>
      <w:r w:rsidR="00230772">
        <w:t>,</w:t>
      </w:r>
      <w:r w:rsidRPr="00F63B69">
        <w:t xml:space="preserve"> and all were corrected. There were no violations logged during the 2019 safety inspection, and on October 29, 2019, the system was found in satisfactory compliance with state and federal natural gas safety rules.</w:t>
      </w:r>
    </w:p>
    <w:p w:rsidR="00F63B69" w:rsidRDefault="00F63B69" w:rsidP="009D553F">
      <w:pPr>
        <w:ind w:firstLine="720"/>
        <w:jc w:val="both"/>
      </w:pPr>
      <w:r w:rsidRPr="00F63B69">
        <w:t xml:space="preserve">Based on a review of </w:t>
      </w:r>
      <w:r w:rsidR="00604250">
        <w:t xml:space="preserve">the </w:t>
      </w:r>
      <w:r w:rsidRPr="00F63B69">
        <w:t xml:space="preserve">information discussed above, </w:t>
      </w:r>
      <w:r w:rsidR="009D553F">
        <w:t>we find</w:t>
      </w:r>
      <w:r w:rsidRPr="00F63B69">
        <w:t xml:space="preserve"> that Sebring’s quality of service is adequate.</w:t>
      </w:r>
    </w:p>
    <w:p w:rsidR="00F63B69" w:rsidRDefault="00F63B69" w:rsidP="00F63B69"/>
    <w:p w:rsidR="009D553F" w:rsidRDefault="009D553F" w:rsidP="00F63B69">
      <w:pPr>
        <w:spacing w:after="240"/>
        <w:jc w:val="both"/>
        <w:rPr>
          <w:u w:val="single"/>
        </w:rPr>
      </w:pPr>
      <w:r>
        <w:rPr>
          <w:u w:val="single"/>
        </w:rPr>
        <w:lastRenderedPageBreak/>
        <w:t>5. Rate Base</w:t>
      </w:r>
    </w:p>
    <w:p w:rsidR="009D553F" w:rsidRPr="009D553F" w:rsidRDefault="009D553F" w:rsidP="00F63B69">
      <w:pPr>
        <w:spacing w:after="240"/>
        <w:jc w:val="both"/>
        <w:rPr>
          <w:i/>
        </w:rPr>
      </w:pPr>
      <w:r>
        <w:rPr>
          <w:i/>
        </w:rPr>
        <w:t>A. Plant Additions</w:t>
      </w:r>
    </w:p>
    <w:p w:rsidR="00F63B69" w:rsidRPr="00F63B69" w:rsidRDefault="00685941" w:rsidP="00F63B69">
      <w:pPr>
        <w:spacing w:after="240"/>
        <w:jc w:val="both"/>
      </w:pPr>
      <w:r>
        <w:tab/>
      </w:r>
      <w:r w:rsidR="00F63B69" w:rsidRPr="00F63B69">
        <w:t xml:space="preserve">Sebring’s filing included capital additions of approximately $1,960,692. </w:t>
      </w:r>
      <w:r w:rsidR="009D553F">
        <w:t>We</w:t>
      </w:r>
      <w:r w:rsidR="00F63B69" w:rsidRPr="00F63B69">
        <w:t xml:space="preserve"> reviewed the Company’s filings as well as</w:t>
      </w:r>
      <w:r w:rsidR="00A42861">
        <w:t xml:space="preserve"> its</w:t>
      </w:r>
      <w:r w:rsidR="00F63B69" w:rsidRPr="00F63B69">
        <w:t xml:space="preserve"> responses to</w:t>
      </w:r>
      <w:r w:rsidR="00AC10D8">
        <w:t xml:space="preserve"> our staff’s</w:t>
      </w:r>
      <w:r w:rsidR="00F63B69" w:rsidRPr="00F63B69">
        <w:t xml:space="preserve"> data requests and </w:t>
      </w:r>
      <w:r w:rsidR="00A42861">
        <w:t>find</w:t>
      </w:r>
      <w:r w:rsidR="00F63B69" w:rsidRPr="00F63B69">
        <w:t xml:space="preserve"> that the costs associated with the capital additions </w:t>
      </w:r>
      <w:r w:rsidR="00A42861">
        <w:t xml:space="preserve">shall </w:t>
      </w:r>
      <w:r w:rsidR="00F63B69" w:rsidRPr="00F63B69">
        <w:t xml:space="preserve">be included in rate base. </w:t>
      </w:r>
      <w:r w:rsidR="009D553F">
        <w:t>Our</w:t>
      </w:r>
      <w:r w:rsidR="00F63B69" w:rsidRPr="00F63B69">
        <w:t xml:space="preserve"> review of the Company’s requests is discussed in greater detail below.</w:t>
      </w:r>
    </w:p>
    <w:p w:rsidR="00F63B69" w:rsidRPr="009D553F" w:rsidRDefault="00AC10D8" w:rsidP="00F63B69">
      <w:pPr>
        <w:jc w:val="both"/>
        <w:outlineLvl w:val="2"/>
        <w:rPr>
          <w:b/>
          <w:bCs/>
          <w:iCs/>
          <w:szCs w:val="28"/>
        </w:rPr>
      </w:pPr>
      <w:r>
        <w:rPr>
          <w:b/>
          <w:bCs/>
          <w:iCs/>
          <w:szCs w:val="28"/>
        </w:rPr>
        <w:t xml:space="preserve">Customer Additions &amp; </w:t>
      </w:r>
      <w:r w:rsidR="00F63B69" w:rsidRPr="009D553F">
        <w:rPr>
          <w:b/>
          <w:bCs/>
          <w:iCs/>
          <w:szCs w:val="28"/>
        </w:rPr>
        <w:t>Expansion Projects</w:t>
      </w:r>
    </w:p>
    <w:p w:rsidR="00F63B69" w:rsidRPr="009D553F" w:rsidRDefault="00F63B69" w:rsidP="00F63B69">
      <w:pPr>
        <w:jc w:val="both"/>
        <w:outlineLvl w:val="2"/>
        <w:rPr>
          <w:bCs/>
          <w:iCs/>
          <w:szCs w:val="28"/>
        </w:rPr>
      </w:pPr>
    </w:p>
    <w:p w:rsidR="00F63B69" w:rsidRPr="00F63B69" w:rsidRDefault="00F63B69" w:rsidP="00F63B69">
      <w:pPr>
        <w:spacing w:after="240"/>
        <w:jc w:val="both"/>
      </w:pPr>
      <w:r>
        <w:tab/>
      </w:r>
      <w:r w:rsidRPr="00F63B69">
        <w:t>The Company’s traditional service territory has been the greater surroundings of the City of Sebring. In 2008, the Company developed a growth strategy that initially</w:t>
      </w:r>
      <w:r w:rsidR="009D553F">
        <w:t xml:space="preserve"> targeted two state prisons. This</w:t>
      </w:r>
      <w:r w:rsidRPr="00F63B69">
        <w:t xml:space="preserve"> Commission approved Sebring’s petitions for special contracts with these two prisons.</w:t>
      </w:r>
      <w:r w:rsidRPr="00F63B69">
        <w:rPr>
          <w:vertAlign w:val="superscript"/>
        </w:rPr>
        <w:footnoteReference w:id="18"/>
      </w:r>
      <w:r w:rsidRPr="00F63B69">
        <w:t xml:space="preserve"> As part of the Company’s MFRs, Sebring included costs related to plant additions to serve growth in its traditional service territory as well as growth in the City of Wauchula and the City of Arcadia.</w:t>
      </w:r>
      <w:r w:rsidRPr="00F63B69">
        <w:rPr>
          <w:vertAlign w:val="superscript"/>
        </w:rPr>
        <w:footnoteReference w:id="19"/>
      </w:r>
      <w:r w:rsidRPr="00F63B69">
        <w:t xml:space="preserve"> The total estimated cost of these additions is $1,920,692.</w:t>
      </w:r>
    </w:p>
    <w:p w:rsidR="00F63B69" w:rsidRPr="00F63B69" w:rsidRDefault="00F63B69" w:rsidP="00F63B69">
      <w:pPr>
        <w:autoSpaceDE w:val="0"/>
        <w:autoSpaceDN w:val="0"/>
        <w:adjustRightInd w:val="0"/>
        <w:spacing w:after="240"/>
        <w:jc w:val="both"/>
      </w:pPr>
      <w:r>
        <w:tab/>
      </w:r>
      <w:r w:rsidRPr="00F63B69">
        <w:t>The Company stated that the Cities of Wauchula and Arcadia are experiencing growth in the residential, commercial, and small industrial sectors. Specifically, the Company is anticipating the addition of 55 new customers, many of which are larger commercial accounts and small industrial accounts (rate classes TS-4 and TS-5).</w:t>
      </w:r>
      <w:r w:rsidRPr="00F63B69">
        <w:rPr>
          <w:vertAlign w:val="superscript"/>
        </w:rPr>
        <w:footnoteReference w:id="20"/>
      </w:r>
      <w:r w:rsidRPr="00F63B69">
        <w:t xml:space="preserve"> Considering the growth potential in those areas, the Company stated that it believes it is making a prudent investment in the initial distribution networks in those cities. </w:t>
      </w:r>
    </w:p>
    <w:p w:rsidR="00F63B69" w:rsidRPr="00F63B69" w:rsidRDefault="00F63B69" w:rsidP="00F63B69">
      <w:pPr>
        <w:spacing w:after="240"/>
        <w:jc w:val="both"/>
      </w:pPr>
      <w:r>
        <w:tab/>
      </w:r>
      <w:r w:rsidRPr="00F63B69">
        <w:t xml:space="preserve">As discussed in </w:t>
      </w:r>
      <w:r w:rsidR="009D553F">
        <w:t>the Customer Growth &amp; Therms section of this Order</w:t>
      </w:r>
      <w:r w:rsidRPr="00F63B69">
        <w:t xml:space="preserve">, </w:t>
      </w:r>
      <w:r w:rsidR="009D553F">
        <w:t>we have</w:t>
      </w:r>
      <w:r w:rsidRPr="00F63B69">
        <w:t xml:space="preserve"> reviewed the Company’s projected</w:t>
      </w:r>
      <w:r w:rsidR="009D553F">
        <w:t xml:space="preserve"> customer additions and believe</w:t>
      </w:r>
      <w:r w:rsidRPr="00F63B69">
        <w:t xml:space="preserve"> they are appropriate for the instant case. In previous decisions addre</w:t>
      </w:r>
      <w:r w:rsidR="009D553F">
        <w:t>ssing natural gas expansion, this</w:t>
      </w:r>
      <w:r w:rsidRPr="00F63B69">
        <w:t xml:space="preserve"> Commission has recognized that all customers benefit from spreading fixed costs over a larger base of therm sales in future rate cases.</w:t>
      </w:r>
      <w:r w:rsidRPr="00F63B69">
        <w:rPr>
          <w:vertAlign w:val="superscript"/>
        </w:rPr>
        <w:footnoteReference w:id="21"/>
      </w:r>
      <w:r w:rsidRPr="00F63B69">
        <w:t xml:space="preserve"> Additionally, </w:t>
      </w:r>
      <w:r w:rsidR="009D553F">
        <w:t>we have</w:t>
      </w:r>
      <w:r w:rsidRPr="00F63B69">
        <w:t xml:space="preserve"> recognized that all customers benefit from large load users, such as the aforementioned large commercial and small industrial accounts, because they are able to absorb a greater portion of fixed costs necessary to provide service.</w:t>
      </w:r>
      <w:r w:rsidRPr="00F63B69">
        <w:rPr>
          <w:vertAlign w:val="superscript"/>
        </w:rPr>
        <w:footnoteReference w:id="22"/>
      </w:r>
      <w:r w:rsidRPr="00F63B69">
        <w:t xml:space="preserve"> Giving consideration to the discussion above, it is reasonable to believe that the Arcadia and Wauchula expansion projects will benefit all customers.</w:t>
      </w:r>
    </w:p>
    <w:p w:rsidR="00F63B69" w:rsidRPr="00F63B69" w:rsidRDefault="00F63B69" w:rsidP="00F63B69">
      <w:pPr>
        <w:spacing w:after="240"/>
        <w:jc w:val="both"/>
      </w:pPr>
      <w:r>
        <w:lastRenderedPageBreak/>
        <w:tab/>
      </w:r>
      <w:r w:rsidRPr="00F63B69">
        <w:t>In res</w:t>
      </w:r>
      <w:r w:rsidR="009D553F">
        <w:t>ponse to our</w:t>
      </w:r>
      <w:r w:rsidRPr="00F63B69">
        <w:t xml:space="preserve"> staff</w:t>
      </w:r>
      <w:r w:rsidR="009D553F">
        <w:t>’s</w:t>
      </w:r>
      <w:r w:rsidRPr="00F63B69">
        <w:t xml:space="preserve"> data request, Sebring explained that the costs associated with the requested additions are based on its recent experience with similar installations, as well as conversations with contractors and material vendors.</w:t>
      </w:r>
      <w:r w:rsidRPr="00F63B69">
        <w:rPr>
          <w:vertAlign w:val="superscript"/>
        </w:rPr>
        <w:footnoteReference w:id="23"/>
      </w:r>
      <w:r w:rsidRPr="00F63B69">
        <w:t xml:space="preserve"> </w:t>
      </w:r>
      <w:r w:rsidR="009D553F">
        <w:t>We find</w:t>
      </w:r>
      <w:r w:rsidRPr="00F63B69">
        <w:t xml:space="preserve"> that Sebring’s reliance on recent projects, as well as input from contractors and vendors, is a reasonable means for projecting these costs. Therefore, </w:t>
      </w:r>
      <w:r w:rsidR="006C2115">
        <w:t xml:space="preserve">we find that </w:t>
      </w:r>
      <w:r w:rsidRPr="00F63B69">
        <w:t>$1,920,692 for the discussed plant additions is appropriate for inclusion in rate base.</w:t>
      </w:r>
    </w:p>
    <w:p w:rsidR="00F63B69" w:rsidRPr="009D553F" w:rsidRDefault="00F63B69" w:rsidP="00F63B69">
      <w:pPr>
        <w:jc w:val="both"/>
        <w:outlineLvl w:val="2"/>
        <w:rPr>
          <w:bCs/>
          <w:iCs/>
          <w:szCs w:val="28"/>
        </w:rPr>
      </w:pPr>
      <w:r w:rsidRPr="009D553F">
        <w:rPr>
          <w:b/>
          <w:bCs/>
          <w:iCs/>
          <w:szCs w:val="28"/>
        </w:rPr>
        <w:t>Bypass Re-build</w:t>
      </w:r>
    </w:p>
    <w:p w:rsidR="00F63B69" w:rsidRPr="009D553F" w:rsidRDefault="00F63B69" w:rsidP="00F63B69">
      <w:pPr>
        <w:jc w:val="both"/>
        <w:outlineLvl w:val="2"/>
        <w:rPr>
          <w:bCs/>
          <w:iCs/>
          <w:szCs w:val="28"/>
        </w:rPr>
      </w:pPr>
    </w:p>
    <w:p w:rsidR="00F63B69" w:rsidRPr="00F63B69" w:rsidRDefault="00F63B69" w:rsidP="00F63B69">
      <w:pPr>
        <w:spacing w:after="240"/>
        <w:jc w:val="both"/>
      </w:pPr>
      <w:r>
        <w:tab/>
      </w:r>
      <w:r w:rsidRPr="00F63B69">
        <w:t>In its MFRs, Sebring</w:t>
      </w:r>
      <w:r w:rsidR="00B54082">
        <w:t xml:space="preserve"> also</w:t>
      </w:r>
      <w:r w:rsidRPr="00F63B69">
        <w:t xml:space="preserve"> included $40,000 for a re-build of a regulated bypass with Peoples Gas System. Additionally, through its Distribution Integrity Management Program (DIMP) plan, Sebring has determined that the safety risk of maintaining the existing equipment is greater than the cost of replacing the equipment. Therefore, based on its DIMP plan, Sebring is required to complete the replacement as soon as is reasonable.</w:t>
      </w:r>
      <w:r w:rsidRPr="00F63B69">
        <w:rPr>
          <w:vertAlign w:val="superscript"/>
        </w:rPr>
        <w:footnoteReference w:id="24"/>
      </w:r>
      <w:r w:rsidRPr="00F63B69">
        <w:t xml:space="preserve"> Mr. Bruce Christmas, a consultant for the Company</w:t>
      </w:r>
      <w:r w:rsidR="00230772">
        <w:t>,</w:t>
      </w:r>
      <w:r w:rsidRPr="00F63B69">
        <w:t xml:space="preserve"> indicated that the bypass re-build would incorporate over-pressure protection at the interconnection, and estimated that the re-build would occur in July of the projected test year.</w:t>
      </w:r>
      <w:r w:rsidRPr="00F63B69">
        <w:rPr>
          <w:vertAlign w:val="superscript"/>
        </w:rPr>
        <w:footnoteReference w:id="25"/>
      </w:r>
    </w:p>
    <w:p w:rsidR="00F63B69" w:rsidRPr="009D553F" w:rsidRDefault="00F63B69" w:rsidP="00F63B69">
      <w:pPr>
        <w:jc w:val="both"/>
        <w:outlineLvl w:val="2"/>
        <w:rPr>
          <w:b/>
          <w:bCs/>
          <w:iCs/>
        </w:rPr>
      </w:pPr>
      <w:r w:rsidRPr="009D553F">
        <w:rPr>
          <w:b/>
          <w:bCs/>
          <w:iCs/>
        </w:rPr>
        <w:t>Conclusion</w:t>
      </w:r>
    </w:p>
    <w:p w:rsidR="00F63B69" w:rsidRPr="009D553F" w:rsidRDefault="00F63B69" w:rsidP="00F63B69">
      <w:pPr>
        <w:jc w:val="both"/>
        <w:outlineLvl w:val="2"/>
        <w:rPr>
          <w:bCs/>
          <w:iCs/>
        </w:rPr>
      </w:pPr>
    </w:p>
    <w:p w:rsidR="00F63B69" w:rsidRDefault="00F63B69" w:rsidP="009D553F">
      <w:pPr>
        <w:jc w:val="both"/>
      </w:pPr>
      <w:r>
        <w:tab/>
      </w:r>
      <w:r w:rsidRPr="00F63B69">
        <w:t xml:space="preserve">Based </w:t>
      </w:r>
      <w:r w:rsidR="00AC10D8">
        <w:t>on the discussion above, we find that capital additions totaling $1,960,692, are appropriate for inclusion in rate base.</w:t>
      </w:r>
    </w:p>
    <w:p w:rsidR="00F63B69" w:rsidRDefault="00F63B69" w:rsidP="00F63B69"/>
    <w:p w:rsidR="00BF761B" w:rsidRPr="00BF761B" w:rsidRDefault="00BF761B" w:rsidP="00F63B69">
      <w:pPr>
        <w:spacing w:after="240"/>
        <w:jc w:val="both"/>
        <w:rPr>
          <w:i/>
        </w:rPr>
      </w:pPr>
      <w:r>
        <w:rPr>
          <w:i/>
        </w:rPr>
        <w:t>B. Plant in Service for Projected Test Year</w:t>
      </w:r>
    </w:p>
    <w:p w:rsidR="00F63B69" w:rsidRPr="00F63B69" w:rsidRDefault="00685941" w:rsidP="00F63B69">
      <w:pPr>
        <w:spacing w:after="240"/>
        <w:jc w:val="both"/>
      </w:pPr>
      <w:r>
        <w:tab/>
      </w:r>
      <w:r w:rsidR="00F63B69" w:rsidRPr="00F63B69">
        <w:t xml:space="preserve">This </w:t>
      </w:r>
      <w:r w:rsidR="00764064">
        <w:t>section</w:t>
      </w:r>
      <w:r w:rsidR="00F63B69" w:rsidRPr="00F63B69">
        <w:t xml:space="preserve"> addresses Sebring’s forecasted amount of Plant in Service for the projected test year. In this case, Plant in Service can generally be described as the total installed cost of utility property that is projected to be used and useful in providing natural gas distribution service during the projected test year. </w:t>
      </w:r>
    </w:p>
    <w:p w:rsidR="00F63B69" w:rsidRPr="00F63B69" w:rsidRDefault="0098478B" w:rsidP="00F63B69">
      <w:pPr>
        <w:spacing w:after="240"/>
        <w:jc w:val="both"/>
      </w:pPr>
      <w:r>
        <w:tab/>
      </w:r>
      <w:r w:rsidR="00F63B69" w:rsidRPr="00F63B69">
        <w:t>The Company’s requested total amount of Plant in Service for the 2020 projected test year is $7,946,544 (13-month average).</w:t>
      </w:r>
      <w:r w:rsidR="00F63B69" w:rsidRPr="00F63B69">
        <w:rPr>
          <w:vertAlign w:val="superscript"/>
        </w:rPr>
        <w:footnoteReference w:id="26"/>
      </w:r>
      <w:r w:rsidR="00F63B69" w:rsidRPr="00F63B69">
        <w:t xml:space="preserve"> </w:t>
      </w:r>
      <w:r w:rsidR="00764064">
        <w:t>We</w:t>
      </w:r>
      <w:r w:rsidR="00F63B69" w:rsidRPr="00F63B69">
        <w:t xml:space="preserve"> find </w:t>
      </w:r>
      <w:r w:rsidR="00764064">
        <w:t xml:space="preserve">that </w:t>
      </w:r>
      <w:r w:rsidR="00F63B69" w:rsidRPr="00F63B69">
        <w:t>$7,928,320 (13-month average), for a di</w:t>
      </w:r>
      <w:r w:rsidR="00764064">
        <w:t>fference of ($18,226), i</w:t>
      </w:r>
      <w:r w:rsidR="00F63B69" w:rsidRPr="00F63B69">
        <w:t xml:space="preserve">s the appropriate amount of Plant in Service for the projected test year. The difference between the two figures equals </w:t>
      </w:r>
      <w:r w:rsidR="00764064">
        <w:t>our</w:t>
      </w:r>
      <w:r w:rsidR="00F63B69" w:rsidRPr="00F63B69">
        <w:t xml:space="preserve"> adjustments to Account 376.1 - Mains – Plastic and Account 380.1 - Services – Plastic.</w:t>
      </w:r>
      <w:r w:rsidR="00F63B69" w:rsidRPr="00F63B69">
        <w:rPr>
          <w:vertAlign w:val="superscript"/>
        </w:rPr>
        <w:footnoteReference w:id="27"/>
      </w:r>
      <w:r w:rsidR="00F63B69" w:rsidRPr="00F63B69">
        <w:t xml:space="preserve">  The adjustments relate to plant items/amounts for which sufficient supporting documentation was not identified (Audit Control No. 2019-170-</w:t>
      </w:r>
      <w:r w:rsidR="00F63B69" w:rsidRPr="00F63B69">
        <w:lastRenderedPageBreak/>
        <w:t>1-1).</w:t>
      </w:r>
      <w:r w:rsidR="00F63B69" w:rsidRPr="00F63B69">
        <w:rPr>
          <w:vertAlign w:val="superscript"/>
        </w:rPr>
        <w:footnoteReference w:id="28"/>
      </w:r>
      <w:r w:rsidR="00F63B69" w:rsidRPr="00F63B69">
        <w:t xml:space="preserve">  The corresponding proposed adjustments to Accumulated Depreciation are shown and discussed in </w:t>
      </w:r>
      <w:r w:rsidR="00764064">
        <w:t>the Test Year Accumulated Depreciation section of this Order</w:t>
      </w:r>
      <w:r w:rsidR="00F63B69" w:rsidRPr="00F63B69">
        <w:t>.</w:t>
      </w:r>
    </w:p>
    <w:p w:rsidR="00F63B69" w:rsidRPr="00F63B69" w:rsidRDefault="00764064" w:rsidP="00764064">
      <w:pPr>
        <w:spacing w:after="240"/>
        <w:ind w:firstLine="720"/>
        <w:jc w:val="both"/>
      </w:pPr>
      <w:r>
        <w:t>The Company</w:t>
      </w:r>
      <w:r w:rsidR="00E64462">
        <w:t xml:space="preserve">’s </w:t>
      </w:r>
      <w:r w:rsidR="00F63B69" w:rsidRPr="00F63B69">
        <w:t xml:space="preserve">proposed and </w:t>
      </w:r>
      <w:r>
        <w:t>Commission-approved</w:t>
      </w:r>
      <w:r w:rsidR="00F63B69" w:rsidRPr="00F63B69">
        <w:t xml:space="preserve"> projected test</w:t>
      </w:r>
      <w:r>
        <w:t xml:space="preserve"> year plant amounts by function are shown in the table below.</w:t>
      </w:r>
    </w:p>
    <w:tbl>
      <w:tblPr>
        <w:tblStyle w:val="TableGrid1"/>
        <w:tblW w:w="0" w:type="auto"/>
        <w:jc w:val="center"/>
        <w:tblLook w:val="04A0" w:firstRow="1" w:lastRow="0" w:firstColumn="1" w:lastColumn="0" w:noHBand="0" w:noVBand="1"/>
      </w:tblPr>
      <w:tblGrid>
        <w:gridCol w:w="1346"/>
        <w:gridCol w:w="2983"/>
        <w:gridCol w:w="1623"/>
        <w:gridCol w:w="1553"/>
        <w:gridCol w:w="2071"/>
      </w:tblGrid>
      <w:tr w:rsidR="00F63B69" w:rsidRPr="00F63B69" w:rsidTr="00765DDA">
        <w:trPr>
          <w:tblHeader/>
          <w:jc w:val="center"/>
        </w:trPr>
        <w:tc>
          <w:tcPr>
            <w:tcW w:w="9576" w:type="dxa"/>
            <w:gridSpan w:val="5"/>
            <w:tcBorders>
              <w:top w:val="nil"/>
              <w:left w:val="nil"/>
              <w:right w:val="nil"/>
            </w:tcBorders>
          </w:tcPr>
          <w:p w:rsidR="00F63B69" w:rsidRPr="00764064" w:rsidRDefault="00F63B69" w:rsidP="00F63B69">
            <w:pPr>
              <w:jc w:val="center"/>
              <w:rPr>
                <w:b/>
              </w:rPr>
            </w:pPr>
            <w:r w:rsidRPr="00764064">
              <w:rPr>
                <w:b/>
              </w:rPr>
              <w:t>Proposed Projected Test Year (PTY) Plant in Service Amounts</w:t>
            </w:r>
          </w:p>
        </w:tc>
      </w:tr>
      <w:tr w:rsidR="00F63B69" w:rsidRPr="00F63B69" w:rsidTr="00765DDA">
        <w:trPr>
          <w:tblHeader/>
          <w:jc w:val="center"/>
        </w:trPr>
        <w:tc>
          <w:tcPr>
            <w:tcW w:w="1346" w:type="dxa"/>
            <w:vAlign w:val="center"/>
          </w:tcPr>
          <w:p w:rsidR="00F63B69" w:rsidRPr="00F63B69" w:rsidRDefault="00F63B69" w:rsidP="00F63B69">
            <w:pPr>
              <w:jc w:val="center"/>
              <w:rPr>
                <w:color w:val="000000"/>
                <w:sz w:val="22"/>
                <w:szCs w:val="22"/>
              </w:rPr>
            </w:pPr>
            <w:r w:rsidRPr="00F63B69">
              <w:rPr>
                <w:b/>
              </w:rPr>
              <w:t>Plant Accounts</w:t>
            </w:r>
          </w:p>
        </w:tc>
        <w:tc>
          <w:tcPr>
            <w:tcW w:w="2983" w:type="dxa"/>
            <w:vAlign w:val="center"/>
          </w:tcPr>
          <w:p w:rsidR="00F63B69" w:rsidRPr="00F63B69" w:rsidRDefault="00F63B69" w:rsidP="00F63B69">
            <w:pPr>
              <w:jc w:val="center"/>
              <w:rPr>
                <w:b/>
                <w:color w:val="000000"/>
              </w:rPr>
            </w:pPr>
            <w:r w:rsidRPr="00F63B69">
              <w:rPr>
                <w:b/>
                <w:color w:val="000000"/>
              </w:rPr>
              <w:t>Plant Group Classification</w:t>
            </w:r>
          </w:p>
        </w:tc>
        <w:tc>
          <w:tcPr>
            <w:tcW w:w="1623" w:type="dxa"/>
            <w:vAlign w:val="center"/>
          </w:tcPr>
          <w:p w:rsidR="00F63B69" w:rsidRPr="00F63B69" w:rsidRDefault="00F63B69" w:rsidP="00F63B69">
            <w:pPr>
              <w:jc w:val="center"/>
              <w:rPr>
                <w:b/>
              </w:rPr>
            </w:pPr>
            <w:r w:rsidRPr="00F63B69">
              <w:rPr>
                <w:b/>
              </w:rPr>
              <w:t>Sebring</w:t>
            </w:r>
          </w:p>
          <w:p w:rsidR="00F63B69" w:rsidRPr="00F63B69" w:rsidRDefault="00F63B69" w:rsidP="00F63B69">
            <w:pPr>
              <w:jc w:val="center"/>
              <w:rPr>
                <w:b/>
              </w:rPr>
            </w:pPr>
            <w:r w:rsidRPr="00F63B69">
              <w:rPr>
                <w:b/>
              </w:rPr>
              <w:t>PTY</w:t>
            </w:r>
          </w:p>
          <w:p w:rsidR="00F63B69" w:rsidRPr="00F63B69" w:rsidRDefault="00F63B69" w:rsidP="00F63B69">
            <w:pPr>
              <w:jc w:val="center"/>
              <w:rPr>
                <w:color w:val="000000"/>
                <w:sz w:val="22"/>
                <w:szCs w:val="22"/>
              </w:rPr>
            </w:pPr>
            <w:r w:rsidRPr="00F63B69">
              <w:rPr>
                <w:b/>
              </w:rPr>
              <w:t>13-Month Average</w:t>
            </w:r>
          </w:p>
        </w:tc>
        <w:tc>
          <w:tcPr>
            <w:tcW w:w="1553" w:type="dxa"/>
            <w:vAlign w:val="center"/>
          </w:tcPr>
          <w:p w:rsidR="00764064" w:rsidRDefault="00764064" w:rsidP="00F63B69">
            <w:pPr>
              <w:jc w:val="center"/>
              <w:rPr>
                <w:b/>
              </w:rPr>
            </w:pPr>
            <w:r>
              <w:rPr>
                <w:b/>
              </w:rPr>
              <w:t>Commission</w:t>
            </w:r>
          </w:p>
          <w:p w:rsidR="00F63B69" w:rsidRPr="00F63B69" w:rsidRDefault="00F63B69" w:rsidP="00F63B69">
            <w:pPr>
              <w:jc w:val="center"/>
              <w:rPr>
                <w:color w:val="000000"/>
                <w:sz w:val="22"/>
                <w:szCs w:val="22"/>
              </w:rPr>
            </w:pPr>
            <w:r w:rsidRPr="00F63B69">
              <w:rPr>
                <w:b/>
              </w:rPr>
              <w:t>Adjustment</w:t>
            </w:r>
          </w:p>
        </w:tc>
        <w:tc>
          <w:tcPr>
            <w:tcW w:w="2071" w:type="dxa"/>
            <w:vAlign w:val="center"/>
          </w:tcPr>
          <w:p w:rsidR="00F63B69" w:rsidRPr="00F63B69" w:rsidRDefault="00764064" w:rsidP="00F63B69">
            <w:pPr>
              <w:jc w:val="center"/>
              <w:rPr>
                <w:b/>
              </w:rPr>
            </w:pPr>
            <w:r>
              <w:rPr>
                <w:b/>
              </w:rPr>
              <w:t>Commission-approved</w:t>
            </w:r>
          </w:p>
          <w:p w:rsidR="00F63B69" w:rsidRPr="00F63B69" w:rsidRDefault="00F63B69" w:rsidP="00F63B69">
            <w:pPr>
              <w:jc w:val="center"/>
              <w:rPr>
                <w:b/>
              </w:rPr>
            </w:pPr>
            <w:r w:rsidRPr="00F63B69">
              <w:rPr>
                <w:b/>
              </w:rPr>
              <w:t>PTY</w:t>
            </w:r>
          </w:p>
          <w:p w:rsidR="00F63B69" w:rsidRPr="00F63B69" w:rsidRDefault="00F63B69" w:rsidP="00F63B69">
            <w:pPr>
              <w:jc w:val="center"/>
              <w:rPr>
                <w:color w:val="000000"/>
                <w:sz w:val="22"/>
                <w:szCs w:val="22"/>
              </w:rPr>
            </w:pPr>
            <w:r w:rsidRPr="00F63B69">
              <w:rPr>
                <w:b/>
              </w:rPr>
              <w:t>13-Month Average</w:t>
            </w:r>
          </w:p>
        </w:tc>
      </w:tr>
      <w:tr w:rsidR="00F63B69" w:rsidRPr="00F63B69" w:rsidTr="00765DDA">
        <w:trPr>
          <w:jc w:val="center"/>
        </w:trPr>
        <w:tc>
          <w:tcPr>
            <w:tcW w:w="1346" w:type="dxa"/>
            <w:vAlign w:val="bottom"/>
          </w:tcPr>
          <w:p w:rsidR="00F63B69" w:rsidRPr="00F63B69" w:rsidRDefault="00F63B69" w:rsidP="00F63B69">
            <w:pPr>
              <w:rPr>
                <w:color w:val="000000"/>
              </w:rPr>
            </w:pPr>
            <w:r w:rsidRPr="00F63B69">
              <w:rPr>
                <w:color w:val="000000"/>
              </w:rPr>
              <w:t>301-302</w:t>
            </w:r>
          </w:p>
        </w:tc>
        <w:tc>
          <w:tcPr>
            <w:tcW w:w="2983" w:type="dxa"/>
            <w:vAlign w:val="bottom"/>
          </w:tcPr>
          <w:p w:rsidR="00F63B69" w:rsidRPr="00F63B69" w:rsidRDefault="00F63B69" w:rsidP="00F63B69">
            <w:pPr>
              <w:rPr>
                <w:color w:val="000000"/>
              </w:rPr>
            </w:pPr>
            <w:r w:rsidRPr="00F63B69">
              <w:rPr>
                <w:color w:val="000000"/>
              </w:rPr>
              <w:t>Intangible Plant</w:t>
            </w:r>
          </w:p>
        </w:tc>
        <w:tc>
          <w:tcPr>
            <w:tcW w:w="1623" w:type="dxa"/>
          </w:tcPr>
          <w:p w:rsidR="00F63B69" w:rsidRPr="00F63B69" w:rsidRDefault="00F63B69" w:rsidP="00F63B69">
            <w:pPr>
              <w:jc w:val="right"/>
            </w:pPr>
            <w:r w:rsidRPr="00F63B69">
              <w:t xml:space="preserve">$131,409 </w:t>
            </w:r>
          </w:p>
        </w:tc>
        <w:tc>
          <w:tcPr>
            <w:tcW w:w="1553" w:type="dxa"/>
          </w:tcPr>
          <w:p w:rsidR="00F63B69" w:rsidRPr="00F63B69" w:rsidRDefault="00F63B69" w:rsidP="00F63B69">
            <w:pPr>
              <w:jc w:val="right"/>
            </w:pPr>
            <w:r w:rsidRPr="00F63B69">
              <w:t xml:space="preserve">$0 </w:t>
            </w:r>
          </w:p>
        </w:tc>
        <w:tc>
          <w:tcPr>
            <w:tcW w:w="2071" w:type="dxa"/>
          </w:tcPr>
          <w:p w:rsidR="00F63B69" w:rsidRPr="00F63B69" w:rsidRDefault="00F63B69" w:rsidP="00F63B69">
            <w:pPr>
              <w:jc w:val="right"/>
            </w:pPr>
            <w:r w:rsidRPr="00F63B69">
              <w:t xml:space="preserve">$131,409 </w:t>
            </w:r>
          </w:p>
        </w:tc>
      </w:tr>
      <w:tr w:rsidR="00F63B69" w:rsidRPr="00F63B69" w:rsidTr="00765DDA">
        <w:trPr>
          <w:jc w:val="center"/>
        </w:trPr>
        <w:tc>
          <w:tcPr>
            <w:tcW w:w="1346" w:type="dxa"/>
            <w:vAlign w:val="bottom"/>
          </w:tcPr>
          <w:p w:rsidR="00F63B69" w:rsidRPr="00F63B69" w:rsidRDefault="00F63B69" w:rsidP="00F63B69">
            <w:pPr>
              <w:rPr>
                <w:color w:val="000000"/>
              </w:rPr>
            </w:pPr>
            <w:r w:rsidRPr="00F63B69">
              <w:rPr>
                <w:color w:val="000000"/>
              </w:rPr>
              <w:t>374-387</w:t>
            </w:r>
          </w:p>
        </w:tc>
        <w:tc>
          <w:tcPr>
            <w:tcW w:w="2983" w:type="dxa"/>
            <w:vAlign w:val="bottom"/>
          </w:tcPr>
          <w:p w:rsidR="00F63B69" w:rsidRPr="00F63B69" w:rsidRDefault="00F63B69" w:rsidP="00F63B69">
            <w:pPr>
              <w:rPr>
                <w:color w:val="000000"/>
              </w:rPr>
            </w:pPr>
            <w:r w:rsidRPr="00F63B69">
              <w:rPr>
                <w:color w:val="000000"/>
              </w:rPr>
              <w:t>Distribution Plant</w:t>
            </w:r>
          </w:p>
        </w:tc>
        <w:tc>
          <w:tcPr>
            <w:tcW w:w="1623" w:type="dxa"/>
          </w:tcPr>
          <w:p w:rsidR="00F63B69" w:rsidRPr="00F63B69" w:rsidRDefault="00F63B69" w:rsidP="00F63B69">
            <w:pPr>
              <w:jc w:val="right"/>
            </w:pPr>
            <w:r w:rsidRPr="00F63B69">
              <w:t xml:space="preserve">7,306,846 </w:t>
            </w:r>
          </w:p>
        </w:tc>
        <w:tc>
          <w:tcPr>
            <w:tcW w:w="1553" w:type="dxa"/>
          </w:tcPr>
          <w:p w:rsidR="00F63B69" w:rsidRPr="00F63B69" w:rsidRDefault="00F63B69" w:rsidP="00F63B69">
            <w:pPr>
              <w:jc w:val="right"/>
            </w:pPr>
            <w:r w:rsidRPr="00F63B69">
              <w:t>(18,226)</w:t>
            </w:r>
          </w:p>
        </w:tc>
        <w:tc>
          <w:tcPr>
            <w:tcW w:w="2071" w:type="dxa"/>
          </w:tcPr>
          <w:p w:rsidR="00F63B69" w:rsidRPr="00F63B69" w:rsidRDefault="00F63B69" w:rsidP="00F63B69">
            <w:pPr>
              <w:jc w:val="right"/>
            </w:pPr>
            <w:r w:rsidRPr="00F63B69">
              <w:t xml:space="preserve">7,288,620 </w:t>
            </w:r>
          </w:p>
        </w:tc>
      </w:tr>
      <w:tr w:rsidR="00F63B69" w:rsidRPr="00F63B69" w:rsidTr="00765DDA">
        <w:trPr>
          <w:jc w:val="center"/>
        </w:trPr>
        <w:tc>
          <w:tcPr>
            <w:tcW w:w="1346" w:type="dxa"/>
            <w:vAlign w:val="bottom"/>
          </w:tcPr>
          <w:p w:rsidR="00F63B69" w:rsidRPr="00F63B69" w:rsidRDefault="00F63B69" w:rsidP="00F63B69">
            <w:pPr>
              <w:rPr>
                <w:color w:val="000000"/>
              </w:rPr>
            </w:pPr>
            <w:r w:rsidRPr="00F63B69">
              <w:rPr>
                <w:color w:val="000000"/>
              </w:rPr>
              <w:t>390-397</w:t>
            </w:r>
          </w:p>
        </w:tc>
        <w:tc>
          <w:tcPr>
            <w:tcW w:w="2983" w:type="dxa"/>
            <w:vAlign w:val="bottom"/>
          </w:tcPr>
          <w:p w:rsidR="00F63B69" w:rsidRPr="00F63B69" w:rsidRDefault="00F63B69" w:rsidP="00F63B69">
            <w:pPr>
              <w:rPr>
                <w:color w:val="000000"/>
              </w:rPr>
            </w:pPr>
            <w:r w:rsidRPr="00F63B69">
              <w:rPr>
                <w:color w:val="000000"/>
              </w:rPr>
              <w:t xml:space="preserve">General Plant </w:t>
            </w:r>
          </w:p>
        </w:tc>
        <w:tc>
          <w:tcPr>
            <w:tcW w:w="1623" w:type="dxa"/>
          </w:tcPr>
          <w:p w:rsidR="00F63B69" w:rsidRPr="00F63B69" w:rsidRDefault="00F63B69" w:rsidP="00F63B69">
            <w:pPr>
              <w:jc w:val="right"/>
              <w:rPr>
                <w:u w:val="single"/>
              </w:rPr>
            </w:pPr>
            <w:r w:rsidRPr="00F63B69">
              <w:rPr>
                <w:u w:val="single"/>
              </w:rPr>
              <w:t xml:space="preserve">508,289 </w:t>
            </w:r>
          </w:p>
        </w:tc>
        <w:tc>
          <w:tcPr>
            <w:tcW w:w="1553" w:type="dxa"/>
          </w:tcPr>
          <w:p w:rsidR="00F63B69" w:rsidRPr="00F63B69" w:rsidRDefault="00F63B69" w:rsidP="00F63B69">
            <w:pPr>
              <w:jc w:val="right"/>
              <w:rPr>
                <w:u w:val="single"/>
              </w:rPr>
            </w:pPr>
            <w:r w:rsidRPr="00F63B69">
              <w:rPr>
                <w:u w:val="single"/>
              </w:rPr>
              <w:t xml:space="preserve">0 </w:t>
            </w:r>
          </w:p>
        </w:tc>
        <w:tc>
          <w:tcPr>
            <w:tcW w:w="2071" w:type="dxa"/>
          </w:tcPr>
          <w:p w:rsidR="00F63B69" w:rsidRPr="00F63B69" w:rsidRDefault="00F63B69" w:rsidP="00F63B69">
            <w:pPr>
              <w:jc w:val="right"/>
              <w:rPr>
                <w:u w:val="single"/>
              </w:rPr>
            </w:pPr>
            <w:r w:rsidRPr="00F63B69">
              <w:rPr>
                <w:u w:val="single"/>
              </w:rPr>
              <w:t xml:space="preserve">508,289 </w:t>
            </w:r>
          </w:p>
        </w:tc>
      </w:tr>
      <w:tr w:rsidR="00F63B69" w:rsidRPr="00F63B69" w:rsidTr="00765DDA">
        <w:trPr>
          <w:jc w:val="center"/>
        </w:trPr>
        <w:tc>
          <w:tcPr>
            <w:tcW w:w="4329" w:type="dxa"/>
            <w:gridSpan w:val="2"/>
            <w:vAlign w:val="bottom"/>
          </w:tcPr>
          <w:p w:rsidR="00F63B69" w:rsidRPr="00F63B69" w:rsidRDefault="00F63B69" w:rsidP="00F63B69">
            <w:pPr>
              <w:jc w:val="right"/>
              <w:rPr>
                <w:b/>
                <w:color w:val="000000"/>
                <w:sz w:val="22"/>
                <w:szCs w:val="22"/>
              </w:rPr>
            </w:pPr>
            <w:r w:rsidRPr="00F63B69">
              <w:rPr>
                <w:b/>
                <w:color w:val="000000"/>
                <w:sz w:val="22"/>
                <w:szCs w:val="22"/>
              </w:rPr>
              <w:t>Total*</w:t>
            </w:r>
          </w:p>
        </w:tc>
        <w:tc>
          <w:tcPr>
            <w:tcW w:w="1623" w:type="dxa"/>
          </w:tcPr>
          <w:p w:rsidR="00F63B69" w:rsidRPr="00F63B69" w:rsidRDefault="00F63B69" w:rsidP="00F63B69">
            <w:pPr>
              <w:jc w:val="right"/>
              <w:rPr>
                <w:color w:val="000000"/>
                <w:u w:val="double"/>
              </w:rPr>
            </w:pPr>
            <w:r w:rsidRPr="00F63B69">
              <w:rPr>
                <w:color w:val="000000"/>
                <w:u w:val="double"/>
              </w:rPr>
              <w:t xml:space="preserve">$7,946,544 </w:t>
            </w:r>
          </w:p>
        </w:tc>
        <w:tc>
          <w:tcPr>
            <w:tcW w:w="1553" w:type="dxa"/>
          </w:tcPr>
          <w:p w:rsidR="00F63B69" w:rsidRPr="00F63B69" w:rsidRDefault="00F63B69" w:rsidP="00F63B69">
            <w:pPr>
              <w:jc w:val="right"/>
              <w:rPr>
                <w:u w:val="double"/>
              </w:rPr>
            </w:pPr>
            <w:r w:rsidRPr="00F63B69">
              <w:rPr>
                <w:u w:val="double"/>
              </w:rPr>
              <w:t>($18,226)</w:t>
            </w:r>
          </w:p>
        </w:tc>
        <w:tc>
          <w:tcPr>
            <w:tcW w:w="2071" w:type="dxa"/>
          </w:tcPr>
          <w:p w:rsidR="00F63B69" w:rsidRPr="00F63B69" w:rsidRDefault="00F63B69" w:rsidP="00F63B69">
            <w:pPr>
              <w:jc w:val="right"/>
              <w:rPr>
                <w:u w:val="double"/>
              </w:rPr>
            </w:pPr>
            <w:r w:rsidRPr="00F63B69">
              <w:rPr>
                <w:u w:val="double"/>
              </w:rPr>
              <w:t xml:space="preserve">$7,928,320 </w:t>
            </w:r>
          </w:p>
        </w:tc>
      </w:tr>
    </w:tbl>
    <w:p w:rsidR="00F63B69" w:rsidRPr="00F63B69" w:rsidRDefault="00F63B69" w:rsidP="00F63B69">
      <w:pPr>
        <w:jc w:val="both"/>
      </w:pPr>
      <w:r w:rsidRPr="00F63B69">
        <w:t>Source: Sebring’s proposed PTY Plant in Service amounts as shown on MFR Schedule G1-10 (revised).</w:t>
      </w:r>
    </w:p>
    <w:p w:rsidR="00F63B69" w:rsidRPr="00F63B69" w:rsidRDefault="00F63B69" w:rsidP="00F63B69">
      <w:pPr>
        <w:spacing w:after="240"/>
        <w:jc w:val="both"/>
      </w:pPr>
      <w:r w:rsidRPr="00F63B69">
        <w:t>*May not sum due to rounding.</w:t>
      </w:r>
    </w:p>
    <w:p w:rsidR="00F63B69" w:rsidRDefault="0098478B" w:rsidP="00764064">
      <w:pPr>
        <w:jc w:val="both"/>
      </w:pPr>
      <w:r>
        <w:tab/>
      </w:r>
      <w:r w:rsidR="00F63B69" w:rsidRPr="00F63B69">
        <w:t xml:space="preserve">Based upon </w:t>
      </w:r>
      <w:r w:rsidR="00764064">
        <w:t xml:space="preserve">our </w:t>
      </w:r>
      <w:r w:rsidR="00F63B69" w:rsidRPr="00F63B69">
        <w:t xml:space="preserve">analysis of the information filed in this proceeding, </w:t>
      </w:r>
      <w:r w:rsidR="00764064">
        <w:t>we find that</w:t>
      </w:r>
      <w:r w:rsidR="00F63B69" w:rsidRPr="00F63B69">
        <w:t xml:space="preserve"> $7,928,320 (13-month average</w:t>
      </w:r>
      <w:r w:rsidR="00764064">
        <w:t>) i</w:t>
      </w:r>
      <w:r w:rsidR="00F63B69" w:rsidRPr="00F63B69">
        <w:t>s the appropriate amount of Plant in Service for the projected test year.</w:t>
      </w:r>
    </w:p>
    <w:p w:rsidR="00764064" w:rsidRDefault="00764064" w:rsidP="00764064">
      <w:pPr>
        <w:jc w:val="both"/>
      </w:pPr>
    </w:p>
    <w:p w:rsidR="00764064" w:rsidRPr="00764064" w:rsidRDefault="00764064" w:rsidP="00764064">
      <w:pPr>
        <w:jc w:val="both"/>
        <w:rPr>
          <w:i/>
        </w:rPr>
      </w:pPr>
      <w:r>
        <w:rPr>
          <w:i/>
        </w:rPr>
        <w:t>C. Test Year Accumulated Depreciation</w:t>
      </w:r>
    </w:p>
    <w:p w:rsidR="00764064" w:rsidRDefault="00764064" w:rsidP="00764064">
      <w:pPr>
        <w:jc w:val="both"/>
      </w:pPr>
    </w:p>
    <w:p w:rsidR="0098478B" w:rsidRDefault="00685941" w:rsidP="00764064">
      <w:pPr>
        <w:jc w:val="both"/>
      </w:pPr>
      <w:r>
        <w:tab/>
      </w:r>
      <w:r w:rsidR="0098478B" w:rsidRPr="0098478B">
        <w:t xml:space="preserve">This </w:t>
      </w:r>
      <w:r w:rsidR="00764064">
        <w:t>section</w:t>
      </w:r>
      <w:r w:rsidR="0098478B" w:rsidRPr="0098478B">
        <w:t xml:space="preserve"> addresses Sebring’s forecasted amount of Accumulated Depreciation for the projected test year. Accumulated Depreciation can generally be described as the amount of capital recovered through depreciation expense. Accumulated Depreciation represents the measure/degree of capital recovery and is subtracted from gross plant (the difference of which represents net plant). </w:t>
      </w:r>
    </w:p>
    <w:p w:rsidR="00764064" w:rsidRPr="0098478B" w:rsidRDefault="00764064" w:rsidP="00764064">
      <w:pPr>
        <w:jc w:val="both"/>
      </w:pPr>
    </w:p>
    <w:p w:rsidR="0098478B" w:rsidRPr="0098478B" w:rsidRDefault="0098478B" w:rsidP="0098478B">
      <w:pPr>
        <w:spacing w:after="240"/>
        <w:jc w:val="both"/>
      </w:pPr>
      <w:r>
        <w:tab/>
      </w:r>
      <w:r w:rsidRPr="0098478B">
        <w:t>The Company’s requested total amount of Accumulated Depreciation for the Projected Test Year is $3,036,771 (13-month average).</w:t>
      </w:r>
      <w:r w:rsidRPr="0098478B">
        <w:rPr>
          <w:vertAlign w:val="superscript"/>
        </w:rPr>
        <w:footnoteReference w:id="29"/>
      </w:r>
      <w:r w:rsidR="00E64462">
        <w:t xml:space="preserve"> We find that </w:t>
      </w:r>
      <w:r w:rsidRPr="0098478B">
        <w:t xml:space="preserve">$3,041,557 (13-month average), for </w:t>
      </w:r>
      <w:r w:rsidR="00E64462">
        <w:t>a difference of $4,787, i</w:t>
      </w:r>
      <w:r w:rsidRPr="0098478B">
        <w:t xml:space="preserve">s the appropriate amount. The difference between the two figures equals </w:t>
      </w:r>
      <w:r w:rsidR="00E64462">
        <w:t>our</w:t>
      </w:r>
      <w:r w:rsidRPr="0098478B">
        <w:t xml:space="preserve"> adjustments to Account 376.1 - Mains – Plastic, Account 380.1 - Services – Plastic, and Account 392 - Transportation Equipment – Light Trucks. The adjustments relate to plant and reserve amounts for which sufficient supporting documentation was not identified (Audit Control No. 2019-170-1-1).</w:t>
      </w:r>
      <w:r w:rsidRPr="0098478B">
        <w:rPr>
          <w:vertAlign w:val="superscript"/>
        </w:rPr>
        <w:footnoteReference w:id="30"/>
      </w:r>
      <w:r w:rsidRPr="0098478B">
        <w:t xml:space="preserve">  </w:t>
      </w:r>
    </w:p>
    <w:p w:rsidR="0098478B" w:rsidRPr="0098478B" w:rsidRDefault="0098478B" w:rsidP="0098478B">
      <w:pPr>
        <w:spacing w:after="240"/>
        <w:jc w:val="both"/>
      </w:pPr>
      <w:r>
        <w:tab/>
      </w:r>
      <w:r w:rsidRPr="0098478B">
        <w:t xml:space="preserve">Further, Sebring, through Document No. 10856-2019, adjusted (from its petition as originally filed) Account 301 - Organizational Costs by ($4,400) due to an over-accrual which </w:t>
      </w:r>
      <w:r w:rsidRPr="0098478B">
        <w:lastRenderedPageBreak/>
        <w:t xml:space="preserve">occurred in December 2019. The December 2019 accrual should have been $400, rather than the $4,800 that was booked. The adjustment results in a beginning 13-month average (December 2019) amount of Accumulated Depreciation and Amortization for Account 301 - Organizational Costs of $108,602. </w:t>
      </w:r>
    </w:p>
    <w:p w:rsidR="0098478B" w:rsidRPr="0098478B" w:rsidRDefault="0098478B" w:rsidP="0098478B">
      <w:pPr>
        <w:spacing w:after="240"/>
        <w:jc w:val="both"/>
      </w:pPr>
      <w:r>
        <w:tab/>
      </w:r>
      <w:r w:rsidR="00E64462">
        <w:t>The Company’s proposed and Commission-approved</w:t>
      </w:r>
      <w:r w:rsidRPr="0098478B">
        <w:t xml:space="preserve"> projected test year Accumulated Depreciation amou</w:t>
      </w:r>
      <w:r w:rsidR="00E64462">
        <w:t>nts by function are shown in the table below.</w:t>
      </w:r>
    </w:p>
    <w:tbl>
      <w:tblPr>
        <w:tblStyle w:val="TableGrid2"/>
        <w:tblW w:w="0" w:type="auto"/>
        <w:jc w:val="center"/>
        <w:tblLook w:val="04A0" w:firstRow="1" w:lastRow="0" w:firstColumn="1" w:lastColumn="0" w:noHBand="0" w:noVBand="1"/>
      </w:tblPr>
      <w:tblGrid>
        <w:gridCol w:w="1353"/>
        <w:gridCol w:w="3061"/>
        <w:gridCol w:w="1641"/>
        <w:gridCol w:w="1560"/>
        <w:gridCol w:w="1961"/>
      </w:tblGrid>
      <w:tr w:rsidR="0098478B" w:rsidRPr="0098478B" w:rsidTr="0098478B">
        <w:trPr>
          <w:trHeight w:hRule="exact" w:val="288"/>
          <w:tblHeader/>
          <w:jc w:val="center"/>
        </w:trPr>
        <w:tc>
          <w:tcPr>
            <w:tcW w:w="9576" w:type="dxa"/>
            <w:gridSpan w:val="5"/>
            <w:tcBorders>
              <w:top w:val="nil"/>
              <w:left w:val="nil"/>
              <w:right w:val="nil"/>
            </w:tcBorders>
            <w:vAlign w:val="center"/>
          </w:tcPr>
          <w:p w:rsidR="0098478B" w:rsidRPr="00E64462" w:rsidRDefault="0098478B" w:rsidP="0098478B">
            <w:pPr>
              <w:jc w:val="center"/>
              <w:rPr>
                <w:b/>
              </w:rPr>
            </w:pPr>
            <w:r w:rsidRPr="00E64462">
              <w:rPr>
                <w:b/>
              </w:rPr>
              <w:t>Proposed Projected Test Year (PTY) Accumulated Depreciation Amounts</w:t>
            </w:r>
          </w:p>
        </w:tc>
      </w:tr>
      <w:tr w:rsidR="0098478B" w:rsidRPr="0098478B" w:rsidTr="0098478B">
        <w:trPr>
          <w:tblHeader/>
          <w:jc w:val="center"/>
        </w:trPr>
        <w:tc>
          <w:tcPr>
            <w:tcW w:w="1353" w:type="dxa"/>
            <w:vAlign w:val="center"/>
          </w:tcPr>
          <w:p w:rsidR="0098478B" w:rsidRPr="0098478B" w:rsidRDefault="0098478B" w:rsidP="0098478B">
            <w:pPr>
              <w:jc w:val="center"/>
              <w:rPr>
                <w:color w:val="000000"/>
                <w:sz w:val="22"/>
                <w:szCs w:val="22"/>
              </w:rPr>
            </w:pPr>
            <w:r w:rsidRPr="0098478B">
              <w:rPr>
                <w:b/>
              </w:rPr>
              <w:t>Plant Accounts</w:t>
            </w:r>
          </w:p>
        </w:tc>
        <w:tc>
          <w:tcPr>
            <w:tcW w:w="3061" w:type="dxa"/>
            <w:vAlign w:val="center"/>
          </w:tcPr>
          <w:p w:rsidR="0098478B" w:rsidRPr="0098478B" w:rsidRDefault="0098478B" w:rsidP="0098478B">
            <w:pPr>
              <w:jc w:val="center"/>
              <w:rPr>
                <w:b/>
                <w:color w:val="000000"/>
              </w:rPr>
            </w:pPr>
            <w:r w:rsidRPr="0098478B">
              <w:rPr>
                <w:b/>
                <w:color w:val="000000"/>
              </w:rPr>
              <w:t>Plant Group Classification</w:t>
            </w:r>
          </w:p>
        </w:tc>
        <w:tc>
          <w:tcPr>
            <w:tcW w:w="1641" w:type="dxa"/>
            <w:vAlign w:val="center"/>
          </w:tcPr>
          <w:p w:rsidR="0098478B" w:rsidRPr="0098478B" w:rsidRDefault="0098478B" w:rsidP="0098478B">
            <w:pPr>
              <w:jc w:val="center"/>
              <w:rPr>
                <w:b/>
              </w:rPr>
            </w:pPr>
            <w:r w:rsidRPr="0098478B">
              <w:rPr>
                <w:b/>
              </w:rPr>
              <w:t>Sebring</w:t>
            </w:r>
          </w:p>
          <w:p w:rsidR="0098478B" w:rsidRPr="0098478B" w:rsidRDefault="0098478B" w:rsidP="0098478B">
            <w:pPr>
              <w:jc w:val="center"/>
              <w:rPr>
                <w:b/>
              </w:rPr>
            </w:pPr>
            <w:r w:rsidRPr="0098478B">
              <w:rPr>
                <w:b/>
              </w:rPr>
              <w:t>PTY</w:t>
            </w:r>
          </w:p>
          <w:p w:rsidR="0098478B" w:rsidRPr="0098478B" w:rsidRDefault="0098478B" w:rsidP="0098478B">
            <w:pPr>
              <w:jc w:val="center"/>
              <w:rPr>
                <w:color w:val="000000"/>
                <w:sz w:val="22"/>
                <w:szCs w:val="22"/>
              </w:rPr>
            </w:pPr>
            <w:r w:rsidRPr="0098478B">
              <w:rPr>
                <w:b/>
              </w:rPr>
              <w:t>13-Month Average</w:t>
            </w:r>
          </w:p>
        </w:tc>
        <w:tc>
          <w:tcPr>
            <w:tcW w:w="1560" w:type="dxa"/>
            <w:vAlign w:val="center"/>
          </w:tcPr>
          <w:p w:rsidR="00E64462" w:rsidRDefault="00E64462" w:rsidP="0098478B">
            <w:pPr>
              <w:jc w:val="center"/>
              <w:rPr>
                <w:b/>
              </w:rPr>
            </w:pPr>
            <w:r>
              <w:rPr>
                <w:b/>
              </w:rPr>
              <w:t>Commission</w:t>
            </w:r>
          </w:p>
          <w:p w:rsidR="0098478B" w:rsidRPr="0098478B" w:rsidRDefault="0098478B" w:rsidP="0098478B">
            <w:pPr>
              <w:jc w:val="center"/>
              <w:rPr>
                <w:color w:val="000000"/>
                <w:sz w:val="22"/>
                <w:szCs w:val="22"/>
              </w:rPr>
            </w:pPr>
            <w:r w:rsidRPr="0098478B">
              <w:rPr>
                <w:b/>
              </w:rPr>
              <w:t>Adjustment</w:t>
            </w:r>
          </w:p>
        </w:tc>
        <w:tc>
          <w:tcPr>
            <w:tcW w:w="1961" w:type="dxa"/>
            <w:vAlign w:val="center"/>
          </w:tcPr>
          <w:p w:rsidR="0098478B" w:rsidRPr="0098478B" w:rsidRDefault="00E64462" w:rsidP="0098478B">
            <w:pPr>
              <w:jc w:val="center"/>
              <w:rPr>
                <w:b/>
              </w:rPr>
            </w:pPr>
            <w:r>
              <w:rPr>
                <w:b/>
              </w:rPr>
              <w:t>Commission-approved</w:t>
            </w:r>
          </w:p>
          <w:p w:rsidR="0098478B" w:rsidRPr="0098478B" w:rsidRDefault="0098478B" w:rsidP="0098478B">
            <w:pPr>
              <w:jc w:val="center"/>
              <w:rPr>
                <w:b/>
              </w:rPr>
            </w:pPr>
            <w:r w:rsidRPr="0098478B">
              <w:rPr>
                <w:b/>
              </w:rPr>
              <w:t>PTY</w:t>
            </w:r>
          </w:p>
          <w:p w:rsidR="0098478B" w:rsidRPr="0098478B" w:rsidRDefault="0098478B" w:rsidP="0098478B">
            <w:pPr>
              <w:jc w:val="center"/>
              <w:rPr>
                <w:color w:val="000000"/>
                <w:sz w:val="22"/>
                <w:szCs w:val="22"/>
              </w:rPr>
            </w:pPr>
            <w:r w:rsidRPr="0098478B">
              <w:rPr>
                <w:b/>
              </w:rPr>
              <w:t>13-Month Average</w:t>
            </w:r>
          </w:p>
        </w:tc>
      </w:tr>
      <w:tr w:rsidR="0098478B" w:rsidRPr="0098478B" w:rsidTr="0098478B">
        <w:trPr>
          <w:jc w:val="center"/>
        </w:trPr>
        <w:tc>
          <w:tcPr>
            <w:tcW w:w="1353" w:type="dxa"/>
            <w:vAlign w:val="bottom"/>
          </w:tcPr>
          <w:p w:rsidR="0098478B" w:rsidRPr="0098478B" w:rsidRDefault="0098478B" w:rsidP="0098478B">
            <w:pPr>
              <w:rPr>
                <w:color w:val="000000"/>
              </w:rPr>
            </w:pPr>
            <w:r w:rsidRPr="0098478B">
              <w:rPr>
                <w:color w:val="000000"/>
              </w:rPr>
              <w:t>301-302</w:t>
            </w:r>
          </w:p>
        </w:tc>
        <w:tc>
          <w:tcPr>
            <w:tcW w:w="3061" w:type="dxa"/>
            <w:vAlign w:val="bottom"/>
          </w:tcPr>
          <w:p w:rsidR="0098478B" w:rsidRPr="0098478B" w:rsidRDefault="0098478B" w:rsidP="0098478B">
            <w:pPr>
              <w:rPr>
                <w:color w:val="000000"/>
              </w:rPr>
            </w:pPr>
            <w:r w:rsidRPr="0098478B">
              <w:rPr>
                <w:color w:val="000000"/>
              </w:rPr>
              <w:t>Intangible Plant</w:t>
            </w:r>
          </w:p>
        </w:tc>
        <w:tc>
          <w:tcPr>
            <w:tcW w:w="1641" w:type="dxa"/>
          </w:tcPr>
          <w:p w:rsidR="0098478B" w:rsidRPr="0098478B" w:rsidRDefault="0098478B" w:rsidP="0098478B">
            <w:pPr>
              <w:jc w:val="right"/>
            </w:pPr>
            <w:r w:rsidRPr="0098478B">
              <w:t xml:space="preserve">$111,002 </w:t>
            </w:r>
          </w:p>
        </w:tc>
        <w:tc>
          <w:tcPr>
            <w:tcW w:w="1560" w:type="dxa"/>
            <w:vAlign w:val="bottom"/>
          </w:tcPr>
          <w:p w:rsidR="0098478B" w:rsidRPr="0098478B" w:rsidRDefault="0098478B" w:rsidP="0098478B">
            <w:pPr>
              <w:jc w:val="right"/>
              <w:rPr>
                <w:color w:val="000000"/>
              </w:rPr>
            </w:pPr>
            <w:r w:rsidRPr="0098478B">
              <w:rPr>
                <w:color w:val="000000"/>
              </w:rPr>
              <w:t>$0</w:t>
            </w:r>
          </w:p>
        </w:tc>
        <w:tc>
          <w:tcPr>
            <w:tcW w:w="1961" w:type="dxa"/>
            <w:vAlign w:val="bottom"/>
          </w:tcPr>
          <w:p w:rsidR="0098478B" w:rsidRPr="0098478B" w:rsidRDefault="0098478B" w:rsidP="0098478B">
            <w:pPr>
              <w:jc w:val="right"/>
              <w:rPr>
                <w:color w:val="000000"/>
              </w:rPr>
            </w:pPr>
            <w:r w:rsidRPr="0098478B">
              <w:rPr>
                <w:color w:val="000000"/>
              </w:rPr>
              <w:t>$111,002</w:t>
            </w:r>
          </w:p>
        </w:tc>
      </w:tr>
      <w:tr w:rsidR="0098478B" w:rsidRPr="0098478B" w:rsidTr="0098478B">
        <w:trPr>
          <w:jc w:val="center"/>
        </w:trPr>
        <w:tc>
          <w:tcPr>
            <w:tcW w:w="1353" w:type="dxa"/>
            <w:vAlign w:val="bottom"/>
          </w:tcPr>
          <w:p w:rsidR="0098478B" w:rsidRPr="0098478B" w:rsidRDefault="0098478B" w:rsidP="0098478B">
            <w:pPr>
              <w:rPr>
                <w:color w:val="000000"/>
              </w:rPr>
            </w:pPr>
            <w:r w:rsidRPr="0098478B">
              <w:rPr>
                <w:color w:val="000000"/>
              </w:rPr>
              <w:t>374-387</w:t>
            </w:r>
          </w:p>
        </w:tc>
        <w:tc>
          <w:tcPr>
            <w:tcW w:w="3061" w:type="dxa"/>
            <w:vAlign w:val="bottom"/>
          </w:tcPr>
          <w:p w:rsidR="0098478B" w:rsidRPr="0098478B" w:rsidRDefault="0098478B" w:rsidP="0098478B">
            <w:pPr>
              <w:rPr>
                <w:color w:val="000000"/>
              </w:rPr>
            </w:pPr>
            <w:r w:rsidRPr="0098478B">
              <w:rPr>
                <w:color w:val="000000"/>
              </w:rPr>
              <w:t>Distribution Plant</w:t>
            </w:r>
          </w:p>
        </w:tc>
        <w:tc>
          <w:tcPr>
            <w:tcW w:w="1641" w:type="dxa"/>
          </w:tcPr>
          <w:p w:rsidR="0098478B" w:rsidRPr="0098478B" w:rsidRDefault="0098478B" w:rsidP="0098478B">
            <w:pPr>
              <w:jc w:val="right"/>
            </w:pPr>
            <w:r w:rsidRPr="0098478B">
              <w:t xml:space="preserve">2,645,685 </w:t>
            </w:r>
          </w:p>
        </w:tc>
        <w:tc>
          <w:tcPr>
            <w:tcW w:w="1560" w:type="dxa"/>
            <w:vAlign w:val="bottom"/>
          </w:tcPr>
          <w:p w:rsidR="0098478B" w:rsidRPr="0098478B" w:rsidRDefault="0098478B" w:rsidP="0098478B">
            <w:pPr>
              <w:jc w:val="right"/>
              <w:rPr>
                <w:color w:val="000000"/>
              </w:rPr>
            </w:pPr>
            <w:r w:rsidRPr="0098478B">
              <w:rPr>
                <w:color w:val="000000"/>
              </w:rPr>
              <w:t>(4,543)</w:t>
            </w:r>
          </w:p>
        </w:tc>
        <w:tc>
          <w:tcPr>
            <w:tcW w:w="1961" w:type="dxa"/>
            <w:vAlign w:val="bottom"/>
          </w:tcPr>
          <w:p w:rsidR="0098478B" w:rsidRPr="0098478B" w:rsidRDefault="0098478B" w:rsidP="0098478B">
            <w:pPr>
              <w:jc w:val="right"/>
              <w:rPr>
                <w:color w:val="000000"/>
              </w:rPr>
            </w:pPr>
            <w:r w:rsidRPr="0098478B">
              <w:rPr>
                <w:color w:val="000000"/>
              </w:rPr>
              <w:t>2,641,142</w:t>
            </w:r>
          </w:p>
        </w:tc>
      </w:tr>
      <w:tr w:rsidR="0098478B" w:rsidRPr="0098478B" w:rsidTr="0098478B">
        <w:trPr>
          <w:jc w:val="center"/>
        </w:trPr>
        <w:tc>
          <w:tcPr>
            <w:tcW w:w="1353" w:type="dxa"/>
            <w:vAlign w:val="bottom"/>
          </w:tcPr>
          <w:p w:rsidR="0098478B" w:rsidRPr="0098478B" w:rsidRDefault="0098478B" w:rsidP="0098478B">
            <w:pPr>
              <w:rPr>
                <w:color w:val="000000"/>
              </w:rPr>
            </w:pPr>
            <w:r w:rsidRPr="0098478B">
              <w:rPr>
                <w:color w:val="000000"/>
              </w:rPr>
              <w:t>390-397</w:t>
            </w:r>
          </w:p>
        </w:tc>
        <w:tc>
          <w:tcPr>
            <w:tcW w:w="3061" w:type="dxa"/>
            <w:vAlign w:val="bottom"/>
          </w:tcPr>
          <w:p w:rsidR="0098478B" w:rsidRPr="0098478B" w:rsidRDefault="0098478B" w:rsidP="0098478B">
            <w:pPr>
              <w:rPr>
                <w:color w:val="000000"/>
              </w:rPr>
            </w:pPr>
            <w:r w:rsidRPr="0098478B">
              <w:rPr>
                <w:color w:val="000000"/>
              </w:rPr>
              <w:t xml:space="preserve">General Plant </w:t>
            </w:r>
          </w:p>
        </w:tc>
        <w:tc>
          <w:tcPr>
            <w:tcW w:w="1641" w:type="dxa"/>
          </w:tcPr>
          <w:p w:rsidR="0098478B" w:rsidRPr="0098478B" w:rsidRDefault="0098478B" w:rsidP="0098478B">
            <w:pPr>
              <w:jc w:val="right"/>
              <w:rPr>
                <w:u w:val="single"/>
              </w:rPr>
            </w:pPr>
            <w:r w:rsidRPr="0098478B">
              <w:rPr>
                <w:u w:val="single"/>
              </w:rPr>
              <w:t xml:space="preserve">280,083 </w:t>
            </w:r>
          </w:p>
        </w:tc>
        <w:tc>
          <w:tcPr>
            <w:tcW w:w="1560" w:type="dxa"/>
            <w:vAlign w:val="bottom"/>
          </w:tcPr>
          <w:p w:rsidR="0098478B" w:rsidRPr="0098478B" w:rsidRDefault="0098478B" w:rsidP="0098478B">
            <w:pPr>
              <w:jc w:val="right"/>
              <w:rPr>
                <w:color w:val="000000"/>
                <w:u w:val="single"/>
              </w:rPr>
            </w:pPr>
            <w:r w:rsidRPr="0098478B">
              <w:rPr>
                <w:color w:val="000000"/>
                <w:u w:val="single"/>
              </w:rPr>
              <w:t>9,330</w:t>
            </w:r>
          </w:p>
        </w:tc>
        <w:tc>
          <w:tcPr>
            <w:tcW w:w="1961" w:type="dxa"/>
            <w:vAlign w:val="bottom"/>
          </w:tcPr>
          <w:p w:rsidR="0098478B" w:rsidRPr="0098478B" w:rsidRDefault="0098478B" w:rsidP="0098478B">
            <w:pPr>
              <w:jc w:val="right"/>
              <w:rPr>
                <w:color w:val="000000"/>
                <w:u w:val="single"/>
              </w:rPr>
            </w:pPr>
            <w:r w:rsidRPr="0098478B">
              <w:rPr>
                <w:color w:val="000000"/>
                <w:u w:val="single"/>
              </w:rPr>
              <w:t>289,413</w:t>
            </w:r>
          </w:p>
        </w:tc>
      </w:tr>
      <w:tr w:rsidR="0098478B" w:rsidRPr="0098478B" w:rsidTr="0098478B">
        <w:trPr>
          <w:jc w:val="center"/>
        </w:trPr>
        <w:tc>
          <w:tcPr>
            <w:tcW w:w="4414" w:type="dxa"/>
            <w:gridSpan w:val="2"/>
            <w:vAlign w:val="bottom"/>
          </w:tcPr>
          <w:p w:rsidR="0098478B" w:rsidRPr="0098478B" w:rsidRDefault="0098478B" w:rsidP="0098478B">
            <w:pPr>
              <w:jc w:val="right"/>
              <w:rPr>
                <w:b/>
                <w:color w:val="000000"/>
                <w:sz w:val="22"/>
                <w:szCs w:val="22"/>
              </w:rPr>
            </w:pPr>
            <w:r w:rsidRPr="0098478B">
              <w:rPr>
                <w:b/>
                <w:color w:val="000000"/>
                <w:sz w:val="22"/>
                <w:szCs w:val="22"/>
              </w:rPr>
              <w:t>Total*</w:t>
            </w:r>
          </w:p>
        </w:tc>
        <w:tc>
          <w:tcPr>
            <w:tcW w:w="1641" w:type="dxa"/>
          </w:tcPr>
          <w:p w:rsidR="0098478B" w:rsidRPr="0098478B" w:rsidRDefault="0098478B" w:rsidP="0098478B">
            <w:pPr>
              <w:jc w:val="right"/>
              <w:rPr>
                <w:u w:val="double"/>
              </w:rPr>
            </w:pPr>
            <w:r w:rsidRPr="0098478B">
              <w:rPr>
                <w:u w:val="double"/>
              </w:rPr>
              <w:t>$3,036,771</w:t>
            </w:r>
          </w:p>
        </w:tc>
        <w:tc>
          <w:tcPr>
            <w:tcW w:w="1560" w:type="dxa"/>
          </w:tcPr>
          <w:p w:rsidR="0098478B" w:rsidRPr="0098478B" w:rsidRDefault="0098478B" w:rsidP="0098478B">
            <w:pPr>
              <w:jc w:val="right"/>
            </w:pPr>
            <w:r w:rsidRPr="0098478B">
              <w:rPr>
                <w:u w:val="double"/>
              </w:rPr>
              <w:t>$4,787</w:t>
            </w:r>
          </w:p>
        </w:tc>
        <w:tc>
          <w:tcPr>
            <w:tcW w:w="1961" w:type="dxa"/>
          </w:tcPr>
          <w:p w:rsidR="0098478B" w:rsidRPr="0098478B" w:rsidRDefault="0098478B" w:rsidP="0098478B">
            <w:pPr>
              <w:jc w:val="right"/>
            </w:pPr>
            <w:r w:rsidRPr="0098478B">
              <w:rPr>
                <w:u w:val="double"/>
              </w:rPr>
              <w:t>$3,041,557</w:t>
            </w:r>
          </w:p>
        </w:tc>
      </w:tr>
    </w:tbl>
    <w:p w:rsidR="0098478B" w:rsidRPr="0098478B" w:rsidRDefault="0098478B" w:rsidP="0098478B">
      <w:pPr>
        <w:jc w:val="both"/>
      </w:pPr>
      <w:r w:rsidRPr="0098478B">
        <w:t>Source: Sebring’s proposed PTY Accumulated Depreciation amounts as shown on MFR Schedule G1-12 (revised).</w:t>
      </w:r>
    </w:p>
    <w:p w:rsidR="0098478B" w:rsidRPr="0098478B" w:rsidRDefault="0098478B" w:rsidP="0098478B">
      <w:pPr>
        <w:spacing w:after="240"/>
        <w:jc w:val="both"/>
      </w:pPr>
      <w:r w:rsidRPr="0098478B">
        <w:t>*May not sum due to rounding.</w:t>
      </w:r>
    </w:p>
    <w:p w:rsidR="0098478B" w:rsidRDefault="0098478B" w:rsidP="00E64462">
      <w:pPr>
        <w:jc w:val="both"/>
      </w:pPr>
      <w:r>
        <w:tab/>
      </w:r>
      <w:r w:rsidRPr="0098478B">
        <w:t xml:space="preserve">Based upon </w:t>
      </w:r>
      <w:r w:rsidR="00E64462">
        <w:t xml:space="preserve">our </w:t>
      </w:r>
      <w:r w:rsidRPr="0098478B">
        <w:t xml:space="preserve">analysis of the information filed in this proceeding, </w:t>
      </w:r>
      <w:r w:rsidR="00E64462">
        <w:t>we find</w:t>
      </w:r>
      <w:r w:rsidRPr="0098478B">
        <w:t xml:space="preserve"> $3,041,557 (13-month average) as the appropriate amount of Accumulated Depreciation for the projected test year.</w:t>
      </w:r>
    </w:p>
    <w:p w:rsidR="0098478B" w:rsidRDefault="0098478B" w:rsidP="0098478B"/>
    <w:p w:rsidR="00685941" w:rsidRDefault="00E64462" w:rsidP="0098478B">
      <w:r>
        <w:rPr>
          <w:i/>
        </w:rPr>
        <w:t>D. Test Year Working Capital Allowance</w:t>
      </w:r>
    </w:p>
    <w:p w:rsidR="00E64462" w:rsidRPr="00E64462" w:rsidRDefault="00E64462" w:rsidP="0098478B"/>
    <w:p w:rsidR="0098478B" w:rsidRDefault="00685941" w:rsidP="00E64462">
      <w:pPr>
        <w:jc w:val="both"/>
      </w:pPr>
      <w:r>
        <w:tab/>
      </w:r>
      <w:r w:rsidR="0098478B" w:rsidRPr="0098478B">
        <w:t>Sebring recorded Working Capital Allowance for the projected test year of $147,518.</w:t>
      </w:r>
      <w:r w:rsidR="0098478B" w:rsidRPr="0098478B">
        <w:rPr>
          <w:vertAlign w:val="superscript"/>
        </w:rPr>
        <w:footnoteReference w:id="31"/>
      </w:r>
      <w:r w:rsidR="0098478B" w:rsidRPr="0098478B">
        <w:t xml:space="preserve"> Sebring used the balance sheet method to calculate the Working Capital Allowance which is determined by subtracting projected Current Liabilities from projected Current Assets. Current assets of $351,851, less current liabilities of $204,333, results in a Working </w:t>
      </w:r>
      <w:r w:rsidR="009050BD">
        <w:t>Capital Allowance of $147,518. We reviewed t</w:t>
      </w:r>
      <w:r w:rsidR="0098478B" w:rsidRPr="0098478B">
        <w:t xml:space="preserve">he Working Capital Allowance </w:t>
      </w:r>
      <w:r w:rsidR="009050BD">
        <w:t>and find</w:t>
      </w:r>
      <w:r w:rsidR="0098478B" w:rsidRPr="0098478B">
        <w:t xml:space="preserve"> that no adjustments </w:t>
      </w:r>
      <w:r w:rsidR="009050BD">
        <w:t>a</w:t>
      </w:r>
      <w:r w:rsidR="0098478B" w:rsidRPr="0098478B">
        <w:t xml:space="preserve">re necessary. Schedule No. 1A reflects the working capital for the projected test year. Schedule No. 1B reflects </w:t>
      </w:r>
      <w:r w:rsidR="009050BD">
        <w:t>the approved</w:t>
      </w:r>
      <w:r w:rsidR="0098478B" w:rsidRPr="0098478B">
        <w:t xml:space="preserve"> Working Capital Allowance Calculation.</w:t>
      </w:r>
    </w:p>
    <w:p w:rsidR="0098478B" w:rsidRDefault="0098478B" w:rsidP="0098478B"/>
    <w:p w:rsidR="004C4BFF" w:rsidRDefault="004C4BFF" w:rsidP="0098478B">
      <w:r>
        <w:rPr>
          <w:i/>
        </w:rPr>
        <w:t>E. Test Year Rate Base</w:t>
      </w:r>
    </w:p>
    <w:p w:rsidR="004C4BFF" w:rsidRPr="004C4BFF" w:rsidRDefault="004C4BFF" w:rsidP="0098478B"/>
    <w:p w:rsidR="0098478B" w:rsidRDefault="00685941" w:rsidP="004C4BFF">
      <w:pPr>
        <w:jc w:val="both"/>
      </w:pPr>
      <w:r>
        <w:tab/>
      </w:r>
      <w:r w:rsidR="0098478B" w:rsidRPr="0098478B">
        <w:t>Sebring recorded Rate Base of $5,044,363 for the projected test year.</w:t>
      </w:r>
      <w:r w:rsidR="0098478B" w:rsidRPr="0098478B">
        <w:rPr>
          <w:vertAlign w:val="superscript"/>
        </w:rPr>
        <w:footnoteReference w:id="32"/>
      </w:r>
      <w:r w:rsidR="0098478B" w:rsidRPr="0098478B">
        <w:t xml:space="preserve"> Based upon </w:t>
      </w:r>
      <w:r w:rsidR="004C4BFF">
        <w:t>our</w:t>
      </w:r>
      <w:r w:rsidR="0098478B" w:rsidRPr="0098478B">
        <w:t xml:space="preserve"> adjustments in the preceding </w:t>
      </w:r>
      <w:r w:rsidR="004C4BFF">
        <w:t>sections of this Order</w:t>
      </w:r>
      <w:r w:rsidR="0098478B" w:rsidRPr="0098478B">
        <w:t>, Rate Base sh</w:t>
      </w:r>
      <w:r w:rsidR="004C4BFF">
        <w:t>all</w:t>
      </w:r>
      <w:r w:rsidR="0098478B" w:rsidRPr="0098478B">
        <w:t xml:space="preserve"> be reduced by $23,010, resulting in a total Rate Base of $5,021,353. Schedule No. 1A reflects </w:t>
      </w:r>
      <w:r w:rsidR="004C4BFF">
        <w:t>the approved</w:t>
      </w:r>
      <w:r w:rsidR="0098478B" w:rsidRPr="0098478B">
        <w:t xml:space="preserve"> Rate Base for the projected year.</w:t>
      </w:r>
    </w:p>
    <w:p w:rsidR="0098478B" w:rsidRDefault="0098478B" w:rsidP="0098478B"/>
    <w:p w:rsidR="004C4BFF" w:rsidRDefault="004C4BFF" w:rsidP="004C4BFF">
      <w:r>
        <w:rPr>
          <w:u w:val="single"/>
        </w:rPr>
        <w:lastRenderedPageBreak/>
        <w:t>6. Cost of Capital</w:t>
      </w:r>
    </w:p>
    <w:p w:rsidR="004C4BFF" w:rsidRDefault="004C4BFF" w:rsidP="004C4BFF"/>
    <w:p w:rsidR="004C4BFF" w:rsidRPr="004C4BFF" w:rsidRDefault="004C4BFF" w:rsidP="004C4BFF">
      <w:pPr>
        <w:rPr>
          <w:i/>
        </w:rPr>
      </w:pPr>
      <w:r>
        <w:rPr>
          <w:i/>
        </w:rPr>
        <w:t>A. Capital Structure</w:t>
      </w:r>
    </w:p>
    <w:p w:rsidR="004C4BFF" w:rsidRDefault="004C4BFF" w:rsidP="004C4BFF">
      <w:pPr>
        <w:jc w:val="both"/>
      </w:pPr>
    </w:p>
    <w:p w:rsidR="0098478B" w:rsidRDefault="00685941" w:rsidP="004C4BFF">
      <w:pPr>
        <w:jc w:val="both"/>
      </w:pPr>
      <w:r>
        <w:tab/>
      </w:r>
      <w:r w:rsidR="0098478B" w:rsidRPr="0098478B">
        <w:t>For the projected test year ending December 31, 2020, Sebring filed a revised capital structure consisting of 34.63 percent common equity, 54.72 percent long-term debt</w:t>
      </w:r>
      <w:r w:rsidR="00A32508">
        <w:t>,</w:t>
      </w:r>
      <w:r w:rsidR="0098478B" w:rsidRPr="0098478B">
        <w:t xml:space="preserve"> and 0.75 percent short-term debt. In addition to the investor sources of capital, the Company’s capital structure also includes 3.10 percent customer deposits and 6.79 percent accumulated deferred income taxes. </w:t>
      </w:r>
    </w:p>
    <w:p w:rsidR="004C4BFF" w:rsidRPr="0098478B" w:rsidRDefault="004C4BFF" w:rsidP="004C4BFF">
      <w:pPr>
        <w:jc w:val="both"/>
      </w:pPr>
    </w:p>
    <w:p w:rsidR="0098478B" w:rsidRPr="0098478B" w:rsidRDefault="0098478B" w:rsidP="0098478B">
      <w:pPr>
        <w:spacing w:after="240"/>
        <w:jc w:val="both"/>
      </w:pPr>
      <w:r>
        <w:tab/>
      </w:r>
      <w:r w:rsidR="004C4BFF">
        <w:t>We</w:t>
      </w:r>
      <w:r w:rsidRPr="0098478B">
        <w:t xml:space="preserve"> made two adjustments to the Company’s capital structure. First, </w:t>
      </w:r>
      <w:r w:rsidR="004C4BFF">
        <w:t>we</w:t>
      </w:r>
      <w:r w:rsidRPr="0098478B">
        <w:t xml:space="preserve"> made a specific adjustment to reduce the accumulated deferred income tax balance by $470 to recognize a decrease in the State of Florida corporate income tax rate from 5.50 percent to 4.458 percent for three taxable years beginning on or after January 1, 2019. This adjustment is explained in </w:t>
      </w:r>
      <w:r w:rsidR="004C4BFF">
        <w:t>the Weighted Average Cost of Capital section of this Order</w:t>
      </w:r>
      <w:r w:rsidRPr="0098478B">
        <w:t xml:space="preserve">. Second, </w:t>
      </w:r>
      <w:r w:rsidR="004C4BFF">
        <w:t>we</w:t>
      </w:r>
      <w:r w:rsidRPr="0098478B">
        <w:t xml:space="preserve"> made a pro rata adjustment to remove $22,540 to reflect adjustments to decrease the distribution plant balance. </w:t>
      </w:r>
      <w:r w:rsidR="004C4BFF">
        <w:t>We</w:t>
      </w:r>
      <w:r w:rsidRPr="0098478B">
        <w:t xml:space="preserve"> made a corresponding pro rata adjustment to the capital structure to reconcile the capital structure balance with rate base for the projected test year ending December 31, 2020.</w:t>
      </w:r>
    </w:p>
    <w:p w:rsidR="0098478B" w:rsidRDefault="0098478B" w:rsidP="004C4BFF">
      <w:pPr>
        <w:jc w:val="both"/>
      </w:pPr>
      <w:r>
        <w:tab/>
      </w:r>
      <w:r w:rsidRPr="0098478B">
        <w:t xml:space="preserve">Accordingly, </w:t>
      </w:r>
      <w:r w:rsidR="004C4BFF">
        <w:t>we find</w:t>
      </w:r>
      <w:r w:rsidRPr="0098478B">
        <w:t xml:space="preserve"> that the appropriate projected test year capital structure consists of 34.64 percent common equity, 54.73 percent long-term debt, 0.75 percent short-term debt, 3.10 percent customer deposits, and 6.78 percent deferred income taxes. </w:t>
      </w:r>
      <w:r w:rsidR="00055AAC">
        <w:t>Regarding investor capital, the</w:t>
      </w:r>
      <w:r w:rsidRPr="0098478B">
        <w:t xml:space="preserve"> </w:t>
      </w:r>
      <w:r w:rsidR="004C4BFF">
        <w:t>Commission-approved</w:t>
      </w:r>
      <w:r w:rsidRPr="0098478B">
        <w:t xml:space="preserve"> capital structure consists of 38.43 percent common equity and 61.57 percent debt (60.73 percent long-term debt and 0.84 percent short-term debt).</w:t>
      </w:r>
    </w:p>
    <w:p w:rsidR="0098478B" w:rsidRDefault="0098478B" w:rsidP="0098478B"/>
    <w:p w:rsidR="00FF3826" w:rsidRPr="00FF3826" w:rsidRDefault="00FF3826" w:rsidP="0098478B">
      <w:pPr>
        <w:spacing w:after="240"/>
        <w:jc w:val="both"/>
        <w:rPr>
          <w:i/>
        </w:rPr>
      </w:pPr>
      <w:r>
        <w:rPr>
          <w:i/>
        </w:rPr>
        <w:t>B. Return on Common Equity</w:t>
      </w:r>
    </w:p>
    <w:p w:rsidR="00495581" w:rsidRDefault="00685941" w:rsidP="00765DDA">
      <w:pPr>
        <w:spacing w:after="240"/>
        <w:jc w:val="both"/>
      </w:pPr>
      <w:r>
        <w:tab/>
      </w:r>
      <w:r w:rsidR="00FF3826" w:rsidRPr="00FF3826">
        <w:t xml:space="preserve">Sebring’s current allowed return on equity is 11.50 percent. In its petition, Sebring requested an allowed return on equity of 12.50 percent. We </w:t>
      </w:r>
      <w:r w:rsidR="009777E6">
        <w:t>find that the</w:t>
      </w:r>
      <w:r w:rsidR="00FF3826" w:rsidRPr="00FF3826">
        <w:t xml:space="preserve"> appropriate allowed return on equity for Sebring is 11.00 percent</w:t>
      </w:r>
      <w:r w:rsidR="003B2675">
        <w:t xml:space="preserve"> with a range of plus or minus 100 basis points</w:t>
      </w:r>
      <w:r w:rsidR="0098478B" w:rsidRPr="0098478B">
        <w:t>.</w:t>
      </w:r>
    </w:p>
    <w:p w:rsidR="00495581" w:rsidRPr="00495581" w:rsidRDefault="00495581" w:rsidP="00765DDA">
      <w:pPr>
        <w:spacing w:after="240"/>
        <w:jc w:val="both"/>
        <w:rPr>
          <w:i/>
        </w:rPr>
      </w:pPr>
      <w:r>
        <w:rPr>
          <w:i/>
        </w:rPr>
        <w:t xml:space="preserve">C. Weighted Average </w:t>
      </w:r>
      <w:r w:rsidR="001F6EA0">
        <w:rPr>
          <w:i/>
        </w:rPr>
        <w:t>Cost of Capital</w:t>
      </w:r>
    </w:p>
    <w:p w:rsidR="00765DDA" w:rsidRPr="00765DDA" w:rsidRDefault="00685941" w:rsidP="00765DDA">
      <w:pPr>
        <w:spacing w:after="240"/>
        <w:jc w:val="both"/>
      </w:pPr>
      <w:r>
        <w:tab/>
      </w:r>
      <w:r w:rsidR="00765DDA" w:rsidRPr="00765DDA">
        <w:t xml:space="preserve">Based on the </w:t>
      </w:r>
      <w:r w:rsidR="001F6EA0">
        <w:t xml:space="preserve">Commission-approved </w:t>
      </w:r>
      <w:r w:rsidR="00765DDA" w:rsidRPr="00765DDA">
        <w:t xml:space="preserve">capital structure, and the </w:t>
      </w:r>
      <w:r w:rsidR="001F6EA0">
        <w:t>Commission-approved return on equity of 11.00 percent</w:t>
      </w:r>
      <w:r w:rsidR="00765DDA" w:rsidRPr="00765DDA">
        <w:t>, the appropriate weighted averag</w:t>
      </w:r>
      <w:r w:rsidR="001F6EA0">
        <w:t>e cost of capital (WACC) is 6.81</w:t>
      </w:r>
      <w:r w:rsidR="00765DDA" w:rsidRPr="00765DDA">
        <w:t xml:space="preserve"> percent. </w:t>
      </w:r>
      <w:r w:rsidR="001F6EA0">
        <w:t xml:space="preserve">We have approved </w:t>
      </w:r>
      <w:r w:rsidR="00765DDA" w:rsidRPr="00765DDA">
        <w:t xml:space="preserve">an equity ratio of 38.43 percent based on investor sources. In its revised filing, Sebring requested a WACC of 7.72 percent for the projected test year. The Company based its request on a cost rate of 12.50 percent for common equity, 5.95 percent for long-term debt, and 6.00 percent for short-term debt. </w:t>
      </w:r>
      <w:r w:rsidR="001F6EA0">
        <w:t>We made</w:t>
      </w:r>
      <w:r w:rsidR="00765DDA" w:rsidRPr="00765DDA">
        <w:t xml:space="preserve"> three adjustments to the </w:t>
      </w:r>
      <w:r w:rsidR="001C33CB">
        <w:t xml:space="preserve">Company’s requested cost rates. In the Return on Common Equity section of this Order, we adjusted the return on equity from the Company’s requested 12.50 percent to 11.00 percent. </w:t>
      </w:r>
      <w:r w:rsidR="001F6EA0">
        <w:t>T</w:t>
      </w:r>
      <w:r w:rsidR="00765DDA" w:rsidRPr="00765DDA">
        <w:t>he cost rates for long-term debt and short-term debt sh</w:t>
      </w:r>
      <w:r w:rsidR="001F6EA0">
        <w:t>all</w:t>
      </w:r>
      <w:r w:rsidR="00765DDA" w:rsidRPr="00765DDA">
        <w:t xml:space="preserve"> both be reduced to 5.25 percent. In addition, </w:t>
      </w:r>
      <w:r w:rsidR="001F6EA0">
        <w:t>we made</w:t>
      </w:r>
      <w:r w:rsidR="00765DDA" w:rsidRPr="00765DDA">
        <w:t xml:space="preserve"> two adjustments to the cost of capital balance. One, a specific adjustment to reduce the accumulated deferred income tax balance by $470, and two, a pro rata adjustmen</w:t>
      </w:r>
      <w:r w:rsidR="001F6EA0">
        <w:t>t of $22,540</w:t>
      </w:r>
      <w:r w:rsidR="00765DDA" w:rsidRPr="00765DDA">
        <w:t xml:space="preserve"> to reconcile the capital structure to rate base as discussed in </w:t>
      </w:r>
      <w:r w:rsidR="001F6EA0">
        <w:t>the Capital Structure section of this Order</w:t>
      </w:r>
      <w:r w:rsidR="00765DDA" w:rsidRPr="00765DDA">
        <w:t>.</w:t>
      </w:r>
    </w:p>
    <w:p w:rsidR="00765DDA" w:rsidRPr="001F6EA0" w:rsidRDefault="00765DDA" w:rsidP="001F6EA0">
      <w:pPr>
        <w:jc w:val="both"/>
        <w:outlineLvl w:val="2"/>
        <w:rPr>
          <w:b/>
          <w:bCs/>
          <w:iCs/>
          <w:szCs w:val="28"/>
        </w:rPr>
      </w:pPr>
      <w:r w:rsidRPr="001F6EA0">
        <w:rPr>
          <w:b/>
          <w:bCs/>
          <w:iCs/>
          <w:szCs w:val="28"/>
        </w:rPr>
        <w:lastRenderedPageBreak/>
        <w:t>Common Equity</w:t>
      </w:r>
    </w:p>
    <w:p w:rsidR="00765DDA" w:rsidRPr="001F6EA0" w:rsidRDefault="00765DDA" w:rsidP="001F6EA0">
      <w:pPr>
        <w:jc w:val="both"/>
        <w:outlineLvl w:val="2"/>
        <w:rPr>
          <w:b/>
          <w:bCs/>
          <w:iCs/>
          <w:szCs w:val="28"/>
        </w:rPr>
      </w:pPr>
    </w:p>
    <w:p w:rsidR="00765DDA" w:rsidRDefault="00765DDA" w:rsidP="001F6EA0">
      <w:pPr>
        <w:jc w:val="both"/>
      </w:pPr>
      <w:r>
        <w:tab/>
      </w:r>
      <w:r w:rsidRPr="00765DDA">
        <w:t xml:space="preserve">Sebring requested a common equity balance of $1,746,957 at a cost rate of 12.50 percent for the revised projected test year ending December 31, 2020. </w:t>
      </w:r>
      <w:r w:rsidR="00AF7C64">
        <w:t>We</w:t>
      </w:r>
      <w:r w:rsidRPr="00765DDA">
        <w:t xml:space="preserve"> made a pro rata adjustment to reconcile the capital structure to rate base, which decreased the amount of common equity by $7,807 to $1,739,150. Accordingly, the appropriate amount of common equity is</w:t>
      </w:r>
      <w:r w:rsidR="00AF7C64">
        <w:t xml:space="preserve"> $1,739,150 at a cost rate of 11</w:t>
      </w:r>
      <w:r w:rsidRPr="00765DDA">
        <w:t>.00 percent.</w:t>
      </w:r>
    </w:p>
    <w:p w:rsidR="001F6EA0" w:rsidRPr="00765DDA" w:rsidRDefault="001F6EA0" w:rsidP="001F6EA0">
      <w:pPr>
        <w:jc w:val="both"/>
      </w:pPr>
    </w:p>
    <w:p w:rsidR="00765DDA" w:rsidRPr="00AF7C64" w:rsidRDefault="00765DDA" w:rsidP="00765DDA">
      <w:pPr>
        <w:jc w:val="both"/>
        <w:outlineLvl w:val="2"/>
        <w:rPr>
          <w:b/>
          <w:bCs/>
          <w:iCs/>
          <w:szCs w:val="28"/>
        </w:rPr>
      </w:pPr>
      <w:r w:rsidRPr="00AF7C64">
        <w:rPr>
          <w:b/>
          <w:bCs/>
          <w:iCs/>
          <w:szCs w:val="28"/>
        </w:rPr>
        <w:t>Long-Term Debt</w:t>
      </w:r>
    </w:p>
    <w:p w:rsidR="00765DDA" w:rsidRPr="00AF7C64" w:rsidRDefault="00765DDA" w:rsidP="00765DDA">
      <w:pPr>
        <w:jc w:val="both"/>
        <w:outlineLvl w:val="2"/>
        <w:rPr>
          <w:b/>
          <w:bCs/>
          <w:iCs/>
          <w:szCs w:val="28"/>
        </w:rPr>
      </w:pPr>
    </w:p>
    <w:p w:rsidR="00765DDA" w:rsidRDefault="00765DDA" w:rsidP="00474567">
      <w:pPr>
        <w:jc w:val="both"/>
      </w:pPr>
      <w:r>
        <w:tab/>
      </w:r>
      <w:r w:rsidR="003F2B8A" w:rsidRPr="003F2B8A">
        <w:t>In its filing, the Company indicated it will require additions to its long-term debt balance to fund its capital projects and construction efforts. Sebring anticipates adding approximately $1.2 million of long-term debt in the projected 2020 test year</w:t>
      </w:r>
      <w:r w:rsidR="003F2B8A">
        <w:t xml:space="preserve">. </w:t>
      </w:r>
      <w:r w:rsidRPr="00765DDA">
        <w:t xml:space="preserve">The total amount of long-term debt in the revised projected test year ending December 31, 2020 is $2,760,453. </w:t>
      </w:r>
      <w:r w:rsidR="00AF7C64">
        <w:t>We</w:t>
      </w:r>
      <w:r w:rsidRPr="00765DDA">
        <w:t xml:space="preserve"> made a pro rata adjustment to reconcile the capital structure to rate base which decreased the amount of long-term de</w:t>
      </w:r>
      <w:r w:rsidR="00AF7C64">
        <w:t xml:space="preserve">bt by $12,336 to $2,748,117. In </w:t>
      </w:r>
      <w:r w:rsidR="00230772">
        <w:t xml:space="preserve">his </w:t>
      </w:r>
      <w:r w:rsidRPr="00765DDA">
        <w:t xml:space="preserve">direct testimony, Mr. Russell Melendy stated that Sebring expects to pay 6.00 percent on its loan from Heartland National Bank and the average cost of long-term debt as reflected on MFR Schedule G-3, page 3, for the projected test year is 5.95 percent. However, the loan documents provided in </w:t>
      </w:r>
      <w:r w:rsidR="00AF7C64">
        <w:t>our</w:t>
      </w:r>
      <w:r w:rsidRPr="00765DDA">
        <w:t xml:space="preserve"> staff</w:t>
      </w:r>
      <w:r w:rsidR="00AF7C64">
        <w:t>’s</w:t>
      </w:r>
      <w:r w:rsidRPr="00765DDA">
        <w:t xml:space="preserve"> audit indicate the interest rate charged by the bank is a variable rate based on the Prime Rate as published in the Wall Street Journal, plus 0.50 percent.</w:t>
      </w:r>
      <w:r w:rsidRPr="00765DDA">
        <w:rPr>
          <w:vertAlign w:val="superscript"/>
        </w:rPr>
        <w:footnoteReference w:id="33"/>
      </w:r>
      <w:r w:rsidRPr="00765DDA">
        <w:t xml:space="preserve">  As of December 3, 2019, the Prime Rate as published in the Wall Street Journal was 4.75 percent. Further, the cost rate for long-term debt in the historic base year ended December 31, 2018, was 5.45 percent. Absent any documentation to support a cost rate of 6.00 percent, </w:t>
      </w:r>
      <w:r w:rsidR="00AF7C64">
        <w:t>we believe</w:t>
      </w:r>
      <w:r w:rsidRPr="00765DDA">
        <w:t xml:space="preserve"> a cost rate of 5.25 percent during the projected test year of 2020 is more reasonable and appropriate. Accordingly, </w:t>
      </w:r>
      <w:r w:rsidR="00AF7C64">
        <w:t>we find that</w:t>
      </w:r>
      <w:r w:rsidRPr="00765DDA">
        <w:t xml:space="preserve"> the appropriate amount of long-term debt is $2,748,117 at a cost rate of 5.25 percent.</w:t>
      </w:r>
    </w:p>
    <w:p w:rsidR="00474567" w:rsidRDefault="00474567" w:rsidP="00474567">
      <w:pPr>
        <w:jc w:val="both"/>
      </w:pPr>
    </w:p>
    <w:p w:rsidR="00765DDA" w:rsidRPr="00474567" w:rsidRDefault="00765DDA" w:rsidP="00474567">
      <w:pPr>
        <w:jc w:val="both"/>
        <w:outlineLvl w:val="2"/>
        <w:rPr>
          <w:b/>
          <w:bCs/>
          <w:iCs/>
          <w:szCs w:val="28"/>
        </w:rPr>
      </w:pPr>
      <w:r w:rsidRPr="00474567">
        <w:rPr>
          <w:b/>
          <w:bCs/>
          <w:iCs/>
          <w:szCs w:val="28"/>
        </w:rPr>
        <w:t>Short-Term Debt</w:t>
      </w:r>
    </w:p>
    <w:p w:rsidR="00765DDA" w:rsidRPr="00474567" w:rsidRDefault="00765DDA" w:rsidP="00474567">
      <w:pPr>
        <w:jc w:val="both"/>
        <w:outlineLvl w:val="2"/>
        <w:rPr>
          <w:b/>
          <w:bCs/>
          <w:iCs/>
          <w:szCs w:val="28"/>
        </w:rPr>
      </w:pPr>
    </w:p>
    <w:p w:rsidR="00765DDA" w:rsidRDefault="00765DDA" w:rsidP="00474567">
      <w:pPr>
        <w:jc w:val="both"/>
      </w:pPr>
      <w:r>
        <w:tab/>
      </w:r>
      <w:r w:rsidRPr="00765DDA">
        <w:t xml:space="preserve">The Company included a balance of $38,077 for short-term debt on MFR Schedule G3-2, page 2 of 11, in the revised projected test year ending December 31, 2020. </w:t>
      </w:r>
      <w:r w:rsidR="003F2B8A">
        <w:t xml:space="preserve">We </w:t>
      </w:r>
      <w:r w:rsidRPr="00765DDA">
        <w:t xml:space="preserve">made a pro rata adjustment to reconcile capital structure to rate base which decreased the balance by $170 to $37,907. In </w:t>
      </w:r>
      <w:r w:rsidR="00230772">
        <w:t xml:space="preserve">his </w:t>
      </w:r>
      <w:r w:rsidRPr="00765DDA">
        <w:t>direct testimony, Mr. Russell Melendy stated the appropriate cost rate for short-term debt is 6.00 percent. This is based on a $250,000 line of credit attached to the long-term debt loan agreement with Heartland National Bank.</w:t>
      </w:r>
      <w:r w:rsidRPr="00765DDA">
        <w:rPr>
          <w:vertAlign w:val="superscript"/>
        </w:rPr>
        <w:footnoteReference w:id="34"/>
      </w:r>
      <w:r w:rsidRPr="00765DDA">
        <w:t xml:space="preserve">  The agreement is dated July 11, 2013. The agreement indicates the interest rate for a short-term line of credit is a variable rate based on Prime Rate plus 0.50 percent. However, the effective cost rate for short-term debt in the historic test year as reflected on MFR Schedule D-3 was 3.33 percent. In response to </w:t>
      </w:r>
      <w:r w:rsidR="003F2B8A">
        <w:t xml:space="preserve">our </w:t>
      </w:r>
      <w:r w:rsidRPr="00765DDA">
        <w:t>staff’s eleventh data request, Sebring explained market conditions are the reason for the increase in the interest rate from 3.33 percent</w:t>
      </w:r>
      <w:r w:rsidR="003F2B8A">
        <w:t xml:space="preserve"> to an estimated 6.00 percent. Our s</w:t>
      </w:r>
      <w:r w:rsidRPr="00765DDA">
        <w:t xml:space="preserve">taff requested documentation supporting the Company’s projected interest rate of 6.00 percent. Based on documents provided with the Company’s response to </w:t>
      </w:r>
      <w:r w:rsidR="003F2B8A">
        <w:t xml:space="preserve">our </w:t>
      </w:r>
      <w:r w:rsidRPr="00765DDA">
        <w:t xml:space="preserve">staff’s eleventh data request, it appears Sebring was paying </w:t>
      </w:r>
      <w:r w:rsidRPr="00765DDA">
        <w:lastRenderedPageBreak/>
        <w:t xml:space="preserve">5.75 percent as recently as August 1, 2019. Prime Rate was 5.25 percent in August 2019. As of December 3, 2019, the Prime Rate as published in the Wall Street Journal was 4.75 percent. It appears Sebring’s cost of short-term debt is the same as its long-term debt, Prime Rate, plus 0.50 percent. Accordingly, </w:t>
      </w:r>
      <w:r w:rsidR="003F2B8A">
        <w:t>we find that</w:t>
      </w:r>
      <w:r w:rsidRPr="00765DDA">
        <w:t xml:space="preserve"> the appropriate amount of short-term debt is $37,907 at a cost rate of 5.25 percent.</w:t>
      </w:r>
    </w:p>
    <w:p w:rsidR="003F2B8A" w:rsidRPr="00765DDA" w:rsidRDefault="003F2B8A" w:rsidP="003F2B8A">
      <w:pPr>
        <w:jc w:val="both"/>
      </w:pPr>
    </w:p>
    <w:p w:rsidR="00765DDA" w:rsidRPr="003F2B8A" w:rsidRDefault="00765DDA" w:rsidP="003F2B8A">
      <w:pPr>
        <w:jc w:val="both"/>
        <w:outlineLvl w:val="2"/>
        <w:rPr>
          <w:b/>
          <w:bCs/>
          <w:iCs/>
          <w:szCs w:val="28"/>
        </w:rPr>
      </w:pPr>
      <w:r w:rsidRPr="003F2B8A">
        <w:rPr>
          <w:b/>
          <w:bCs/>
          <w:iCs/>
          <w:szCs w:val="28"/>
        </w:rPr>
        <w:t>Customer Deposits</w:t>
      </w:r>
    </w:p>
    <w:p w:rsidR="00765DDA" w:rsidRPr="00765DDA" w:rsidRDefault="00765DDA" w:rsidP="003F2B8A">
      <w:pPr>
        <w:jc w:val="both"/>
        <w:outlineLvl w:val="2"/>
        <w:rPr>
          <w:rFonts w:ascii="Arial" w:hAnsi="Arial" w:cs="Arial"/>
          <w:b/>
          <w:bCs/>
          <w:iCs/>
          <w:szCs w:val="28"/>
        </w:rPr>
      </w:pPr>
    </w:p>
    <w:p w:rsidR="00765DDA" w:rsidRDefault="00765DDA" w:rsidP="003F2B8A">
      <w:pPr>
        <w:jc w:val="both"/>
      </w:pPr>
      <w:r>
        <w:tab/>
      </w:r>
      <w:r w:rsidRPr="00765DDA">
        <w:t xml:space="preserve">Sebring included a balance of $156,205 for customer deposits at a cost rate of 2.86 percent in the revised projected test year. </w:t>
      </w:r>
      <w:r w:rsidR="002D07BB">
        <w:t>We</w:t>
      </w:r>
      <w:r w:rsidRPr="00765DDA">
        <w:t xml:space="preserve"> verified the Company calculated the interest rate in adherence to Rule 25-7.083, F.A.C</w:t>
      </w:r>
      <w:r w:rsidR="002D07BB">
        <w:t>., Customer Deposits, and agree</w:t>
      </w:r>
      <w:r w:rsidRPr="00765DDA">
        <w:t xml:space="preserve"> with the cost rate requested by the Company. </w:t>
      </w:r>
      <w:r w:rsidR="002D07BB">
        <w:t>We</w:t>
      </w:r>
      <w:r w:rsidRPr="00765DDA">
        <w:t xml:space="preserve"> made a pro rata adjustment to reconcile capital structure to rate base which decreased the customer deposit balance by $698 to $155,507. Accordingly, </w:t>
      </w:r>
      <w:r w:rsidR="002D07BB">
        <w:t>we find that</w:t>
      </w:r>
      <w:r w:rsidRPr="00765DDA">
        <w:t xml:space="preserve"> the appropriate amount of customer deposits is $155,507 at a cost rate of 2.86 percent.</w:t>
      </w:r>
    </w:p>
    <w:p w:rsidR="003F2B8A" w:rsidRPr="00765DDA" w:rsidRDefault="003F2B8A" w:rsidP="003F2B8A">
      <w:pPr>
        <w:jc w:val="both"/>
      </w:pPr>
    </w:p>
    <w:p w:rsidR="00765DDA" w:rsidRPr="002D07BB" w:rsidRDefault="00765DDA" w:rsidP="00765DDA">
      <w:pPr>
        <w:jc w:val="both"/>
        <w:outlineLvl w:val="2"/>
        <w:rPr>
          <w:b/>
          <w:bCs/>
          <w:iCs/>
          <w:szCs w:val="28"/>
        </w:rPr>
      </w:pPr>
      <w:r w:rsidRPr="002D07BB">
        <w:rPr>
          <w:b/>
          <w:bCs/>
          <w:iCs/>
          <w:szCs w:val="28"/>
        </w:rPr>
        <w:t>Accumulated Deferred Income Taxes</w:t>
      </w:r>
    </w:p>
    <w:p w:rsidR="00765DDA" w:rsidRPr="002D07BB" w:rsidRDefault="00765DDA" w:rsidP="00765DDA">
      <w:pPr>
        <w:jc w:val="both"/>
        <w:outlineLvl w:val="2"/>
        <w:rPr>
          <w:b/>
          <w:bCs/>
          <w:iCs/>
          <w:szCs w:val="28"/>
        </w:rPr>
      </w:pPr>
    </w:p>
    <w:p w:rsidR="00765DDA" w:rsidRDefault="00765DDA" w:rsidP="002D07BB">
      <w:pPr>
        <w:jc w:val="both"/>
      </w:pPr>
      <w:r>
        <w:tab/>
      </w:r>
      <w:r w:rsidRPr="00765DDA">
        <w:t xml:space="preserve">The Company included a balance of $342,671 for accumulated deferred income taxes (ADITs) at a zero cost rate in its capital structure for the revised projected test year ending December 31, 2020. </w:t>
      </w:r>
      <w:r w:rsidR="002D07BB">
        <w:t>We made</w:t>
      </w:r>
      <w:r w:rsidRPr="00765DDA">
        <w:t xml:space="preserve"> a reduction of $470 to recognize a decrease in the State of Florida corporate income tax rate from 5.50 percent to 4.458 percent for three taxable years beginning on or after January 1, 2019.</w:t>
      </w:r>
      <w:r w:rsidRPr="00765DDA">
        <w:rPr>
          <w:vertAlign w:val="superscript"/>
        </w:rPr>
        <w:footnoteReference w:id="35"/>
      </w:r>
      <w:r w:rsidRPr="00765DDA">
        <w:t xml:space="preserve">  </w:t>
      </w:r>
      <w:r w:rsidR="002D07BB">
        <w:t>We</w:t>
      </w:r>
      <w:r w:rsidRPr="00765DDA">
        <w:t xml:space="preserve"> calculated the effect of the reduced tax rate on the ADIT balance for the calendar years 2019 through 2021. The lower tax rate resulted in a decrease of $157 per year. For the three-year period the total decrease is $470. Further, in direct testimony, Mr. Russell Melendy stated that the Company does not anticipate an increase in the amount of ADITs during the projected test year. </w:t>
      </w:r>
      <w:r w:rsidR="002D07BB">
        <w:t>We concur</w:t>
      </w:r>
      <w:r w:rsidRPr="00765DDA">
        <w:t xml:space="preserve"> with the Company that the pro forma projects requested by the Company should not generate additional ADITs. The Tax Cuts and Jobs Act of 2017 (TCJA) eliminated gas distribution systems from qualification for accelerated depreciation for Federal income tax purposes. Under the TCJA, certain types of property are not eligible for bonus depreciation in any taxable year beginning after December 31, 2017. One such exclusion from qualified property is for property primarily used in the trade or business of the furnishing or sale of gas or steam through a local distribution system or transportation of gas or steam by pipeline. This exclusion applies if the rates for the furnishing or sale have to be approved by a Federal, state</w:t>
      </w:r>
      <w:r w:rsidR="00230772">
        <w:t>,</w:t>
      </w:r>
      <w:r w:rsidRPr="00765DDA">
        <w:t xml:space="preserve"> or local government agency, a public service or public utility commission, or an electric cooperative.</w:t>
      </w:r>
      <w:r w:rsidRPr="00765DDA">
        <w:rPr>
          <w:vertAlign w:val="superscript"/>
        </w:rPr>
        <w:footnoteReference w:id="36"/>
      </w:r>
      <w:r w:rsidRPr="00765DDA">
        <w:t xml:space="preserve">  </w:t>
      </w:r>
      <w:r w:rsidR="002D07BB">
        <w:t>We</w:t>
      </w:r>
      <w:r w:rsidRPr="00765DDA">
        <w:t xml:space="preserve"> reduced the ADITs by an additional $1,529 as a result of the pro rata adjustment to reconcile capital structure to rate base. Accordingly, </w:t>
      </w:r>
      <w:r w:rsidR="002D07BB">
        <w:t>we find that</w:t>
      </w:r>
      <w:r w:rsidRPr="00765DDA">
        <w:t xml:space="preserve"> the appropriate ADIT balance for the revised projected test year ending December 31, 2020 is $340,672.</w:t>
      </w:r>
    </w:p>
    <w:p w:rsidR="002D07BB" w:rsidRDefault="002D07BB" w:rsidP="002D07BB">
      <w:pPr>
        <w:jc w:val="both"/>
      </w:pPr>
    </w:p>
    <w:p w:rsidR="00ED626A" w:rsidRDefault="00ED626A" w:rsidP="002D07BB">
      <w:pPr>
        <w:jc w:val="both"/>
      </w:pPr>
    </w:p>
    <w:p w:rsidR="00ED626A" w:rsidRDefault="00ED626A" w:rsidP="002D07BB">
      <w:pPr>
        <w:jc w:val="both"/>
      </w:pPr>
    </w:p>
    <w:p w:rsidR="00ED626A" w:rsidRDefault="00ED626A" w:rsidP="002D07BB">
      <w:pPr>
        <w:jc w:val="both"/>
      </w:pPr>
    </w:p>
    <w:p w:rsidR="00ED626A" w:rsidRPr="00765DDA" w:rsidRDefault="00ED626A" w:rsidP="002D07BB">
      <w:pPr>
        <w:jc w:val="both"/>
      </w:pPr>
    </w:p>
    <w:p w:rsidR="00765DDA" w:rsidRPr="002D07BB" w:rsidRDefault="00765DDA" w:rsidP="002D07BB">
      <w:pPr>
        <w:jc w:val="both"/>
        <w:outlineLvl w:val="2"/>
        <w:rPr>
          <w:bCs/>
          <w:iCs/>
          <w:szCs w:val="28"/>
        </w:rPr>
      </w:pPr>
      <w:r w:rsidRPr="002D07BB">
        <w:rPr>
          <w:b/>
          <w:bCs/>
          <w:iCs/>
          <w:szCs w:val="28"/>
        </w:rPr>
        <w:lastRenderedPageBreak/>
        <w:t>Conclusion</w:t>
      </w:r>
    </w:p>
    <w:p w:rsidR="00765DDA" w:rsidRPr="002D07BB" w:rsidRDefault="00765DDA" w:rsidP="002D07BB">
      <w:pPr>
        <w:jc w:val="both"/>
        <w:outlineLvl w:val="2"/>
        <w:rPr>
          <w:bCs/>
          <w:iCs/>
          <w:szCs w:val="28"/>
        </w:rPr>
      </w:pPr>
    </w:p>
    <w:p w:rsidR="00765DDA" w:rsidRDefault="00765DDA" w:rsidP="002D07BB">
      <w:pPr>
        <w:jc w:val="both"/>
      </w:pPr>
      <w:r>
        <w:tab/>
      </w:r>
      <w:r w:rsidRPr="00765DDA">
        <w:t xml:space="preserve">Based on the adjustments described above, </w:t>
      </w:r>
      <w:r w:rsidR="002D07BB">
        <w:t>we find that the appropriate WACC is 6.81</w:t>
      </w:r>
      <w:r w:rsidRPr="00765DDA">
        <w:t xml:space="preserve"> percent. The </w:t>
      </w:r>
      <w:r w:rsidR="002D07BB">
        <w:t xml:space="preserve">Commission-approved </w:t>
      </w:r>
      <w:r w:rsidRPr="00765DDA">
        <w:t>WACC, including the proper components, amounts and cost rates are presented in Schedule No. 2.</w:t>
      </w:r>
    </w:p>
    <w:p w:rsidR="00765DDA" w:rsidRDefault="00765DDA" w:rsidP="00765DDA"/>
    <w:p w:rsidR="00DE64FD" w:rsidRDefault="00DE64FD" w:rsidP="00765DDA">
      <w:r>
        <w:rPr>
          <w:u w:val="single"/>
        </w:rPr>
        <w:t>7. Net Operating Income</w:t>
      </w:r>
    </w:p>
    <w:p w:rsidR="00DE64FD" w:rsidRDefault="00DE64FD" w:rsidP="00765DDA"/>
    <w:p w:rsidR="00DE64FD" w:rsidRPr="00DE64FD" w:rsidRDefault="00DE64FD" w:rsidP="00765DDA">
      <w:pPr>
        <w:rPr>
          <w:i/>
        </w:rPr>
      </w:pPr>
      <w:r>
        <w:rPr>
          <w:i/>
        </w:rPr>
        <w:t>A. Projected Operating Revenues</w:t>
      </w:r>
    </w:p>
    <w:p w:rsidR="00DE64FD" w:rsidRDefault="00DE64FD" w:rsidP="00765DDA"/>
    <w:p w:rsidR="00765DDA" w:rsidRDefault="00DE64FD" w:rsidP="00DE64FD">
      <w:pPr>
        <w:ind w:firstLine="720"/>
        <w:jc w:val="both"/>
      </w:pPr>
      <w:r>
        <w:t>We have</w:t>
      </w:r>
      <w:r w:rsidR="00765DDA" w:rsidRPr="00765DDA">
        <w:t xml:space="preserve"> reviewed Sebring’s calculations presented in Document No. 10856-2019, revised MFR Schedules G-2, Page 1, and Schedule G-2, Pages 8 and 8.5 of 31. Sebring’s projected revenues from the sales of gas, in the amount of $1,171,865, and miscellaneous service revenues, in the amount of $14,335, result in total operating revenue of $1,186,200. </w:t>
      </w:r>
      <w:r>
        <w:t>We find</w:t>
      </w:r>
      <w:r w:rsidR="00765DDA" w:rsidRPr="00765DDA">
        <w:t xml:space="preserve"> that the Company’s estimation of $1,186,200 total operating revenues for the 2020 projected test year is appropriate.</w:t>
      </w:r>
    </w:p>
    <w:p w:rsidR="00DE64FD" w:rsidRDefault="00DE64FD" w:rsidP="00DE64FD">
      <w:pPr>
        <w:jc w:val="both"/>
      </w:pPr>
    </w:p>
    <w:p w:rsidR="00DE64FD" w:rsidRPr="00DE64FD" w:rsidRDefault="00DE64FD" w:rsidP="00DE64FD">
      <w:pPr>
        <w:jc w:val="both"/>
        <w:rPr>
          <w:i/>
        </w:rPr>
      </w:pPr>
      <w:r>
        <w:rPr>
          <w:i/>
        </w:rPr>
        <w:t>B. Number of Employees</w:t>
      </w:r>
    </w:p>
    <w:p w:rsidR="00144F21" w:rsidRDefault="00144F21" w:rsidP="00144F21">
      <w:pPr>
        <w:jc w:val="both"/>
      </w:pPr>
    </w:p>
    <w:p w:rsidR="00144F21" w:rsidRDefault="00765DDA" w:rsidP="00144F21">
      <w:pPr>
        <w:ind w:firstLine="720"/>
        <w:jc w:val="both"/>
      </w:pPr>
      <w:r w:rsidRPr="00765DDA">
        <w:t xml:space="preserve">Sebring proposed to add one new accounting position to handle an increase in workload and complexity of the workload. As discussed in </w:t>
      </w:r>
      <w:r w:rsidR="00144F21">
        <w:t>the Salaries and Benefits section of this Order</w:t>
      </w:r>
      <w:r w:rsidRPr="00765DDA">
        <w:t xml:space="preserve">, </w:t>
      </w:r>
      <w:r w:rsidR="00144F21">
        <w:t xml:space="preserve">we </w:t>
      </w:r>
      <w:r w:rsidRPr="00765DDA">
        <w:t>approv</w:t>
      </w:r>
      <w:r w:rsidR="00144F21">
        <w:t>e</w:t>
      </w:r>
      <w:r w:rsidRPr="00765DDA">
        <w:t xml:space="preserve"> the</w:t>
      </w:r>
      <w:r w:rsidR="00395622">
        <w:t xml:space="preserve"> addition of the</w:t>
      </w:r>
      <w:r w:rsidRPr="00765DDA">
        <w:t xml:space="preserve"> new accounting position.</w:t>
      </w:r>
    </w:p>
    <w:p w:rsidR="00144F21" w:rsidRPr="00765DDA" w:rsidRDefault="00144F21" w:rsidP="00144F21">
      <w:pPr>
        <w:ind w:firstLine="720"/>
        <w:jc w:val="both"/>
      </w:pPr>
    </w:p>
    <w:p w:rsidR="00765DDA" w:rsidRPr="00765DDA" w:rsidRDefault="00765DDA" w:rsidP="00765DDA">
      <w:pPr>
        <w:spacing w:after="240"/>
        <w:jc w:val="both"/>
      </w:pPr>
      <w:r>
        <w:tab/>
      </w:r>
      <w:r w:rsidRPr="00765DDA">
        <w:t xml:space="preserve">As discussed in </w:t>
      </w:r>
      <w:r w:rsidR="00144F21">
        <w:t>the Plant Additions section of this Order</w:t>
      </w:r>
      <w:r w:rsidRPr="00765DDA">
        <w:t>, Sebring has proposed two expansion projects into the cities of Arcadia and Wauchula. Sebring is proposing the addition of 10,640 feet of steel mains and 30,000 feet of plastic mains to construct its Arcadia distribution system, and 15,500 feet of plastic mains for its Wauchula distribution system. The potential number of new customers that the Company identified is 27 for Arcadia and 28 for Wauchula, which largely consists of commercial and industrial customers.</w:t>
      </w:r>
      <w:r w:rsidRPr="00765DDA">
        <w:rPr>
          <w:vertAlign w:val="superscript"/>
        </w:rPr>
        <w:footnoteReference w:id="37"/>
      </w:r>
      <w:r w:rsidRPr="00765DDA">
        <w:t xml:space="preserve"> Due to the addition of these distribution systems, the Company requested two new field employees. The field employees will be responsible for tasks such as line locates, leak surveys, meter turn-ons/offs, and inspections of mains and services installations that will be completed by contractors. Additionally, these employees will be responsible for two prisons that are served by Sebring near Arcadia and Wauchula.  </w:t>
      </w:r>
    </w:p>
    <w:p w:rsidR="00765DDA" w:rsidRDefault="00765DDA" w:rsidP="00144F21">
      <w:pPr>
        <w:jc w:val="both"/>
      </w:pPr>
      <w:r>
        <w:tab/>
      </w:r>
      <w:r w:rsidRPr="00765DDA">
        <w:t xml:space="preserve">Based on </w:t>
      </w:r>
      <w:r w:rsidR="00144F21">
        <w:t>our</w:t>
      </w:r>
      <w:r w:rsidRPr="00765DDA">
        <w:t xml:space="preserve"> approval of the expansion projects in Arcadia and Wauchula, there will be a significant increase in the territory that Sebring will be serving. Also, Mr. Jerry Melendy indicated that the Arcadia, Sebring, and Wauchula distribution systems are not interconnected</w:t>
      </w:r>
      <w:r w:rsidR="00230772">
        <w:t>,</w:t>
      </w:r>
      <w:r w:rsidRPr="00765DDA">
        <w:t xml:space="preserve"> and are therefore three separate systems. Considering the expansion of service, as well as the independent nature of the three distribution systems, </w:t>
      </w:r>
      <w:r w:rsidR="00144F21">
        <w:t>we approve</w:t>
      </w:r>
      <w:r w:rsidRPr="00765DDA">
        <w:t xml:space="preserve"> the</w:t>
      </w:r>
      <w:r w:rsidR="00395622">
        <w:t xml:space="preserve"> addition of the</w:t>
      </w:r>
      <w:r w:rsidRPr="00765DDA">
        <w:t xml:space="preserve"> two new field employees.</w:t>
      </w:r>
    </w:p>
    <w:p w:rsidR="00765DDA" w:rsidRDefault="00765DDA" w:rsidP="00765DDA"/>
    <w:p w:rsidR="00ED626A" w:rsidRDefault="00ED626A" w:rsidP="00765DDA"/>
    <w:p w:rsidR="00144F21" w:rsidRPr="00144F21" w:rsidRDefault="00144F21" w:rsidP="00765DDA">
      <w:pPr>
        <w:spacing w:after="240"/>
        <w:jc w:val="both"/>
        <w:rPr>
          <w:i/>
        </w:rPr>
      </w:pPr>
      <w:r>
        <w:rPr>
          <w:i/>
        </w:rPr>
        <w:lastRenderedPageBreak/>
        <w:t>C. Salaries and Benefits</w:t>
      </w:r>
    </w:p>
    <w:p w:rsidR="00765DDA" w:rsidRPr="00765DDA" w:rsidRDefault="00685941" w:rsidP="00765DDA">
      <w:pPr>
        <w:spacing w:after="240"/>
        <w:jc w:val="both"/>
      </w:pPr>
      <w:r>
        <w:tab/>
      </w:r>
      <w:r w:rsidR="00765DDA" w:rsidRPr="00765DDA">
        <w:t xml:space="preserve">Sebring included $513,652 in salaries and benefits in the projected test year. </w:t>
      </w:r>
      <w:r w:rsidR="00144F21">
        <w:t>We</w:t>
      </w:r>
      <w:r w:rsidR="00765DDA" w:rsidRPr="00765DDA">
        <w:t xml:space="preserve"> removed $397 related to meter readings to reclassify the expense to Account 902. </w:t>
      </w:r>
    </w:p>
    <w:p w:rsidR="00765DDA" w:rsidRPr="00765DDA" w:rsidRDefault="00765DDA" w:rsidP="00765DDA">
      <w:pPr>
        <w:spacing w:after="240"/>
        <w:jc w:val="both"/>
      </w:pPr>
      <w:r>
        <w:tab/>
      </w:r>
      <w:r w:rsidRPr="00765DDA">
        <w:t>In its petition, Sebring stated that</w:t>
      </w:r>
      <w:r w:rsidR="00144F21">
        <w:t>,</w:t>
      </w:r>
      <w:r w:rsidRPr="00765DDA">
        <w:t xml:space="preserve"> like much of the utility industry in Florida, Sebring has experienced difficulty attracting and retaining qualified personnel. In 2018, Sebring experienced turn-over in three of its six field positions. Sebring believes that keeping existing employees is more prudent because of the significant time and expense necessary to train new employees. To motivate current employees to remain and to attract qualified personnel, Sebring has plans to increase wages for employees by an average of five percent for 2019 and 2020. </w:t>
      </w:r>
    </w:p>
    <w:p w:rsidR="00765DDA" w:rsidRPr="00765DDA" w:rsidRDefault="00765DDA" w:rsidP="00765DDA">
      <w:pPr>
        <w:spacing w:after="240"/>
        <w:jc w:val="both"/>
      </w:pPr>
      <w:r>
        <w:tab/>
      </w:r>
      <w:r w:rsidRPr="00765DDA">
        <w:t>Sebring projects to add two new field employees to serve customers in the previously unserved areas of Wauchula and Arcadia. The impact on Sebring’s payroll expense is projected to be $97,230 for the projected test year, of which $20,241 will be capitalized.</w:t>
      </w:r>
      <w:r w:rsidRPr="00765DDA">
        <w:rPr>
          <w:vertAlign w:val="superscript"/>
        </w:rPr>
        <w:footnoteReference w:id="38"/>
      </w:r>
      <w:r w:rsidRPr="00765DDA">
        <w:t xml:space="preserve"> With the projected growth and added complexity of managing a regulated natural gas company, Sebring proposes to add one accounting position with a projected salary of $50,000. In response to </w:t>
      </w:r>
      <w:r w:rsidR="00144F21">
        <w:t>our</w:t>
      </w:r>
      <w:r w:rsidRPr="00765DDA">
        <w:t xml:space="preserve"> staff</w:t>
      </w:r>
      <w:r w:rsidR="00144F21">
        <w:t>’s</w:t>
      </w:r>
      <w:r w:rsidRPr="00765DDA">
        <w:t xml:space="preserve"> data request, Sebring stated that the workload has increased to a level that requires the additional accounting position. The additional accounting position will ensure compliance with the complex accounting regulations.</w:t>
      </w:r>
      <w:r w:rsidRPr="00765DDA">
        <w:rPr>
          <w:vertAlign w:val="superscript"/>
        </w:rPr>
        <w:footnoteReference w:id="39"/>
      </w:r>
      <w:r w:rsidR="00144F21">
        <w:t xml:space="preserve"> </w:t>
      </w:r>
    </w:p>
    <w:p w:rsidR="00765DDA" w:rsidRDefault="00765DDA" w:rsidP="00144F21">
      <w:pPr>
        <w:jc w:val="both"/>
      </w:pPr>
      <w:r>
        <w:tab/>
      </w:r>
      <w:r w:rsidR="00144F21">
        <w:t>The</w:t>
      </w:r>
      <w:r w:rsidRPr="00765DDA">
        <w:t xml:space="preserve"> Company’s requested positions</w:t>
      </w:r>
      <w:r w:rsidR="00144F21">
        <w:t xml:space="preserve"> are approved</w:t>
      </w:r>
      <w:r w:rsidRPr="00765DDA">
        <w:t xml:space="preserve">. Also, </w:t>
      </w:r>
      <w:r w:rsidR="00144F21">
        <w:t>we believe</w:t>
      </w:r>
      <w:r w:rsidRPr="00765DDA">
        <w:t xml:space="preserve"> the increase in wages </w:t>
      </w:r>
      <w:r w:rsidR="00144F21">
        <w:t>is</w:t>
      </w:r>
      <w:r w:rsidRPr="00765DDA">
        <w:t xml:space="preserve"> reasonable. Therefore, the appropriate amount of salaries and benefits for the projected test year is $513,255.</w:t>
      </w:r>
    </w:p>
    <w:p w:rsidR="00765DDA" w:rsidRDefault="00765DDA" w:rsidP="00765DDA"/>
    <w:p w:rsidR="00685941" w:rsidRPr="00376A2C" w:rsidRDefault="00376A2C" w:rsidP="00765DDA">
      <w:pPr>
        <w:spacing w:after="240"/>
        <w:jc w:val="both"/>
      </w:pPr>
      <w:r>
        <w:rPr>
          <w:bCs/>
          <w:i/>
          <w:kern w:val="32"/>
          <w:szCs w:val="32"/>
        </w:rPr>
        <w:t>D. Rate Case Expense and Amortization Period</w:t>
      </w:r>
    </w:p>
    <w:p w:rsidR="00765DDA" w:rsidRPr="00765DDA" w:rsidRDefault="00765DDA" w:rsidP="00376A2C">
      <w:pPr>
        <w:spacing w:after="240"/>
        <w:ind w:firstLine="720"/>
        <w:jc w:val="both"/>
      </w:pPr>
      <w:r w:rsidRPr="00765DDA">
        <w:t xml:space="preserve">According to the MFRs, Sebring projected Rate Case Expense of $132,500 for this proceeding. Sebring proposed a four-year amortization period, resulting in annual Rate Case Expense of $33,125. </w:t>
      </w:r>
    </w:p>
    <w:p w:rsidR="00765DDA" w:rsidRPr="00765DDA" w:rsidRDefault="00765DDA" w:rsidP="00765DDA">
      <w:pPr>
        <w:spacing w:after="240"/>
        <w:jc w:val="both"/>
      </w:pPr>
      <w:r>
        <w:tab/>
      </w:r>
      <w:r w:rsidRPr="00765DDA">
        <w:t>On October 17, 2019, Sebring provided an updated estimate of Rate Case Expense based on actual expense to date and an estimate to complete the case.</w:t>
      </w:r>
      <w:r w:rsidRPr="00765DDA">
        <w:rPr>
          <w:vertAlign w:val="superscript"/>
        </w:rPr>
        <w:footnoteReference w:id="40"/>
      </w:r>
      <w:r w:rsidRPr="00765DDA">
        <w:t xml:space="preserve"> Sebring projected $100,000 in consulting fees. The Company provided a flat rate contract from the consultant that matched this amount for the instant case. In the prior rate case in 2004, $40,000 in Rate Case Expense was allowed for consulting service which was primarily related to the cost of service study. In the instant case, the consultant derived Sebring’s capital costs for the Company’s expansion, detailed capital costs related to other growth, and sponsored the cost of service study. </w:t>
      </w:r>
      <w:r w:rsidR="00925384">
        <w:t>We find that</w:t>
      </w:r>
      <w:r w:rsidRPr="00765DDA">
        <w:t xml:space="preserve"> the increase in consulting fees is reasonable due to the additional work being provided by the consultant in the instant case and inflation since the last rate case. Therefore, </w:t>
      </w:r>
      <w:r w:rsidR="00925384">
        <w:t>we find that</w:t>
      </w:r>
      <w:r w:rsidRPr="00765DDA">
        <w:t xml:space="preserve"> no adjustments for consulting services</w:t>
      </w:r>
      <w:r w:rsidR="00925384">
        <w:t xml:space="preserve"> are necessary</w:t>
      </w:r>
      <w:r w:rsidRPr="00765DDA">
        <w:t xml:space="preserve">. </w:t>
      </w:r>
    </w:p>
    <w:p w:rsidR="00765DDA" w:rsidRPr="00765DDA" w:rsidRDefault="00765DDA" w:rsidP="00765DDA">
      <w:pPr>
        <w:spacing w:after="240"/>
        <w:jc w:val="both"/>
      </w:pPr>
      <w:r>
        <w:lastRenderedPageBreak/>
        <w:tab/>
      </w:r>
      <w:r w:rsidRPr="00765DDA">
        <w:t>Sebring initially projected $30,000 for legal fees. The updated amount for legal expenses is $50,000, including $33,000 already incurred. The contract for legal services established a “soft” cap of $50,000.</w:t>
      </w:r>
      <w:r w:rsidRPr="00765DDA">
        <w:rPr>
          <w:vertAlign w:val="superscript"/>
        </w:rPr>
        <w:footnoteReference w:id="41"/>
      </w:r>
      <w:r w:rsidRPr="00765DDA">
        <w:t xml:space="preserve"> Based upon the work already performed and the work expected to be performed, </w:t>
      </w:r>
      <w:r w:rsidR="00925384">
        <w:t>we believe</w:t>
      </w:r>
      <w:r w:rsidRPr="00765DDA">
        <w:t xml:space="preserve"> legal expenses of $50,000 is reasonable. Therefore, </w:t>
      </w:r>
      <w:r w:rsidR="00925384">
        <w:t>we</w:t>
      </w:r>
      <w:r w:rsidRPr="00765DDA">
        <w:t xml:space="preserve"> increas</w:t>
      </w:r>
      <w:r w:rsidR="00925384">
        <w:t>ed</w:t>
      </w:r>
      <w:r w:rsidRPr="00765DDA">
        <w:t xml:space="preserve"> legal expenses by $20,000. Further, miscellaneous expenses were projected to be $2,500. The updated amount for miscellaneous expense is $1,295, thus miscellaneous expenses sh</w:t>
      </w:r>
      <w:r w:rsidR="00925384">
        <w:t>all</w:t>
      </w:r>
      <w:r w:rsidRPr="00765DDA">
        <w:t xml:space="preserve"> be reduced by $1,205. The adjustments above result in an increase of $18,795 ($20,000 - $1,205). This results in a total Rate Case Expense of $151,295 ($132,500 + $18,795) </w:t>
      </w:r>
    </w:p>
    <w:p w:rsidR="00765DDA" w:rsidRPr="00765DDA" w:rsidRDefault="00765DDA" w:rsidP="00765DDA">
      <w:pPr>
        <w:spacing w:after="240"/>
        <w:jc w:val="both"/>
      </w:pPr>
      <w:r>
        <w:tab/>
      </w:r>
      <w:r w:rsidRPr="00765DDA">
        <w:t xml:space="preserve">As presented in the MFRs, Sebring requested that the Rate Case Expense be amortized over a period of four years. </w:t>
      </w:r>
      <w:r w:rsidR="00925384">
        <w:t>We find that</w:t>
      </w:r>
      <w:r w:rsidRPr="00765DDA">
        <w:t xml:space="preserve"> the four-year amortization period </w:t>
      </w:r>
      <w:r w:rsidR="00925384">
        <w:t>is</w:t>
      </w:r>
      <w:r w:rsidRPr="00765DDA">
        <w:t xml:space="preserve"> reasonable and consistent with prior Commission decisions.</w:t>
      </w:r>
      <w:r w:rsidRPr="00765DDA">
        <w:rPr>
          <w:vertAlign w:val="superscript"/>
        </w:rPr>
        <w:footnoteReference w:id="42"/>
      </w:r>
      <w:r w:rsidRPr="00765DDA">
        <w:t xml:space="preserve"> </w:t>
      </w:r>
    </w:p>
    <w:p w:rsidR="00765DDA" w:rsidRDefault="00765DDA" w:rsidP="00925384">
      <w:pPr>
        <w:jc w:val="both"/>
      </w:pPr>
      <w:r>
        <w:tab/>
      </w:r>
      <w:r w:rsidRPr="00765DDA">
        <w:t xml:space="preserve">Based on the above, </w:t>
      </w:r>
      <w:r w:rsidR="00925384">
        <w:t>we find</w:t>
      </w:r>
      <w:r w:rsidRPr="00765DDA">
        <w:t xml:space="preserve"> that the appropriate amount of Rate Case Expense is $151,295 to be amortized over four years. The appropriate annual amount to be included in Rate Case Expense is $37,824 ($151,295 / 4). Therefore, Rate Case Expense sh</w:t>
      </w:r>
      <w:r w:rsidR="00DD03A9">
        <w:t>all</w:t>
      </w:r>
      <w:r w:rsidRPr="00765DDA">
        <w:t xml:space="preserve"> be increased by $4,699 ($37,824 - $33,125).</w:t>
      </w:r>
    </w:p>
    <w:p w:rsidR="00765DDA" w:rsidRDefault="00765DDA" w:rsidP="00765DDA"/>
    <w:p w:rsidR="00254C12" w:rsidRPr="00254C12" w:rsidRDefault="00254C12" w:rsidP="00765DDA">
      <w:pPr>
        <w:spacing w:after="240"/>
        <w:jc w:val="both"/>
        <w:rPr>
          <w:i/>
        </w:rPr>
      </w:pPr>
      <w:r>
        <w:rPr>
          <w:i/>
        </w:rPr>
        <w:t>E. Test Year Operation and Maintenance Expense</w:t>
      </w:r>
    </w:p>
    <w:p w:rsidR="00765DDA" w:rsidRDefault="00685941" w:rsidP="00254C12">
      <w:pPr>
        <w:jc w:val="both"/>
      </w:pPr>
      <w:r>
        <w:tab/>
      </w:r>
      <w:r w:rsidR="00765DDA" w:rsidRPr="00765DDA">
        <w:t xml:space="preserve">Sebring included $739,587 in operation and maintenance (O&amp;M) expenses for the projected test year. As discussed in </w:t>
      </w:r>
      <w:r w:rsidR="00C03098">
        <w:t>the Salaries and Benefits section of this Order</w:t>
      </w:r>
      <w:r w:rsidR="00765DDA" w:rsidRPr="00765DDA">
        <w:t xml:space="preserve">, </w:t>
      </w:r>
      <w:r w:rsidR="00C03098">
        <w:t>we</w:t>
      </w:r>
      <w:r w:rsidR="00765DDA" w:rsidRPr="00765DDA">
        <w:t xml:space="preserve"> decreased salaries and benefits by $397. Also, as discussed in </w:t>
      </w:r>
      <w:r w:rsidR="00C03098">
        <w:t>the Rate Case Expense and Amortization section of this Order</w:t>
      </w:r>
      <w:r w:rsidR="00765DDA" w:rsidRPr="00765DDA">
        <w:t xml:space="preserve">, </w:t>
      </w:r>
      <w:r w:rsidR="00C03098">
        <w:t>we</w:t>
      </w:r>
      <w:r w:rsidR="00765DDA" w:rsidRPr="00765DDA">
        <w:t xml:space="preserve"> increased Rate Case Expense by $4,699 for the projected test year. Based on </w:t>
      </w:r>
      <w:r w:rsidR="00C03098">
        <w:t>our</w:t>
      </w:r>
      <w:r w:rsidR="00765DDA" w:rsidRPr="00765DDA">
        <w:t xml:space="preserve"> analysis, </w:t>
      </w:r>
      <w:r w:rsidR="00C03098">
        <w:t>we find that</w:t>
      </w:r>
      <w:r w:rsidR="00765DDA" w:rsidRPr="00765DDA">
        <w:t xml:space="preserve"> the following additional adjustments to Sebring’s O&amp;M expense for the projected test year</w:t>
      </w:r>
      <w:r w:rsidR="00C03098">
        <w:t xml:space="preserve"> appropriate</w:t>
      </w:r>
      <w:r w:rsidR="00765DDA" w:rsidRPr="00765DDA">
        <w:t>.</w:t>
      </w:r>
    </w:p>
    <w:p w:rsidR="00254C12" w:rsidRDefault="00254C12" w:rsidP="00254C12">
      <w:pPr>
        <w:jc w:val="both"/>
      </w:pPr>
    </w:p>
    <w:p w:rsidR="00765DDA" w:rsidRDefault="00765DDA" w:rsidP="00254C12">
      <w:pPr>
        <w:jc w:val="both"/>
        <w:outlineLvl w:val="2"/>
        <w:rPr>
          <w:b/>
          <w:bCs/>
          <w:iCs/>
          <w:szCs w:val="28"/>
        </w:rPr>
      </w:pPr>
      <w:r w:rsidRPr="00254C12">
        <w:rPr>
          <w:b/>
          <w:bCs/>
          <w:iCs/>
          <w:szCs w:val="28"/>
        </w:rPr>
        <w:t>Operation &amp; Maintenance Expense</w:t>
      </w:r>
    </w:p>
    <w:p w:rsidR="00254C12" w:rsidRPr="00254C12" w:rsidRDefault="00254C12" w:rsidP="00254C12">
      <w:pPr>
        <w:jc w:val="both"/>
        <w:outlineLvl w:val="2"/>
        <w:rPr>
          <w:b/>
          <w:bCs/>
          <w:iCs/>
          <w:szCs w:val="28"/>
        </w:rPr>
      </w:pPr>
    </w:p>
    <w:p w:rsidR="00230772" w:rsidRPr="00254C12" w:rsidRDefault="00765DDA" w:rsidP="00230772">
      <w:pPr>
        <w:ind w:left="720"/>
        <w:jc w:val="both"/>
        <w:outlineLvl w:val="3"/>
        <w:rPr>
          <w:bCs/>
          <w:i/>
          <w:iCs/>
          <w:szCs w:val="28"/>
        </w:rPr>
      </w:pPr>
      <w:r w:rsidRPr="00254C12">
        <w:rPr>
          <w:bCs/>
          <w:i/>
          <w:iCs/>
          <w:szCs w:val="28"/>
        </w:rPr>
        <w:t>Meter Reading Expense (902)</w:t>
      </w:r>
    </w:p>
    <w:p w:rsidR="00765DDA" w:rsidRDefault="00765DDA" w:rsidP="00254C12">
      <w:pPr>
        <w:jc w:val="both"/>
      </w:pPr>
      <w:r>
        <w:tab/>
      </w:r>
      <w:r w:rsidRPr="00765DDA">
        <w:t xml:space="preserve">Sebring included $6,596 of meter reading expense in Account 902. In analyzing Sebring’s projected test year expenses, </w:t>
      </w:r>
      <w:r w:rsidR="00BC4E7D">
        <w:t>we</w:t>
      </w:r>
      <w:r w:rsidRPr="00765DDA">
        <w:t xml:space="preserve"> determined that $397 in meter reading expense was incorrectly recorded in Account 920. </w:t>
      </w:r>
      <w:r w:rsidR="00BC4E7D">
        <w:t>We find</w:t>
      </w:r>
      <w:r w:rsidRPr="00765DDA">
        <w:t xml:space="preserve"> that the projected test year meter reading expense </w:t>
      </w:r>
      <w:r w:rsidR="00BC4E7D">
        <w:t xml:space="preserve">shall </w:t>
      </w:r>
      <w:r w:rsidR="00E96F06">
        <w:t>be increased by $397.  Therefore, we find that the appropriate</w:t>
      </w:r>
      <w:r w:rsidRPr="00765DDA">
        <w:t xml:space="preserve"> total projected test year meter reading expense </w:t>
      </w:r>
      <w:r w:rsidR="00E96F06">
        <w:t>is</w:t>
      </w:r>
      <w:r w:rsidRPr="00765DDA">
        <w:t xml:space="preserve"> $6,993.</w:t>
      </w:r>
    </w:p>
    <w:p w:rsidR="00BC4E7D" w:rsidRPr="00765DDA" w:rsidRDefault="00BC4E7D" w:rsidP="00254C12">
      <w:pPr>
        <w:jc w:val="both"/>
      </w:pPr>
    </w:p>
    <w:p w:rsidR="00765DDA" w:rsidRPr="00BC4E7D" w:rsidRDefault="00765DDA" w:rsidP="00230772">
      <w:pPr>
        <w:ind w:left="720"/>
        <w:jc w:val="both"/>
        <w:outlineLvl w:val="3"/>
        <w:rPr>
          <w:bCs/>
          <w:i/>
          <w:iCs/>
          <w:szCs w:val="28"/>
        </w:rPr>
      </w:pPr>
      <w:r w:rsidRPr="00BC4E7D">
        <w:rPr>
          <w:bCs/>
          <w:i/>
          <w:iCs/>
          <w:szCs w:val="28"/>
        </w:rPr>
        <w:t>Office Supplies &amp; Expense (921)</w:t>
      </w:r>
    </w:p>
    <w:p w:rsidR="00765DDA" w:rsidRPr="00765DDA" w:rsidRDefault="00765DDA" w:rsidP="00765DDA">
      <w:pPr>
        <w:spacing w:after="240"/>
        <w:jc w:val="both"/>
      </w:pPr>
      <w:r>
        <w:tab/>
      </w:r>
      <w:r w:rsidRPr="00765DDA">
        <w:t xml:space="preserve">Sebring included $35,577 in the projected test year in Account 921, Office Supplies &amp; Expense. Included in this amount is $49 related to late payment fees, and $1,831 for lobbying activities. </w:t>
      </w:r>
      <w:r w:rsidR="00E96F06">
        <w:t>We removed</w:t>
      </w:r>
      <w:r w:rsidRPr="00765DDA">
        <w:t xml:space="preserve"> these costs, resulting in a total decrease to the projected test year Offi</w:t>
      </w:r>
      <w:r w:rsidR="00E96F06">
        <w:t xml:space="preserve">ce </w:t>
      </w:r>
      <w:r w:rsidR="00E96F06">
        <w:lastRenderedPageBreak/>
        <w:t>Supplies &amp; Expense of $1,880.</w:t>
      </w:r>
      <w:r w:rsidRPr="00765DDA">
        <w:t xml:space="preserve"> </w:t>
      </w:r>
      <w:r w:rsidR="00E96F06">
        <w:t>Therefore, we find that the appropriate</w:t>
      </w:r>
      <w:r w:rsidRPr="00765DDA">
        <w:t xml:space="preserve"> total projected test year Office Supplies &amp; Expense </w:t>
      </w:r>
      <w:r w:rsidR="00E96F06">
        <w:t>is</w:t>
      </w:r>
      <w:r w:rsidRPr="00765DDA">
        <w:t xml:space="preserve"> $33,697.</w:t>
      </w:r>
    </w:p>
    <w:p w:rsidR="00765DDA" w:rsidRPr="00BC4E7D" w:rsidRDefault="00765DDA" w:rsidP="00765DDA">
      <w:pPr>
        <w:ind w:left="720"/>
        <w:jc w:val="both"/>
        <w:outlineLvl w:val="3"/>
        <w:rPr>
          <w:bCs/>
          <w:i/>
          <w:iCs/>
          <w:szCs w:val="28"/>
        </w:rPr>
      </w:pPr>
      <w:r w:rsidRPr="00BC4E7D">
        <w:rPr>
          <w:bCs/>
          <w:i/>
          <w:iCs/>
          <w:szCs w:val="28"/>
        </w:rPr>
        <w:t>Employee Pension &amp; Benefits (926)</w:t>
      </w:r>
    </w:p>
    <w:p w:rsidR="00765DDA" w:rsidRPr="00765DDA" w:rsidRDefault="00765DDA" w:rsidP="00230772">
      <w:pPr>
        <w:spacing w:after="240"/>
        <w:ind w:firstLine="720"/>
        <w:jc w:val="both"/>
      </w:pPr>
      <w:r w:rsidRPr="00765DDA">
        <w:t xml:space="preserve">The Company included $43,146 for Employee Pension &amp; Benefits expense in the projected test year. </w:t>
      </w:r>
      <w:r w:rsidR="00E96F06">
        <w:t>We reduced</w:t>
      </w:r>
      <w:r w:rsidRPr="00765DDA">
        <w:t xml:space="preserve"> the projected test year expense by $413 to remove costs not applicable to the period. </w:t>
      </w:r>
      <w:r w:rsidR="00E96F06">
        <w:t>Therefore, we find that the appropriate p</w:t>
      </w:r>
      <w:r w:rsidRPr="00765DDA">
        <w:t>rojected test year Employee Pension &amp; Benefits expense is $42,733.</w:t>
      </w:r>
    </w:p>
    <w:p w:rsidR="00765DDA" w:rsidRPr="00BC4E7D" w:rsidRDefault="00765DDA" w:rsidP="00765DDA">
      <w:pPr>
        <w:jc w:val="both"/>
        <w:outlineLvl w:val="2"/>
        <w:rPr>
          <w:bCs/>
          <w:iCs/>
          <w:szCs w:val="28"/>
        </w:rPr>
      </w:pPr>
      <w:r w:rsidRPr="00BC4E7D">
        <w:rPr>
          <w:b/>
          <w:bCs/>
          <w:iCs/>
          <w:szCs w:val="28"/>
        </w:rPr>
        <w:t>Conclusion</w:t>
      </w:r>
    </w:p>
    <w:p w:rsidR="00765DDA" w:rsidRPr="00BC4E7D" w:rsidRDefault="00765DDA" w:rsidP="00765DDA">
      <w:pPr>
        <w:jc w:val="both"/>
        <w:outlineLvl w:val="2"/>
        <w:rPr>
          <w:bCs/>
          <w:iCs/>
          <w:szCs w:val="28"/>
        </w:rPr>
      </w:pPr>
    </w:p>
    <w:p w:rsidR="00765DDA" w:rsidRPr="00765DDA" w:rsidRDefault="00765DDA" w:rsidP="00765DDA">
      <w:pPr>
        <w:spacing w:after="240"/>
        <w:jc w:val="both"/>
      </w:pPr>
      <w:r>
        <w:tab/>
      </w:r>
      <w:r w:rsidRPr="00765DDA">
        <w:t>Bas</w:t>
      </w:r>
      <w:r w:rsidR="00E96F06">
        <w:t>ed on the above adjustments and those made in the Salaries and Benefits and the Rate Case Expense and Amortization sections</w:t>
      </w:r>
      <w:r w:rsidRPr="00765DDA">
        <w:t xml:space="preserve">, </w:t>
      </w:r>
      <w:r w:rsidR="00E96F06">
        <w:t>we find</w:t>
      </w:r>
      <w:r w:rsidRPr="00765DDA">
        <w:t xml:space="preserve"> that O&amp;M expense</w:t>
      </w:r>
      <w:r w:rsidR="00E96F06">
        <w:t xml:space="preserve"> shall</w:t>
      </w:r>
      <w:r w:rsidRPr="00765DDA">
        <w:t xml:space="preserve"> be increased by $2,405 resulting in a total O&amp;M expense of $741,992 for the projected test year ending December 31, 2020.</w:t>
      </w:r>
    </w:p>
    <w:p w:rsidR="00765DDA" w:rsidRDefault="00765DDA" w:rsidP="00765DDA">
      <w:r w:rsidRPr="00765DDA">
        <w:t>T</w:t>
      </w:r>
      <w:r w:rsidR="00E96F06">
        <w:t>he table</w:t>
      </w:r>
      <w:r w:rsidRPr="00765DDA">
        <w:t xml:space="preserve"> below reflects the adjustments to Operation and Maintenance Expense.</w:t>
      </w:r>
    </w:p>
    <w:p w:rsidR="00E96F06" w:rsidRDefault="00E96F06" w:rsidP="00765DDA"/>
    <w:p w:rsidR="00765DDA" w:rsidRPr="00E96F06" w:rsidRDefault="00765DDA" w:rsidP="00765DDA">
      <w:pPr>
        <w:pStyle w:val="TableTitle"/>
        <w:keepNext/>
        <w:rPr>
          <w:rFonts w:ascii="Times New Roman" w:hAnsi="Times New Roman"/>
        </w:rPr>
      </w:pPr>
      <w:r w:rsidRPr="00E96F06">
        <w:rPr>
          <w:rFonts w:ascii="Times New Roman" w:hAnsi="Times New Roman"/>
        </w:rPr>
        <w:t>O&amp;M Adjustments</w:t>
      </w:r>
    </w:p>
    <w:tbl>
      <w:tblPr>
        <w:tblW w:w="631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29"/>
        <w:gridCol w:w="2088"/>
      </w:tblGrid>
      <w:tr w:rsidR="00765DDA" w:rsidRPr="005F5C38" w:rsidTr="00765DDA">
        <w:trPr>
          <w:trHeight w:val="706"/>
          <w:jc w:val="center"/>
        </w:trPr>
        <w:tc>
          <w:tcPr>
            <w:tcW w:w="4229" w:type="dxa"/>
            <w:shd w:val="clear" w:color="auto" w:fill="auto"/>
            <w:vAlign w:val="center"/>
            <w:hideMark/>
          </w:tcPr>
          <w:p w:rsidR="00765DDA" w:rsidRPr="006551DB" w:rsidRDefault="00765DDA" w:rsidP="00765DDA">
            <w:pPr>
              <w:jc w:val="center"/>
              <w:rPr>
                <w:b/>
                <w:color w:val="000000"/>
              </w:rPr>
            </w:pPr>
            <w:r w:rsidRPr="006551DB">
              <w:rPr>
                <w:b/>
                <w:color w:val="000000"/>
              </w:rPr>
              <w:t>Account</w:t>
            </w:r>
          </w:p>
        </w:tc>
        <w:tc>
          <w:tcPr>
            <w:tcW w:w="2088" w:type="dxa"/>
            <w:shd w:val="clear" w:color="auto" w:fill="auto"/>
            <w:vAlign w:val="center"/>
            <w:hideMark/>
          </w:tcPr>
          <w:p w:rsidR="00765DDA" w:rsidRPr="00DC3D9D" w:rsidRDefault="00E96F06" w:rsidP="00765DDA">
            <w:pPr>
              <w:jc w:val="center"/>
              <w:rPr>
                <w:b/>
                <w:color w:val="000000"/>
              </w:rPr>
            </w:pPr>
            <w:r>
              <w:rPr>
                <w:b/>
                <w:color w:val="000000"/>
              </w:rPr>
              <w:t>Commission</w:t>
            </w:r>
          </w:p>
          <w:p w:rsidR="00765DDA" w:rsidRPr="006551DB" w:rsidRDefault="00765DDA" w:rsidP="00765DDA">
            <w:pPr>
              <w:jc w:val="center"/>
              <w:rPr>
                <w:b/>
                <w:color w:val="000000"/>
              </w:rPr>
            </w:pPr>
            <w:r w:rsidRPr="006551DB">
              <w:rPr>
                <w:b/>
                <w:color w:val="000000"/>
              </w:rPr>
              <w:t>Adjustment</w:t>
            </w:r>
          </w:p>
        </w:tc>
      </w:tr>
      <w:tr w:rsidR="00765DDA" w:rsidRPr="005F5C38" w:rsidTr="00765DDA">
        <w:trPr>
          <w:trHeight w:val="345"/>
          <w:jc w:val="center"/>
        </w:trPr>
        <w:tc>
          <w:tcPr>
            <w:tcW w:w="4229" w:type="dxa"/>
            <w:shd w:val="clear" w:color="auto" w:fill="auto"/>
            <w:noWrap/>
            <w:vAlign w:val="center"/>
            <w:hideMark/>
          </w:tcPr>
          <w:p w:rsidR="00765DDA" w:rsidRPr="005F5C38" w:rsidRDefault="00765DDA" w:rsidP="00765DDA">
            <w:pPr>
              <w:rPr>
                <w:color w:val="000000"/>
              </w:rPr>
            </w:pPr>
            <w:r w:rsidRPr="005F5C38">
              <w:rPr>
                <w:color w:val="000000"/>
              </w:rPr>
              <w:t>902 Meter Reading Exp</w:t>
            </w:r>
            <w:r>
              <w:rPr>
                <w:color w:val="000000"/>
              </w:rPr>
              <w:t>ense</w:t>
            </w:r>
          </w:p>
        </w:tc>
        <w:tc>
          <w:tcPr>
            <w:tcW w:w="2088" w:type="dxa"/>
            <w:shd w:val="clear" w:color="auto" w:fill="auto"/>
            <w:noWrap/>
            <w:vAlign w:val="center"/>
            <w:hideMark/>
          </w:tcPr>
          <w:p w:rsidR="00765DDA" w:rsidRPr="005F5C38" w:rsidRDefault="00765DDA" w:rsidP="00765DDA">
            <w:pPr>
              <w:jc w:val="right"/>
              <w:rPr>
                <w:color w:val="000000"/>
              </w:rPr>
            </w:pPr>
            <w:r w:rsidRPr="005F5C38">
              <w:rPr>
                <w:color w:val="000000"/>
              </w:rPr>
              <w:t xml:space="preserve">$397 </w:t>
            </w:r>
          </w:p>
        </w:tc>
      </w:tr>
      <w:tr w:rsidR="00765DDA" w:rsidRPr="005F5C38" w:rsidTr="00765DDA">
        <w:trPr>
          <w:trHeight w:val="345"/>
          <w:jc w:val="center"/>
        </w:trPr>
        <w:tc>
          <w:tcPr>
            <w:tcW w:w="4229" w:type="dxa"/>
            <w:shd w:val="clear" w:color="auto" w:fill="auto"/>
            <w:noWrap/>
            <w:vAlign w:val="center"/>
            <w:hideMark/>
          </w:tcPr>
          <w:p w:rsidR="00765DDA" w:rsidRPr="005F5C38" w:rsidRDefault="00765DDA" w:rsidP="00765DDA">
            <w:pPr>
              <w:rPr>
                <w:color w:val="000000"/>
              </w:rPr>
            </w:pPr>
            <w:r w:rsidRPr="005F5C38">
              <w:rPr>
                <w:color w:val="000000"/>
              </w:rPr>
              <w:t>920 Administrative &amp; General Salaries</w:t>
            </w:r>
          </w:p>
        </w:tc>
        <w:tc>
          <w:tcPr>
            <w:tcW w:w="2088" w:type="dxa"/>
            <w:shd w:val="clear" w:color="auto" w:fill="auto"/>
            <w:noWrap/>
            <w:vAlign w:val="center"/>
            <w:hideMark/>
          </w:tcPr>
          <w:p w:rsidR="00765DDA" w:rsidRPr="005F5C38" w:rsidRDefault="00765DDA" w:rsidP="00765DDA">
            <w:pPr>
              <w:jc w:val="right"/>
              <w:rPr>
                <w:color w:val="000000"/>
              </w:rPr>
            </w:pPr>
            <w:r>
              <w:rPr>
                <w:color w:val="000000"/>
              </w:rPr>
              <w:t>(</w:t>
            </w:r>
            <w:r w:rsidRPr="005F5C38">
              <w:rPr>
                <w:color w:val="000000"/>
              </w:rPr>
              <w:t>397)</w:t>
            </w:r>
          </w:p>
        </w:tc>
      </w:tr>
      <w:tr w:rsidR="00765DDA" w:rsidRPr="005F5C38" w:rsidTr="00765DDA">
        <w:trPr>
          <w:trHeight w:val="345"/>
          <w:jc w:val="center"/>
        </w:trPr>
        <w:tc>
          <w:tcPr>
            <w:tcW w:w="4229" w:type="dxa"/>
            <w:shd w:val="clear" w:color="auto" w:fill="auto"/>
            <w:noWrap/>
            <w:vAlign w:val="center"/>
            <w:hideMark/>
          </w:tcPr>
          <w:p w:rsidR="00765DDA" w:rsidRPr="005F5C38" w:rsidRDefault="00765DDA" w:rsidP="00765DDA">
            <w:pPr>
              <w:rPr>
                <w:color w:val="000000"/>
              </w:rPr>
            </w:pPr>
            <w:r w:rsidRPr="005F5C38">
              <w:rPr>
                <w:color w:val="000000"/>
              </w:rPr>
              <w:t>921 Office Supplies &amp; Expense</w:t>
            </w:r>
          </w:p>
        </w:tc>
        <w:tc>
          <w:tcPr>
            <w:tcW w:w="2088" w:type="dxa"/>
            <w:shd w:val="clear" w:color="auto" w:fill="auto"/>
            <w:noWrap/>
            <w:vAlign w:val="center"/>
            <w:hideMark/>
          </w:tcPr>
          <w:p w:rsidR="00765DDA" w:rsidRPr="005F5C38" w:rsidRDefault="00765DDA" w:rsidP="00765DDA">
            <w:pPr>
              <w:jc w:val="right"/>
              <w:rPr>
                <w:color w:val="000000"/>
              </w:rPr>
            </w:pPr>
            <w:r>
              <w:rPr>
                <w:color w:val="000000"/>
              </w:rPr>
              <w:t>(</w:t>
            </w:r>
            <w:r w:rsidRPr="005F5C38">
              <w:rPr>
                <w:color w:val="000000"/>
              </w:rPr>
              <w:t>1,880)</w:t>
            </w:r>
          </w:p>
        </w:tc>
      </w:tr>
      <w:tr w:rsidR="00765DDA" w:rsidRPr="005F5C38" w:rsidTr="00765DDA">
        <w:trPr>
          <w:trHeight w:val="345"/>
          <w:jc w:val="center"/>
        </w:trPr>
        <w:tc>
          <w:tcPr>
            <w:tcW w:w="4229" w:type="dxa"/>
            <w:shd w:val="clear" w:color="auto" w:fill="auto"/>
            <w:noWrap/>
            <w:vAlign w:val="center"/>
            <w:hideMark/>
          </w:tcPr>
          <w:p w:rsidR="00765DDA" w:rsidRPr="005F5C38" w:rsidRDefault="00765DDA" w:rsidP="00765DDA">
            <w:pPr>
              <w:rPr>
                <w:color w:val="000000"/>
              </w:rPr>
            </w:pPr>
            <w:r w:rsidRPr="005F5C38">
              <w:rPr>
                <w:color w:val="000000"/>
              </w:rPr>
              <w:t xml:space="preserve">926 Employee Pension and Benefits </w:t>
            </w:r>
          </w:p>
        </w:tc>
        <w:tc>
          <w:tcPr>
            <w:tcW w:w="2088" w:type="dxa"/>
            <w:shd w:val="clear" w:color="auto" w:fill="auto"/>
            <w:noWrap/>
            <w:vAlign w:val="center"/>
            <w:hideMark/>
          </w:tcPr>
          <w:p w:rsidR="00765DDA" w:rsidRPr="005F5C38" w:rsidRDefault="00765DDA" w:rsidP="00765DDA">
            <w:pPr>
              <w:jc w:val="right"/>
              <w:rPr>
                <w:color w:val="000000"/>
              </w:rPr>
            </w:pPr>
            <w:r>
              <w:rPr>
                <w:color w:val="000000"/>
              </w:rPr>
              <w:t>(</w:t>
            </w:r>
            <w:r w:rsidRPr="005F5C38">
              <w:rPr>
                <w:color w:val="000000"/>
              </w:rPr>
              <w:t>413)</w:t>
            </w:r>
          </w:p>
        </w:tc>
      </w:tr>
      <w:tr w:rsidR="00765DDA" w:rsidRPr="005F5C38" w:rsidTr="00765DDA">
        <w:trPr>
          <w:trHeight w:val="361"/>
          <w:jc w:val="center"/>
        </w:trPr>
        <w:tc>
          <w:tcPr>
            <w:tcW w:w="4229" w:type="dxa"/>
            <w:shd w:val="clear" w:color="auto" w:fill="auto"/>
            <w:noWrap/>
            <w:vAlign w:val="center"/>
            <w:hideMark/>
          </w:tcPr>
          <w:p w:rsidR="00765DDA" w:rsidRPr="005F5C38" w:rsidRDefault="00765DDA" w:rsidP="00765DDA">
            <w:pPr>
              <w:rPr>
                <w:color w:val="000000"/>
              </w:rPr>
            </w:pPr>
            <w:r w:rsidRPr="005F5C38">
              <w:rPr>
                <w:color w:val="000000"/>
              </w:rPr>
              <w:t>928 Regulatory Commi</w:t>
            </w:r>
            <w:r>
              <w:rPr>
                <w:color w:val="000000"/>
              </w:rPr>
              <w:t>s</w:t>
            </w:r>
            <w:r w:rsidRPr="005F5C38">
              <w:rPr>
                <w:color w:val="000000"/>
              </w:rPr>
              <w:t>sion Expense</w:t>
            </w:r>
          </w:p>
        </w:tc>
        <w:tc>
          <w:tcPr>
            <w:tcW w:w="2088" w:type="dxa"/>
            <w:shd w:val="clear" w:color="auto" w:fill="auto"/>
            <w:noWrap/>
            <w:vAlign w:val="center"/>
            <w:hideMark/>
          </w:tcPr>
          <w:p w:rsidR="00765DDA" w:rsidRPr="001E57DB" w:rsidRDefault="00765DDA" w:rsidP="00765DDA">
            <w:pPr>
              <w:jc w:val="right"/>
              <w:rPr>
                <w:color w:val="000000"/>
                <w:u w:val="single"/>
              </w:rPr>
            </w:pPr>
            <w:r w:rsidRPr="001E57DB">
              <w:rPr>
                <w:color w:val="000000"/>
                <w:u w:val="single"/>
              </w:rPr>
              <w:t xml:space="preserve">4,699 </w:t>
            </w:r>
          </w:p>
        </w:tc>
      </w:tr>
      <w:tr w:rsidR="00765DDA" w:rsidRPr="005F5C38" w:rsidTr="00765DDA">
        <w:trPr>
          <w:trHeight w:val="361"/>
          <w:jc w:val="center"/>
        </w:trPr>
        <w:tc>
          <w:tcPr>
            <w:tcW w:w="4229" w:type="dxa"/>
            <w:shd w:val="clear" w:color="auto" w:fill="auto"/>
            <w:noWrap/>
            <w:vAlign w:val="center"/>
            <w:hideMark/>
          </w:tcPr>
          <w:p w:rsidR="00765DDA" w:rsidRPr="001E57DB" w:rsidRDefault="00765DDA" w:rsidP="00765DDA">
            <w:pPr>
              <w:jc w:val="right"/>
              <w:rPr>
                <w:b/>
                <w:color w:val="000000"/>
              </w:rPr>
            </w:pPr>
            <w:r w:rsidRPr="001E57DB">
              <w:rPr>
                <w:b/>
                <w:color w:val="000000"/>
              </w:rPr>
              <w:t>Total</w:t>
            </w:r>
          </w:p>
        </w:tc>
        <w:tc>
          <w:tcPr>
            <w:tcW w:w="2088" w:type="dxa"/>
            <w:shd w:val="clear" w:color="auto" w:fill="auto"/>
            <w:noWrap/>
            <w:vAlign w:val="center"/>
            <w:hideMark/>
          </w:tcPr>
          <w:p w:rsidR="00765DDA" w:rsidRPr="0079103E" w:rsidRDefault="00765DDA" w:rsidP="00765DDA">
            <w:pPr>
              <w:jc w:val="right"/>
              <w:rPr>
                <w:color w:val="000000"/>
                <w:u w:val="double"/>
              </w:rPr>
            </w:pPr>
            <w:r w:rsidRPr="0079103E">
              <w:rPr>
                <w:color w:val="000000"/>
                <w:u w:val="double"/>
              </w:rPr>
              <w:t xml:space="preserve">$2,405 </w:t>
            </w:r>
          </w:p>
        </w:tc>
      </w:tr>
    </w:tbl>
    <w:p w:rsidR="00765DDA" w:rsidRDefault="00765DDA" w:rsidP="00765DDA">
      <w:pPr>
        <w:pStyle w:val="TableSource"/>
        <w:spacing w:after="0"/>
        <w:ind w:left="720" w:firstLine="720"/>
      </w:pPr>
      <w:r>
        <w:t xml:space="preserve">Source: </w:t>
      </w:r>
      <w:r w:rsidR="00E96F06">
        <w:t xml:space="preserve">Commission </w:t>
      </w:r>
      <w:r>
        <w:t xml:space="preserve">Staff’s Audit Report of Sebring Gas System, Inc. </w:t>
      </w:r>
    </w:p>
    <w:p w:rsidR="00765DDA" w:rsidRPr="008A6F4A" w:rsidRDefault="00765DDA" w:rsidP="00765DDA">
      <w:pPr>
        <w:pStyle w:val="TableSource"/>
        <w:ind w:left="720" w:firstLine="720"/>
      </w:pPr>
      <w:r>
        <w:t>*May not sum due to rounding.</w:t>
      </w:r>
    </w:p>
    <w:p w:rsidR="00685941" w:rsidRPr="000C1F91" w:rsidRDefault="000C1F91" w:rsidP="00D053C4">
      <w:pPr>
        <w:spacing w:after="240"/>
        <w:jc w:val="both"/>
      </w:pPr>
      <w:r>
        <w:rPr>
          <w:bCs/>
          <w:i/>
          <w:kern w:val="32"/>
          <w:szCs w:val="32"/>
        </w:rPr>
        <w:t>F. Depreciation and Amortization Expense</w:t>
      </w:r>
    </w:p>
    <w:p w:rsidR="00D053C4" w:rsidRPr="00D053C4" w:rsidRDefault="00D053C4" w:rsidP="000C1F91">
      <w:pPr>
        <w:spacing w:after="240"/>
        <w:ind w:firstLine="720"/>
        <w:jc w:val="both"/>
      </w:pPr>
      <w:r w:rsidRPr="00D053C4">
        <w:t xml:space="preserve">This </w:t>
      </w:r>
      <w:r w:rsidR="000C1F91">
        <w:t>section</w:t>
      </w:r>
      <w:r w:rsidRPr="00D053C4">
        <w:t xml:space="preserve"> addresses Sebring’s forecasted amount of Depreciation Expense for the projected test year. Depreciation expense can generally be described as the cost of utility plant (less net salvage) recovered over the service life of the asset. In ratemaking, depreciation expense is included in the revenue requirement calculation.</w:t>
      </w:r>
    </w:p>
    <w:p w:rsidR="00D053C4" w:rsidRPr="00D053C4" w:rsidRDefault="00D053C4" w:rsidP="00D053C4">
      <w:pPr>
        <w:spacing w:after="240"/>
        <w:jc w:val="both"/>
      </w:pPr>
      <w:r>
        <w:tab/>
      </w:r>
      <w:r w:rsidRPr="00D053C4">
        <w:t>The Company’s requested total amount of Depreciation and Amortization Expense for the projected test year is $260,594.</w:t>
      </w:r>
      <w:r w:rsidRPr="00D053C4">
        <w:rPr>
          <w:vertAlign w:val="superscript"/>
        </w:rPr>
        <w:footnoteReference w:id="43"/>
      </w:r>
      <w:r w:rsidRPr="00D053C4">
        <w:t xml:space="preserve">  </w:t>
      </w:r>
      <w:r w:rsidR="00EC5378">
        <w:t>We</w:t>
      </w:r>
      <w:r w:rsidRPr="00D053C4">
        <w:t xml:space="preserve"> find</w:t>
      </w:r>
      <w:r w:rsidR="00EC5378">
        <w:t xml:space="preserve"> that</w:t>
      </w:r>
      <w:r w:rsidRPr="00D053C4">
        <w:t xml:space="preserve"> $260,05</w:t>
      </w:r>
      <w:r w:rsidR="00EC5378">
        <w:t>2, for a difference of ($542), i</w:t>
      </w:r>
      <w:r w:rsidRPr="00D053C4">
        <w:t xml:space="preserve">s the appropriate amount of Depreciation and Amortization Expense for the projected test year. The </w:t>
      </w:r>
      <w:r w:rsidRPr="00D053C4">
        <w:lastRenderedPageBreak/>
        <w:t>difference between the two figures equals</w:t>
      </w:r>
      <w:r w:rsidR="00EC5378">
        <w:t xml:space="preserve"> our</w:t>
      </w:r>
      <w:r w:rsidRPr="00D053C4">
        <w:t xml:space="preserve"> adjustments to Account 376.1 - Mains – Plastic and Account 380.1 - Services – Plastic. The expense adjustments correspond to the Plant in Service findings identified in </w:t>
      </w:r>
      <w:r w:rsidR="00EC5378">
        <w:t xml:space="preserve">our </w:t>
      </w:r>
      <w:r w:rsidRPr="00D053C4">
        <w:t>staff’s Audit Report (Audit Control No. 2019-170-1-1) filed in this proceeding.</w:t>
      </w:r>
      <w:r w:rsidRPr="00D053C4">
        <w:rPr>
          <w:vertAlign w:val="superscript"/>
        </w:rPr>
        <w:footnoteReference w:id="44"/>
      </w:r>
      <w:r w:rsidRPr="00D053C4">
        <w:t xml:space="preserve">  </w:t>
      </w:r>
      <w:r w:rsidR="00EC5378">
        <w:t>We note that</w:t>
      </w:r>
      <w:r w:rsidRPr="00D053C4">
        <w:t xml:space="preserve"> the depreciation expense amounts were calculated using the current Commission-approved depreciation rates for Sebring.</w:t>
      </w:r>
      <w:r w:rsidRPr="00D053C4">
        <w:rPr>
          <w:vertAlign w:val="superscript"/>
        </w:rPr>
        <w:footnoteReference w:id="45"/>
      </w:r>
      <w:r w:rsidRPr="00D053C4">
        <w:t xml:space="preserve">  </w:t>
      </w:r>
    </w:p>
    <w:p w:rsidR="00D053C4" w:rsidRPr="00D053C4" w:rsidRDefault="00D053C4" w:rsidP="00D053C4">
      <w:pPr>
        <w:spacing w:after="240"/>
        <w:jc w:val="both"/>
      </w:pPr>
      <w:r>
        <w:tab/>
      </w:r>
      <w:r w:rsidR="00EC5378">
        <w:t>T</w:t>
      </w:r>
      <w:r w:rsidRPr="00D053C4">
        <w:t>he Company</w:t>
      </w:r>
      <w:r w:rsidR="00EC5378">
        <w:t>’s</w:t>
      </w:r>
      <w:r w:rsidRPr="00D053C4">
        <w:t xml:space="preserve"> proposed and </w:t>
      </w:r>
      <w:r w:rsidR="00EC5378">
        <w:t>Commission-approved</w:t>
      </w:r>
      <w:r w:rsidRPr="00D053C4">
        <w:t xml:space="preserve"> projected test year Depreciation and Amortizat</w:t>
      </w:r>
      <w:r w:rsidR="00EC5378">
        <w:t>ion Expense amounts by function are shown in the table below.</w:t>
      </w:r>
    </w:p>
    <w:tbl>
      <w:tblPr>
        <w:tblStyle w:val="TableGrid3"/>
        <w:tblW w:w="0" w:type="auto"/>
        <w:jc w:val="center"/>
        <w:tblLook w:val="04A0" w:firstRow="1" w:lastRow="0" w:firstColumn="1" w:lastColumn="0" w:noHBand="0" w:noVBand="1"/>
      </w:tblPr>
      <w:tblGrid>
        <w:gridCol w:w="1325"/>
        <w:gridCol w:w="3179"/>
        <w:gridCol w:w="1610"/>
        <w:gridCol w:w="1567"/>
        <w:gridCol w:w="1895"/>
      </w:tblGrid>
      <w:tr w:rsidR="00D053C4" w:rsidRPr="00D053C4" w:rsidTr="00EC5378">
        <w:trPr>
          <w:trHeight w:hRule="exact" w:val="288"/>
          <w:tblHeader/>
          <w:jc w:val="center"/>
        </w:trPr>
        <w:tc>
          <w:tcPr>
            <w:tcW w:w="9576" w:type="dxa"/>
            <w:gridSpan w:val="5"/>
            <w:tcBorders>
              <w:top w:val="nil"/>
              <w:left w:val="nil"/>
              <w:right w:val="nil"/>
            </w:tcBorders>
            <w:vAlign w:val="center"/>
          </w:tcPr>
          <w:p w:rsidR="00D053C4" w:rsidRPr="00EC5378" w:rsidRDefault="00D053C4" w:rsidP="00D053C4">
            <w:pPr>
              <w:jc w:val="center"/>
            </w:pPr>
            <w:r w:rsidRPr="00EC5378">
              <w:rPr>
                <w:b/>
              </w:rPr>
              <w:t>Proposed Projected Test Year (PTY) Depreciation Expense</w:t>
            </w:r>
          </w:p>
        </w:tc>
      </w:tr>
      <w:tr w:rsidR="00D053C4" w:rsidRPr="00D053C4" w:rsidTr="00EC5378">
        <w:trPr>
          <w:tblHeader/>
          <w:jc w:val="center"/>
        </w:trPr>
        <w:tc>
          <w:tcPr>
            <w:tcW w:w="1325" w:type="dxa"/>
            <w:vAlign w:val="center"/>
          </w:tcPr>
          <w:p w:rsidR="00D053C4" w:rsidRPr="00D053C4" w:rsidRDefault="00D053C4" w:rsidP="00D053C4">
            <w:pPr>
              <w:jc w:val="center"/>
              <w:rPr>
                <w:color w:val="000000"/>
                <w:sz w:val="22"/>
                <w:szCs w:val="22"/>
              </w:rPr>
            </w:pPr>
            <w:r w:rsidRPr="00D053C4">
              <w:rPr>
                <w:b/>
              </w:rPr>
              <w:t>Plant Accounts</w:t>
            </w:r>
          </w:p>
        </w:tc>
        <w:tc>
          <w:tcPr>
            <w:tcW w:w="3179" w:type="dxa"/>
            <w:vAlign w:val="center"/>
          </w:tcPr>
          <w:p w:rsidR="00D053C4" w:rsidRPr="00D053C4" w:rsidRDefault="00D053C4" w:rsidP="00D053C4">
            <w:pPr>
              <w:jc w:val="center"/>
              <w:rPr>
                <w:b/>
                <w:color w:val="000000"/>
              </w:rPr>
            </w:pPr>
            <w:r w:rsidRPr="00D053C4">
              <w:rPr>
                <w:b/>
                <w:color w:val="000000"/>
              </w:rPr>
              <w:t>Plant Group Classification</w:t>
            </w:r>
          </w:p>
        </w:tc>
        <w:tc>
          <w:tcPr>
            <w:tcW w:w="1610" w:type="dxa"/>
            <w:vAlign w:val="center"/>
          </w:tcPr>
          <w:p w:rsidR="00D053C4" w:rsidRPr="00D053C4" w:rsidRDefault="00D053C4" w:rsidP="00D053C4">
            <w:pPr>
              <w:jc w:val="center"/>
              <w:rPr>
                <w:b/>
              </w:rPr>
            </w:pPr>
            <w:r w:rsidRPr="00D053C4">
              <w:rPr>
                <w:b/>
              </w:rPr>
              <w:t>Sebring</w:t>
            </w:r>
          </w:p>
          <w:p w:rsidR="00D053C4" w:rsidRPr="00D053C4" w:rsidRDefault="00D053C4" w:rsidP="00D053C4">
            <w:pPr>
              <w:jc w:val="center"/>
              <w:rPr>
                <w:b/>
              </w:rPr>
            </w:pPr>
            <w:r w:rsidRPr="00D053C4">
              <w:rPr>
                <w:b/>
              </w:rPr>
              <w:t>PTY</w:t>
            </w:r>
          </w:p>
        </w:tc>
        <w:tc>
          <w:tcPr>
            <w:tcW w:w="1567" w:type="dxa"/>
            <w:vAlign w:val="center"/>
          </w:tcPr>
          <w:p w:rsidR="00EC5378" w:rsidRDefault="00EC5378" w:rsidP="00D053C4">
            <w:pPr>
              <w:jc w:val="center"/>
              <w:rPr>
                <w:b/>
              </w:rPr>
            </w:pPr>
            <w:r>
              <w:rPr>
                <w:b/>
              </w:rPr>
              <w:t>Commission</w:t>
            </w:r>
          </w:p>
          <w:p w:rsidR="00D053C4" w:rsidRPr="00D053C4" w:rsidRDefault="00D053C4" w:rsidP="00D053C4">
            <w:pPr>
              <w:jc w:val="center"/>
              <w:rPr>
                <w:color w:val="000000"/>
                <w:sz w:val="22"/>
                <w:szCs w:val="22"/>
              </w:rPr>
            </w:pPr>
            <w:r w:rsidRPr="00D053C4">
              <w:rPr>
                <w:b/>
              </w:rPr>
              <w:t>Adjustment</w:t>
            </w:r>
          </w:p>
        </w:tc>
        <w:tc>
          <w:tcPr>
            <w:tcW w:w="1895" w:type="dxa"/>
            <w:vAlign w:val="center"/>
          </w:tcPr>
          <w:p w:rsidR="00D053C4" w:rsidRPr="00D053C4" w:rsidRDefault="00EC5378" w:rsidP="00D053C4">
            <w:pPr>
              <w:jc w:val="center"/>
              <w:rPr>
                <w:b/>
              </w:rPr>
            </w:pPr>
            <w:r>
              <w:rPr>
                <w:b/>
              </w:rPr>
              <w:t>Commission-approved</w:t>
            </w:r>
          </w:p>
          <w:p w:rsidR="00D053C4" w:rsidRPr="00D053C4" w:rsidRDefault="00D053C4" w:rsidP="00D053C4">
            <w:pPr>
              <w:jc w:val="center"/>
              <w:rPr>
                <w:b/>
              </w:rPr>
            </w:pPr>
            <w:r w:rsidRPr="00D053C4">
              <w:rPr>
                <w:b/>
              </w:rPr>
              <w:t>PTY</w:t>
            </w:r>
          </w:p>
        </w:tc>
      </w:tr>
      <w:tr w:rsidR="00D053C4" w:rsidRPr="00D053C4" w:rsidTr="00EC5378">
        <w:trPr>
          <w:jc w:val="center"/>
        </w:trPr>
        <w:tc>
          <w:tcPr>
            <w:tcW w:w="1325" w:type="dxa"/>
            <w:vAlign w:val="bottom"/>
          </w:tcPr>
          <w:p w:rsidR="00D053C4" w:rsidRPr="00D053C4" w:rsidRDefault="00D053C4" w:rsidP="00D053C4">
            <w:pPr>
              <w:rPr>
                <w:color w:val="000000"/>
              </w:rPr>
            </w:pPr>
            <w:r w:rsidRPr="00D053C4">
              <w:rPr>
                <w:color w:val="000000"/>
              </w:rPr>
              <w:t>301-302</w:t>
            </w:r>
          </w:p>
        </w:tc>
        <w:tc>
          <w:tcPr>
            <w:tcW w:w="3179" w:type="dxa"/>
            <w:vAlign w:val="bottom"/>
          </w:tcPr>
          <w:p w:rsidR="00D053C4" w:rsidRPr="00D053C4" w:rsidRDefault="00D053C4" w:rsidP="00D053C4">
            <w:pPr>
              <w:rPr>
                <w:color w:val="000000"/>
              </w:rPr>
            </w:pPr>
            <w:r w:rsidRPr="00D053C4">
              <w:rPr>
                <w:color w:val="000000"/>
              </w:rPr>
              <w:t>Intangible Plant</w:t>
            </w:r>
          </w:p>
        </w:tc>
        <w:tc>
          <w:tcPr>
            <w:tcW w:w="1610" w:type="dxa"/>
            <w:vAlign w:val="bottom"/>
          </w:tcPr>
          <w:p w:rsidR="00D053C4" w:rsidRPr="00D053C4" w:rsidRDefault="00D053C4" w:rsidP="00D053C4">
            <w:pPr>
              <w:jc w:val="right"/>
            </w:pPr>
            <w:r w:rsidRPr="00D053C4">
              <w:t xml:space="preserve">$4,800 </w:t>
            </w:r>
          </w:p>
        </w:tc>
        <w:tc>
          <w:tcPr>
            <w:tcW w:w="1567" w:type="dxa"/>
            <w:vAlign w:val="bottom"/>
          </w:tcPr>
          <w:p w:rsidR="00D053C4" w:rsidRPr="00D053C4" w:rsidRDefault="00D053C4" w:rsidP="00D053C4">
            <w:pPr>
              <w:jc w:val="right"/>
            </w:pPr>
            <w:r w:rsidRPr="00D053C4">
              <w:t>$0</w:t>
            </w:r>
          </w:p>
        </w:tc>
        <w:tc>
          <w:tcPr>
            <w:tcW w:w="1895" w:type="dxa"/>
            <w:vAlign w:val="bottom"/>
          </w:tcPr>
          <w:p w:rsidR="00D053C4" w:rsidRPr="00D053C4" w:rsidRDefault="00D053C4" w:rsidP="00D053C4">
            <w:pPr>
              <w:jc w:val="right"/>
            </w:pPr>
            <w:r w:rsidRPr="00D053C4">
              <w:t xml:space="preserve">$4,800 </w:t>
            </w:r>
          </w:p>
        </w:tc>
      </w:tr>
      <w:tr w:rsidR="00D053C4" w:rsidRPr="00D053C4" w:rsidTr="00EC5378">
        <w:trPr>
          <w:jc w:val="center"/>
        </w:trPr>
        <w:tc>
          <w:tcPr>
            <w:tcW w:w="1325" w:type="dxa"/>
            <w:vAlign w:val="bottom"/>
          </w:tcPr>
          <w:p w:rsidR="00D053C4" w:rsidRPr="00D053C4" w:rsidRDefault="00D053C4" w:rsidP="00D053C4">
            <w:pPr>
              <w:rPr>
                <w:color w:val="000000"/>
              </w:rPr>
            </w:pPr>
            <w:r w:rsidRPr="00D053C4">
              <w:rPr>
                <w:color w:val="000000"/>
              </w:rPr>
              <w:t>374-387</w:t>
            </w:r>
          </w:p>
        </w:tc>
        <w:tc>
          <w:tcPr>
            <w:tcW w:w="3179" w:type="dxa"/>
            <w:vAlign w:val="bottom"/>
          </w:tcPr>
          <w:p w:rsidR="00D053C4" w:rsidRPr="00D053C4" w:rsidRDefault="00D053C4" w:rsidP="00D053C4">
            <w:pPr>
              <w:rPr>
                <w:color w:val="000000"/>
              </w:rPr>
            </w:pPr>
            <w:r w:rsidRPr="00D053C4">
              <w:rPr>
                <w:color w:val="000000"/>
              </w:rPr>
              <w:t>Distribution Plant</w:t>
            </w:r>
          </w:p>
        </w:tc>
        <w:tc>
          <w:tcPr>
            <w:tcW w:w="1610" w:type="dxa"/>
            <w:vAlign w:val="bottom"/>
          </w:tcPr>
          <w:p w:rsidR="00D053C4" w:rsidRPr="00D053C4" w:rsidRDefault="00D053C4" w:rsidP="00D053C4">
            <w:pPr>
              <w:jc w:val="right"/>
            </w:pPr>
            <w:r w:rsidRPr="00D053C4">
              <w:t xml:space="preserve">215,273 </w:t>
            </w:r>
          </w:p>
        </w:tc>
        <w:tc>
          <w:tcPr>
            <w:tcW w:w="1567" w:type="dxa"/>
            <w:vAlign w:val="bottom"/>
          </w:tcPr>
          <w:p w:rsidR="00D053C4" w:rsidRPr="00D053C4" w:rsidRDefault="00D053C4" w:rsidP="00D053C4">
            <w:pPr>
              <w:jc w:val="right"/>
            </w:pPr>
            <w:r w:rsidRPr="00D053C4">
              <w:t>(542)</w:t>
            </w:r>
          </w:p>
        </w:tc>
        <w:tc>
          <w:tcPr>
            <w:tcW w:w="1895" w:type="dxa"/>
            <w:vAlign w:val="bottom"/>
          </w:tcPr>
          <w:p w:rsidR="00D053C4" w:rsidRPr="00D053C4" w:rsidRDefault="00D053C4" w:rsidP="00D053C4">
            <w:pPr>
              <w:jc w:val="right"/>
            </w:pPr>
            <w:r w:rsidRPr="00D053C4">
              <w:t xml:space="preserve">214,731 </w:t>
            </w:r>
          </w:p>
        </w:tc>
      </w:tr>
      <w:tr w:rsidR="00D053C4" w:rsidRPr="00D053C4" w:rsidTr="00EC5378">
        <w:trPr>
          <w:jc w:val="center"/>
        </w:trPr>
        <w:tc>
          <w:tcPr>
            <w:tcW w:w="1325" w:type="dxa"/>
            <w:vAlign w:val="bottom"/>
          </w:tcPr>
          <w:p w:rsidR="00D053C4" w:rsidRPr="00D053C4" w:rsidRDefault="00D053C4" w:rsidP="00D053C4">
            <w:pPr>
              <w:rPr>
                <w:color w:val="000000"/>
              </w:rPr>
            </w:pPr>
            <w:r w:rsidRPr="00D053C4">
              <w:rPr>
                <w:color w:val="000000"/>
              </w:rPr>
              <w:t>390-397</w:t>
            </w:r>
          </w:p>
        </w:tc>
        <w:tc>
          <w:tcPr>
            <w:tcW w:w="3179" w:type="dxa"/>
            <w:vAlign w:val="bottom"/>
          </w:tcPr>
          <w:p w:rsidR="00D053C4" w:rsidRPr="00D053C4" w:rsidRDefault="00D053C4" w:rsidP="00D053C4">
            <w:pPr>
              <w:rPr>
                <w:color w:val="000000"/>
              </w:rPr>
            </w:pPr>
            <w:r w:rsidRPr="00D053C4">
              <w:rPr>
                <w:color w:val="000000"/>
              </w:rPr>
              <w:t xml:space="preserve">General Plant </w:t>
            </w:r>
          </w:p>
        </w:tc>
        <w:tc>
          <w:tcPr>
            <w:tcW w:w="1610" w:type="dxa"/>
            <w:vAlign w:val="bottom"/>
          </w:tcPr>
          <w:p w:rsidR="00D053C4" w:rsidRPr="00D053C4" w:rsidRDefault="00D053C4" w:rsidP="00D053C4">
            <w:pPr>
              <w:jc w:val="right"/>
              <w:rPr>
                <w:u w:val="single"/>
              </w:rPr>
            </w:pPr>
            <w:r w:rsidRPr="00D053C4">
              <w:rPr>
                <w:u w:val="single"/>
              </w:rPr>
              <w:t xml:space="preserve">40,521 </w:t>
            </w:r>
          </w:p>
        </w:tc>
        <w:tc>
          <w:tcPr>
            <w:tcW w:w="1567" w:type="dxa"/>
            <w:vAlign w:val="bottom"/>
          </w:tcPr>
          <w:p w:rsidR="00D053C4" w:rsidRPr="00D053C4" w:rsidRDefault="00D053C4" w:rsidP="00D053C4">
            <w:pPr>
              <w:jc w:val="right"/>
              <w:rPr>
                <w:u w:val="single"/>
              </w:rPr>
            </w:pPr>
            <w:r w:rsidRPr="00D053C4">
              <w:rPr>
                <w:u w:val="single"/>
              </w:rPr>
              <w:t xml:space="preserve">0 </w:t>
            </w:r>
          </w:p>
        </w:tc>
        <w:tc>
          <w:tcPr>
            <w:tcW w:w="1895" w:type="dxa"/>
            <w:vAlign w:val="bottom"/>
          </w:tcPr>
          <w:p w:rsidR="00D053C4" w:rsidRPr="00D053C4" w:rsidRDefault="00D053C4" w:rsidP="00D053C4">
            <w:pPr>
              <w:jc w:val="right"/>
              <w:rPr>
                <w:u w:val="single"/>
              </w:rPr>
            </w:pPr>
            <w:r w:rsidRPr="00D053C4">
              <w:rPr>
                <w:u w:val="single"/>
              </w:rPr>
              <w:t xml:space="preserve">40,521 </w:t>
            </w:r>
          </w:p>
        </w:tc>
      </w:tr>
      <w:tr w:rsidR="00D053C4" w:rsidRPr="00D053C4" w:rsidTr="00EC5378">
        <w:trPr>
          <w:jc w:val="center"/>
        </w:trPr>
        <w:tc>
          <w:tcPr>
            <w:tcW w:w="4504" w:type="dxa"/>
            <w:gridSpan w:val="2"/>
            <w:vAlign w:val="bottom"/>
          </w:tcPr>
          <w:p w:rsidR="00D053C4" w:rsidRPr="00D053C4" w:rsidRDefault="00D053C4" w:rsidP="00D053C4">
            <w:pPr>
              <w:jc w:val="right"/>
              <w:rPr>
                <w:b/>
                <w:color w:val="000000"/>
                <w:sz w:val="22"/>
                <w:szCs w:val="22"/>
              </w:rPr>
            </w:pPr>
            <w:r w:rsidRPr="00D053C4">
              <w:rPr>
                <w:b/>
                <w:color w:val="000000"/>
                <w:sz w:val="22"/>
                <w:szCs w:val="22"/>
              </w:rPr>
              <w:t>Total</w:t>
            </w:r>
          </w:p>
        </w:tc>
        <w:tc>
          <w:tcPr>
            <w:tcW w:w="1610" w:type="dxa"/>
          </w:tcPr>
          <w:p w:rsidR="00D053C4" w:rsidRPr="00D053C4" w:rsidRDefault="00D053C4" w:rsidP="00D053C4">
            <w:pPr>
              <w:jc w:val="right"/>
              <w:rPr>
                <w:u w:val="double"/>
              </w:rPr>
            </w:pPr>
            <w:r w:rsidRPr="00D053C4">
              <w:rPr>
                <w:u w:val="double"/>
              </w:rPr>
              <w:t>$260,594</w:t>
            </w:r>
          </w:p>
        </w:tc>
        <w:tc>
          <w:tcPr>
            <w:tcW w:w="1567" w:type="dxa"/>
          </w:tcPr>
          <w:p w:rsidR="00D053C4" w:rsidRPr="00D053C4" w:rsidRDefault="00D053C4" w:rsidP="00D053C4">
            <w:pPr>
              <w:jc w:val="right"/>
              <w:rPr>
                <w:u w:val="double"/>
              </w:rPr>
            </w:pPr>
            <w:r w:rsidRPr="00D053C4">
              <w:rPr>
                <w:u w:val="double"/>
              </w:rPr>
              <w:t>($542)</w:t>
            </w:r>
          </w:p>
        </w:tc>
        <w:tc>
          <w:tcPr>
            <w:tcW w:w="1895" w:type="dxa"/>
          </w:tcPr>
          <w:p w:rsidR="00D053C4" w:rsidRPr="00D053C4" w:rsidRDefault="00D053C4" w:rsidP="00D053C4">
            <w:pPr>
              <w:jc w:val="right"/>
              <w:rPr>
                <w:u w:val="double"/>
              </w:rPr>
            </w:pPr>
            <w:r w:rsidRPr="00D053C4">
              <w:rPr>
                <w:u w:val="double"/>
              </w:rPr>
              <w:t>$260,052</w:t>
            </w:r>
          </w:p>
        </w:tc>
      </w:tr>
    </w:tbl>
    <w:p w:rsidR="00D053C4" w:rsidRPr="00D053C4" w:rsidRDefault="00D053C4" w:rsidP="00D053C4">
      <w:pPr>
        <w:jc w:val="both"/>
      </w:pPr>
      <w:r w:rsidRPr="00D053C4">
        <w:t>Source: Sebring’s proposed PTY Depreciation Expense amounts as shown on MFR Schedule G2-23 (revised).</w:t>
      </w:r>
    </w:p>
    <w:p w:rsidR="00D053C4" w:rsidRDefault="00D053C4" w:rsidP="00D053C4">
      <w:pPr>
        <w:jc w:val="both"/>
      </w:pPr>
      <w:r w:rsidRPr="00D053C4">
        <w:t>*May not sum due to rounding.</w:t>
      </w:r>
    </w:p>
    <w:p w:rsidR="00D053C4" w:rsidRPr="00D053C4" w:rsidRDefault="00D053C4" w:rsidP="00D053C4">
      <w:pPr>
        <w:jc w:val="both"/>
      </w:pPr>
    </w:p>
    <w:p w:rsidR="00765DDA" w:rsidRDefault="00D053C4" w:rsidP="00EC5378">
      <w:pPr>
        <w:jc w:val="both"/>
      </w:pPr>
      <w:r>
        <w:tab/>
      </w:r>
      <w:r w:rsidRPr="00D053C4">
        <w:t xml:space="preserve">Based upon </w:t>
      </w:r>
      <w:r w:rsidR="00EC5378">
        <w:t xml:space="preserve">our </w:t>
      </w:r>
      <w:r w:rsidRPr="00D053C4">
        <w:t xml:space="preserve">analysis of the information filed in this proceeding, </w:t>
      </w:r>
      <w:r w:rsidR="00EC5378">
        <w:t>we find that $260,052 i</w:t>
      </w:r>
      <w:r w:rsidRPr="00D053C4">
        <w:t>s the appropriate amount of Depreciation and Amortization Expense for the projected test year.</w:t>
      </w:r>
    </w:p>
    <w:p w:rsidR="00D053C4" w:rsidRDefault="00D053C4" w:rsidP="00D053C4"/>
    <w:p w:rsidR="00685941" w:rsidRDefault="00264195" w:rsidP="00D053C4">
      <w:pPr>
        <w:rPr>
          <w:i/>
        </w:rPr>
      </w:pPr>
      <w:r>
        <w:rPr>
          <w:i/>
        </w:rPr>
        <w:t>G. Test Year Taxes Other Than Income</w:t>
      </w:r>
    </w:p>
    <w:p w:rsidR="00264195" w:rsidRPr="00264195" w:rsidRDefault="00264195" w:rsidP="00D053C4"/>
    <w:p w:rsidR="00D053C4" w:rsidRDefault="00685941" w:rsidP="006E7458">
      <w:pPr>
        <w:jc w:val="both"/>
      </w:pPr>
      <w:r>
        <w:tab/>
      </w:r>
      <w:r w:rsidR="00D053C4" w:rsidRPr="00D053C4">
        <w:t xml:space="preserve">Sebring recorded a </w:t>
      </w:r>
      <w:r w:rsidR="00250CFF" w:rsidRPr="00250CFF">
        <w:t xml:space="preserve">Taxes Other Than Income </w:t>
      </w:r>
      <w:r w:rsidR="00250CFF">
        <w:t>(</w:t>
      </w:r>
      <w:r w:rsidR="00D053C4" w:rsidRPr="00D053C4">
        <w:t>TOTI</w:t>
      </w:r>
      <w:r w:rsidR="00250CFF">
        <w:t>)</w:t>
      </w:r>
      <w:r w:rsidR="00D053C4" w:rsidRPr="00D053C4">
        <w:t xml:space="preserve"> balance of $22,931, for the projected test year. In response to </w:t>
      </w:r>
      <w:r w:rsidR="00250CFF">
        <w:t xml:space="preserve">our </w:t>
      </w:r>
      <w:r w:rsidR="00D053C4" w:rsidRPr="00D053C4">
        <w:t>staff’s data request, Sebring provided an updated projected tangible property tax with a reduction of $463 related to the low-income housing project that decided not to use natural gas in its facilities.</w:t>
      </w:r>
      <w:r w:rsidR="00D053C4" w:rsidRPr="00D053C4">
        <w:rPr>
          <w:vertAlign w:val="superscript"/>
        </w:rPr>
        <w:footnoteReference w:id="46"/>
      </w:r>
      <w:r w:rsidR="00D053C4" w:rsidRPr="00D053C4">
        <w:t xml:space="preserve">  This adjustment results in a decrease of projected test year TOTI of $463</w:t>
      </w:r>
      <w:r w:rsidR="00250CFF">
        <w:t>.  Therefore, we find that the appropriate TOTI balance is</w:t>
      </w:r>
      <w:r w:rsidR="00D053C4" w:rsidRPr="00D053C4">
        <w:t xml:space="preserve"> $22,468.</w:t>
      </w:r>
    </w:p>
    <w:p w:rsidR="006E7458" w:rsidRDefault="006E7458" w:rsidP="006E7458">
      <w:pPr>
        <w:jc w:val="both"/>
      </w:pPr>
    </w:p>
    <w:p w:rsidR="006E7458" w:rsidRDefault="006E7458" w:rsidP="006E7458">
      <w:pPr>
        <w:jc w:val="both"/>
      </w:pPr>
      <w:r>
        <w:rPr>
          <w:i/>
        </w:rPr>
        <w:t>H. Deferred Income Tax Expense</w:t>
      </w:r>
    </w:p>
    <w:p w:rsidR="006E7458" w:rsidRPr="006E7458" w:rsidRDefault="006E7458" w:rsidP="006E7458">
      <w:pPr>
        <w:jc w:val="both"/>
      </w:pPr>
    </w:p>
    <w:p w:rsidR="00D053C4" w:rsidRDefault="00685941" w:rsidP="006E7458">
      <w:pPr>
        <w:jc w:val="both"/>
      </w:pPr>
      <w:r>
        <w:tab/>
      </w:r>
      <w:r w:rsidR="00D053C4" w:rsidRPr="00D053C4">
        <w:t>The Company’s current rates do not include a provision for income tax expense. Further, the Company’s rates have never included current or deferred income tax expense. The Company explained that, in earlier years, Sebring incurred negative net income</w:t>
      </w:r>
      <w:r w:rsidR="00230772">
        <w:t>,</w:t>
      </w:r>
      <w:r w:rsidR="00D053C4" w:rsidRPr="00D053C4">
        <w:t xml:space="preserve"> which generated loss carry-forwards</w:t>
      </w:r>
      <w:r w:rsidR="00230772">
        <w:t>,</w:t>
      </w:r>
      <w:r w:rsidR="00D053C4" w:rsidRPr="00D053C4">
        <w:t xml:space="preserve"> which offset future Federal and State income taxes. Recently, the Company began to realize positive net income</w:t>
      </w:r>
      <w:r w:rsidR="00230772">
        <w:t>,</w:t>
      </w:r>
      <w:r w:rsidR="00D053C4" w:rsidRPr="00D053C4">
        <w:t xml:space="preserve"> which eventually eliminated the net loss carry-forwards. During this period, the Company did not recognize its Federal or State deferred tax liability in its </w:t>
      </w:r>
      <w:r w:rsidR="00D053C4" w:rsidRPr="00D053C4">
        <w:lastRenderedPageBreak/>
        <w:t>rate filings</w:t>
      </w:r>
      <w:r w:rsidR="00230772">
        <w:t>,</w:t>
      </w:r>
      <w:r w:rsidR="00D053C4" w:rsidRPr="00D053C4">
        <w:t xml:space="preserve"> although it took advantage of accelerated depreciation and the reduced tax liability on its Federal and State income tax filings. Consequently, the Company incurred deferred tax liabilities from the timing differences between tax and book depreciation rates</w:t>
      </w:r>
      <w:r w:rsidR="00230772">
        <w:t>,</w:t>
      </w:r>
      <w:r w:rsidR="00D053C4" w:rsidRPr="00D053C4">
        <w:t xml:space="preserve"> but failed to recognize the deferred taxes in its rate filings. Sebring admitted it was at fault and solely responsible for the error.</w:t>
      </w:r>
    </w:p>
    <w:p w:rsidR="006E7458" w:rsidRPr="00D053C4" w:rsidRDefault="006E7458" w:rsidP="006E7458">
      <w:pPr>
        <w:jc w:val="both"/>
      </w:pPr>
    </w:p>
    <w:p w:rsidR="00872696" w:rsidRDefault="00D053C4" w:rsidP="006E7458">
      <w:pPr>
        <w:jc w:val="both"/>
      </w:pPr>
      <w:r>
        <w:tab/>
      </w:r>
      <w:r w:rsidRPr="00D053C4">
        <w:t xml:space="preserve">Sebring calculated it has a deferred income tax balance of $342,671 that will be reversing over the next 19.8 years, or approximately $17,307 per year. The Company proposed to recover this expense through a 1.00 percent increase to its return on equity, which equates to a net income of $17,289 per year. </w:t>
      </w:r>
      <w:r w:rsidR="00872696">
        <w:t>We disagree</w:t>
      </w:r>
      <w:r w:rsidRPr="00D053C4">
        <w:t xml:space="preserve"> with</w:t>
      </w:r>
      <w:r w:rsidR="00872696">
        <w:t xml:space="preserve"> Sebring’s proposal and believe</w:t>
      </w:r>
      <w:r w:rsidRPr="00D053C4">
        <w:t xml:space="preserve"> a more appropriate method to recover the expense is to calculate the exact amount and add it to the Company’s income tax expense. As discussed in </w:t>
      </w:r>
      <w:r w:rsidR="00872696">
        <w:t>the Weighted Average Cost of Capital section of this Order</w:t>
      </w:r>
      <w:r w:rsidRPr="00D053C4">
        <w:t xml:space="preserve">, </w:t>
      </w:r>
      <w:r w:rsidR="00872696">
        <w:t>we made</w:t>
      </w:r>
      <w:r w:rsidRPr="00D053C4">
        <w:t xml:space="preserve"> a $470 reduction to the deferred income tax balance to recognize a decrease in the State of Florida corporate income tax rate from 5.50 percent to 4.458 percent for three taxable years beginning on or after January 1, 2019. Accordingly, the appropriate accumulated deferred income tax balance on Sebring’s books is $342,201 ($342,671 - $470). </w:t>
      </w:r>
    </w:p>
    <w:p w:rsidR="00872696" w:rsidRDefault="00872696" w:rsidP="006E7458">
      <w:pPr>
        <w:jc w:val="both"/>
      </w:pPr>
    </w:p>
    <w:p w:rsidR="00D053C4" w:rsidRDefault="00D053C4" w:rsidP="00872696">
      <w:pPr>
        <w:ind w:firstLine="720"/>
        <w:jc w:val="both"/>
      </w:pPr>
      <w:r w:rsidRPr="00D053C4">
        <w:t xml:space="preserve">The deferred taxes are expected to fully reverse over the next 18 years ending in a zero balance in 2037. The Company used an amortization period of 19.8 years that begins in early 2018 and ends in 2037. </w:t>
      </w:r>
      <w:r w:rsidR="00872696">
        <w:t>We find that</w:t>
      </w:r>
      <w:r w:rsidRPr="00D053C4">
        <w:t xml:space="preserve"> an amortization period of 18 years</w:t>
      </w:r>
      <w:r w:rsidR="00872696">
        <w:t>,</w:t>
      </w:r>
      <w:r w:rsidRPr="00D053C4">
        <w:t xml:space="preserve"> beginning in 2020 and ending in 2037</w:t>
      </w:r>
      <w:r w:rsidR="00872696">
        <w:t>,</w:t>
      </w:r>
      <w:r w:rsidRPr="00D053C4">
        <w:t xml:space="preserve"> </w:t>
      </w:r>
      <w:r w:rsidR="00872696">
        <w:t xml:space="preserve">is appropriate </w:t>
      </w:r>
      <w:r w:rsidRPr="00D053C4">
        <w:t xml:space="preserve">to correspond to the period when the new rates will go into effect. This equates to an annual deferred income tax expense of $19,011 ($342,201 / 18 years). Accordingly, </w:t>
      </w:r>
      <w:r w:rsidR="00872696">
        <w:t>we find that</w:t>
      </w:r>
      <w:r w:rsidRPr="00D053C4">
        <w:t xml:space="preserve"> the appropriate amount of annual income tax expense associated with the amortization of accumulated deferred income taxes for the projected test year ending December 31, 2020 is $19,011.</w:t>
      </w:r>
    </w:p>
    <w:p w:rsidR="00D053C4" w:rsidRDefault="00D053C4" w:rsidP="00D053C4"/>
    <w:p w:rsidR="00685941" w:rsidRDefault="009653CA" w:rsidP="00D053C4">
      <w:r>
        <w:rPr>
          <w:i/>
        </w:rPr>
        <w:t>I. Total Operating Expense</w:t>
      </w:r>
    </w:p>
    <w:p w:rsidR="009653CA" w:rsidRPr="009653CA" w:rsidRDefault="009653CA" w:rsidP="00D053C4"/>
    <w:p w:rsidR="00D053C4" w:rsidRDefault="00685941" w:rsidP="009653CA">
      <w:pPr>
        <w:jc w:val="both"/>
      </w:pPr>
      <w:r>
        <w:tab/>
      </w:r>
      <w:r w:rsidR="00D053C4" w:rsidRPr="00D053C4">
        <w:t xml:space="preserve">Sebring recorded Total Operating Expenses of $1,021,137 in the projected test year. </w:t>
      </w:r>
      <w:r w:rsidR="007B0CDE">
        <w:t>Based on our adjustments above,</w:t>
      </w:r>
      <w:r w:rsidR="00D053C4" w:rsidRPr="00D053C4">
        <w:t xml:space="preserve"> Total Operating Expenses for the projected test year</w:t>
      </w:r>
      <w:r w:rsidR="007B0CDE">
        <w:t xml:space="preserve"> shall be </w:t>
      </w:r>
      <w:r w:rsidR="007B0CDE" w:rsidRPr="00D053C4">
        <w:t>increase</w:t>
      </w:r>
      <w:r w:rsidR="007B0CDE">
        <w:t>d</w:t>
      </w:r>
      <w:r w:rsidR="007B0CDE" w:rsidRPr="00D053C4">
        <w:t xml:space="preserve"> </w:t>
      </w:r>
      <w:r w:rsidR="007B0CDE">
        <w:t>by</w:t>
      </w:r>
      <w:r w:rsidR="007B0CDE" w:rsidRPr="00D053C4">
        <w:t xml:space="preserve"> $20,411</w:t>
      </w:r>
      <w:r w:rsidR="007B0CDE">
        <w:t xml:space="preserve">. Therefore, we find that the appropriate Total Operating Expenses for the projected test year is </w:t>
      </w:r>
      <w:r w:rsidR="00D053C4" w:rsidRPr="00D053C4">
        <w:t xml:space="preserve">$1,041,548. Schedule No. 4 reflects the application of </w:t>
      </w:r>
      <w:r w:rsidR="007B0CDE">
        <w:t>our</w:t>
      </w:r>
      <w:r w:rsidR="00D053C4" w:rsidRPr="00D053C4">
        <w:t xml:space="preserve"> adjustments and </w:t>
      </w:r>
      <w:r w:rsidR="007B0CDE">
        <w:t>the Commission-approved</w:t>
      </w:r>
      <w:r w:rsidR="00D053C4" w:rsidRPr="00D053C4">
        <w:t xml:space="preserve"> Total Operating Expenses for the projected test year.</w:t>
      </w:r>
    </w:p>
    <w:p w:rsidR="00D053C4" w:rsidRDefault="00D053C4" w:rsidP="00D053C4"/>
    <w:p w:rsidR="00DF7114" w:rsidRPr="00DF7114" w:rsidRDefault="00DF7114" w:rsidP="00D053C4">
      <w:pPr>
        <w:rPr>
          <w:i/>
        </w:rPr>
      </w:pPr>
      <w:r>
        <w:rPr>
          <w:i/>
        </w:rPr>
        <w:t>J. Net Operating Income</w:t>
      </w:r>
    </w:p>
    <w:p w:rsidR="00DF7114" w:rsidRDefault="00DF7114" w:rsidP="00D053C4"/>
    <w:p w:rsidR="00D053C4" w:rsidRDefault="00D053C4" w:rsidP="00DF7114">
      <w:pPr>
        <w:ind w:firstLine="720"/>
        <w:jc w:val="both"/>
      </w:pPr>
      <w:r w:rsidRPr="00D053C4">
        <w:t>Sebring recorded a Net Operating Income of $165,063 in the projected test year. Based upon</w:t>
      </w:r>
      <w:r w:rsidR="00DF7114">
        <w:t xml:space="preserve"> our findings above</w:t>
      </w:r>
      <w:r w:rsidRPr="00D053C4">
        <w:t xml:space="preserve">, </w:t>
      </w:r>
      <w:r w:rsidR="00DF7114">
        <w:t>the appropriate</w:t>
      </w:r>
      <w:r w:rsidRPr="00D053C4">
        <w:t xml:space="preserve"> Net Operating Income</w:t>
      </w:r>
      <w:r w:rsidR="00DF7114">
        <w:t xml:space="preserve"> for the projected test year</w:t>
      </w:r>
      <w:r w:rsidRPr="00D053C4">
        <w:t xml:space="preserve"> </w:t>
      </w:r>
      <w:r w:rsidR="00DF7114">
        <w:t>is</w:t>
      </w:r>
      <w:r w:rsidRPr="00D053C4">
        <w:t xml:space="preserve"> $144,652. Schedule No. 3 reflects the</w:t>
      </w:r>
      <w:r w:rsidR="00DF7114">
        <w:t xml:space="preserve"> Commission-approved</w:t>
      </w:r>
      <w:r w:rsidRPr="00D053C4">
        <w:t xml:space="preserve"> Net Operating Income for the projected test year.</w:t>
      </w:r>
    </w:p>
    <w:p w:rsidR="00D053C4" w:rsidRDefault="00D053C4" w:rsidP="00D053C4"/>
    <w:p w:rsidR="00ED626A" w:rsidRDefault="00ED626A" w:rsidP="00D053C4">
      <w:pPr>
        <w:rPr>
          <w:u w:val="single"/>
        </w:rPr>
      </w:pPr>
    </w:p>
    <w:p w:rsidR="00ED626A" w:rsidRDefault="00ED626A" w:rsidP="00D053C4">
      <w:pPr>
        <w:rPr>
          <w:u w:val="single"/>
        </w:rPr>
      </w:pPr>
    </w:p>
    <w:p w:rsidR="00ED626A" w:rsidRDefault="00ED626A" w:rsidP="00D053C4">
      <w:pPr>
        <w:rPr>
          <w:u w:val="single"/>
        </w:rPr>
      </w:pPr>
    </w:p>
    <w:p w:rsidR="00ED626A" w:rsidRDefault="00ED626A" w:rsidP="00D053C4">
      <w:pPr>
        <w:rPr>
          <w:u w:val="single"/>
        </w:rPr>
      </w:pPr>
    </w:p>
    <w:p w:rsidR="00DF7114" w:rsidRPr="00DF7114" w:rsidRDefault="00DF7114" w:rsidP="00D053C4">
      <w:pPr>
        <w:rPr>
          <w:u w:val="single"/>
        </w:rPr>
      </w:pPr>
      <w:r>
        <w:rPr>
          <w:u w:val="single"/>
        </w:rPr>
        <w:lastRenderedPageBreak/>
        <w:t>8. Revenue Requirements</w:t>
      </w:r>
    </w:p>
    <w:p w:rsidR="00DF7114" w:rsidRDefault="00DF7114" w:rsidP="00D053C4"/>
    <w:p w:rsidR="00DF7114" w:rsidRPr="00DF7114" w:rsidRDefault="00DF7114" w:rsidP="00D053C4">
      <w:pPr>
        <w:rPr>
          <w:i/>
        </w:rPr>
      </w:pPr>
      <w:r>
        <w:rPr>
          <w:i/>
        </w:rPr>
        <w:t>A. Net Operating Income Multiplier</w:t>
      </w:r>
    </w:p>
    <w:p w:rsidR="00DF7114" w:rsidRDefault="00DF7114" w:rsidP="00D053C4"/>
    <w:p w:rsidR="00D053C4" w:rsidRDefault="00D053C4" w:rsidP="00DF7114">
      <w:pPr>
        <w:ind w:firstLine="720"/>
        <w:jc w:val="both"/>
      </w:pPr>
      <w:r w:rsidRPr="00D053C4">
        <w:t xml:space="preserve">The Company’s calculation and </w:t>
      </w:r>
      <w:r w:rsidR="00DF7114">
        <w:t>our</w:t>
      </w:r>
      <w:r w:rsidRPr="00D053C4">
        <w:t xml:space="preserve"> calculation</w:t>
      </w:r>
      <w:r w:rsidR="00DF7114">
        <w:t xml:space="preserve"> of the appropriate net income multiplier</w:t>
      </w:r>
      <w:r w:rsidRPr="00D053C4">
        <w:t xml:space="preserve"> are shown on Schedule No. 5. The only difference between the Company’s calculation and </w:t>
      </w:r>
      <w:r w:rsidR="00DF7114">
        <w:t>our</w:t>
      </w:r>
      <w:r w:rsidRPr="00D053C4">
        <w:t xml:space="preserve"> calculation is the state income tax rate. The Company used 5.5 percent for its state income tax rate</w:t>
      </w:r>
      <w:r w:rsidR="00DF7114">
        <w:t>. We</w:t>
      </w:r>
      <w:r w:rsidRPr="00D053C4">
        <w:t xml:space="preserve"> reduced the tax rate to 4.458 percent. Effective January 1, 2019, the Florida corporate income tax rate was reduced from 5.5 percent to 4.458 percent. </w:t>
      </w:r>
      <w:r w:rsidR="00DF7114">
        <w:t>We</w:t>
      </w:r>
      <w:r w:rsidRPr="00D053C4">
        <w:t xml:space="preserve"> recalculated the net operating income multiplier to reflect this reduction. As such, </w:t>
      </w:r>
      <w:r w:rsidR="00DF7114">
        <w:t>we find</w:t>
      </w:r>
      <w:r w:rsidRPr="00D053C4">
        <w:t xml:space="preserve"> that the appropriate net income multiplier is 1.3315.</w:t>
      </w:r>
    </w:p>
    <w:p w:rsidR="00377EB0" w:rsidRDefault="00377EB0" w:rsidP="00D053C4"/>
    <w:p w:rsidR="00377EB0" w:rsidRPr="00377EB0" w:rsidRDefault="00377EB0" w:rsidP="00D053C4">
      <w:r>
        <w:rPr>
          <w:i/>
        </w:rPr>
        <w:t>B. Annual Operating Revenue Increase</w:t>
      </w:r>
    </w:p>
    <w:p w:rsidR="00685941" w:rsidRDefault="00685941" w:rsidP="008B43F2"/>
    <w:p w:rsidR="008B43F2" w:rsidRDefault="00685941" w:rsidP="00377EB0">
      <w:pPr>
        <w:jc w:val="both"/>
      </w:pPr>
      <w:r>
        <w:tab/>
      </w:r>
      <w:r w:rsidR="008B43F2" w:rsidRPr="008B43F2">
        <w:t xml:space="preserve">Sebring requested an annual operating revenue increase of $302,041 in the projected test year. Based upon </w:t>
      </w:r>
      <w:r w:rsidR="00377EB0">
        <w:t>our</w:t>
      </w:r>
      <w:r w:rsidR="008B43F2" w:rsidRPr="008B43F2">
        <w:t xml:space="preserve"> adjustments </w:t>
      </w:r>
      <w:r w:rsidR="00377EB0">
        <w:t>above</w:t>
      </w:r>
      <w:r w:rsidR="008B43F2" w:rsidRPr="008B43F2">
        <w:t xml:space="preserve">, the annual operating revenue increase </w:t>
      </w:r>
      <w:r w:rsidR="00377EB0">
        <w:t>shall be</w:t>
      </w:r>
      <w:r w:rsidR="008B43F2" w:rsidRPr="008B43F2">
        <w:t xml:space="preserve"> reduced to $262,805. Schedule No. 6 reflects the</w:t>
      </w:r>
      <w:r w:rsidR="00377EB0">
        <w:t xml:space="preserve"> appropriate</w:t>
      </w:r>
      <w:r w:rsidR="008B43F2" w:rsidRPr="008B43F2">
        <w:t xml:space="preserve"> revenue requirement for the projected test year.</w:t>
      </w:r>
    </w:p>
    <w:p w:rsidR="008B43F2" w:rsidRDefault="008B43F2" w:rsidP="008B43F2"/>
    <w:p w:rsidR="00377EB0" w:rsidRDefault="003417F9" w:rsidP="008B43F2">
      <w:r>
        <w:rPr>
          <w:u w:val="single"/>
        </w:rPr>
        <w:t>9. Cost of Service and Rate Design</w:t>
      </w:r>
    </w:p>
    <w:p w:rsidR="003417F9" w:rsidRDefault="003417F9" w:rsidP="008B43F2"/>
    <w:p w:rsidR="003417F9" w:rsidRPr="003417F9" w:rsidRDefault="003417F9" w:rsidP="008B43F2">
      <w:r>
        <w:rPr>
          <w:i/>
        </w:rPr>
        <w:t>A. Cost of Service Methodology</w:t>
      </w:r>
    </w:p>
    <w:p w:rsidR="00377EB0" w:rsidRDefault="00377EB0" w:rsidP="008B43F2"/>
    <w:p w:rsidR="008B43F2" w:rsidRPr="008B43F2" w:rsidRDefault="00685941" w:rsidP="008B43F2">
      <w:pPr>
        <w:spacing w:after="240"/>
        <w:jc w:val="both"/>
      </w:pPr>
      <w:r>
        <w:tab/>
      </w:r>
      <w:r w:rsidR="008B43F2" w:rsidRPr="008B43F2">
        <w:t xml:space="preserve">The purpose of a cost of service study is to allocate the approved total revenue requirement of the utility system among the various rate classes. Then, base rates are designed to recover the total revenue requirement attributable to that class. Base rates for Sebring include the fixed customer charge and the variable per-therm transportation charge, which are addressed in </w:t>
      </w:r>
      <w:r w:rsidR="003417F9">
        <w:t>the Customer Charges and Transportation Charges sections of this Order</w:t>
      </w:r>
      <w:r w:rsidR="008B43F2" w:rsidRPr="008B43F2">
        <w:t>, respectively. In rate design, the fixed customer charge is typically determined first and represents a portion of the overall rate requirement. The per-therm transportation charge for each class is determined by taking the remaining revenue requirement, and dividing by the projected therm volume of each rate class.</w:t>
      </w:r>
    </w:p>
    <w:p w:rsidR="008B43F2" w:rsidRDefault="00685941" w:rsidP="003417F9">
      <w:pPr>
        <w:jc w:val="both"/>
      </w:pPr>
      <w:r>
        <w:tab/>
      </w:r>
      <w:r w:rsidR="008B43F2" w:rsidRPr="008B43F2">
        <w:t>On November 21 2019, Sebring filed a revised cost of service study.</w:t>
      </w:r>
      <w:r w:rsidR="008B43F2" w:rsidRPr="008B43F2">
        <w:rPr>
          <w:vertAlign w:val="superscript"/>
        </w:rPr>
        <w:footnoteReference w:id="47"/>
      </w:r>
      <w:r w:rsidR="008B43F2" w:rsidRPr="008B43F2">
        <w:t xml:space="preserve"> </w:t>
      </w:r>
      <w:r w:rsidR="003417F9">
        <w:t>We used</w:t>
      </w:r>
      <w:r w:rsidR="008B43F2" w:rsidRPr="008B43F2">
        <w:t xml:space="preserve"> Sebring’s revised cost of serv</w:t>
      </w:r>
      <w:r w:rsidR="007511CD">
        <w:t>ice methodology and incorporated</w:t>
      </w:r>
      <w:r w:rsidR="008B43F2" w:rsidRPr="008B43F2">
        <w:t xml:space="preserve"> </w:t>
      </w:r>
      <w:r w:rsidR="003417F9">
        <w:t>our</w:t>
      </w:r>
      <w:r w:rsidR="008B43F2" w:rsidRPr="008B43F2">
        <w:t xml:space="preserve"> adjustments to rate base, rate of return, operations and maintenance expenses, total depreciation and amortization, and the resulting annual operating revenue increase, as discussed in </w:t>
      </w:r>
      <w:r w:rsidR="003417F9">
        <w:t>the Annual Operating Revenue Increase section of this Order</w:t>
      </w:r>
      <w:r w:rsidR="008B43F2" w:rsidRPr="008B43F2">
        <w:t xml:space="preserve">. As such, the </w:t>
      </w:r>
      <w:r w:rsidR="003417F9">
        <w:t>Commission-approved</w:t>
      </w:r>
      <w:r w:rsidR="008B43F2" w:rsidRPr="008B43F2">
        <w:t xml:space="preserve"> base rates are designed to recover $1,434,672 for the 2020 projected test year.</w:t>
      </w:r>
      <w:r w:rsidR="008B43F2" w:rsidRPr="008B43F2">
        <w:rPr>
          <w:vertAlign w:val="superscript"/>
        </w:rPr>
        <w:footnoteReference w:id="48"/>
      </w:r>
      <w:r w:rsidR="008B43F2" w:rsidRPr="008B43F2">
        <w:t xml:space="preserve"> In addition to base rate revenues, Sebring projects to receive $14,335 in other operating revenues from miscellaneous service charges, for a total of $1,449,007. </w:t>
      </w:r>
      <w:r w:rsidR="003417F9" w:rsidRPr="008B43F2">
        <w:t>The appropriate cost of service methodology to be used in allocating costs to the various rate classes is reflected in the cost of service study contained in Attachment A</w:t>
      </w:r>
      <w:r w:rsidR="003417F9">
        <w:t xml:space="preserve"> of this Order</w:t>
      </w:r>
      <w:r w:rsidR="008B43F2" w:rsidRPr="008B43F2">
        <w:t>.</w:t>
      </w:r>
    </w:p>
    <w:p w:rsidR="003417F9" w:rsidRPr="003417F9" w:rsidRDefault="003417F9" w:rsidP="003417F9">
      <w:pPr>
        <w:jc w:val="both"/>
      </w:pPr>
      <w:r>
        <w:rPr>
          <w:i/>
        </w:rPr>
        <w:lastRenderedPageBreak/>
        <w:t>B. Customer Charges</w:t>
      </w:r>
    </w:p>
    <w:p w:rsidR="008B43F2" w:rsidRDefault="008B43F2" w:rsidP="008B43F2"/>
    <w:p w:rsidR="008B43F2" w:rsidRPr="008B43F2" w:rsidRDefault="00685941" w:rsidP="008B43F2">
      <w:pPr>
        <w:spacing w:after="240"/>
        <w:jc w:val="both"/>
      </w:pPr>
      <w:r>
        <w:tab/>
      </w:r>
      <w:r w:rsidR="008B43F2" w:rsidRPr="008B43F2">
        <w:t xml:space="preserve">The customer charge is a fixed charge that applies to each customer’s bill within a rate class, no matter the quantity of gas used for the month. The customer charge is typically designed to recover costs related to the meter, regulator, services, and billing that are incurred no matter whether any gas is consumed. For any given revenue requirement, any customer-related costs that are not recovered through the customer charge are recovered through the per-therm charge. For example, a higher customer charge results in a lower per-therm charge. </w:t>
      </w:r>
    </w:p>
    <w:p w:rsidR="008B43F2" w:rsidRDefault="008B43F2" w:rsidP="003417F9">
      <w:pPr>
        <w:jc w:val="both"/>
      </w:pPr>
      <w:r>
        <w:tab/>
      </w:r>
      <w:r w:rsidRPr="008B43F2">
        <w:t>T</w:t>
      </w:r>
      <w:r w:rsidR="005A21F0">
        <w:t>he table below</w:t>
      </w:r>
      <w:r w:rsidRPr="008B43F2">
        <w:t xml:space="preserve"> shows </w:t>
      </w:r>
      <w:r w:rsidR="005A21F0">
        <w:t xml:space="preserve">the </w:t>
      </w:r>
      <w:r w:rsidRPr="008B43F2">
        <w:t xml:space="preserve">current customer charges, the Company-proposed customer charges, and the </w:t>
      </w:r>
      <w:r w:rsidR="005A21F0">
        <w:t>Commission-approved</w:t>
      </w:r>
      <w:r w:rsidRPr="008B43F2">
        <w:t xml:space="preserve"> customer charges. Sebring classifies customers based on annual therm usage and does not distinguish between residential and commercial customers.</w:t>
      </w:r>
    </w:p>
    <w:p w:rsidR="003417F9" w:rsidRDefault="003417F9" w:rsidP="008B43F2"/>
    <w:p w:rsidR="008B43F2" w:rsidRPr="003417F9" w:rsidRDefault="008B43F2" w:rsidP="008B43F2">
      <w:pPr>
        <w:jc w:val="center"/>
        <w:rPr>
          <w:b/>
        </w:rPr>
      </w:pPr>
      <w:r w:rsidRPr="003417F9">
        <w:rPr>
          <w:b/>
        </w:rPr>
        <w:t>Customer Charges by Rate Class</w:t>
      </w:r>
    </w:p>
    <w:tbl>
      <w:tblPr>
        <w:tblStyle w:val="TableGrid"/>
        <w:tblpPr w:leftFromText="180" w:rightFromText="180" w:vertAnchor="text" w:horzAnchor="margin" w:tblpX="108" w:tblpY="14"/>
        <w:tblW w:w="9468" w:type="dxa"/>
        <w:tblLook w:val="04A0" w:firstRow="1" w:lastRow="0" w:firstColumn="1" w:lastColumn="0" w:noHBand="0" w:noVBand="1"/>
      </w:tblPr>
      <w:tblGrid>
        <w:gridCol w:w="2718"/>
        <w:gridCol w:w="2250"/>
        <w:gridCol w:w="2250"/>
        <w:gridCol w:w="2250"/>
      </w:tblGrid>
      <w:tr w:rsidR="008B43F2" w:rsidRPr="008B43F2" w:rsidTr="00685941">
        <w:trPr>
          <w:trHeight w:val="557"/>
        </w:trPr>
        <w:tc>
          <w:tcPr>
            <w:tcW w:w="2718" w:type="dxa"/>
            <w:vAlign w:val="center"/>
          </w:tcPr>
          <w:p w:rsidR="008B43F2" w:rsidRPr="008B43F2" w:rsidRDefault="008B43F2" w:rsidP="008B43F2">
            <w:pPr>
              <w:jc w:val="center"/>
              <w:rPr>
                <w:b/>
              </w:rPr>
            </w:pPr>
            <w:r w:rsidRPr="008B43F2">
              <w:rPr>
                <w:b/>
              </w:rPr>
              <w:t>Rate Class</w:t>
            </w:r>
          </w:p>
        </w:tc>
        <w:tc>
          <w:tcPr>
            <w:tcW w:w="2250" w:type="dxa"/>
            <w:vAlign w:val="center"/>
          </w:tcPr>
          <w:p w:rsidR="008B43F2" w:rsidRPr="008B43F2" w:rsidRDefault="008B43F2" w:rsidP="008B43F2">
            <w:pPr>
              <w:jc w:val="center"/>
              <w:rPr>
                <w:b/>
              </w:rPr>
            </w:pPr>
            <w:r w:rsidRPr="008B43F2">
              <w:rPr>
                <w:b/>
              </w:rPr>
              <w:t>Current Charges</w:t>
            </w:r>
          </w:p>
        </w:tc>
        <w:tc>
          <w:tcPr>
            <w:tcW w:w="2250" w:type="dxa"/>
            <w:vAlign w:val="center"/>
          </w:tcPr>
          <w:p w:rsidR="008B43F2" w:rsidRPr="008B43F2" w:rsidRDefault="008B43F2" w:rsidP="008B43F2">
            <w:pPr>
              <w:jc w:val="center"/>
              <w:rPr>
                <w:b/>
              </w:rPr>
            </w:pPr>
            <w:r w:rsidRPr="008B43F2">
              <w:rPr>
                <w:b/>
              </w:rPr>
              <w:t>Company-proposed Charges</w:t>
            </w:r>
          </w:p>
        </w:tc>
        <w:tc>
          <w:tcPr>
            <w:tcW w:w="2250" w:type="dxa"/>
            <w:vAlign w:val="center"/>
          </w:tcPr>
          <w:p w:rsidR="005A21F0" w:rsidRDefault="005A21F0" w:rsidP="008B43F2">
            <w:pPr>
              <w:jc w:val="center"/>
              <w:rPr>
                <w:b/>
              </w:rPr>
            </w:pPr>
            <w:r>
              <w:rPr>
                <w:b/>
              </w:rPr>
              <w:t>Commission-approved</w:t>
            </w:r>
          </w:p>
          <w:p w:rsidR="008B43F2" w:rsidRPr="008B43F2" w:rsidRDefault="008B43F2" w:rsidP="008B43F2">
            <w:pPr>
              <w:jc w:val="center"/>
              <w:rPr>
                <w:b/>
              </w:rPr>
            </w:pPr>
            <w:r w:rsidRPr="008B43F2">
              <w:rPr>
                <w:b/>
              </w:rPr>
              <w:t>Charges</w:t>
            </w:r>
          </w:p>
        </w:tc>
      </w:tr>
      <w:tr w:rsidR="008B43F2" w:rsidRPr="008B43F2" w:rsidTr="00685941">
        <w:trPr>
          <w:trHeight w:val="685"/>
        </w:trPr>
        <w:tc>
          <w:tcPr>
            <w:tcW w:w="2718" w:type="dxa"/>
            <w:vAlign w:val="center"/>
          </w:tcPr>
          <w:p w:rsidR="008B43F2" w:rsidRPr="008B43F2" w:rsidRDefault="008B43F2" w:rsidP="008B43F2">
            <w:r w:rsidRPr="008B43F2">
              <w:t>Transportation Service 1 (TS-1)</w:t>
            </w:r>
          </w:p>
        </w:tc>
        <w:tc>
          <w:tcPr>
            <w:tcW w:w="2250" w:type="dxa"/>
            <w:vAlign w:val="center"/>
          </w:tcPr>
          <w:p w:rsidR="008B43F2" w:rsidRPr="008B43F2" w:rsidRDefault="008B43F2" w:rsidP="008B43F2">
            <w:pPr>
              <w:jc w:val="right"/>
            </w:pPr>
            <w:r w:rsidRPr="008B43F2">
              <w:t>$9.00</w:t>
            </w:r>
          </w:p>
        </w:tc>
        <w:tc>
          <w:tcPr>
            <w:tcW w:w="2250" w:type="dxa"/>
            <w:vAlign w:val="center"/>
          </w:tcPr>
          <w:p w:rsidR="008B43F2" w:rsidRPr="008B43F2" w:rsidRDefault="008B43F2" w:rsidP="008B43F2">
            <w:pPr>
              <w:jc w:val="right"/>
            </w:pPr>
            <w:r w:rsidRPr="008B43F2">
              <w:t>$15.00</w:t>
            </w:r>
          </w:p>
        </w:tc>
        <w:tc>
          <w:tcPr>
            <w:tcW w:w="2250" w:type="dxa"/>
            <w:vAlign w:val="center"/>
          </w:tcPr>
          <w:p w:rsidR="008B43F2" w:rsidRPr="008B43F2" w:rsidRDefault="008B43F2" w:rsidP="008B43F2">
            <w:pPr>
              <w:jc w:val="right"/>
            </w:pPr>
            <w:r w:rsidRPr="008B43F2">
              <w:t>$12.00</w:t>
            </w:r>
          </w:p>
        </w:tc>
      </w:tr>
      <w:tr w:rsidR="008B43F2" w:rsidRPr="008B43F2" w:rsidTr="00685941">
        <w:trPr>
          <w:trHeight w:val="622"/>
        </w:trPr>
        <w:tc>
          <w:tcPr>
            <w:tcW w:w="2718" w:type="dxa"/>
            <w:vAlign w:val="center"/>
          </w:tcPr>
          <w:p w:rsidR="008B43F2" w:rsidRPr="008B43F2" w:rsidRDefault="008B43F2" w:rsidP="008B43F2">
            <w:r w:rsidRPr="008B43F2">
              <w:t>Transportation Service 2 (TS-2)</w:t>
            </w:r>
          </w:p>
        </w:tc>
        <w:tc>
          <w:tcPr>
            <w:tcW w:w="2250" w:type="dxa"/>
            <w:vAlign w:val="center"/>
          </w:tcPr>
          <w:p w:rsidR="008B43F2" w:rsidRPr="008B43F2" w:rsidRDefault="008B43F2" w:rsidP="008B43F2">
            <w:pPr>
              <w:jc w:val="right"/>
            </w:pPr>
            <w:r w:rsidRPr="008B43F2">
              <w:t>$12.00</w:t>
            </w:r>
          </w:p>
        </w:tc>
        <w:tc>
          <w:tcPr>
            <w:tcW w:w="2250" w:type="dxa"/>
            <w:vAlign w:val="center"/>
          </w:tcPr>
          <w:p w:rsidR="008B43F2" w:rsidRPr="008B43F2" w:rsidRDefault="008B43F2" w:rsidP="008B43F2">
            <w:pPr>
              <w:jc w:val="right"/>
            </w:pPr>
            <w:r w:rsidRPr="008B43F2">
              <w:t>$30.00</w:t>
            </w:r>
          </w:p>
        </w:tc>
        <w:tc>
          <w:tcPr>
            <w:tcW w:w="2250" w:type="dxa"/>
            <w:vAlign w:val="center"/>
          </w:tcPr>
          <w:p w:rsidR="008B43F2" w:rsidRPr="008B43F2" w:rsidRDefault="008B43F2" w:rsidP="008B43F2">
            <w:pPr>
              <w:jc w:val="right"/>
            </w:pPr>
            <w:r w:rsidRPr="008B43F2">
              <w:t>$20.00</w:t>
            </w:r>
          </w:p>
        </w:tc>
      </w:tr>
      <w:tr w:rsidR="008B43F2" w:rsidRPr="008B43F2" w:rsidTr="00685941">
        <w:trPr>
          <w:trHeight w:val="622"/>
        </w:trPr>
        <w:tc>
          <w:tcPr>
            <w:tcW w:w="2718" w:type="dxa"/>
            <w:vAlign w:val="center"/>
          </w:tcPr>
          <w:p w:rsidR="008B43F2" w:rsidRPr="008B43F2" w:rsidRDefault="008B43F2" w:rsidP="008B43F2">
            <w:r w:rsidRPr="008B43F2">
              <w:t>Transportation Service 3 (TS-3)</w:t>
            </w:r>
          </w:p>
        </w:tc>
        <w:tc>
          <w:tcPr>
            <w:tcW w:w="2250" w:type="dxa"/>
            <w:vAlign w:val="center"/>
          </w:tcPr>
          <w:p w:rsidR="008B43F2" w:rsidRPr="008B43F2" w:rsidRDefault="008B43F2" w:rsidP="008B43F2">
            <w:pPr>
              <w:jc w:val="right"/>
            </w:pPr>
            <w:r w:rsidRPr="008B43F2">
              <w:t>$35.00</w:t>
            </w:r>
          </w:p>
        </w:tc>
        <w:tc>
          <w:tcPr>
            <w:tcW w:w="2250" w:type="dxa"/>
            <w:vAlign w:val="center"/>
          </w:tcPr>
          <w:p w:rsidR="008B43F2" w:rsidRPr="008B43F2" w:rsidRDefault="008B43F2" w:rsidP="008B43F2">
            <w:pPr>
              <w:jc w:val="right"/>
            </w:pPr>
            <w:r w:rsidRPr="008B43F2">
              <w:t>$200.00</w:t>
            </w:r>
          </w:p>
        </w:tc>
        <w:tc>
          <w:tcPr>
            <w:tcW w:w="2250" w:type="dxa"/>
            <w:vAlign w:val="center"/>
          </w:tcPr>
          <w:p w:rsidR="008B43F2" w:rsidRPr="008B43F2" w:rsidRDefault="008B43F2" w:rsidP="008B43F2">
            <w:pPr>
              <w:jc w:val="right"/>
            </w:pPr>
            <w:r w:rsidRPr="008B43F2">
              <w:t>$70.00</w:t>
            </w:r>
          </w:p>
        </w:tc>
      </w:tr>
      <w:tr w:rsidR="008B43F2" w:rsidRPr="008B43F2" w:rsidTr="00685941">
        <w:trPr>
          <w:trHeight w:val="622"/>
        </w:trPr>
        <w:tc>
          <w:tcPr>
            <w:tcW w:w="2718" w:type="dxa"/>
            <w:vAlign w:val="center"/>
          </w:tcPr>
          <w:p w:rsidR="008B43F2" w:rsidRPr="008B43F2" w:rsidRDefault="008B43F2" w:rsidP="008B43F2">
            <w:r w:rsidRPr="008B43F2">
              <w:t>Transportation Service 4 (TS-4)</w:t>
            </w:r>
          </w:p>
        </w:tc>
        <w:tc>
          <w:tcPr>
            <w:tcW w:w="2250" w:type="dxa"/>
            <w:vAlign w:val="center"/>
          </w:tcPr>
          <w:p w:rsidR="008B43F2" w:rsidRPr="008B43F2" w:rsidRDefault="008B43F2" w:rsidP="008B43F2">
            <w:pPr>
              <w:jc w:val="right"/>
            </w:pPr>
            <w:r w:rsidRPr="008B43F2">
              <w:t>$150.00</w:t>
            </w:r>
          </w:p>
        </w:tc>
        <w:tc>
          <w:tcPr>
            <w:tcW w:w="2250" w:type="dxa"/>
            <w:vAlign w:val="center"/>
          </w:tcPr>
          <w:p w:rsidR="008B43F2" w:rsidRPr="008B43F2" w:rsidRDefault="008B43F2" w:rsidP="008B43F2">
            <w:pPr>
              <w:jc w:val="right"/>
            </w:pPr>
            <w:r w:rsidRPr="008B43F2">
              <w:t>$650.00</w:t>
            </w:r>
          </w:p>
        </w:tc>
        <w:tc>
          <w:tcPr>
            <w:tcW w:w="2250" w:type="dxa"/>
            <w:vAlign w:val="center"/>
          </w:tcPr>
          <w:p w:rsidR="008B43F2" w:rsidRPr="008B43F2" w:rsidRDefault="008B43F2" w:rsidP="008B43F2">
            <w:pPr>
              <w:jc w:val="right"/>
            </w:pPr>
            <w:r w:rsidRPr="008B43F2">
              <w:t>$225.00</w:t>
            </w:r>
          </w:p>
        </w:tc>
      </w:tr>
      <w:tr w:rsidR="008B43F2" w:rsidRPr="008B43F2" w:rsidTr="00685941">
        <w:trPr>
          <w:trHeight w:val="712"/>
        </w:trPr>
        <w:tc>
          <w:tcPr>
            <w:tcW w:w="2718" w:type="dxa"/>
            <w:vAlign w:val="center"/>
          </w:tcPr>
          <w:p w:rsidR="008B43F2" w:rsidRPr="008B43F2" w:rsidRDefault="008B43F2" w:rsidP="008B43F2">
            <w:r w:rsidRPr="008B43F2">
              <w:t>Transportation Service 5 (TS-5)</w:t>
            </w:r>
          </w:p>
        </w:tc>
        <w:tc>
          <w:tcPr>
            <w:tcW w:w="2250" w:type="dxa"/>
            <w:vAlign w:val="center"/>
          </w:tcPr>
          <w:p w:rsidR="008B43F2" w:rsidRPr="008B43F2" w:rsidRDefault="008B43F2" w:rsidP="008B43F2">
            <w:pPr>
              <w:jc w:val="right"/>
            </w:pPr>
            <w:r w:rsidRPr="008B43F2">
              <w:t>$500.00</w:t>
            </w:r>
          </w:p>
        </w:tc>
        <w:tc>
          <w:tcPr>
            <w:tcW w:w="2250" w:type="dxa"/>
            <w:vAlign w:val="center"/>
          </w:tcPr>
          <w:p w:rsidR="008B43F2" w:rsidRPr="008B43F2" w:rsidRDefault="008B43F2" w:rsidP="008B43F2">
            <w:pPr>
              <w:jc w:val="right"/>
            </w:pPr>
            <w:r w:rsidRPr="008B43F2">
              <w:t>$3,875.00</w:t>
            </w:r>
          </w:p>
        </w:tc>
        <w:tc>
          <w:tcPr>
            <w:tcW w:w="2250" w:type="dxa"/>
            <w:vAlign w:val="center"/>
          </w:tcPr>
          <w:p w:rsidR="008B43F2" w:rsidRPr="008B43F2" w:rsidRDefault="008B43F2" w:rsidP="008B43F2">
            <w:pPr>
              <w:jc w:val="right"/>
            </w:pPr>
            <w:r w:rsidRPr="008B43F2">
              <w:t>$1,000.00</w:t>
            </w:r>
          </w:p>
        </w:tc>
      </w:tr>
      <w:tr w:rsidR="008B43F2" w:rsidRPr="008B43F2" w:rsidTr="00685941">
        <w:trPr>
          <w:trHeight w:val="622"/>
        </w:trPr>
        <w:tc>
          <w:tcPr>
            <w:tcW w:w="2718" w:type="dxa"/>
            <w:vAlign w:val="center"/>
          </w:tcPr>
          <w:p w:rsidR="008B43F2" w:rsidRPr="008B43F2" w:rsidRDefault="008B43F2" w:rsidP="008B43F2">
            <w:r w:rsidRPr="008B43F2">
              <w:t>Third Party Supplier (TPS)</w:t>
            </w:r>
          </w:p>
        </w:tc>
        <w:tc>
          <w:tcPr>
            <w:tcW w:w="2250" w:type="dxa"/>
            <w:vAlign w:val="center"/>
          </w:tcPr>
          <w:p w:rsidR="008B43F2" w:rsidRPr="008B43F2" w:rsidRDefault="008B43F2" w:rsidP="008B43F2">
            <w:pPr>
              <w:jc w:val="right"/>
            </w:pPr>
            <w:r w:rsidRPr="008B43F2">
              <w:t>$3.00</w:t>
            </w:r>
          </w:p>
        </w:tc>
        <w:tc>
          <w:tcPr>
            <w:tcW w:w="2250" w:type="dxa"/>
            <w:vAlign w:val="center"/>
          </w:tcPr>
          <w:p w:rsidR="008B43F2" w:rsidRPr="008B43F2" w:rsidRDefault="008B43F2" w:rsidP="008B43F2">
            <w:pPr>
              <w:jc w:val="right"/>
            </w:pPr>
            <w:r w:rsidRPr="008B43F2">
              <w:t>$3.50</w:t>
            </w:r>
          </w:p>
        </w:tc>
        <w:tc>
          <w:tcPr>
            <w:tcW w:w="2250" w:type="dxa"/>
            <w:vAlign w:val="center"/>
          </w:tcPr>
          <w:p w:rsidR="008B43F2" w:rsidRPr="008B43F2" w:rsidRDefault="008B43F2" w:rsidP="008B43F2">
            <w:pPr>
              <w:jc w:val="right"/>
            </w:pPr>
            <w:r w:rsidRPr="008B43F2">
              <w:t>$3.50</w:t>
            </w:r>
          </w:p>
        </w:tc>
      </w:tr>
      <w:tr w:rsidR="008B43F2" w:rsidRPr="008B43F2" w:rsidTr="00685941">
        <w:trPr>
          <w:trHeight w:val="343"/>
        </w:trPr>
        <w:tc>
          <w:tcPr>
            <w:tcW w:w="2718" w:type="dxa"/>
            <w:vAlign w:val="center"/>
          </w:tcPr>
          <w:p w:rsidR="008B43F2" w:rsidRPr="008B43F2" w:rsidRDefault="008B43F2" w:rsidP="008B43F2">
            <w:r w:rsidRPr="008B43F2">
              <w:t>Special Contracts</w:t>
            </w:r>
          </w:p>
        </w:tc>
        <w:tc>
          <w:tcPr>
            <w:tcW w:w="2250" w:type="dxa"/>
            <w:vAlign w:val="center"/>
          </w:tcPr>
          <w:p w:rsidR="008B43F2" w:rsidRPr="008B43F2" w:rsidRDefault="008B43F2" w:rsidP="008B43F2">
            <w:pPr>
              <w:jc w:val="right"/>
            </w:pPr>
            <w:r w:rsidRPr="008B43F2">
              <w:t>$11,633.00</w:t>
            </w:r>
          </w:p>
        </w:tc>
        <w:tc>
          <w:tcPr>
            <w:tcW w:w="2250" w:type="dxa"/>
            <w:vAlign w:val="center"/>
          </w:tcPr>
          <w:p w:rsidR="008B43F2" w:rsidRPr="008B43F2" w:rsidRDefault="008B43F2" w:rsidP="008B43F2">
            <w:pPr>
              <w:jc w:val="right"/>
            </w:pPr>
            <w:r w:rsidRPr="008B43F2">
              <w:t>$11,913.20</w:t>
            </w:r>
          </w:p>
        </w:tc>
        <w:tc>
          <w:tcPr>
            <w:tcW w:w="2250" w:type="dxa"/>
            <w:vAlign w:val="center"/>
          </w:tcPr>
          <w:p w:rsidR="008B43F2" w:rsidRPr="008B43F2" w:rsidRDefault="008B43F2" w:rsidP="008B43F2">
            <w:pPr>
              <w:jc w:val="right"/>
            </w:pPr>
            <w:r w:rsidRPr="008B43F2">
              <w:t>$11,906.92</w:t>
            </w:r>
          </w:p>
        </w:tc>
      </w:tr>
    </w:tbl>
    <w:p w:rsidR="000F194B" w:rsidRDefault="008B43F2" w:rsidP="000F194B">
      <w:pPr>
        <w:contextualSpacing/>
        <w:jc w:val="both"/>
      </w:pPr>
      <w:r w:rsidRPr="008B43F2">
        <w:t>Source: Document No. 11050-2019, Revised MFR Schedule H-3, p 5.</w:t>
      </w:r>
    </w:p>
    <w:p w:rsidR="000F194B" w:rsidRDefault="000F194B" w:rsidP="000F194B">
      <w:pPr>
        <w:ind w:firstLine="720"/>
        <w:contextualSpacing/>
        <w:jc w:val="both"/>
      </w:pPr>
    </w:p>
    <w:p w:rsidR="008B43F2" w:rsidRPr="008B43F2" w:rsidRDefault="008B43F2" w:rsidP="000F194B">
      <w:pPr>
        <w:ind w:firstLine="720"/>
        <w:contextualSpacing/>
        <w:jc w:val="both"/>
      </w:pPr>
      <w:r w:rsidRPr="008B43F2">
        <w:t xml:space="preserve">As shown in the table above, </w:t>
      </w:r>
      <w:r w:rsidR="005A21F0">
        <w:t>we approved</w:t>
      </w:r>
      <w:r w:rsidRPr="008B43F2">
        <w:t xml:space="preserve"> lower customer charges than the Company proposed for most rate classes. </w:t>
      </w:r>
      <w:r w:rsidR="005A21F0">
        <w:t>We have</w:t>
      </w:r>
      <w:r w:rsidRPr="008B43F2">
        <w:t xml:space="preserve"> concerns that by significantly shifting cost recovery from the variable charge to the fixed customer charge, lower volume customers may see substantially higher bill increases, when compared to higher volume customers.</w:t>
      </w:r>
    </w:p>
    <w:p w:rsidR="000F194B" w:rsidRDefault="008B43F2" w:rsidP="000F194B">
      <w:pPr>
        <w:contextualSpacing/>
        <w:jc w:val="both"/>
      </w:pPr>
      <w:r>
        <w:tab/>
      </w:r>
    </w:p>
    <w:p w:rsidR="008B43F2" w:rsidRPr="008B43F2" w:rsidRDefault="007511CD" w:rsidP="000F194B">
      <w:pPr>
        <w:ind w:firstLine="720"/>
        <w:contextualSpacing/>
        <w:jc w:val="both"/>
      </w:pPr>
      <w:r>
        <w:t>The Company’s proposed</w:t>
      </w:r>
      <w:r w:rsidR="008B43F2" w:rsidRPr="008B43F2">
        <w:t xml:space="preserve"> shift in cost recovery may benefit large volume users who can offset the overall bill increase due to the higher customer charge with lower per-therm charges. Low-volume users, however, cannot benefit to the same extent from the lower per-therm charge. The shift to a higher fixed charge reduces the lower volume customer’s ability to affect their overall bill. Additionally, a shift to higher fixed charges reduces the incentive for a customer to </w:t>
      </w:r>
      <w:r w:rsidR="008B43F2" w:rsidRPr="008B43F2">
        <w:lastRenderedPageBreak/>
        <w:t xml:space="preserve">conserve natural gas. </w:t>
      </w:r>
      <w:r w:rsidR="005A21F0">
        <w:t>We have</w:t>
      </w:r>
      <w:r w:rsidR="008B43F2" w:rsidRPr="008B43F2">
        <w:t xml:space="preserve"> evaluated the Company’s proposed customer charges in light of these trade-offs for different usage levels.</w:t>
      </w:r>
    </w:p>
    <w:p w:rsidR="000F194B" w:rsidRDefault="008B43F2" w:rsidP="000F194B">
      <w:pPr>
        <w:contextualSpacing/>
        <w:jc w:val="both"/>
      </w:pPr>
      <w:r>
        <w:tab/>
      </w:r>
    </w:p>
    <w:p w:rsidR="008B43F2" w:rsidRPr="008B43F2" w:rsidRDefault="008B43F2" w:rsidP="000F194B">
      <w:pPr>
        <w:ind w:firstLine="720"/>
        <w:contextualSpacing/>
        <w:jc w:val="both"/>
      </w:pPr>
      <w:r w:rsidRPr="008B43F2">
        <w:t>The Third Party Supplier rate schedule is charged to third party suppliers who sell gas to Sebring customers. Sebring performs administrative and payment processing functions on behalf of the third party suppliers. The $3.50 is a charge per customer served by the Third Party Supplier, and represents Sebring’s administrative and billing cost to perform these tasks.</w:t>
      </w:r>
    </w:p>
    <w:p w:rsidR="000F194B" w:rsidRDefault="000F194B" w:rsidP="000F194B">
      <w:pPr>
        <w:contextualSpacing/>
        <w:jc w:val="both"/>
        <w:outlineLvl w:val="2"/>
        <w:rPr>
          <w:b/>
          <w:bCs/>
          <w:iCs/>
          <w:szCs w:val="28"/>
        </w:rPr>
      </w:pPr>
    </w:p>
    <w:p w:rsidR="008B43F2" w:rsidRPr="005A21F0" w:rsidRDefault="008B43F2" w:rsidP="000F194B">
      <w:pPr>
        <w:contextualSpacing/>
        <w:jc w:val="both"/>
        <w:outlineLvl w:val="2"/>
        <w:rPr>
          <w:b/>
          <w:bCs/>
          <w:iCs/>
          <w:szCs w:val="28"/>
        </w:rPr>
      </w:pPr>
      <w:r w:rsidRPr="005A21F0">
        <w:rPr>
          <w:b/>
          <w:bCs/>
          <w:iCs/>
          <w:szCs w:val="28"/>
        </w:rPr>
        <w:t>Sebring’s Justification for Shifting Cost Recovery</w:t>
      </w:r>
    </w:p>
    <w:p w:rsidR="008B43F2" w:rsidRPr="005A21F0" w:rsidRDefault="008B43F2" w:rsidP="008B43F2">
      <w:pPr>
        <w:jc w:val="both"/>
        <w:outlineLvl w:val="2"/>
        <w:rPr>
          <w:b/>
          <w:bCs/>
          <w:iCs/>
          <w:szCs w:val="28"/>
        </w:rPr>
      </w:pPr>
    </w:p>
    <w:p w:rsidR="008B43F2" w:rsidRPr="008B43F2" w:rsidRDefault="008B43F2" w:rsidP="008B43F2">
      <w:pPr>
        <w:spacing w:after="240"/>
        <w:jc w:val="both"/>
      </w:pPr>
      <w:r>
        <w:tab/>
      </w:r>
      <w:r w:rsidRPr="008B43F2">
        <w:t>In his testimony, Mr. Christmas states that Sebring’s proposed customer charges are a significant shift in the recovery of its approved revenue requirement through the fixed charge component of its proposed rate structure.</w:t>
      </w:r>
      <w:r w:rsidRPr="008B43F2">
        <w:rPr>
          <w:vertAlign w:val="superscript"/>
        </w:rPr>
        <w:footnoteReference w:id="49"/>
      </w:r>
      <w:r w:rsidRPr="008B43F2">
        <w:t xml:space="preserve">  Mr. Christmas defines Straight Fixed Variable (SFV) rate design as recovering Sebring’s fixed costs from its customers with fixed charges. </w:t>
      </w:r>
    </w:p>
    <w:p w:rsidR="008B43F2" w:rsidRPr="008B43F2" w:rsidRDefault="008B43F2" w:rsidP="008B43F2">
      <w:pPr>
        <w:spacing w:after="240"/>
        <w:jc w:val="both"/>
      </w:pPr>
      <w:r>
        <w:tab/>
      </w:r>
      <w:r w:rsidRPr="008B43F2">
        <w:t xml:space="preserve">There is some merit in his argument that a Local Distribution Company (LDC) experiences little variable cost for building and maintaining infrastructure. SFV cost allocations are also consistent with the pricing schemes approved by the Federal Energy Regulatory Commission for interstate pipelines. The customer still experiences variability due to fluctuations in the cost of gas itself; however, purchased gas costs are a separate charge on customers’ bills. </w:t>
      </w:r>
      <w:r w:rsidR="007511CD">
        <w:t>We are</w:t>
      </w:r>
      <w:r w:rsidRPr="008B43F2">
        <w:t xml:space="preserve"> cognizant of Mr. Christmas’s arguments on behalf of shifting costs from the variable per-therm charge to the fixed customer charge, under the basis of SFV rate design.</w:t>
      </w:r>
    </w:p>
    <w:p w:rsidR="008B43F2" w:rsidRPr="008B43F2" w:rsidRDefault="008B43F2" w:rsidP="008B43F2">
      <w:pPr>
        <w:spacing w:after="240"/>
        <w:jc w:val="both"/>
      </w:pPr>
      <w:r>
        <w:tab/>
      </w:r>
      <w:r w:rsidRPr="008B43F2">
        <w:t xml:space="preserve">In response to </w:t>
      </w:r>
      <w:r w:rsidR="005A21F0">
        <w:t xml:space="preserve">our </w:t>
      </w:r>
      <w:r w:rsidRPr="008B43F2">
        <w:t>staff’s tenth data request, Sebring states that a benefit of its proposed customer charges is that bills are more levelized month-to-month. Sebring finds this to be beneficial for both customer and Company, because it “simulates a budget billing program” for the customer and the Company receives a more consistent cash flow month-to-month.</w:t>
      </w:r>
      <w:r w:rsidRPr="008B43F2">
        <w:rPr>
          <w:vertAlign w:val="superscript"/>
        </w:rPr>
        <w:footnoteReference w:id="50"/>
      </w:r>
      <w:r w:rsidRPr="008B43F2">
        <w:t xml:space="preserve">  However, </w:t>
      </w:r>
      <w:r w:rsidR="005A21F0">
        <w:t>we do</w:t>
      </w:r>
      <w:r w:rsidRPr="008B43F2">
        <w:t xml:space="preserve"> not believe the above argument outweighs the impacts of abnormally large increases to some customers’ bills. Under the Company proposed rates, lower volume customers in most rate classes could experience a significant monthly rate increase.</w:t>
      </w:r>
      <w:r w:rsidRPr="008B43F2">
        <w:rPr>
          <w:vertAlign w:val="superscript"/>
        </w:rPr>
        <w:footnoteReference w:id="51"/>
      </w:r>
      <w:r w:rsidRPr="008B43F2">
        <w:t xml:space="preserve"> Higher volume customers, on the other hand, may experience an overall decrease in their monthly bill, depending on usage.</w:t>
      </w:r>
    </w:p>
    <w:p w:rsidR="008B43F2" w:rsidRPr="008B43F2" w:rsidRDefault="008B43F2" w:rsidP="008B43F2">
      <w:pPr>
        <w:spacing w:after="240"/>
        <w:jc w:val="both"/>
      </w:pPr>
      <w:r>
        <w:tab/>
      </w:r>
      <w:r w:rsidRPr="008B43F2">
        <w:t xml:space="preserve">Section 366.06(1), F.S., states that </w:t>
      </w:r>
      <w:r w:rsidR="005A21F0">
        <w:t>we</w:t>
      </w:r>
      <w:r w:rsidRPr="008B43F2">
        <w:t xml:space="preserve"> shall</w:t>
      </w:r>
      <w:r w:rsidR="005A21F0">
        <w:t>,</w:t>
      </w:r>
      <w:r w:rsidRPr="008B43F2">
        <w:t xml:space="preserve"> to the extent practicable, consider the cost of providing service to the class, as well as the rate history, value of service, and experience of the public utility. Shifting most of the Company’s base rate costs from the variable per-therm charge to the fixed customer charge would unduly impact </w:t>
      </w:r>
      <w:r w:rsidR="007511CD">
        <w:t>low-therm</w:t>
      </w:r>
      <w:r w:rsidRPr="008B43F2">
        <w:t xml:space="preserve"> customers. These customers may not benefit from the correspondingly lower therm charge resulting from such a shift.</w:t>
      </w:r>
    </w:p>
    <w:p w:rsidR="008B43F2" w:rsidRDefault="008B43F2" w:rsidP="009F40BA">
      <w:pPr>
        <w:jc w:val="both"/>
      </w:pPr>
      <w:r>
        <w:tab/>
      </w:r>
      <w:r w:rsidR="009F40BA">
        <w:t>We believe</w:t>
      </w:r>
      <w:r w:rsidRPr="008B43F2">
        <w:t xml:space="preserve"> a fairer approach is to set the customer charge to minimize the impact on low</w:t>
      </w:r>
      <w:r w:rsidR="007511CD">
        <w:t>-</w:t>
      </w:r>
      <w:r w:rsidRPr="008B43F2">
        <w:t>therm users and let the therm charge capture the balance of the class revenue requirem</w:t>
      </w:r>
      <w:r w:rsidR="009F40BA">
        <w:t xml:space="preserve">ent. This is </w:t>
      </w:r>
      <w:r w:rsidR="009F40BA">
        <w:lastRenderedPageBreak/>
        <w:t>consistent with this</w:t>
      </w:r>
      <w:r w:rsidRPr="008B43F2">
        <w:t xml:space="preserve"> Commission’s decisions in the 2004 Sebring rate proceeding,</w:t>
      </w:r>
      <w:r w:rsidRPr="008B43F2">
        <w:rPr>
          <w:vertAlign w:val="superscript"/>
        </w:rPr>
        <w:footnoteReference w:id="52"/>
      </w:r>
      <w:r w:rsidRPr="008B43F2">
        <w:t xml:space="preserve"> the 2009 Florida Division of Chesapeake Utilities Corporation rate proceeding,</w:t>
      </w:r>
      <w:r w:rsidRPr="008B43F2">
        <w:rPr>
          <w:vertAlign w:val="superscript"/>
        </w:rPr>
        <w:footnoteReference w:id="53"/>
      </w:r>
      <w:r w:rsidRPr="008B43F2">
        <w:t xml:space="preserve"> and the 2007 St. Joe Natural Gas Company, Inc. rate proceeding.</w:t>
      </w:r>
      <w:r w:rsidRPr="008B43F2">
        <w:rPr>
          <w:vertAlign w:val="superscript"/>
        </w:rPr>
        <w:footnoteReference w:id="54"/>
      </w:r>
      <w:r w:rsidRPr="008B43F2">
        <w:t xml:space="preserve">  </w:t>
      </w:r>
      <w:r w:rsidR="009F40BA">
        <w:t>We are approving</w:t>
      </w:r>
      <w:r w:rsidRPr="008B43F2">
        <w:t xml:space="preserve"> rates that </w:t>
      </w:r>
      <w:r w:rsidR="009F40BA">
        <w:t>should</w:t>
      </w:r>
      <w:r w:rsidRPr="008B43F2">
        <w:t xml:space="preserve"> recover a greater proportion of costs through the fixed customer charge, compared to Sebring’s current rate design. </w:t>
      </w:r>
      <w:r w:rsidR="009F40BA">
        <w:t>The Commission-approved</w:t>
      </w:r>
      <w:r w:rsidRPr="008B43F2">
        <w:t xml:space="preserve"> rates are an incremental shift toward recognizing the operating characteristics of LDCs while providing some stability to customer rates and minimizing impacts on low users. Attachment B</w:t>
      </w:r>
      <w:r w:rsidR="009F40BA">
        <w:t xml:space="preserve"> of this Order</w:t>
      </w:r>
      <w:r w:rsidRPr="008B43F2">
        <w:t xml:space="preserve"> shows bill comparisons between Sebring’s current rates and </w:t>
      </w:r>
      <w:r w:rsidR="009F40BA">
        <w:t>the Commission-approved</w:t>
      </w:r>
      <w:r w:rsidRPr="008B43F2">
        <w:t xml:space="preserve"> rates.</w:t>
      </w:r>
    </w:p>
    <w:p w:rsidR="008B43F2" w:rsidRDefault="008B43F2" w:rsidP="008B43F2"/>
    <w:p w:rsidR="009F40BA" w:rsidRPr="009F40BA" w:rsidRDefault="009F40BA" w:rsidP="008B43F2">
      <w:pPr>
        <w:rPr>
          <w:i/>
        </w:rPr>
      </w:pPr>
      <w:r>
        <w:rPr>
          <w:i/>
        </w:rPr>
        <w:t>C. Transportation Charges</w:t>
      </w:r>
    </w:p>
    <w:p w:rsidR="009F40BA" w:rsidRDefault="009F40BA" w:rsidP="008B43F2"/>
    <w:p w:rsidR="008B43F2" w:rsidRPr="008B43F2" w:rsidRDefault="00685941" w:rsidP="008B43F2">
      <w:pPr>
        <w:spacing w:after="240"/>
        <w:jc w:val="both"/>
      </w:pPr>
      <w:r>
        <w:tab/>
      </w:r>
      <w:r w:rsidR="008B43F2" w:rsidRPr="008B43F2">
        <w:t xml:space="preserve">The table below shows the transportation charges that are currently in effect, Sebring’s proposed charges as contained in the revised MFR Schedule H, and the </w:t>
      </w:r>
      <w:r w:rsidR="009F40BA">
        <w:t>Commission-approved</w:t>
      </w:r>
      <w:r w:rsidR="008B43F2" w:rsidRPr="008B43F2">
        <w:t xml:space="preserve"> charges. </w:t>
      </w:r>
    </w:p>
    <w:p w:rsidR="008B43F2" w:rsidRPr="009F40BA" w:rsidRDefault="008B43F2" w:rsidP="008B43F2">
      <w:pPr>
        <w:keepNext/>
        <w:jc w:val="center"/>
        <w:rPr>
          <w:b/>
        </w:rPr>
      </w:pPr>
      <w:r w:rsidRPr="009F40BA">
        <w:rPr>
          <w:b/>
        </w:rPr>
        <w:t>Transportation Charges (dollar per therm)</w:t>
      </w:r>
    </w:p>
    <w:tbl>
      <w:tblPr>
        <w:tblStyle w:val="TableGrid"/>
        <w:tblW w:w="0" w:type="auto"/>
        <w:tblInd w:w="738" w:type="dxa"/>
        <w:tblLook w:val="04A0" w:firstRow="1" w:lastRow="0" w:firstColumn="1" w:lastColumn="0" w:noHBand="0" w:noVBand="1"/>
      </w:tblPr>
      <w:tblGrid>
        <w:gridCol w:w="1656"/>
        <w:gridCol w:w="1764"/>
        <w:gridCol w:w="2250"/>
        <w:gridCol w:w="2340"/>
      </w:tblGrid>
      <w:tr w:rsidR="008B43F2" w:rsidRPr="008B43F2" w:rsidTr="00685941">
        <w:tc>
          <w:tcPr>
            <w:tcW w:w="1656" w:type="dxa"/>
          </w:tcPr>
          <w:p w:rsidR="008B43F2" w:rsidRPr="008B43F2" w:rsidRDefault="008B43F2" w:rsidP="008B43F2">
            <w:pPr>
              <w:jc w:val="center"/>
            </w:pPr>
            <w:r w:rsidRPr="008B43F2">
              <w:t>Rate Class</w:t>
            </w:r>
          </w:p>
        </w:tc>
        <w:tc>
          <w:tcPr>
            <w:tcW w:w="1764" w:type="dxa"/>
          </w:tcPr>
          <w:p w:rsidR="008B43F2" w:rsidRPr="008B43F2" w:rsidRDefault="008B43F2" w:rsidP="008B43F2">
            <w:pPr>
              <w:jc w:val="center"/>
            </w:pPr>
            <w:r w:rsidRPr="008B43F2">
              <w:t>Current Rate</w:t>
            </w:r>
          </w:p>
        </w:tc>
        <w:tc>
          <w:tcPr>
            <w:tcW w:w="2250" w:type="dxa"/>
          </w:tcPr>
          <w:p w:rsidR="008B43F2" w:rsidRPr="008B43F2" w:rsidRDefault="008B43F2" w:rsidP="008B43F2">
            <w:pPr>
              <w:jc w:val="center"/>
            </w:pPr>
            <w:r w:rsidRPr="008B43F2">
              <w:t>Company-proposed</w:t>
            </w:r>
          </w:p>
        </w:tc>
        <w:tc>
          <w:tcPr>
            <w:tcW w:w="2340" w:type="dxa"/>
          </w:tcPr>
          <w:p w:rsidR="008B43F2" w:rsidRPr="008B43F2" w:rsidRDefault="009F40BA" w:rsidP="008B43F2">
            <w:pPr>
              <w:jc w:val="center"/>
            </w:pPr>
            <w:r>
              <w:t>Commission-approved</w:t>
            </w:r>
          </w:p>
        </w:tc>
      </w:tr>
      <w:tr w:rsidR="008B43F2" w:rsidRPr="008B43F2" w:rsidTr="00685941">
        <w:tc>
          <w:tcPr>
            <w:tcW w:w="1656" w:type="dxa"/>
          </w:tcPr>
          <w:p w:rsidR="008B43F2" w:rsidRPr="008B43F2" w:rsidRDefault="008B43F2" w:rsidP="008B43F2">
            <w:pPr>
              <w:jc w:val="center"/>
            </w:pPr>
            <w:r w:rsidRPr="008B43F2">
              <w:t>TS-1</w:t>
            </w:r>
          </w:p>
        </w:tc>
        <w:tc>
          <w:tcPr>
            <w:tcW w:w="1764" w:type="dxa"/>
          </w:tcPr>
          <w:p w:rsidR="008B43F2" w:rsidRPr="008B43F2" w:rsidRDefault="008B43F2" w:rsidP="008B43F2">
            <w:pPr>
              <w:jc w:val="center"/>
            </w:pPr>
            <w:r w:rsidRPr="008B43F2">
              <w:t>0.57140</w:t>
            </w:r>
          </w:p>
        </w:tc>
        <w:tc>
          <w:tcPr>
            <w:tcW w:w="2250" w:type="dxa"/>
          </w:tcPr>
          <w:p w:rsidR="008B43F2" w:rsidRPr="008B43F2" w:rsidRDefault="008B43F2" w:rsidP="008B43F2">
            <w:pPr>
              <w:jc w:val="center"/>
            </w:pPr>
            <w:r w:rsidRPr="008B43F2">
              <w:t>0.33481</w:t>
            </w:r>
          </w:p>
        </w:tc>
        <w:tc>
          <w:tcPr>
            <w:tcW w:w="2340" w:type="dxa"/>
          </w:tcPr>
          <w:p w:rsidR="008B43F2" w:rsidRPr="008B43F2" w:rsidRDefault="008B43F2" w:rsidP="008B43F2">
            <w:pPr>
              <w:jc w:val="center"/>
            </w:pPr>
            <w:r w:rsidRPr="008B43F2">
              <w:t>0.71729</w:t>
            </w:r>
          </w:p>
        </w:tc>
      </w:tr>
      <w:tr w:rsidR="008B43F2" w:rsidRPr="008B43F2" w:rsidTr="00685941">
        <w:tc>
          <w:tcPr>
            <w:tcW w:w="1656" w:type="dxa"/>
          </w:tcPr>
          <w:p w:rsidR="008B43F2" w:rsidRPr="008B43F2" w:rsidRDefault="008B43F2" w:rsidP="008B43F2">
            <w:pPr>
              <w:jc w:val="center"/>
            </w:pPr>
            <w:r w:rsidRPr="008B43F2">
              <w:t>TS-2</w:t>
            </w:r>
          </w:p>
        </w:tc>
        <w:tc>
          <w:tcPr>
            <w:tcW w:w="1764" w:type="dxa"/>
          </w:tcPr>
          <w:p w:rsidR="008B43F2" w:rsidRPr="008B43F2" w:rsidRDefault="008B43F2" w:rsidP="008B43F2">
            <w:pPr>
              <w:jc w:val="center"/>
            </w:pPr>
            <w:r w:rsidRPr="008B43F2">
              <w:t>0.49327</w:t>
            </w:r>
          </w:p>
        </w:tc>
        <w:tc>
          <w:tcPr>
            <w:tcW w:w="2250" w:type="dxa"/>
          </w:tcPr>
          <w:p w:rsidR="008B43F2" w:rsidRPr="008B43F2" w:rsidRDefault="008B43F2" w:rsidP="008B43F2">
            <w:pPr>
              <w:jc w:val="center"/>
            </w:pPr>
            <w:r w:rsidRPr="008B43F2">
              <w:t>0.20787</w:t>
            </w:r>
          </w:p>
        </w:tc>
        <w:tc>
          <w:tcPr>
            <w:tcW w:w="2340" w:type="dxa"/>
          </w:tcPr>
          <w:p w:rsidR="008B43F2" w:rsidRPr="008B43F2" w:rsidRDefault="008B43F2" w:rsidP="008B43F2">
            <w:pPr>
              <w:jc w:val="center"/>
            </w:pPr>
            <w:r w:rsidRPr="008B43F2">
              <w:t>0.49954</w:t>
            </w:r>
          </w:p>
        </w:tc>
      </w:tr>
      <w:tr w:rsidR="008B43F2" w:rsidRPr="008B43F2" w:rsidTr="00685941">
        <w:tc>
          <w:tcPr>
            <w:tcW w:w="1656" w:type="dxa"/>
          </w:tcPr>
          <w:p w:rsidR="008B43F2" w:rsidRPr="008B43F2" w:rsidRDefault="008B43F2" w:rsidP="008B43F2">
            <w:pPr>
              <w:jc w:val="center"/>
            </w:pPr>
            <w:r w:rsidRPr="008B43F2">
              <w:t>TS-3</w:t>
            </w:r>
          </w:p>
        </w:tc>
        <w:tc>
          <w:tcPr>
            <w:tcW w:w="1764" w:type="dxa"/>
          </w:tcPr>
          <w:p w:rsidR="008B43F2" w:rsidRPr="008B43F2" w:rsidRDefault="008B43F2" w:rsidP="008B43F2">
            <w:pPr>
              <w:jc w:val="center"/>
            </w:pPr>
            <w:r w:rsidRPr="008B43F2">
              <w:t>0.46677</w:t>
            </w:r>
          </w:p>
        </w:tc>
        <w:tc>
          <w:tcPr>
            <w:tcW w:w="2250" w:type="dxa"/>
          </w:tcPr>
          <w:p w:rsidR="008B43F2" w:rsidRPr="008B43F2" w:rsidRDefault="008B43F2" w:rsidP="008B43F2">
            <w:pPr>
              <w:jc w:val="center"/>
            </w:pPr>
            <w:r w:rsidRPr="008B43F2">
              <w:t>0.16529</w:t>
            </w:r>
          </w:p>
        </w:tc>
        <w:tc>
          <w:tcPr>
            <w:tcW w:w="2340" w:type="dxa"/>
          </w:tcPr>
          <w:p w:rsidR="008B43F2" w:rsidRPr="008B43F2" w:rsidRDefault="008B43F2" w:rsidP="008B43F2">
            <w:pPr>
              <w:jc w:val="center"/>
            </w:pPr>
            <w:r w:rsidRPr="008B43F2">
              <w:t>0.53509</w:t>
            </w:r>
          </w:p>
        </w:tc>
      </w:tr>
      <w:tr w:rsidR="008B43F2" w:rsidRPr="008B43F2" w:rsidTr="00685941">
        <w:tc>
          <w:tcPr>
            <w:tcW w:w="1656" w:type="dxa"/>
          </w:tcPr>
          <w:p w:rsidR="008B43F2" w:rsidRPr="008B43F2" w:rsidRDefault="008B43F2" w:rsidP="008B43F2">
            <w:pPr>
              <w:jc w:val="center"/>
            </w:pPr>
            <w:r w:rsidRPr="008B43F2">
              <w:t>TS-4</w:t>
            </w:r>
          </w:p>
        </w:tc>
        <w:tc>
          <w:tcPr>
            <w:tcW w:w="1764" w:type="dxa"/>
          </w:tcPr>
          <w:p w:rsidR="008B43F2" w:rsidRPr="008B43F2" w:rsidRDefault="008B43F2" w:rsidP="008B43F2">
            <w:pPr>
              <w:jc w:val="center"/>
            </w:pPr>
            <w:r w:rsidRPr="008B43F2">
              <w:t>0.33861</w:t>
            </w:r>
          </w:p>
        </w:tc>
        <w:tc>
          <w:tcPr>
            <w:tcW w:w="2250" w:type="dxa"/>
          </w:tcPr>
          <w:p w:rsidR="008B43F2" w:rsidRPr="008B43F2" w:rsidRDefault="008B43F2" w:rsidP="008B43F2">
            <w:pPr>
              <w:jc w:val="center"/>
            </w:pPr>
            <w:r w:rsidRPr="008B43F2">
              <w:t>0.09619</w:t>
            </w:r>
          </w:p>
        </w:tc>
        <w:tc>
          <w:tcPr>
            <w:tcW w:w="2340" w:type="dxa"/>
          </w:tcPr>
          <w:p w:rsidR="008B43F2" w:rsidRPr="008B43F2" w:rsidRDefault="008B43F2" w:rsidP="008B43F2">
            <w:pPr>
              <w:jc w:val="center"/>
            </w:pPr>
            <w:r w:rsidRPr="008B43F2">
              <w:t>0.41356</w:t>
            </w:r>
          </w:p>
        </w:tc>
      </w:tr>
      <w:tr w:rsidR="008B43F2" w:rsidRPr="008B43F2" w:rsidTr="00685941">
        <w:tc>
          <w:tcPr>
            <w:tcW w:w="1656" w:type="dxa"/>
          </w:tcPr>
          <w:p w:rsidR="008B43F2" w:rsidRPr="008B43F2" w:rsidRDefault="008B43F2" w:rsidP="008B43F2">
            <w:pPr>
              <w:jc w:val="center"/>
            </w:pPr>
            <w:r w:rsidRPr="008B43F2">
              <w:t>TS-5</w:t>
            </w:r>
          </w:p>
        </w:tc>
        <w:tc>
          <w:tcPr>
            <w:tcW w:w="1764" w:type="dxa"/>
          </w:tcPr>
          <w:p w:rsidR="008B43F2" w:rsidRPr="008B43F2" w:rsidRDefault="008B43F2" w:rsidP="008B43F2">
            <w:pPr>
              <w:jc w:val="center"/>
            </w:pPr>
            <w:r w:rsidRPr="008B43F2">
              <w:t>0.38136</w:t>
            </w:r>
          </w:p>
        </w:tc>
        <w:tc>
          <w:tcPr>
            <w:tcW w:w="2250" w:type="dxa"/>
          </w:tcPr>
          <w:p w:rsidR="008B43F2" w:rsidRPr="008B43F2" w:rsidRDefault="008B43F2" w:rsidP="008B43F2">
            <w:pPr>
              <w:jc w:val="center"/>
            </w:pPr>
            <w:r w:rsidRPr="008B43F2">
              <w:t>0.04027</w:t>
            </w:r>
          </w:p>
        </w:tc>
        <w:tc>
          <w:tcPr>
            <w:tcW w:w="2340" w:type="dxa"/>
          </w:tcPr>
          <w:p w:rsidR="008B43F2" w:rsidRPr="008B43F2" w:rsidRDefault="008B43F2" w:rsidP="008B43F2">
            <w:pPr>
              <w:jc w:val="center"/>
            </w:pPr>
            <w:r w:rsidRPr="008B43F2">
              <w:t>0.42791</w:t>
            </w:r>
          </w:p>
        </w:tc>
      </w:tr>
    </w:tbl>
    <w:p w:rsidR="008B43F2" w:rsidRPr="008B43F2" w:rsidRDefault="008B43F2" w:rsidP="008B43F2">
      <w:pPr>
        <w:spacing w:after="480"/>
        <w:ind w:firstLine="630"/>
        <w:jc w:val="both"/>
      </w:pPr>
      <w:r w:rsidRPr="008B43F2">
        <w:t>Source: Document No. 11050-2019, Revised MFR Schedule H-3, p 5.</w:t>
      </w:r>
    </w:p>
    <w:p w:rsidR="008B43F2" w:rsidRDefault="008B43F2" w:rsidP="009F40BA">
      <w:pPr>
        <w:jc w:val="both"/>
      </w:pPr>
      <w:r>
        <w:tab/>
      </w:r>
      <w:r w:rsidRPr="008B43F2">
        <w:t xml:space="preserve">The </w:t>
      </w:r>
      <w:r w:rsidR="009F40BA">
        <w:t>Commission-approved</w:t>
      </w:r>
      <w:r w:rsidRPr="008B43F2">
        <w:t xml:space="preserve"> transportation charges are higher than the Company-proposed charges because </w:t>
      </w:r>
      <w:r w:rsidR="009F40BA">
        <w:t>we approved</w:t>
      </w:r>
      <w:r w:rsidRPr="008B43F2">
        <w:t xml:space="preserve"> lower customer charges for certain rate classes. For any given class revenue requirement, costs not recovered through the customer charge are recovered through the per-therm transportation charge. Therefore, a lower customer charge results in higher transportation charges.</w:t>
      </w:r>
    </w:p>
    <w:p w:rsidR="009F40BA" w:rsidRDefault="009F40BA" w:rsidP="009F40BA">
      <w:pPr>
        <w:jc w:val="both"/>
      </w:pPr>
    </w:p>
    <w:p w:rsidR="009F40BA" w:rsidRPr="009F40BA" w:rsidRDefault="009F40BA" w:rsidP="009F40BA">
      <w:pPr>
        <w:jc w:val="both"/>
        <w:rPr>
          <w:i/>
        </w:rPr>
      </w:pPr>
      <w:r>
        <w:rPr>
          <w:i/>
        </w:rPr>
        <w:t>D. Effective Date of Revised Rates and Charges</w:t>
      </w:r>
    </w:p>
    <w:p w:rsidR="008B43F2" w:rsidRDefault="008B43F2" w:rsidP="008B43F2"/>
    <w:p w:rsidR="008B43F2" w:rsidRPr="008B43F2" w:rsidRDefault="00685941" w:rsidP="008B43F2">
      <w:pPr>
        <w:spacing w:after="240"/>
        <w:jc w:val="both"/>
      </w:pPr>
      <w:r>
        <w:tab/>
      </w:r>
      <w:r w:rsidR="008B43F2" w:rsidRPr="008B43F2">
        <w:t>All new rates and charges sh</w:t>
      </w:r>
      <w:r w:rsidR="00202DBE">
        <w:t>all</w:t>
      </w:r>
      <w:r w:rsidR="008B43F2" w:rsidRPr="008B43F2">
        <w:t xml:space="preserve"> become effective for meter readings on or after 30 days from</w:t>
      </w:r>
      <w:r w:rsidR="00C65E75">
        <w:t xml:space="preserve"> January 14, 2020,</w:t>
      </w:r>
      <w:r w:rsidR="008B43F2" w:rsidRPr="008B43F2">
        <w:t xml:space="preserve"> the date of </w:t>
      </w:r>
      <w:r w:rsidR="00202DBE">
        <w:t>our</w:t>
      </w:r>
      <w:r w:rsidR="008B43F2" w:rsidRPr="008B43F2">
        <w:t xml:space="preserve"> vote approving them. This will insure that customers are aware of the new rates before they are billed for usage under the new rates, and prevent the billing of usage under the new rates prior to their approval.</w:t>
      </w:r>
    </w:p>
    <w:p w:rsidR="008B43F2" w:rsidRDefault="008B43F2" w:rsidP="00202DBE">
      <w:pPr>
        <w:jc w:val="both"/>
      </w:pPr>
      <w:r>
        <w:lastRenderedPageBreak/>
        <w:tab/>
      </w:r>
      <w:r w:rsidRPr="008B43F2">
        <w:t>Sebring sh</w:t>
      </w:r>
      <w:r w:rsidR="00202DBE">
        <w:t>all</w:t>
      </w:r>
      <w:r w:rsidRPr="008B43F2">
        <w:t xml:space="preserve"> file revised tariffs to reflect the Commission-approved final rates and charges for administrative approval within five business days after </w:t>
      </w:r>
      <w:r w:rsidR="00202DBE">
        <w:t>our</w:t>
      </w:r>
      <w:r w:rsidRPr="008B43F2">
        <w:t xml:space="preserve"> vote</w:t>
      </w:r>
      <w:r w:rsidR="00C65E75">
        <w:t xml:space="preserve"> on January 14, 2020</w:t>
      </w:r>
      <w:r w:rsidRPr="008B43F2">
        <w:t>. Pursuant to Rule 25-22.0406(8), F.A.C., customers s</w:t>
      </w:r>
      <w:r w:rsidR="00202DBE">
        <w:t>hall</w:t>
      </w:r>
      <w:r w:rsidRPr="008B43F2">
        <w:t xml:space="preserve"> be notified of the revised rates in their first bill containing the new rates. A copy of the notice sh</w:t>
      </w:r>
      <w:r w:rsidR="00202DBE">
        <w:t>all</w:t>
      </w:r>
      <w:r w:rsidRPr="008B43F2">
        <w:t xml:space="preserve"> be submitted to</w:t>
      </w:r>
      <w:r w:rsidR="00202DBE">
        <w:t xml:space="preserve"> our</w:t>
      </w:r>
      <w:r w:rsidRPr="008B43F2">
        <w:t xml:space="preserve"> staff for approval prior to its use.</w:t>
      </w:r>
    </w:p>
    <w:p w:rsidR="008B43F2" w:rsidRDefault="008B43F2" w:rsidP="008B43F2"/>
    <w:p w:rsidR="00F3491B" w:rsidRPr="00F3491B" w:rsidRDefault="00F3491B" w:rsidP="008B43F2">
      <w:r>
        <w:rPr>
          <w:u w:val="single"/>
        </w:rPr>
        <w:t>10. Confirmation of Compliance</w:t>
      </w:r>
      <w:r>
        <w:tab/>
        <w:t>(Final Agency Action)</w:t>
      </w:r>
    </w:p>
    <w:p w:rsidR="00F3491B" w:rsidRDefault="00F3491B" w:rsidP="008B43F2"/>
    <w:p w:rsidR="001769FA" w:rsidRDefault="00685941" w:rsidP="00F3491B">
      <w:pPr>
        <w:jc w:val="both"/>
      </w:pPr>
      <w:r>
        <w:tab/>
      </w:r>
      <w:r w:rsidR="001769FA" w:rsidRPr="001769FA">
        <w:t>Sebring sh</w:t>
      </w:r>
      <w:r w:rsidR="00F3491B">
        <w:t>all be required to notify this</w:t>
      </w:r>
      <w:r w:rsidR="001769FA" w:rsidRPr="001769FA">
        <w:t xml:space="preserve"> Commission, in writing, that it has adjusted its books in accordance with </w:t>
      </w:r>
      <w:r w:rsidR="00F3491B">
        <w:t>our</w:t>
      </w:r>
      <w:r w:rsidR="001769FA" w:rsidRPr="001769FA">
        <w:t xml:space="preserve"> ordered adjustments. Sebring sh</w:t>
      </w:r>
      <w:r w:rsidR="00F3491B">
        <w:t>all</w:t>
      </w:r>
      <w:r w:rsidR="001769FA" w:rsidRPr="001769FA">
        <w:t xml:space="preserve"> submit a letter within 90 days of the final order in this docket, confirming that the adjustments to all the applicable accounts have been made to the Company’s books and records. In the event Sebring needs additional time to complete the adjustments, notice sh</w:t>
      </w:r>
      <w:r w:rsidR="00F3491B">
        <w:t>all</w:t>
      </w:r>
      <w:r w:rsidR="001769FA" w:rsidRPr="001769FA">
        <w:t xml:space="preserve"> be provided within seven days prior to deadline. </w:t>
      </w:r>
      <w:r w:rsidR="00C14FEC">
        <w:t>O</w:t>
      </w:r>
      <w:r w:rsidR="00F3491B">
        <w:t xml:space="preserve">ur </w:t>
      </w:r>
      <w:r w:rsidR="001769FA" w:rsidRPr="001769FA">
        <w:t xml:space="preserve">staff </w:t>
      </w:r>
      <w:r w:rsidR="00C14FEC">
        <w:t>is hereby</w:t>
      </w:r>
      <w:r w:rsidR="001769FA" w:rsidRPr="001769FA">
        <w:t xml:space="preserve"> given administrative authority to gran</w:t>
      </w:r>
      <w:r w:rsidR="00C65E75">
        <w:t>t an extension of up to 60 days upon the Company'</w:t>
      </w:r>
      <w:r w:rsidR="00C14FEC">
        <w:t>s showing of good cause.</w:t>
      </w:r>
    </w:p>
    <w:p w:rsidR="001769FA" w:rsidRDefault="001769FA" w:rsidP="001769FA"/>
    <w:p w:rsidR="001769FA" w:rsidRDefault="001769FA" w:rsidP="001769FA">
      <w:pPr>
        <w:pStyle w:val="OrderBody"/>
      </w:pPr>
      <w:r>
        <w:tab/>
        <w:t>Based on the foregoing, it is</w:t>
      </w:r>
    </w:p>
    <w:p w:rsidR="001769FA" w:rsidRDefault="001769FA" w:rsidP="001769FA">
      <w:pPr>
        <w:pStyle w:val="OrderBody"/>
      </w:pPr>
    </w:p>
    <w:p w:rsidR="001769FA" w:rsidRDefault="001769FA" w:rsidP="001769FA">
      <w:pPr>
        <w:pStyle w:val="OrderBody"/>
      </w:pPr>
      <w:r>
        <w:tab/>
        <w:t>ORDERED by the Florida Public Service Commission that</w:t>
      </w:r>
      <w:r w:rsidR="00EA0F5D">
        <w:t xml:space="preserve"> Sebring Gas System, Inc.’s application for increased rates is hereby approved as set forth in the body of this Order.  It is further</w:t>
      </w:r>
    </w:p>
    <w:p w:rsidR="00EA0F5D" w:rsidRDefault="00EA0F5D" w:rsidP="001769FA">
      <w:pPr>
        <w:pStyle w:val="OrderBody"/>
      </w:pPr>
    </w:p>
    <w:p w:rsidR="00EA0F5D" w:rsidRDefault="00EA0F5D" w:rsidP="001769FA">
      <w:pPr>
        <w:pStyle w:val="OrderBody"/>
      </w:pPr>
      <w:r>
        <w:tab/>
        <w:t xml:space="preserve">ORDERED that Sebring Gas System, Inc. is authorized to collect increased revenues of </w:t>
      </w:r>
      <w:r w:rsidRPr="008B43F2">
        <w:t>$262,805</w:t>
      </w:r>
      <w:r>
        <w:t>.  It is further</w:t>
      </w:r>
    </w:p>
    <w:p w:rsidR="007C5A4B" w:rsidRDefault="007C5A4B" w:rsidP="001769FA">
      <w:pPr>
        <w:pStyle w:val="OrderBody"/>
      </w:pPr>
    </w:p>
    <w:p w:rsidR="007C5A4B" w:rsidRDefault="007C5A4B" w:rsidP="001769FA">
      <w:pPr>
        <w:pStyle w:val="OrderBody"/>
      </w:pPr>
      <w:r>
        <w:tab/>
        <w:t>ORDERED that Sebring Gas System, Inc.</w:t>
      </w:r>
      <w:r w:rsidRPr="00F63B69">
        <w:t>’s quality of service is adequate</w:t>
      </w:r>
      <w:r>
        <w:t>.  It is further</w:t>
      </w:r>
    </w:p>
    <w:p w:rsidR="007C5A4B" w:rsidRDefault="007C5A4B" w:rsidP="001769FA">
      <w:pPr>
        <w:pStyle w:val="OrderBody"/>
      </w:pPr>
    </w:p>
    <w:p w:rsidR="007C5A4B" w:rsidRDefault="007C5A4B" w:rsidP="001769FA">
      <w:pPr>
        <w:pStyle w:val="OrderBody"/>
      </w:pPr>
      <w:r>
        <w:tab/>
        <w:t xml:space="preserve">ORDERED that </w:t>
      </w:r>
      <w:r w:rsidRPr="00F63B69">
        <w:t>$1,960,692 for plant additions</w:t>
      </w:r>
      <w:r>
        <w:t xml:space="preserve"> </w:t>
      </w:r>
      <w:r w:rsidRPr="00F63B69">
        <w:t>is appropriate for inclusion in rate base</w:t>
      </w:r>
      <w:r>
        <w:t xml:space="preserve"> as set forth in the body of this Order.  It is further</w:t>
      </w:r>
    </w:p>
    <w:p w:rsidR="007C5A4B" w:rsidRDefault="007C5A4B" w:rsidP="001769FA">
      <w:pPr>
        <w:pStyle w:val="OrderBody"/>
      </w:pPr>
    </w:p>
    <w:p w:rsidR="007C5A4B" w:rsidRDefault="007C5A4B" w:rsidP="001769FA">
      <w:pPr>
        <w:pStyle w:val="OrderBody"/>
      </w:pPr>
      <w:r>
        <w:tab/>
        <w:t xml:space="preserve">ORDERED that the appropriate </w:t>
      </w:r>
      <w:r w:rsidRPr="0098478B">
        <w:t>total</w:t>
      </w:r>
      <w:r>
        <w:t xml:space="preserve"> test year</w:t>
      </w:r>
      <w:r w:rsidRPr="0098478B">
        <w:t xml:space="preserve"> </w:t>
      </w:r>
      <w:r>
        <w:t>rate base for Sebring Gas System Inc. is</w:t>
      </w:r>
      <w:r w:rsidRPr="0098478B">
        <w:t xml:space="preserve"> $5,021,353</w:t>
      </w:r>
      <w:r>
        <w:t>.  It is further</w:t>
      </w:r>
    </w:p>
    <w:p w:rsidR="00424087" w:rsidRDefault="00424087" w:rsidP="001769FA">
      <w:pPr>
        <w:pStyle w:val="OrderBody"/>
      </w:pPr>
    </w:p>
    <w:p w:rsidR="00EA0F5D" w:rsidRDefault="006F03C4" w:rsidP="001769FA">
      <w:pPr>
        <w:pStyle w:val="OrderBody"/>
      </w:pPr>
      <w:r>
        <w:tab/>
        <w:t xml:space="preserve">ORDERED that the </w:t>
      </w:r>
      <w:r w:rsidRPr="00FF3826">
        <w:t>appropriate allowed return on equity for Sebring</w:t>
      </w:r>
      <w:r>
        <w:t xml:space="preserve"> Gas System Inc.</w:t>
      </w:r>
      <w:r w:rsidRPr="00FF3826">
        <w:t xml:space="preserve"> is 11.00 percent</w:t>
      </w:r>
      <w:r w:rsidR="00A843A6">
        <w:t xml:space="preserve"> with a range of plus or minus 100 basis points</w:t>
      </w:r>
      <w:r>
        <w:t>.  It is further</w:t>
      </w:r>
    </w:p>
    <w:p w:rsidR="006F03C4" w:rsidRDefault="006F03C4" w:rsidP="001769FA">
      <w:pPr>
        <w:pStyle w:val="OrderBody"/>
      </w:pPr>
    </w:p>
    <w:p w:rsidR="006F03C4" w:rsidRDefault="006F03C4" w:rsidP="001769FA">
      <w:pPr>
        <w:pStyle w:val="OrderBody"/>
      </w:pPr>
      <w:r>
        <w:tab/>
        <w:t>ORDERED that the appropriate Weighted Average Cost of Capital for Sebring Gas System Inc. is 6.81</w:t>
      </w:r>
      <w:r w:rsidRPr="00765DDA">
        <w:t xml:space="preserve"> percent</w:t>
      </w:r>
      <w:r>
        <w:t>.  It is further</w:t>
      </w:r>
    </w:p>
    <w:p w:rsidR="006F03C4" w:rsidRDefault="006F03C4" w:rsidP="001769FA">
      <w:pPr>
        <w:pStyle w:val="OrderBody"/>
      </w:pPr>
    </w:p>
    <w:p w:rsidR="006F03C4" w:rsidRDefault="006F03C4" w:rsidP="001769FA">
      <w:pPr>
        <w:pStyle w:val="OrderBody"/>
      </w:pPr>
      <w:r>
        <w:tab/>
        <w:t xml:space="preserve">ORDERED that the appropriate </w:t>
      </w:r>
      <w:r w:rsidRPr="00765DDA">
        <w:t>total operating revenues for</w:t>
      </w:r>
      <w:r>
        <w:t xml:space="preserve"> Sebring Gas System Inc. for</w:t>
      </w:r>
      <w:r w:rsidRPr="00765DDA">
        <w:t xml:space="preserve"> the 2020 projected test year</w:t>
      </w:r>
      <w:r>
        <w:t xml:space="preserve"> is </w:t>
      </w:r>
      <w:r w:rsidRPr="00765DDA">
        <w:t>$1,186,200</w:t>
      </w:r>
      <w:r>
        <w:t>.  It is further</w:t>
      </w:r>
    </w:p>
    <w:p w:rsidR="006F03C4" w:rsidRDefault="006F03C4" w:rsidP="001769FA">
      <w:pPr>
        <w:pStyle w:val="OrderBody"/>
      </w:pPr>
    </w:p>
    <w:p w:rsidR="006F03C4" w:rsidRDefault="006F03C4" w:rsidP="001769FA">
      <w:pPr>
        <w:pStyle w:val="OrderBody"/>
      </w:pPr>
      <w:r>
        <w:tab/>
        <w:t xml:space="preserve">ORDERED that the appropriate Total Operating Expenses for Sebring Gas System Inc. the projected test year is </w:t>
      </w:r>
      <w:r w:rsidRPr="00D053C4">
        <w:t>$1,041,548</w:t>
      </w:r>
      <w:r>
        <w:t>.  It is further</w:t>
      </w:r>
    </w:p>
    <w:p w:rsidR="006F03C4" w:rsidRDefault="006F03C4" w:rsidP="001769FA">
      <w:pPr>
        <w:pStyle w:val="OrderBody"/>
      </w:pPr>
    </w:p>
    <w:p w:rsidR="006F03C4" w:rsidRDefault="006F03C4" w:rsidP="001769FA">
      <w:pPr>
        <w:pStyle w:val="OrderBody"/>
      </w:pPr>
      <w:r>
        <w:lastRenderedPageBreak/>
        <w:tab/>
        <w:t>ORDERED that Sebring Gas System Inc.’s approved customer charges and transportation charges are show</w:t>
      </w:r>
      <w:r w:rsidR="001150D4">
        <w:t>n</w:t>
      </w:r>
      <w:r>
        <w:t xml:space="preserve"> on Attachment B.  It is further</w:t>
      </w:r>
    </w:p>
    <w:p w:rsidR="006F03C4" w:rsidRDefault="006F03C4" w:rsidP="001769FA">
      <w:pPr>
        <w:pStyle w:val="OrderBody"/>
      </w:pPr>
    </w:p>
    <w:p w:rsidR="00EA0F5D" w:rsidRDefault="00EA0F5D" w:rsidP="001769FA">
      <w:pPr>
        <w:pStyle w:val="OrderBody"/>
      </w:pPr>
      <w:r>
        <w:tab/>
        <w:t xml:space="preserve">ORDERED that Sebring Gas System, Inc. shall </w:t>
      </w:r>
      <w:r w:rsidR="00C65E75" w:rsidRPr="008B43F2">
        <w:t xml:space="preserve">file revised tariffs to reflect the Commission-approved final rates and charges for administrative approval within five business days after </w:t>
      </w:r>
      <w:r w:rsidR="00C65E75">
        <w:t>this Commission’s</w:t>
      </w:r>
      <w:r w:rsidR="00C65E75" w:rsidRPr="008B43F2">
        <w:t xml:space="preserve"> vote</w:t>
      </w:r>
      <w:r w:rsidR="00C65E75">
        <w:t xml:space="preserve"> on January 14, 2020.  It is further</w:t>
      </w:r>
    </w:p>
    <w:p w:rsidR="00C65E75" w:rsidRDefault="00C65E75" w:rsidP="001769FA">
      <w:pPr>
        <w:pStyle w:val="OrderBody"/>
      </w:pPr>
    </w:p>
    <w:p w:rsidR="00C65E75" w:rsidRDefault="00C65E75" w:rsidP="001769FA">
      <w:pPr>
        <w:pStyle w:val="OrderBody"/>
      </w:pPr>
      <w:r>
        <w:tab/>
        <w:t>ORDERED that a</w:t>
      </w:r>
      <w:r w:rsidRPr="008B43F2">
        <w:t>ll new rates and charges sh</w:t>
      </w:r>
      <w:r>
        <w:t>all</w:t>
      </w:r>
      <w:r w:rsidRPr="008B43F2">
        <w:t xml:space="preserve"> become effective for meter readings on or after 30 days from</w:t>
      </w:r>
      <w:r>
        <w:t xml:space="preserve"> January 14, 2020,</w:t>
      </w:r>
      <w:r w:rsidRPr="008B43F2">
        <w:t xml:space="preserve"> the date of </w:t>
      </w:r>
      <w:r>
        <w:t>our</w:t>
      </w:r>
      <w:r w:rsidRPr="008B43F2">
        <w:t xml:space="preserve"> vote approving them</w:t>
      </w:r>
      <w:r>
        <w:t>.  It is further</w:t>
      </w:r>
    </w:p>
    <w:p w:rsidR="00594347" w:rsidRDefault="00594347" w:rsidP="001769FA">
      <w:pPr>
        <w:pStyle w:val="OrderBody"/>
      </w:pPr>
    </w:p>
    <w:p w:rsidR="00C65E75" w:rsidRDefault="00C65E75" w:rsidP="001769FA">
      <w:pPr>
        <w:pStyle w:val="OrderBody"/>
      </w:pPr>
      <w:r>
        <w:tab/>
        <w:t>ORDERED that Sebring Gas System, Inc. shall notify this</w:t>
      </w:r>
      <w:r w:rsidRPr="001769FA">
        <w:t xml:space="preserve"> Commission, in writing, that it has adjusted its books in accordance with </w:t>
      </w:r>
      <w:r>
        <w:t>the</w:t>
      </w:r>
      <w:r w:rsidRPr="001769FA">
        <w:t xml:space="preserve"> ordered adjustments. Sebring </w:t>
      </w:r>
      <w:r>
        <w:t xml:space="preserve">Gas System, Inc. </w:t>
      </w:r>
      <w:r w:rsidRPr="001769FA">
        <w:t>sh</w:t>
      </w:r>
      <w:r>
        <w:t>all</w:t>
      </w:r>
      <w:r w:rsidRPr="001769FA">
        <w:t xml:space="preserve"> submit a letter within 90 days of </w:t>
      </w:r>
      <w:r>
        <w:t>this Order</w:t>
      </w:r>
      <w:r w:rsidRPr="001769FA">
        <w:t xml:space="preserve">, confirming that the adjustments to all the applicable accounts have been made to </w:t>
      </w:r>
      <w:r w:rsidR="00C14FEC" w:rsidRPr="001769FA">
        <w:t xml:space="preserve">Sebring </w:t>
      </w:r>
      <w:r w:rsidR="00C14FEC">
        <w:t>Gas System, Inc.</w:t>
      </w:r>
      <w:r w:rsidRPr="001769FA">
        <w:t>’s books and records. In the event Sebring</w:t>
      </w:r>
      <w:r>
        <w:t xml:space="preserve"> Gas System, Inc.</w:t>
      </w:r>
      <w:r w:rsidRPr="001769FA">
        <w:t xml:space="preserve"> needs additional time to complete the adjustments, notice sh</w:t>
      </w:r>
      <w:r>
        <w:t>all</w:t>
      </w:r>
      <w:r w:rsidRPr="001769FA">
        <w:t xml:space="preserve"> be provided within seven days prior to deadline. </w:t>
      </w:r>
      <w:r w:rsidR="00C14FEC">
        <w:t>O</w:t>
      </w:r>
      <w:r>
        <w:t xml:space="preserve">ur </w:t>
      </w:r>
      <w:r w:rsidRPr="001769FA">
        <w:t xml:space="preserve">staff </w:t>
      </w:r>
      <w:r w:rsidR="00C14FEC">
        <w:t>is hereby</w:t>
      </w:r>
      <w:r w:rsidRPr="001769FA">
        <w:t xml:space="preserve"> given administrative authority to grant an extension of up to 60 days</w:t>
      </w:r>
      <w:r w:rsidR="00C14FEC" w:rsidRPr="00C14FEC">
        <w:t xml:space="preserve"> </w:t>
      </w:r>
      <w:r w:rsidR="00C14FEC">
        <w:t xml:space="preserve">upon </w:t>
      </w:r>
      <w:r w:rsidR="00C14FEC" w:rsidRPr="001769FA">
        <w:t xml:space="preserve">Sebring </w:t>
      </w:r>
      <w:r w:rsidR="00C14FEC">
        <w:t xml:space="preserve">Gas System, Inc.'s showing of good cause.  </w:t>
      </w:r>
      <w:r w:rsidR="00E6184C">
        <w:rPr>
          <w:i/>
        </w:rPr>
        <w:t xml:space="preserve">(Final Agency Action) </w:t>
      </w:r>
      <w:r w:rsidR="00C14FEC">
        <w:t>It is further</w:t>
      </w:r>
    </w:p>
    <w:p w:rsidR="001769FA" w:rsidRDefault="001769FA" w:rsidP="001769FA">
      <w:pPr>
        <w:pStyle w:val="OrderBody"/>
      </w:pPr>
    </w:p>
    <w:p w:rsidR="001769FA" w:rsidRDefault="001769FA" w:rsidP="001769FA">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1769FA" w:rsidRDefault="001769FA" w:rsidP="001769FA">
      <w:pPr>
        <w:pStyle w:val="OrderBody"/>
      </w:pPr>
    </w:p>
    <w:p w:rsidR="001769FA" w:rsidRDefault="001769FA" w:rsidP="001769FA">
      <w:pPr>
        <w:pStyle w:val="OrderBody"/>
      </w:pPr>
      <w:r>
        <w:tab/>
        <w:t xml:space="preserve">ORDERED that </w:t>
      </w:r>
      <w:r w:rsidR="00F3491B">
        <w:t>i</w:t>
      </w:r>
      <w:r w:rsidR="00F3491B" w:rsidRPr="001769FA">
        <w:t>f no person whose substantial interests are affected by the proposed agency action files a protest within 21 days of the issuance of t</w:t>
      </w:r>
      <w:r w:rsidR="00F3491B">
        <w:t>his O</w:t>
      </w:r>
      <w:r w:rsidR="00F3491B" w:rsidRPr="001769FA">
        <w:t>rder, this docket sh</w:t>
      </w:r>
      <w:r w:rsidR="00F3491B">
        <w:t>all</w:t>
      </w:r>
      <w:r w:rsidR="00F3491B" w:rsidRPr="001769FA">
        <w:t xml:space="preserve"> be closed upon the issuance of a consummating order</w:t>
      </w:r>
      <w:r>
        <w:t>.</w:t>
      </w:r>
    </w:p>
    <w:p w:rsidR="001769FA" w:rsidRDefault="001769FA" w:rsidP="001769FA">
      <w:pPr>
        <w:pStyle w:val="OrderBody"/>
      </w:pPr>
    </w:p>
    <w:p w:rsidR="001769FA" w:rsidRDefault="001769FA" w:rsidP="001769FA">
      <w:pPr>
        <w:pStyle w:val="OrderBody"/>
        <w:keepNext/>
        <w:keepLines/>
      </w:pPr>
      <w:r>
        <w:lastRenderedPageBreak/>
        <w:tab/>
        <w:t xml:space="preserve">By ORDER of the Florida Public Service Commission this </w:t>
      </w:r>
      <w:bookmarkStart w:id="7" w:name="replaceDate"/>
      <w:bookmarkEnd w:id="7"/>
      <w:r w:rsidR="00AC7B8D">
        <w:rPr>
          <w:u w:val="single"/>
        </w:rPr>
        <w:t>3rd</w:t>
      </w:r>
      <w:r w:rsidR="00AC7B8D">
        <w:t xml:space="preserve"> day of </w:t>
      </w:r>
      <w:r w:rsidR="00AC7B8D">
        <w:rPr>
          <w:u w:val="single"/>
        </w:rPr>
        <w:t>February</w:t>
      </w:r>
      <w:r w:rsidR="00AC7B8D">
        <w:t xml:space="preserve">, </w:t>
      </w:r>
      <w:r w:rsidR="00AC7B8D">
        <w:rPr>
          <w:u w:val="single"/>
        </w:rPr>
        <w:t>2020</w:t>
      </w:r>
      <w:r w:rsidR="00AC7B8D">
        <w:t>.</w:t>
      </w:r>
    </w:p>
    <w:p w:rsidR="00AC7B8D" w:rsidRPr="00AC7B8D" w:rsidRDefault="00AC7B8D" w:rsidP="001769FA">
      <w:pPr>
        <w:pStyle w:val="OrderBody"/>
        <w:keepNext/>
        <w:keepLines/>
      </w:pPr>
    </w:p>
    <w:p w:rsidR="001769FA" w:rsidRDefault="001769FA" w:rsidP="001769FA">
      <w:pPr>
        <w:pStyle w:val="OrderBody"/>
        <w:keepNext/>
        <w:keepLines/>
      </w:pPr>
    </w:p>
    <w:p w:rsidR="001769FA" w:rsidRDefault="001769FA" w:rsidP="001769F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769FA" w:rsidTr="001769FA">
        <w:tc>
          <w:tcPr>
            <w:tcW w:w="720" w:type="dxa"/>
            <w:shd w:val="clear" w:color="auto" w:fill="auto"/>
          </w:tcPr>
          <w:p w:rsidR="001769FA" w:rsidRDefault="001769FA" w:rsidP="001769FA">
            <w:pPr>
              <w:pStyle w:val="OrderBody"/>
              <w:keepNext/>
              <w:keepLines/>
            </w:pPr>
            <w:bookmarkStart w:id="8" w:name="bkmrkSignature" w:colFirst="0" w:colLast="0"/>
          </w:p>
        </w:tc>
        <w:tc>
          <w:tcPr>
            <w:tcW w:w="4320" w:type="dxa"/>
            <w:tcBorders>
              <w:bottom w:val="single" w:sz="4" w:space="0" w:color="auto"/>
            </w:tcBorders>
            <w:shd w:val="clear" w:color="auto" w:fill="auto"/>
          </w:tcPr>
          <w:p w:rsidR="001769FA" w:rsidRDefault="00AC7B8D" w:rsidP="001769FA">
            <w:pPr>
              <w:pStyle w:val="OrderBody"/>
              <w:keepNext/>
              <w:keepLines/>
            </w:pPr>
            <w:r>
              <w:t>/s/ Adam J. Teitzman</w:t>
            </w:r>
            <w:bookmarkStart w:id="9" w:name="_GoBack"/>
            <w:bookmarkEnd w:id="9"/>
          </w:p>
        </w:tc>
      </w:tr>
      <w:bookmarkEnd w:id="8"/>
      <w:tr w:rsidR="001769FA" w:rsidTr="001769FA">
        <w:tc>
          <w:tcPr>
            <w:tcW w:w="720" w:type="dxa"/>
            <w:shd w:val="clear" w:color="auto" w:fill="auto"/>
          </w:tcPr>
          <w:p w:rsidR="001769FA" w:rsidRDefault="001769FA" w:rsidP="001769FA">
            <w:pPr>
              <w:pStyle w:val="OrderBody"/>
              <w:keepNext/>
              <w:keepLines/>
            </w:pPr>
          </w:p>
        </w:tc>
        <w:tc>
          <w:tcPr>
            <w:tcW w:w="4320" w:type="dxa"/>
            <w:tcBorders>
              <w:top w:val="single" w:sz="4" w:space="0" w:color="auto"/>
            </w:tcBorders>
            <w:shd w:val="clear" w:color="auto" w:fill="auto"/>
          </w:tcPr>
          <w:p w:rsidR="001769FA" w:rsidRDefault="001769FA" w:rsidP="001769FA">
            <w:pPr>
              <w:pStyle w:val="OrderBody"/>
              <w:keepNext/>
              <w:keepLines/>
            </w:pPr>
            <w:r>
              <w:t>ADAM J. TEITZMAN</w:t>
            </w:r>
          </w:p>
          <w:p w:rsidR="001769FA" w:rsidRDefault="001769FA" w:rsidP="001769FA">
            <w:pPr>
              <w:pStyle w:val="OrderBody"/>
              <w:keepNext/>
              <w:keepLines/>
            </w:pPr>
            <w:r>
              <w:t>Commission Clerk</w:t>
            </w:r>
          </w:p>
        </w:tc>
      </w:tr>
    </w:tbl>
    <w:p w:rsidR="001769FA" w:rsidRDefault="001769FA" w:rsidP="001769FA">
      <w:pPr>
        <w:pStyle w:val="OrderSigInfo"/>
        <w:keepNext/>
        <w:keepLines/>
      </w:pPr>
      <w:r>
        <w:t>Florida Public Service Commission</w:t>
      </w:r>
    </w:p>
    <w:p w:rsidR="001769FA" w:rsidRDefault="001769FA" w:rsidP="001769FA">
      <w:pPr>
        <w:pStyle w:val="OrderSigInfo"/>
        <w:keepNext/>
        <w:keepLines/>
      </w:pPr>
      <w:r>
        <w:t>2540 Shumard Oak Boulevard</w:t>
      </w:r>
    </w:p>
    <w:p w:rsidR="001769FA" w:rsidRDefault="001769FA" w:rsidP="001769FA">
      <w:pPr>
        <w:pStyle w:val="OrderSigInfo"/>
        <w:keepNext/>
        <w:keepLines/>
      </w:pPr>
      <w:r>
        <w:t>Tallahassee, Florida 32399</w:t>
      </w:r>
    </w:p>
    <w:p w:rsidR="001769FA" w:rsidRDefault="001769FA" w:rsidP="001769FA">
      <w:pPr>
        <w:pStyle w:val="OrderSigInfo"/>
        <w:keepNext/>
        <w:keepLines/>
      </w:pPr>
      <w:r>
        <w:t>(850) 413</w:t>
      </w:r>
      <w:r>
        <w:noBreakHyphen/>
        <w:t>6770</w:t>
      </w:r>
    </w:p>
    <w:p w:rsidR="001769FA" w:rsidRDefault="001769FA" w:rsidP="001769FA">
      <w:pPr>
        <w:pStyle w:val="OrderSigInfo"/>
        <w:keepNext/>
        <w:keepLines/>
      </w:pPr>
      <w:r>
        <w:t>www.floridapsc.com</w:t>
      </w:r>
    </w:p>
    <w:p w:rsidR="001769FA" w:rsidRDefault="001769FA" w:rsidP="001769FA">
      <w:pPr>
        <w:pStyle w:val="OrderSigInfo"/>
        <w:keepNext/>
        <w:keepLines/>
      </w:pPr>
    </w:p>
    <w:p w:rsidR="001769FA" w:rsidRDefault="001769FA" w:rsidP="001769FA">
      <w:pPr>
        <w:pStyle w:val="OrderSigInfo"/>
        <w:keepNext/>
        <w:keepLines/>
      </w:pPr>
      <w:r>
        <w:t>Copies furnished:  A copy of this document is provided to the parties of record at the time of issuance and, if applicable, interested persons.</w:t>
      </w:r>
    </w:p>
    <w:p w:rsidR="001769FA" w:rsidRDefault="001769FA" w:rsidP="001769FA">
      <w:pPr>
        <w:pStyle w:val="OrderBody"/>
        <w:keepNext/>
        <w:keepLines/>
      </w:pPr>
    </w:p>
    <w:p w:rsidR="001769FA" w:rsidRDefault="001769FA" w:rsidP="001769FA">
      <w:pPr>
        <w:pStyle w:val="OrderBody"/>
        <w:keepNext/>
        <w:keepLines/>
      </w:pPr>
      <w:r>
        <w:t>MAD</w:t>
      </w:r>
      <w:r w:rsidR="00E6184C">
        <w:t>/RAD</w:t>
      </w:r>
    </w:p>
    <w:p w:rsidR="001769FA" w:rsidRDefault="001769F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ED626A" w:rsidRDefault="00ED626A" w:rsidP="001769FA">
      <w:pPr>
        <w:pStyle w:val="OrderBody"/>
      </w:pPr>
    </w:p>
    <w:p w:rsidR="00AC7B8D" w:rsidRDefault="00AC7B8D" w:rsidP="00E6184C">
      <w:pPr>
        <w:pStyle w:val="CenterUnderline"/>
      </w:pPr>
    </w:p>
    <w:p w:rsidR="00AC7B8D" w:rsidRDefault="00AC7B8D" w:rsidP="00E6184C">
      <w:pPr>
        <w:pStyle w:val="CenterUnderline"/>
      </w:pPr>
    </w:p>
    <w:p w:rsidR="00E6184C" w:rsidRDefault="00E6184C" w:rsidP="00E6184C">
      <w:pPr>
        <w:pStyle w:val="CenterUnderline"/>
      </w:pPr>
      <w:r>
        <w:t>NOTICE OF FURTHER PROCEEDINGS OR JUDICIAL REVIEW</w:t>
      </w:r>
    </w:p>
    <w:p w:rsidR="001769FA" w:rsidRDefault="001769FA" w:rsidP="00E6184C">
      <w:pPr>
        <w:pStyle w:val="CenterUnderline"/>
      </w:pPr>
    </w:p>
    <w:p w:rsidR="00E6184C" w:rsidRDefault="00E6184C" w:rsidP="00E6184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6184C" w:rsidRDefault="00E6184C" w:rsidP="00E6184C">
      <w:pPr>
        <w:pStyle w:val="OrderBody"/>
      </w:pPr>
    </w:p>
    <w:p w:rsidR="00E6184C" w:rsidRDefault="00E6184C" w:rsidP="00E6184C">
      <w:pPr>
        <w:pStyle w:val="OrderBody"/>
      </w:pPr>
      <w:r>
        <w:tab/>
        <w:t xml:space="preserve">As identified in the body of this order, our actions are preliminary in nature, except for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AC7B8D">
        <w:rPr>
          <w:u w:val="single"/>
        </w:rPr>
        <w:t>February 24, 2020</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E6184C" w:rsidRDefault="00E6184C" w:rsidP="00E6184C">
      <w:pPr>
        <w:pStyle w:val="OrderBody"/>
      </w:pPr>
    </w:p>
    <w:p w:rsidR="00E6184C" w:rsidRDefault="00E6184C" w:rsidP="00E6184C">
      <w:pPr>
        <w:pStyle w:val="OrderBody"/>
      </w:pPr>
      <w:r>
        <w:tab/>
        <w:t>Any objection or protest filed in this docket before the issuance date of this order is considered abandoned unless it satisfies the foregoing conditions and is renewed within the specified protest period.</w:t>
      </w:r>
    </w:p>
    <w:p w:rsidR="00E6184C" w:rsidRDefault="00E6184C" w:rsidP="00E6184C">
      <w:pPr>
        <w:pStyle w:val="OrderBody"/>
      </w:pPr>
    </w:p>
    <w:p w:rsidR="00E6184C" w:rsidRDefault="00E6184C" w:rsidP="00E6184C">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6184C" w:rsidRDefault="00E6184C" w:rsidP="00E6184C">
      <w:pPr>
        <w:pStyle w:val="OrderBody"/>
      </w:pPr>
    </w:p>
    <w:p w:rsidR="00E6184C" w:rsidRDefault="00E6184C" w:rsidP="00E6184C">
      <w:pPr>
        <w:pStyle w:val="OrderBody"/>
      </w:pPr>
    </w:p>
    <w:p w:rsidR="00E6184C" w:rsidRPr="00E6184C" w:rsidRDefault="00E6184C" w:rsidP="00E6184C">
      <w:pPr>
        <w:pStyle w:val="OrderBody"/>
        <w:sectPr w:rsidR="00E6184C" w:rsidRPr="00E6184C">
          <w:headerReference w:type="default" r:id="rId7"/>
          <w:pgSz w:w="12240" w:h="15840" w:code="1"/>
          <w:pgMar w:top="1440" w:right="1440" w:bottom="1440" w:left="1440" w:header="720" w:footer="720" w:gutter="0"/>
          <w:cols w:space="720"/>
          <w:titlePg/>
          <w:docGrid w:linePitch="360"/>
        </w:sectPr>
      </w:pPr>
    </w:p>
    <w:p w:rsidR="001769FA" w:rsidRPr="001769FA" w:rsidRDefault="001769FA" w:rsidP="001769FA">
      <w:pPr>
        <w:spacing w:after="240"/>
        <w:jc w:val="both"/>
        <w:outlineLvl w:val="0"/>
        <w:rPr>
          <w:rFonts w:ascii="Arial" w:hAnsi="Arial" w:cs="Arial"/>
          <w:b/>
          <w:bCs/>
          <w:i/>
          <w:kern w:val="32"/>
          <w:szCs w:val="32"/>
        </w:rPr>
      </w:pPr>
    </w:p>
    <w:p w:rsidR="001769FA" w:rsidRPr="00A12C7A" w:rsidRDefault="001769FA" w:rsidP="001769FA">
      <w:pPr>
        <w:jc w:val="center"/>
        <w:rPr>
          <w:b/>
        </w:rPr>
      </w:pPr>
      <w:r w:rsidRPr="00A12C7A">
        <w:rPr>
          <w:b/>
        </w:rPr>
        <w:t>Sebring Gas Systems</w:t>
      </w:r>
    </w:p>
    <w:p w:rsidR="001769FA" w:rsidRPr="00A12C7A" w:rsidRDefault="001769FA" w:rsidP="001769FA">
      <w:pPr>
        <w:jc w:val="center"/>
        <w:rPr>
          <w:b/>
        </w:rPr>
      </w:pPr>
      <w:r w:rsidRPr="00A12C7A">
        <w:rPr>
          <w:b/>
        </w:rPr>
        <w:t>Docket No. 20190083-GU</w:t>
      </w:r>
    </w:p>
    <w:p w:rsidR="001769FA" w:rsidRPr="00A12C7A" w:rsidRDefault="001769FA" w:rsidP="001769FA">
      <w:pPr>
        <w:jc w:val="center"/>
        <w:rPr>
          <w:b/>
        </w:rPr>
      </w:pPr>
      <w:r w:rsidRPr="00A12C7A">
        <w:rPr>
          <w:b/>
        </w:rPr>
        <w:t>Rate Base Calculation</w:t>
      </w:r>
    </w:p>
    <w:tbl>
      <w:tblPr>
        <w:tblW w:w="9653" w:type="dxa"/>
        <w:tblInd w:w="93" w:type="dxa"/>
        <w:tblLook w:val="04A0" w:firstRow="1" w:lastRow="0" w:firstColumn="1" w:lastColumn="0" w:noHBand="0" w:noVBand="1"/>
      </w:tblPr>
      <w:tblGrid>
        <w:gridCol w:w="4816"/>
        <w:gridCol w:w="1720"/>
        <w:gridCol w:w="1750"/>
        <w:gridCol w:w="1750"/>
      </w:tblGrid>
      <w:tr w:rsidR="001769FA" w:rsidRPr="001769FA" w:rsidTr="00685941">
        <w:trPr>
          <w:trHeight w:val="531"/>
        </w:trPr>
        <w:tc>
          <w:tcPr>
            <w:tcW w:w="4816" w:type="dxa"/>
            <w:tcBorders>
              <w:top w:val="single" w:sz="8" w:space="0" w:color="auto"/>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 </w:t>
            </w:r>
          </w:p>
        </w:tc>
        <w:tc>
          <w:tcPr>
            <w:tcW w:w="1720" w:type="dxa"/>
            <w:tcBorders>
              <w:top w:val="single" w:sz="8" w:space="0" w:color="auto"/>
              <w:left w:val="nil"/>
              <w:bottom w:val="nil"/>
              <w:right w:val="nil"/>
            </w:tcBorders>
            <w:shd w:val="clear" w:color="auto" w:fill="auto"/>
            <w:vAlign w:val="bottom"/>
            <w:hideMark/>
          </w:tcPr>
          <w:p w:rsidR="001769FA" w:rsidRPr="001769FA" w:rsidRDefault="001769FA" w:rsidP="001769FA">
            <w:pPr>
              <w:jc w:val="center"/>
              <w:rPr>
                <w:color w:val="000000"/>
              </w:rPr>
            </w:pPr>
            <w:r w:rsidRPr="001769FA">
              <w:rPr>
                <w:color w:val="000000"/>
              </w:rPr>
              <w:t xml:space="preserve">COMPANY </w:t>
            </w:r>
            <w:r w:rsidRPr="001769FA">
              <w:rPr>
                <w:color w:val="000000"/>
                <w:u w:val="single"/>
              </w:rPr>
              <w:t>ADJUSTED</w:t>
            </w:r>
          </w:p>
        </w:tc>
        <w:tc>
          <w:tcPr>
            <w:tcW w:w="1397" w:type="dxa"/>
            <w:tcBorders>
              <w:top w:val="single" w:sz="8" w:space="0" w:color="auto"/>
              <w:left w:val="nil"/>
              <w:bottom w:val="nil"/>
              <w:right w:val="nil"/>
            </w:tcBorders>
            <w:shd w:val="clear" w:color="auto" w:fill="auto"/>
            <w:vAlign w:val="bottom"/>
            <w:hideMark/>
          </w:tcPr>
          <w:p w:rsidR="001769FA" w:rsidRPr="001769FA" w:rsidRDefault="00A12C7A" w:rsidP="001769FA">
            <w:pPr>
              <w:jc w:val="center"/>
              <w:rPr>
                <w:color w:val="000000"/>
                <w:u w:val="single"/>
              </w:rPr>
            </w:pPr>
            <w:r w:rsidRPr="00A12C7A">
              <w:rPr>
                <w:color w:val="000000"/>
              </w:rPr>
              <w:t>COMMISSION</w:t>
            </w:r>
            <w:r w:rsidR="001769FA" w:rsidRPr="001769FA">
              <w:rPr>
                <w:color w:val="000000"/>
                <w:u w:val="single"/>
              </w:rPr>
              <w:t xml:space="preserve"> ADJS.</w:t>
            </w:r>
          </w:p>
        </w:tc>
        <w:tc>
          <w:tcPr>
            <w:tcW w:w="1720" w:type="dxa"/>
            <w:tcBorders>
              <w:top w:val="single" w:sz="8" w:space="0" w:color="auto"/>
              <w:left w:val="nil"/>
              <w:bottom w:val="nil"/>
              <w:right w:val="single" w:sz="8" w:space="0" w:color="auto"/>
            </w:tcBorders>
            <w:shd w:val="clear" w:color="auto" w:fill="auto"/>
            <w:vAlign w:val="bottom"/>
            <w:hideMark/>
          </w:tcPr>
          <w:p w:rsidR="001769FA" w:rsidRPr="001769FA" w:rsidRDefault="00A12C7A" w:rsidP="001769FA">
            <w:pPr>
              <w:jc w:val="center"/>
              <w:rPr>
                <w:color w:val="000000"/>
              </w:rPr>
            </w:pPr>
            <w:r w:rsidRPr="00A12C7A">
              <w:rPr>
                <w:color w:val="000000"/>
              </w:rPr>
              <w:t>COMMISSION</w:t>
            </w:r>
            <w:r w:rsidR="001769FA" w:rsidRPr="001769FA">
              <w:rPr>
                <w:color w:val="000000"/>
              </w:rPr>
              <w:t xml:space="preserve"> </w:t>
            </w:r>
            <w:r w:rsidR="001769FA" w:rsidRPr="001769FA">
              <w:rPr>
                <w:color w:val="000000"/>
                <w:u w:val="single"/>
              </w:rPr>
              <w:t>ADJUSTED</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 </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397"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rPr>
            </w:pPr>
            <w:r w:rsidRPr="001769FA">
              <w:rPr>
                <w:color w:val="000000"/>
              </w:rPr>
              <w:t> </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b/>
                <w:bCs/>
                <w:color w:val="000000"/>
              </w:rPr>
            </w:pPr>
            <w:r w:rsidRPr="001769FA">
              <w:rPr>
                <w:b/>
                <w:bCs/>
                <w:color w:val="000000"/>
              </w:rPr>
              <w:t>Utility Plant</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397"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rPr>
            </w:pPr>
            <w:r w:rsidRPr="001769FA">
              <w:rPr>
                <w:color w:val="000000"/>
              </w:rPr>
              <w:t> </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Plant in Service</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jc w:val="right"/>
              <w:rPr>
                <w:color w:val="000000"/>
              </w:rPr>
            </w:pPr>
            <w:r w:rsidRPr="001769FA">
              <w:rPr>
                <w:color w:val="000000"/>
              </w:rPr>
              <w:t xml:space="preserve">$7,946,544 </w:t>
            </w:r>
          </w:p>
        </w:tc>
        <w:tc>
          <w:tcPr>
            <w:tcW w:w="1397"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rPr>
            </w:pPr>
            <w:r w:rsidRPr="001769FA">
              <w:rPr>
                <w:color w:val="000000"/>
              </w:rPr>
              <w:t xml:space="preserve">$7,928,320 </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 xml:space="preserve">    376.1 Mains -Plastic</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397" w:type="dxa"/>
            <w:tcBorders>
              <w:top w:val="nil"/>
              <w:left w:val="nil"/>
              <w:bottom w:val="nil"/>
              <w:right w:val="nil"/>
            </w:tcBorders>
            <w:shd w:val="clear" w:color="auto" w:fill="auto"/>
            <w:noWrap/>
            <w:vAlign w:val="bottom"/>
            <w:hideMark/>
          </w:tcPr>
          <w:p w:rsidR="001769FA" w:rsidRPr="001769FA" w:rsidRDefault="001769FA" w:rsidP="001769FA">
            <w:pPr>
              <w:jc w:val="right"/>
              <w:rPr>
                <w:color w:val="000000"/>
              </w:rPr>
            </w:pPr>
            <w:r w:rsidRPr="001769FA">
              <w:rPr>
                <w:color w:val="000000"/>
              </w:rPr>
              <w:t>($13,804)</w:t>
            </w: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rPr>
            </w:pPr>
            <w:r w:rsidRPr="001769FA">
              <w:rPr>
                <w:color w:val="000000"/>
              </w:rPr>
              <w:t> </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 xml:space="preserve">    380.1 Services- Plastic</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397" w:type="dxa"/>
            <w:tcBorders>
              <w:top w:val="nil"/>
              <w:left w:val="nil"/>
              <w:bottom w:val="nil"/>
              <w:right w:val="nil"/>
            </w:tcBorders>
            <w:shd w:val="clear" w:color="auto" w:fill="auto"/>
            <w:noWrap/>
            <w:vAlign w:val="bottom"/>
            <w:hideMark/>
          </w:tcPr>
          <w:p w:rsidR="001769FA" w:rsidRPr="001769FA" w:rsidRDefault="001769FA" w:rsidP="001769FA">
            <w:pPr>
              <w:jc w:val="right"/>
              <w:rPr>
                <w:color w:val="000000"/>
              </w:rPr>
            </w:pPr>
            <w:r w:rsidRPr="001769FA">
              <w:rPr>
                <w:color w:val="000000"/>
              </w:rPr>
              <w:t>(4,422)</w:t>
            </w: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rPr>
            </w:pPr>
            <w:r w:rsidRPr="001769FA">
              <w:rPr>
                <w:color w:val="000000"/>
              </w:rPr>
              <w:t> </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 </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397"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rPr>
            </w:pPr>
            <w:r w:rsidRPr="001769FA">
              <w:rPr>
                <w:color w:val="000000"/>
              </w:rPr>
              <w:t> </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CWIP</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jc w:val="right"/>
              <w:rPr>
                <w:color w:val="000000"/>
                <w:u w:val="single"/>
              </w:rPr>
            </w:pPr>
            <w:r w:rsidRPr="001769FA">
              <w:rPr>
                <w:color w:val="000000"/>
                <w:u w:val="single"/>
              </w:rPr>
              <w:t xml:space="preserve">0 </w:t>
            </w:r>
          </w:p>
        </w:tc>
        <w:tc>
          <w:tcPr>
            <w:tcW w:w="1397"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u w:val="single"/>
              </w:rPr>
            </w:pPr>
            <w:r w:rsidRPr="001769FA">
              <w:rPr>
                <w:color w:val="000000"/>
                <w:u w:val="single"/>
              </w:rPr>
              <w:t xml:space="preserve">0 </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 </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397"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rPr>
            </w:pPr>
            <w:r w:rsidRPr="001769FA">
              <w:rPr>
                <w:color w:val="000000"/>
              </w:rPr>
              <w:t> </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 xml:space="preserve">Total Utility Plant </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jc w:val="right"/>
              <w:rPr>
                <w:color w:val="000000"/>
              </w:rPr>
            </w:pPr>
            <w:r w:rsidRPr="001769FA">
              <w:rPr>
                <w:color w:val="000000"/>
              </w:rPr>
              <w:t xml:space="preserve">$7,946,544 </w:t>
            </w:r>
          </w:p>
        </w:tc>
        <w:tc>
          <w:tcPr>
            <w:tcW w:w="1397" w:type="dxa"/>
            <w:tcBorders>
              <w:top w:val="nil"/>
              <w:left w:val="nil"/>
              <w:bottom w:val="nil"/>
              <w:right w:val="nil"/>
            </w:tcBorders>
            <w:shd w:val="clear" w:color="auto" w:fill="auto"/>
            <w:noWrap/>
            <w:vAlign w:val="bottom"/>
            <w:hideMark/>
          </w:tcPr>
          <w:p w:rsidR="001769FA" w:rsidRPr="001769FA" w:rsidRDefault="001769FA" w:rsidP="001769FA">
            <w:pPr>
              <w:jc w:val="right"/>
              <w:rPr>
                <w:color w:val="000000"/>
              </w:rPr>
            </w:pPr>
            <w:r w:rsidRPr="001769FA">
              <w:rPr>
                <w:color w:val="000000"/>
              </w:rPr>
              <w:t>($18,226)</w:t>
            </w: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rPr>
            </w:pPr>
            <w:r w:rsidRPr="001769FA">
              <w:rPr>
                <w:color w:val="000000"/>
              </w:rPr>
              <w:t xml:space="preserve">$7,928,320 </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 </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397"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rPr>
            </w:pPr>
            <w:r w:rsidRPr="001769FA">
              <w:rPr>
                <w:color w:val="000000"/>
              </w:rPr>
              <w:t> </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Accum. Depr. And Amor. - Plant in Service</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jc w:val="right"/>
              <w:rPr>
                <w:color w:val="000000"/>
              </w:rPr>
            </w:pPr>
            <w:r w:rsidRPr="001769FA">
              <w:rPr>
                <w:color w:val="000000"/>
              </w:rPr>
              <w:t>($3,036,771)</w:t>
            </w:r>
          </w:p>
        </w:tc>
        <w:tc>
          <w:tcPr>
            <w:tcW w:w="1397"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rPr>
            </w:pPr>
            <w:r w:rsidRPr="001769FA">
              <w:rPr>
                <w:color w:val="000000"/>
              </w:rPr>
              <w:t>($3,041,557)</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 xml:space="preserve">    376.1 Mains - Plastic</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397" w:type="dxa"/>
            <w:tcBorders>
              <w:top w:val="nil"/>
              <w:left w:val="nil"/>
              <w:bottom w:val="nil"/>
              <w:right w:val="nil"/>
            </w:tcBorders>
            <w:shd w:val="clear" w:color="auto" w:fill="auto"/>
            <w:noWrap/>
            <w:vAlign w:val="bottom"/>
            <w:hideMark/>
          </w:tcPr>
          <w:p w:rsidR="001769FA" w:rsidRPr="001769FA" w:rsidRDefault="001769FA" w:rsidP="001769FA">
            <w:pPr>
              <w:jc w:val="right"/>
              <w:rPr>
                <w:color w:val="000000"/>
              </w:rPr>
            </w:pPr>
            <w:r w:rsidRPr="001769FA">
              <w:rPr>
                <w:color w:val="000000"/>
              </w:rPr>
              <w:t xml:space="preserve">1,767 </w:t>
            </w: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rPr>
            </w:pPr>
            <w:r w:rsidRPr="001769FA">
              <w:rPr>
                <w:color w:val="000000"/>
              </w:rPr>
              <w:t> </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 xml:space="preserve">    380.1 Services - Plastic</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397" w:type="dxa"/>
            <w:tcBorders>
              <w:top w:val="nil"/>
              <w:left w:val="nil"/>
              <w:bottom w:val="nil"/>
              <w:right w:val="nil"/>
            </w:tcBorders>
            <w:shd w:val="clear" w:color="auto" w:fill="auto"/>
            <w:noWrap/>
            <w:vAlign w:val="bottom"/>
            <w:hideMark/>
          </w:tcPr>
          <w:p w:rsidR="001769FA" w:rsidRPr="001769FA" w:rsidRDefault="001769FA" w:rsidP="001769FA">
            <w:pPr>
              <w:jc w:val="right"/>
              <w:rPr>
                <w:color w:val="000000"/>
              </w:rPr>
            </w:pPr>
            <w:r w:rsidRPr="001769FA">
              <w:rPr>
                <w:color w:val="000000"/>
              </w:rPr>
              <w:t xml:space="preserve">2,776 </w:t>
            </w: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rPr>
            </w:pPr>
            <w:r w:rsidRPr="001769FA">
              <w:rPr>
                <w:color w:val="000000"/>
              </w:rPr>
              <w:t> </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 xml:space="preserve">    392 Transportation Equip- Light Trucks</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397" w:type="dxa"/>
            <w:tcBorders>
              <w:top w:val="nil"/>
              <w:left w:val="nil"/>
              <w:bottom w:val="nil"/>
              <w:right w:val="nil"/>
            </w:tcBorders>
            <w:shd w:val="clear" w:color="auto" w:fill="auto"/>
            <w:noWrap/>
            <w:vAlign w:val="bottom"/>
            <w:hideMark/>
          </w:tcPr>
          <w:p w:rsidR="001769FA" w:rsidRPr="001769FA" w:rsidRDefault="001769FA" w:rsidP="001769FA">
            <w:pPr>
              <w:jc w:val="right"/>
              <w:rPr>
                <w:color w:val="000000"/>
              </w:rPr>
            </w:pPr>
            <w:r w:rsidRPr="001769FA">
              <w:rPr>
                <w:color w:val="000000"/>
              </w:rPr>
              <w:t>(9,330)</w:t>
            </w: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rPr>
            </w:pPr>
            <w:r w:rsidRPr="001769FA">
              <w:rPr>
                <w:color w:val="000000"/>
              </w:rPr>
              <w:t> </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 </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397"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rPr>
            </w:pPr>
            <w:r w:rsidRPr="001769FA">
              <w:rPr>
                <w:color w:val="000000"/>
              </w:rPr>
              <w:t> </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Customer Advances for Constr.</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jc w:val="right"/>
              <w:rPr>
                <w:color w:val="000000"/>
                <w:u w:val="single"/>
              </w:rPr>
            </w:pPr>
            <w:r w:rsidRPr="001769FA">
              <w:rPr>
                <w:color w:val="000000"/>
                <w:u w:val="single"/>
              </w:rPr>
              <w:t>($12,928)</w:t>
            </w:r>
          </w:p>
        </w:tc>
        <w:tc>
          <w:tcPr>
            <w:tcW w:w="1397" w:type="dxa"/>
            <w:tcBorders>
              <w:top w:val="nil"/>
              <w:left w:val="nil"/>
              <w:bottom w:val="nil"/>
              <w:right w:val="nil"/>
            </w:tcBorders>
            <w:shd w:val="clear" w:color="auto" w:fill="auto"/>
            <w:noWrap/>
            <w:vAlign w:val="bottom"/>
            <w:hideMark/>
          </w:tcPr>
          <w:p w:rsidR="001769FA" w:rsidRPr="001769FA" w:rsidRDefault="001769FA" w:rsidP="001769FA">
            <w:pPr>
              <w:rPr>
                <w:color w:val="000000"/>
                <w:u w:val="single"/>
              </w:rPr>
            </w:pP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u w:val="single"/>
              </w:rPr>
            </w:pPr>
            <w:r w:rsidRPr="001769FA">
              <w:rPr>
                <w:color w:val="000000"/>
                <w:u w:val="single"/>
              </w:rPr>
              <w:t>($12,928)</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 </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397"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rPr>
            </w:pPr>
            <w:r w:rsidRPr="001769FA">
              <w:rPr>
                <w:color w:val="000000"/>
              </w:rPr>
              <w:t> </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Total Accum. Depr. And Cust. Adv.</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jc w:val="right"/>
              <w:rPr>
                <w:color w:val="000000"/>
                <w:u w:val="single"/>
              </w:rPr>
            </w:pPr>
            <w:r w:rsidRPr="001769FA">
              <w:rPr>
                <w:color w:val="000000"/>
                <w:u w:val="single"/>
              </w:rPr>
              <w:t>($3,049,699)</w:t>
            </w:r>
          </w:p>
        </w:tc>
        <w:tc>
          <w:tcPr>
            <w:tcW w:w="1397" w:type="dxa"/>
            <w:tcBorders>
              <w:top w:val="nil"/>
              <w:left w:val="nil"/>
              <w:bottom w:val="nil"/>
              <w:right w:val="nil"/>
            </w:tcBorders>
            <w:shd w:val="clear" w:color="auto" w:fill="auto"/>
            <w:noWrap/>
            <w:vAlign w:val="bottom"/>
            <w:hideMark/>
          </w:tcPr>
          <w:p w:rsidR="001769FA" w:rsidRPr="001769FA" w:rsidRDefault="001769FA" w:rsidP="001769FA">
            <w:pPr>
              <w:jc w:val="right"/>
              <w:rPr>
                <w:color w:val="000000"/>
                <w:u w:val="single"/>
              </w:rPr>
            </w:pPr>
            <w:r w:rsidRPr="001769FA">
              <w:rPr>
                <w:color w:val="000000"/>
                <w:u w:val="single"/>
              </w:rPr>
              <w:t>($4,787)</w:t>
            </w: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u w:val="single"/>
              </w:rPr>
            </w:pPr>
            <w:r w:rsidRPr="001769FA">
              <w:rPr>
                <w:color w:val="000000"/>
                <w:u w:val="single"/>
              </w:rPr>
              <w:t>($3,054,485)</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 </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rPr>
                <w:color w:val="000000"/>
                <w:u w:val="double"/>
              </w:rPr>
            </w:pPr>
          </w:p>
        </w:tc>
        <w:tc>
          <w:tcPr>
            <w:tcW w:w="1397" w:type="dxa"/>
            <w:tcBorders>
              <w:top w:val="nil"/>
              <w:left w:val="nil"/>
              <w:bottom w:val="nil"/>
              <w:right w:val="nil"/>
            </w:tcBorders>
            <w:shd w:val="clear" w:color="auto" w:fill="auto"/>
            <w:noWrap/>
            <w:vAlign w:val="bottom"/>
            <w:hideMark/>
          </w:tcPr>
          <w:p w:rsidR="001769FA" w:rsidRPr="001769FA" w:rsidRDefault="001769FA" w:rsidP="001769FA">
            <w:pPr>
              <w:rPr>
                <w:color w:val="000000"/>
                <w:u w:val="double"/>
              </w:rPr>
            </w:pP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u w:val="double"/>
              </w:rPr>
            </w:pP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 xml:space="preserve">Net Utility plant </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jc w:val="right"/>
              <w:rPr>
                <w:color w:val="000000"/>
              </w:rPr>
            </w:pPr>
            <w:r w:rsidRPr="001769FA">
              <w:rPr>
                <w:color w:val="000000"/>
              </w:rPr>
              <w:t xml:space="preserve">$4,896,845 </w:t>
            </w:r>
          </w:p>
        </w:tc>
        <w:tc>
          <w:tcPr>
            <w:tcW w:w="1397"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rPr>
            </w:pPr>
            <w:r w:rsidRPr="001769FA">
              <w:rPr>
                <w:color w:val="000000"/>
              </w:rPr>
              <w:t xml:space="preserve">$4,873,835 </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 </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397"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rPr>
            </w:pPr>
            <w:r w:rsidRPr="001769FA">
              <w:rPr>
                <w:color w:val="000000"/>
              </w:rPr>
              <w:t> </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Working Capital Allowance</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jc w:val="right"/>
              <w:rPr>
                <w:color w:val="000000"/>
                <w:u w:val="double"/>
              </w:rPr>
            </w:pPr>
            <w:r w:rsidRPr="001769FA">
              <w:rPr>
                <w:color w:val="000000"/>
                <w:u w:val="double"/>
              </w:rPr>
              <w:t>$147,518</w:t>
            </w:r>
          </w:p>
        </w:tc>
        <w:tc>
          <w:tcPr>
            <w:tcW w:w="1397" w:type="dxa"/>
            <w:tcBorders>
              <w:top w:val="nil"/>
              <w:left w:val="nil"/>
              <w:bottom w:val="nil"/>
              <w:right w:val="nil"/>
            </w:tcBorders>
            <w:shd w:val="clear" w:color="auto" w:fill="auto"/>
            <w:noWrap/>
            <w:vAlign w:val="bottom"/>
            <w:hideMark/>
          </w:tcPr>
          <w:p w:rsidR="001769FA" w:rsidRPr="001769FA" w:rsidRDefault="001769FA" w:rsidP="001769FA">
            <w:pPr>
              <w:rPr>
                <w:color w:val="000000"/>
                <w:u w:val="double"/>
              </w:rPr>
            </w:pPr>
          </w:p>
        </w:tc>
        <w:tc>
          <w:tcPr>
            <w:tcW w:w="1720" w:type="dxa"/>
            <w:tcBorders>
              <w:top w:val="nil"/>
              <w:left w:val="nil"/>
              <w:bottom w:val="nil"/>
              <w:right w:val="single" w:sz="8" w:space="0" w:color="auto"/>
            </w:tcBorders>
            <w:shd w:val="clear" w:color="000000" w:fill="FFFFFF"/>
            <w:noWrap/>
            <w:vAlign w:val="bottom"/>
            <w:hideMark/>
          </w:tcPr>
          <w:p w:rsidR="001769FA" w:rsidRPr="001769FA" w:rsidRDefault="001769FA" w:rsidP="001769FA">
            <w:pPr>
              <w:jc w:val="right"/>
              <w:rPr>
                <w:color w:val="000000"/>
                <w:u w:val="double"/>
              </w:rPr>
            </w:pPr>
            <w:r w:rsidRPr="001769FA">
              <w:rPr>
                <w:color w:val="000000"/>
                <w:u w:val="double"/>
              </w:rPr>
              <w:t>$147,518</w:t>
            </w:r>
          </w:p>
        </w:tc>
      </w:tr>
      <w:tr w:rsidR="001769FA" w:rsidRPr="001769FA" w:rsidTr="00685941">
        <w:trPr>
          <w:trHeight w:val="265"/>
        </w:trPr>
        <w:tc>
          <w:tcPr>
            <w:tcW w:w="4816"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rPr>
            </w:pPr>
            <w:r w:rsidRPr="001769FA">
              <w:rPr>
                <w:color w:val="000000"/>
              </w:rPr>
              <w:t> </w:t>
            </w:r>
          </w:p>
        </w:tc>
        <w:tc>
          <w:tcPr>
            <w:tcW w:w="1720"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397" w:type="dxa"/>
            <w:tcBorders>
              <w:top w:val="nil"/>
              <w:left w:val="nil"/>
              <w:bottom w:val="nil"/>
              <w:right w:val="nil"/>
            </w:tcBorders>
            <w:shd w:val="clear" w:color="auto" w:fill="auto"/>
            <w:noWrap/>
            <w:vAlign w:val="bottom"/>
            <w:hideMark/>
          </w:tcPr>
          <w:p w:rsidR="001769FA" w:rsidRPr="001769FA" w:rsidRDefault="001769FA" w:rsidP="001769FA">
            <w:pPr>
              <w:rPr>
                <w:color w:val="000000"/>
              </w:rPr>
            </w:pPr>
          </w:p>
        </w:tc>
        <w:tc>
          <w:tcPr>
            <w:tcW w:w="1720"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rPr>
            </w:pPr>
            <w:r w:rsidRPr="001769FA">
              <w:rPr>
                <w:color w:val="000000"/>
              </w:rPr>
              <w:t> </w:t>
            </w:r>
          </w:p>
        </w:tc>
      </w:tr>
      <w:tr w:rsidR="001769FA" w:rsidRPr="001769FA" w:rsidTr="00685941">
        <w:trPr>
          <w:trHeight w:val="278"/>
        </w:trPr>
        <w:tc>
          <w:tcPr>
            <w:tcW w:w="4816" w:type="dxa"/>
            <w:tcBorders>
              <w:top w:val="nil"/>
              <w:left w:val="single" w:sz="8" w:space="0" w:color="auto"/>
              <w:bottom w:val="single" w:sz="8" w:space="0" w:color="auto"/>
              <w:right w:val="nil"/>
            </w:tcBorders>
            <w:shd w:val="clear" w:color="auto" w:fill="auto"/>
            <w:noWrap/>
            <w:vAlign w:val="bottom"/>
            <w:hideMark/>
          </w:tcPr>
          <w:p w:rsidR="001769FA" w:rsidRPr="001769FA" w:rsidRDefault="001769FA" w:rsidP="001769FA">
            <w:pPr>
              <w:rPr>
                <w:color w:val="000000"/>
              </w:rPr>
            </w:pPr>
            <w:r w:rsidRPr="001769FA">
              <w:rPr>
                <w:color w:val="000000"/>
              </w:rPr>
              <w:t>Total Rate Base</w:t>
            </w:r>
          </w:p>
        </w:tc>
        <w:tc>
          <w:tcPr>
            <w:tcW w:w="1720" w:type="dxa"/>
            <w:tcBorders>
              <w:top w:val="nil"/>
              <w:left w:val="nil"/>
              <w:bottom w:val="single" w:sz="8" w:space="0" w:color="auto"/>
              <w:right w:val="nil"/>
            </w:tcBorders>
            <w:shd w:val="clear" w:color="auto" w:fill="auto"/>
            <w:noWrap/>
            <w:vAlign w:val="bottom"/>
            <w:hideMark/>
          </w:tcPr>
          <w:p w:rsidR="001769FA" w:rsidRPr="001769FA" w:rsidRDefault="001769FA" w:rsidP="001769FA">
            <w:pPr>
              <w:jc w:val="right"/>
              <w:rPr>
                <w:color w:val="000000"/>
                <w:u w:val="double"/>
              </w:rPr>
            </w:pPr>
            <w:r w:rsidRPr="001769FA">
              <w:rPr>
                <w:color w:val="000000"/>
                <w:u w:val="double"/>
              </w:rPr>
              <w:t xml:space="preserve">$5,044,363 </w:t>
            </w:r>
          </w:p>
        </w:tc>
        <w:tc>
          <w:tcPr>
            <w:tcW w:w="1397" w:type="dxa"/>
            <w:tcBorders>
              <w:top w:val="nil"/>
              <w:left w:val="nil"/>
              <w:bottom w:val="single" w:sz="8" w:space="0" w:color="auto"/>
              <w:right w:val="nil"/>
            </w:tcBorders>
            <w:shd w:val="clear" w:color="auto" w:fill="auto"/>
            <w:noWrap/>
            <w:vAlign w:val="bottom"/>
            <w:hideMark/>
          </w:tcPr>
          <w:p w:rsidR="001769FA" w:rsidRPr="001769FA" w:rsidRDefault="001769FA" w:rsidP="001769FA">
            <w:pPr>
              <w:jc w:val="right"/>
              <w:rPr>
                <w:color w:val="000000"/>
                <w:u w:val="double"/>
              </w:rPr>
            </w:pPr>
            <w:r w:rsidRPr="001769FA">
              <w:rPr>
                <w:color w:val="000000"/>
                <w:u w:val="double"/>
              </w:rPr>
              <w:t>($23,010)</w:t>
            </w:r>
          </w:p>
        </w:tc>
        <w:tc>
          <w:tcPr>
            <w:tcW w:w="1720" w:type="dxa"/>
            <w:tcBorders>
              <w:top w:val="nil"/>
              <w:left w:val="nil"/>
              <w:bottom w:val="single" w:sz="8" w:space="0" w:color="auto"/>
              <w:right w:val="single" w:sz="8" w:space="0" w:color="auto"/>
            </w:tcBorders>
            <w:shd w:val="clear" w:color="auto" w:fill="auto"/>
            <w:noWrap/>
            <w:vAlign w:val="bottom"/>
            <w:hideMark/>
          </w:tcPr>
          <w:p w:rsidR="001769FA" w:rsidRPr="001769FA" w:rsidRDefault="001769FA" w:rsidP="001769FA">
            <w:pPr>
              <w:jc w:val="right"/>
              <w:rPr>
                <w:color w:val="000000"/>
                <w:u w:val="double"/>
              </w:rPr>
            </w:pPr>
            <w:r w:rsidRPr="001769FA">
              <w:rPr>
                <w:color w:val="000000"/>
                <w:u w:val="double"/>
              </w:rPr>
              <w:t xml:space="preserve">$5,021,353 </w:t>
            </w:r>
          </w:p>
        </w:tc>
      </w:tr>
    </w:tbl>
    <w:p w:rsidR="001769FA" w:rsidRPr="001769FA" w:rsidRDefault="001769FA" w:rsidP="001769FA">
      <w:pPr>
        <w:tabs>
          <w:tab w:val="left" w:pos="3561"/>
        </w:tabs>
        <w:jc w:val="both"/>
      </w:pPr>
      <w:r w:rsidRPr="001769FA">
        <w:t>Source: Sebring’s proposed 2020 PTY Rate Base amount as shown on Revised MFR Schedule G1-1.</w:t>
      </w:r>
    </w:p>
    <w:p w:rsidR="001769FA" w:rsidRDefault="001769FA" w:rsidP="001769FA">
      <w:pPr>
        <w:pStyle w:val="OrderBody"/>
      </w:pPr>
      <w:r w:rsidRPr="001769FA">
        <w:t>*May not sum due to rounding.</w:t>
      </w:r>
    </w:p>
    <w:p w:rsidR="001769FA" w:rsidRDefault="001769FA" w:rsidP="001769FA">
      <w:pPr>
        <w:pStyle w:val="OrderBody"/>
      </w:pPr>
    </w:p>
    <w:p w:rsidR="001769FA" w:rsidRDefault="001769FA" w:rsidP="001769FA">
      <w:pPr>
        <w:pStyle w:val="OrderBody"/>
        <w:sectPr w:rsidR="001769FA">
          <w:headerReference w:type="even" r:id="rId8"/>
          <w:headerReference w:type="default" r:id="rId9"/>
          <w:headerReference w:type="first" r:id="rId10"/>
          <w:pgSz w:w="12240" w:h="15840" w:code="1"/>
          <w:pgMar w:top="1440" w:right="1440" w:bottom="1440" w:left="1440" w:header="720" w:footer="720" w:gutter="0"/>
          <w:cols w:space="720"/>
          <w:titlePg/>
          <w:docGrid w:linePitch="360"/>
        </w:sectPr>
      </w:pPr>
    </w:p>
    <w:p w:rsidR="001769FA" w:rsidRPr="001769FA" w:rsidRDefault="001769FA" w:rsidP="001769FA">
      <w:pPr>
        <w:spacing w:after="240"/>
        <w:jc w:val="both"/>
        <w:outlineLvl w:val="0"/>
        <w:rPr>
          <w:rFonts w:ascii="Arial" w:hAnsi="Arial" w:cs="Arial"/>
          <w:b/>
          <w:bCs/>
          <w:i/>
          <w:kern w:val="32"/>
          <w:szCs w:val="32"/>
        </w:rPr>
      </w:pPr>
    </w:p>
    <w:p w:rsidR="001769FA" w:rsidRPr="00A12C7A" w:rsidRDefault="001769FA" w:rsidP="001769FA">
      <w:pPr>
        <w:jc w:val="center"/>
        <w:rPr>
          <w:b/>
        </w:rPr>
      </w:pPr>
      <w:r w:rsidRPr="00A12C7A">
        <w:rPr>
          <w:b/>
        </w:rPr>
        <w:t>Sebring Gas Systems</w:t>
      </w:r>
    </w:p>
    <w:p w:rsidR="001769FA" w:rsidRPr="00A12C7A" w:rsidRDefault="001769FA" w:rsidP="001769FA">
      <w:pPr>
        <w:jc w:val="center"/>
        <w:rPr>
          <w:b/>
        </w:rPr>
      </w:pPr>
      <w:r w:rsidRPr="00A12C7A">
        <w:rPr>
          <w:b/>
        </w:rPr>
        <w:t>Docket No. 20190083-GU</w:t>
      </w:r>
    </w:p>
    <w:p w:rsidR="001769FA" w:rsidRPr="00A12C7A" w:rsidRDefault="001769FA" w:rsidP="001769FA">
      <w:pPr>
        <w:jc w:val="center"/>
        <w:rPr>
          <w:rFonts w:eastAsiaTheme="minorHAnsi"/>
          <w:sz w:val="22"/>
          <w:szCs w:val="22"/>
        </w:rPr>
      </w:pPr>
      <w:r w:rsidRPr="00A12C7A">
        <w:rPr>
          <w:b/>
        </w:rPr>
        <w:t>Working Capital Calculation</w:t>
      </w:r>
    </w:p>
    <w:tbl>
      <w:tblPr>
        <w:tblW w:w="9540" w:type="dxa"/>
        <w:tblInd w:w="108" w:type="dxa"/>
        <w:tblLook w:val="04A0" w:firstRow="1" w:lastRow="0" w:firstColumn="1" w:lastColumn="0" w:noHBand="0" w:noVBand="1"/>
      </w:tblPr>
      <w:tblGrid>
        <w:gridCol w:w="6201"/>
        <w:gridCol w:w="3339"/>
      </w:tblGrid>
      <w:tr w:rsidR="001769FA" w:rsidRPr="001769FA" w:rsidTr="00685941">
        <w:trPr>
          <w:trHeight w:val="502"/>
        </w:trPr>
        <w:tc>
          <w:tcPr>
            <w:tcW w:w="6201" w:type="dxa"/>
            <w:tcBorders>
              <w:top w:val="single" w:sz="8" w:space="0" w:color="auto"/>
              <w:left w:val="single" w:sz="8" w:space="0" w:color="auto"/>
              <w:bottom w:val="nil"/>
              <w:right w:val="nil"/>
            </w:tcBorders>
            <w:shd w:val="clear" w:color="auto" w:fill="auto"/>
            <w:noWrap/>
            <w:vAlign w:val="bottom"/>
            <w:hideMark/>
          </w:tcPr>
          <w:p w:rsidR="001769FA" w:rsidRPr="001769FA" w:rsidRDefault="001769FA" w:rsidP="001769FA">
            <w:pPr>
              <w:jc w:val="center"/>
              <w:rPr>
                <w:color w:val="000000"/>
                <w:sz w:val="22"/>
                <w:szCs w:val="22"/>
                <w:u w:val="single"/>
              </w:rPr>
            </w:pPr>
            <w:r w:rsidRPr="001769FA">
              <w:rPr>
                <w:color w:val="000000"/>
                <w:sz w:val="22"/>
                <w:szCs w:val="22"/>
                <w:u w:val="single"/>
              </w:rPr>
              <w:t xml:space="preserve">CURRENT &amp; ACCRUED ASSETS </w:t>
            </w:r>
          </w:p>
        </w:tc>
        <w:tc>
          <w:tcPr>
            <w:tcW w:w="3339" w:type="dxa"/>
            <w:tcBorders>
              <w:top w:val="single" w:sz="8" w:space="0" w:color="auto"/>
              <w:left w:val="nil"/>
              <w:bottom w:val="nil"/>
              <w:right w:val="single" w:sz="8" w:space="0" w:color="auto"/>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 </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CASH</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rPr>
            </w:pPr>
            <w:r w:rsidRPr="001769FA">
              <w:rPr>
                <w:color w:val="000000"/>
                <w:sz w:val="22"/>
                <w:szCs w:val="22"/>
              </w:rPr>
              <w:t xml:space="preserve">$209,874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ACCOUNTS REC - NATURAL GAS</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rPr>
            </w:pPr>
            <w:r w:rsidRPr="001769FA">
              <w:rPr>
                <w:color w:val="000000"/>
                <w:sz w:val="22"/>
                <w:szCs w:val="22"/>
              </w:rPr>
              <w:t xml:space="preserve">44,089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ACCOUNTS REC - FUEL</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rPr>
            </w:pPr>
            <w:r w:rsidRPr="001769FA">
              <w:rPr>
                <w:color w:val="000000"/>
                <w:sz w:val="22"/>
                <w:szCs w:val="22"/>
              </w:rPr>
              <w:t xml:space="preserve">0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PLANT &amp; OPER. MATERIAL SUPPL</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rPr>
            </w:pPr>
            <w:r w:rsidRPr="001769FA">
              <w:rPr>
                <w:color w:val="000000"/>
                <w:sz w:val="22"/>
                <w:szCs w:val="22"/>
              </w:rPr>
              <w:t xml:space="preserve">94,018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PREPAYMENTS</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u w:val="single"/>
              </w:rPr>
            </w:pPr>
            <w:r w:rsidRPr="001769FA">
              <w:rPr>
                <w:color w:val="000000"/>
                <w:sz w:val="22"/>
                <w:szCs w:val="22"/>
                <w:u w:val="single"/>
              </w:rPr>
              <w:t xml:space="preserve">3,870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 </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jc w:val="center"/>
              <w:rPr>
                <w:color w:val="000000"/>
                <w:sz w:val="22"/>
                <w:szCs w:val="22"/>
              </w:rPr>
            </w:pPr>
            <w:r w:rsidRPr="001769FA">
              <w:rPr>
                <w:color w:val="000000"/>
                <w:sz w:val="22"/>
                <w:szCs w:val="22"/>
              </w:rPr>
              <w:t xml:space="preserve">TOTAL CURR. &amp; ACCR. ASSETS </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u w:val="double"/>
              </w:rPr>
            </w:pPr>
            <w:r w:rsidRPr="001769FA">
              <w:rPr>
                <w:color w:val="000000"/>
                <w:sz w:val="22"/>
                <w:szCs w:val="22"/>
                <w:u w:val="double"/>
              </w:rPr>
              <w:t xml:space="preserve">$351,851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 </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jc w:val="center"/>
              <w:rPr>
                <w:color w:val="000000"/>
                <w:sz w:val="22"/>
                <w:szCs w:val="22"/>
                <w:u w:val="single"/>
              </w:rPr>
            </w:pPr>
            <w:r w:rsidRPr="001769FA">
              <w:rPr>
                <w:color w:val="000000"/>
                <w:sz w:val="22"/>
                <w:szCs w:val="22"/>
                <w:u w:val="single"/>
              </w:rPr>
              <w:t xml:space="preserve">CURRENT &amp; ACCRUED LIABILITIES </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 </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ACCOUNTS PAYABLE</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rPr>
            </w:pPr>
            <w:r w:rsidRPr="001769FA">
              <w:rPr>
                <w:color w:val="000000"/>
                <w:sz w:val="22"/>
                <w:szCs w:val="22"/>
              </w:rPr>
              <w:t xml:space="preserve">$142,718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NP COKER - CURRENT</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rPr>
            </w:pPr>
            <w:r w:rsidRPr="001769FA">
              <w:rPr>
                <w:color w:val="000000"/>
                <w:sz w:val="22"/>
                <w:szCs w:val="22"/>
              </w:rPr>
              <w:t xml:space="preserve">0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FEDERAL INCOME TAXES PAYABLE</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rPr>
            </w:pPr>
            <w:r w:rsidRPr="001769FA">
              <w:rPr>
                <w:color w:val="000000"/>
                <w:sz w:val="22"/>
                <w:szCs w:val="22"/>
              </w:rPr>
              <w:t xml:space="preserve">8,540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STATE INCOME TAXES PAYABLE</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rPr>
            </w:pPr>
            <w:r w:rsidRPr="001769FA">
              <w:rPr>
                <w:color w:val="000000"/>
                <w:sz w:val="22"/>
                <w:szCs w:val="22"/>
              </w:rPr>
              <w:t xml:space="preserve">2,367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ACCRUED INTEREST PAYABLE</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rPr>
            </w:pPr>
            <w:r w:rsidRPr="001769FA">
              <w:rPr>
                <w:color w:val="000000"/>
                <w:sz w:val="22"/>
                <w:szCs w:val="22"/>
              </w:rPr>
              <w:t xml:space="preserve">32,912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INTEREST PAYABLE - CUST DEPOSITS</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rPr>
            </w:pPr>
            <w:r w:rsidRPr="001769FA">
              <w:rPr>
                <w:color w:val="000000"/>
                <w:sz w:val="22"/>
                <w:szCs w:val="22"/>
              </w:rPr>
              <w:t xml:space="preserve">2,556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 xml:space="preserve">UTILITY TAX - GROSS RECEIPTS </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rPr>
            </w:pPr>
            <w:r w:rsidRPr="001769FA">
              <w:rPr>
                <w:color w:val="000000"/>
                <w:sz w:val="22"/>
                <w:szCs w:val="22"/>
              </w:rPr>
              <w:t xml:space="preserve">2,937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REGULATORY ASSESSMENT</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rPr>
            </w:pPr>
            <w:r w:rsidRPr="001769FA">
              <w:rPr>
                <w:color w:val="000000"/>
                <w:sz w:val="22"/>
                <w:szCs w:val="22"/>
              </w:rPr>
              <w:t xml:space="preserve">1,784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REGULATORY ASSESSMENT - ECCR</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rPr>
            </w:pPr>
            <w:r w:rsidRPr="001769FA">
              <w:rPr>
                <w:color w:val="000000"/>
                <w:sz w:val="22"/>
                <w:szCs w:val="22"/>
              </w:rPr>
              <w:t xml:space="preserve">0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SALES TAX PAYABLE</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rPr>
            </w:pPr>
            <w:r w:rsidRPr="001769FA">
              <w:rPr>
                <w:color w:val="000000"/>
                <w:sz w:val="22"/>
                <w:szCs w:val="22"/>
              </w:rPr>
              <w:t xml:space="preserve">642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TANGIBLE &amp; MUT TAX PAYABLE</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u w:val="single"/>
              </w:rPr>
            </w:pPr>
            <w:r w:rsidRPr="001769FA">
              <w:rPr>
                <w:color w:val="000000"/>
                <w:sz w:val="22"/>
                <w:szCs w:val="22"/>
                <w:u w:val="single"/>
              </w:rPr>
              <w:t xml:space="preserve">9,877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 </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jc w:val="center"/>
              <w:rPr>
                <w:color w:val="000000"/>
                <w:sz w:val="22"/>
                <w:szCs w:val="22"/>
              </w:rPr>
            </w:pPr>
            <w:r w:rsidRPr="001769FA">
              <w:rPr>
                <w:color w:val="000000"/>
                <w:sz w:val="22"/>
                <w:szCs w:val="22"/>
              </w:rPr>
              <w:t>TOTAL CURR. &amp; ACCRUED LIAB.</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jc w:val="right"/>
              <w:rPr>
                <w:color w:val="000000"/>
                <w:sz w:val="22"/>
                <w:szCs w:val="22"/>
                <w:u w:val="double"/>
              </w:rPr>
            </w:pPr>
            <w:r w:rsidRPr="001769FA">
              <w:rPr>
                <w:color w:val="000000"/>
                <w:sz w:val="22"/>
                <w:szCs w:val="22"/>
                <w:u w:val="double"/>
              </w:rPr>
              <w:t xml:space="preserve">$204,333 </w:t>
            </w:r>
          </w:p>
        </w:tc>
      </w:tr>
      <w:tr w:rsidR="001769FA" w:rsidRPr="001769FA" w:rsidTr="00685941">
        <w:trPr>
          <w:trHeight w:val="250"/>
        </w:trPr>
        <w:tc>
          <w:tcPr>
            <w:tcW w:w="6201" w:type="dxa"/>
            <w:tcBorders>
              <w:top w:val="nil"/>
              <w:left w:val="single" w:sz="8" w:space="0" w:color="auto"/>
              <w:bottom w:val="nil"/>
              <w:right w:val="nil"/>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 </w:t>
            </w:r>
          </w:p>
        </w:tc>
        <w:tc>
          <w:tcPr>
            <w:tcW w:w="3339" w:type="dxa"/>
            <w:tcBorders>
              <w:top w:val="nil"/>
              <w:left w:val="nil"/>
              <w:bottom w:val="nil"/>
              <w:right w:val="single" w:sz="8" w:space="0" w:color="auto"/>
            </w:tcBorders>
            <w:shd w:val="clear" w:color="auto" w:fill="auto"/>
            <w:noWrap/>
            <w:vAlign w:val="bottom"/>
            <w:hideMark/>
          </w:tcPr>
          <w:p w:rsidR="001769FA" w:rsidRPr="001769FA" w:rsidRDefault="001769FA" w:rsidP="001769FA">
            <w:pPr>
              <w:rPr>
                <w:color w:val="000000"/>
                <w:sz w:val="22"/>
                <w:szCs w:val="22"/>
              </w:rPr>
            </w:pPr>
            <w:r w:rsidRPr="001769FA">
              <w:rPr>
                <w:color w:val="000000"/>
                <w:sz w:val="22"/>
                <w:szCs w:val="22"/>
              </w:rPr>
              <w:t> </w:t>
            </w:r>
          </w:p>
        </w:tc>
      </w:tr>
      <w:tr w:rsidR="001769FA" w:rsidRPr="001769FA" w:rsidTr="00685941">
        <w:trPr>
          <w:trHeight w:val="264"/>
        </w:trPr>
        <w:tc>
          <w:tcPr>
            <w:tcW w:w="6201" w:type="dxa"/>
            <w:tcBorders>
              <w:top w:val="nil"/>
              <w:left w:val="single" w:sz="8" w:space="0" w:color="auto"/>
              <w:bottom w:val="single" w:sz="8" w:space="0" w:color="auto"/>
              <w:right w:val="nil"/>
            </w:tcBorders>
            <w:shd w:val="clear" w:color="auto" w:fill="auto"/>
            <w:noWrap/>
            <w:vAlign w:val="bottom"/>
            <w:hideMark/>
          </w:tcPr>
          <w:p w:rsidR="001769FA" w:rsidRPr="001769FA" w:rsidRDefault="001769FA" w:rsidP="001769FA">
            <w:pPr>
              <w:jc w:val="center"/>
              <w:rPr>
                <w:color w:val="000000"/>
                <w:sz w:val="22"/>
                <w:szCs w:val="22"/>
              </w:rPr>
            </w:pPr>
            <w:r w:rsidRPr="001769FA">
              <w:rPr>
                <w:color w:val="000000"/>
                <w:sz w:val="22"/>
                <w:szCs w:val="22"/>
              </w:rPr>
              <w:t xml:space="preserve">NET WORKING CAPITAL INCLUDED IN RATE BASE </w:t>
            </w:r>
          </w:p>
        </w:tc>
        <w:tc>
          <w:tcPr>
            <w:tcW w:w="3339" w:type="dxa"/>
            <w:tcBorders>
              <w:top w:val="nil"/>
              <w:left w:val="nil"/>
              <w:bottom w:val="single" w:sz="8" w:space="0" w:color="auto"/>
              <w:right w:val="single" w:sz="8" w:space="0" w:color="auto"/>
            </w:tcBorders>
            <w:shd w:val="clear" w:color="auto" w:fill="auto"/>
            <w:noWrap/>
            <w:vAlign w:val="bottom"/>
            <w:hideMark/>
          </w:tcPr>
          <w:p w:rsidR="001769FA" w:rsidRPr="001769FA" w:rsidRDefault="001769FA" w:rsidP="001769FA">
            <w:pPr>
              <w:jc w:val="right"/>
              <w:rPr>
                <w:color w:val="000000"/>
                <w:sz w:val="22"/>
                <w:szCs w:val="22"/>
                <w:u w:val="double"/>
              </w:rPr>
            </w:pPr>
            <w:r w:rsidRPr="001769FA">
              <w:rPr>
                <w:color w:val="000000"/>
                <w:sz w:val="22"/>
                <w:szCs w:val="22"/>
                <w:u w:val="double"/>
              </w:rPr>
              <w:t>$147,518</w:t>
            </w:r>
          </w:p>
        </w:tc>
      </w:tr>
    </w:tbl>
    <w:p w:rsidR="001769FA" w:rsidRPr="001769FA" w:rsidRDefault="001769FA" w:rsidP="001769FA">
      <w:r w:rsidRPr="001769FA">
        <w:t>Source: Sebring’s proposed 2020 PTY Working Capital as shown on Revised MFR Schedule G1-3.</w:t>
      </w:r>
    </w:p>
    <w:p w:rsidR="001769FA" w:rsidRDefault="001769FA" w:rsidP="001769FA">
      <w:pPr>
        <w:pStyle w:val="OrderBody"/>
      </w:pPr>
      <w:r w:rsidRPr="001769FA">
        <w:t>*May not sum due to rounding.</w:t>
      </w:r>
    </w:p>
    <w:p w:rsidR="001769FA" w:rsidRDefault="001769FA" w:rsidP="001769FA">
      <w:pPr>
        <w:pStyle w:val="OrderBody"/>
      </w:pPr>
    </w:p>
    <w:p w:rsidR="001769FA" w:rsidRDefault="001769FA" w:rsidP="001769FA">
      <w:pPr>
        <w:pStyle w:val="OrderBody"/>
        <w:sectPr w:rsidR="001769FA">
          <w:headerReference w:type="even" r:id="rId11"/>
          <w:headerReference w:type="default" r:id="rId12"/>
          <w:headerReference w:type="first" r:id="rId13"/>
          <w:pgSz w:w="12240" w:h="15840" w:code="1"/>
          <w:pgMar w:top="1440" w:right="1440" w:bottom="1440" w:left="1440" w:header="720" w:footer="720" w:gutter="0"/>
          <w:cols w:space="720"/>
          <w:titlePg/>
          <w:docGrid w:linePitch="360"/>
        </w:sectPr>
      </w:pPr>
    </w:p>
    <w:p w:rsidR="001769FA" w:rsidRDefault="001769FA" w:rsidP="001769FA">
      <w:pPr>
        <w:pStyle w:val="IssueHeading"/>
      </w:pPr>
    </w:p>
    <w:tbl>
      <w:tblPr>
        <w:tblW w:w="14279" w:type="dxa"/>
        <w:jc w:val="center"/>
        <w:tblLook w:val="04A0" w:firstRow="1" w:lastRow="0" w:firstColumn="1" w:lastColumn="0" w:noHBand="0" w:noVBand="1"/>
      </w:tblPr>
      <w:tblGrid>
        <w:gridCol w:w="2329"/>
        <w:gridCol w:w="1127"/>
        <w:gridCol w:w="1240"/>
        <w:gridCol w:w="783"/>
        <w:gridCol w:w="1272"/>
        <w:gridCol w:w="1228"/>
        <w:gridCol w:w="1300"/>
        <w:gridCol w:w="1350"/>
        <w:gridCol w:w="1260"/>
        <w:gridCol w:w="933"/>
        <w:gridCol w:w="833"/>
        <w:gridCol w:w="1350"/>
      </w:tblGrid>
      <w:tr w:rsidR="001769FA" w:rsidRPr="00A12C7A" w:rsidTr="00685941">
        <w:trPr>
          <w:trHeight w:val="297"/>
          <w:jc w:val="center"/>
        </w:trPr>
        <w:tc>
          <w:tcPr>
            <w:tcW w:w="14279" w:type="dxa"/>
            <w:gridSpan w:val="12"/>
            <w:tcBorders>
              <w:top w:val="nil"/>
              <w:left w:val="nil"/>
              <w:bottom w:val="nil"/>
              <w:right w:val="nil"/>
            </w:tcBorders>
            <w:shd w:val="clear" w:color="auto" w:fill="auto"/>
            <w:noWrap/>
            <w:vAlign w:val="bottom"/>
            <w:hideMark/>
          </w:tcPr>
          <w:p w:rsidR="001769FA" w:rsidRPr="00A12C7A" w:rsidRDefault="001769FA" w:rsidP="00685941">
            <w:pPr>
              <w:jc w:val="center"/>
              <w:rPr>
                <w:sz w:val="20"/>
                <w:szCs w:val="20"/>
              </w:rPr>
            </w:pPr>
            <w:r w:rsidRPr="00A12C7A">
              <w:rPr>
                <w:b/>
              </w:rPr>
              <w:t>Sebring Gas System</w:t>
            </w:r>
          </w:p>
        </w:tc>
      </w:tr>
      <w:tr w:rsidR="001769FA" w:rsidRPr="00A12C7A" w:rsidTr="00685941">
        <w:trPr>
          <w:trHeight w:val="315"/>
          <w:jc w:val="center"/>
        </w:trPr>
        <w:tc>
          <w:tcPr>
            <w:tcW w:w="14279" w:type="dxa"/>
            <w:gridSpan w:val="12"/>
            <w:tcBorders>
              <w:top w:val="nil"/>
              <w:left w:val="nil"/>
              <w:bottom w:val="nil"/>
              <w:right w:val="nil"/>
            </w:tcBorders>
            <w:shd w:val="clear" w:color="auto" w:fill="auto"/>
            <w:noWrap/>
            <w:vAlign w:val="bottom"/>
            <w:hideMark/>
          </w:tcPr>
          <w:p w:rsidR="001769FA" w:rsidRPr="00A12C7A" w:rsidRDefault="001769FA" w:rsidP="00685941">
            <w:pPr>
              <w:jc w:val="center"/>
              <w:rPr>
                <w:sz w:val="20"/>
                <w:szCs w:val="20"/>
              </w:rPr>
            </w:pPr>
            <w:r w:rsidRPr="00A12C7A">
              <w:rPr>
                <w:b/>
              </w:rPr>
              <w:t>Docket No. 20190083-GU</w:t>
            </w:r>
          </w:p>
        </w:tc>
      </w:tr>
      <w:tr w:rsidR="001769FA" w:rsidRPr="00A12C7A" w:rsidTr="00685941">
        <w:trPr>
          <w:trHeight w:val="315"/>
          <w:jc w:val="center"/>
        </w:trPr>
        <w:tc>
          <w:tcPr>
            <w:tcW w:w="14279" w:type="dxa"/>
            <w:gridSpan w:val="12"/>
            <w:tcBorders>
              <w:top w:val="nil"/>
              <w:left w:val="nil"/>
              <w:bottom w:val="nil"/>
              <w:right w:val="nil"/>
            </w:tcBorders>
            <w:shd w:val="clear" w:color="auto" w:fill="auto"/>
            <w:noWrap/>
            <w:vAlign w:val="bottom"/>
            <w:hideMark/>
          </w:tcPr>
          <w:p w:rsidR="001769FA" w:rsidRPr="00A12C7A" w:rsidRDefault="001769FA" w:rsidP="00685941">
            <w:pPr>
              <w:jc w:val="center"/>
              <w:rPr>
                <w:sz w:val="20"/>
                <w:szCs w:val="20"/>
              </w:rPr>
            </w:pPr>
            <w:r w:rsidRPr="00A12C7A">
              <w:rPr>
                <w:b/>
              </w:rPr>
              <w:t>Projected Test Year 12/31/2020</w:t>
            </w:r>
          </w:p>
        </w:tc>
      </w:tr>
      <w:tr w:rsidR="001769FA" w:rsidRPr="00A12C7A" w:rsidTr="00685941">
        <w:trPr>
          <w:trHeight w:val="315"/>
          <w:jc w:val="center"/>
        </w:trPr>
        <w:tc>
          <w:tcPr>
            <w:tcW w:w="14279" w:type="dxa"/>
            <w:gridSpan w:val="12"/>
            <w:tcBorders>
              <w:top w:val="nil"/>
              <w:left w:val="nil"/>
              <w:bottom w:val="nil"/>
              <w:right w:val="nil"/>
            </w:tcBorders>
            <w:shd w:val="clear" w:color="auto" w:fill="auto"/>
            <w:noWrap/>
            <w:vAlign w:val="bottom"/>
            <w:hideMark/>
          </w:tcPr>
          <w:p w:rsidR="001769FA" w:rsidRPr="00A12C7A" w:rsidRDefault="001769FA" w:rsidP="00685941">
            <w:pPr>
              <w:jc w:val="center"/>
              <w:rPr>
                <w:sz w:val="20"/>
                <w:szCs w:val="20"/>
              </w:rPr>
            </w:pPr>
            <w:r w:rsidRPr="00A12C7A">
              <w:rPr>
                <w:b/>
              </w:rPr>
              <w:t>Capital Structure – 13-Month Average</w:t>
            </w:r>
          </w:p>
        </w:tc>
      </w:tr>
      <w:tr w:rsidR="001769FA" w:rsidRPr="00A12C7A" w:rsidTr="00685941">
        <w:trPr>
          <w:trHeight w:val="300"/>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27"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24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671"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4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93"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30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25"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26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917"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815"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62"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r>
      <w:tr w:rsidR="001769FA" w:rsidRPr="00A12C7A" w:rsidTr="00685941">
        <w:trPr>
          <w:trHeight w:val="300"/>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779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COMPANY PROPOSED</w:t>
            </w:r>
          </w:p>
        </w:tc>
        <w:tc>
          <w:tcPr>
            <w:tcW w:w="1260" w:type="dxa"/>
            <w:tcBorders>
              <w:top w:val="nil"/>
              <w:left w:val="nil"/>
              <w:bottom w:val="nil"/>
              <w:right w:val="nil"/>
            </w:tcBorders>
            <w:shd w:val="clear" w:color="auto" w:fill="auto"/>
            <w:noWrap/>
            <w:vAlign w:val="bottom"/>
            <w:hideMark/>
          </w:tcPr>
          <w:p w:rsidR="001769FA" w:rsidRPr="00A12C7A" w:rsidRDefault="001769FA" w:rsidP="00685941">
            <w:pPr>
              <w:rPr>
                <w:b/>
                <w:bCs/>
                <w:sz w:val="20"/>
                <w:szCs w:val="20"/>
              </w:rPr>
            </w:pPr>
          </w:p>
        </w:tc>
        <w:tc>
          <w:tcPr>
            <w:tcW w:w="917"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815"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62"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r>
      <w:tr w:rsidR="001769FA" w:rsidRPr="00A12C7A" w:rsidTr="00685941">
        <w:trPr>
          <w:trHeight w:val="300"/>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27" w:type="dxa"/>
            <w:tcBorders>
              <w:top w:val="nil"/>
              <w:left w:val="single" w:sz="4" w:space="0" w:color="auto"/>
              <w:bottom w:val="nil"/>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PER</w:t>
            </w:r>
          </w:p>
        </w:tc>
        <w:tc>
          <w:tcPr>
            <w:tcW w:w="1240" w:type="dxa"/>
            <w:tcBorders>
              <w:top w:val="nil"/>
              <w:left w:val="nil"/>
              <w:bottom w:val="nil"/>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Specific</w:t>
            </w:r>
          </w:p>
        </w:tc>
        <w:tc>
          <w:tcPr>
            <w:tcW w:w="671" w:type="dxa"/>
            <w:tcBorders>
              <w:top w:val="nil"/>
              <w:left w:val="nil"/>
              <w:bottom w:val="nil"/>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PRO</w:t>
            </w:r>
          </w:p>
        </w:tc>
        <w:tc>
          <w:tcPr>
            <w:tcW w:w="1140" w:type="dxa"/>
            <w:tcBorders>
              <w:top w:val="nil"/>
              <w:left w:val="nil"/>
              <w:bottom w:val="nil"/>
              <w:right w:val="nil"/>
            </w:tcBorders>
            <w:shd w:val="clear" w:color="auto" w:fill="auto"/>
            <w:noWrap/>
            <w:vAlign w:val="bottom"/>
            <w:hideMark/>
          </w:tcPr>
          <w:p w:rsidR="001769FA" w:rsidRPr="00A12C7A" w:rsidRDefault="001769FA" w:rsidP="00685941">
            <w:pPr>
              <w:jc w:val="center"/>
              <w:rPr>
                <w:b/>
                <w:bCs/>
                <w:sz w:val="20"/>
                <w:szCs w:val="20"/>
              </w:rPr>
            </w:pPr>
          </w:p>
        </w:tc>
        <w:tc>
          <w:tcPr>
            <w:tcW w:w="1193" w:type="dxa"/>
            <w:tcBorders>
              <w:top w:val="nil"/>
              <w:left w:val="single" w:sz="4" w:space="0" w:color="auto"/>
              <w:bottom w:val="nil"/>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 </w:t>
            </w:r>
          </w:p>
        </w:tc>
        <w:tc>
          <w:tcPr>
            <w:tcW w:w="1300" w:type="dxa"/>
            <w:tcBorders>
              <w:top w:val="nil"/>
              <w:left w:val="nil"/>
              <w:bottom w:val="nil"/>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COST</w:t>
            </w:r>
          </w:p>
        </w:tc>
        <w:tc>
          <w:tcPr>
            <w:tcW w:w="1125" w:type="dxa"/>
            <w:tcBorders>
              <w:top w:val="nil"/>
              <w:left w:val="nil"/>
              <w:bottom w:val="nil"/>
              <w:right w:val="single" w:sz="4" w:space="0" w:color="auto"/>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WEIGHTED</w:t>
            </w:r>
          </w:p>
        </w:tc>
        <w:tc>
          <w:tcPr>
            <w:tcW w:w="126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917"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815"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62"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r>
      <w:tr w:rsidR="001769FA" w:rsidRPr="00A12C7A" w:rsidTr="00685941">
        <w:trPr>
          <w:trHeight w:val="300"/>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27" w:type="dxa"/>
            <w:tcBorders>
              <w:top w:val="nil"/>
              <w:left w:val="single" w:sz="4" w:space="0" w:color="auto"/>
              <w:bottom w:val="single" w:sz="4" w:space="0" w:color="auto"/>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BOOKS</w:t>
            </w:r>
          </w:p>
        </w:tc>
        <w:tc>
          <w:tcPr>
            <w:tcW w:w="1240"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Adjustment</w:t>
            </w:r>
          </w:p>
        </w:tc>
        <w:tc>
          <w:tcPr>
            <w:tcW w:w="671"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RATA</w:t>
            </w:r>
          </w:p>
        </w:tc>
        <w:tc>
          <w:tcPr>
            <w:tcW w:w="1140" w:type="dxa"/>
            <w:tcBorders>
              <w:top w:val="nil"/>
              <w:left w:val="nil"/>
              <w:bottom w:val="single" w:sz="4" w:space="0" w:color="auto"/>
              <w:right w:val="single" w:sz="4" w:space="0" w:color="auto"/>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ADJUSTED</w:t>
            </w:r>
          </w:p>
        </w:tc>
        <w:tc>
          <w:tcPr>
            <w:tcW w:w="1193"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RATIO</w:t>
            </w:r>
          </w:p>
        </w:tc>
        <w:tc>
          <w:tcPr>
            <w:tcW w:w="1300"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RATE</w:t>
            </w:r>
          </w:p>
        </w:tc>
        <w:tc>
          <w:tcPr>
            <w:tcW w:w="1125" w:type="dxa"/>
            <w:tcBorders>
              <w:top w:val="nil"/>
              <w:left w:val="nil"/>
              <w:bottom w:val="single" w:sz="4" w:space="0" w:color="auto"/>
              <w:right w:val="single" w:sz="4" w:space="0" w:color="auto"/>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COST</w:t>
            </w:r>
          </w:p>
        </w:tc>
        <w:tc>
          <w:tcPr>
            <w:tcW w:w="126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917"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815"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62"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r>
      <w:tr w:rsidR="001769FA" w:rsidRPr="00A12C7A" w:rsidTr="00685941">
        <w:trPr>
          <w:trHeight w:val="300"/>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r w:rsidRPr="00A12C7A">
              <w:rPr>
                <w:sz w:val="20"/>
                <w:szCs w:val="20"/>
              </w:rPr>
              <w:t>COMMON EQUITY</w:t>
            </w:r>
          </w:p>
        </w:tc>
        <w:tc>
          <w:tcPr>
            <w:tcW w:w="1127" w:type="dxa"/>
            <w:tcBorders>
              <w:top w:val="nil"/>
              <w:left w:val="single" w:sz="4" w:space="0" w:color="auto"/>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$1,746,957 </w:t>
            </w:r>
          </w:p>
        </w:tc>
        <w:tc>
          <w:tcPr>
            <w:tcW w:w="124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$0 </w:t>
            </w:r>
          </w:p>
        </w:tc>
        <w:tc>
          <w:tcPr>
            <w:tcW w:w="671"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$1,746,957 </w:t>
            </w:r>
          </w:p>
        </w:tc>
        <w:tc>
          <w:tcPr>
            <w:tcW w:w="1193"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34.63%</w:t>
            </w:r>
          </w:p>
        </w:tc>
        <w:tc>
          <w:tcPr>
            <w:tcW w:w="130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12.50%</w:t>
            </w:r>
          </w:p>
        </w:tc>
        <w:tc>
          <w:tcPr>
            <w:tcW w:w="1125" w:type="dxa"/>
            <w:tcBorders>
              <w:top w:val="nil"/>
              <w:left w:val="nil"/>
              <w:bottom w:val="nil"/>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4.33%</w:t>
            </w:r>
          </w:p>
        </w:tc>
        <w:tc>
          <w:tcPr>
            <w:tcW w:w="126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917"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815"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62"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r>
      <w:tr w:rsidR="001769FA" w:rsidRPr="00A12C7A" w:rsidTr="00685941">
        <w:trPr>
          <w:trHeight w:val="300"/>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r w:rsidRPr="00A12C7A">
              <w:rPr>
                <w:sz w:val="20"/>
                <w:szCs w:val="20"/>
              </w:rPr>
              <w:t>LONG TERM DEBT</w:t>
            </w:r>
          </w:p>
        </w:tc>
        <w:tc>
          <w:tcPr>
            <w:tcW w:w="1127" w:type="dxa"/>
            <w:tcBorders>
              <w:top w:val="nil"/>
              <w:left w:val="single" w:sz="4" w:space="0" w:color="auto"/>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$2,760,453 </w:t>
            </w:r>
          </w:p>
        </w:tc>
        <w:tc>
          <w:tcPr>
            <w:tcW w:w="124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$0 </w:t>
            </w:r>
          </w:p>
        </w:tc>
        <w:tc>
          <w:tcPr>
            <w:tcW w:w="671"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$2,760,453 </w:t>
            </w:r>
          </w:p>
        </w:tc>
        <w:tc>
          <w:tcPr>
            <w:tcW w:w="1193"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54.72%</w:t>
            </w:r>
          </w:p>
        </w:tc>
        <w:tc>
          <w:tcPr>
            <w:tcW w:w="130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5.95%</w:t>
            </w:r>
          </w:p>
        </w:tc>
        <w:tc>
          <w:tcPr>
            <w:tcW w:w="1125" w:type="dxa"/>
            <w:tcBorders>
              <w:top w:val="nil"/>
              <w:left w:val="nil"/>
              <w:bottom w:val="nil"/>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3.26%</w:t>
            </w:r>
          </w:p>
        </w:tc>
        <w:tc>
          <w:tcPr>
            <w:tcW w:w="126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917"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815"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62"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r>
      <w:tr w:rsidR="001769FA" w:rsidRPr="00A12C7A" w:rsidTr="00685941">
        <w:trPr>
          <w:trHeight w:val="300"/>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r w:rsidRPr="00A12C7A">
              <w:rPr>
                <w:sz w:val="20"/>
                <w:szCs w:val="20"/>
              </w:rPr>
              <w:t>SHORT TERM DEBT</w:t>
            </w:r>
          </w:p>
        </w:tc>
        <w:tc>
          <w:tcPr>
            <w:tcW w:w="1127" w:type="dxa"/>
            <w:tcBorders>
              <w:top w:val="nil"/>
              <w:left w:val="single" w:sz="4" w:space="0" w:color="auto"/>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$38,077 </w:t>
            </w:r>
          </w:p>
        </w:tc>
        <w:tc>
          <w:tcPr>
            <w:tcW w:w="124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$0 </w:t>
            </w:r>
          </w:p>
        </w:tc>
        <w:tc>
          <w:tcPr>
            <w:tcW w:w="671"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$38,077 </w:t>
            </w:r>
          </w:p>
        </w:tc>
        <w:tc>
          <w:tcPr>
            <w:tcW w:w="1193"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0.75%</w:t>
            </w:r>
          </w:p>
        </w:tc>
        <w:tc>
          <w:tcPr>
            <w:tcW w:w="130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6.00%</w:t>
            </w:r>
          </w:p>
        </w:tc>
        <w:tc>
          <w:tcPr>
            <w:tcW w:w="1125" w:type="dxa"/>
            <w:tcBorders>
              <w:top w:val="nil"/>
              <w:left w:val="nil"/>
              <w:bottom w:val="nil"/>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0.05%</w:t>
            </w:r>
          </w:p>
        </w:tc>
        <w:tc>
          <w:tcPr>
            <w:tcW w:w="126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917"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815"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62"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r>
      <w:tr w:rsidR="001769FA" w:rsidRPr="00A12C7A" w:rsidTr="00685941">
        <w:trPr>
          <w:trHeight w:val="300"/>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r w:rsidRPr="00A12C7A">
              <w:rPr>
                <w:sz w:val="20"/>
                <w:szCs w:val="20"/>
              </w:rPr>
              <w:t>CUSTOMER DEPOSITS</w:t>
            </w:r>
          </w:p>
        </w:tc>
        <w:tc>
          <w:tcPr>
            <w:tcW w:w="1127" w:type="dxa"/>
            <w:tcBorders>
              <w:top w:val="nil"/>
              <w:left w:val="single" w:sz="4" w:space="0" w:color="auto"/>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$156,205 </w:t>
            </w:r>
          </w:p>
        </w:tc>
        <w:tc>
          <w:tcPr>
            <w:tcW w:w="124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$0 </w:t>
            </w:r>
          </w:p>
        </w:tc>
        <w:tc>
          <w:tcPr>
            <w:tcW w:w="671"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$156,205 </w:t>
            </w:r>
          </w:p>
        </w:tc>
        <w:tc>
          <w:tcPr>
            <w:tcW w:w="1193"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3.10%</w:t>
            </w:r>
          </w:p>
        </w:tc>
        <w:tc>
          <w:tcPr>
            <w:tcW w:w="130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2.86%</w:t>
            </w:r>
          </w:p>
        </w:tc>
        <w:tc>
          <w:tcPr>
            <w:tcW w:w="1125" w:type="dxa"/>
            <w:tcBorders>
              <w:top w:val="nil"/>
              <w:left w:val="nil"/>
              <w:bottom w:val="nil"/>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0.09%</w:t>
            </w:r>
          </w:p>
        </w:tc>
        <w:tc>
          <w:tcPr>
            <w:tcW w:w="126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917"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815"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62"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r>
      <w:tr w:rsidR="001769FA" w:rsidRPr="00A12C7A" w:rsidTr="00685941">
        <w:trPr>
          <w:trHeight w:val="300"/>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r w:rsidRPr="00A12C7A">
              <w:rPr>
                <w:sz w:val="20"/>
                <w:szCs w:val="20"/>
              </w:rPr>
              <w:t>DEFERRED INCOME TAX</w:t>
            </w:r>
          </w:p>
        </w:tc>
        <w:tc>
          <w:tcPr>
            <w:tcW w:w="1127" w:type="dxa"/>
            <w:tcBorders>
              <w:top w:val="nil"/>
              <w:left w:val="single" w:sz="4" w:space="0" w:color="auto"/>
              <w:bottom w:val="single" w:sz="4"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$342,671 </w:t>
            </w:r>
          </w:p>
        </w:tc>
        <w:tc>
          <w:tcPr>
            <w:tcW w:w="1240"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$0 </w:t>
            </w:r>
          </w:p>
        </w:tc>
        <w:tc>
          <w:tcPr>
            <w:tcW w:w="671" w:type="dxa"/>
            <w:tcBorders>
              <w:top w:val="nil"/>
              <w:left w:val="nil"/>
              <w:bottom w:val="single" w:sz="4" w:space="0" w:color="auto"/>
              <w:right w:val="nil"/>
            </w:tcBorders>
            <w:shd w:val="clear" w:color="auto" w:fill="auto"/>
            <w:noWrap/>
            <w:vAlign w:val="bottom"/>
            <w:hideMark/>
          </w:tcPr>
          <w:p w:rsidR="001769FA" w:rsidRPr="00A12C7A" w:rsidRDefault="001769FA" w:rsidP="00685941">
            <w:pPr>
              <w:rPr>
                <w:sz w:val="20"/>
                <w:szCs w:val="20"/>
              </w:rPr>
            </w:pPr>
            <w:r w:rsidRPr="00A12C7A">
              <w:rPr>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$342,671 </w:t>
            </w:r>
          </w:p>
        </w:tc>
        <w:tc>
          <w:tcPr>
            <w:tcW w:w="1193"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6.79%</w:t>
            </w:r>
          </w:p>
        </w:tc>
        <w:tc>
          <w:tcPr>
            <w:tcW w:w="1300"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0.00%</w:t>
            </w:r>
          </w:p>
        </w:tc>
        <w:tc>
          <w:tcPr>
            <w:tcW w:w="1125" w:type="dxa"/>
            <w:tcBorders>
              <w:top w:val="nil"/>
              <w:left w:val="nil"/>
              <w:bottom w:val="nil"/>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0.00%</w:t>
            </w:r>
          </w:p>
        </w:tc>
        <w:tc>
          <w:tcPr>
            <w:tcW w:w="126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917"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815"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62"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r>
      <w:tr w:rsidR="001769FA" w:rsidRPr="00A12C7A" w:rsidTr="00685941">
        <w:trPr>
          <w:trHeight w:val="300"/>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27" w:type="dxa"/>
            <w:tcBorders>
              <w:top w:val="nil"/>
              <w:left w:val="single" w:sz="4" w:space="0" w:color="auto"/>
              <w:bottom w:val="single" w:sz="4"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$5,044,363 </w:t>
            </w:r>
          </w:p>
        </w:tc>
        <w:tc>
          <w:tcPr>
            <w:tcW w:w="1240"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$0 </w:t>
            </w:r>
          </w:p>
        </w:tc>
        <w:tc>
          <w:tcPr>
            <w:tcW w:w="671" w:type="dxa"/>
            <w:tcBorders>
              <w:top w:val="nil"/>
              <w:left w:val="nil"/>
              <w:bottom w:val="single" w:sz="4" w:space="0" w:color="auto"/>
              <w:right w:val="nil"/>
            </w:tcBorders>
            <w:shd w:val="clear" w:color="auto" w:fill="auto"/>
            <w:noWrap/>
            <w:vAlign w:val="bottom"/>
            <w:hideMark/>
          </w:tcPr>
          <w:p w:rsidR="001769FA" w:rsidRPr="00A12C7A" w:rsidRDefault="001769FA" w:rsidP="00685941">
            <w:pPr>
              <w:rPr>
                <w:sz w:val="20"/>
                <w:szCs w:val="20"/>
              </w:rPr>
            </w:pPr>
            <w:r w:rsidRPr="00A12C7A">
              <w:rPr>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$5,044,363 </w:t>
            </w:r>
          </w:p>
        </w:tc>
        <w:tc>
          <w:tcPr>
            <w:tcW w:w="1193" w:type="dxa"/>
            <w:tcBorders>
              <w:top w:val="single" w:sz="4" w:space="0" w:color="auto"/>
              <w:left w:val="nil"/>
              <w:bottom w:val="single" w:sz="4"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100.00%</w:t>
            </w:r>
          </w:p>
        </w:tc>
        <w:tc>
          <w:tcPr>
            <w:tcW w:w="1300" w:type="dxa"/>
            <w:tcBorders>
              <w:top w:val="nil"/>
              <w:left w:val="nil"/>
              <w:bottom w:val="single" w:sz="4" w:space="0" w:color="auto"/>
              <w:right w:val="nil"/>
            </w:tcBorders>
            <w:shd w:val="clear" w:color="auto" w:fill="auto"/>
            <w:noWrap/>
            <w:vAlign w:val="bottom"/>
            <w:hideMark/>
          </w:tcPr>
          <w:p w:rsidR="001769FA" w:rsidRPr="00A12C7A" w:rsidRDefault="001769FA" w:rsidP="00685941">
            <w:pPr>
              <w:rPr>
                <w:sz w:val="20"/>
                <w:szCs w:val="20"/>
              </w:rPr>
            </w:pPr>
            <w:r w:rsidRPr="00A12C7A">
              <w:rPr>
                <w:sz w:val="20"/>
                <w:szCs w:val="20"/>
              </w:rPr>
              <w:t> </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7.72%</w:t>
            </w:r>
          </w:p>
        </w:tc>
        <w:tc>
          <w:tcPr>
            <w:tcW w:w="126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917"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815"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62"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r>
      <w:tr w:rsidR="001769FA" w:rsidRPr="00A12C7A" w:rsidTr="00685941">
        <w:trPr>
          <w:trHeight w:val="300"/>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27"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24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671"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4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93"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30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25"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26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917"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815"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62"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r>
      <w:tr w:rsidR="001769FA" w:rsidRPr="00A12C7A" w:rsidTr="00685941">
        <w:trPr>
          <w:trHeight w:val="300"/>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27"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24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671"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4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93"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30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25"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260"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917"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815"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62"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r>
      <w:tr w:rsidR="001769FA" w:rsidRPr="00A12C7A" w:rsidTr="00685941">
        <w:trPr>
          <w:trHeight w:val="315"/>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417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COMPANY AS FILED</w:t>
            </w:r>
          </w:p>
        </w:tc>
        <w:tc>
          <w:tcPr>
            <w:tcW w:w="777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769FA" w:rsidRPr="00A12C7A" w:rsidRDefault="00A12C7A" w:rsidP="00685941">
            <w:pPr>
              <w:jc w:val="center"/>
              <w:rPr>
                <w:b/>
                <w:bCs/>
                <w:sz w:val="20"/>
                <w:szCs w:val="20"/>
              </w:rPr>
            </w:pPr>
            <w:r w:rsidRPr="00A12C7A">
              <w:rPr>
                <w:b/>
                <w:bCs/>
                <w:sz w:val="20"/>
                <w:szCs w:val="20"/>
              </w:rPr>
              <w:t>COMMISSION</w:t>
            </w:r>
            <w:r w:rsidR="001769FA" w:rsidRPr="00A12C7A">
              <w:rPr>
                <w:b/>
                <w:bCs/>
                <w:sz w:val="20"/>
                <w:szCs w:val="20"/>
              </w:rPr>
              <w:t xml:space="preserve"> ADJUSTMENTS</w:t>
            </w:r>
          </w:p>
        </w:tc>
      </w:tr>
      <w:tr w:rsidR="001769FA" w:rsidRPr="00A12C7A" w:rsidTr="00685941">
        <w:trPr>
          <w:trHeight w:val="315"/>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27" w:type="dxa"/>
            <w:tcBorders>
              <w:top w:val="nil"/>
              <w:left w:val="single" w:sz="4" w:space="0" w:color="auto"/>
              <w:bottom w:val="nil"/>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PER</w:t>
            </w:r>
          </w:p>
        </w:tc>
        <w:tc>
          <w:tcPr>
            <w:tcW w:w="1240" w:type="dxa"/>
            <w:tcBorders>
              <w:top w:val="nil"/>
              <w:left w:val="nil"/>
              <w:bottom w:val="nil"/>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Specific</w:t>
            </w:r>
          </w:p>
        </w:tc>
        <w:tc>
          <w:tcPr>
            <w:tcW w:w="671" w:type="dxa"/>
            <w:tcBorders>
              <w:top w:val="nil"/>
              <w:left w:val="nil"/>
              <w:bottom w:val="nil"/>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PRO</w:t>
            </w:r>
          </w:p>
        </w:tc>
        <w:tc>
          <w:tcPr>
            <w:tcW w:w="1140" w:type="dxa"/>
            <w:tcBorders>
              <w:top w:val="nil"/>
              <w:left w:val="nil"/>
              <w:bottom w:val="nil"/>
              <w:right w:val="single" w:sz="4" w:space="0" w:color="auto"/>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 </w:t>
            </w:r>
          </w:p>
        </w:tc>
        <w:tc>
          <w:tcPr>
            <w:tcW w:w="1193" w:type="dxa"/>
            <w:tcBorders>
              <w:top w:val="nil"/>
              <w:left w:val="nil"/>
              <w:bottom w:val="nil"/>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Specific</w:t>
            </w:r>
          </w:p>
        </w:tc>
        <w:tc>
          <w:tcPr>
            <w:tcW w:w="1300" w:type="dxa"/>
            <w:tcBorders>
              <w:top w:val="nil"/>
              <w:left w:val="nil"/>
              <w:bottom w:val="nil"/>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ADJUSTED</w:t>
            </w:r>
          </w:p>
        </w:tc>
        <w:tc>
          <w:tcPr>
            <w:tcW w:w="1125" w:type="dxa"/>
            <w:tcBorders>
              <w:top w:val="nil"/>
              <w:left w:val="nil"/>
              <w:bottom w:val="nil"/>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PRO</w:t>
            </w:r>
          </w:p>
        </w:tc>
        <w:tc>
          <w:tcPr>
            <w:tcW w:w="1260" w:type="dxa"/>
            <w:tcBorders>
              <w:top w:val="nil"/>
              <w:left w:val="nil"/>
              <w:bottom w:val="nil"/>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Reconciled to</w:t>
            </w:r>
          </w:p>
        </w:tc>
        <w:tc>
          <w:tcPr>
            <w:tcW w:w="917" w:type="dxa"/>
            <w:tcBorders>
              <w:top w:val="nil"/>
              <w:left w:val="nil"/>
              <w:bottom w:val="nil"/>
              <w:right w:val="nil"/>
            </w:tcBorders>
            <w:shd w:val="clear" w:color="auto" w:fill="auto"/>
            <w:noWrap/>
            <w:vAlign w:val="bottom"/>
            <w:hideMark/>
          </w:tcPr>
          <w:p w:rsidR="001769FA" w:rsidRPr="00A12C7A" w:rsidRDefault="001769FA" w:rsidP="00685941">
            <w:pPr>
              <w:jc w:val="center"/>
              <w:rPr>
                <w:b/>
                <w:bCs/>
                <w:sz w:val="20"/>
                <w:szCs w:val="20"/>
              </w:rPr>
            </w:pPr>
          </w:p>
        </w:tc>
        <w:tc>
          <w:tcPr>
            <w:tcW w:w="815" w:type="dxa"/>
            <w:tcBorders>
              <w:top w:val="nil"/>
              <w:left w:val="nil"/>
              <w:bottom w:val="nil"/>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COST</w:t>
            </w:r>
          </w:p>
        </w:tc>
        <w:tc>
          <w:tcPr>
            <w:tcW w:w="1162" w:type="dxa"/>
            <w:tcBorders>
              <w:top w:val="nil"/>
              <w:left w:val="nil"/>
              <w:bottom w:val="nil"/>
              <w:right w:val="single" w:sz="4" w:space="0" w:color="auto"/>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WEIGHTED</w:t>
            </w:r>
          </w:p>
        </w:tc>
      </w:tr>
      <w:tr w:rsidR="001769FA" w:rsidRPr="00A12C7A" w:rsidTr="00685941">
        <w:trPr>
          <w:trHeight w:val="315"/>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27" w:type="dxa"/>
            <w:tcBorders>
              <w:top w:val="nil"/>
              <w:left w:val="single" w:sz="4" w:space="0" w:color="auto"/>
              <w:bottom w:val="single" w:sz="4" w:space="0" w:color="auto"/>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BOOKS</w:t>
            </w:r>
          </w:p>
        </w:tc>
        <w:tc>
          <w:tcPr>
            <w:tcW w:w="1240"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Adjustment</w:t>
            </w:r>
          </w:p>
        </w:tc>
        <w:tc>
          <w:tcPr>
            <w:tcW w:w="671"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RATA</w:t>
            </w:r>
          </w:p>
        </w:tc>
        <w:tc>
          <w:tcPr>
            <w:tcW w:w="1140" w:type="dxa"/>
            <w:tcBorders>
              <w:top w:val="nil"/>
              <w:left w:val="nil"/>
              <w:bottom w:val="single" w:sz="4" w:space="0" w:color="auto"/>
              <w:right w:val="single" w:sz="4" w:space="0" w:color="auto"/>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ADJUSTED</w:t>
            </w:r>
          </w:p>
        </w:tc>
        <w:tc>
          <w:tcPr>
            <w:tcW w:w="1193"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Adjustment</w:t>
            </w:r>
          </w:p>
        </w:tc>
        <w:tc>
          <w:tcPr>
            <w:tcW w:w="1300"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BALANCE</w:t>
            </w:r>
          </w:p>
        </w:tc>
        <w:tc>
          <w:tcPr>
            <w:tcW w:w="1125"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RATA</w:t>
            </w:r>
          </w:p>
        </w:tc>
        <w:tc>
          <w:tcPr>
            <w:tcW w:w="1260"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Rate Base</w:t>
            </w:r>
          </w:p>
        </w:tc>
        <w:tc>
          <w:tcPr>
            <w:tcW w:w="917"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RATIO</w:t>
            </w:r>
          </w:p>
        </w:tc>
        <w:tc>
          <w:tcPr>
            <w:tcW w:w="815"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RATE</w:t>
            </w:r>
          </w:p>
        </w:tc>
        <w:tc>
          <w:tcPr>
            <w:tcW w:w="1162" w:type="dxa"/>
            <w:tcBorders>
              <w:top w:val="nil"/>
              <w:left w:val="nil"/>
              <w:bottom w:val="single" w:sz="4" w:space="0" w:color="auto"/>
              <w:right w:val="single" w:sz="4" w:space="0" w:color="auto"/>
            </w:tcBorders>
            <w:shd w:val="clear" w:color="auto" w:fill="auto"/>
            <w:noWrap/>
            <w:vAlign w:val="bottom"/>
            <w:hideMark/>
          </w:tcPr>
          <w:p w:rsidR="001769FA" w:rsidRPr="00A12C7A" w:rsidRDefault="001769FA" w:rsidP="00685941">
            <w:pPr>
              <w:jc w:val="center"/>
              <w:rPr>
                <w:b/>
                <w:bCs/>
                <w:sz w:val="20"/>
                <w:szCs w:val="20"/>
              </w:rPr>
            </w:pPr>
            <w:r w:rsidRPr="00A12C7A">
              <w:rPr>
                <w:b/>
                <w:bCs/>
                <w:sz w:val="20"/>
                <w:szCs w:val="20"/>
              </w:rPr>
              <w:t>AVG COST</w:t>
            </w:r>
          </w:p>
        </w:tc>
      </w:tr>
      <w:tr w:rsidR="001769FA" w:rsidRPr="00A12C7A" w:rsidTr="00685941">
        <w:trPr>
          <w:trHeight w:val="315"/>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r w:rsidRPr="00A12C7A">
              <w:rPr>
                <w:sz w:val="20"/>
                <w:szCs w:val="20"/>
              </w:rPr>
              <w:t>COMMON EQUITY</w:t>
            </w:r>
          </w:p>
        </w:tc>
        <w:tc>
          <w:tcPr>
            <w:tcW w:w="1127" w:type="dxa"/>
            <w:tcBorders>
              <w:top w:val="nil"/>
              <w:left w:val="single" w:sz="4" w:space="0" w:color="auto"/>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$1,746,957 </w:t>
            </w:r>
          </w:p>
        </w:tc>
        <w:tc>
          <w:tcPr>
            <w:tcW w:w="124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$0 </w:t>
            </w:r>
          </w:p>
        </w:tc>
        <w:tc>
          <w:tcPr>
            <w:tcW w:w="671"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$1,746,957 </w:t>
            </w:r>
          </w:p>
        </w:tc>
        <w:tc>
          <w:tcPr>
            <w:tcW w:w="1193"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r w:rsidRPr="00A12C7A">
              <w:rPr>
                <w:sz w:val="20"/>
                <w:szCs w:val="20"/>
              </w:rPr>
              <w:t> </w:t>
            </w:r>
          </w:p>
        </w:tc>
        <w:tc>
          <w:tcPr>
            <w:tcW w:w="130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$1,746,957 </w:t>
            </w:r>
          </w:p>
        </w:tc>
        <w:tc>
          <w:tcPr>
            <w:tcW w:w="1125"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color w:val="FF0000"/>
                <w:sz w:val="20"/>
                <w:szCs w:val="20"/>
              </w:rPr>
              <w:t>($7,807)</w:t>
            </w:r>
          </w:p>
        </w:tc>
        <w:tc>
          <w:tcPr>
            <w:tcW w:w="126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$1,739,150 </w:t>
            </w:r>
          </w:p>
        </w:tc>
        <w:tc>
          <w:tcPr>
            <w:tcW w:w="917"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34.64%</w:t>
            </w:r>
          </w:p>
        </w:tc>
        <w:tc>
          <w:tcPr>
            <w:tcW w:w="815" w:type="dxa"/>
            <w:tcBorders>
              <w:top w:val="nil"/>
              <w:left w:val="nil"/>
              <w:bottom w:val="nil"/>
              <w:right w:val="nil"/>
            </w:tcBorders>
            <w:shd w:val="clear" w:color="auto" w:fill="auto"/>
            <w:noWrap/>
            <w:vAlign w:val="bottom"/>
            <w:hideMark/>
          </w:tcPr>
          <w:p w:rsidR="001769FA" w:rsidRPr="00A12C7A" w:rsidRDefault="00A12C7A" w:rsidP="00685941">
            <w:pPr>
              <w:jc w:val="right"/>
              <w:rPr>
                <w:sz w:val="20"/>
                <w:szCs w:val="20"/>
              </w:rPr>
            </w:pPr>
            <w:r>
              <w:rPr>
                <w:sz w:val="20"/>
                <w:szCs w:val="20"/>
              </w:rPr>
              <w:t>11</w:t>
            </w:r>
            <w:r w:rsidR="001769FA" w:rsidRPr="00A12C7A">
              <w:rPr>
                <w:sz w:val="20"/>
                <w:szCs w:val="20"/>
              </w:rPr>
              <w:t>.00%</w:t>
            </w:r>
          </w:p>
        </w:tc>
        <w:tc>
          <w:tcPr>
            <w:tcW w:w="1162" w:type="dxa"/>
            <w:tcBorders>
              <w:top w:val="nil"/>
              <w:left w:val="nil"/>
              <w:bottom w:val="nil"/>
              <w:right w:val="single" w:sz="4" w:space="0" w:color="auto"/>
            </w:tcBorders>
            <w:shd w:val="clear" w:color="auto" w:fill="auto"/>
            <w:noWrap/>
            <w:hideMark/>
          </w:tcPr>
          <w:p w:rsidR="001769FA" w:rsidRPr="00A12C7A" w:rsidRDefault="00A12C7A" w:rsidP="00685941">
            <w:pPr>
              <w:jc w:val="right"/>
              <w:rPr>
                <w:sz w:val="20"/>
                <w:szCs w:val="20"/>
              </w:rPr>
            </w:pPr>
            <w:r>
              <w:rPr>
                <w:sz w:val="20"/>
                <w:szCs w:val="20"/>
              </w:rPr>
              <w:t>3.81</w:t>
            </w:r>
            <w:r w:rsidR="001769FA" w:rsidRPr="00A12C7A">
              <w:rPr>
                <w:sz w:val="20"/>
                <w:szCs w:val="20"/>
              </w:rPr>
              <w:t>%</w:t>
            </w:r>
          </w:p>
        </w:tc>
      </w:tr>
      <w:tr w:rsidR="001769FA" w:rsidRPr="00A12C7A" w:rsidTr="00685941">
        <w:trPr>
          <w:trHeight w:val="315"/>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r w:rsidRPr="00A12C7A">
              <w:rPr>
                <w:sz w:val="20"/>
                <w:szCs w:val="20"/>
              </w:rPr>
              <w:t>LONG TERM DEBT</w:t>
            </w:r>
          </w:p>
        </w:tc>
        <w:tc>
          <w:tcPr>
            <w:tcW w:w="1127" w:type="dxa"/>
            <w:tcBorders>
              <w:top w:val="nil"/>
              <w:left w:val="single" w:sz="4" w:space="0" w:color="auto"/>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$2,760,453 </w:t>
            </w:r>
          </w:p>
        </w:tc>
        <w:tc>
          <w:tcPr>
            <w:tcW w:w="124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$0 </w:t>
            </w:r>
          </w:p>
        </w:tc>
        <w:tc>
          <w:tcPr>
            <w:tcW w:w="671"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$2,760,453 </w:t>
            </w:r>
          </w:p>
        </w:tc>
        <w:tc>
          <w:tcPr>
            <w:tcW w:w="1193"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r w:rsidRPr="00A12C7A">
              <w:rPr>
                <w:sz w:val="20"/>
                <w:szCs w:val="20"/>
              </w:rPr>
              <w:t> </w:t>
            </w:r>
          </w:p>
        </w:tc>
        <w:tc>
          <w:tcPr>
            <w:tcW w:w="130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$2,760,453 </w:t>
            </w:r>
          </w:p>
        </w:tc>
        <w:tc>
          <w:tcPr>
            <w:tcW w:w="1125"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color w:val="FF0000"/>
                <w:sz w:val="20"/>
                <w:szCs w:val="20"/>
              </w:rPr>
              <w:t>($12,336)</w:t>
            </w:r>
          </w:p>
        </w:tc>
        <w:tc>
          <w:tcPr>
            <w:tcW w:w="126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$2,748,117 </w:t>
            </w:r>
          </w:p>
        </w:tc>
        <w:tc>
          <w:tcPr>
            <w:tcW w:w="917"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54.73%</w:t>
            </w:r>
          </w:p>
        </w:tc>
        <w:tc>
          <w:tcPr>
            <w:tcW w:w="815"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5.25%</w:t>
            </w:r>
          </w:p>
        </w:tc>
        <w:tc>
          <w:tcPr>
            <w:tcW w:w="1162" w:type="dxa"/>
            <w:tcBorders>
              <w:top w:val="nil"/>
              <w:left w:val="nil"/>
              <w:bottom w:val="nil"/>
              <w:right w:val="single" w:sz="4" w:space="0" w:color="auto"/>
            </w:tcBorders>
            <w:shd w:val="clear" w:color="auto" w:fill="auto"/>
            <w:noWrap/>
            <w:hideMark/>
          </w:tcPr>
          <w:p w:rsidR="001769FA" w:rsidRPr="00A12C7A" w:rsidRDefault="001769FA" w:rsidP="00685941">
            <w:pPr>
              <w:jc w:val="right"/>
              <w:rPr>
                <w:sz w:val="20"/>
                <w:szCs w:val="20"/>
              </w:rPr>
            </w:pPr>
            <w:r w:rsidRPr="00A12C7A">
              <w:rPr>
                <w:sz w:val="20"/>
                <w:szCs w:val="20"/>
              </w:rPr>
              <w:t>2.87%</w:t>
            </w:r>
          </w:p>
        </w:tc>
      </w:tr>
      <w:tr w:rsidR="001769FA" w:rsidRPr="00A12C7A" w:rsidTr="00685941">
        <w:trPr>
          <w:trHeight w:val="315"/>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r w:rsidRPr="00A12C7A">
              <w:rPr>
                <w:sz w:val="20"/>
                <w:szCs w:val="20"/>
              </w:rPr>
              <w:t>SHORT TERM DEBT</w:t>
            </w:r>
          </w:p>
        </w:tc>
        <w:tc>
          <w:tcPr>
            <w:tcW w:w="1127" w:type="dxa"/>
            <w:tcBorders>
              <w:top w:val="nil"/>
              <w:left w:val="single" w:sz="4" w:space="0" w:color="auto"/>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$38,077 </w:t>
            </w:r>
          </w:p>
        </w:tc>
        <w:tc>
          <w:tcPr>
            <w:tcW w:w="124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$0 </w:t>
            </w:r>
          </w:p>
        </w:tc>
        <w:tc>
          <w:tcPr>
            <w:tcW w:w="671"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$38,077 </w:t>
            </w:r>
          </w:p>
        </w:tc>
        <w:tc>
          <w:tcPr>
            <w:tcW w:w="1193"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r w:rsidRPr="00A12C7A">
              <w:rPr>
                <w:sz w:val="20"/>
                <w:szCs w:val="20"/>
              </w:rPr>
              <w:t> </w:t>
            </w:r>
          </w:p>
        </w:tc>
        <w:tc>
          <w:tcPr>
            <w:tcW w:w="130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$38,077 </w:t>
            </w:r>
          </w:p>
        </w:tc>
        <w:tc>
          <w:tcPr>
            <w:tcW w:w="1125"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color w:val="FF0000"/>
                <w:sz w:val="20"/>
                <w:szCs w:val="20"/>
              </w:rPr>
              <w:t>($170)</w:t>
            </w:r>
          </w:p>
        </w:tc>
        <w:tc>
          <w:tcPr>
            <w:tcW w:w="126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$37,907 </w:t>
            </w:r>
          </w:p>
        </w:tc>
        <w:tc>
          <w:tcPr>
            <w:tcW w:w="917"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0.75%</w:t>
            </w:r>
          </w:p>
        </w:tc>
        <w:tc>
          <w:tcPr>
            <w:tcW w:w="815"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5.25%</w:t>
            </w:r>
          </w:p>
        </w:tc>
        <w:tc>
          <w:tcPr>
            <w:tcW w:w="1162" w:type="dxa"/>
            <w:tcBorders>
              <w:top w:val="nil"/>
              <w:left w:val="nil"/>
              <w:bottom w:val="nil"/>
              <w:right w:val="single" w:sz="4" w:space="0" w:color="auto"/>
            </w:tcBorders>
            <w:shd w:val="clear" w:color="auto" w:fill="auto"/>
            <w:noWrap/>
            <w:hideMark/>
          </w:tcPr>
          <w:p w:rsidR="001769FA" w:rsidRPr="00A12C7A" w:rsidRDefault="001769FA" w:rsidP="00685941">
            <w:pPr>
              <w:jc w:val="right"/>
              <w:rPr>
                <w:sz w:val="20"/>
                <w:szCs w:val="20"/>
              </w:rPr>
            </w:pPr>
            <w:r w:rsidRPr="00A12C7A">
              <w:rPr>
                <w:sz w:val="20"/>
                <w:szCs w:val="20"/>
              </w:rPr>
              <w:t>0.04%</w:t>
            </w:r>
          </w:p>
        </w:tc>
      </w:tr>
      <w:tr w:rsidR="001769FA" w:rsidRPr="00A12C7A" w:rsidTr="00685941">
        <w:trPr>
          <w:trHeight w:val="315"/>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r w:rsidRPr="00A12C7A">
              <w:rPr>
                <w:sz w:val="20"/>
                <w:szCs w:val="20"/>
              </w:rPr>
              <w:t>CUSTOMER DEPOSITS</w:t>
            </w:r>
          </w:p>
        </w:tc>
        <w:tc>
          <w:tcPr>
            <w:tcW w:w="1127" w:type="dxa"/>
            <w:tcBorders>
              <w:top w:val="nil"/>
              <w:left w:val="single" w:sz="4" w:space="0" w:color="auto"/>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$156,205 </w:t>
            </w:r>
          </w:p>
        </w:tc>
        <w:tc>
          <w:tcPr>
            <w:tcW w:w="124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$0 </w:t>
            </w:r>
          </w:p>
        </w:tc>
        <w:tc>
          <w:tcPr>
            <w:tcW w:w="671"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$156,205 </w:t>
            </w:r>
          </w:p>
        </w:tc>
        <w:tc>
          <w:tcPr>
            <w:tcW w:w="1193"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r w:rsidRPr="00A12C7A">
              <w:rPr>
                <w:sz w:val="20"/>
                <w:szCs w:val="20"/>
              </w:rPr>
              <w:t> </w:t>
            </w:r>
          </w:p>
        </w:tc>
        <w:tc>
          <w:tcPr>
            <w:tcW w:w="130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$156,205 </w:t>
            </w:r>
          </w:p>
        </w:tc>
        <w:tc>
          <w:tcPr>
            <w:tcW w:w="1125"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color w:val="FF0000"/>
                <w:sz w:val="20"/>
                <w:szCs w:val="20"/>
              </w:rPr>
              <w:t>($698)</w:t>
            </w:r>
          </w:p>
        </w:tc>
        <w:tc>
          <w:tcPr>
            <w:tcW w:w="1260"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$155,507 </w:t>
            </w:r>
          </w:p>
        </w:tc>
        <w:tc>
          <w:tcPr>
            <w:tcW w:w="917"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3.10%</w:t>
            </w:r>
          </w:p>
        </w:tc>
        <w:tc>
          <w:tcPr>
            <w:tcW w:w="815" w:type="dxa"/>
            <w:tcBorders>
              <w:top w:val="nil"/>
              <w:left w:val="nil"/>
              <w:bottom w:val="nil"/>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2.86%</w:t>
            </w:r>
          </w:p>
        </w:tc>
        <w:tc>
          <w:tcPr>
            <w:tcW w:w="1162" w:type="dxa"/>
            <w:tcBorders>
              <w:top w:val="nil"/>
              <w:left w:val="nil"/>
              <w:bottom w:val="nil"/>
              <w:right w:val="single" w:sz="4" w:space="0" w:color="auto"/>
            </w:tcBorders>
            <w:shd w:val="clear" w:color="auto" w:fill="auto"/>
            <w:noWrap/>
            <w:hideMark/>
          </w:tcPr>
          <w:p w:rsidR="001769FA" w:rsidRPr="00A12C7A" w:rsidRDefault="001769FA" w:rsidP="00685941">
            <w:pPr>
              <w:jc w:val="right"/>
              <w:rPr>
                <w:sz w:val="20"/>
                <w:szCs w:val="20"/>
              </w:rPr>
            </w:pPr>
            <w:r w:rsidRPr="00A12C7A">
              <w:rPr>
                <w:sz w:val="20"/>
                <w:szCs w:val="20"/>
              </w:rPr>
              <w:t>0.09%</w:t>
            </w:r>
          </w:p>
        </w:tc>
      </w:tr>
      <w:tr w:rsidR="001769FA" w:rsidRPr="00A12C7A" w:rsidTr="00685941">
        <w:trPr>
          <w:trHeight w:val="315"/>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r w:rsidRPr="00A12C7A">
              <w:rPr>
                <w:sz w:val="20"/>
                <w:szCs w:val="20"/>
              </w:rPr>
              <w:t>DEFERRED INCOME TAX</w:t>
            </w:r>
          </w:p>
        </w:tc>
        <w:tc>
          <w:tcPr>
            <w:tcW w:w="1127" w:type="dxa"/>
            <w:tcBorders>
              <w:top w:val="nil"/>
              <w:left w:val="single" w:sz="4" w:space="0" w:color="auto"/>
              <w:bottom w:val="single" w:sz="4"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$342,671 </w:t>
            </w:r>
          </w:p>
        </w:tc>
        <w:tc>
          <w:tcPr>
            <w:tcW w:w="1240"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$0 </w:t>
            </w:r>
          </w:p>
        </w:tc>
        <w:tc>
          <w:tcPr>
            <w:tcW w:w="671" w:type="dxa"/>
            <w:tcBorders>
              <w:top w:val="nil"/>
              <w:left w:val="nil"/>
              <w:bottom w:val="single" w:sz="4" w:space="0" w:color="auto"/>
              <w:right w:val="nil"/>
            </w:tcBorders>
            <w:shd w:val="clear" w:color="auto" w:fill="auto"/>
            <w:noWrap/>
            <w:vAlign w:val="bottom"/>
            <w:hideMark/>
          </w:tcPr>
          <w:p w:rsidR="001769FA" w:rsidRPr="00A12C7A" w:rsidRDefault="001769FA" w:rsidP="00685941">
            <w:pPr>
              <w:rPr>
                <w:sz w:val="20"/>
                <w:szCs w:val="20"/>
              </w:rPr>
            </w:pPr>
            <w:r w:rsidRPr="00A12C7A">
              <w:rPr>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$342,671 </w:t>
            </w:r>
          </w:p>
        </w:tc>
        <w:tc>
          <w:tcPr>
            <w:tcW w:w="1193"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color w:val="FF0000"/>
                <w:sz w:val="20"/>
                <w:szCs w:val="20"/>
              </w:rPr>
              <w:t>($470)</w:t>
            </w:r>
          </w:p>
        </w:tc>
        <w:tc>
          <w:tcPr>
            <w:tcW w:w="1300"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$342,201 </w:t>
            </w:r>
          </w:p>
        </w:tc>
        <w:tc>
          <w:tcPr>
            <w:tcW w:w="1125"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color w:val="FF0000"/>
                <w:sz w:val="20"/>
                <w:szCs w:val="20"/>
              </w:rPr>
              <w:t>($1,529)</w:t>
            </w:r>
          </w:p>
        </w:tc>
        <w:tc>
          <w:tcPr>
            <w:tcW w:w="1260"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$340,672 </w:t>
            </w:r>
          </w:p>
        </w:tc>
        <w:tc>
          <w:tcPr>
            <w:tcW w:w="917"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6.78%</w:t>
            </w:r>
          </w:p>
        </w:tc>
        <w:tc>
          <w:tcPr>
            <w:tcW w:w="815" w:type="dxa"/>
            <w:tcBorders>
              <w:top w:val="nil"/>
              <w:left w:val="nil"/>
              <w:bottom w:val="single" w:sz="4"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0.00%</w:t>
            </w:r>
          </w:p>
        </w:tc>
        <w:tc>
          <w:tcPr>
            <w:tcW w:w="1162" w:type="dxa"/>
            <w:tcBorders>
              <w:top w:val="nil"/>
              <w:left w:val="nil"/>
              <w:bottom w:val="single" w:sz="4" w:space="0" w:color="auto"/>
              <w:right w:val="single" w:sz="4" w:space="0" w:color="auto"/>
            </w:tcBorders>
            <w:shd w:val="clear" w:color="auto" w:fill="auto"/>
            <w:noWrap/>
            <w:hideMark/>
          </w:tcPr>
          <w:p w:rsidR="001769FA" w:rsidRPr="00A12C7A" w:rsidRDefault="001769FA" w:rsidP="00685941">
            <w:pPr>
              <w:jc w:val="right"/>
              <w:rPr>
                <w:sz w:val="20"/>
                <w:szCs w:val="20"/>
              </w:rPr>
            </w:pPr>
            <w:r w:rsidRPr="00A12C7A">
              <w:rPr>
                <w:sz w:val="20"/>
                <w:szCs w:val="20"/>
              </w:rPr>
              <w:t>0.00%</w:t>
            </w:r>
          </w:p>
        </w:tc>
      </w:tr>
      <w:tr w:rsidR="001769FA" w:rsidRPr="00A12C7A" w:rsidTr="00685941">
        <w:trPr>
          <w:trHeight w:val="330"/>
          <w:jc w:val="center"/>
        </w:trPr>
        <w:tc>
          <w:tcPr>
            <w:tcW w:w="2329" w:type="dxa"/>
            <w:tcBorders>
              <w:top w:val="nil"/>
              <w:left w:val="nil"/>
              <w:bottom w:val="nil"/>
              <w:right w:val="nil"/>
            </w:tcBorders>
            <w:shd w:val="clear" w:color="auto" w:fill="auto"/>
            <w:noWrap/>
            <w:vAlign w:val="bottom"/>
            <w:hideMark/>
          </w:tcPr>
          <w:p w:rsidR="001769FA" w:rsidRPr="00A12C7A" w:rsidRDefault="001769FA" w:rsidP="00685941">
            <w:pPr>
              <w:rPr>
                <w:sz w:val="20"/>
                <w:szCs w:val="20"/>
              </w:rPr>
            </w:pPr>
          </w:p>
        </w:tc>
        <w:tc>
          <w:tcPr>
            <w:tcW w:w="1127" w:type="dxa"/>
            <w:tcBorders>
              <w:top w:val="nil"/>
              <w:left w:val="single" w:sz="4" w:space="0" w:color="auto"/>
              <w:bottom w:val="double" w:sz="6"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$5,044,363 </w:t>
            </w:r>
          </w:p>
        </w:tc>
        <w:tc>
          <w:tcPr>
            <w:tcW w:w="1240" w:type="dxa"/>
            <w:tcBorders>
              <w:top w:val="nil"/>
              <w:left w:val="nil"/>
              <w:bottom w:val="double" w:sz="6"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$0 </w:t>
            </w:r>
          </w:p>
        </w:tc>
        <w:tc>
          <w:tcPr>
            <w:tcW w:w="671" w:type="dxa"/>
            <w:tcBorders>
              <w:top w:val="nil"/>
              <w:left w:val="nil"/>
              <w:bottom w:val="double" w:sz="6" w:space="0" w:color="auto"/>
              <w:right w:val="nil"/>
            </w:tcBorders>
            <w:shd w:val="clear" w:color="auto" w:fill="auto"/>
            <w:noWrap/>
            <w:vAlign w:val="bottom"/>
            <w:hideMark/>
          </w:tcPr>
          <w:p w:rsidR="001769FA" w:rsidRPr="00A12C7A" w:rsidRDefault="001769FA" w:rsidP="00685941">
            <w:pPr>
              <w:rPr>
                <w:sz w:val="20"/>
                <w:szCs w:val="20"/>
              </w:rPr>
            </w:pPr>
            <w:r w:rsidRPr="00A12C7A">
              <w:rPr>
                <w:sz w:val="20"/>
                <w:szCs w:val="20"/>
              </w:rPr>
              <w:t> </w:t>
            </w:r>
          </w:p>
        </w:tc>
        <w:tc>
          <w:tcPr>
            <w:tcW w:w="1140" w:type="dxa"/>
            <w:tcBorders>
              <w:top w:val="nil"/>
              <w:left w:val="nil"/>
              <w:bottom w:val="double" w:sz="6" w:space="0" w:color="auto"/>
              <w:right w:val="single" w:sz="4" w:space="0" w:color="auto"/>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$5,044,363 </w:t>
            </w:r>
          </w:p>
        </w:tc>
        <w:tc>
          <w:tcPr>
            <w:tcW w:w="1193" w:type="dxa"/>
            <w:tcBorders>
              <w:top w:val="nil"/>
              <w:left w:val="nil"/>
              <w:bottom w:val="double" w:sz="6" w:space="0" w:color="auto"/>
              <w:right w:val="nil"/>
            </w:tcBorders>
            <w:shd w:val="clear" w:color="auto" w:fill="auto"/>
            <w:noWrap/>
            <w:vAlign w:val="bottom"/>
            <w:hideMark/>
          </w:tcPr>
          <w:p w:rsidR="001769FA" w:rsidRPr="00A12C7A" w:rsidRDefault="001769FA" w:rsidP="00685941">
            <w:pPr>
              <w:rPr>
                <w:sz w:val="20"/>
                <w:szCs w:val="20"/>
              </w:rPr>
            </w:pPr>
            <w:r w:rsidRPr="00A12C7A">
              <w:rPr>
                <w:sz w:val="20"/>
                <w:szCs w:val="20"/>
              </w:rPr>
              <w:t> </w:t>
            </w:r>
          </w:p>
        </w:tc>
        <w:tc>
          <w:tcPr>
            <w:tcW w:w="1300" w:type="dxa"/>
            <w:tcBorders>
              <w:top w:val="nil"/>
              <w:left w:val="nil"/>
              <w:bottom w:val="double" w:sz="6" w:space="0" w:color="auto"/>
              <w:right w:val="nil"/>
            </w:tcBorders>
            <w:shd w:val="clear" w:color="auto" w:fill="auto"/>
            <w:noWrap/>
            <w:vAlign w:val="bottom"/>
            <w:hideMark/>
          </w:tcPr>
          <w:p w:rsidR="001769FA" w:rsidRPr="00A12C7A" w:rsidRDefault="001769FA" w:rsidP="00685941">
            <w:pPr>
              <w:rPr>
                <w:sz w:val="20"/>
                <w:szCs w:val="20"/>
              </w:rPr>
            </w:pPr>
            <w:r w:rsidRPr="00A12C7A">
              <w:rPr>
                <w:sz w:val="20"/>
                <w:szCs w:val="20"/>
              </w:rPr>
              <w:t> </w:t>
            </w:r>
          </w:p>
        </w:tc>
        <w:tc>
          <w:tcPr>
            <w:tcW w:w="1125" w:type="dxa"/>
            <w:tcBorders>
              <w:top w:val="nil"/>
              <w:left w:val="nil"/>
              <w:bottom w:val="double" w:sz="6"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color w:val="FF0000"/>
                <w:sz w:val="20"/>
                <w:szCs w:val="20"/>
              </w:rPr>
              <w:t>($22,540)</w:t>
            </w:r>
          </w:p>
        </w:tc>
        <w:tc>
          <w:tcPr>
            <w:tcW w:w="1260" w:type="dxa"/>
            <w:tcBorders>
              <w:top w:val="nil"/>
              <w:left w:val="nil"/>
              <w:bottom w:val="double" w:sz="6"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 xml:space="preserve">$5,021,353 </w:t>
            </w:r>
          </w:p>
        </w:tc>
        <w:tc>
          <w:tcPr>
            <w:tcW w:w="917" w:type="dxa"/>
            <w:tcBorders>
              <w:top w:val="nil"/>
              <w:left w:val="nil"/>
              <w:bottom w:val="double" w:sz="6" w:space="0" w:color="auto"/>
              <w:right w:val="nil"/>
            </w:tcBorders>
            <w:shd w:val="clear" w:color="auto" w:fill="auto"/>
            <w:noWrap/>
            <w:vAlign w:val="bottom"/>
            <w:hideMark/>
          </w:tcPr>
          <w:p w:rsidR="001769FA" w:rsidRPr="00A12C7A" w:rsidRDefault="001769FA" w:rsidP="00685941">
            <w:pPr>
              <w:jc w:val="right"/>
              <w:rPr>
                <w:sz w:val="20"/>
                <w:szCs w:val="20"/>
              </w:rPr>
            </w:pPr>
            <w:r w:rsidRPr="00A12C7A">
              <w:rPr>
                <w:sz w:val="20"/>
                <w:szCs w:val="20"/>
              </w:rPr>
              <w:t>100.00%</w:t>
            </w:r>
          </w:p>
        </w:tc>
        <w:tc>
          <w:tcPr>
            <w:tcW w:w="815" w:type="dxa"/>
            <w:tcBorders>
              <w:top w:val="nil"/>
              <w:left w:val="nil"/>
              <w:bottom w:val="double" w:sz="6" w:space="0" w:color="auto"/>
              <w:right w:val="nil"/>
            </w:tcBorders>
            <w:shd w:val="clear" w:color="auto" w:fill="auto"/>
            <w:noWrap/>
            <w:vAlign w:val="bottom"/>
            <w:hideMark/>
          </w:tcPr>
          <w:p w:rsidR="001769FA" w:rsidRPr="00A12C7A" w:rsidRDefault="001769FA" w:rsidP="00685941">
            <w:pPr>
              <w:rPr>
                <w:sz w:val="20"/>
                <w:szCs w:val="20"/>
              </w:rPr>
            </w:pPr>
            <w:r w:rsidRPr="00A12C7A">
              <w:rPr>
                <w:sz w:val="20"/>
                <w:szCs w:val="20"/>
              </w:rPr>
              <w:t> </w:t>
            </w:r>
          </w:p>
        </w:tc>
        <w:tc>
          <w:tcPr>
            <w:tcW w:w="1162" w:type="dxa"/>
            <w:tcBorders>
              <w:top w:val="nil"/>
              <w:left w:val="nil"/>
              <w:bottom w:val="double" w:sz="6" w:space="0" w:color="auto"/>
              <w:right w:val="single" w:sz="4" w:space="0" w:color="auto"/>
            </w:tcBorders>
            <w:shd w:val="clear" w:color="auto" w:fill="auto"/>
            <w:noWrap/>
            <w:hideMark/>
          </w:tcPr>
          <w:p w:rsidR="001769FA" w:rsidRPr="00A12C7A" w:rsidRDefault="00A12C7A" w:rsidP="00685941">
            <w:pPr>
              <w:jc w:val="right"/>
              <w:rPr>
                <w:sz w:val="20"/>
                <w:szCs w:val="20"/>
              </w:rPr>
            </w:pPr>
            <w:r>
              <w:rPr>
                <w:sz w:val="20"/>
                <w:szCs w:val="20"/>
              </w:rPr>
              <w:t>6.81</w:t>
            </w:r>
            <w:r w:rsidR="001769FA" w:rsidRPr="00A12C7A">
              <w:rPr>
                <w:sz w:val="20"/>
                <w:szCs w:val="20"/>
              </w:rPr>
              <w:t>%</w:t>
            </w:r>
          </w:p>
        </w:tc>
      </w:tr>
    </w:tbl>
    <w:p w:rsidR="001769FA" w:rsidRDefault="001769FA" w:rsidP="001769FA">
      <w:pPr>
        <w:pStyle w:val="OrderBody"/>
        <w:sectPr w:rsidR="001769FA" w:rsidSect="001769FA">
          <w:headerReference w:type="even" r:id="rId14"/>
          <w:headerReference w:type="default" r:id="rId15"/>
          <w:headerReference w:type="first" r:id="rId16"/>
          <w:pgSz w:w="15840" w:h="12240" w:orient="landscape" w:code="1"/>
          <w:pgMar w:top="1440" w:right="1440" w:bottom="1440" w:left="1440" w:header="720" w:footer="720" w:gutter="0"/>
          <w:cols w:space="720"/>
          <w:titlePg/>
          <w:docGrid w:linePitch="360"/>
        </w:sectPr>
      </w:pPr>
    </w:p>
    <w:p w:rsidR="001769FA" w:rsidRDefault="001769FA" w:rsidP="001769FA">
      <w:pPr>
        <w:pStyle w:val="IssueHeading"/>
      </w:pPr>
    </w:p>
    <w:p w:rsidR="001769FA" w:rsidRPr="003C4B7F" w:rsidRDefault="001769FA" w:rsidP="001769FA">
      <w:pPr>
        <w:jc w:val="center"/>
        <w:rPr>
          <w:b/>
        </w:rPr>
      </w:pPr>
      <w:r w:rsidRPr="003C4B7F">
        <w:rPr>
          <w:b/>
        </w:rPr>
        <w:t>Sebring Gas System</w:t>
      </w:r>
    </w:p>
    <w:p w:rsidR="001769FA" w:rsidRPr="003C4B7F" w:rsidRDefault="001769FA" w:rsidP="001769FA">
      <w:pPr>
        <w:jc w:val="center"/>
        <w:rPr>
          <w:b/>
        </w:rPr>
      </w:pPr>
      <w:r w:rsidRPr="003C4B7F">
        <w:rPr>
          <w:b/>
        </w:rPr>
        <w:t>Docket No.20190083-GU</w:t>
      </w:r>
    </w:p>
    <w:p w:rsidR="001769FA" w:rsidRPr="003C4B7F" w:rsidRDefault="001769FA" w:rsidP="001769FA">
      <w:pPr>
        <w:jc w:val="center"/>
        <w:rPr>
          <w:b/>
        </w:rPr>
      </w:pPr>
      <w:r w:rsidRPr="003C4B7F">
        <w:rPr>
          <w:b/>
        </w:rPr>
        <w:t>2020 Projected Test Year</w:t>
      </w:r>
    </w:p>
    <w:p w:rsidR="001769FA" w:rsidRPr="003C4B7F" w:rsidRDefault="001769FA" w:rsidP="001769FA">
      <w:pPr>
        <w:jc w:val="center"/>
        <w:rPr>
          <w:b/>
        </w:rPr>
      </w:pPr>
      <w:r w:rsidRPr="003C4B7F">
        <w:rPr>
          <w:b/>
        </w:rPr>
        <w:t>Net Operating Income</w:t>
      </w:r>
    </w:p>
    <w:tbl>
      <w:tblPr>
        <w:tblW w:w="10708" w:type="dxa"/>
        <w:tblInd w:w="-673" w:type="dxa"/>
        <w:tblLook w:val="04A0" w:firstRow="1" w:lastRow="0" w:firstColumn="1" w:lastColumn="0" w:noHBand="0" w:noVBand="1"/>
      </w:tblPr>
      <w:tblGrid>
        <w:gridCol w:w="4882"/>
        <w:gridCol w:w="1517"/>
        <w:gridCol w:w="1028"/>
        <w:gridCol w:w="1750"/>
        <w:gridCol w:w="1750"/>
      </w:tblGrid>
      <w:tr w:rsidR="001769FA" w:rsidRPr="006F3123" w:rsidTr="003C4B7F">
        <w:trPr>
          <w:trHeight w:val="353"/>
        </w:trPr>
        <w:tc>
          <w:tcPr>
            <w:tcW w:w="4882" w:type="dxa"/>
            <w:tcBorders>
              <w:top w:val="single" w:sz="8" w:space="0" w:color="auto"/>
              <w:left w:val="single" w:sz="8" w:space="0" w:color="auto"/>
              <w:bottom w:val="nil"/>
              <w:right w:val="nil"/>
            </w:tcBorders>
            <w:shd w:val="clear" w:color="auto" w:fill="auto"/>
            <w:noWrap/>
            <w:vAlign w:val="center"/>
            <w:hideMark/>
          </w:tcPr>
          <w:p w:rsidR="001769FA" w:rsidRPr="006F3123" w:rsidRDefault="001769FA" w:rsidP="00685941">
            <w:pPr>
              <w:rPr>
                <w:color w:val="000000"/>
              </w:rPr>
            </w:pPr>
            <w:r w:rsidRPr="006F3123">
              <w:rPr>
                <w:color w:val="000000"/>
              </w:rPr>
              <w:t> </w:t>
            </w:r>
          </w:p>
        </w:tc>
        <w:tc>
          <w:tcPr>
            <w:tcW w:w="1517" w:type="dxa"/>
            <w:tcBorders>
              <w:top w:val="single" w:sz="8" w:space="0" w:color="auto"/>
              <w:left w:val="nil"/>
              <w:bottom w:val="single" w:sz="8" w:space="0" w:color="auto"/>
              <w:right w:val="nil"/>
            </w:tcBorders>
            <w:shd w:val="clear" w:color="auto" w:fill="auto"/>
            <w:noWrap/>
            <w:vAlign w:val="center"/>
            <w:hideMark/>
          </w:tcPr>
          <w:p w:rsidR="001769FA" w:rsidRPr="006F3123" w:rsidRDefault="001769FA" w:rsidP="00685941">
            <w:pPr>
              <w:jc w:val="center"/>
              <w:rPr>
                <w:color w:val="000000"/>
              </w:rPr>
            </w:pPr>
            <w:r w:rsidRPr="006F3123">
              <w:rPr>
                <w:color w:val="000000"/>
              </w:rPr>
              <w:t>COMPANY</w:t>
            </w:r>
          </w:p>
        </w:tc>
        <w:tc>
          <w:tcPr>
            <w:tcW w:w="1028" w:type="dxa"/>
            <w:tcBorders>
              <w:top w:val="single" w:sz="8" w:space="0" w:color="auto"/>
              <w:left w:val="nil"/>
              <w:bottom w:val="nil"/>
              <w:right w:val="nil"/>
            </w:tcBorders>
            <w:shd w:val="clear" w:color="auto" w:fill="auto"/>
            <w:noWrap/>
            <w:vAlign w:val="center"/>
            <w:hideMark/>
          </w:tcPr>
          <w:p w:rsidR="001769FA" w:rsidRPr="006F3123" w:rsidRDefault="001769FA" w:rsidP="00685941">
            <w:pPr>
              <w:rPr>
                <w:color w:val="000000"/>
              </w:rPr>
            </w:pPr>
            <w:r w:rsidRPr="006F3123">
              <w:rPr>
                <w:color w:val="000000"/>
              </w:rPr>
              <w:t> </w:t>
            </w:r>
          </w:p>
        </w:tc>
        <w:tc>
          <w:tcPr>
            <w:tcW w:w="328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1769FA" w:rsidRPr="006F3123" w:rsidRDefault="003C4B7F" w:rsidP="00685941">
            <w:pPr>
              <w:jc w:val="center"/>
              <w:rPr>
                <w:color w:val="000000"/>
              </w:rPr>
            </w:pPr>
            <w:r>
              <w:rPr>
                <w:color w:val="000000"/>
              </w:rPr>
              <w:t>COMMISSION</w:t>
            </w:r>
          </w:p>
        </w:tc>
      </w:tr>
      <w:tr w:rsidR="001769FA" w:rsidRPr="006F3123" w:rsidTr="003C4B7F">
        <w:trPr>
          <w:trHeight w:val="1011"/>
        </w:trPr>
        <w:tc>
          <w:tcPr>
            <w:tcW w:w="4882" w:type="dxa"/>
            <w:tcBorders>
              <w:top w:val="nil"/>
              <w:left w:val="single" w:sz="8" w:space="0" w:color="auto"/>
              <w:bottom w:val="nil"/>
              <w:right w:val="nil"/>
            </w:tcBorders>
            <w:shd w:val="clear" w:color="auto" w:fill="auto"/>
            <w:noWrap/>
            <w:vAlign w:val="center"/>
            <w:hideMark/>
          </w:tcPr>
          <w:p w:rsidR="001769FA" w:rsidRPr="006F3123" w:rsidRDefault="001769FA" w:rsidP="00685941">
            <w:pPr>
              <w:rPr>
                <w:color w:val="000000"/>
              </w:rPr>
            </w:pPr>
            <w:r w:rsidRPr="006F3123">
              <w:rPr>
                <w:color w:val="000000"/>
              </w:rPr>
              <w:t> </w:t>
            </w:r>
          </w:p>
        </w:tc>
        <w:tc>
          <w:tcPr>
            <w:tcW w:w="1517" w:type="dxa"/>
            <w:tcBorders>
              <w:top w:val="nil"/>
              <w:left w:val="nil"/>
              <w:bottom w:val="nil"/>
              <w:right w:val="nil"/>
            </w:tcBorders>
            <w:shd w:val="clear" w:color="auto" w:fill="auto"/>
            <w:vAlign w:val="center"/>
            <w:hideMark/>
          </w:tcPr>
          <w:p w:rsidR="001769FA" w:rsidRPr="006F3123" w:rsidRDefault="001769FA" w:rsidP="00685941">
            <w:pPr>
              <w:jc w:val="center"/>
              <w:rPr>
                <w:color w:val="000000"/>
                <w:u w:val="single"/>
              </w:rPr>
            </w:pPr>
            <w:r w:rsidRPr="006F3123">
              <w:rPr>
                <w:color w:val="000000"/>
                <w:u w:val="single"/>
              </w:rPr>
              <w:t>PTY 2020</w:t>
            </w:r>
          </w:p>
        </w:tc>
        <w:tc>
          <w:tcPr>
            <w:tcW w:w="1028" w:type="dxa"/>
            <w:tcBorders>
              <w:top w:val="nil"/>
              <w:left w:val="nil"/>
              <w:bottom w:val="nil"/>
              <w:right w:val="nil"/>
            </w:tcBorders>
            <w:shd w:val="clear" w:color="auto" w:fill="auto"/>
            <w:vAlign w:val="bottom"/>
            <w:hideMark/>
          </w:tcPr>
          <w:p w:rsidR="001769FA" w:rsidRPr="006F3123" w:rsidRDefault="001769FA" w:rsidP="00685941">
            <w:pPr>
              <w:rPr>
                <w:color w:val="000000"/>
                <w:sz w:val="22"/>
                <w:szCs w:val="22"/>
              </w:rPr>
            </w:pPr>
          </w:p>
        </w:tc>
        <w:tc>
          <w:tcPr>
            <w:tcW w:w="1750" w:type="dxa"/>
            <w:tcBorders>
              <w:top w:val="nil"/>
              <w:left w:val="nil"/>
              <w:bottom w:val="nil"/>
              <w:right w:val="nil"/>
            </w:tcBorders>
            <w:shd w:val="clear" w:color="auto" w:fill="auto"/>
            <w:vAlign w:val="center"/>
            <w:hideMark/>
          </w:tcPr>
          <w:p w:rsidR="001769FA" w:rsidRPr="006F3123" w:rsidRDefault="003C4B7F" w:rsidP="00685941">
            <w:pPr>
              <w:jc w:val="center"/>
              <w:rPr>
                <w:color w:val="000000"/>
              </w:rPr>
            </w:pPr>
            <w:r>
              <w:rPr>
                <w:color w:val="000000"/>
              </w:rPr>
              <w:t>COMMISSION</w:t>
            </w:r>
            <w:r w:rsidR="001769FA" w:rsidRPr="006F3123">
              <w:rPr>
                <w:color w:val="000000"/>
              </w:rPr>
              <w:t xml:space="preserve"> </w:t>
            </w:r>
            <w:r w:rsidR="001769FA" w:rsidRPr="006F3123">
              <w:rPr>
                <w:color w:val="000000"/>
                <w:u w:val="single"/>
              </w:rPr>
              <w:t>ADJS.</w:t>
            </w:r>
          </w:p>
        </w:tc>
        <w:tc>
          <w:tcPr>
            <w:tcW w:w="1531" w:type="dxa"/>
            <w:tcBorders>
              <w:top w:val="nil"/>
              <w:left w:val="nil"/>
              <w:bottom w:val="nil"/>
              <w:right w:val="single" w:sz="8" w:space="0" w:color="auto"/>
            </w:tcBorders>
            <w:shd w:val="clear" w:color="auto" w:fill="auto"/>
            <w:vAlign w:val="center"/>
            <w:hideMark/>
          </w:tcPr>
          <w:p w:rsidR="001769FA" w:rsidRPr="006F3123" w:rsidRDefault="003C4B7F" w:rsidP="00685941">
            <w:pPr>
              <w:jc w:val="center"/>
              <w:rPr>
                <w:color w:val="000000"/>
              </w:rPr>
            </w:pPr>
            <w:r>
              <w:rPr>
                <w:color w:val="000000"/>
              </w:rPr>
              <w:t>COMMISSION</w:t>
            </w:r>
            <w:r w:rsidR="001769FA" w:rsidRPr="006F3123">
              <w:rPr>
                <w:color w:val="000000"/>
              </w:rPr>
              <w:t xml:space="preserve"> </w:t>
            </w:r>
            <w:r w:rsidR="001769FA" w:rsidRPr="006F3123">
              <w:rPr>
                <w:color w:val="000000"/>
                <w:u w:val="single"/>
              </w:rPr>
              <w:t>ADJUSTED</w:t>
            </w:r>
          </w:p>
        </w:tc>
      </w:tr>
      <w:tr w:rsidR="001769FA" w:rsidRPr="006F3123" w:rsidTr="003C4B7F">
        <w:trPr>
          <w:trHeight w:val="337"/>
        </w:trPr>
        <w:tc>
          <w:tcPr>
            <w:tcW w:w="4882" w:type="dxa"/>
            <w:tcBorders>
              <w:top w:val="nil"/>
              <w:left w:val="single" w:sz="8" w:space="0" w:color="auto"/>
              <w:bottom w:val="nil"/>
              <w:right w:val="nil"/>
            </w:tcBorders>
            <w:shd w:val="clear" w:color="auto" w:fill="auto"/>
            <w:noWrap/>
            <w:vAlign w:val="center"/>
            <w:hideMark/>
          </w:tcPr>
          <w:p w:rsidR="001769FA" w:rsidRPr="006F3123" w:rsidRDefault="001769FA" w:rsidP="00685941">
            <w:pPr>
              <w:rPr>
                <w:color w:val="000000"/>
              </w:rPr>
            </w:pPr>
            <w:r w:rsidRPr="006F3123">
              <w:rPr>
                <w:color w:val="000000"/>
              </w:rPr>
              <w:t>OPERATING REVENUES</w:t>
            </w:r>
          </w:p>
        </w:tc>
        <w:tc>
          <w:tcPr>
            <w:tcW w:w="1517"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$1,033,155 </w:t>
            </w:r>
          </w:p>
        </w:tc>
        <w:tc>
          <w:tcPr>
            <w:tcW w:w="1028"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750"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$0 </w:t>
            </w:r>
          </w:p>
        </w:tc>
        <w:tc>
          <w:tcPr>
            <w:tcW w:w="1531" w:type="dxa"/>
            <w:tcBorders>
              <w:top w:val="nil"/>
              <w:left w:val="nil"/>
              <w:bottom w:val="nil"/>
              <w:right w:val="single" w:sz="8" w:space="0" w:color="auto"/>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$1,033,155 </w:t>
            </w:r>
          </w:p>
        </w:tc>
      </w:tr>
      <w:tr w:rsidR="001769FA" w:rsidRPr="006F3123" w:rsidTr="003C4B7F">
        <w:trPr>
          <w:trHeight w:val="337"/>
        </w:trPr>
        <w:tc>
          <w:tcPr>
            <w:tcW w:w="4882" w:type="dxa"/>
            <w:tcBorders>
              <w:top w:val="nil"/>
              <w:left w:val="single" w:sz="8" w:space="0" w:color="auto"/>
              <w:bottom w:val="nil"/>
              <w:right w:val="nil"/>
            </w:tcBorders>
            <w:shd w:val="clear" w:color="auto" w:fill="auto"/>
            <w:noWrap/>
            <w:vAlign w:val="center"/>
            <w:hideMark/>
          </w:tcPr>
          <w:p w:rsidR="001769FA" w:rsidRPr="006F3123" w:rsidRDefault="001769FA" w:rsidP="00685941">
            <w:pPr>
              <w:rPr>
                <w:color w:val="000000"/>
              </w:rPr>
            </w:pPr>
            <w:r w:rsidRPr="006F3123">
              <w:rPr>
                <w:color w:val="000000"/>
              </w:rPr>
              <w:t>REVENUES DUE TO GROWTH</w:t>
            </w:r>
          </w:p>
        </w:tc>
        <w:tc>
          <w:tcPr>
            <w:tcW w:w="1517" w:type="dxa"/>
            <w:tcBorders>
              <w:top w:val="nil"/>
              <w:left w:val="nil"/>
              <w:bottom w:val="single" w:sz="4" w:space="0" w:color="auto"/>
              <w:right w:val="nil"/>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153,045 </w:t>
            </w:r>
          </w:p>
        </w:tc>
        <w:tc>
          <w:tcPr>
            <w:tcW w:w="1028"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750" w:type="dxa"/>
            <w:tcBorders>
              <w:top w:val="nil"/>
              <w:left w:val="nil"/>
              <w:bottom w:val="single" w:sz="4" w:space="0" w:color="auto"/>
              <w:right w:val="nil"/>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0 </w:t>
            </w:r>
          </w:p>
        </w:tc>
        <w:tc>
          <w:tcPr>
            <w:tcW w:w="1531" w:type="dxa"/>
            <w:tcBorders>
              <w:top w:val="nil"/>
              <w:left w:val="nil"/>
              <w:bottom w:val="single" w:sz="4" w:space="0" w:color="auto"/>
              <w:right w:val="single" w:sz="8" w:space="0" w:color="auto"/>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153,045 </w:t>
            </w:r>
          </w:p>
        </w:tc>
      </w:tr>
      <w:tr w:rsidR="001769FA" w:rsidRPr="006F3123" w:rsidTr="003C4B7F">
        <w:trPr>
          <w:trHeight w:val="337"/>
        </w:trPr>
        <w:tc>
          <w:tcPr>
            <w:tcW w:w="4882" w:type="dxa"/>
            <w:tcBorders>
              <w:top w:val="nil"/>
              <w:left w:val="single" w:sz="8" w:space="0" w:color="auto"/>
              <w:bottom w:val="nil"/>
              <w:right w:val="nil"/>
            </w:tcBorders>
            <w:shd w:val="clear" w:color="auto" w:fill="auto"/>
            <w:noWrap/>
            <w:vAlign w:val="center"/>
            <w:hideMark/>
          </w:tcPr>
          <w:p w:rsidR="001769FA" w:rsidRPr="006F3123" w:rsidRDefault="001769FA" w:rsidP="00685941">
            <w:pPr>
              <w:rPr>
                <w:color w:val="000000"/>
              </w:rPr>
            </w:pPr>
            <w:r w:rsidRPr="006F3123">
              <w:rPr>
                <w:color w:val="000000"/>
              </w:rPr>
              <w:t xml:space="preserve">    TOTAL OPERATING REVENUES </w:t>
            </w:r>
          </w:p>
        </w:tc>
        <w:tc>
          <w:tcPr>
            <w:tcW w:w="1517"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$1,186,200 </w:t>
            </w:r>
          </w:p>
        </w:tc>
        <w:tc>
          <w:tcPr>
            <w:tcW w:w="1028"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750"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$0 </w:t>
            </w:r>
          </w:p>
        </w:tc>
        <w:tc>
          <w:tcPr>
            <w:tcW w:w="1531" w:type="dxa"/>
            <w:tcBorders>
              <w:top w:val="nil"/>
              <w:left w:val="nil"/>
              <w:bottom w:val="nil"/>
              <w:right w:val="single" w:sz="8" w:space="0" w:color="auto"/>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$1,186,200 </w:t>
            </w:r>
          </w:p>
        </w:tc>
      </w:tr>
      <w:tr w:rsidR="001769FA" w:rsidRPr="006F3123" w:rsidTr="003C4B7F">
        <w:trPr>
          <w:trHeight w:val="337"/>
        </w:trPr>
        <w:tc>
          <w:tcPr>
            <w:tcW w:w="4882" w:type="dxa"/>
            <w:tcBorders>
              <w:top w:val="nil"/>
              <w:left w:val="single" w:sz="8" w:space="0" w:color="auto"/>
              <w:bottom w:val="nil"/>
              <w:right w:val="nil"/>
            </w:tcBorders>
            <w:shd w:val="clear" w:color="auto" w:fill="auto"/>
            <w:noWrap/>
            <w:vAlign w:val="center"/>
            <w:hideMark/>
          </w:tcPr>
          <w:p w:rsidR="001769FA" w:rsidRPr="006F3123" w:rsidRDefault="001769FA" w:rsidP="00685941">
            <w:pPr>
              <w:rPr>
                <w:color w:val="000000"/>
              </w:rPr>
            </w:pPr>
            <w:r w:rsidRPr="006F3123">
              <w:rPr>
                <w:color w:val="000000"/>
              </w:rPr>
              <w:t> </w:t>
            </w:r>
          </w:p>
        </w:tc>
        <w:tc>
          <w:tcPr>
            <w:tcW w:w="1517"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028"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750"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531" w:type="dxa"/>
            <w:tcBorders>
              <w:top w:val="nil"/>
              <w:left w:val="nil"/>
              <w:bottom w:val="nil"/>
              <w:right w:val="single" w:sz="8" w:space="0" w:color="auto"/>
            </w:tcBorders>
            <w:shd w:val="clear" w:color="auto" w:fill="auto"/>
            <w:noWrap/>
            <w:vAlign w:val="center"/>
            <w:hideMark/>
          </w:tcPr>
          <w:p w:rsidR="001769FA" w:rsidRPr="006F3123" w:rsidRDefault="001769FA" w:rsidP="00685941">
            <w:pPr>
              <w:rPr>
                <w:color w:val="000000"/>
              </w:rPr>
            </w:pPr>
            <w:r w:rsidRPr="006F3123">
              <w:rPr>
                <w:color w:val="000000"/>
              </w:rPr>
              <w:t> </w:t>
            </w:r>
          </w:p>
        </w:tc>
      </w:tr>
      <w:tr w:rsidR="001769FA" w:rsidRPr="006F3123" w:rsidTr="003C4B7F">
        <w:trPr>
          <w:trHeight w:val="337"/>
        </w:trPr>
        <w:tc>
          <w:tcPr>
            <w:tcW w:w="4882" w:type="dxa"/>
            <w:tcBorders>
              <w:top w:val="nil"/>
              <w:left w:val="single" w:sz="8" w:space="0" w:color="auto"/>
              <w:bottom w:val="nil"/>
              <w:right w:val="nil"/>
            </w:tcBorders>
            <w:shd w:val="clear" w:color="auto" w:fill="auto"/>
            <w:noWrap/>
            <w:vAlign w:val="center"/>
            <w:hideMark/>
          </w:tcPr>
          <w:p w:rsidR="001769FA" w:rsidRPr="006F3123" w:rsidRDefault="001769FA" w:rsidP="00685941">
            <w:pPr>
              <w:rPr>
                <w:b/>
                <w:bCs/>
                <w:color w:val="000000"/>
              </w:rPr>
            </w:pPr>
            <w:r w:rsidRPr="006F3123">
              <w:rPr>
                <w:b/>
                <w:bCs/>
                <w:color w:val="000000"/>
              </w:rPr>
              <w:t xml:space="preserve">OPERATING EXPENSES </w:t>
            </w:r>
          </w:p>
        </w:tc>
        <w:tc>
          <w:tcPr>
            <w:tcW w:w="1517"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028"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750"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531" w:type="dxa"/>
            <w:tcBorders>
              <w:top w:val="nil"/>
              <w:left w:val="nil"/>
              <w:bottom w:val="nil"/>
              <w:right w:val="single" w:sz="8" w:space="0" w:color="auto"/>
            </w:tcBorders>
            <w:shd w:val="clear" w:color="auto" w:fill="auto"/>
            <w:noWrap/>
            <w:vAlign w:val="center"/>
            <w:hideMark/>
          </w:tcPr>
          <w:p w:rsidR="001769FA" w:rsidRPr="006F3123" w:rsidRDefault="001769FA" w:rsidP="00685941">
            <w:pPr>
              <w:rPr>
                <w:color w:val="000000"/>
              </w:rPr>
            </w:pPr>
            <w:r w:rsidRPr="006F3123">
              <w:rPr>
                <w:color w:val="000000"/>
              </w:rPr>
              <w:t> </w:t>
            </w:r>
          </w:p>
        </w:tc>
      </w:tr>
      <w:tr w:rsidR="001769FA" w:rsidRPr="006F3123" w:rsidTr="003C4B7F">
        <w:trPr>
          <w:trHeight w:val="337"/>
        </w:trPr>
        <w:tc>
          <w:tcPr>
            <w:tcW w:w="4882" w:type="dxa"/>
            <w:tcBorders>
              <w:top w:val="nil"/>
              <w:left w:val="single" w:sz="8" w:space="0" w:color="auto"/>
              <w:bottom w:val="nil"/>
              <w:right w:val="nil"/>
            </w:tcBorders>
            <w:shd w:val="clear" w:color="auto" w:fill="auto"/>
            <w:noWrap/>
            <w:vAlign w:val="center"/>
            <w:hideMark/>
          </w:tcPr>
          <w:p w:rsidR="001769FA" w:rsidRPr="006F3123" w:rsidRDefault="001769FA" w:rsidP="00685941">
            <w:pPr>
              <w:rPr>
                <w:color w:val="000000"/>
              </w:rPr>
            </w:pPr>
            <w:r w:rsidRPr="006F3123">
              <w:rPr>
                <w:color w:val="000000"/>
              </w:rPr>
              <w:t>OPERATIONS AND MAINTENANCE</w:t>
            </w:r>
          </w:p>
        </w:tc>
        <w:tc>
          <w:tcPr>
            <w:tcW w:w="1517"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739,587 </w:t>
            </w:r>
          </w:p>
        </w:tc>
        <w:tc>
          <w:tcPr>
            <w:tcW w:w="1028"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750"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2,405 </w:t>
            </w:r>
          </w:p>
        </w:tc>
        <w:tc>
          <w:tcPr>
            <w:tcW w:w="1531" w:type="dxa"/>
            <w:tcBorders>
              <w:top w:val="nil"/>
              <w:left w:val="nil"/>
              <w:bottom w:val="nil"/>
              <w:right w:val="single" w:sz="8" w:space="0" w:color="auto"/>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741,992 </w:t>
            </w:r>
          </w:p>
        </w:tc>
      </w:tr>
      <w:tr w:rsidR="001769FA" w:rsidRPr="006F3123" w:rsidTr="003C4B7F">
        <w:trPr>
          <w:trHeight w:val="337"/>
        </w:trPr>
        <w:tc>
          <w:tcPr>
            <w:tcW w:w="4882" w:type="dxa"/>
            <w:tcBorders>
              <w:top w:val="nil"/>
              <w:left w:val="single" w:sz="8" w:space="0" w:color="auto"/>
              <w:bottom w:val="nil"/>
              <w:right w:val="nil"/>
            </w:tcBorders>
            <w:shd w:val="clear" w:color="auto" w:fill="auto"/>
            <w:noWrap/>
            <w:vAlign w:val="center"/>
            <w:hideMark/>
          </w:tcPr>
          <w:p w:rsidR="001769FA" w:rsidRPr="006F3123" w:rsidRDefault="001769FA" w:rsidP="00685941">
            <w:pPr>
              <w:rPr>
                <w:color w:val="000000"/>
              </w:rPr>
            </w:pPr>
            <w:r w:rsidRPr="006F3123">
              <w:rPr>
                <w:color w:val="000000"/>
              </w:rPr>
              <w:t xml:space="preserve">DEPRECIATION &amp;AMORTIZATION </w:t>
            </w:r>
          </w:p>
        </w:tc>
        <w:tc>
          <w:tcPr>
            <w:tcW w:w="1517"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rPr>
            </w:pPr>
            <w:r w:rsidRPr="006F3123">
              <w:rPr>
                <w:color w:val="000000"/>
              </w:rPr>
              <w:t>26</w:t>
            </w:r>
            <w:r>
              <w:rPr>
                <w:color w:val="000000"/>
              </w:rPr>
              <w:t>0,594</w:t>
            </w:r>
            <w:r w:rsidRPr="006F3123">
              <w:rPr>
                <w:color w:val="000000"/>
              </w:rPr>
              <w:t xml:space="preserve"> </w:t>
            </w:r>
          </w:p>
        </w:tc>
        <w:tc>
          <w:tcPr>
            <w:tcW w:w="1028"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750"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rPr>
            </w:pPr>
            <w:r>
              <w:rPr>
                <w:color w:val="000000"/>
              </w:rPr>
              <w:t>(</w:t>
            </w:r>
            <w:r w:rsidRPr="006F3123">
              <w:rPr>
                <w:color w:val="000000"/>
              </w:rPr>
              <w:t>542)</w:t>
            </w:r>
          </w:p>
        </w:tc>
        <w:tc>
          <w:tcPr>
            <w:tcW w:w="1531" w:type="dxa"/>
            <w:tcBorders>
              <w:top w:val="nil"/>
              <w:left w:val="nil"/>
              <w:bottom w:val="nil"/>
              <w:right w:val="single" w:sz="8" w:space="0" w:color="auto"/>
            </w:tcBorders>
            <w:shd w:val="clear" w:color="auto" w:fill="auto"/>
            <w:noWrap/>
            <w:vAlign w:val="center"/>
            <w:hideMark/>
          </w:tcPr>
          <w:p w:rsidR="001769FA" w:rsidRPr="006F3123" w:rsidRDefault="001769FA" w:rsidP="00685941">
            <w:pPr>
              <w:jc w:val="right"/>
              <w:rPr>
                <w:color w:val="000000"/>
              </w:rPr>
            </w:pPr>
            <w:r w:rsidRPr="006F3123">
              <w:rPr>
                <w:color w:val="000000"/>
              </w:rPr>
              <w:t>26</w:t>
            </w:r>
            <w:r>
              <w:rPr>
                <w:color w:val="000000"/>
              </w:rPr>
              <w:t>0,052</w:t>
            </w:r>
            <w:r w:rsidRPr="006F3123">
              <w:rPr>
                <w:color w:val="000000"/>
              </w:rPr>
              <w:t xml:space="preserve"> </w:t>
            </w:r>
          </w:p>
        </w:tc>
      </w:tr>
      <w:tr w:rsidR="001769FA" w:rsidRPr="006F3123" w:rsidTr="003C4B7F">
        <w:trPr>
          <w:trHeight w:val="337"/>
        </w:trPr>
        <w:tc>
          <w:tcPr>
            <w:tcW w:w="4882" w:type="dxa"/>
            <w:tcBorders>
              <w:top w:val="nil"/>
              <w:left w:val="single" w:sz="8" w:space="0" w:color="auto"/>
              <w:bottom w:val="nil"/>
              <w:right w:val="nil"/>
            </w:tcBorders>
            <w:shd w:val="clear" w:color="auto" w:fill="auto"/>
            <w:noWrap/>
            <w:vAlign w:val="center"/>
            <w:hideMark/>
          </w:tcPr>
          <w:p w:rsidR="001769FA" w:rsidRPr="006F3123" w:rsidRDefault="001769FA" w:rsidP="00685941">
            <w:pPr>
              <w:rPr>
                <w:color w:val="000000"/>
              </w:rPr>
            </w:pPr>
            <w:r w:rsidRPr="006F3123">
              <w:rPr>
                <w:color w:val="000000"/>
              </w:rPr>
              <w:t>TAXES OTHER THAN INCOME</w:t>
            </w:r>
          </w:p>
        </w:tc>
        <w:tc>
          <w:tcPr>
            <w:tcW w:w="1517"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22,931 </w:t>
            </w:r>
          </w:p>
        </w:tc>
        <w:tc>
          <w:tcPr>
            <w:tcW w:w="1028"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750"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rPr>
            </w:pPr>
            <w:r>
              <w:rPr>
                <w:color w:val="000000"/>
              </w:rPr>
              <w:t>(463)</w:t>
            </w:r>
            <w:r w:rsidRPr="006F3123">
              <w:rPr>
                <w:color w:val="000000"/>
              </w:rPr>
              <w:t xml:space="preserve"> </w:t>
            </w:r>
          </w:p>
        </w:tc>
        <w:tc>
          <w:tcPr>
            <w:tcW w:w="1531" w:type="dxa"/>
            <w:tcBorders>
              <w:top w:val="nil"/>
              <w:left w:val="nil"/>
              <w:bottom w:val="nil"/>
              <w:right w:val="single" w:sz="8" w:space="0" w:color="auto"/>
            </w:tcBorders>
            <w:shd w:val="clear" w:color="auto" w:fill="auto"/>
            <w:noWrap/>
            <w:vAlign w:val="center"/>
            <w:hideMark/>
          </w:tcPr>
          <w:p w:rsidR="001769FA" w:rsidRPr="006F3123" w:rsidRDefault="001769FA" w:rsidP="00685941">
            <w:pPr>
              <w:jc w:val="right"/>
              <w:rPr>
                <w:color w:val="000000"/>
              </w:rPr>
            </w:pPr>
            <w:r w:rsidRPr="006F3123">
              <w:rPr>
                <w:color w:val="000000"/>
              </w:rPr>
              <w:t>22,</w:t>
            </w:r>
            <w:r>
              <w:rPr>
                <w:color w:val="000000"/>
              </w:rPr>
              <w:t>468</w:t>
            </w:r>
            <w:r w:rsidRPr="006F3123">
              <w:rPr>
                <w:color w:val="000000"/>
              </w:rPr>
              <w:t xml:space="preserve"> </w:t>
            </w:r>
          </w:p>
        </w:tc>
      </w:tr>
      <w:tr w:rsidR="001769FA" w:rsidRPr="006F3123" w:rsidTr="003C4B7F">
        <w:trPr>
          <w:trHeight w:val="337"/>
        </w:trPr>
        <w:tc>
          <w:tcPr>
            <w:tcW w:w="4882" w:type="dxa"/>
            <w:tcBorders>
              <w:top w:val="nil"/>
              <w:left w:val="single" w:sz="8" w:space="0" w:color="auto"/>
              <w:bottom w:val="nil"/>
              <w:right w:val="nil"/>
            </w:tcBorders>
            <w:shd w:val="clear" w:color="auto" w:fill="auto"/>
            <w:noWrap/>
            <w:vAlign w:val="center"/>
            <w:hideMark/>
          </w:tcPr>
          <w:p w:rsidR="001769FA" w:rsidRPr="006F3123" w:rsidRDefault="001769FA" w:rsidP="00685941">
            <w:pPr>
              <w:rPr>
                <w:color w:val="000000"/>
              </w:rPr>
            </w:pPr>
            <w:r w:rsidRPr="006F3123">
              <w:rPr>
                <w:color w:val="000000"/>
              </w:rPr>
              <w:t>CURRENT FEDERAL INCOME TAX EXP.</w:t>
            </w:r>
          </w:p>
        </w:tc>
        <w:tc>
          <w:tcPr>
            <w:tcW w:w="1517"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rPr>
            </w:pPr>
            <w:r>
              <w:rPr>
                <w:color w:val="000000"/>
              </w:rPr>
              <w:t>(1,546</w:t>
            </w:r>
            <w:r w:rsidRPr="006F3123">
              <w:rPr>
                <w:color w:val="000000"/>
              </w:rPr>
              <w:t>)</w:t>
            </w:r>
          </w:p>
        </w:tc>
        <w:tc>
          <w:tcPr>
            <w:tcW w:w="1028"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750"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0 </w:t>
            </w:r>
          </w:p>
        </w:tc>
        <w:tc>
          <w:tcPr>
            <w:tcW w:w="1531" w:type="dxa"/>
            <w:tcBorders>
              <w:top w:val="nil"/>
              <w:left w:val="nil"/>
              <w:bottom w:val="nil"/>
              <w:right w:val="single" w:sz="8" w:space="0" w:color="auto"/>
            </w:tcBorders>
            <w:shd w:val="clear" w:color="auto" w:fill="auto"/>
            <w:noWrap/>
            <w:vAlign w:val="center"/>
            <w:hideMark/>
          </w:tcPr>
          <w:p w:rsidR="001769FA" w:rsidRPr="006F3123" w:rsidRDefault="001769FA" w:rsidP="00685941">
            <w:pPr>
              <w:jc w:val="right"/>
              <w:rPr>
                <w:color w:val="000000"/>
              </w:rPr>
            </w:pPr>
            <w:r>
              <w:rPr>
                <w:color w:val="000000"/>
              </w:rPr>
              <w:t>(1,546</w:t>
            </w:r>
            <w:r w:rsidRPr="006F3123">
              <w:rPr>
                <w:color w:val="000000"/>
              </w:rPr>
              <w:t>)</w:t>
            </w:r>
          </w:p>
        </w:tc>
      </w:tr>
      <w:tr w:rsidR="001769FA" w:rsidRPr="006F3123" w:rsidTr="003C4B7F">
        <w:trPr>
          <w:trHeight w:val="337"/>
        </w:trPr>
        <w:tc>
          <w:tcPr>
            <w:tcW w:w="4882" w:type="dxa"/>
            <w:tcBorders>
              <w:top w:val="nil"/>
              <w:left w:val="single" w:sz="8" w:space="0" w:color="auto"/>
              <w:bottom w:val="nil"/>
              <w:right w:val="nil"/>
            </w:tcBorders>
            <w:shd w:val="clear" w:color="auto" w:fill="auto"/>
            <w:noWrap/>
            <w:vAlign w:val="center"/>
            <w:hideMark/>
          </w:tcPr>
          <w:p w:rsidR="001769FA" w:rsidRPr="006F3123" w:rsidRDefault="001769FA" w:rsidP="00685941">
            <w:pPr>
              <w:rPr>
                <w:color w:val="000000"/>
              </w:rPr>
            </w:pPr>
            <w:r w:rsidRPr="006F3123">
              <w:rPr>
                <w:color w:val="000000"/>
              </w:rPr>
              <w:t>CURRENT STATE INCOME TAX EXP.</w:t>
            </w:r>
          </w:p>
        </w:tc>
        <w:tc>
          <w:tcPr>
            <w:tcW w:w="1517"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rPr>
            </w:pPr>
            <w:r>
              <w:rPr>
                <w:color w:val="000000"/>
              </w:rPr>
              <w:t>(429</w:t>
            </w:r>
            <w:r w:rsidRPr="006F3123">
              <w:rPr>
                <w:color w:val="000000"/>
              </w:rPr>
              <w:t>)</w:t>
            </w:r>
          </w:p>
        </w:tc>
        <w:tc>
          <w:tcPr>
            <w:tcW w:w="1028"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750"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0 </w:t>
            </w:r>
          </w:p>
        </w:tc>
        <w:tc>
          <w:tcPr>
            <w:tcW w:w="1531" w:type="dxa"/>
            <w:tcBorders>
              <w:top w:val="nil"/>
              <w:left w:val="nil"/>
              <w:bottom w:val="nil"/>
              <w:right w:val="single" w:sz="8" w:space="0" w:color="auto"/>
            </w:tcBorders>
            <w:shd w:val="clear" w:color="auto" w:fill="auto"/>
            <w:noWrap/>
            <w:vAlign w:val="center"/>
            <w:hideMark/>
          </w:tcPr>
          <w:p w:rsidR="001769FA" w:rsidRPr="006F3123" w:rsidRDefault="001769FA" w:rsidP="00685941">
            <w:pPr>
              <w:jc w:val="right"/>
              <w:rPr>
                <w:color w:val="000000"/>
              </w:rPr>
            </w:pPr>
            <w:r>
              <w:rPr>
                <w:color w:val="000000"/>
              </w:rPr>
              <w:t>(429</w:t>
            </w:r>
            <w:r w:rsidRPr="006F3123">
              <w:rPr>
                <w:color w:val="000000"/>
              </w:rPr>
              <w:t>)</w:t>
            </w:r>
          </w:p>
        </w:tc>
      </w:tr>
      <w:tr w:rsidR="001769FA" w:rsidRPr="006F3123" w:rsidTr="003C4B7F">
        <w:trPr>
          <w:trHeight w:val="337"/>
        </w:trPr>
        <w:tc>
          <w:tcPr>
            <w:tcW w:w="4882" w:type="dxa"/>
            <w:tcBorders>
              <w:top w:val="nil"/>
              <w:left w:val="single" w:sz="8" w:space="0" w:color="auto"/>
              <w:bottom w:val="nil"/>
              <w:right w:val="nil"/>
            </w:tcBorders>
            <w:shd w:val="clear" w:color="auto" w:fill="auto"/>
            <w:noWrap/>
            <w:vAlign w:val="center"/>
            <w:hideMark/>
          </w:tcPr>
          <w:p w:rsidR="001769FA" w:rsidRPr="006F3123" w:rsidRDefault="001769FA" w:rsidP="00685941">
            <w:pPr>
              <w:rPr>
                <w:color w:val="000000"/>
              </w:rPr>
            </w:pPr>
            <w:r w:rsidRPr="006F3123">
              <w:rPr>
                <w:color w:val="000000"/>
              </w:rPr>
              <w:t>DEFERRED FEDERAL INCOME TAX EXP.</w:t>
            </w:r>
          </w:p>
        </w:tc>
        <w:tc>
          <w:tcPr>
            <w:tcW w:w="1517"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028"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750"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14,906 </w:t>
            </w:r>
          </w:p>
        </w:tc>
        <w:tc>
          <w:tcPr>
            <w:tcW w:w="1531" w:type="dxa"/>
            <w:tcBorders>
              <w:top w:val="nil"/>
              <w:left w:val="nil"/>
              <w:bottom w:val="nil"/>
              <w:right w:val="single" w:sz="8" w:space="0" w:color="auto"/>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14,906 </w:t>
            </w:r>
          </w:p>
        </w:tc>
      </w:tr>
      <w:tr w:rsidR="001769FA" w:rsidRPr="006F3123" w:rsidTr="003C4B7F">
        <w:trPr>
          <w:trHeight w:val="337"/>
        </w:trPr>
        <w:tc>
          <w:tcPr>
            <w:tcW w:w="4882" w:type="dxa"/>
            <w:tcBorders>
              <w:top w:val="nil"/>
              <w:left w:val="single" w:sz="8" w:space="0" w:color="auto"/>
              <w:bottom w:val="nil"/>
              <w:right w:val="nil"/>
            </w:tcBorders>
            <w:shd w:val="clear" w:color="auto" w:fill="auto"/>
            <w:noWrap/>
            <w:vAlign w:val="center"/>
            <w:hideMark/>
          </w:tcPr>
          <w:p w:rsidR="001769FA" w:rsidRPr="006F3123" w:rsidRDefault="001769FA" w:rsidP="00685941">
            <w:pPr>
              <w:rPr>
                <w:color w:val="000000"/>
              </w:rPr>
            </w:pPr>
            <w:r w:rsidRPr="006F3123">
              <w:rPr>
                <w:color w:val="000000"/>
              </w:rPr>
              <w:t>DEFERRED STATE INCOME TAX EXP.</w:t>
            </w:r>
          </w:p>
        </w:tc>
        <w:tc>
          <w:tcPr>
            <w:tcW w:w="1517" w:type="dxa"/>
            <w:tcBorders>
              <w:top w:val="nil"/>
              <w:left w:val="nil"/>
              <w:bottom w:val="single" w:sz="4" w:space="0" w:color="auto"/>
              <w:right w:val="nil"/>
            </w:tcBorders>
            <w:shd w:val="clear" w:color="auto" w:fill="auto"/>
            <w:noWrap/>
            <w:vAlign w:val="bottom"/>
            <w:hideMark/>
          </w:tcPr>
          <w:p w:rsidR="001769FA" w:rsidRPr="006F3123" w:rsidRDefault="001769FA" w:rsidP="00685941">
            <w:pPr>
              <w:rPr>
                <w:color w:val="000000"/>
                <w:sz w:val="22"/>
                <w:szCs w:val="22"/>
              </w:rPr>
            </w:pPr>
            <w:r w:rsidRPr="006F3123">
              <w:rPr>
                <w:color w:val="000000"/>
                <w:sz w:val="22"/>
                <w:szCs w:val="22"/>
              </w:rPr>
              <w:t> </w:t>
            </w:r>
          </w:p>
        </w:tc>
        <w:tc>
          <w:tcPr>
            <w:tcW w:w="1028"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750" w:type="dxa"/>
            <w:tcBorders>
              <w:top w:val="nil"/>
              <w:left w:val="nil"/>
              <w:bottom w:val="single" w:sz="4" w:space="0" w:color="auto"/>
              <w:right w:val="nil"/>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4,105 </w:t>
            </w:r>
          </w:p>
        </w:tc>
        <w:tc>
          <w:tcPr>
            <w:tcW w:w="1531" w:type="dxa"/>
            <w:tcBorders>
              <w:top w:val="nil"/>
              <w:left w:val="nil"/>
              <w:bottom w:val="single" w:sz="4" w:space="0" w:color="auto"/>
              <w:right w:val="single" w:sz="8" w:space="0" w:color="auto"/>
            </w:tcBorders>
            <w:shd w:val="clear" w:color="auto" w:fill="auto"/>
            <w:noWrap/>
            <w:vAlign w:val="center"/>
            <w:hideMark/>
          </w:tcPr>
          <w:p w:rsidR="001769FA" w:rsidRPr="006F3123" w:rsidRDefault="001769FA" w:rsidP="00685941">
            <w:pPr>
              <w:jc w:val="right"/>
              <w:rPr>
                <w:color w:val="000000"/>
              </w:rPr>
            </w:pPr>
            <w:r w:rsidRPr="006F3123">
              <w:rPr>
                <w:color w:val="000000"/>
              </w:rPr>
              <w:t xml:space="preserve">4,105 </w:t>
            </w:r>
          </w:p>
        </w:tc>
      </w:tr>
      <w:tr w:rsidR="001769FA" w:rsidRPr="006F3123" w:rsidTr="003C4B7F">
        <w:trPr>
          <w:trHeight w:val="337"/>
        </w:trPr>
        <w:tc>
          <w:tcPr>
            <w:tcW w:w="4882" w:type="dxa"/>
            <w:tcBorders>
              <w:top w:val="nil"/>
              <w:left w:val="single" w:sz="8" w:space="0" w:color="auto"/>
              <w:bottom w:val="nil"/>
              <w:right w:val="nil"/>
            </w:tcBorders>
            <w:shd w:val="clear" w:color="auto" w:fill="auto"/>
            <w:noWrap/>
            <w:vAlign w:val="center"/>
            <w:hideMark/>
          </w:tcPr>
          <w:p w:rsidR="001769FA" w:rsidRPr="006F3123" w:rsidRDefault="001769FA" w:rsidP="00685941">
            <w:pPr>
              <w:rPr>
                <w:color w:val="000000"/>
              </w:rPr>
            </w:pPr>
            <w:r w:rsidRPr="006F3123">
              <w:rPr>
                <w:color w:val="000000"/>
              </w:rPr>
              <w:t xml:space="preserve">     TOTAL OPERATING EXPENSES </w:t>
            </w:r>
          </w:p>
        </w:tc>
        <w:tc>
          <w:tcPr>
            <w:tcW w:w="1517"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rPr>
            </w:pPr>
            <w:r w:rsidRPr="006F3123">
              <w:rPr>
                <w:color w:val="000000"/>
              </w:rPr>
              <w:t>$1,02</w:t>
            </w:r>
            <w:r>
              <w:rPr>
                <w:color w:val="000000"/>
              </w:rPr>
              <w:t>1,137</w:t>
            </w:r>
            <w:r w:rsidRPr="006F3123">
              <w:rPr>
                <w:color w:val="000000"/>
              </w:rPr>
              <w:t xml:space="preserve"> </w:t>
            </w:r>
          </w:p>
        </w:tc>
        <w:tc>
          <w:tcPr>
            <w:tcW w:w="1028"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750"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rPr>
            </w:pPr>
            <w:r w:rsidRPr="006F3123">
              <w:rPr>
                <w:color w:val="000000"/>
              </w:rPr>
              <w:t>$20,</w:t>
            </w:r>
            <w:r>
              <w:rPr>
                <w:color w:val="000000"/>
              </w:rPr>
              <w:t>411</w:t>
            </w:r>
            <w:r w:rsidRPr="006F3123">
              <w:rPr>
                <w:color w:val="000000"/>
              </w:rPr>
              <w:t xml:space="preserve"> </w:t>
            </w:r>
          </w:p>
        </w:tc>
        <w:tc>
          <w:tcPr>
            <w:tcW w:w="1531" w:type="dxa"/>
            <w:tcBorders>
              <w:top w:val="nil"/>
              <w:left w:val="nil"/>
              <w:bottom w:val="nil"/>
              <w:right w:val="single" w:sz="8" w:space="0" w:color="auto"/>
            </w:tcBorders>
            <w:shd w:val="clear" w:color="auto" w:fill="auto"/>
            <w:noWrap/>
            <w:vAlign w:val="center"/>
            <w:hideMark/>
          </w:tcPr>
          <w:p w:rsidR="001769FA" w:rsidRPr="006F3123" w:rsidRDefault="001769FA" w:rsidP="00685941">
            <w:pPr>
              <w:jc w:val="right"/>
              <w:rPr>
                <w:color w:val="000000"/>
              </w:rPr>
            </w:pPr>
            <w:r w:rsidRPr="006F3123">
              <w:rPr>
                <w:color w:val="000000"/>
              </w:rPr>
              <w:t>$1,04</w:t>
            </w:r>
            <w:r>
              <w:rPr>
                <w:color w:val="000000"/>
              </w:rPr>
              <w:t>1</w:t>
            </w:r>
            <w:r w:rsidRPr="006F3123">
              <w:rPr>
                <w:color w:val="000000"/>
              </w:rPr>
              <w:t>,</w:t>
            </w:r>
            <w:r>
              <w:rPr>
                <w:color w:val="000000"/>
              </w:rPr>
              <w:t>548</w:t>
            </w:r>
            <w:r w:rsidRPr="006F3123">
              <w:rPr>
                <w:color w:val="000000"/>
              </w:rPr>
              <w:t xml:space="preserve"> </w:t>
            </w:r>
          </w:p>
        </w:tc>
      </w:tr>
      <w:tr w:rsidR="001769FA" w:rsidRPr="006F3123" w:rsidTr="003C4B7F">
        <w:trPr>
          <w:trHeight w:val="337"/>
        </w:trPr>
        <w:tc>
          <w:tcPr>
            <w:tcW w:w="4882" w:type="dxa"/>
            <w:tcBorders>
              <w:top w:val="nil"/>
              <w:left w:val="single" w:sz="8" w:space="0" w:color="auto"/>
              <w:bottom w:val="nil"/>
              <w:right w:val="nil"/>
            </w:tcBorders>
            <w:shd w:val="clear" w:color="auto" w:fill="auto"/>
            <w:noWrap/>
            <w:vAlign w:val="center"/>
            <w:hideMark/>
          </w:tcPr>
          <w:p w:rsidR="001769FA" w:rsidRPr="006F3123" w:rsidRDefault="001769FA" w:rsidP="00685941">
            <w:pPr>
              <w:rPr>
                <w:color w:val="000000"/>
              </w:rPr>
            </w:pPr>
            <w:r w:rsidRPr="006F3123">
              <w:rPr>
                <w:color w:val="000000"/>
              </w:rPr>
              <w:t> </w:t>
            </w:r>
          </w:p>
        </w:tc>
        <w:tc>
          <w:tcPr>
            <w:tcW w:w="1517"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028"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750"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531" w:type="dxa"/>
            <w:tcBorders>
              <w:top w:val="nil"/>
              <w:left w:val="nil"/>
              <w:bottom w:val="nil"/>
              <w:right w:val="single" w:sz="8" w:space="0" w:color="auto"/>
            </w:tcBorders>
            <w:shd w:val="clear" w:color="auto" w:fill="auto"/>
            <w:noWrap/>
            <w:vAlign w:val="center"/>
            <w:hideMark/>
          </w:tcPr>
          <w:p w:rsidR="001769FA" w:rsidRPr="006F3123" w:rsidRDefault="001769FA" w:rsidP="00685941">
            <w:pPr>
              <w:rPr>
                <w:color w:val="000000"/>
              </w:rPr>
            </w:pPr>
            <w:r w:rsidRPr="006F3123">
              <w:rPr>
                <w:color w:val="000000"/>
              </w:rPr>
              <w:t> </w:t>
            </w:r>
          </w:p>
        </w:tc>
      </w:tr>
      <w:tr w:rsidR="001769FA" w:rsidRPr="006F3123" w:rsidTr="003C4B7F">
        <w:trPr>
          <w:trHeight w:val="337"/>
        </w:trPr>
        <w:tc>
          <w:tcPr>
            <w:tcW w:w="4882" w:type="dxa"/>
            <w:tcBorders>
              <w:top w:val="nil"/>
              <w:left w:val="single" w:sz="8" w:space="0" w:color="auto"/>
              <w:bottom w:val="nil"/>
              <w:right w:val="nil"/>
            </w:tcBorders>
            <w:shd w:val="clear" w:color="auto" w:fill="auto"/>
            <w:noWrap/>
            <w:vAlign w:val="center"/>
            <w:hideMark/>
          </w:tcPr>
          <w:p w:rsidR="001769FA" w:rsidRPr="006F3123" w:rsidRDefault="001769FA" w:rsidP="00685941">
            <w:pPr>
              <w:rPr>
                <w:color w:val="000000"/>
              </w:rPr>
            </w:pPr>
            <w:r w:rsidRPr="006F3123">
              <w:rPr>
                <w:color w:val="000000"/>
              </w:rPr>
              <w:t>NET OPERATING INCOME</w:t>
            </w:r>
          </w:p>
        </w:tc>
        <w:tc>
          <w:tcPr>
            <w:tcW w:w="1517" w:type="dxa"/>
            <w:tcBorders>
              <w:top w:val="nil"/>
              <w:left w:val="nil"/>
              <w:bottom w:val="nil"/>
              <w:right w:val="nil"/>
            </w:tcBorders>
            <w:shd w:val="clear" w:color="auto" w:fill="auto"/>
            <w:noWrap/>
            <w:vAlign w:val="center"/>
            <w:hideMark/>
          </w:tcPr>
          <w:p w:rsidR="001769FA" w:rsidRPr="006F3123" w:rsidRDefault="001769FA" w:rsidP="00685941">
            <w:pPr>
              <w:jc w:val="right"/>
              <w:rPr>
                <w:color w:val="000000"/>
                <w:u w:val="double"/>
              </w:rPr>
            </w:pPr>
            <w:r w:rsidRPr="006F3123">
              <w:rPr>
                <w:color w:val="000000"/>
                <w:u w:val="double"/>
              </w:rPr>
              <w:t>$16</w:t>
            </w:r>
            <w:r>
              <w:rPr>
                <w:color w:val="000000"/>
                <w:u w:val="double"/>
              </w:rPr>
              <w:t>5,063</w:t>
            </w:r>
            <w:r w:rsidRPr="006F3123">
              <w:rPr>
                <w:color w:val="000000"/>
                <w:u w:val="double"/>
              </w:rPr>
              <w:t xml:space="preserve"> </w:t>
            </w:r>
          </w:p>
        </w:tc>
        <w:tc>
          <w:tcPr>
            <w:tcW w:w="1028"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750" w:type="dxa"/>
            <w:tcBorders>
              <w:top w:val="nil"/>
              <w:left w:val="nil"/>
              <w:bottom w:val="nil"/>
              <w:right w:val="nil"/>
            </w:tcBorders>
            <w:shd w:val="clear" w:color="auto" w:fill="auto"/>
            <w:noWrap/>
            <w:vAlign w:val="bottom"/>
            <w:hideMark/>
          </w:tcPr>
          <w:p w:rsidR="001769FA" w:rsidRPr="006F3123" w:rsidRDefault="001769FA" w:rsidP="00685941">
            <w:pPr>
              <w:rPr>
                <w:color w:val="000000"/>
                <w:sz w:val="22"/>
                <w:szCs w:val="22"/>
              </w:rPr>
            </w:pPr>
          </w:p>
        </w:tc>
        <w:tc>
          <w:tcPr>
            <w:tcW w:w="1531" w:type="dxa"/>
            <w:tcBorders>
              <w:top w:val="nil"/>
              <w:left w:val="nil"/>
              <w:bottom w:val="nil"/>
              <w:right w:val="single" w:sz="8" w:space="0" w:color="auto"/>
            </w:tcBorders>
            <w:shd w:val="clear" w:color="auto" w:fill="auto"/>
            <w:noWrap/>
            <w:vAlign w:val="center"/>
            <w:hideMark/>
          </w:tcPr>
          <w:p w:rsidR="001769FA" w:rsidRPr="006F3123" w:rsidRDefault="001769FA" w:rsidP="00685941">
            <w:pPr>
              <w:jc w:val="right"/>
              <w:rPr>
                <w:color w:val="000000"/>
                <w:u w:val="double"/>
              </w:rPr>
            </w:pPr>
            <w:r w:rsidRPr="006F3123">
              <w:rPr>
                <w:color w:val="000000"/>
                <w:u w:val="double"/>
              </w:rPr>
              <w:t>$14</w:t>
            </w:r>
            <w:r>
              <w:rPr>
                <w:color w:val="000000"/>
                <w:u w:val="double"/>
              </w:rPr>
              <w:t>4</w:t>
            </w:r>
            <w:r w:rsidRPr="006F3123">
              <w:rPr>
                <w:color w:val="000000"/>
                <w:u w:val="double"/>
              </w:rPr>
              <w:t>,</w:t>
            </w:r>
            <w:r>
              <w:rPr>
                <w:color w:val="000000"/>
                <w:u w:val="double"/>
              </w:rPr>
              <w:t>652</w:t>
            </w:r>
            <w:r w:rsidRPr="006F3123">
              <w:rPr>
                <w:color w:val="000000"/>
                <w:u w:val="double"/>
              </w:rPr>
              <w:t xml:space="preserve"> </w:t>
            </w:r>
          </w:p>
        </w:tc>
      </w:tr>
      <w:tr w:rsidR="001769FA" w:rsidRPr="006F3123" w:rsidTr="003C4B7F">
        <w:trPr>
          <w:trHeight w:val="353"/>
        </w:trPr>
        <w:tc>
          <w:tcPr>
            <w:tcW w:w="4882" w:type="dxa"/>
            <w:tcBorders>
              <w:top w:val="nil"/>
              <w:left w:val="single" w:sz="8" w:space="0" w:color="auto"/>
              <w:bottom w:val="single" w:sz="8" w:space="0" w:color="auto"/>
              <w:right w:val="nil"/>
            </w:tcBorders>
            <w:shd w:val="clear" w:color="auto" w:fill="auto"/>
            <w:noWrap/>
            <w:vAlign w:val="center"/>
            <w:hideMark/>
          </w:tcPr>
          <w:p w:rsidR="001769FA" w:rsidRPr="006F3123" w:rsidRDefault="001769FA" w:rsidP="00685941">
            <w:pPr>
              <w:rPr>
                <w:color w:val="000000"/>
              </w:rPr>
            </w:pPr>
            <w:r w:rsidRPr="006F3123">
              <w:rPr>
                <w:color w:val="000000"/>
              </w:rPr>
              <w:t> </w:t>
            </w:r>
          </w:p>
        </w:tc>
        <w:tc>
          <w:tcPr>
            <w:tcW w:w="1517" w:type="dxa"/>
            <w:tcBorders>
              <w:top w:val="nil"/>
              <w:left w:val="nil"/>
              <w:bottom w:val="single" w:sz="8" w:space="0" w:color="auto"/>
              <w:right w:val="nil"/>
            </w:tcBorders>
            <w:shd w:val="clear" w:color="auto" w:fill="auto"/>
            <w:noWrap/>
            <w:vAlign w:val="center"/>
            <w:hideMark/>
          </w:tcPr>
          <w:p w:rsidR="001769FA" w:rsidRPr="006F3123" w:rsidRDefault="001769FA" w:rsidP="00685941">
            <w:pPr>
              <w:rPr>
                <w:color w:val="000000"/>
              </w:rPr>
            </w:pPr>
            <w:r w:rsidRPr="006F3123">
              <w:rPr>
                <w:color w:val="000000"/>
              </w:rPr>
              <w:t> </w:t>
            </w:r>
          </w:p>
        </w:tc>
        <w:tc>
          <w:tcPr>
            <w:tcW w:w="1028" w:type="dxa"/>
            <w:tcBorders>
              <w:top w:val="nil"/>
              <w:left w:val="nil"/>
              <w:bottom w:val="single" w:sz="8" w:space="0" w:color="auto"/>
              <w:right w:val="nil"/>
            </w:tcBorders>
            <w:shd w:val="clear" w:color="auto" w:fill="auto"/>
            <w:noWrap/>
            <w:vAlign w:val="center"/>
            <w:hideMark/>
          </w:tcPr>
          <w:p w:rsidR="001769FA" w:rsidRPr="006F3123" w:rsidRDefault="001769FA" w:rsidP="00685941">
            <w:pPr>
              <w:rPr>
                <w:color w:val="000000"/>
              </w:rPr>
            </w:pPr>
            <w:r w:rsidRPr="006F3123">
              <w:rPr>
                <w:color w:val="000000"/>
              </w:rPr>
              <w:t> </w:t>
            </w:r>
          </w:p>
        </w:tc>
        <w:tc>
          <w:tcPr>
            <w:tcW w:w="1750" w:type="dxa"/>
            <w:tcBorders>
              <w:top w:val="nil"/>
              <w:left w:val="nil"/>
              <w:bottom w:val="single" w:sz="8" w:space="0" w:color="auto"/>
              <w:right w:val="nil"/>
            </w:tcBorders>
            <w:shd w:val="clear" w:color="auto" w:fill="auto"/>
            <w:noWrap/>
            <w:vAlign w:val="center"/>
            <w:hideMark/>
          </w:tcPr>
          <w:p w:rsidR="001769FA" w:rsidRPr="006F3123" w:rsidRDefault="001769FA" w:rsidP="00685941">
            <w:pPr>
              <w:rPr>
                <w:color w:val="000000"/>
              </w:rPr>
            </w:pPr>
            <w:r w:rsidRPr="006F3123">
              <w:rPr>
                <w:color w:val="000000"/>
              </w:rPr>
              <w:t> </w:t>
            </w:r>
          </w:p>
        </w:tc>
        <w:tc>
          <w:tcPr>
            <w:tcW w:w="1531" w:type="dxa"/>
            <w:tcBorders>
              <w:top w:val="nil"/>
              <w:left w:val="nil"/>
              <w:bottom w:val="single" w:sz="8" w:space="0" w:color="auto"/>
              <w:right w:val="single" w:sz="8" w:space="0" w:color="auto"/>
            </w:tcBorders>
            <w:shd w:val="clear" w:color="auto" w:fill="auto"/>
            <w:noWrap/>
            <w:vAlign w:val="center"/>
            <w:hideMark/>
          </w:tcPr>
          <w:p w:rsidR="001769FA" w:rsidRPr="006F3123" w:rsidRDefault="001769FA" w:rsidP="00685941">
            <w:pPr>
              <w:rPr>
                <w:color w:val="000000"/>
              </w:rPr>
            </w:pPr>
            <w:r w:rsidRPr="006F3123">
              <w:rPr>
                <w:color w:val="000000"/>
              </w:rPr>
              <w:t> </w:t>
            </w:r>
          </w:p>
        </w:tc>
      </w:tr>
    </w:tbl>
    <w:p w:rsidR="001769FA" w:rsidRDefault="001769FA" w:rsidP="001769FA">
      <w:pPr>
        <w:pStyle w:val="OrderBody"/>
      </w:pPr>
    </w:p>
    <w:p w:rsidR="007556ED" w:rsidRDefault="007556ED" w:rsidP="001769FA">
      <w:pPr>
        <w:pStyle w:val="OrderBody"/>
        <w:sectPr w:rsidR="007556ED" w:rsidSect="001769FA">
          <w:headerReference w:type="even" r:id="rId17"/>
          <w:headerReference w:type="default" r:id="rId18"/>
          <w:headerReference w:type="first" r:id="rId19"/>
          <w:pgSz w:w="12240" w:h="15840" w:code="1"/>
          <w:pgMar w:top="1440" w:right="1440" w:bottom="1440" w:left="1440" w:header="720" w:footer="720" w:gutter="0"/>
          <w:cols w:space="720"/>
          <w:titlePg/>
          <w:docGrid w:linePitch="360"/>
        </w:sectPr>
      </w:pPr>
    </w:p>
    <w:p w:rsidR="007556ED" w:rsidRDefault="007556ED" w:rsidP="007556ED">
      <w:pPr>
        <w:pStyle w:val="IssueHeading"/>
      </w:pPr>
    </w:p>
    <w:p w:rsidR="007556ED" w:rsidRPr="003C4B7F" w:rsidRDefault="007556ED" w:rsidP="007556ED">
      <w:pPr>
        <w:jc w:val="center"/>
        <w:rPr>
          <w:b/>
        </w:rPr>
      </w:pPr>
      <w:r w:rsidRPr="003C4B7F">
        <w:rPr>
          <w:b/>
        </w:rPr>
        <w:t>Sebring Gas System</w:t>
      </w:r>
    </w:p>
    <w:p w:rsidR="007556ED" w:rsidRPr="003C4B7F" w:rsidRDefault="007556ED" w:rsidP="007556ED">
      <w:pPr>
        <w:jc w:val="center"/>
        <w:rPr>
          <w:b/>
        </w:rPr>
      </w:pPr>
      <w:r w:rsidRPr="003C4B7F">
        <w:rPr>
          <w:b/>
        </w:rPr>
        <w:t>Docket No. 00832019-GU</w:t>
      </w:r>
    </w:p>
    <w:p w:rsidR="007556ED" w:rsidRPr="003C4B7F" w:rsidRDefault="007556ED" w:rsidP="007556ED">
      <w:pPr>
        <w:jc w:val="center"/>
        <w:rPr>
          <w:b/>
        </w:rPr>
      </w:pPr>
      <w:r w:rsidRPr="003C4B7F">
        <w:rPr>
          <w:b/>
        </w:rPr>
        <w:t>2020 Projected Test Year</w:t>
      </w:r>
    </w:p>
    <w:p w:rsidR="007556ED" w:rsidRPr="003C4B7F" w:rsidRDefault="007556ED" w:rsidP="007556ED">
      <w:pPr>
        <w:jc w:val="center"/>
        <w:rPr>
          <w:b/>
        </w:rPr>
      </w:pPr>
      <w:r w:rsidRPr="003C4B7F">
        <w:rPr>
          <w:b/>
        </w:rPr>
        <w:t>Operating Expenses</w:t>
      </w:r>
    </w:p>
    <w:tbl>
      <w:tblPr>
        <w:tblW w:w="9738" w:type="dxa"/>
        <w:jc w:val="center"/>
        <w:tblLook w:val="04A0" w:firstRow="1" w:lastRow="0" w:firstColumn="1" w:lastColumn="0" w:noHBand="0" w:noVBand="1"/>
      </w:tblPr>
      <w:tblGrid>
        <w:gridCol w:w="4560"/>
        <w:gridCol w:w="1572"/>
        <w:gridCol w:w="1736"/>
        <w:gridCol w:w="23"/>
        <w:gridCol w:w="1882"/>
      </w:tblGrid>
      <w:tr w:rsidR="007556ED" w:rsidRPr="00B353C1" w:rsidTr="003C4B7F">
        <w:trPr>
          <w:trHeight w:val="1269"/>
          <w:jc w:val="center"/>
        </w:trPr>
        <w:tc>
          <w:tcPr>
            <w:tcW w:w="4560" w:type="dxa"/>
            <w:tcBorders>
              <w:top w:val="single" w:sz="8" w:space="0" w:color="auto"/>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 </w:t>
            </w:r>
          </w:p>
        </w:tc>
        <w:tc>
          <w:tcPr>
            <w:tcW w:w="1572" w:type="dxa"/>
            <w:tcBorders>
              <w:top w:val="single" w:sz="8" w:space="0" w:color="auto"/>
              <w:left w:val="nil"/>
              <w:bottom w:val="nil"/>
              <w:right w:val="nil"/>
            </w:tcBorders>
            <w:shd w:val="clear" w:color="auto" w:fill="auto"/>
            <w:vAlign w:val="center"/>
            <w:hideMark/>
          </w:tcPr>
          <w:p w:rsidR="007556ED" w:rsidRPr="00B353C1" w:rsidRDefault="007556ED" w:rsidP="00685941">
            <w:pPr>
              <w:jc w:val="center"/>
              <w:rPr>
                <w:color w:val="000000"/>
              </w:rPr>
            </w:pPr>
            <w:r w:rsidRPr="00B353C1">
              <w:rPr>
                <w:color w:val="000000"/>
              </w:rPr>
              <w:t xml:space="preserve">COMPANY </w:t>
            </w:r>
            <w:r w:rsidRPr="00B353C1">
              <w:rPr>
                <w:color w:val="000000"/>
                <w:u w:val="single"/>
              </w:rPr>
              <w:t>ADJUSTED</w:t>
            </w:r>
          </w:p>
        </w:tc>
        <w:tc>
          <w:tcPr>
            <w:tcW w:w="1724" w:type="dxa"/>
            <w:gridSpan w:val="2"/>
            <w:tcBorders>
              <w:top w:val="single" w:sz="8" w:space="0" w:color="auto"/>
              <w:left w:val="nil"/>
              <w:bottom w:val="nil"/>
              <w:right w:val="nil"/>
            </w:tcBorders>
            <w:shd w:val="clear" w:color="auto" w:fill="auto"/>
            <w:vAlign w:val="center"/>
            <w:hideMark/>
          </w:tcPr>
          <w:p w:rsidR="007556ED" w:rsidRPr="00B353C1" w:rsidRDefault="003C4B7F" w:rsidP="00685941">
            <w:pPr>
              <w:jc w:val="center"/>
              <w:rPr>
                <w:color w:val="000000"/>
                <w:u w:val="single"/>
              </w:rPr>
            </w:pPr>
            <w:r>
              <w:rPr>
                <w:color w:val="000000"/>
              </w:rPr>
              <w:t>COMMISSION</w:t>
            </w:r>
            <w:r w:rsidR="007556ED" w:rsidRPr="00B353C1">
              <w:rPr>
                <w:color w:val="000000"/>
                <w:u w:val="single"/>
              </w:rPr>
              <w:t xml:space="preserve"> ADJS.</w:t>
            </w:r>
          </w:p>
        </w:tc>
        <w:tc>
          <w:tcPr>
            <w:tcW w:w="1882" w:type="dxa"/>
            <w:tcBorders>
              <w:top w:val="single" w:sz="8" w:space="0" w:color="auto"/>
              <w:left w:val="nil"/>
              <w:bottom w:val="nil"/>
              <w:right w:val="single" w:sz="8" w:space="0" w:color="auto"/>
            </w:tcBorders>
            <w:shd w:val="clear" w:color="auto" w:fill="auto"/>
            <w:vAlign w:val="center"/>
            <w:hideMark/>
          </w:tcPr>
          <w:p w:rsidR="007556ED" w:rsidRPr="00B353C1" w:rsidRDefault="003C4B7F" w:rsidP="00685941">
            <w:pPr>
              <w:jc w:val="center"/>
              <w:rPr>
                <w:color w:val="000000"/>
              </w:rPr>
            </w:pPr>
            <w:r>
              <w:rPr>
                <w:color w:val="000000"/>
              </w:rPr>
              <w:t>COMMISSION</w:t>
            </w:r>
            <w:r w:rsidR="007556ED" w:rsidRPr="00B353C1">
              <w:rPr>
                <w:color w:val="000000"/>
              </w:rPr>
              <w:t xml:space="preserve"> </w:t>
            </w:r>
            <w:r w:rsidR="007556ED" w:rsidRPr="00B353C1">
              <w:rPr>
                <w:color w:val="000000"/>
                <w:u w:val="single"/>
              </w:rPr>
              <w:t>ADJUSTED</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OPERATING EXPENSES</w:t>
            </w:r>
          </w:p>
        </w:tc>
        <w:tc>
          <w:tcPr>
            <w:tcW w:w="1572"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701"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 </w:t>
            </w:r>
          </w:p>
        </w:tc>
        <w:tc>
          <w:tcPr>
            <w:tcW w:w="1572"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701"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OPERATION &amp;MAINTENANCE EXP.</w:t>
            </w:r>
          </w:p>
        </w:tc>
        <w:tc>
          <w:tcPr>
            <w:tcW w:w="1572"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 xml:space="preserve">$739,587 </w:t>
            </w:r>
          </w:p>
        </w:tc>
        <w:tc>
          <w:tcPr>
            <w:tcW w:w="1701"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 xml:space="preserve">    902 Meter Reading Exp.</w:t>
            </w:r>
          </w:p>
        </w:tc>
        <w:tc>
          <w:tcPr>
            <w:tcW w:w="1572"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701"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 xml:space="preserve">$397 </w:t>
            </w: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b/>
                <w:bCs/>
                <w:color w:val="000000"/>
              </w:rPr>
            </w:pPr>
            <w:r w:rsidRPr="00B353C1">
              <w:rPr>
                <w:b/>
                <w:bCs/>
                <w:color w:val="000000"/>
              </w:rPr>
              <w:t xml:space="preserve">    </w:t>
            </w:r>
            <w:r w:rsidRPr="00B353C1">
              <w:rPr>
                <w:color w:val="000000"/>
              </w:rPr>
              <w:t>920 Admin &amp;Gen Salaries</w:t>
            </w:r>
          </w:p>
        </w:tc>
        <w:tc>
          <w:tcPr>
            <w:tcW w:w="1572"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701"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($397)</w:t>
            </w: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 xml:space="preserve">    921 Office Supplies Exp.</w:t>
            </w:r>
          </w:p>
        </w:tc>
        <w:tc>
          <w:tcPr>
            <w:tcW w:w="1572"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701"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($1,880)</w:t>
            </w: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 xml:space="preserve">    926 Employee Pension &amp; Benefits</w:t>
            </w:r>
          </w:p>
        </w:tc>
        <w:tc>
          <w:tcPr>
            <w:tcW w:w="1572"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701"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($413)</w:t>
            </w: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 xml:space="preserve">    928 Regulatory Commission Exp.</w:t>
            </w:r>
          </w:p>
        </w:tc>
        <w:tc>
          <w:tcPr>
            <w:tcW w:w="1572" w:type="dxa"/>
            <w:tcBorders>
              <w:top w:val="nil"/>
              <w:left w:val="nil"/>
              <w:bottom w:val="single" w:sz="4" w:space="0" w:color="auto"/>
              <w:right w:val="nil"/>
            </w:tcBorders>
            <w:shd w:val="clear" w:color="auto" w:fill="auto"/>
            <w:noWrap/>
            <w:vAlign w:val="center"/>
            <w:hideMark/>
          </w:tcPr>
          <w:p w:rsidR="007556ED" w:rsidRPr="00B353C1" w:rsidRDefault="007556ED" w:rsidP="00685941">
            <w:pPr>
              <w:rPr>
                <w:color w:val="000000"/>
              </w:rPr>
            </w:pPr>
            <w:r w:rsidRPr="00B353C1">
              <w:rPr>
                <w:color w:val="000000"/>
              </w:rPr>
              <w:t xml:space="preserve">                          </w:t>
            </w:r>
          </w:p>
        </w:tc>
        <w:tc>
          <w:tcPr>
            <w:tcW w:w="1701" w:type="dxa"/>
            <w:tcBorders>
              <w:top w:val="nil"/>
              <w:left w:val="nil"/>
              <w:bottom w:val="single" w:sz="4" w:space="0" w:color="auto"/>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 xml:space="preserve">$4,699 </w:t>
            </w:r>
          </w:p>
        </w:tc>
        <w:tc>
          <w:tcPr>
            <w:tcW w:w="1905" w:type="dxa"/>
            <w:gridSpan w:val="2"/>
            <w:tcBorders>
              <w:top w:val="nil"/>
              <w:left w:val="nil"/>
              <w:bottom w:val="single" w:sz="4" w:space="0" w:color="auto"/>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TOTAL O &amp; M EXPENSE</w:t>
            </w:r>
          </w:p>
        </w:tc>
        <w:tc>
          <w:tcPr>
            <w:tcW w:w="1572"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 xml:space="preserve">$739,587 </w:t>
            </w:r>
          </w:p>
        </w:tc>
        <w:tc>
          <w:tcPr>
            <w:tcW w:w="1701"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 xml:space="preserve">$2,405 </w:t>
            </w: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jc w:val="right"/>
              <w:rPr>
                <w:color w:val="000000"/>
              </w:rPr>
            </w:pPr>
            <w:r w:rsidRPr="00B353C1">
              <w:rPr>
                <w:color w:val="000000"/>
              </w:rPr>
              <w:t xml:space="preserve">$741,992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 </w:t>
            </w:r>
          </w:p>
        </w:tc>
        <w:tc>
          <w:tcPr>
            <w:tcW w:w="1572"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701"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DEPRECIATION &amp; AMORT. EXP.</w:t>
            </w:r>
          </w:p>
        </w:tc>
        <w:tc>
          <w:tcPr>
            <w:tcW w:w="1572"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$26</w:t>
            </w:r>
            <w:r>
              <w:rPr>
                <w:color w:val="000000"/>
              </w:rPr>
              <w:t>0</w:t>
            </w:r>
            <w:r w:rsidRPr="00B353C1">
              <w:rPr>
                <w:color w:val="000000"/>
              </w:rPr>
              <w:t>,</w:t>
            </w:r>
            <w:r>
              <w:rPr>
                <w:color w:val="000000"/>
              </w:rPr>
              <w:t>594</w:t>
            </w:r>
            <w:r w:rsidRPr="00B353C1">
              <w:rPr>
                <w:color w:val="000000"/>
              </w:rPr>
              <w:t xml:space="preserve"> </w:t>
            </w:r>
          </w:p>
        </w:tc>
        <w:tc>
          <w:tcPr>
            <w:tcW w:w="1701"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 xml:space="preserve">    376.1 Mains - Plastic</w:t>
            </w:r>
          </w:p>
        </w:tc>
        <w:tc>
          <w:tcPr>
            <w:tcW w:w="1572"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701"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($400)</w:t>
            </w: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 xml:space="preserve">    380.1 Services - Plastic</w:t>
            </w:r>
          </w:p>
        </w:tc>
        <w:tc>
          <w:tcPr>
            <w:tcW w:w="1572" w:type="dxa"/>
            <w:tcBorders>
              <w:top w:val="nil"/>
              <w:left w:val="nil"/>
              <w:bottom w:val="single" w:sz="4" w:space="0" w:color="auto"/>
              <w:right w:val="nil"/>
            </w:tcBorders>
            <w:shd w:val="clear" w:color="auto" w:fill="auto"/>
            <w:noWrap/>
            <w:vAlign w:val="bottom"/>
            <w:hideMark/>
          </w:tcPr>
          <w:p w:rsidR="007556ED" w:rsidRPr="00B353C1" w:rsidRDefault="007556ED" w:rsidP="00685941">
            <w:pPr>
              <w:rPr>
                <w:color w:val="000000"/>
              </w:rPr>
            </w:pPr>
            <w:r w:rsidRPr="00B353C1">
              <w:rPr>
                <w:color w:val="000000"/>
              </w:rPr>
              <w:t> </w:t>
            </w:r>
          </w:p>
        </w:tc>
        <w:tc>
          <w:tcPr>
            <w:tcW w:w="1701" w:type="dxa"/>
            <w:tcBorders>
              <w:top w:val="nil"/>
              <w:left w:val="nil"/>
              <w:bottom w:val="single" w:sz="4" w:space="0" w:color="auto"/>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($142)</w:t>
            </w:r>
          </w:p>
        </w:tc>
        <w:tc>
          <w:tcPr>
            <w:tcW w:w="1905" w:type="dxa"/>
            <w:gridSpan w:val="2"/>
            <w:tcBorders>
              <w:top w:val="nil"/>
              <w:left w:val="nil"/>
              <w:bottom w:val="single" w:sz="4" w:space="0" w:color="auto"/>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TOTAL DEPRECIATION &amp; AMORT.</w:t>
            </w:r>
          </w:p>
        </w:tc>
        <w:tc>
          <w:tcPr>
            <w:tcW w:w="1572"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$2</w:t>
            </w:r>
            <w:r>
              <w:rPr>
                <w:color w:val="000000"/>
              </w:rPr>
              <w:t>60</w:t>
            </w:r>
            <w:r w:rsidRPr="00B353C1">
              <w:rPr>
                <w:color w:val="000000"/>
              </w:rPr>
              <w:t>,</w:t>
            </w:r>
            <w:r>
              <w:rPr>
                <w:color w:val="000000"/>
              </w:rPr>
              <w:t>594</w:t>
            </w:r>
            <w:r w:rsidRPr="00B353C1">
              <w:rPr>
                <w:color w:val="000000"/>
              </w:rPr>
              <w:t xml:space="preserve"> </w:t>
            </w:r>
          </w:p>
        </w:tc>
        <w:tc>
          <w:tcPr>
            <w:tcW w:w="1701"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($542)</w:t>
            </w: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jc w:val="right"/>
              <w:rPr>
                <w:color w:val="000000"/>
              </w:rPr>
            </w:pPr>
            <w:r w:rsidRPr="00B353C1">
              <w:rPr>
                <w:color w:val="000000"/>
              </w:rPr>
              <w:t>$26</w:t>
            </w:r>
            <w:r>
              <w:rPr>
                <w:color w:val="000000"/>
              </w:rPr>
              <w:t>0</w:t>
            </w:r>
            <w:r w:rsidRPr="00B353C1">
              <w:rPr>
                <w:color w:val="000000"/>
              </w:rPr>
              <w:t>,</w:t>
            </w:r>
            <w:r>
              <w:rPr>
                <w:color w:val="000000"/>
              </w:rPr>
              <w:t>052</w:t>
            </w:r>
            <w:r w:rsidRPr="00B353C1">
              <w:rPr>
                <w:color w:val="000000"/>
              </w:rPr>
              <w:t xml:space="preserve">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 </w:t>
            </w:r>
          </w:p>
        </w:tc>
        <w:tc>
          <w:tcPr>
            <w:tcW w:w="1572"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701"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TAXES OTHER THAN INCOME</w:t>
            </w:r>
          </w:p>
        </w:tc>
        <w:tc>
          <w:tcPr>
            <w:tcW w:w="1572" w:type="dxa"/>
            <w:tcBorders>
              <w:top w:val="nil"/>
              <w:left w:val="nil"/>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$2</w:t>
            </w:r>
            <w:r>
              <w:rPr>
                <w:color w:val="000000"/>
              </w:rPr>
              <w:t>2,931</w:t>
            </w:r>
            <w:r w:rsidRPr="00B353C1">
              <w:rPr>
                <w:color w:val="000000"/>
              </w:rPr>
              <w:t xml:space="preserve"> </w:t>
            </w:r>
          </w:p>
        </w:tc>
        <w:tc>
          <w:tcPr>
            <w:tcW w:w="1701" w:type="dxa"/>
            <w:tcBorders>
              <w:top w:val="nil"/>
              <w:left w:val="nil"/>
              <w:right w:val="nil"/>
            </w:tcBorders>
            <w:shd w:val="clear" w:color="auto" w:fill="auto"/>
            <w:noWrap/>
            <w:vAlign w:val="bottom"/>
            <w:hideMark/>
          </w:tcPr>
          <w:p w:rsidR="007556ED" w:rsidRPr="00B353C1" w:rsidRDefault="007556ED" w:rsidP="00685941">
            <w:pPr>
              <w:jc w:val="right"/>
              <w:rPr>
                <w:color w:val="000000"/>
              </w:rPr>
            </w:pPr>
          </w:p>
        </w:tc>
        <w:tc>
          <w:tcPr>
            <w:tcW w:w="1905" w:type="dxa"/>
            <w:gridSpan w:val="2"/>
            <w:tcBorders>
              <w:top w:val="nil"/>
              <w:left w:val="nil"/>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 </w:t>
            </w:r>
          </w:p>
        </w:tc>
        <w:tc>
          <w:tcPr>
            <w:tcW w:w="1572" w:type="dxa"/>
            <w:tcBorders>
              <w:top w:val="nil"/>
              <w:left w:val="nil"/>
              <w:bottom w:val="single" w:sz="4" w:space="0" w:color="auto"/>
              <w:right w:val="nil"/>
            </w:tcBorders>
            <w:shd w:val="clear" w:color="auto" w:fill="auto"/>
            <w:noWrap/>
            <w:vAlign w:val="bottom"/>
            <w:hideMark/>
          </w:tcPr>
          <w:p w:rsidR="007556ED" w:rsidRPr="00B353C1" w:rsidRDefault="007556ED" w:rsidP="00685941">
            <w:pPr>
              <w:rPr>
                <w:color w:val="000000"/>
              </w:rPr>
            </w:pPr>
          </w:p>
        </w:tc>
        <w:tc>
          <w:tcPr>
            <w:tcW w:w="1701" w:type="dxa"/>
            <w:tcBorders>
              <w:top w:val="nil"/>
              <w:left w:val="nil"/>
              <w:bottom w:val="single" w:sz="4" w:space="0" w:color="auto"/>
              <w:right w:val="nil"/>
            </w:tcBorders>
            <w:shd w:val="clear" w:color="auto" w:fill="auto"/>
            <w:noWrap/>
            <w:vAlign w:val="bottom"/>
            <w:hideMark/>
          </w:tcPr>
          <w:p w:rsidR="007556ED" w:rsidRPr="00B353C1" w:rsidRDefault="007556ED" w:rsidP="00685941">
            <w:pPr>
              <w:rPr>
                <w:color w:val="000000"/>
              </w:rPr>
            </w:pPr>
            <w:r>
              <w:rPr>
                <w:color w:val="000000"/>
              </w:rPr>
              <w:t xml:space="preserve">     ($463)</w:t>
            </w:r>
          </w:p>
        </w:tc>
        <w:tc>
          <w:tcPr>
            <w:tcW w:w="1905" w:type="dxa"/>
            <w:gridSpan w:val="2"/>
            <w:tcBorders>
              <w:top w:val="nil"/>
              <w:left w:val="nil"/>
              <w:bottom w:val="single" w:sz="4" w:space="0" w:color="auto"/>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TOTAL TAXES OTHER THAN INCOME</w:t>
            </w:r>
          </w:p>
        </w:tc>
        <w:tc>
          <w:tcPr>
            <w:tcW w:w="1572" w:type="dxa"/>
            <w:tcBorders>
              <w:top w:val="single" w:sz="4" w:space="0" w:color="auto"/>
              <w:left w:val="nil"/>
              <w:bottom w:val="nil"/>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$2</w:t>
            </w:r>
            <w:r>
              <w:rPr>
                <w:color w:val="000000"/>
              </w:rPr>
              <w:t>2,931</w:t>
            </w:r>
            <w:r w:rsidRPr="00B353C1">
              <w:rPr>
                <w:color w:val="000000"/>
              </w:rPr>
              <w:t xml:space="preserve"> </w:t>
            </w:r>
          </w:p>
        </w:tc>
        <w:tc>
          <w:tcPr>
            <w:tcW w:w="1701" w:type="dxa"/>
            <w:tcBorders>
              <w:top w:val="single" w:sz="4" w:space="0" w:color="auto"/>
              <w:left w:val="nil"/>
              <w:bottom w:val="nil"/>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w:t>
            </w:r>
            <w:r>
              <w:rPr>
                <w:color w:val="000000"/>
              </w:rPr>
              <w:t>463</w:t>
            </w:r>
            <w:r w:rsidRPr="00B353C1">
              <w:rPr>
                <w:color w:val="000000"/>
              </w:rPr>
              <w:t>)</w:t>
            </w:r>
          </w:p>
        </w:tc>
        <w:tc>
          <w:tcPr>
            <w:tcW w:w="1905" w:type="dxa"/>
            <w:gridSpan w:val="2"/>
            <w:tcBorders>
              <w:top w:val="single" w:sz="4" w:space="0" w:color="auto"/>
              <w:left w:val="nil"/>
              <w:bottom w:val="nil"/>
              <w:right w:val="single" w:sz="8" w:space="0" w:color="auto"/>
            </w:tcBorders>
            <w:shd w:val="clear" w:color="auto" w:fill="auto"/>
            <w:noWrap/>
            <w:vAlign w:val="center"/>
            <w:hideMark/>
          </w:tcPr>
          <w:p w:rsidR="007556ED" w:rsidRPr="00B353C1" w:rsidRDefault="007556ED" w:rsidP="00685941">
            <w:pPr>
              <w:jc w:val="right"/>
              <w:rPr>
                <w:color w:val="000000"/>
              </w:rPr>
            </w:pPr>
            <w:r w:rsidRPr="00B353C1">
              <w:rPr>
                <w:color w:val="000000"/>
              </w:rPr>
              <w:t>$2</w:t>
            </w:r>
            <w:r>
              <w:rPr>
                <w:color w:val="000000"/>
              </w:rPr>
              <w:t>2,468</w:t>
            </w:r>
            <w:r w:rsidRPr="00B353C1">
              <w:rPr>
                <w:color w:val="000000"/>
              </w:rPr>
              <w:t xml:space="preserve">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 </w:t>
            </w:r>
          </w:p>
        </w:tc>
        <w:tc>
          <w:tcPr>
            <w:tcW w:w="1572"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701"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 xml:space="preserve">INCOME TAX EXPENSE </w:t>
            </w:r>
          </w:p>
        </w:tc>
        <w:tc>
          <w:tcPr>
            <w:tcW w:w="1572"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701"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 xml:space="preserve">Income Taxes - Federal </w:t>
            </w:r>
          </w:p>
        </w:tc>
        <w:tc>
          <w:tcPr>
            <w:tcW w:w="1572"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r>
              <w:rPr>
                <w:color w:val="000000"/>
              </w:rPr>
              <w:t>($1,546)</w:t>
            </w:r>
            <w:r w:rsidRPr="00B353C1">
              <w:rPr>
                <w:color w:val="000000"/>
              </w:rPr>
              <w:t xml:space="preserve"> </w:t>
            </w:r>
          </w:p>
        </w:tc>
        <w:tc>
          <w:tcPr>
            <w:tcW w:w="1701"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jc w:val="right"/>
              <w:rPr>
                <w:color w:val="000000"/>
              </w:rPr>
            </w:pPr>
            <w:r>
              <w:rPr>
                <w:color w:val="000000"/>
              </w:rPr>
              <w:t>($1,546)</w:t>
            </w:r>
            <w:r w:rsidRPr="00B353C1">
              <w:rPr>
                <w:color w:val="000000"/>
              </w:rPr>
              <w:t xml:space="preserve">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Income Taxes - State</w:t>
            </w:r>
          </w:p>
        </w:tc>
        <w:tc>
          <w:tcPr>
            <w:tcW w:w="1572"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r>
              <w:rPr>
                <w:color w:val="000000"/>
              </w:rPr>
              <w:t>($429)</w:t>
            </w:r>
          </w:p>
        </w:tc>
        <w:tc>
          <w:tcPr>
            <w:tcW w:w="1701"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jc w:val="right"/>
              <w:rPr>
                <w:color w:val="000000"/>
              </w:rPr>
            </w:pPr>
            <w:r>
              <w:rPr>
                <w:color w:val="000000"/>
              </w:rPr>
              <w:t>($429)</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Deferred Income Taxes - Federal</w:t>
            </w:r>
          </w:p>
        </w:tc>
        <w:tc>
          <w:tcPr>
            <w:tcW w:w="1572"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0</w:t>
            </w:r>
          </w:p>
        </w:tc>
        <w:tc>
          <w:tcPr>
            <w:tcW w:w="1701"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 xml:space="preserve">$14,906 </w:t>
            </w: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jc w:val="right"/>
              <w:rPr>
                <w:color w:val="000000"/>
              </w:rPr>
            </w:pPr>
            <w:r w:rsidRPr="00B353C1">
              <w:rPr>
                <w:color w:val="000000"/>
              </w:rPr>
              <w:t>14,906</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Deferred Income Taxes - State</w:t>
            </w:r>
          </w:p>
        </w:tc>
        <w:tc>
          <w:tcPr>
            <w:tcW w:w="1572" w:type="dxa"/>
            <w:tcBorders>
              <w:top w:val="nil"/>
              <w:left w:val="nil"/>
              <w:bottom w:val="single" w:sz="4" w:space="0" w:color="auto"/>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0</w:t>
            </w:r>
          </w:p>
        </w:tc>
        <w:tc>
          <w:tcPr>
            <w:tcW w:w="1701" w:type="dxa"/>
            <w:tcBorders>
              <w:top w:val="nil"/>
              <w:left w:val="nil"/>
              <w:bottom w:val="single" w:sz="4" w:space="0" w:color="auto"/>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 xml:space="preserve">$4,105 </w:t>
            </w:r>
          </w:p>
        </w:tc>
        <w:tc>
          <w:tcPr>
            <w:tcW w:w="1905" w:type="dxa"/>
            <w:gridSpan w:val="2"/>
            <w:tcBorders>
              <w:top w:val="nil"/>
              <w:left w:val="nil"/>
              <w:bottom w:val="single" w:sz="4" w:space="0" w:color="auto"/>
              <w:right w:val="single" w:sz="8" w:space="0" w:color="auto"/>
            </w:tcBorders>
            <w:shd w:val="clear" w:color="auto" w:fill="auto"/>
            <w:noWrap/>
            <w:vAlign w:val="center"/>
            <w:hideMark/>
          </w:tcPr>
          <w:p w:rsidR="007556ED" w:rsidRPr="00B353C1" w:rsidRDefault="007556ED" w:rsidP="00685941">
            <w:pPr>
              <w:jc w:val="right"/>
              <w:rPr>
                <w:color w:val="000000"/>
              </w:rPr>
            </w:pPr>
            <w:r w:rsidRPr="00B353C1">
              <w:rPr>
                <w:color w:val="000000"/>
              </w:rPr>
              <w:t>4,105</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TOTAL INCOME TAXES</w:t>
            </w:r>
          </w:p>
        </w:tc>
        <w:tc>
          <w:tcPr>
            <w:tcW w:w="1572"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r>
              <w:rPr>
                <w:color w:val="000000"/>
              </w:rPr>
              <w:t>($1,975)</w:t>
            </w:r>
            <w:r w:rsidRPr="00B353C1">
              <w:rPr>
                <w:color w:val="000000"/>
              </w:rPr>
              <w:t xml:space="preserve"> </w:t>
            </w:r>
          </w:p>
        </w:tc>
        <w:tc>
          <w:tcPr>
            <w:tcW w:w="1701" w:type="dxa"/>
            <w:tcBorders>
              <w:top w:val="nil"/>
              <w:left w:val="nil"/>
              <w:bottom w:val="nil"/>
              <w:right w:val="nil"/>
            </w:tcBorders>
            <w:shd w:val="clear" w:color="auto" w:fill="auto"/>
            <w:noWrap/>
            <w:vAlign w:val="center"/>
            <w:hideMark/>
          </w:tcPr>
          <w:p w:rsidR="007556ED" w:rsidRPr="00B353C1" w:rsidRDefault="007556ED" w:rsidP="00685941">
            <w:pPr>
              <w:jc w:val="right"/>
              <w:rPr>
                <w:color w:val="000000"/>
              </w:rPr>
            </w:pPr>
            <w:r w:rsidRPr="00B353C1">
              <w:rPr>
                <w:color w:val="000000"/>
              </w:rPr>
              <w:t>$</w:t>
            </w:r>
            <w:r>
              <w:rPr>
                <w:color w:val="000000"/>
              </w:rPr>
              <w:t>19,011</w:t>
            </w:r>
            <w:r w:rsidRPr="00B353C1">
              <w:rPr>
                <w:color w:val="000000"/>
              </w:rPr>
              <w:t xml:space="preserve"> </w:t>
            </w: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jc w:val="right"/>
              <w:rPr>
                <w:color w:val="000000"/>
              </w:rPr>
            </w:pPr>
            <w:r w:rsidRPr="00B353C1">
              <w:rPr>
                <w:color w:val="000000"/>
              </w:rPr>
              <w:t>$</w:t>
            </w:r>
            <w:r>
              <w:rPr>
                <w:color w:val="000000"/>
              </w:rPr>
              <w:t>17,036</w:t>
            </w:r>
            <w:r w:rsidRPr="00B353C1">
              <w:rPr>
                <w:color w:val="000000"/>
              </w:rPr>
              <w:t xml:space="preserve"> </w:t>
            </w:r>
          </w:p>
        </w:tc>
      </w:tr>
      <w:tr w:rsidR="007556ED" w:rsidRPr="00B353C1" w:rsidTr="003C4B7F">
        <w:trPr>
          <w:trHeight w:val="318"/>
          <w:jc w:val="center"/>
        </w:trPr>
        <w:tc>
          <w:tcPr>
            <w:tcW w:w="4560" w:type="dxa"/>
            <w:tcBorders>
              <w:top w:val="nil"/>
              <w:left w:val="single" w:sz="8" w:space="0" w:color="auto"/>
              <w:bottom w:val="nil"/>
              <w:right w:val="nil"/>
            </w:tcBorders>
            <w:shd w:val="clear" w:color="auto" w:fill="auto"/>
            <w:noWrap/>
            <w:vAlign w:val="center"/>
            <w:hideMark/>
          </w:tcPr>
          <w:p w:rsidR="007556ED" w:rsidRPr="00B353C1" w:rsidRDefault="007556ED" w:rsidP="00685941">
            <w:pPr>
              <w:rPr>
                <w:color w:val="000000"/>
              </w:rPr>
            </w:pPr>
            <w:r w:rsidRPr="00B353C1">
              <w:rPr>
                <w:color w:val="000000"/>
              </w:rPr>
              <w:t> </w:t>
            </w:r>
          </w:p>
        </w:tc>
        <w:tc>
          <w:tcPr>
            <w:tcW w:w="1572"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701" w:type="dxa"/>
            <w:tcBorders>
              <w:top w:val="nil"/>
              <w:left w:val="nil"/>
              <w:bottom w:val="nil"/>
              <w:right w:val="nil"/>
            </w:tcBorders>
            <w:shd w:val="clear" w:color="auto" w:fill="auto"/>
            <w:noWrap/>
            <w:vAlign w:val="bottom"/>
            <w:hideMark/>
          </w:tcPr>
          <w:p w:rsidR="007556ED" w:rsidRPr="00B353C1" w:rsidRDefault="007556ED" w:rsidP="00685941">
            <w:pPr>
              <w:rPr>
                <w:color w:val="000000"/>
              </w:rPr>
            </w:pPr>
          </w:p>
        </w:tc>
        <w:tc>
          <w:tcPr>
            <w:tcW w:w="1905" w:type="dxa"/>
            <w:gridSpan w:val="2"/>
            <w:tcBorders>
              <w:top w:val="nil"/>
              <w:left w:val="nil"/>
              <w:bottom w:val="nil"/>
              <w:right w:val="single" w:sz="8" w:space="0" w:color="auto"/>
            </w:tcBorders>
            <w:shd w:val="clear" w:color="auto" w:fill="auto"/>
            <w:noWrap/>
            <w:vAlign w:val="center"/>
            <w:hideMark/>
          </w:tcPr>
          <w:p w:rsidR="007556ED" w:rsidRPr="00B353C1" w:rsidRDefault="007556ED" w:rsidP="00685941">
            <w:pPr>
              <w:rPr>
                <w:color w:val="000000"/>
              </w:rPr>
            </w:pPr>
            <w:r w:rsidRPr="00B353C1">
              <w:rPr>
                <w:color w:val="000000"/>
              </w:rPr>
              <w:t> </w:t>
            </w:r>
          </w:p>
        </w:tc>
      </w:tr>
      <w:tr w:rsidR="007556ED" w:rsidRPr="00B353C1" w:rsidTr="003C4B7F">
        <w:trPr>
          <w:trHeight w:val="333"/>
          <w:jc w:val="center"/>
        </w:trPr>
        <w:tc>
          <w:tcPr>
            <w:tcW w:w="4560" w:type="dxa"/>
            <w:tcBorders>
              <w:top w:val="nil"/>
              <w:left w:val="single" w:sz="8" w:space="0" w:color="auto"/>
              <w:bottom w:val="single" w:sz="8" w:space="0" w:color="auto"/>
              <w:right w:val="nil"/>
            </w:tcBorders>
            <w:shd w:val="clear" w:color="auto" w:fill="auto"/>
            <w:noWrap/>
            <w:vAlign w:val="center"/>
            <w:hideMark/>
          </w:tcPr>
          <w:p w:rsidR="007556ED" w:rsidRPr="00B353C1" w:rsidRDefault="007556ED" w:rsidP="00685941">
            <w:pPr>
              <w:rPr>
                <w:color w:val="000000"/>
              </w:rPr>
            </w:pPr>
            <w:r w:rsidRPr="00B353C1">
              <w:rPr>
                <w:color w:val="000000"/>
              </w:rPr>
              <w:t xml:space="preserve">TOTAL OPERATING EXPENSES </w:t>
            </w:r>
          </w:p>
        </w:tc>
        <w:tc>
          <w:tcPr>
            <w:tcW w:w="1572" w:type="dxa"/>
            <w:tcBorders>
              <w:top w:val="nil"/>
              <w:left w:val="nil"/>
              <w:bottom w:val="single" w:sz="8" w:space="0" w:color="auto"/>
              <w:right w:val="nil"/>
            </w:tcBorders>
            <w:shd w:val="clear" w:color="auto" w:fill="auto"/>
            <w:noWrap/>
            <w:vAlign w:val="center"/>
            <w:hideMark/>
          </w:tcPr>
          <w:p w:rsidR="007556ED" w:rsidRPr="00B353C1" w:rsidRDefault="007556ED" w:rsidP="00685941">
            <w:pPr>
              <w:jc w:val="right"/>
              <w:rPr>
                <w:color w:val="000000"/>
                <w:u w:val="single"/>
              </w:rPr>
            </w:pPr>
            <w:r w:rsidRPr="00B353C1">
              <w:rPr>
                <w:color w:val="000000"/>
                <w:u w:val="single"/>
              </w:rPr>
              <w:t>$1,</w:t>
            </w:r>
            <w:r>
              <w:rPr>
                <w:color w:val="000000"/>
                <w:u w:val="single"/>
              </w:rPr>
              <w:t>021,137</w:t>
            </w:r>
            <w:r w:rsidRPr="00B353C1">
              <w:rPr>
                <w:color w:val="000000"/>
                <w:u w:val="single"/>
              </w:rPr>
              <w:t xml:space="preserve"> </w:t>
            </w:r>
          </w:p>
        </w:tc>
        <w:tc>
          <w:tcPr>
            <w:tcW w:w="1701" w:type="dxa"/>
            <w:tcBorders>
              <w:top w:val="nil"/>
              <w:left w:val="nil"/>
              <w:bottom w:val="single" w:sz="8" w:space="0" w:color="auto"/>
              <w:right w:val="nil"/>
            </w:tcBorders>
            <w:shd w:val="clear" w:color="auto" w:fill="auto"/>
            <w:noWrap/>
            <w:vAlign w:val="center"/>
            <w:hideMark/>
          </w:tcPr>
          <w:p w:rsidR="007556ED" w:rsidRPr="00B353C1" w:rsidRDefault="007556ED" w:rsidP="00685941">
            <w:pPr>
              <w:jc w:val="right"/>
              <w:rPr>
                <w:color w:val="000000"/>
                <w:u w:val="single"/>
              </w:rPr>
            </w:pPr>
            <w:r w:rsidRPr="00B353C1">
              <w:rPr>
                <w:color w:val="000000"/>
                <w:u w:val="single"/>
              </w:rPr>
              <w:t>$</w:t>
            </w:r>
            <w:r>
              <w:rPr>
                <w:color w:val="000000"/>
                <w:u w:val="single"/>
              </w:rPr>
              <w:t>20,411</w:t>
            </w:r>
            <w:r w:rsidRPr="00B353C1">
              <w:rPr>
                <w:color w:val="000000"/>
                <w:u w:val="single"/>
              </w:rPr>
              <w:t xml:space="preserve"> </w:t>
            </w:r>
          </w:p>
        </w:tc>
        <w:tc>
          <w:tcPr>
            <w:tcW w:w="1905" w:type="dxa"/>
            <w:gridSpan w:val="2"/>
            <w:tcBorders>
              <w:top w:val="nil"/>
              <w:left w:val="nil"/>
              <w:bottom w:val="single" w:sz="8" w:space="0" w:color="auto"/>
              <w:right w:val="single" w:sz="8" w:space="0" w:color="auto"/>
            </w:tcBorders>
            <w:shd w:val="clear" w:color="auto" w:fill="auto"/>
            <w:noWrap/>
            <w:vAlign w:val="center"/>
            <w:hideMark/>
          </w:tcPr>
          <w:p w:rsidR="007556ED" w:rsidRPr="00B353C1" w:rsidRDefault="007556ED" w:rsidP="00685941">
            <w:pPr>
              <w:jc w:val="right"/>
              <w:rPr>
                <w:color w:val="000000"/>
                <w:u w:val="single"/>
              </w:rPr>
            </w:pPr>
            <w:r w:rsidRPr="00B353C1">
              <w:rPr>
                <w:color w:val="000000"/>
                <w:u w:val="single"/>
              </w:rPr>
              <w:t>$1,</w:t>
            </w:r>
            <w:r>
              <w:rPr>
                <w:color w:val="000000"/>
                <w:u w:val="single"/>
              </w:rPr>
              <w:t>041,548</w:t>
            </w:r>
            <w:r w:rsidRPr="00B353C1">
              <w:rPr>
                <w:color w:val="000000"/>
                <w:u w:val="single"/>
              </w:rPr>
              <w:t xml:space="preserve"> </w:t>
            </w:r>
          </w:p>
        </w:tc>
      </w:tr>
    </w:tbl>
    <w:p w:rsidR="007556ED" w:rsidRDefault="007556ED" w:rsidP="001769FA">
      <w:pPr>
        <w:pStyle w:val="OrderBody"/>
        <w:sectPr w:rsidR="007556ED" w:rsidSect="001769FA">
          <w:headerReference w:type="even" r:id="rId20"/>
          <w:headerReference w:type="default" r:id="rId21"/>
          <w:headerReference w:type="first" r:id="rId22"/>
          <w:pgSz w:w="12240" w:h="15840" w:code="1"/>
          <w:pgMar w:top="1440" w:right="1440" w:bottom="1440" w:left="1440" w:header="720" w:footer="720" w:gutter="0"/>
          <w:cols w:space="720"/>
          <w:titlePg/>
          <w:docGrid w:linePitch="360"/>
        </w:sectPr>
      </w:pPr>
    </w:p>
    <w:p w:rsidR="007556ED" w:rsidRPr="007556ED" w:rsidRDefault="007556ED" w:rsidP="007556ED">
      <w:pPr>
        <w:spacing w:after="240"/>
        <w:jc w:val="both"/>
        <w:outlineLvl w:val="0"/>
        <w:rPr>
          <w:rFonts w:ascii="Arial" w:hAnsi="Arial" w:cs="Arial"/>
          <w:b/>
          <w:bCs/>
          <w:i/>
          <w:kern w:val="32"/>
          <w:szCs w:val="32"/>
        </w:rPr>
      </w:pPr>
    </w:p>
    <w:p w:rsidR="007556ED" w:rsidRPr="003C4B7F" w:rsidRDefault="007556ED" w:rsidP="007556ED">
      <w:pPr>
        <w:jc w:val="center"/>
      </w:pPr>
      <w:r w:rsidRPr="003C4B7F">
        <w:rPr>
          <w:b/>
        </w:rPr>
        <w:t>Sebring Gas System</w:t>
      </w:r>
    </w:p>
    <w:p w:rsidR="007556ED" w:rsidRPr="003C4B7F" w:rsidRDefault="007556ED" w:rsidP="007556ED">
      <w:pPr>
        <w:jc w:val="center"/>
        <w:rPr>
          <w:b/>
        </w:rPr>
      </w:pPr>
      <w:r w:rsidRPr="003C4B7F">
        <w:rPr>
          <w:b/>
        </w:rPr>
        <w:t>Docket No. 20190083-GU</w:t>
      </w:r>
    </w:p>
    <w:p w:rsidR="007556ED" w:rsidRPr="003C4B7F" w:rsidRDefault="007556ED" w:rsidP="007556ED">
      <w:pPr>
        <w:jc w:val="center"/>
        <w:rPr>
          <w:b/>
        </w:rPr>
      </w:pPr>
      <w:r w:rsidRPr="003C4B7F">
        <w:rPr>
          <w:b/>
        </w:rPr>
        <w:t>2020 Projected Test Year</w:t>
      </w:r>
    </w:p>
    <w:p w:rsidR="007556ED" w:rsidRPr="003C4B7F" w:rsidRDefault="007556ED" w:rsidP="007556ED">
      <w:pPr>
        <w:jc w:val="center"/>
        <w:rPr>
          <w:b/>
        </w:rPr>
      </w:pPr>
      <w:r w:rsidRPr="003C4B7F">
        <w:rPr>
          <w:b/>
        </w:rPr>
        <w:t>Net Operating Income Multiplier</w:t>
      </w:r>
    </w:p>
    <w:tbl>
      <w:tblPr>
        <w:tblW w:w="8900" w:type="dxa"/>
        <w:tblInd w:w="93" w:type="dxa"/>
        <w:tblLook w:val="04A0" w:firstRow="1" w:lastRow="0" w:firstColumn="1" w:lastColumn="0" w:noHBand="0" w:noVBand="1"/>
      </w:tblPr>
      <w:tblGrid>
        <w:gridCol w:w="5060"/>
        <w:gridCol w:w="1540"/>
        <w:gridCol w:w="960"/>
        <w:gridCol w:w="1750"/>
      </w:tblGrid>
      <w:tr w:rsidR="007556ED" w:rsidRPr="007556ED" w:rsidTr="00470298">
        <w:trPr>
          <w:trHeight w:val="555"/>
        </w:trPr>
        <w:tc>
          <w:tcPr>
            <w:tcW w:w="5060" w:type="dxa"/>
            <w:tcBorders>
              <w:top w:val="single" w:sz="8" w:space="0" w:color="auto"/>
              <w:left w:val="single" w:sz="8" w:space="0" w:color="auto"/>
              <w:bottom w:val="nil"/>
              <w:right w:val="nil"/>
            </w:tcBorders>
            <w:shd w:val="clear" w:color="auto" w:fill="auto"/>
            <w:noWrap/>
            <w:vAlign w:val="bottom"/>
            <w:hideMark/>
          </w:tcPr>
          <w:p w:rsidR="007556ED" w:rsidRPr="007556ED" w:rsidRDefault="007556ED" w:rsidP="007556ED">
            <w:pPr>
              <w:rPr>
                <w:rFonts w:cstheme="minorHAnsi"/>
                <w:color w:val="000000"/>
                <w:u w:val="single"/>
              </w:rPr>
            </w:pPr>
            <w:r w:rsidRPr="007556ED">
              <w:rPr>
                <w:rFonts w:cstheme="minorHAnsi"/>
                <w:color w:val="000000"/>
                <w:u w:val="single"/>
              </w:rPr>
              <w:t>DESCRIPTION</w:t>
            </w:r>
          </w:p>
        </w:tc>
        <w:tc>
          <w:tcPr>
            <w:tcW w:w="1540" w:type="dxa"/>
            <w:tcBorders>
              <w:top w:val="single" w:sz="8" w:space="0" w:color="auto"/>
              <w:left w:val="nil"/>
              <w:bottom w:val="single" w:sz="4" w:space="0" w:color="auto"/>
              <w:right w:val="nil"/>
            </w:tcBorders>
            <w:shd w:val="clear" w:color="auto" w:fill="auto"/>
            <w:vAlign w:val="center"/>
            <w:hideMark/>
          </w:tcPr>
          <w:p w:rsidR="007556ED" w:rsidRPr="007556ED" w:rsidRDefault="007556ED" w:rsidP="007556ED">
            <w:pPr>
              <w:jc w:val="center"/>
              <w:rPr>
                <w:rFonts w:cstheme="minorHAnsi"/>
                <w:color w:val="000000"/>
              </w:rPr>
            </w:pPr>
            <w:r w:rsidRPr="007556ED">
              <w:rPr>
                <w:rFonts w:cstheme="minorHAnsi"/>
                <w:color w:val="000000"/>
              </w:rPr>
              <w:t>COMPANY     PER FILING</w:t>
            </w:r>
          </w:p>
        </w:tc>
        <w:tc>
          <w:tcPr>
            <w:tcW w:w="960" w:type="dxa"/>
            <w:tcBorders>
              <w:top w:val="single" w:sz="8" w:space="0" w:color="auto"/>
              <w:left w:val="nil"/>
              <w:bottom w:val="nil"/>
              <w:right w:val="nil"/>
            </w:tcBorders>
            <w:shd w:val="clear" w:color="auto" w:fill="auto"/>
            <w:noWrap/>
            <w:vAlign w:val="bottom"/>
            <w:hideMark/>
          </w:tcPr>
          <w:p w:rsidR="007556ED" w:rsidRPr="007556ED" w:rsidRDefault="007556ED" w:rsidP="007556ED">
            <w:pPr>
              <w:jc w:val="center"/>
              <w:rPr>
                <w:rFonts w:cstheme="minorHAnsi"/>
                <w:color w:val="000000"/>
              </w:rPr>
            </w:pPr>
            <w:r w:rsidRPr="007556ED">
              <w:rPr>
                <w:rFonts w:cstheme="minorHAnsi"/>
                <w:color w:val="000000"/>
              </w:rPr>
              <w:t> </w:t>
            </w:r>
          </w:p>
        </w:tc>
        <w:tc>
          <w:tcPr>
            <w:tcW w:w="1340" w:type="dxa"/>
            <w:tcBorders>
              <w:top w:val="single" w:sz="8" w:space="0" w:color="auto"/>
              <w:left w:val="nil"/>
              <w:right w:val="single" w:sz="8" w:space="0" w:color="auto"/>
            </w:tcBorders>
            <w:shd w:val="clear" w:color="auto" w:fill="auto"/>
            <w:noWrap/>
            <w:vAlign w:val="bottom"/>
            <w:hideMark/>
          </w:tcPr>
          <w:p w:rsidR="007556ED" w:rsidRPr="00470298" w:rsidRDefault="003C4B7F" w:rsidP="00470298">
            <w:pPr>
              <w:jc w:val="center"/>
              <w:rPr>
                <w:rFonts w:cstheme="minorHAnsi"/>
                <w:color w:val="000000"/>
                <w:u w:val="single"/>
              </w:rPr>
            </w:pPr>
            <w:r w:rsidRPr="00470298">
              <w:rPr>
                <w:rFonts w:cstheme="minorHAnsi"/>
                <w:color w:val="000000"/>
                <w:u w:val="single"/>
              </w:rPr>
              <w:t>COMMISSION</w:t>
            </w:r>
          </w:p>
        </w:tc>
      </w:tr>
      <w:tr w:rsidR="007556ED" w:rsidRPr="007556ED" w:rsidTr="00470298">
        <w:trPr>
          <w:trHeight w:val="390"/>
        </w:trPr>
        <w:tc>
          <w:tcPr>
            <w:tcW w:w="5060" w:type="dxa"/>
            <w:tcBorders>
              <w:top w:val="nil"/>
              <w:left w:val="single" w:sz="8" w:space="0" w:color="auto"/>
              <w:bottom w:val="nil"/>
              <w:right w:val="nil"/>
            </w:tcBorders>
            <w:shd w:val="clear" w:color="auto" w:fill="auto"/>
            <w:noWrap/>
            <w:vAlign w:val="bottom"/>
            <w:hideMark/>
          </w:tcPr>
          <w:p w:rsidR="007556ED" w:rsidRPr="007556ED" w:rsidRDefault="007556ED" w:rsidP="007556ED">
            <w:pPr>
              <w:rPr>
                <w:rFonts w:cstheme="minorHAnsi"/>
                <w:color w:val="000000"/>
              </w:rPr>
            </w:pPr>
            <w:r w:rsidRPr="007556ED">
              <w:rPr>
                <w:rFonts w:cstheme="minorHAnsi"/>
                <w:color w:val="000000"/>
              </w:rPr>
              <w:t>REVENUE REQUIREMENT</w:t>
            </w:r>
          </w:p>
        </w:tc>
        <w:tc>
          <w:tcPr>
            <w:tcW w:w="1540" w:type="dxa"/>
            <w:tcBorders>
              <w:top w:val="nil"/>
              <w:left w:val="nil"/>
              <w:bottom w:val="nil"/>
              <w:right w:val="nil"/>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100.0000%</w:t>
            </w:r>
          </w:p>
        </w:tc>
        <w:tc>
          <w:tcPr>
            <w:tcW w:w="960" w:type="dxa"/>
            <w:tcBorders>
              <w:top w:val="nil"/>
              <w:left w:val="nil"/>
              <w:bottom w:val="nil"/>
              <w:right w:val="nil"/>
            </w:tcBorders>
            <w:shd w:val="clear" w:color="auto" w:fill="auto"/>
            <w:noWrap/>
            <w:vAlign w:val="bottom"/>
            <w:hideMark/>
          </w:tcPr>
          <w:p w:rsidR="007556ED" w:rsidRPr="007556ED" w:rsidRDefault="007556ED" w:rsidP="007556ED">
            <w:pPr>
              <w:rPr>
                <w:rFonts w:cstheme="minorHAnsi"/>
                <w:color w:val="000000"/>
              </w:rPr>
            </w:pPr>
          </w:p>
        </w:tc>
        <w:tc>
          <w:tcPr>
            <w:tcW w:w="1340" w:type="dxa"/>
            <w:tcBorders>
              <w:left w:val="nil"/>
              <w:bottom w:val="nil"/>
              <w:right w:val="single" w:sz="8" w:space="0" w:color="auto"/>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100.0000%</w:t>
            </w:r>
          </w:p>
        </w:tc>
      </w:tr>
      <w:tr w:rsidR="007556ED" w:rsidRPr="007556ED" w:rsidTr="00685941">
        <w:trPr>
          <w:trHeight w:val="390"/>
        </w:trPr>
        <w:tc>
          <w:tcPr>
            <w:tcW w:w="5060" w:type="dxa"/>
            <w:tcBorders>
              <w:top w:val="nil"/>
              <w:left w:val="single" w:sz="8" w:space="0" w:color="auto"/>
              <w:bottom w:val="nil"/>
              <w:right w:val="nil"/>
            </w:tcBorders>
            <w:shd w:val="clear" w:color="auto" w:fill="auto"/>
            <w:noWrap/>
            <w:vAlign w:val="bottom"/>
            <w:hideMark/>
          </w:tcPr>
          <w:p w:rsidR="007556ED" w:rsidRPr="007556ED" w:rsidRDefault="007556ED" w:rsidP="007556ED">
            <w:pPr>
              <w:rPr>
                <w:rFonts w:cstheme="minorHAnsi"/>
                <w:color w:val="000000"/>
              </w:rPr>
            </w:pPr>
            <w:r w:rsidRPr="007556ED">
              <w:rPr>
                <w:rFonts w:cstheme="minorHAnsi"/>
                <w:color w:val="000000"/>
              </w:rPr>
              <w:t>REGULATORY ASSES</w:t>
            </w:r>
            <w:r w:rsidR="003C4B7F">
              <w:rPr>
                <w:rFonts w:cstheme="minorHAnsi"/>
                <w:color w:val="000000"/>
              </w:rPr>
              <w:t>S</w:t>
            </w:r>
            <w:r w:rsidRPr="007556ED">
              <w:rPr>
                <w:rFonts w:cstheme="minorHAnsi"/>
                <w:color w:val="000000"/>
              </w:rPr>
              <w:t>MENT RATE</w:t>
            </w:r>
          </w:p>
        </w:tc>
        <w:tc>
          <w:tcPr>
            <w:tcW w:w="1540" w:type="dxa"/>
            <w:tcBorders>
              <w:top w:val="nil"/>
              <w:left w:val="nil"/>
              <w:bottom w:val="nil"/>
              <w:right w:val="nil"/>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0.5000%</w:t>
            </w:r>
          </w:p>
        </w:tc>
        <w:tc>
          <w:tcPr>
            <w:tcW w:w="960" w:type="dxa"/>
            <w:tcBorders>
              <w:top w:val="nil"/>
              <w:left w:val="nil"/>
              <w:bottom w:val="nil"/>
              <w:right w:val="nil"/>
            </w:tcBorders>
            <w:shd w:val="clear" w:color="auto" w:fill="auto"/>
            <w:noWrap/>
            <w:vAlign w:val="bottom"/>
            <w:hideMark/>
          </w:tcPr>
          <w:p w:rsidR="007556ED" w:rsidRPr="007556ED" w:rsidRDefault="007556ED" w:rsidP="007556ED">
            <w:pPr>
              <w:rPr>
                <w:rFonts w:cstheme="minorHAnsi"/>
                <w:color w:val="000000"/>
              </w:rPr>
            </w:pPr>
          </w:p>
        </w:tc>
        <w:tc>
          <w:tcPr>
            <w:tcW w:w="1340" w:type="dxa"/>
            <w:tcBorders>
              <w:top w:val="nil"/>
              <w:left w:val="nil"/>
              <w:bottom w:val="nil"/>
              <w:right w:val="single" w:sz="8" w:space="0" w:color="auto"/>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0.5000%</w:t>
            </w:r>
          </w:p>
        </w:tc>
      </w:tr>
      <w:tr w:rsidR="007556ED" w:rsidRPr="007556ED" w:rsidTr="00685941">
        <w:trPr>
          <w:trHeight w:val="390"/>
        </w:trPr>
        <w:tc>
          <w:tcPr>
            <w:tcW w:w="5060" w:type="dxa"/>
            <w:tcBorders>
              <w:top w:val="nil"/>
              <w:left w:val="single" w:sz="8" w:space="0" w:color="auto"/>
              <w:bottom w:val="nil"/>
              <w:right w:val="nil"/>
            </w:tcBorders>
            <w:shd w:val="clear" w:color="auto" w:fill="auto"/>
            <w:noWrap/>
            <w:vAlign w:val="bottom"/>
            <w:hideMark/>
          </w:tcPr>
          <w:p w:rsidR="007556ED" w:rsidRPr="007556ED" w:rsidRDefault="007556ED" w:rsidP="007556ED">
            <w:pPr>
              <w:rPr>
                <w:rFonts w:cstheme="minorHAnsi"/>
                <w:color w:val="000000"/>
              </w:rPr>
            </w:pPr>
            <w:r w:rsidRPr="007556ED">
              <w:rPr>
                <w:rFonts w:cstheme="minorHAnsi"/>
                <w:color w:val="000000"/>
              </w:rPr>
              <w:t>BAD DEBT RATE</w:t>
            </w:r>
          </w:p>
        </w:tc>
        <w:tc>
          <w:tcPr>
            <w:tcW w:w="1540" w:type="dxa"/>
            <w:tcBorders>
              <w:top w:val="nil"/>
              <w:left w:val="nil"/>
              <w:bottom w:val="nil"/>
              <w:right w:val="nil"/>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0.0000%</w:t>
            </w:r>
          </w:p>
        </w:tc>
        <w:tc>
          <w:tcPr>
            <w:tcW w:w="960" w:type="dxa"/>
            <w:tcBorders>
              <w:top w:val="nil"/>
              <w:left w:val="nil"/>
              <w:bottom w:val="nil"/>
              <w:right w:val="nil"/>
            </w:tcBorders>
            <w:shd w:val="clear" w:color="auto" w:fill="auto"/>
            <w:noWrap/>
            <w:vAlign w:val="bottom"/>
            <w:hideMark/>
          </w:tcPr>
          <w:p w:rsidR="007556ED" w:rsidRPr="007556ED" w:rsidRDefault="007556ED" w:rsidP="007556ED">
            <w:pPr>
              <w:rPr>
                <w:rFonts w:cstheme="minorHAnsi"/>
                <w:color w:val="000000"/>
              </w:rPr>
            </w:pPr>
          </w:p>
        </w:tc>
        <w:tc>
          <w:tcPr>
            <w:tcW w:w="1340" w:type="dxa"/>
            <w:tcBorders>
              <w:top w:val="nil"/>
              <w:left w:val="nil"/>
              <w:bottom w:val="nil"/>
              <w:right w:val="single" w:sz="8" w:space="0" w:color="auto"/>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0.0000%</w:t>
            </w:r>
          </w:p>
        </w:tc>
      </w:tr>
      <w:tr w:rsidR="007556ED" w:rsidRPr="007556ED" w:rsidTr="00685941">
        <w:trPr>
          <w:trHeight w:val="390"/>
        </w:trPr>
        <w:tc>
          <w:tcPr>
            <w:tcW w:w="5060" w:type="dxa"/>
            <w:tcBorders>
              <w:top w:val="nil"/>
              <w:left w:val="single" w:sz="8" w:space="0" w:color="auto"/>
              <w:bottom w:val="nil"/>
              <w:right w:val="nil"/>
            </w:tcBorders>
            <w:shd w:val="clear" w:color="auto" w:fill="auto"/>
            <w:noWrap/>
            <w:vAlign w:val="bottom"/>
            <w:hideMark/>
          </w:tcPr>
          <w:p w:rsidR="007556ED" w:rsidRPr="007556ED" w:rsidRDefault="007556ED" w:rsidP="007556ED">
            <w:pPr>
              <w:rPr>
                <w:rFonts w:cstheme="minorHAnsi"/>
                <w:color w:val="000000"/>
              </w:rPr>
            </w:pPr>
            <w:r w:rsidRPr="007556ED">
              <w:rPr>
                <w:rFonts w:cstheme="minorHAnsi"/>
                <w:color w:val="000000"/>
              </w:rPr>
              <w:t>NET BEFORE INCOME TAX RATE</w:t>
            </w:r>
          </w:p>
        </w:tc>
        <w:tc>
          <w:tcPr>
            <w:tcW w:w="1540" w:type="dxa"/>
            <w:tcBorders>
              <w:top w:val="single" w:sz="4" w:space="0" w:color="auto"/>
              <w:left w:val="nil"/>
              <w:bottom w:val="single" w:sz="4" w:space="0" w:color="auto"/>
              <w:right w:val="nil"/>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99.5000%</w:t>
            </w:r>
          </w:p>
        </w:tc>
        <w:tc>
          <w:tcPr>
            <w:tcW w:w="960" w:type="dxa"/>
            <w:tcBorders>
              <w:top w:val="nil"/>
              <w:left w:val="nil"/>
              <w:bottom w:val="nil"/>
              <w:right w:val="nil"/>
            </w:tcBorders>
            <w:shd w:val="clear" w:color="auto" w:fill="auto"/>
            <w:noWrap/>
            <w:vAlign w:val="bottom"/>
            <w:hideMark/>
          </w:tcPr>
          <w:p w:rsidR="007556ED" w:rsidRPr="007556ED" w:rsidRDefault="007556ED" w:rsidP="007556ED">
            <w:pPr>
              <w:rPr>
                <w:rFonts w:cstheme="minorHAnsi"/>
                <w:color w:val="000000"/>
              </w:rPr>
            </w:pP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99.5000%</w:t>
            </w:r>
          </w:p>
        </w:tc>
      </w:tr>
      <w:tr w:rsidR="007556ED" w:rsidRPr="007556ED" w:rsidTr="00685941">
        <w:trPr>
          <w:trHeight w:val="390"/>
        </w:trPr>
        <w:tc>
          <w:tcPr>
            <w:tcW w:w="5060" w:type="dxa"/>
            <w:tcBorders>
              <w:top w:val="nil"/>
              <w:left w:val="single" w:sz="8" w:space="0" w:color="auto"/>
              <w:bottom w:val="nil"/>
              <w:right w:val="nil"/>
            </w:tcBorders>
            <w:shd w:val="clear" w:color="auto" w:fill="auto"/>
            <w:noWrap/>
            <w:vAlign w:val="bottom"/>
            <w:hideMark/>
          </w:tcPr>
          <w:p w:rsidR="007556ED" w:rsidRPr="007556ED" w:rsidRDefault="007556ED" w:rsidP="007556ED">
            <w:pPr>
              <w:rPr>
                <w:rFonts w:cstheme="minorHAnsi"/>
                <w:color w:val="000000"/>
              </w:rPr>
            </w:pPr>
            <w:r w:rsidRPr="007556ED">
              <w:rPr>
                <w:rFonts w:cstheme="minorHAnsi"/>
                <w:color w:val="000000"/>
              </w:rPr>
              <w:t>STATE INCOME TAX RATE</w:t>
            </w:r>
          </w:p>
        </w:tc>
        <w:tc>
          <w:tcPr>
            <w:tcW w:w="1540" w:type="dxa"/>
            <w:tcBorders>
              <w:top w:val="nil"/>
              <w:left w:val="nil"/>
              <w:bottom w:val="nil"/>
              <w:right w:val="nil"/>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5.5000%</w:t>
            </w:r>
          </w:p>
        </w:tc>
        <w:tc>
          <w:tcPr>
            <w:tcW w:w="960" w:type="dxa"/>
            <w:tcBorders>
              <w:top w:val="nil"/>
              <w:left w:val="nil"/>
              <w:bottom w:val="nil"/>
              <w:right w:val="nil"/>
            </w:tcBorders>
            <w:shd w:val="clear" w:color="auto" w:fill="auto"/>
            <w:noWrap/>
            <w:vAlign w:val="bottom"/>
            <w:hideMark/>
          </w:tcPr>
          <w:p w:rsidR="007556ED" w:rsidRPr="007556ED" w:rsidRDefault="007556ED" w:rsidP="007556ED">
            <w:pPr>
              <w:rPr>
                <w:rFonts w:cstheme="minorHAnsi"/>
                <w:color w:val="000000"/>
              </w:rPr>
            </w:pPr>
          </w:p>
        </w:tc>
        <w:tc>
          <w:tcPr>
            <w:tcW w:w="1340" w:type="dxa"/>
            <w:tcBorders>
              <w:top w:val="nil"/>
              <w:left w:val="nil"/>
              <w:bottom w:val="nil"/>
              <w:right w:val="single" w:sz="8" w:space="0" w:color="auto"/>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4.4580%</w:t>
            </w:r>
          </w:p>
        </w:tc>
      </w:tr>
      <w:tr w:rsidR="007556ED" w:rsidRPr="007556ED" w:rsidTr="00685941">
        <w:trPr>
          <w:trHeight w:val="390"/>
        </w:trPr>
        <w:tc>
          <w:tcPr>
            <w:tcW w:w="5060" w:type="dxa"/>
            <w:tcBorders>
              <w:top w:val="nil"/>
              <w:left w:val="single" w:sz="8" w:space="0" w:color="auto"/>
              <w:bottom w:val="nil"/>
              <w:right w:val="nil"/>
            </w:tcBorders>
            <w:shd w:val="clear" w:color="auto" w:fill="auto"/>
            <w:noWrap/>
            <w:vAlign w:val="bottom"/>
            <w:hideMark/>
          </w:tcPr>
          <w:p w:rsidR="007556ED" w:rsidRPr="007556ED" w:rsidRDefault="007556ED" w:rsidP="007556ED">
            <w:pPr>
              <w:rPr>
                <w:rFonts w:cstheme="minorHAnsi"/>
                <w:color w:val="000000"/>
              </w:rPr>
            </w:pPr>
            <w:r w:rsidRPr="007556ED">
              <w:rPr>
                <w:rFonts w:cstheme="minorHAnsi"/>
                <w:color w:val="000000"/>
              </w:rPr>
              <w:t xml:space="preserve">STATE INCOME TAX </w:t>
            </w:r>
          </w:p>
        </w:tc>
        <w:tc>
          <w:tcPr>
            <w:tcW w:w="1540" w:type="dxa"/>
            <w:tcBorders>
              <w:top w:val="nil"/>
              <w:left w:val="nil"/>
              <w:bottom w:val="single" w:sz="4" w:space="0" w:color="auto"/>
              <w:right w:val="nil"/>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5.4725%</w:t>
            </w:r>
          </w:p>
        </w:tc>
        <w:tc>
          <w:tcPr>
            <w:tcW w:w="960" w:type="dxa"/>
            <w:tcBorders>
              <w:top w:val="nil"/>
              <w:left w:val="nil"/>
              <w:bottom w:val="nil"/>
              <w:right w:val="nil"/>
            </w:tcBorders>
            <w:shd w:val="clear" w:color="auto" w:fill="auto"/>
            <w:noWrap/>
            <w:vAlign w:val="bottom"/>
            <w:hideMark/>
          </w:tcPr>
          <w:p w:rsidR="007556ED" w:rsidRPr="007556ED" w:rsidRDefault="007556ED" w:rsidP="007556ED">
            <w:pPr>
              <w:rPr>
                <w:rFonts w:cstheme="minorHAnsi"/>
                <w:color w:val="000000"/>
              </w:rPr>
            </w:pPr>
          </w:p>
        </w:tc>
        <w:tc>
          <w:tcPr>
            <w:tcW w:w="1340" w:type="dxa"/>
            <w:tcBorders>
              <w:top w:val="nil"/>
              <w:left w:val="nil"/>
              <w:bottom w:val="single" w:sz="4" w:space="0" w:color="auto"/>
              <w:right w:val="single" w:sz="8" w:space="0" w:color="auto"/>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4.4357%</w:t>
            </w:r>
          </w:p>
        </w:tc>
      </w:tr>
      <w:tr w:rsidR="007556ED" w:rsidRPr="007556ED" w:rsidTr="00685941">
        <w:trPr>
          <w:trHeight w:val="390"/>
        </w:trPr>
        <w:tc>
          <w:tcPr>
            <w:tcW w:w="5060" w:type="dxa"/>
            <w:tcBorders>
              <w:top w:val="nil"/>
              <w:left w:val="single" w:sz="8" w:space="0" w:color="auto"/>
              <w:bottom w:val="nil"/>
              <w:right w:val="nil"/>
            </w:tcBorders>
            <w:shd w:val="clear" w:color="auto" w:fill="auto"/>
            <w:noWrap/>
            <w:vAlign w:val="bottom"/>
            <w:hideMark/>
          </w:tcPr>
          <w:p w:rsidR="007556ED" w:rsidRPr="007556ED" w:rsidRDefault="007556ED" w:rsidP="007556ED">
            <w:pPr>
              <w:rPr>
                <w:rFonts w:cstheme="minorHAnsi"/>
                <w:color w:val="000000"/>
              </w:rPr>
            </w:pPr>
            <w:r w:rsidRPr="007556ED">
              <w:rPr>
                <w:rFonts w:cstheme="minorHAnsi"/>
                <w:color w:val="000000"/>
              </w:rPr>
              <w:t>NET BEFORE FEDERAL INCOME TAXES</w:t>
            </w:r>
          </w:p>
        </w:tc>
        <w:tc>
          <w:tcPr>
            <w:tcW w:w="1540" w:type="dxa"/>
            <w:tcBorders>
              <w:top w:val="nil"/>
              <w:left w:val="nil"/>
              <w:bottom w:val="nil"/>
              <w:right w:val="nil"/>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94.0275%</w:t>
            </w:r>
          </w:p>
        </w:tc>
        <w:tc>
          <w:tcPr>
            <w:tcW w:w="960" w:type="dxa"/>
            <w:tcBorders>
              <w:top w:val="nil"/>
              <w:left w:val="nil"/>
              <w:bottom w:val="nil"/>
              <w:right w:val="nil"/>
            </w:tcBorders>
            <w:shd w:val="clear" w:color="auto" w:fill="auto"/>
            <w:noWrap/>
            <w:vAlign w:val="bottom"/>
            <w:hideMark/>
          </w:tcPr>
          <w:p w:rsidR="007556ED" w:rsidRPr="007556ED" w:rsidRDefault="007556ED" w:rsidP="007556ED">
            <w:pPr>
              <w:rPr>
                <w:rFonts w:cstheme="minorHAnsi"/>
                <w:color w:val="000000"/>
              </w:rPr>
            </w:pPr>
          </w:p>
        </w:tc>
        <w:tc>
          <w:tcPr>
            <w:tcW w:w="1340" w:type="dxa"/>
            <w:tcBorders>
              <w:top w:val="nil"/>
              <w:left w:val="nil"/>
              <w:bottom w:val="nil"/>
              <w:right w:val="single" w:sz="8" w:space="0" w:color="auto"/>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95.0643%</w:t>
            </w:r>
          </w:p>
        </w:tc>
      </w:tr>
      <w:tr w:rsidR="007556ED" w:rsidRPr="007556ED" w:rsidTr="00685941">
        <w:trPr>
          <w:trHeight w:val="390"/>
        </w:trPr>
        <w:tc>
          <w:tcPr>
            <w:tcW w:w="5060" w:type="dxa"/>
            <w:tcBorders>
              <w:top w:val="nil"/>
              <w:left w:val="single" w:sz="8" w:space="0" w:color="auto"/>
              <w:bottom w:val="nil"/>
              <w:right w:val="nil"/>
            </w:tcBorders>
            <w:shd w:val="clear" w:color="auto" w:fill="auto"/>
            <w:noWrap/>
            <w:vAlign w:val="bottom"/>
            <w:hideMark/>
          </w:tcPr>
          <w:p w:rsidR="007556ED" w:rsidRPr="007556ED" w:rsidRDefault="007556ED" w:rsidP="007556ED">
            <w:pPr>
              <w:rPr>
                <w:rFonts w:cstheme="minorHAnsi"/>
                <w:color w:val="000000"/>
              </w:rPr>
            </w:pPr>
            <w:r w:rsidRPr="007556ED">
              <w:rPr>
                <w:rFonts w:cstheme="minorHAnsi"/>
                <w:color w:val="000000"/>
              </w:rPr>
              <w:t>FEDERAL INCOME TAX RATE</w:t>
            </w:r>
          </w:p>
        </w:tc>
        <w:tc>
          <w:tcPr>
            <w:tcW w:w="1540" w:type="dxa"/>
            <w:tcBorders>
              <w:top w:val="nil"/>
              <w:left w:val="nil"/>
              <w:bottom w:val="nil"/>
              <w:right w:val="nil"/>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21.0000%</w:t>
            </w:r>
          </w:p>
        </w:tc>
        <w:tc>
          <w:tcPr>
            <w:tcW w:w="960" w:type="dxa"/>
            <w:tcBorders>
              <w:top w:val="nil"/>
              <w:left w:val="nil"/>
              <w:bottom w:val="nil"/>
              <w:right w:val="nil"/>
            </w:tcBorders>
            <w:shd w:val="clear" w:color="auto" w:fill="auto"/>
            <w:noWrap/>
            <w:vAlign w:val="bottom"/>
            <w:hideMark/>
          </w:tcPr>
          <w:p w:rsidR="007556ED" w:rsidRPr="007556ED" w:rsidRDefault="007556ED" w:rsidP="007556ED">
            <w:pPr>
              <w:rPr>
                <w:rFonts w:cstheme="minorHAnsi"/>
                <w:color w:val="000000"/>
              </w:rPr>
            </w:pPr>
          </w:p>
        </w:tc>
        <w:tc>
          <w:tcPr>
            <w:tcW w:w="1340" w:type="dxa"/>
            <w:tcBorders>
              <w:top w:val="nil"/>
              <w:left w:val="nil"/>
              <w:bottom w:val="nil"/>
              <w:right w:val="single" w:sz="8" w:space="0" w:color="auto"/>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21.0000%</w:t>
            </w:r>
          </w:p>
        </w:tc>
      </w:tr>
      <w:tr w:rsidR="007556ED" w:rsidRPr="007556ED" w:rsidTr="00685941">
        <w:trPr>
          <w:trHeight w:val="390"/>
        </w:trPr>
        <w:tc>
          <w:tcPr>
            <w:tcW w:w="5060" w:type="dxa"/>
            <w:tcBorders>
              <w:top w:val="nil"/>
              <w:left w:val="single" w:sz="8" w:space="0" w:color="auto"/>
              <w:bottom w:val="nil"/>
              <w:right w:val="nil"/>
            </w:tcBorders>
            <w:shd w:val="clear" w:color="auto" w:fill="auto"/>
            <w:noWrap/>
            <w:vAlign w:val="bottom"/>
            <w:hideMark/>
          </w:tcPr>
          <w:p w:rsidR="007556ED" w:rsidRPr="007556ED" w:rsidRDefault="007556ED" w:rsidP="007556ED">
            <w:pPr>
              <w:rPr>
                <w:rFonts w:cstheme="minorHAnsi"/>
                <w:color w:val="000000"/>
              </w:rPr>
            </w:pPr>
            <w:r w:rsidRPr="007556ED">
              <w:rPr>
                <w:rFonts w:cstheme="minorHAnsi"/>
                <w:color w:val="000000"/>
              </w:rPr>
              <w:t xml:space="preserve">FEDERAL INCOME TAX </w:t>
            </w:r>
          </w:p>
        </w:tc>
        <w:tc>
          <w:tcPr>
            <w:tcW w:w="1540" w:type="dxa"/>
            <w:tcBorders>
              <w:top w:val="nil"/>
              <w:left w:val="nil"/>
              <w:bottom w:val="single" w:sz="4" w:space="0" w:color="auto"/>
              <w:right w:val="nil"/>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19.7458%</w:t>
            </w:r>
          </w:p>
        </w:tc>
        <w:tc>
          <w:tcPr>
            <w:tcW w:w="960" w:type="dxa"/>
            <w:tcBorders>
              <w:top w:val="nil"/>
              <w:left w:val="nil"/>
              <w:bottom w:val="nil"/>
              <w:right w:val="nil"/>
            </w:tcBorders>
            <w:shd w:val="clear" w:color="auto" w:fill="auto"/>
            <w:noWrap/>
            <w:vAlign w:val="bottom"/>
            <w:hideMark/>
          </w:tcPr>
          <w:p w:rsidR="007556ED" w:rsidRPr="007556ED" w:rsidRDefault="007556ED" w:rsidP="007556ED">
            <w:pPr>
              <w:rPr>
                <w:rFonts w:cstheme="minorHAnsi"/>
                <w:color w:val="000000"/>
              </w:rPr>
            </w:pPr>
          </w:p>
        </w:tc>
        <w:tc>
          <w:tcPr>
            <w:tcW w:w="1340" w:type="dxa"/>
            <w:tcBorders>
              <w:top w:val="nil"/>
              <w:left w:val="nil"/>
              <w:bottom w:val="single" w:sz="4" w:space="0" w:color="auto"/>
              <w:right w:val="single" w:sz="8" w:space="0" w:color="auto"/>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19.9635%</w:t>
            </w:r>
          </w:p>
        </w:tc>
      </w:tr>
      <w:tr w:rsidR="007556ED" w:rsidRPr="007556ED" w:rsidTr="00685941">
        <w:trPr>
          <w:trHeight w:val="390"/>
        </w:trPr>
        <w:tc>
          <w:tcPr>
            <w:tcW w:w="5060" w:type="dxa"/>
            <w:tcBorders>
              <w:top w:val="nil"/>
              <w:left w:val="single" w:sz="8" w:space="0" w:color="auto"/>
              <w:bottom w:val="nil"/>
              <w:right w:val="nil"/>
            </w:tcBorders>
            <w:shd w:val="clear" w:color="auto" w:fill="auto"/>
            <w:noWrap/>
            <w:vAlign w:val="bottom"/>
            <w:hideMark/>
          </w:tcPr>
          <w:p w:rsidR="007556ED" w:rsidRPr="007556ED" w:rsidRDefault="007556ED" w:rsidP="007556ED">
            <w:pPr>
              <w:rPr>
                <w:rFonts w:cstheme="minorHAnsi"/>
                <w:color w:val="000000"/>
              </w:rPr>
            </w:pPr>
            <w:r w:rsidRPr="007556ED">
              <w:rPr>
                <w:rFonts w:cstheme="minorHAnsi"/>
                <w:color w:val="000000"/>
              </w:rPr>
              <w:t>REVENUE EXPANSION FACTOR</w:t>
            </w:r>
          </w:p>
        </w:tc>
        <w:tc>
          <w:tcPr>
            <w:tcW w:w="1540" w:type="dxa"/>
            <w:tcBorders>
              <w:top w:val="nil"/>
              <w:left w:val="nil"/>
              <w:bottom w:val="single" w:sz="4" w:space="0" w:color="auto"/>
              <w:right w:val="nil"/>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74.2817%</w:t>
            </w:r>
          </w:p>
        </w:tc>
        <w:tc>
          <w:tcPr>
            <w:tcW w:w="960" w:type="dxa"/>
            <w:tcBorders>
              <w:top w:val="nil"/>
              <w:left w:val="nil"/>
              <w:bottom w:val="nil"/>
              <w:right w:val="nil"/>
            </w:tcBorders>
            <w:shd w:val="clear" w:color="auto" w:fill="auto"/>
            <w:noWrap/>
            <w:vAlign w:val="bottom"/>
            <w:hideMark/>
          </w:tcPr>
          <w:p w:rsidR="007556ED" w:rsidRPr="007556ED" w:rsidRDefault="007556ED" w:rsidP="007556ED">
            <w:pPr>
              <w:rPr>
                <w:rFonts w:cstheme="minorHAnsi"/>
                <w:color w:val="000000"/>
              </w:rPr>
            </w:pPr>
          </w:p>
        </w:tc>
        <w:tc>
          <w:tcPr>
            <w:tcW w:w="1340" w:type="dxa"/>
            <w:tcBorders>
              <w:top w:val="nil"/>
              <w:left w:val="nil"/>
              <w:bottom w:val="single" w:sz="4" w:space="0" w:color="auto"/>
              <w:right w:val="single" w:sz="8" w:space="0" w:color="auto"/>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75.1008%</w:t>
            </w:r>
          </w:p>
        </w:tc>
      </w:tr>
      <w:tr w:rsidR="007556ED" w:rsidRPr="007556ED" w:rsidTr="00685941">
        <w:trPr>
          <w:trHeight w:val="390"/>
        </w:trPr>
        <w:tc>
          <w:tcPr>
            <w:tcW w:w="5060" w:type="dxa"/>
            <w:tcBorders>
              <w:top w:val="nil"/>
              <w:left w:val="single" w:sz="8" w:space="0" w:color="auto"/>
              <w:bottom w:val="nil"/>
              <w:right w:val="nil"/>
            </w:tcBorders>
            <w:shd w:val="clear" w:color="auto" w:fill="auto"/>
            <w:noWrap/>
            <w:vAlign w:val="bottom"/>
            <w:hideMark/>
          </w:tcPr>
          <w:p w:rsidR="007556ED" w:rsidRPr="007556ED" w:rsidRDefault="007556ED" w:rsidP="007556ED">
            <w:pPr>
              <w:rPr>
                <w:rFonts w:cstheme="minorHAnsi"/>
                <w:color w:val="000000"/>
              </w:rPr>
            </w:pPr>
            <w:r w:rsidRPr="007556ED">
              <w:rPr>
                <w:rFonts w:cstheme="minorHAnsi"/>
                <w:color w:val="000000"/>
              </w:rPr>
              <w:t>NET OPERATING INCOME MULTIPLIER</w:t>
            </w:r>
          </w:p>
        </w:tc>
        <w:tc>
          <w:tcPr>
            <w:tcW w:w="1540" w:type="dxa"/>
            <w:tcBorders>
              <w:top w:val="nil"/>
              <w:left w:val="nil"/>
              <w:bottom w:val="double" w:sz="6" w:space="0" w:color="auto"/>
              <w:right w:val="nil"/>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1.3462</w:t>
            </w:r>
          </w:p>
        </w:tc>
        <w:tc>
          <w:tcPr>
            <w:tcW w:w="960" w:type="dxa"/>
            <w:tcBorders>
              <w:top w:val="nil"/>
              <w:left w:val="nil"/>
              <w:bottom w:val="nil"/>
              <w:right w:val="nil"/>
            </w:tcBorders>
            <w:shd w:val="clear" w:color="auto" w:fill="auto"/>
            <w:noWrap/>
            <w:vAlign w:val="bottom"/>
            <w:hideMark/>
          </w:tcPr>
          <w:p w:rsidR="007556ED" w:rsidRPr="007556ED" w:rsidRDefault="007556ED" w:rsidP="007556ED">
            <w:pPr>
              <w:rPr>
                <w:rFonts w:cstheme="minorHAnsi"/>
                <w:color w:val="000000"/>
              </w:rPr>
            </w:pPr>
          </w:p>
        </w:tc>
        <w:tc>
          <w:tcPr>
            <w:tcW w:w="1340" w:type="dxa"/>
            <w:tcBorders>
              <w:top w:val="nil"/>
              <w:left w:val="nil"/>
              <w:bottom w:val="double" w:sz="6" w:space="0" w:color="auto"/>
              <w:right w:val="single" w:sz="8" w:space="0" w:color="auto"/>
            </w:tcBorders>
            <w:shd w:val="clear" w:color="auto" w:fill="auto"/>
            <w:noWrap/>
            <w:vAlign w:val="bottom"/>
            <w:hideMark/>
          </w:tcPr>
          <w:p w:rsidR="007556ED" w:rsidRPr="007556ED" w:rsidRDefault="007556ED" w:rsidP="007556ED">
            <w:pPr>
              <w:jc w:val="right"/>
              <w:rPr>
                <w:rFonts w:cstheme="minorHAnsi"/>
                <w:color w:val="000000"/>
              </w:rPr>
            </w:pPr>
            <w:r w:rsidRPr="007556ED">
              <w:rPr>
                <w:rFonts w:cstheme="minorHAnsi"/>
                <w:color w:val="000000"/>
              </w:rPr>
              <w:t>1.3315</w:t>
            </w:r>
          </w:p>
        </w:tc>
      </w:tr>
      <w:tr w:rsidR="007556ED" w:rsidRPr="007556ED" w:rsidTr="00685941">
        <w:trPr>
          <w:trHeight w:val="390"/>
        </w:trPr>
        <w:tc>
          <w:tcPr>
            <w:tcW w:w="5060" w:type="dxa"/>
            <w:tcBorders>
              <w:top w:val="nil"/>
              <w:left w:val="single" w:sz="8" w:space="0" w:color="auto"/>
              <w:bottom w:val="single" w:sz="8" w:space="0" w:color="auto"/>
              <w:right w:val="nil"/>
            </w:tcBorders>
            <w:shd w:val="clear" w:color="auto" w:fill="auto"/>
            <w:noWrap/>
            <w:vAlign w:val="bottom"/>
            <w:hideMark/>
          </w:tcPr>
          <w:p w:rsidR="007556ED" w:rsidRPr="007556ED" w:rsidRDefault="007556ED" w:rsidP="007556ED">
            <w:pPr>
              <w:rPr>
                <w:rFonts w:cstheme="minorHAnsi"/>
                <w:color w:val="000000"/>
              </w:rPr>
            </w:pPr>
            <w:r w:rsidRPr="007556ED">
              <w:rPr>
                <w:rFonts w:cstheme="minorHAnsi"/>
                <w:color w:val="000000"/>
              </w:rPr>
              <w:t> </w:t>
            </w:r>
          </w:p>
        </w:tc>
        <w:tc>
          <w:tcPr>
            <w:tcW w:w="1540" w:type="dxa"/>
            <w:tcBorders>
              <w:top w:val="nil"/>
              <w:left w:val="nil"/>
              <w:bottom w:val="single" w:sz="8" w:space="0" w:color="auto"/>
              <w:right w:val="nil"/>
            </w:tcBorders>
            <w:shd w:val="clear" w:color="auto" w:fill="auto"/>
            <w:noWrap/>
            <w:vAlign w:val="bottom"/>
            <w:hideMark/>
          </w:tcPr>
          <w:p w:rsidR="007556ED" w:rsidRPr="007556ED" w:rsidRDefault="007556ED" w:rsidP="007556ED">
            <w:pPr>
              <w:rPr>
                <w:rFonts w:cstheme="minorHAnsi"/>
                <w:color w:val="000000"/>
              </w:rPr>
            </w:pPr>
            <w:r w:rsidRPr="007556ED">
              <w:rPr>
                <w:rFonts w:cstheme="minorHAnsi"/>
                <w:color w:val="000000"/>
              </w:rPr>
              <w:t> </w:t>
            </w:r>
          </w:p>
        </w:tc>
        <w:tc>
          <w:tcPr>
            <w:tcW w:w="960" w:type="dxa"/>
            <w:tcBorders>
              <w:top w:val="nil"/>
              <w:left w:val="nil"/>
              <w:bottom w:val="single" w:sz="8" w:space="0" w:color="auto"/>
              <w:right w:val="nil"/>
            </w:tcBorders>
            <w:shd w:val="clear" w:color="auto" w:fill="auto"/>
            <w:noWrap/>
            <w:vAlign w:val="bottom"/>
            <w:hideMark/>
          </w:tcPr>
          <w:p w:rsidR="007556ED" w:rsidRPr="007556ED" w:rsidRDefault="007556ED" w:rsidP="007556ED">
            <w:pPr>
              <w:rPr>
                <w:rFonts w:cstheme="minorHAnsi"/>
                <w:color w:val="000000"/>
              </w:rPr>
            </w:pPr>
            <w:r w:rsidRPr="007556ED">
              <w:rPr>
                <w:rFonts w:cstheme="minorHAnsi"/>
                <w:color w:val="000000"/>
              </w:rPr>
              <w:t> </w:t>
            </w:r>
          </w:p>
        </w:tc>
        <w:tc>
          <w:tcPr>
            <w:tcW w:w="1340" w:type="dxa"/>
            <w:tcBorders>
              <w:top w:val="nil"/>
              <w:left w:val="nil"/>
              <w:bottom w:val="single" w:sz="8" w:space="0" w:color="auto"/>
              <w:right w:val="single" w:sz="8" w:space="0" w:color="auto"/>
            </w:tcBorders>
            <w:shd w:val="clear" w:color="auto" w:fill="auto"/>
            <w:noWrap/>
            <w:vAlign w:val="bottom"/>
            <w:hideMark/>
          </w:tcPr>
          <w:p w:rsidR="007556ED" w:rsidRPr="007556ED" w:rsidRDefault="007556ED" w:rsidP="007556ED">
            <w:pPr>
              <w:rPr>
                <w:rFonts w:cstheme="minorHAnsi"/>
                <w:color w:val="000000"/>
              </w:rPr>
            </w:pPr>
            <w:r w:rsidRPr="007556ED">
              <w:rPr>
                <w:rFonts w:cstheme="minorHAnsi"/>
                <w:color w:val="000000"/>
              </w:rPr>
              <w:t> </w:t>
            </w:r>
          </w:p>
        </w:tc>
      </w:tr>
    </w:tbl>
    <w:p w:rsidR="007556ED" w:rsidRDefault="007556ED" w:rsidP="001769FA">
      <w:pPr>
        <w:pStyle w:val="OrderBody"/>
      </w:pPr>
    </w:p>
    <w:p w:rsidR="007556ED" w:rsidRDefault="007556ED" w:rsidP="001769FA">
      <w:pPr>
        <w:pStyle w:val="OrderBody"/>
        <w:sectPr w:rsidR="007556ED" w:rsidSect="001769FA">
          <w:headerReference w:type="even" r:id="rId23"/>
          <w:headerReference w:type="default" r:id="rId24"/>
          <w:headerReference w:type="first" r:id="rId25"/>
          <w:pgSz w:w="12240" w:h="15840" w:code="1"/>
          <w:pgMar w:top="1440" w:right="1440" w:bottom="1440" w:left="1440" w:header="720" w:footer="720" w:gutter="0"/>
          <w:cols w:space="720"/>
          <w:titlePg/>
          <w:docGrid w:linePitch="360"/>
        </w:sectPr>
      </w:pPr>
    </w:p>
    <w:p w:rsidR="007556ED" w:rsidRDefault="007556ED" w:rsidP="007556ED">
      <w:pPr>
        <w:pStyle w:val="IssueHeading"/>
      </w:pPr>
    </w:p>
    <w:p w:rsidR="007556ED" w:rsidRPr="003C4B7F" w:rsidRDefault="007556ED" w:rsidP="007556ED">
      <w:pPr>
        <w:jc w:val="center"/>
        <w:rPr>
          <w:b/>
        </w:rPr>
      </w:pPr>
      <w:r w:rsidRPr="003C4B7F">
        <w:rPr>
          <w:b/>
        </w:rPr>
        <w:t>Sebring Gas System</w:t>
      </w:r>
    </w:p>
    <w:p w:rsidR="007556ED" w:rsidRPr="003C4B7F" w:rsidRDefault="007556ED" w:rsidP="007556ED">
      <w:pPr>
        <w:jc w:val="center"/>
        <w:rPr>
          <w:b/>
        </w:rPr>
      </w:pPr>
      <w:r w:rsidRPr="003C4B7F">
        <w:rPr>
          <w:b/>
        </w:rPr>
        <w:t>Docket No. 20190083-GU</w:t>
      </w:r>
    </w:p>
    <w:p w:rsidR="007556ED" w:rsidRPr="003C4B7F" w:rsidRDefault="007556ED" w:rsidP="007556ED">
      <w:pPr>
        <w:jc w:val="center"/>
        <w:rPr>
          <w:b/>
        </w:rPr>
      </w:pPr>
      <w:r w:rsidRPr="003C4B7F">
        <w:rPr>
          <w:b/>
        </w:rPr>
        <w:t>2020 Projected Test Year</w:t>
      </w:r>
    </w:p>
    <w:p w:rsidR="007556ED" w:rsidRPr="003C4B7F" w:rsidRDefault="007556ED" w:rsidP="007556ED">
      <w:pPr>
        <w:jc w:val="center"/>
        <w:rPr>
          <w:b/>
        </w:rPr>
      </w:pPr>
      <w:r w:rsidRPr="003C4B7F">
        <w:rPr>
          <w:b/>
        </w:rPr>
        <w:t>Revenue Deficiency Calculation</w:t>
      </w:r>
    </w:p>
    <w:tbl>
      <w:tblPr>
        <w:tblW w:w="750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91"/>
        <w:gridCol w:w="2025"/>
        <w:gridCol w:w="642"/>
        <w:gridCol w:w="1750"/>
      </w:tblGrid>
      <w:tr w:rsidR="007556ED" w:rsidRPr="003C7057" w:rsidTr="00685941">
        <w:trPr>
          <w:trHeight w:val="588"/>
          <w:jc w:val="center"/>
        </w:trPr>
        <w:tc>
          <w:tcPr>
            <w:tcW w:w="3191" w:type="dxa"/>
            <w:shd w:val="clear" w:color="auto" w:fill="auto"/>
            <w:noWrap/>
            <w:vAlign w:val="bottom"/>
            <w:hideMark/>
          </w:tcPr>
          <w:p w:rsidR="007556ED" w:rsidRPr="002A7D5C" w:rsidRDefault="007556ED" w:rsidP="00685941">
            <w:pPr>
              <w:jc w:val="center"/>
              <w:rPr>
                <w:rFonts w:cstheme="minorHAnsi"/>
                <w:color w:val="000000"/>
                <w:u w:val="single"/>
              </w:rPr>
            </w:pPr>
            <w:r w:rsidRPr="002A7D5C">
              <w:rPr>
                <w:rFonts w:cstheme="minorHAnsi"/>
                <w:color w:val="000000"/>
                <w:u w:val="single"/>
              </w:rPr>
              <w:t>DESCRIPTION</w:t>
            </w:r>
          </w:p>
        </w:tc>
        <w:tc>
          <w:tcPr>
            <w:tcW w:w="2025" w:type="dxa"/>
            <w:shd w:val="clear" w:color="auto" w:fill="auto"/>
            <w:vAlign w:val="bottom"/>
            <w:hideMark/>
          </w:tcPr>
          <w:p w:rsidR="007556ED" w:rsidRPr="002A7D5C" w:rsidRDefault="007556ED" w:rsidP="00685941">
            <w:pPr>
              <w:jc w:val="center"/>
              <w:rPr>
                <w:rFonts w:cstheme="minorHAnsi"/>
                <w:color w:val="000000"/>
              </w:rPr>
            </w:pPr>
            <w:r w:rsidRPr="002A7D5C">
              <w:rPr>
                <w:rFonts w:cstheme="minorHAnsi"/>
                <w:color w:val="000000"/>
              </w:rPr>
              <w:t xml:space="preserve">COMPANY </w:t>
            </w:r>
            <w:r w:rsidRPr="002A7D5C">
              <w:rPr>
                <w:rFonts w:cstheme="minorHAnsi"/>
                <w:color w:val="000000"/>
                <w:u w:val="single"/>
              </w:rPr>
              <w:t>ADJUSTED</w:t>
            </w:r>
          </w:p>
        </w:tc>
        <w:tc>
          <w:tcPr>
            <w:tcW w:w="642" w:type="dxa"/>
            <w:shd w:val="clear" w:color="auto" w:fill="auto"/>
            <w:vAlign w:val="bottom"/>
            <w:hideMark/>
          </w:tcPr>
          <w:p w:rsidR="007556ED" w:rsidRPr="002A7D5C" w:rsidRDefault="007556ED" w:rsidP="00685941">
            <w:pPr>
              <w:jc w:val="center"/>
              <w:rPr>
                <w:rFonts w:cstheme="minorHAnsi"/>
                <w:color w:val="000000"/>
              </w:rPr>
            </w:pPr>
          </w:p>
        </w:tc>
        <w:tc>
          <w:tcPr>
            <w:tcW w:w="1644" w:type="dxa"/>
            <w:shd w:val="clear" w:color="auto" w:fill="auto"/>
            <w:vAlign w:val="bottom"/>
            <w:hideMark/>
          </w:tcPr>
          <w:p w:rsidR="007556ED" w:rsidRPr="002A7D5C" w:rsidRDefault="003C4B7F" w:rsidP="00685941">
            <w:pPr>
              <w:jc w:val="center"/>
              <w:rPr>
                <w:rFonts w:cstheme="minorHAnsi"/>
                <w:color w:val="000000"/>
              </w:rPr>
            </w:pPr>
            <w:r>
              <w:rPr>
                <w:rFonts w:cstheme="minorHAnsi"/>
                <w:color w:val="000000"/>
              </w:rPr>
              <w:t>COMMISSION</w:t>
            </w:r>
            <w:r w:rsidR="007556ED" w:rsidRPr="002A7D5C">
              <w:rPr>
                <w:rFonts w:cstheme="minorHAnsi"/>
                <w:color w:val="000000"/>
              </w:rPr>
              <w:t xml:space="preserve"> </w:t>
            </w:r>
            <w:r w:rsidR="007556ED" w:rsidRPr="002A7D5C">
              <w:rPr>
                <w:rFonts w:cstheme="minorHAnsi"/>
                <w:color w:val="000000"/>
                <w:u w:val="single"/>
              </w:rPr>
              <w:t>ADJUSTED</w:t>
            </w:r>
          </w:p>
        </w:tc>
      </w:tr>
      <w:tr w:rsidR="007556ED" w:rsidRPr="003C7057" w:rsidTr="00685941">
        <w:trPr>
          <w:trHeight w:val="318"/>
          <w:jc w:val="center"/>
        </w:trPr>
        <w:tc>
          <w:tcPr>
            <w:tcW w:w="3191" w:type="dxa"/>
            <w:shd w:val="clear" w:color="auto" w:fill="auto"/>
            <w:noWrap/>
            <w:vAlign w:val="bottom"/>
            <w:hideMark/>
          </w:tcPr>
          <w:p w:rsidR="007556ED" w:rsidRPr="002A7D5C" w:rsidRDefault="007556ED" w:rsidP="00685941">
            <w:pPr>
              <w:rPr>
                <w:rFonts w:cstheme="minorHAnsi"/>
                <w:color w:val="000000"/>
              </w:rPr>
            </w:pPr>
            <w:r w:rsidRPr="002A7D5C">
              <w:rPr>
                <w:rFonts w:cstheme="minorHAnsi"/>
                <w:color w:val="000000"/>
              </w:rPr>
              <w:t> </w:t>
            </w:r>
          </w:p>
        </w:tc>
        <w:tc>
          <w:tcPr>
            <w:tcW w:w="2025" w:type="dxa"/>
            <w:shd w:val="clear" w:color="auto" w:fill="auto"/>
            <w:noWrap/>
            <w:vAlign w:val="bottom"/>
            <w:hideMark/>
          </w:tcPr>
          <w:p w:rsidR="007556ED" w:rsidRPr="002A7D5C" w:rsidRDefault="007556ED" w:rsidP="00685941">
            <w:pPr>
              <w:rPr>
                <w:rFonts w:cstheme="minorHAnsi"/>
                <w:color w:val="000000"/>
              </w:rPr>
            </w:pPr>
          </w:p>
        </w:tc>
        <w:tc>
          <w:tcPr>
            <w:tcW w:w="642" w:type="dxa"/>
            <w:shd w:val="clear" w:color="auto" w:fill="auto"/>
            <w:noWrap/>
            <w:vAlign w:val="bottom"/>
            <w:hideMark/>
          </w:tcPr>
          <w:p w:rsidR="007556ED" w:rsidRPr="002A7D5C" w:rsidRDefault="007556ED" w:rsidP="00685941">
            <w:pPr>
              <w:rPr>
                <w:rFonts w:cstheme="minorHAnsi"/>
                <w:color w:val="000000"/>
              </w:rPr>
            </w:pPr>
          </w:p>
        </w:tc>
        <w:tc>
          <w:tcPr>
            <w:tcW w:w="1644" w:type="dxa"/>
            <w:shd w:val="clear" w:color="auto" w:fill="auto"/>
            <w:noWrap/>
            <w:vAlign w:val="bottom"/>
            <w:hideMark/>
          </w:tcPr>
          <w:p w:rsidR="007556ED" w:rsidRPr="002A7D5C" w:rsidRDefault="007556ED" w:rsidP="00685941">
            <w:pPr>
              <w:rPr>
                <w:rFonts w:cstheme="minorHAnsi"/>
                <w:color w:val="000000"/>
              </w:rPr>
            </w:pPr>
            <w:r w:rsidRPr="002A7D5C">
              <w:rPr>
                <w:rFonts w:cstheme="minorHAnsi"/>
                <w:color w:val="000000"/>
              </w:rPr>
              <w:t> </w:t>
            </w:r>
          </w:p>
        </w:tc>
      </w:tr>
      <w:tr w:rsidR="007556ED" w:rsidRPr="003C7057" w:rsidTr="00685941">
        <w:trPr>
          <w:trHeight w:val="318"/>
          <w:jc w:val="center"/>
        </w:trPr>
        <w:tc>
          <w:tcPr>
            <w:tcW w:w="3191" w:type="dxa"/>
            <w:shd w:val="clear" w:color="auto" w:fill="auto"/>
            <w:noWrap/>
            <w:vAlign w:val="bottom"/>
            <w:hideMark/>
          </w:tcPr>
          <w:p w:rsidR="007556ED" w:rsidRPr="002A7D5C" w:rsidRDefault="007556ED" w:rsidP="00685941">
            <w:pPr>
              <w:rPr>
                <w:rFonts w:cstheme="minorHAnsi"/>
                <w:color w:val="000000"/>
              </w:rPr>
            </w:pPr>
            <w:r w:rsidRPr="002A7D5C">
              <w:rPr>
                <w:rFonts w:cstheme="minorHAnsi"/>
                <w:color w:val="000000"/>
              </w:rPr>
              <w:t>RATE BASE (AVERAGE)</w:t>
            </w:r>
          </w:p>
        </w:tc>
        <w:tc>
          <w:tcPr>
            <w:tcW w:w="2025" w:type="dxa"/>
            <w:shd w:val="clear" w:color="auto" w:fill="auto"/>
            <w:noWrap/>
            <w:vAlign w:val="bottom"/>
            <w:hideMark/>
          </w:tcPr>
          <w:p w:rsidR="007556ED" w:rsidRPr="002A7D5C" w:rsidRDefault="007556ED" w:rsidP="00685941">
            <w:pPr>
              <w:jc w:val="right"/>
              <w:rPr>
                <w:rFonts w:cstheme="minorHAnsi"/>
                <w:color w:val="000000"/>
              </w:rPr>
            </w:pPr>
            <w:r w:rsidRPr="002A7D5C">
              <w:rPr>
                <w:rFonts w:cstheme="minorHAnsi"/>
                <w:color w:val="000000"/>
              </w:rPr>
              <w:t>$5,0</w:t>
            </w:r>
            <w:r>
              <w:rPr>
                <w:rFonts w:cstheme="minorHAnsi"/>
                <w:color w:val="000000"/>
              </w:rPr>
              <w:t>44,363</w:t>
            </w:r>
            <w:r w:rsidRPr="002A7D5C">
              <w:rPr>
                <w:rFonts w:cstheme="minorHAnsi"/>
                <w:color w:val="000000"/>
              </w:rPr>
              <w:t xml:space="preserve"> </w:t>
            </w:r>
          </w:p>
        </w:tc>
        <w:tc>
          <w:tcPr>
            <w:tcW w:w="642" w:type="dxa"/>
            <w:shd w:val="clear" w:color="auto" w:fill="auto"/>
            <w:noWrap/>
            <w:vAlign w:val="bottom"/>
            <w:hideMark/>
          </w:tcPr>
          <w:p w:rsidR="007556ED" w:rsidRPr="002A7D5C" w:rsidRDefault="007556ED" w:rsidP="00685941">
            <w:pPr>
              <w:rPr>
                <w:rFonts w:cstheme="minorHAnsi"/>
                <w:color w:val="000000"/>
              </w:rPr>
            </w:pPr>
          </w:p>
        </w:tc>
        <w:tc>
          <w:tcPr>
            <w:tcW w:w="1644" w:type="dxa"/>
            <w:shd w:val="clear" w:color="auto" w:fill="auto"/>
            <w:noWrap/>
            <w:vAlign w:val="bottom"/>
            <w:hideMark/>
          </w:tcPr>
          <w:p w:rsidR="007556ED" w:rsidRPr="002A7D5C" w:rsidRDefault="007556ED" w:rsidP="00685941">
            <w:pPr>
              <w:jc w:val="right"/>
              <w:rPr>
                <w:rFonts w:cstheme="minorHAnsi"/>
                <w:color w:val="000000"/>
              </w:rPr>
            </w:pPr>
            <w:r w:rsidRPr="002A7D5C">
              <w:rPr>
                <w:rFonts w:cstheme="minorHAnsi"/>
                <w:color w:val="000000"/>
              </w:rPr>
              <w:t>$5,0</w:t>
            </w:r>
            <w:r>
              <w:rPr>
                <w:rFonts w:cstheme="minorHAnsi"/>
                <w:color w:val="000000"/>
              </w:rPr>
              <w:t>21,353</w:t>
            </w:r>
            <w:r w:rsidRPr="002A7D5C">
              <w:rPr>
                <w:rFonts w:cstheme="minorHAnsi"/>
                <w:color w:val="000000"/>
              </w:rPr>
              <w:t xml:space="preserve"> </w:t>
            </w:r>
          </w:p>
        </w:tc>
      </w:tr>
      <w:tr w:rsidR="007556ED" w:rsidRPr="003C7057" w:rsidTr="00685941">
        <w:trPr>
          <w:trHeight w:val="318"/>
          <w:jc w:val="center"/>
        </w:trPr>
        <w:tc>
          <w:tcPr>
            <w:tcW w:w="3191" w:type="dxa"/>
            <w:shd w:val="clear" w:color="auto" w:fill="auto"/>
            <w:noWrap/>
            <w:vAlign w:val="bottom"/>
            <w:hideMark/>
          </w:tcPr>
          <w:p w:rsidR="007556ED" w:rsidRPr="002A7D5C" w:rsidRDefault="007556ED" w:rsidP="00685941">
            <w:pPr>
              <w:rPr>
                <w:rFonts w:cstheme="minorHAnsi"/>
                <w:color w:val="000000"/>
              </w:rPr>
            </w:pPr>
            <w:r w:rsidRPr="002A7D5C">
              <w:rPr>
                <w:rFonts w:cstheme="minorHAnsi"/>
                <w:color w:val="000000"/>
              </w:rPr>
              <w:t>RATE OF RETURN</w:t>
            </w:r>
          </w:p>
        </w:tc>
        <w:tc>
          <w:tcPr>
            <w:tcW w:w="2025" w:type="dxa"/>
            <w:shd w:val="clear" w:color="auto" w:fill="auto"/>
            <w:noWrap/>
            <w:vAlign w:val="bottom"/>
            <w:hideMark/>
          </w:tcPr>
          <w:p w:rsidR="007556ED" w:rsidRPr="00C479A0" w:rsidRDefault="007556ED" w:rsidP="00685941">
            <w:pPr>
              <w:jc w:val="right"/>
              <w:rPr>
                <w:rFonts w:cstheme="minorHAnsi"/>
                <w:color w:val="000000"/>
                <w:u w:val="single"/>
              </w:rPr>
            </w:pPr>
            <w:r w:rsidRPr="00C479A0">
              <w:rPr>
                <w:rFonts w:cstheme="minorHAnsi"/>
                <w:color w:val="000000"/>
                <w:u w:val="single"/>
              </w:rPr>
              <w:t>7.7</w:t>
            </w:r>
            <w:r>
              <w:rPr>
                <w:rFonts w:cstheme="minorHAnsi"/>
                <w:color w:val="000000"/>
                <w:u w:val="single"/>
              </w:rPr>
              <w:t>2</w:t>
            </w:r>
            <w:r w:rsidRPr="00C479A0">
              <w:rPr>
                <w:rFonts w:cstheme="minorHAnsi"/>
                <w:color w:val="000000"/>
                <w:u w:val="single"/>
              </w:rPr>
              <w:t>%</w:t>
            </w:r>
          </w:p>
        </w:tc>
        <w:tc>
          <w:tcPr>
            <w:tcW w:w="642" w:type="dxa"/>
            <w:shd w:val="clear" w:color="auto" w:fill="auto"/>
            <w:noWrap/>
            <w:vAlign w:val="bottom"/>
            <w:hideMark/>
          </w:tcPr>
          <w:p w:rsidR="007556ED" w:rsidRPr="002A7D5C" w:rsidRDefault="007556ED" w:rsidP="00685941">
            <w:pPr>
              <w:rPr>
                <w:rFonts w:cstheme="minorHAnsi"/>
                <w:color w:val="000000"/>
              </w:rPr>
            </w:pPr>
          </w:p>
        </w:tc>
        <w:tc>
          <w:tcPr>
            <w:tcW w:w="1644" w:type="dxa"/>
            <w:shd w:val="clear" w:color="auto" w:fill="auto"/>
            <w:noWrap/>
            <w:vAlign w:val="bottom"/>
            <w:hideMark/>
          </w:tcPr>
          <w:p w:rsidR="007556ED" w:rsidRPr="00C479A0" w:rsidRDefault="007556ED" w:rsidP="00685941">
            <w:pPr>
              <w:jc w:val="right"/>
              <w:rPr>
                <w:rFonts w:cstheme="minorHAnsi"/>
                <w:color w:val="000000"/>
                <w:u w:val="single"/>
              </w:rPr>
            </w:pPr>
            <w:r w:rsidRPr="00C479A0">
              <w:rPr>
                <w:rFonts w:cstheme="minorHAnsi"/>
                <w:color w:val="000000"/>
                <w:u w:val="single"/>
              </w:rPr>
              <w:t>6.</w:t>
            </w:r>
            <w:r>
              <w:rPr>
                <w:rFonts w:cstheme="minorHAnsi"/>
                <w:color w:val="000000"/>
                <w:u w:val="single"/>
              </w:rPr>
              <w:t>81</w:t>
            </w:r>
            <w:r w:rsidRPr="00C479A0">
              <w:rPr>
                <w:rFonts w:cstheme="minorHAnsi"/>
                <w:color w:val="000000"/>
                <w:u w:val="single"/>
              </w:rPr>
              <w:t>%</w:t>
            </w:r>
          </w:p>
        </w:tc>
      </w:tr>
      <w:tr w:rsidR="007556ED" w:rsidRPr="003C7057" w:rsidTr="00685941">
        <w:trPr>
          <w:trHeight w:val="318"/>
          <w:jc w:val="center"/>
        </w:trPr>
        <w:tc>
          <w:tcPr>
            <w:tcW w:w="3191" w:type="dxa"/>
            <w:shd w:val="clear" w:color="auto" w:fill="auto"/>
            <w:noWrap/>
            <w:vAlign w:val="bottom"/>
            <w:hideMark/>
          </w:tcPr>
          <w:p w:rsidR="007556ED" w:rsidRPr="002A7D5C" w:rsidRDefault="007556ED" w:rsidP="00685941">
            <w:pPr>
              <w:rPr>
                <w:rFonts w:cstheme="minorHAnsi"/>
                <w:color w:val="000000"/>
              </w:rPr>
            </w:pPr>
            <w:r w:rsidRPr="002A7D5C">
              <w:rPr>
                <w:rFonts w:cstheme="minorHAnsi"/>
                <w:color w:val="000000"/>
              </w:rPr>
              <w:t>REQUIRED NO</w:t>
            </w:r>
            <w:r>
              <w:rPr>
                <w:rFonts w:cstheme="minorHAnsi"/>
                <w:color w:val="000000"/>
              </w:rPr>
              <w:t>I</w:t>
            </w:r>
          </w:p>
        </w:tc>
        <w:tc>
          <w:tcPr>
            <w:tcW w:w="2025" w:type="dxa"/>
            <w:shd w:val="clear" w:color="auto" w:fill="auto"/>
            <w:noWrap/>
            <w:vAlign w:val="bottom"/>
            <w:hideMark/>
          </w:tcPr>
          <w:p w:rsidR="007556ED" w:rsidRPr="00C479A0" w:rsidRDefault="007556ED" w:rsidP="00685941">
            <w:pPr>
              <w:jc w:val="right"/>
              <w:rPr>
                <w:rFonts w:cstheme="minorHAnsi"/>
                <w:color w:val="000000"/>
                <w:u w:val="single"/>
              </w:rPr>
            </w:pPr>
            <w:r w:rsidRPr="00C479A0">
              <w:rPr>
                <w:rFonts w:cstheme="minorHAnsi"/>
                <w:color w:val="000000"/>
                <w:u w:val="single"/>
              </w:rPr>
              <w:t>$3</w:t>
            </w:r>
            <w:r>
              <w:rPr>
                <w:rFonts w:cstheme="minorHAnsi"/>
                <w:color w:val="000000"/>
                <w:u w:val="single"/>
              </w:rPr>
              <w:t>89,425</w:t>
            </w:r>
            <w:r w:rsidRPr="00C479A0">
              <w:rPr>
                <w:rFonts w:cstheme="minorHAnsi"/>
                <w:color w:val="000000"/>
                <w:u w:val="single"/>
              </w:rPr>
              <w:t xml:space="preserve"> </w:t>
            </w:r>
          </w:p>
        </w:tc>
        <w:tc>
          <w:tcPr>
            <w:tcW w:w="642" w:type="dxa"/>
            <w:shd w:val="clear" w:color="auto" w:fill="auto"/>
            <w:noWrap/>
            <w:vAlign w:val="bottom"/>
            <w:hideMark/>
          </w:tcPr>
          <w:p w:rsidR="007556ED" w:rsidRPr="002A7D5C" w:rsidRDefault="007556ED" w:rsidP="00685941">
            <w:pPr>
              <w:rPr>
                <w:rFonts w:cstheme="minorHAnsi"/>
                <w:color w:val="000000"/>
              </w:rPr>
            </w:pPr>
          </w:p>
        </w:tc>
        <w:tc>
          <w:tcPr>
            <w:tcW w:w="1644" w:type="dxa"/>
            <w:shd w:val="clear" w:color="auto" w:fill="auto"/>
            <w:noWrap/>
            <w:vAlign w:val="bottom"/>
            <w:hideMark/>
          </w:tcPr>
          <w:p w:rsidR="007556ED" w:rsidRPr="00C479A0" w:rsidRDefault="007556ED" w:rsidP="00685941">
            <w:pPr>
              <w:jc w:val="right"/>
              <w:rPr>
                <w:rFonts w:cstheme="minorHAnsi"/>
                <w:color w:val="000000"/>
                <w:u w:val="single"/>
              </w:rPr>
            </w:pPr>
            <w:r w:rsidRPr="00C479A0">
              <w:rPr>
                <w:rFonts w:cstheme="minorHAnsi"/>
                <w:color w:val="000000"/>
                <w:u w:val="single"/>
              </w:rPr>
              <w:t>$3</w:t>
            </w:r>
            <w:r>
              <w:rPr>
                <w:rFonts w:cstheme="minorHAnsi"/>
                <w:color w:val="000000"/>
                <w:u w:val="single"/>
              </w:rPr>
              <w:t>42,020</w:t>
            </w:r>
            <w:r w:rsidRPr="00C479A0">
              <w:rPr>
                <w:rFonts w:cstheme="minorHAnsi"/>
                <w:color w:val="000000"/>
                <w:u w:val="single"/>
              </w:rPr>
              <w:t xml:space="preserve"> </w:t>
            </w:r>
          </w:p>
        </w:tc>
      </w:tr>
      <w:tr w:rsidR="007556ED" w:rsidRPr="003C7057" w:rsidTr="00685941">
        <w:trPr>
          <w:trHeight w:val="318"/>
          <w:jc w:val="center"/>
        </w:trPr>
        <w:tc>
          <w:tcPr>
            <w:tcW w:w="3191" w:type="dxa"/>
            <w:shd w:val="clear" w:color="auto" w:fill="auto"/>
            <w:noWrap/>
            <w:vAlign w:val="bottom"/>
            <w:hideMark/>
          </w:tcPr>
          <w:p w:rsidR="007556ED" w:rsidRPr="002A7D5C" w:rsidRDefault="007556ED" w:rsidP="00685941">
            <w:pPr>
              <w:rPr>
                <w:rFonts w:cstheme="minorHAnsi"/>
                <w:color w:val="000000"/>
              </w:rPr>
            </w:pPr>
            <w:r w:rsidRPr="002A7D5C">
              <w:rPr>
                <w:rFonts w:cstheme="minorHAnsi"/>
                <w:color w:val="000000"/>
              </w:rPr>
              <w:t xml:space="preserve">OPERATING REVENUES </w:t>
            </w:r>
          </w:p>
        </w:tc>
        <w:tc>
          <w:tcPr>
            <w:tcW w:w="2025" w:type="dxa"/>
            <w:shd w:val="clear" w:color="auto" w:fill="auto"/>
            <w:noWrap/>
            <w:vAlign w:val="bottom"/>
            <w:hideMark/>
          </w:tcPr>
          <w:p w:rsidR="007556ED" w:rsidRPr="002A7D5C" w:rsidRDefault="007556ED" w:rsidP="00685941">
            <w:pPr>
              <w:jc w:val="right"/>
              <w:rPr>
                <w:rFonts w:cstheme="minorHAnsi"/>
                <w:color w:val="000000"/>
              </w:rPr>
            </w:pPr>
            <w:r w:rsidRPr="002A7D5C">
              <w:rPr>
                <w:rFonts w:cstheme="minorHAnsi"/>
                <w:color w:val="000000"/>
              </w:rPr>
              <w:t xml:space="preserve">$1,186,200 </w:t>
            </w:r>
          </w:p>
        </w:tc>
        <w:tc>
          <w:tcPr>
            <w:tcW w:w="642" w:type="dxa"/>
            <w:shd w:val="clear" w:color="auto" w:fill="auto"/>
            <w:noWrap/>
            <w:vAlign w:val="bottom"/>
            <w:hideMark/>
          </w:tcPr>
          <w:p w:rsidR="007556ED" w:rsidRPr="002A7D5C" w:rsidRDefault="007556ED" w:rsidP="00685941">
            <w:pPr>
              <w:rPr>
                <w:rFonts w:cstheme="minorHAnsi"/>
                <w:color w:val="000000"/>
              </w:rPr>
            </w:pPr>
          </w:p>
        </w:tc>
        <w:tc>
          <w:tcPr>
            <w:tcW w:w="1644" w:type="dxa"/>
            <w:shd w:val="clear" w:color="auto" w:fill="auto"/>
            <w:noWrap/>
            <w:vAlign w:val="bottom"/>
            <w:hideMark/>
          </w:tcPr>
          <w:p w:rsidR="007556ED" w:rsidRPr="002A7D5C" w:rsidRDefault="007556ED" w:rsidP="00685941">
            <w:pPr>
              <w:jc w:val="right"/>
              <w:rPr>
                <w:rFonts w:cstheme="minorHAnsi"/>
                <w:color w:val="000000"/>
              </w:rPr>
            </w:pPr>
            <w:r w:rsidRPr="002A7D5C">
              <w:rPr>
                <w:rFonts w:cstheme="minorHAnsi"/>
                <w:color w:val="000000"/>
              </w:rPr>
              <w:t xml:space="preserve">$1,186,200 </w:t>
            </w:r>
          </w:p>
        </w:tc>
      </w:tr>
      <w:tr w:rsidR="007556ED" w:rsidRPr="003C7057" w:rsidTr="00685941">
        <w:trPr>
          <w:trHeight w:val="318"/>
          <w:jc w:val="center"/>
        </w:trPr>
        <w:tc>
          <w:tcPr>
            <w:tcW w:w="3191" w:type="dxa"/>
            <w:shd w:val="clear" w:color="auto" w:fill="auto"/>
            <w:noWrap/>
            <w:vAlign w:val="bottom"/>
            <w:hideMark/>
          </w:tcPr>
          <w:p w:rsidR="007556ED" w:rsidRPr="002A7D5C" w:rsidRDefault="007556ED" w:rsidP="00685941">
            <w:pPr>
              <w:rPr>
                <w:rFonts w:cstheme="minorHAnsi"/>
                <w:color w:val="000000"/>
              </w:rPr>
            </w:pPr>
            <w:r w:rsidRPr="002A7D5C">
              <w:rPr>
                <w:rFonts w:cstheme="minorHAnsi"/>
                <w:color w:val="000000"/>
              </w:rPr>
              <w:t>OPERATING EXPENSES</w:t>
            </w:r>
          </w:p>
        </w:tc>
        <w:tc>
          <w:tcPr>
            <w:tcW w:w="2025" w:type="dxa"/>
            <w:shd w:val="clear" w:color="auto" w:fill="auto"/>
            <w:noWrap/>
            <w:vAlign w:val="bottom"/>
            <w:hideMark/>
          </w:tcPr>
          <w:p w:rsidR="007556ED" w:rsidRPr="00C479A0" w:rsidRDefault="007556ED" w:rsidP="00685941">
            <w:pPr>
              <w:jc w:val="right"/>
              <w:rPr>
                <w:rFonts w:cstheme="minorHAnsi"/>
                <w:color w:val="000000"/>
                <w:u w:val="single"/>
              </w:rPr>
            </w:pPr>
            <w:r w:rsidRPr="00C479A0">
              <w:rPr>
                <w:rFonts w:cstheme="minorHAnsi"/>
                <w:color w:val="000000"/>
                <w:u w:val="single"/>
              </w:rPr>
              <w:t>$1,02</w:t>
            </w:r>
            <w:r>
              <w:rPr>
                <w:rFonts w:cstheme="minorHAnsi"/>
                <w:color w:val="000000"/>
                <w:u w:val="single"/>
              </w:rPr>
              <w:t>1,137</w:t>
            </w:r>
            <w:r w:rsidRPr="00C479A0">
              <w:rPr>
                <w:rFonts w:cstheme="minorHAnsi"/>
                <w:color w:val="000000"/>
                <w:u w:val="single"/>
              </w:rPr>
              <w:t xml:space="preserve"> </w:t>
            </w:r>
          </w:p>
        </w:tc>
        <w:tc>
          <w:tcPr>
            <w:tcW w:w="642" w:type="dxa"/>
            <w:shd w:val="clear" w:color="auto" w:fill="auto"/>
            <w:noWrap/>
            <w:vAlign w:val="bottom"/>
            <w:hideMark/>
          </w:tcPr>
          <w:p w:rsidR="007556ED" w:rsidRPr="002A7D5C" w:rsidRDefault="007556ED" w:rsidP="00685941">
            <w:pPr>
              <w:rPr>
                <w:rFonts w:cstheme="minorHAnsi"/>
                <w:color w:val="000000"/>
              </w:rPr>
            </w:pPr>
          </w:p>
        </w:tc>
        <w:tc>
          <w:tcPr>
            <w:tcW w:w="1644" w:type="dxa"/>
            <w:shd w:val="clear" w:color="auto" w:fill="auto"/>
            <w:noWrap/>
            <w:vAlign w:val="bottom"/>
            <w:hideMark/>
          </w:tcPr>
          <w:p w:rsidR="007556ED" w:rsidRPr="00C479A0" w:rsidRDefault="007556ED" w:rsidP="00685941">
            <w:pPr>
              <w:jc w:val="right"/>
              <w:rPr>
                <w:rFonts w:cstheme="minorHAnsi"/>
                <w:color w:val="000000"/>
                <w:u w:val="single"/>
              </w:rPr>
            </w:pPr>
            <w:r w:rsidRPr="00C479A0">
              <w:rPr>
                <w:rFonts w:cstheme="minorHAnsi"/>
                <w:color w:val="000000"/>
                <w:u w:val="single"/>
              </w:rPr>
              <w:t>$1,04</w:t>
            </w:r>
            <w:r>
              <w:rPr>
                <w:rFonts w:cstheme="minorHAnsi"/>
                <w:color w:val="000000"/>
                <w:u w:val="single"/>
              </w:rPr>
              <w:t>1,548</w:t>
            </w:r>
            <w:r w:rsidRPr="00C479A0">
              <w:rPr>
                <w:rFonts w:cstheme="minorHAnsi"/>
                <w:color w:val="000000"/>
                <w:u w:val="single"/>
              </w:rPr>
              <w:t xml:space="preserve"> </w:t>
            </w:r>
          </w:p>
        </w:tc>
      </w:tr>
      <w:tr w:rsidR="007556ED" w:rsidRPr="003C7057" w:rsidTr="00685941">
        <w:trPr>
          <w:trHeight w:val="318"/>
          <w:jc w:val="center"/>
        </w:trPr>
        <w:tc>
          <w:tcPr>
            <w:tcW w:w="3191" w:type="dxa"/>
            <w:shd w:val="clear" w:color="auto" w:fill="auto"/>
            <w:noWrap/>
            <w:vAlign w:val="bottom"/>
            <w:hideMark/>
          </w:tcPr>
          <w:p w:rsidR="007556ED" w:rsidRPr="002A7D5C" w:rsidRDefault="007556ED" w:rsidP="00685941">
            <w:pPr>
              <w:rPr>
                <w:rFonts w:cstheme="minorHAnsi"/>
                <w:color w:val="000000"/>
              </w:rPr>
            </w:pPr>
            <w:r w:rsidRPr="002A7D5C">
              <w:rPr>
                <w:rFonts w:cstheme="minorHAnsi"/>
                <w:color w:val="000000"/>
              </w:rPr>
              <w:t>ACHIEVED N</w:t>
            </w:r>
            <w:r>
              <w:rPr>
                <w:rFonts w:cstheme="minorHAnsi"/>
                <w:color w:val="000000"/>
              </w:rPr>
              <w:t>OI</w:t>
            </w:r>
          </w:p>
        </w:tc>
        <w:tc>
          <w:tcPr>
            <w:tcW w:w="2025" w:type="dxa"/>
            <w:shd w:val="clear" w:color="auto" w:fill="auto"/>
            <w:noWrap/>
            <w:vAlign w:val="bottom"/>
            <w:hideMark/>
          </w:tcPr>
          <w:p w:rsidR="007556ED" w:rsidRPr="00C479A0" w:rsidRDefault="007556ED" w:rsidP="00685941">
            <w:pPr>
              <w:jc w:val="right"/>
              <w:rPr>
                <w:rFonts w:cstheme="minorHAnsi"/>
                <w:color w:val="000000"/>
                <w:u w:val="single"/>
              </w:rPr>
            </w:pPr>
            <w:r w:rsidRPr="00C479A0">
              <w:rPr>
                <w:rFonts w:cstheme="minorHAnsi"/>
                <w:color w:val="000000"/>
                <w:u w:val="single"/>
              </w:rPr>
              <w:t>$16</w:t>
            </w:r>
            <w:r>
              <w:rPr>
                <w:rFonts w:cstheme="minorHAnsi"/>
                <w:color w:val="000000"/>
                <w:u w:val="single"/>
              </w:rPr>
              <w:t>5,064</w:t>
            </w:r>
            <w:r w:rsidRPr="00C479A0">
              <w:rPr>
                <w:rFonts w:cstheme="minorHAnsi"/>
                <w:color w:val="000000"/>
                <w:u w:val="single"/>
              </w:rPr>
              <w:t xml:space="preserve"> </w:t>
            </w:r>
          </w:p>
        </w:tc>
        <w:tc>
          <w:tcPr>
            <w:tcW w:w="642" w:type="dxa"/>
            <w:shd w:val="clear" w:color="auto" w:fill="auto"/>
            <w:noWrap/>
            <w:vAlign w:val="bottom"/>
            <w:hideMark/>
          </w:tcPr>
          <w:p w:rsidR="007556ED" w:rsidRPr="002A7D5C" w:rsidRDefault="007556ED" w:rsidP="00685941">
            <w:pPr>
              <w:rPr>
                <w:rFonts w:cstheme="minorHAnsi"/>
                <w:color w:val="000000"/>
              </w:rPr>
            </w:pPr>
          </w:p>
        </w:tc>
        <w:tc>
          <w:tcPr>
            <w:tcW w:w="1644" w:type="dxa"/>
            <w:shd w:val="clear" w:color="auto" w:fill="auto"/>
            <w:noWrap/>
            <w:vAlign w:val="bottom"/>
            <w:hideMark/>
          </w:tcPr>
          <w:p w:rsidR="007556ED" w:rsidRPr="00C479A0" w:rsidRDefault="007556ED" w:rsidP="00685941">
            <w:pPr>
              <w:jc w:val="right"/>
              <w:rPr>
                <w:rFonts w:cstheme="minorHAnsi"/>
                <w:color w:val="000000"/>
                <w:u w:val="single"/>
              </w:rPr>
            </w:pPr>
            <w:r w:rsidRPr="00C479A0">
              <w:rPr>
                <w:rFonts w:cstheme="minorHAnsi"/>
                <w:color w:val="000000"/>
                <w:u w:val="single"/>
              </w:rPr>
              <w:t>$14</w:t>
            </w:r>
            <w:r>
              <w:rPr>
                <w:rFonts w:cstheme="minorHAnsi"/>
                <w:color w:val="000000"/>
                <w:u w:val="single"/>
              </w:rPr>
              <w:t>4,652</w:t>
            </w:r>
            <w:r w:rsidRPr="00C479A0">
              <w:rPr>
                <w:rFonts w:cstheme="minorHAnsi"/>
                <w:color w:val="000000"/>
                <w:u w:val="single"/>
              </w:rPr>
              <w:t xml:space="preserve"> </w:t>
            </w:r>
          </w:p>
        </w:tc>
      </w:tr>
      <w:tr w:rsidR="007556ED" w:rsidRPr="003C7057" w:rsidTr="00685941">
        <w:trPr>
          <w:trHeight w:val="318"/>
          <w:jc w:val="center"/>
        </w:trPr>
        <w:tc>
          <w:tcPr>
            <w:tcW w:w="3191" w:type="dxa"/>
            <w:shd w:val="clear" w:color="auto" w:fill="auto"/>
            <w:noWrap/>
            <w:vAlign w:val="bottom"/>
            <w:hideMark/>
          </w:tcPr>
          <w:p w:rsidR="007556ED" w:rsidRPr="002A7D5C" w:rsidRDefault="007556ED" w:rsidP="00685941">
            <w:pPr>
              <w:rPr>
                <w:rFonts w:cstheme="minorHAnsi"/>
                <w:color w:val="000000"/>
              </w:rPr>
            </w:pPr>
            <w:r>
              <w:rPr>
                <w:rFonts w:cstheme="minorHAnsi"/>
                <w:color w:val="000000"/>
              </w:rPr>
              <w:t>NOI</w:t>
            </w:r>
            <w:r w:rsidRPr="002A7D5C">
              <w:rPr>
                <w:rFonts w:cstheme="minorHAnsi"/>
                <w:color w:val="000000"/>
              </w:rPr>
              <w:t xml:space="preserve"> DEFICIENCY</w:t>
            </w:r>
          </w:p>
        </w:tc>
        <w:tc>
          <w:tcPr>
            <w:tcW w:w="2025" w:type="dxa"/>
            <w:shd w:val="clear" w:color="auto" w:fill="auto"/>
            <w:noWrap/>
            <w:vAlign w:val="bottom"/>
            <w:hideMark/>
          </w:tcPr>
          <w:p w:rsidR="007556ED" w:rsidRPr="00C479A0" w:rsidRDefault="007556ED" w:rsidP="00685941">
            <w:pPr>
              <w:jc w:val="right"/>
              <w:rPr>
                <w:rFonts w:cstheme="minorHAnsi"/>
                <w:color w:val="000000"/>
                <w:u w:val="single"/>
              </w:rPr>
            </w:pPr>
            <w:r w:rsidRPr="00C479A0">
              <w:rPr>
                <w:rFonts w:cstheme="minorHAnsi"/>
                <w:color w:val="000000"/>
                <w:u w:val="single"/>
              </w:rPr>
              <w:t>$2</w:t>
            </w:r>
            <w:r>
              <w:rPr>
                <w:rFonts w:cstheme="minorHAnsi"/>
                <w:color w:val="000000"/>
                <w:u w:val="single"/>
              </w:rPr>
              <w:t>24,361</w:t>
            </w:r>
            <w:r w:rsidRPr="00C479A0">
              <w:rPr>
                <w:rFonts w:cstheme="minorHAnsi"/>
                <w:color w:val="000000"/>
                <w:u w:val="single"/>
              </w:rPr>
              <w:t xml:space="preserve"> </w:t>
            </w:r>
          </w:p>
        </w:tc>
        <w:tc>
          <w:tcPr>
            <w:tcW w:w="642" w:type="dxa"/>
            <w:shd w:val="clear" w:color="auto" w:fill="auto"/>
            <w:noWrap/>
            <w:vAlign w:val="bottom"/>
            <w:hideMark/>
          </w:tcPr>
          <w:p w:rsidR="007556ED" w:rsidRPr="002A7D5C" w:rsidRDefault="007556ED" w:rsidP="00685941">
            <w:pPr>
              <w:rPr>
                <w:rFonts w:cstheme="minorHAnsi"/>
                <w:color w:val="000000"/>
              </w:rPr>
            </w:pPr>
          </w:p>
        </w:tc>
        <w:tc>
          <w:tcPr>
            <w:tcW w:w="1644" w:type="dxa"/>
            <w:shd w:val="clear" w:color="auto" w:fill="auto"/>
            <w:noWrap/>
            <w:vAlign w:val="bottom"/>
            <w:hideMark/>
          </w:tcPr>
          <w:p w:rsidR="007556ED" w:rsidRPr="00C479A0" w:rsidRDefault="007556ED" w:rsidP="00685941">
            <w:pPr>
              <w:jc w:val="right"/>
              <w:rPr>
                <w:rFonts w:cstheme="minorHAnsi"/>
                <w:color w:val="000000"/>
                <w:u w:val="single"/>
              </w:rPr>
            </w:pPr>
            <w:r w:rsidRPr="00C479A0">
              <w:rPr>
                <w:rFonts w:cstheme="minorHAnsi"/>
                <w:color w:val="000000"/>
                <w:u w:val="single"/>
              </w:rPr>
              <w:t>$1</w:t>
            </w:r>
            <w:r>
              <w:rPr>
                <w:rFonts w:cstheme="minorHAnsi"/>
                <w:color w:val="000000"/>
                <w:u w:val="single"/>
              </w:rPr>
              <w:t>97,368</w:t>
            </w:r>
            <w:r w:rsidRPr="00C479A0">
              <w:rPr>
                <w:rFonts w:cstheme="minorHAnsi"/>
                <w:color w:val="000000"/>
                <w:u w:val="single"/>
              </w:rPr>
              <w:t xml:space="preserve"> </w:t>
            </w:r>
          </w:p>
        </w:tc>
      </w:tr>
      <w:tr w:rsidR="007556ED" w:rsidRPr="003C7057" w:rsidTr="00685941">
        <w:trPr>
          <w:trHeight w:val="318"/>
          <w:jc w:val="center"/>
        </w:trPr>
        <w:tc>
          <w:tcPr>
            <w:tcW w:w="3191" w:type="dxa"/>
            <w:shd w:val="clear" w:color="auto" w:fill="auto"/>
            <w:noWrap/>
            <w:vAlign w:val="bottom"/>
            <w:hideMark/>
          </w:tcPr>
          <w:p w:rsidR="007556ED" w:rsidRPr="002A7D5C" w:rsidRDefault="007556ED" w:rsidP="00685941">
            <w:pPr>
              <w:rPr>
                <w:rFonts w:cstheme="minorHAnsi"/>
                <w:color w:val="000000"/>
              </w:rPr>
            </w:pPr>
            <w:r w:rsidRPr="002A7D5C">
              <w:rPr>
                <w:rFonts w:cstheme="minorHAnsi"/>
                <w:color w:val="000000"/>
              </w:rPr>
              <w:t>EXPANSION FACTOR</w:t>
            </w:r>
          </w:p>
        </w:tc>
        <w:tc>
          <w:tcPr>
            <w:tcW w:w="2025" w:type="dxa"/>
            <w:shd w:val="clear" w:color="auto" w:fill="auto"/>
            <w:noWrap/>
            <w:vAlign w:val="bottom"/>
            <w:hideMark/>
          </w:tcPr>
          <w:p w:rsidR="007556ED" w:rsidRPr="002A7D5C" w:rsidRDefault="007556ED" w:rsidP="00685941">
            <w:pPr>
              <w:jc w:val="right"/>
              <w:rPr>
                <w:rFonts w:cstheme="minorHAnsi"/>
                <w:color w:val="000000"/>
              </w:rPr>
            </w:pPr>
            <w:r w:rsidRPr="002A7D5C">
              <w:rPr>
                <w:rFonts w:cstheme="minorHAnsi"/>
                <w:color w:val="000000"/>
              </w:rPr>
              <w:t>1.3462</w:t>
            </w:r>
          </w:p>
        </w:tc>
        <w:tc>
          <w:tcPr>
            <w:tcW w:w="642" w:type="dxa"/>
            <w:shd w:val="clear" w:color="auto" w:fill="auto"/>
            <w:noWrap/>
            <w:vAlign w:val="bottom"/>
            <w:hideMark/>
          </w:tcPr>
          <w:p w:rsidR="007556ED" w:rsidRPr="002A7D5C" w:rsidRDefault="007556ED" w:rsidP="00685941">
            <w:pPr>
              <w:rPr>
                <w:rFonts w:cstheme="minorHAnsi"/>
                <w:color w:val="000000"/>
              </w:rPr>
            </w:pPr>
          </w:p>
        </w:tc>
        <w:tc>
          <w:tcPr>
            <w:tcW w:w="1644" w:type="dxa"/>
            <w:shd w:val="clear" w:color="auto" w:fill="auto"/>
            <w:noWrap/>
            <w:vAlign w:val="bottom"/>
            <w:hideMark/>
          </w:tcPr>
          <w:p w:rsidR="007556ED" w:rsidRPr="002A7D5C" w:rsidRDefault="007556ED" w:rsidP="00685941">
            <w:pPr>
              <w:jc w:val="right"/>
              <w:rPr>
                <w:rFonts w:cstheme="minorHAnsi"/>
                <w:color w:val="000000"/>
              </w:rPr>
            </w:pPr>
            <w:r w:rsidRPr="002A7D5C">
              <w:rPr>
                <w:rFonts w:cstheme="minorHAnsi"/>
                <w:color w:val="000000"/>
              </w:rPr>
              <w:t>1.3315</w:t>
            </w:r>
          </w:p>
        </w:tc>
      </w:tr>
      <w:tr w:rsidR="007556ED" w:rsidRPr="003C7057" w:rsidTr="00685941">
        <w:trPr>
          <w:trHeight w:val="334"/>
          <w:jc w:val="center"/>
        </w:trPr>
        <w:tc>
          <w:tcPr>
            <w:tcW w:w="3191" w:type="dxa"/>
            <w:shd w:val="clear" w:color="auto" w:fill="auto"/>
            <w:noWrap/>
            <w:vAlign w:val="bottom"/>
            <w:hideMark/>
          </w:tcPr>
          <w:p w:rsidR="007556ED" w:rsidRPr="002A7D5C" w:rsidRDefault="007556ED" w:rsidP="00685941">
            <w:pPr>
              <w:rPr>
                <w:rFonts w:cstheme="minorHAnsi"/>
                <w:color w:val="000000"/>
              </w:rPr>
            </w:pPr>
            <w:r w:rsidRPr="002A7D5C">
              <w:rPr>
                <w:rFonts w:cstheme="minorHAnsi"/>
                <w:color w:val="000000"/>
              </w:rPr>
              <w:t>REVENUE DEFICIENCY</w:t>
            </w:r>
          </w:p>
        </w:tc>
        <w:tc>
          <w:tcPr>
            <w:tcW w:w="2025" w:type="dxa"/>
            <w:shd w:val="clear" w:color="auto" w:fill="auto"/>
            <w:noWrap/>
            <w:vAlign w:val="bottom"/>
            <w:hideMark/>
          </w:tcPr>
          <w:p w:rsidR="007556ED" w:rsidRPr="00C479A0" w:rsidRDefault="007556ED" w:rsidP="00685941">
            <w:pPr>
              <w:jc w:val="right"/>
              <w:rPr>
                <w:rFonts w:cstheme="minorHAnsi"/>
                <w:color w:val="000000"/>
                <w:u w:val="double"/>
              </w:rPr>
            </w:pPr>
            <w:r w:rsidRPr="00C479A0">
              <w:rPr>
                <w:rFonts w:cstheme="minorHAnsi"/>
                <w:color w:val="000000"/>
                <w:u w:val="double"/>
              </w:rPr>
              <w:t>$30</w:t>
            </w:r>
            <w:r>
              <w:rPr>
                <w:rFonts w:cstheme="minorHAnsi"/>
                <w:color w:val="000000"/>
                <w:u w:val="double"/>
              </w:rPr>
              <w:t>2,041</w:t>
            </w:r>
            <w:r w:rsidRPr="00C479A0">
              <w:rPr>
                <w:rFonts w:cstheme="minorHAnsi"/>
                <w:color w:val="000000"/>
                <w:u w:val="double"/>
              </w:rPr>
              <w:t xml:space="preserve"> </w:t>
            </w:r>
          </w:p>
        </w:tc>
        <w:tc>
          <w:tcPr>
            <w:tcW w:w="642" w:type="dxa"/>
            <w:shd w:val="clear" w:color="auto" w:fill="auto"/>
            <w:noWrap/>
            <w:vAlign w:val="bottom"/>
            <w:hideMark/>
          </w:tcPr>
          <w:p w:rsidR="007556ED" w:rsidRPr="002A7D5C" w:rsidRDefault="007556ED" w:rsidP="00685941">
            <w:pPr>
              <w:rPr>
                <w:rFonts w:cstheme="minorHAnsi"/>
                <w:color w:val="000000"/>
              </w:rPr>
            </w:pPr>
            <w:r w:rsidRPr="002A7D5C">
              <w:rPr>
                <w:rFonts w:cstheme="minorHAnsi"/>
                <w:color w:val="000000"/>
              </w:rPr>
              <w:t> </w:t>
            </w:r>
          </w:p>
        </w:tc>
        <w:tc>
          <w:tcPr>
            <w:tcW w:w="1644" w:type="dxa"/>
            <w:shd w:val="clear" w:color="auto" w:fill="auto"/>
            <w:noWrap/>
            <w:vAlign w:val="bottom"/>
            <w:hideMark/>
          </w:tcPr>
          <w:p w:rsidR="007556ED" w:rsidRPr="00C479A0" w:rsidRDefault="007556ED" w:rsidP="00685941">
            <w:pPr>
              <w:jc w:val="right"/>
              <w:rPr>
                <w:rFonts w:cstheme="minorHAnsi"/>
                <w:color w:val="000000"/>
                <w:u w:val="double"/>
              </w:rPr>
            </w:pPr>
            <w:r w:rsidRPr="00C479A0">
              <w:rPr>
                <w:rFonts w:cstheme="minorHAnsi"/>
                <w:color w:val="000000"/>
                <w:u w:val="double"/>
              </w:rPr>
              <w:t>$2</w:t>
            </w:r>
            <w:r>
              <w:rPr>
                <w:rFonts w:cstheme="minorHAnsi"/>
                <w:color w:val="000000"/>
                <w:u w:val="double"/>
              </w:rPr>
              <w:t>62,805</w:t>
            </w:r>
            <w:r w:rsidRPr="00C479A0">
              <w:rPr>
                <w:rFonts w:cstheme="minorHAnsi"/>
                <w:color w:val="000000"/>
                <w:u w:val="double"/>
              </w:rPr>
              <w:t xml:space="preserve"> </w:t>
            </w:r>
          </w:p>
        </w:tc>
      </w:tr>
    </w:tbl>
    <w:p w:rsidR="007556ED" w:rsidRDefault="007556ED" w:rsidP="001769FA">
      <w:pPr>
        <w:pStyle w:val="OrderBody"/>
      </w:pPr>
    </w:p>
    <w:p w:rsidR="007556ED" w:rsidRDefault="007556ED" w:rsidP="001769FA">
      <w:pPr>
        <w:pStyle w:val="OrderBody"/>
      </w:pPr>
    </w:p>
    <w:p w:rsidR="007556ED" w:rsidRDefault="007556ED" w:rsidP="001769FA">
      <w:pPr>
        <w:pStyle w:val="OrderBody"/>
        <w:sectPr w:rsidR="007556ED" w:rsidSect="001769FA">
          <w:headerReference w:type="even" r:id="rId26"/>
          <w:headerReference w:type="default" r:id="rId27"/>
          <w:headerReference w:type="first" r:id="rId28"/>
          <w:pgSz w:w="12240" w:h="15840" w:code="1"/>
          <w:pgMar w:top="1440" w:right="1440" w:bottom="1440" w:left="1440" w:header="720" w:footer="720" w:gutter="0"/>
          <w:cols w:space="720"/>
          <w:titlePg/>
          <w:docGrid w:linePitch="360"/>
        </w:sectPr>
      </w:pPr>
    </w:p>
    <w:p w:rsidR="007556ED" w:rsidRDefault="001622E2" w:rsidP="001769FA">
      <w:pPr>
        <w:pStyle w:val="OrderBody"/>
      </w:pPr>
      <w:r>
        <w:rPr>
          <w:noProof/>
        </w:rPr>
        <w:lastRenderedPageBreak/>
        <w:drawing>
          <wp:inline distT="0" distB="0" distL="0" distR="0" wp14:anchorId="6D34975E" wp14:editId="159FE5E4">
            <wp:extent cx="7753350" cy="56780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756982" cy="5680672"/>
                    </a:xfrm>
                    <a:prstGeom prst="rect">
                      <a:avLst/>
                    </a:prstGeom>
                    <a:noFill/>
                    <a:ln>
                      <a:noFill/>
                    </a:ln>
                  </pic:spPr>
                </pic:pic>
              </a:graphicData>
            </a:graphic>
          </wp:inline>
        </w:drawing>
      </w:r>
      <w:r>
        <w:rPr>
          <w:noProof/>
        </w:rPr>
        <w:lastRenderedPageBreak/>
        <w:drawing>
          <wp:inline distT="0" distB="0" distL="0" distR="0" wp14:anchorId="32430F28" wp14:editId="51A93544">
            <wp:extent cx="8138160" cy="4656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138160" cy="4656208"/>
                    </a:xfrm>
                    <a:prstGeom prst="rect">
                      <a:avLst/>
                    </a:prstGeom>
                    <a:noFill/>
                    <a:ln>
                      <a:noFill/>
                    </a:ln>
                  </pic:spPr>
                </pic:pic>
              </a:graphicData>
            </a:graphic>
          </wp:inline>
        </w:drawing>
      </w:r>
    </w:p>
    <w:p w:rsidR="001622E2" w:rsidRDefault="001622E2" w:rsidP="001769FA">
      <w:pPr>
        <w:pStyle w:val="OrderBody"/>
      </w:pPr>
      <w:r>
        <w:rPr>
          <w:noProof/>
        </w:rPr>
        <w:lastRenderedPageBreak/>
        <w:drawing>
          <wp:inline distT="0" distB="0" distL="0" distR="0" wp14:anchorId="636D5355" wp14:editId="7422D7B7">
            <wp:extent cx="8138160" cy="48803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38160" cy="4880384"/>
                    </a:xfrm>
                    <a:prstGeom prst="rect">
                      <a:avLst/>
                    </a:prstGeom>
                    <a:noFill/>
                    <a:ln>
                      <a:noFill/>
                    </a:ln>
                  </pic:spPr>
                </pic:pic>
              </a:graphicData>
            </a:graphic>
          </wp:inline>
        </w:drawing>
      </w:r>
    </w:p>
    <w:p w:rsidR="001622E2" w:rsidRDefault="001622E2" w:rsidP="001769FA">
      <w:pPr>
        <w:pStyle w:val="OrderBody"/>
      </w:pPr>
      <w:r>
        <w:rPr>
          <w:noProof/>
        </w:rPr>
        <w:lastRenderedPageBreak/>
        <w:drawing>
          <wp:inline distT="0" distB="0" distL="0" distR="0" wp14:anchorId="77BA80A3" wp14:editId="48E5E27A">
            <wp:extent cx="8138160" cy="48056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138160" cy="4805659"/>
                    </a:xfrm>
                    <a:prstGeom prst="rect">
                      <a:avLst/>
                    </a:prstGeom>
                    <a:noFill/>
                    <a:ln>
                      <a:noFill/>
                    </a:ln>
                  </pic:spPr>
                </pic:pic>
              </a:graphicData>
            </a:graphic>
          </wp:inline>
        </w:drawing>
      </w:r>
    </w:p>
    <w:p w:rsidR="001622E2" w:rsidRDefault="001622E2" w:rsidP="001769FA">
      <w:pPr>
        <w:pStyle w:val="OrderBody"/>
      </w:pPr>
      <w:r>
        <w:rPr>
          <w:noProof/>
        </w:rPr>
        <w:lastRenderedPageBreak/>
        <w:drawing>
          <wp:inline distT="0" distB="0" distL="0" distR="0" wp14:anchorId="362E4680" wp14:editId="285370B9">
            <wp:extent cx="8138160" cy="466248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138160" cy="4662488"/>
                    </a:xfrm>
                    <a:prstGeom prst="rect">
                      <a:avLst/>
                    </a:prstGeom>
                    <a:noFill/>
                    <a:ln>
                      <a:noFill/>
                    </a:ln>
                  </pic:spPr>
                </pic:pic>
              </a:graphicData>
            </a:graphic>
          </wp:inline>
        </w:drawing>
      </w:r>
    </w:p>
    <w:p w:rsidR="001622E2" w:rsidRDefault="001622E2" w:rsidP="001769FA">
      <w:pPr>
        <w:pStyle w:val="OrderBody"/>
      </w:pPr>
      <w:r>
        <w:rPr>
          <w:noProof/>
        </w:rPr>
        <w:lastRenderedPageBreak/>
        <w:drawing>
          <wp:inline distT="0" distB="0" distL="0" distR="0" wp14:anchorId="241822FB" wp14:editId="4D02AC62">
            <wp:extent cx="8138160" cy="451868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138160" cy="4518688"/>
                    </a:xfrm>
                    <a:prstGeom prst="rect">
                      <a:avLst/>
                    </a:prstGeom>
                    <a:noFill/>
                    <a:ln>
                      <a:noFill/>
                    </a:ln>
                  </pic:spPr>
                </pic:pic>
              </a:graphicData>
            </a:graphic>
          </wp:inline>
        </w:drawing>
      </w:r>
    </w:p>
    <w:p w:rsidR="001622E2" w:rsidRDefault="001622E2" w:rsidP="001769FA">
      <w:pPr>
        <w:pStyle w:val="OrderBody"/>
      </w:pPr>
      <w:r>
        <w:rPr>
          <w:noProof/>
        </w:rPr>
        <w:lastRenderedPageBreak/>
        <w:drawing>
          <wp:inline distT="0" distB="0" distL="0" distR="0" wp14:anchorId="7A9C0417" wp14:editId="4E55D40D">
            <wp:extent cx="8138160" cy="45180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38160" cy="4518060"/>
                    </a:xfrm>
                    <a:prstGeom prst="rect">
                      <a:avLst/>
                    </a:prstGeom>
                    <a:noFill/>
                    <a:ln>
                      <a:noFill/>
                    </a:ln>
                  </pic:spPr>
                </pic:pic>
              </a:graphicData>
            </a:graphic>
          </wp:inline>
        </w:drawing>
      </w:r>
    </w:p>
    <w:p w:rsidR="001622E2" w:rsidRDefault="001622E2" w:rsidP="001769FA">
      <w:pPr>
        <w:pStyle w:val="OrderBody"/>
      </w:pPr>
      <w:r>
        <w:rPr>
          <w:noProof/>
        </w:rPr>
        <w:lastRenderedPageBreak/>
        <w:drawing>
          <wp:inline distT="0" distB="0" distL="0" distR="0" wp14:anchorId="4DB4CD90" wp14:editId="2C3EFB29">
            <wp:extent cx="8138160" cy="43855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138160" cy="4385564"/>
                    </a:xfrm>
                    <a:prstGeom prst="rect">
                      <a:avLst/>
                    </a:prstGeom>
                    <a:noFill/>
                    <a:ln>
                      <a:noFill/>
                    </a:ln>
                  </pic:spPr>
                </pic:pic>
              </a:graphicData>
            </a:graphic>
          </wp:inline>
        </w:drawing>
      </w:r>
    </w:p>
    <w:p w:rsidR="001622E2" w:rsidRDefault="001622E2" w:rsidP="001769FA">
      <w:pPr>
        <w:pStyle w:val="OrderBody"/>
      </w:pPr>
      <w:r>
        <w:rPr>
          <w:noProof/>
        </w:rPr>
        <w:lastRenderedPageBreak/>
        <w:drawing>
          <wp:inline distT="0" distB="0" distL="0" distR="0" wp14:anchorId="07361250" wp14:editId="4069464D">
            <wp:extent cx="8138160" cy="45720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138160" cy="4572064"/>
                    </a:xfrm>
                    <a:prstGeom prst="rect">
                      <a:avLst/>
                    </a:prstGeom>
                    <a:noFill/>
                    <a:ln>
                      <a:noFill/>
                    </a:ln>
                  </pic:spPr>
                </pic:pic>
              </a:graphicData>
            </a:graphic>
          </wp:inline>
        </w:drawing>
      </w:r>
    </w:p>
    <w:p w:rsidR="001622E2" w:rsidRDefault="001622E2" w:rsidP="001769FA">
      <w:pPr>
        <w:pStyle w:val="OrderBody"/>
      </w:pPr>
      <w:r>
        <w:rPr>
          <w:noProof/>
        </w:rPr>
        <w:lastRenderedPageBreak/>
        <w:drawing>
          <wp:inline distT="0" distB="0" distL="0" distR="0" wp14:anchorId="21BADD81" wp14:editId="18D05610">
            <wp:extent cx="8138160" cy="4478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138160" cy="4478500"/>
                    </a:xfrm>
                    <a:prstGeom prst="rect">
                      <a:avLst/>
                    </a:prstGeom>
                    <a:noFill/>
                    <a:ln>
                      <a:noFill/>
                    </a:ln>
                  </pic:spPr>
                </pic:pic>
              </a:graphicData>
            </a:graphic>
          </wp:inline>
        </w:drawing>
      </w:r>
    </w:p>
    <w:p w:rsidR="001622E2" w:rsidRDefault="001622E2" w:rsidP="001769FA">
      <w:pPr>
        <w:pStyle w:val="OrderBody"/>
      </w:pPr>
      <w:r>
        <w:rPr>
          <w:noProof/>
        </w:rPr>
        <w:lastRenderedPageBreak/>
        <w:drawing>
          <wp:inline distT="0" distB="0" distL="0" distR="0" wp14:anchorId="0B826022" wp14:editId="23AEB44C">
            <wp:extent cx="8138160" cy="45394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138160" cy="4539410"/>
                    </a:xfrm>
                    <a:prstGeom prst="rect">
                      <a:avLst/>
                    </a:prstGeom>
                    <a:noFill/>
                    <a:ln>
                      <a:noFill/>
                    </a:ln>
                  </pic:spPr>
                </pic:pic>
              </a:graphicData>
            </a:graphic>
          </wp:inline>
        </w:drawing>
      </w:r>
    </w:p>
    <w:p w:rsidR="001622E2" w:rsidRDefault="001622E2" w:rsidP="001769FA">
      <w:pPr>
        <w:pStyle w:val="OrderBody"/>
      </w:pPr>
      <w:r>
        <w:rPr>
          <w:noProof/>
        </w:rPr>
        <w:lastRenderedPageBreak/>
        <w:drawing>
          <wp:inline distT="0" distB="0" distL="0" distR="0" wp14:anchorId="00478714" wp14:editId="5315B7F9">
            <wp:extent cx="8138160" cy="4475988"/>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138160" cy="4475988"/>
                    </a:xfrm>
                    <a:prstGeom prst="rect">
                      <a:avLst/>
                    </a:prstGeom>
                    <a:noFill/>
                    <a:ln>
                      <a:noFill/>
                    </a:ln>
                  </pic:spPr>
                </pic:pic>
              </a:graphicData>
            </a:graphic>
          </wp:inline>
        </w:drawing>
      </w:r>
    </w:p>
    <w:p w:rsidR="001622E2" w:rsidRDefault="001622E2" w:rsidP="001769FA">
      <w:pPr>
        <w:pStyle w:val="OrderBody"/>
      </w:pPr>
      <w:r>
        <w:rPr>
          <w:noProof/>
        </w:rPr>
        <w:lastRenderedPageBreak/>
        <w:drawing>
          <wp:inline distT="0" distB="0" distL="0" distR="0" wp14:anchorId="033F9DA9" wp14:editId="3A9001DC">
            <wp:extent cx="8138160" cy="4356679"/>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138160" cy="4356679"/>
                    </a:xfrm>
                    <a:prstGeom prst="rect">
                      <a:avLst/>
                    </a:prstGeom>
                    <a:noFill/>
                    <a:ln>
                      <a:noFill/>
                    </a:ln>
                  </pic:spPr>
                </pic:pic>
              </a:graphicData>
            </a:graphic>
          </wp:inline>
        </w:drawing>
      </w:r>
    </w:p>
    <w:p w:rsidR="001622E2" w:rsidRDefault="001622E2" w:rsidP="001769FA">
      <w:pPr>
        <w:pStyle w:val="OrderBody"/>
      </w:pPr>
      <w:r>
        <w:rPr>
          <w:noProof/>
        </w:rPr>
        <w:lastRenderedPageBreak/>
        <w:drawing>
          <wp:inline distT="0" distB="0" distL="0" distR="0" wp14:anchorId="41A427DF" wp14:editId="519A6369">
            <wp:extent cx="8138160" cy="416201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138160" cy="4162016"/>
                    </a:xfrm>
                    <a:prstGeom prst="rect">
                      <a:avLst/>
                    </a:prstGeom>
                    <a:noFill/>
                    <a:ln>
                      <a:noFill/>
                    </a:ln>
                  </pic:spPr>
                </pic:pic>
              </a:graphicData>
            </a:graphic>
          </wp:inline>
        </w:drawing>
      </w:r>
    </w:p>
    <w:p w:rsidR="001622E2" w:rsidRDefault="001622E2" w:rsidP="001769FA">
      <w:pPr>
        <w:pStyle w:val="OrderBody"/>
      </w:pPr>
    </w:p>
    <w:p w:rsidR="001622E2" w:rsidRDefault="001622E2" w:rsidP="001769FA">
      <w:pPr>
        <w:pStyle w:val="OrderBody"/>
        <w:sectPr w:rsidR="001622E2" w:rsidSect="007556ED">
          <w:headerReference w:type="even" r:id="rId43"/>
          <w:headerReference w:type="default" r:id="rId44"/>
          <w:headerReference w:type="first" r:id="rId45"/>
          <w:pgSz w:w="15840" w:h="12240" w:orient="landscape" w:code="1"/>
          <w:pgMar w:top="1440" w:right="1440" w:bottom="1440" w:left="1440" w:header="720" w:footer="720" w:gutter="0"/>
          <w:cols w:space="720"/>
          <w:titlePg/>
          <w:docGrid w:linePitch="360"/>
        </w:sectPr>
      </w:pPr>
    </w:p>
    <w:p w:rsidR="001622E2" w:rsidRDefault="00DC0E89" w:rsidP="001769FA">
      <w:pPr>
        <w:pStyle w:val="OrderBody"/>
      </w:pPr>
      <w:r>
        <w:rPr>
          <w:noProof/>
        </w:rPr>
        <w:lastRenderedPageBreak/>
        <w:drawing>
          <wp:inline distT="0" distB="0" distL="0" distR="0">
            <wp:extent cx="5899785" cy="5502275"/>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99785" cy="5502275"/>
                    </a:xfrm>
                    <a:prstGeom prst="rect">
                      <a:avLst/>
                    </a:prstGeom>
                    <a:noFill/>
                    <a:ln>
                      <a:noFill/>
                    </a:ln>
                  </pic:spPr>
                </pic:pic>
              </a:graphicData>
            </a:graphic>
          </wp:inline>
        </w:drawing>
      </w:r>
      <w:r>
        <w:rPr>
          <w:noProof/>
        </w:rPr>
        <w:lastRenderedPageBreak/>
        <w:drawing>
          <wp:inline distT="0" distB="0" distL="0" distR="0">
            <wp:extent cx="5943600" cy="5770473"/>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943600" cy="5770473"/>
                    </a:xfrm>
                    <a:prstGeom prst="rect">
                      <a:avLst/>
                    </a:prstGeom>
                    <a:noFill/>
                    <a:ln>
                      <a:noFill/>
                    </a:ln>
                  </pic:spPr>
                </pic:pic>
              </a:graphicData>
            </a:graphic>
          </wp:inline>
        </w:drawing>
      </w:r>
    </w:p>
    <w:p w:rsidR="00F749A1" w:rsidRDefault="00F749A1">
      <w:r>
        <w:br w:type="page"/>
      </w:r>
    </w:p>
    <w:p w:rsidR="00F749A1" w:rsidRDefault="00DC0E89" w:rsidP="001769FA">
      <w:pPr>
        <w:pStyle w:val="OrderBody"/>
      </w:pPr>
      <w:r>
        <w:rPr>
          <w:noProof/>
        </w:rPr>
        <w:lastRenderedPageBreak/>
        <w:drawing>
          <wp:inline distT="0" distB="0" distL="0" distR="0">
            <wp:extent cx="5943600" cy="5486308"/>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43600" cy="5486308"/>
                    </a:xfrm>
                    <a:prstGeom prst="rect">
                      <a:avLst/>
                    </a:prstGeom>
                    <a:noFill/>
                    <a:ln>
                      <a:noFill/>
                    </a:ln>
                  </pic:spPr>
                </pic:pic>
              </a:graphicData>
            </a:graphic>
          </wp:inline>
        </w:drawing>
      </w:r>
    </w:p>
    <w:p w:rsidR="00F749A1" w:rsidRDefault="00F749A1">
      <w:r>
        <w:br w:type="page"/>
      </w:r>
    </w:p>
    <w:p w:rsidR="00F749A1" w:rsidRDefault="00DC0E89" w:rsidP="001769FA">
      <w:pPr>
        <w:pStyle w:val="OrderBody"/>
      </w:pPr>
      <w:r>
        <w:rPr>
          <w:noProof/>
        </w:rPr>
        <w:lastRenderedPageBreak/>
        <w:drawing>
          <wp:inline distT="0" distB="0" distL="0" distR="0">
            <wp:extent cx="5943600" cy="566486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43600" cy="5664868"/>
                    </a:xfrm>
                    <a:prstGeom prst="rect">
                      <a:avLst/>
                    </a:prstGeom>
                    <a:noFill/>
                    <a:ln>
                      <a:noFill/>
                    </a:ln>
                  </pic:spPr>
                </pic:pic>
              </a:graphicData>
            </a:graphic>
          </wp:inline>
        </w:drawing>
      </w:r>
    </w:p>
    <w:p w:rsidR="00F749A1" w:rsidRDefault="00F749A1">
      <w:r>
        <w:br w:type="page"/>
      </w:r>
    </w:p>
    <w:p w:rsidR="00F749A1" w:rsidRDefault="00DC0E89" w:rsidP="001769FA">
      <w:pPr>
        <w:pStyle w:val="OrderBody"/>
      </w:pPr>
      <w:r>
        <w:rPr>
          <w:noProof/>
        </w:rPr>
        <w:lastRenderedPageBreak/>
        <w:drawing>
          <wp:inline distT="0" distB="0" distL="0" distR="0">
            <wp:extent cx="5748655" cy="5820410"/>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48655" cy="5820410"/>
                    </a:xfrm>
                    <a:prstGeom prst="rect">
                      <a:avLst/>
                    </a:prstGeom>
                    <a:noFill/>
                    <a:ln>
                      <a:noFill/>
                    </a:ln>
                  </pic:spPr>
                </pic:pic>
              </a:graphicData>
            </a:graphic>
          </wp:inline>
        </w:drawing>
      </w:r>
    </w:p>
    <w:p w:rsidR="001622E2" w:rsidRPr="001769FA" w:rsidRDefault="001622E2" w:rsidP="00DC0E89"/>
    <w:sectPr w:rsidR="001622E2" w:rsidRPr="001769FA" w:rsidSect="001622E2">
      <w:headerReference w:type="even" r:id="rId51"/>
      <w:headerReference w:type="default" r:id="rId52"/>
      <w:headerReference w:type="first" r:id="rId5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A4D" w:rsidRDefault="000B5A4D">
      <w:r>
        <w:separator/>
      </w:r>
    </w:p>
  </w:endnote>
  <w:endnote w:type="continuationSeparator" w:id="0">
    <w:p w:rsidR="000B5A4D" w:rsidRDefault="000B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A4D" w:rsidRDefault="000B5A4D">
      <w:r>
        <w:separator/>
      </w:r>
    </w:p>
  </w:footnote>
  <w:footnote w:type="continuationSeparator" w:id="0">
    <w:p w:rsidR="000B5A4D" w:rsidRDefault="000B5A4D">
      <w:r>
        <w:continuationSeparator/>
      </w:r>
    </w:p>
  </w:footnote>
  <w:footnote w:id="1">
    <w:p w:rsidR="000B5A4D" w:rsidRDefault="000B5A4D" w:rsidP="00F63B69">
      <w:pPr>
        <w:pStyle w:val="FootnoteText"/>
      </w:pPr>
      <w:r>
        <w:rPr>
          <w:rStyle w:val="FootnoteReference"/>
        </w:rPr>
        <w:footnoteRef/>
      </w:r>
      <w:r>
        <w:t xml:space="preserve"> </w:t>
      </w:r>
      <w:r w:rsidRPr="000847A7">
        <w:t xml:space="preserve">Order No. PSC-92-0229-FOF-GU, issued April 20, 1992, in Docket No. </w:t>
      </w:r>
      <w:r>
        <w:t>19</w:t>
      </w:r>
      <w:r w:rsidRPr="000847A7">
        <w:t xml:space="preserve">910873-GU, </w:t>
      </w:r>
      <w:r w:rsidRPr="00AC2846">
        <w:rPr>
          <w:i/>
        </w:rPr>
        <w:t>In re: Petition for approval of initial rates to be established by Sebring Gas System, a division of Coker Fuels, Inc.</w:t>
      </w:r>
    </w:p>
  </w:footnote>
  <w:footnote w:id="2">
    <w:p w:rsidR="000B5A4D" w:rsidRDefault="000B5A4D" w:rsidP="00F63B69">
      <w:pPr>
        <w:pStyle w:val="FootnoteText"/>
      </w:pPr>
      <w:r>
        <w:rPr>
          <w:rStyle w:val="FootnoteReference"/>
        </w:rPr>
        <w:footnoteRef/>
      </w:r>
      <w:r>
        <w:t xml:space="preserve"> </w:t>
      </w:r>
      <w:r w:rsidRPr="000847A7">
        <w:t xml:space="preserve">Order No. PSC-04-1260-PAA-GU, issued December 20, 2004, in Docket No. </w:t>
      </w:r>
      <w:r>
        <w:t>20</w:t>
      </w:r>
      <w:r w:rsidRPr="000847A7">
        <w:t xml:space="preserve">040270-GU, </w:t>
      </w:r>
      <w:r w:rsidRPr="00AC2846">
        <w:rPr>
          <w:i/>
        </w:rPr>
        <w:t>In re: Application for rate increase by Sebring Gas System, Inc.</w:t>
      </w:r>
    </w:p>
  </w:footnote>
  <w:footnote w:id="3">
    <w:p w:rsidR="000B5A4D" w:rsidRDefault="000B5A4D" w:rsidP="00F63B69">
      <w:pPr>
        <w:pStyle w:val="FootnoteText"/>
      </w:pPr>
      <w:r>
        <w:rPr>
          <w:rStyle w:val="FootnoteReference"/>
        </w:rPr>
        <w:footnoteRef/>
      </w:r>
      <w:r>
        <w:t xml:space="preserve"> </w:t>
      </w:r>
      <w:r w:rsidRPr="000847A7">
        <w:t>Document No. 04735-2019, Sebring’s Petition, p</w:t>
      </w:r>
      <w:r>
        <w:t>p</w:t>
      </w:r>
      <w:r w:rsidRPr="000847A7">
        <w:t>. 4</w:t>
      </w:r>
      <w:r w:rsidRPr="00E34EBD">
        <w:t xml:space="preserve"> </w:t>
      </w:r>
      <w:r>
        <w:t>–</w:t>
      </w:r>
      <w:r w:rsidRPr="00E34EBD">
        <w:t xml:space="preserve"> </w:t>
      </w:r>
      <w:r>
        <w:t>5, and Direct Testimony of Russell Melendy, p. 15.</w:t>
      </w:r>
    </w:p>
  </w:footnote>
  <w:footnote w:id="4">
    <w:p w:rsidR="000B5A4D" w:rsidRDefault="000B5A4D" w:rsidP="00F63B69">
      <w:pPr>
        <w:pStyle w:val="FootnoteText"/>
      </w:pPr>
      <w:r>
        <w:rPr>
          <w:rStyle w:val="FootnoteReference"/>
        </w:rPr>
        <w:footnoteRef/>
      </w:r>
      <w:r>
        <w:t xml:space="preserve"> </w:t>
      </w:r>
      <w:r w:rsidRPr="00441C10">
        <w:rPr>
          <w:i/>
        </w:rPr>
        <w:t>Id.</w:t>
      </w:r>
      <w:r>
        <w:t>, p</w:t>
      </w:r>
      <w:r w:rsidRPr="000847A7">
        <w:t>. 3</w:t>
      </w:r>
      <w:r>
        <w:t>.</w:t>
      </w:r>
    </w:p>
  </w:footnote>
  <w:footnote w:id="5">
    <w:p w:rsidR="000B5A4D" w:rsidRDefault="000B5A4D" w:rsidP="00F63B69">
      <w:pPr>
        <w:pStyle w:val="FootnoteText"/>
      </w:pPr>
      <w:r>
        <w:rPr>
          <w:rStyle w:val="FootnoteReference"/>
        </w:rPr>
        <w:footnoteRef/>
      </w:r>
      <w:r>
        <w:t xml:space="preserve"> </w:t>
      </w:r>
      <w:r w:rsidRPr="000847A7">
        <w:t xml:space="preserve">Order No. PSC-19-0226-PCO-GU, issued June 12, 2019, in Docket No. 20190083-GU, </w:t>
      </w:r>
      <w:r w:rsidRPr="00AC2846">
        <w:rPr>
          <w:i/>
        </w:rPr>
        <w:t>In re: Application for rate increase in Highlands, Hardee, and Desoto Counties, by Sebring Gas System, Inc.</w:t>
      </w:r>
    </w:p>
  </w:footnote>
  <w:footnote w:id="6">
    <w:p w:rsidR="000B5A4D" w:rsidRDefault="000B5A4D" w:rsidP="00F63B69">
      <w:pPr>
        <w:pStyle w:val="FootnoteText"/>
      </w:pPr>
      <w:r>
        <w:rPr>
          <w:rStyle w:val="FootnoteReference"/>
        </w:rPr>
        <w:footnoteRef/>
      </w:r>
      <w:r>
        <w:t xml:space="preserve"> </w:t>
      </w:r>
      <w:r w:rsidRPr="00E34EBD">
        <w:t>S</w:t>
      </w:r>
      <w:r>
        <w:t>ebring</w:t>
      </w:r>
      <w:r w:rsidRPr="00E34EBD">
        <w:t>’</w:t>
      </w:r>
      <w:r>
        <w:t>s</w:t>
      </w:r>
      <w:r w:rsidRPr="00E34EBD">
        <w:t xml:space="preserve"> working capital had been adjusted for any disallowed items before it was combined with S</w:t>
      </w:r>
      <w:r>
        <w:t>ebring</w:t>
      </w:r>
      <w:r w:rsidRPr="00E34EBD">
        <w:t>’</w:t>
      </w:r>
      <w:r>
        <w:t>s</w:t>
      </w:r>
      <w:r w:rsidRPr="00E34EBD">
        <w:t xml:space="preserve"> net utility plant to arrive at the Company’s 20</w:t>
      </w:r>
      <w:r>
        <w:t xml:space="preserve">18 historical total rate base. </w:t>
      </w:r>
      <w:r w:rsidRPr="00E34EBD">
        <w:t>Document No. 04735</w:t>
      </w:r>
      <w:r>
        <w:t xml:space="preserve">-2019, </w:t>
      </w:r>
      <w:r w:rsidRPr="00E34EBD">
        <w:t xml:space="preserve">Direct Testimony of Jerry Melendy, pp.13 </w:t>
      </w:r>
      <w:r>
        <w:t>–</w:t>
      </w:r>
      <w:r w:rsidRPr="00E34EBD">
        <w:t xml:space="preserve"> 14</w:t>
      </w:r>
      <w:r>
        <w:t>.</w:t>
      </w:r>
    </w:p>
  </w:footnote>
  <w:footnote w:id="7">
    <w:p w:rsidR="000B5A4D" w:rsidRDefault="000B5A4D" w:rsidP="00F63B69">
      <w:pPr>
        <w:pStyle w:val="FootnoteText"/>
      </w:pPr>
      <w:r>
        <w:rPr>
          <w:rStyle w:val="FootnoteReference"/>
        </w:rPr>
        <w:footnoteRef/>
      </w:r>
      <w:r>
        <w:t xml:space="preserve"> </w:t>
      </w:r>
      <w:r w:rsidRPr="00E34EBD">
        <w:t xml:space="preserve">The trending methodology used is detailed in </w:t>
      </w:r>
      <w:r>
        <w:t>Document No. 10856-2019, revised MFR</w:t>
      </w:r>
      <w:r w:rsidRPr="00E34EBD">
        <w:t xml:space="preserve"> Schedule G-2, pp. 10 </w:t>
      </w:r>
      <w:r>
        <w:t>–</w:t>
      </w:r>
      <w:r w:rsidRPr="00E34EBD">
        <w:t xml:space="preserve"> 18</w:t>
      </w:r>
      <w:r>
        <w:t>.</w:t>
      </w:r>
    </w:p>
  </w:footnote>
  <w:footnote w:id="8">
    <w:p w:rsidR="000B5A4D" w:rsidRDefault="000B5A4D" w:rsidP="00F63B69">
      <w:pPr>
        <w:pStyle w:val="FootnoteText"/>
      </w:pPr>
      <w:r>
        <w:rPr>
          <w:rStyle w:val="FootnoteReference"/>
        </w:rPr>
        <w:footnoteRef/>
      </w:r>
      <w:r>
        <w:t xml:space="preserve"> </w:t>
      </w:r>
      <w:r w:rsidRPr="00E34EBD">
        <w:t>Document No. 04735</w:t>
      </w:r>
      <w:r>
        <w:t>-2019,</w:t>
      </w:r>
      <w:r w:rsidRPr="00E34EBD">
        <w:t xml:space="preserve"> Direct Testimony of Russell Melendy, pp. 2 </w:t>
      </w:r>
      <w:r>
        <w:t>–</w:t>
      </w:r>
      <w:r w:rsidRPr="00E34EBD">
        <w:t xml:space="preserve"> </w:t>
      </w:r>
      <w:r>
        <w:t>4.</w:t>
      </w:r>
    </w:p>
  </w:footnote>
  <w:footnote w:id="9">
    <w:p w:rsidR="000B5A4D" w:rsidRDefault="000B5A4D" w:rsidP="00F63B69">
      <w:pPr>
        <w:pStyle w:val="FootnoteText"/>
      </w:pPr>
      <w:r>
        <w:rPr>
          <w:rStyle w:val="FootnoteReference"/>
        </w:rPr>
        <w:footnoteRef/>
      </w:r>
      <w:r>
        <w:t xml:space="preserve"> </w:t>
      </w:r>
      <w:r w:rsidRPr="00D5623F">
        <w:t>Document No. 10721-2019,</w:t>
      </w:r>
      <w:r>
        <w:t xml:space="preserve"> Sebring’s Responses to Staff’s Twelfth Data Request, </w:t>
      </w:r>
      <w:r w:rsidRPr="00D5623F">
        <w:t>p. 2</w:t>
      </w:r>
      <w:r>
        <w:t>.</w:t>
      </w:r>
    </w:p>
  </w:footnote>
  <w:footnote w:id="10">
    <w:p w:rsidR="000B5A4D" w:rsidRDefault="000B5A4D" w:rsidP="00F63B69">
      <w:pPr>
        <w:pStyle w:val="FootnoteText"/>
      </w:pPr>
      <w:r>
        <w:rPr>
          <w:rStyle w:val="FootnoteReference"/>
        </w:rPr>
        <w:footnoteRef/>
      </w:r>
      <w:r>
        <w:t xml:space="preserve"> </w:t>
      </w:r>
      <w:r w:rsidRPr="00D5623F">
        <w:t>Document No. 04735</w:t>
      </w:r>
      <w:r>
        <w:t>-2019</w:t>
      </w:r>
      <w:r w:rsidRPr="00D5623F">
        <w:t>,</w:t>
      </w:r>
      <w:r>
        <w:t xml:space="preserve"> Direct Testimony of Russell Melendy,</w:t>
      </w:r>
      <w:r w:rsidRPr="00D5623F">
        <w:t xml:space="preserve"> p. 5</w:t>
      </w:r>
      <w:r>
        <w:t>.</w:t>
      </w:r>
    </w:p>
  </w:footnote>
  <w:footnote w:id="11">
    <w:p w:rsidR="000B5A4D" w:rsidRDefault="000B5A4D" w:rsidP="00F63B69">
      <w:pPr>
        <w:pStyle w:val="FootnoteText"/>
      </w:pPr>
      <w:r>
        <w:rPr>
          <w:rStyle w:val="FootnoteReference"/>
        </w:rPr>
        <w:footnoteRef/>
      </w:r>
      <w:r>
        <w:t xml:space="preserve"> </w:t>
      </w:r>
      <w:r w:rsidRPr="002B22C8">
        <w:rPr>
          <w:i/>
        </w:rPr>
        <w:t>Id.</w:t>
      </w:r>
    </w:p>
  </w:footnote>
  <w:footnote w:id="12">
    <w:p w:rsidR="000B5A4D" w:rsidRDefault="000B5A4D" w:rsidP="00F63B69">
      <w:pPr>
        <w:pStyle w:val="FootnoteText"/>
      </w:pPr>
      <w:r>
        <w:rPr>
          <w:rStyle w:val="FootnoteReference"/>
        </w:rPr>
        <w:footnoteRef/>
      </w:r>
      <w:r>
        <w:t xml:space="preserve"> </w:t>
      </w:r>
      <w:r w:rsidRPr="002B22C8">
        <w:rPr>
          <w:i/>
        </w:rPr>
        <w:t>Id.</w:t>
      </w:r>
      <w:r w:rsidRPr="00D5623F">
        <w:t>, pp. 3 and 5</w:t>
      </w:r>
      <w:r>
        <w:t>.</w:t>
      </w:r>
    </w:p>
  </w:footnote>
  <w:footnote w:id="13">
    <w:p w:rsidR="000B5A4D" w:rsidRDefault="000B5A4D" w:rsidP="00F63B69">
      <w:pPr>
        <w:pStyle w:val="FootnoteText"/>
      </w:pPr>
      <w:r>
        <w:rPr>
          <w:rStyle w:val="FootnoteReference"/>
        </w:rPr>
        <w:footnoteRef/>
      </w:r>
      <w:r>
        <w:t xml:space="preserve"> </w:t>
      </w:r>
      <w:r w:rsidRPr="00D5623F">
        <w:t>Document No. 10721-2019,</w:t>
      </w:r>
      <w:r>
        <w:t xml:space="preserve"> Sebring’s Responses to Staff’s Twelfth Data Request,</w:t>
      </w:r>
      <w:r w:rsidRPr="00D5623F">
        <w:t xml:space="preserve"> pp. 2 </w:t>
      </w:r>
      <w:r>
        <w:t>–</w:t>
      </w:r>
      <w:r w:rsidRPr="00D5623F">
        <w:t xml:space="preserve"> 3</w:t>
      </w:r>
      <w:r>
        <w:t>.</w:t>
      </w:r>
    </w:p>
  </w:footnote>
  <w:footnote w:id="14">
    <w:p w:rsidR="000B5A4D" w:rsidRDefault="000B5A4D" w:rsidP="00F63B69">
      <w:pPr>
        <w:pStyle w:val="FootnoteText"/>
      </w:pPr>
      <w:r>
        <w:rPr>
          <w:rStyle w:val="FootnoteReference"/>
        </w:rPr>
        <w:footnoteRef/>
      </w:r>
      <w:r>
        <w:t xml:space="preserve"> </w:t>
      </w:r>
      <w:r w:rsidRPr="002B22C8">
        <w:rPr>
          <w:i/>
        </w:rPr>
        <w:t>Id.</w:t>
      </w:r>
      <w:r>
        <w:t>,</w:t>
      </w:r>
      <w:r w:rsidRPr="00D5623F">
        <w:t xml:space="preserve"> p.</w:t>
      </w:r>
      <w:r>
        <w:t xml:space="preserve"> </w:t>
      </w:r>
      <w:r w:rsidRPr="00D5623F">
        <w:t>3 and Document No. 08680</w:t>
      </w:r>
      <w:r>
        <w:t>-2019, Sebring’s Responses to Staff’s Sixth Data Request.</w:t>
      </w:r>
    </w:p>
  </w:footnote>
  <w:footnote w:id="15">
    <w:p w:rsidR="000B5A4D" w:rsidRDefault="000B5A4D" w:rsidP="00F63B69">
      <w:pPr>
        <w:pStyle w:val="FootnoteText"/>
      </w:pPr>
      <w:r>
        <w:rPr>
          <w:rStyle w:val="FootnoteReference"/>
        </w:rPr>
        <w:footnoteRef/>
      </w:r>
      <w:r>
        <w:t xml:space="preserve"> Document No. 07608-2019, Sebring’s Response to Staff’s Fourth Data Request, pp. 1</w:t>
      </w:r>
      <w:r w:rsidRPr="00E34EBD">
        <w:t xml:space="preserve"> </w:t>
      </w:r>
      <w:r>
        <w:t>–</w:t>
      </w:r>
      <w:r w:rsidRPr="00E34EBD">
        <w:t xml:space="preserve"> </w:t>
      </w:r>
      <w:r w:rsidRPr="00D34F28">
        <w:t>3</w:t>
      </w:r>
      <w:r>
        <w:t>.</w:t>
      </w:r>
    </w:p>
  </w:footnote>
  <w:footnote w:id="16">
    <w:p w:rsidR="000B5A4D" w:rsidRDefault="000B5A4D" w:rsidP="00F63B69">
      <w:pPr>
        <w:pStyle w:val="FootnoteText"/>
      </w:pPr>
      <w:r>
        <w:rPr>
          <w:rStyle w:val="FootnoteReference"/>
        </w:rPr>
        <w:footnoteRef/>
      </w:r>
      <w:r>
        <w:t xml:space="preserve"> </w:t>
      </w:r>
      <w:r w:rsidRPr="002B22C8">
        <w:rPr>
          <w:i/>
        </w:rPr>
        <w:t>Id.</w:t>
      </w:r>
    </w:p>
  </w:footnote>
  <w:footnote w:id="17">
    <w:p w:rsidR="000B5A4D" w:rsidRDefault="000B5A4D" w:rsidP="00F63B69">
      <w:pPr>
        <w:pStyle w:val="FootnoteText"/>
      </w:pPr>
      <w:r>
        <w:rPr>
          <w:rStyle w:val="FootnoteReference"/>
        </w:rPr>
        <w:footnoteRef/>
      </w:r>
      <w:r>
        <w:t xml:space="preserve"> </w:t>
      </w:r>
      <w:r w:rsidRPr="00144280">
        <w:rPr>
          <w:i/>
        </w:rPr>
        <w:t>Id.</w:t>
      </w:r>
      <w:r w:rsidRPr="00D34F28">
        <w:t>, pp. 2</w:t>
      </w:r>
      <w:r w:rsidRPr="00E34EBD">
        <w:t xml:space="preserve"> </w:t>
      </w:r>
      <w:r>
        <w:t>–</w:t>
      </w:r>
      <w:r w:rsidRPr="00E34EBD">
        <w:t xml:space="preserve"> </w:t>
      </w:r>
      <w:r w:rsidRPr="00D34F28">
        <w:t>3</w:t>
      </w:r>
      <w:r>
        <w:t>.</w:t>
      </w:r>
    </w:p>
  </w:footnote>
  <w:footnote w:id="18">
    <w:p w:rsidR="000B5A4D" w:rsidRPr="006D4B4B" w:rsidRDefault="000B5A4D" w:rsidP="00F63B69">
      <w:pPr>
        <w:pStyle w:val="FootnoteText"/>
      </w:pPr>
      <w:r>
        <w:rPr>
          <w:rStyle w:val="FootnoteReference"/>
        </w:rPr>
        <w:footnoteRef/>
      </w:r>
      <w:r>
        <w:t xml:space="preserve"> Order Nos. </w:t>
      </w:r>
      <w:r w:rsidRPr="00D9643A">
        <w:t>PSC-13-0367-PAA-GU</w:t>
      </w:r>
      <w:r>
        <w:t xml:space="preserve">, issued August 8, 2013, in Docket No. 20130079-GU, </w:t>
      </w:r>
      <w:r w:rsidRPr="007A0806">
        <w:rPr>
          <w:i/>
        </w:rPr>
        <w:t>In re: Petition for approval of special contract with the Florida Department of Corrections, by Sebring Gas System, Inc.</w:t>
      </w:r>
      <w:r>
        <w:t xml:space="preserve"> and </w:t>
      </w:r>
      <w:r w:rsidRPr="00D9643A">
        <w:t>PSC-13-0366-PAA-GU</w:t>
      </w:r>
      <w:r>
        <w:t xml:space="preserve">, issued August 8, 2013, in Docket No. 20130130-GU, </w:t>
      </w:r>
      <w:r w:rsidRPr="007A0806">
        <w:rPr>
          <w:i/>
        </w:rPr>
        <w:t>In re: Petition for approval of special contract with the Florida Department of Corrections – DeSoto Correctional Institution, by Sebring Gas System, Inc.</w:t>
      </w:r>
    </w:p>
  </w:footnote>
  <w:footnote w:id="19">
    <w:p w:rsidR="000B5A4D" w:rsidRDefault="000B5A4D" w:rsidP="00F63B69">
      <w:pPr>
        <w:pStyle w:val="FootnoteText"/>
      </w:pPr>
      <w:r>
        <w:rPr>
          <w:rStyle w:val="FootnoteReference"/>
        </w:rPr>
        <w:footnoteRef/>
      </w:r>
      <w:r>
        <w:t xml:space="preserve"> Sebring’s initial filing included main costs associated with a third expansion project of its existing system. </w:t>
      </w:r>
      <w:r w:rsidRPr="00F51A73">
        <w:t xml:space="preserve">In a subsequent filing, the </w:t>
      </w:r>
      <w:r>
        <w:t>Company</w:t>
      </w:r>
      <w:r w:rsidRPr="00F51A73">
        <w:t xml:space="preserve"> amended its request and removed main costs associated with </w:t>
      </w:r>
      <w:r>
        <w:t>this project</w:t>
      </w:r>
      <w:r w:rsidRPr="00F51A73">
        <w:t>.</w:t>
      </w:r>
      <w:r>
        <w:t xml:space="preserve"> </w:t>
      </w:r>
      <w:r w:rsidRPr="00F51A73">
        <w:t xml:space="preserve">  </w:t>
      </w:r>
    </w:p>
  </w:footnote>
  <w:footnote w:id="20">
    <w:p w:rsidR="000B5A4D" w:rsidRDefault="000B5A4D" w:rsidP="00F63B69">
      <w:pPr>
        <w:pStyle w:val="FootnoteText"/>
      </w:pPr>
      <w:r>
        <w:rPr>
          <w:rStyle w:val="FootnoteReference"/>
        </w:rPr>
        <w:footnoteRef/>
      </w:r>
      <w:r>
        <w:t xml:space="preserve"> Document No. 08680-2019, Sebring’s Responses to Staff’s Sixth Data Request.</w:t>
      </w:r>
    </w:p>
  </w:footnote>
  <w:footnote w:id="21">
    <w:p w:rsidR="000B5A4D" w:rsidRPr="006D4B4B" w:rsidRDefault="000B5A4D" w:rsidP="00F63B69">
      <w:pPr>
        <w:pStyle w:val="FootnoteText"/>
      </w:pPr>
      <w:r>
        <w:rPr>
          <w:rStyle w:val="FootnoteReference"/>
        </w:rPr>
        <w:footnoteRef/>
      </w:r>
      <w:r>
        <w:t xml:space="preserve"> Order Nos. PSC-93-1833-FOF-GU, issued December 27, 1993, in Docket No. 19930883-GU, </w:t>
      </w:r>
      <w:r w:rsidRPr="007A0806">
        <w:rPr>
          <w:i/>
        </w:rPr>
        <w:t>In re: Petition by Peoples Gas System, Inc. to include in rate base the calculated historic cost and cost of conversion of distribution assets</w:t>
      </w:r>
      <w:r>
        <w:t xml:space="preserve"> and</w:t>
      </w:r>
      <w:r w:rsidRPr="006D4B4B">
        <w:t xml:space="preserve"> PSC-09-0375-PAA-GU, issued May 27, 2009, in Docket No 20080366-GU, </w:t>
      </w:r>
      <w:r w:rsidRPr="007A0806">
        <w:rPr>
          <w:i/>
        </w:rPr>
        <w:t>In re: Petition for rate increase by Florida Public Utilities Company.</w:t>
      </w:r>
    </w:p>
  </w:footnote>
  <w:footnote w:id="22">
    <w:p w:rsidR="000B5A4D" w:rsidRPr="006D4B4B" w:rsidRDefault="000B5A4D" w:rsidP="00F63B69">
      <w:pPr>
        <w:pStyle w:val="FootnoteText"/>
      </w:pPr>
      <w:r w:rsidRPr="006D4B4B">
        <w:rPr>
          <w:rStyle w:val="FootnoteReference"/>
        </w:rPr>
        <w:footnoteRef/>
      </w:r>
      <w:r w:rsidRPr="006D4B4B">
        <w:t xml:space="preserve"> Order No. PSC-10-0029-PAA-GU, issued January 14, 2010, in Docket No. 20090125-GU, </w:t>
      </w:r>
      <w:r w:rsidRPr="007A0806">
        <w:rPr>
          <w:i/>
        </w:rPr>
        <w:t>In re: Petition for increase in rates by Florida Division of Chesapeake Utilities Corporation.</w:t>
      </w:r>
    </w:p>
  </w:footnote>
  <w:footnote w:id="23">
    <w:p w:rsidR="000B5A4D" w:rsidRDefault="000B5A4D" w:rsidP="00F63B69">
      <w:pPr>
        <w:pStyle w:val="FootnoteText"/>
      </w:pPr>
      <w:r>
        <w:rPr>
          <w:rStyle w:val="FootnoteReference"/>
        </w:rPr>
        <w:footnoteRef/>
      </w:r>
      <w:r>
        <w:t xml:space="preserve"> Document No. 08568-2019, Sebring’s Responses to Staff’s Fifth Data Request.</w:t>
      </w:r>
    </w:p>
  </w:footnote>
  <w:footnote w:id="24">
    <w:p w:rsidR="000B5A4D" w:rsidRDefault="000B5A4D" w:rsidP="00F63B69">
      <w:pPr>
        <w:pStyle w:val="FootnoteText"/>
      </w:pPr>
      <w:r>
        <w:rPr>
          <w:rStyle w:val="FootnoteReference"/>
        </w:rPr>
        <w:footnoteRef/>
      </w:r>
      <w:r>
        <w:t xml:space="preserve"> </w:t>
      </w:r>
      <w:r w:rsidRPr="009D553F">
        <w:rPr>
          <w:i/>
        </w:rPr>
        <w:t>Id.</w:t>
      </w:r>
    </w:p>
  </w:footnote>
  <w:footnote w:id="25">
    <w:p w:rsidR="000B5A4D" w:rsidRDefault="000B5A4D" w:rsidP="00F63B69">
      <w:pPr>
        <w:pStyle w:val="FootnoteText"/>
      </w:pPr>
      <w:r>
        <w:rPr>
          <w:rStyle w:val="FootnoteReference"/>
        </w:rPr>
        <w:footnoteRef/>
      </w:r>
      <w:r>
        <w:t xml:space="preserve"> Document No. 04736-2019, Direct Testimony of Bruce Christmas.</w:t>
      </w:r>
    </w:p>
  </w:footnote>
  <w:footnote w:id="26">
    <w:p w:rsidR="000B5A4D" w:rsidRDefault="000B5A4D" w:rsidP="00F63B69">
      <w:pPr>
        <w:pStyle w:val="FootnoteText"/>
      </w:pPr>
      <w:r>
        <w:rPr>
          <w:rStyle w:val="FootnoteReference"/>
        </w:rPr>
        <w:footnoteRef/>
      </w:r>
      <w:r>
        <w:t xml:space="preserve"> </w:t>
      </w:r>
      <w:r w:rsidRPr="00F44764">
        <w:t>Document No. 10856-2019</w:t>
      </w:r>
      <w:r>
        <w:t>, Revised MFR Schedule G-1, p. 10.</w:t>
      </w:r>
    </w:p>
  </w:footnote>
  <w:footnote w:id="27">
    <w:p w:rsidR="000B5A4D" w:rsidRDefault="000B5A4D" w:rsidP="00F63B69">
      <w:pPr>
        <w:pStyle w:val="FootnoteText"/>
      </w:pPr>
      <w:r>
        <w:rPr>
          <w:rStyle w:val="FootnoteReference"/>
        </w:rPr>
        <w:footnoteRef/>
      </w:r>
      <w:r>
        <w:t xml:space="preserve"> </w:t>
      </w:r>
      <w:r w:rsidRPr="00F44764">
        <w:t xml:space="preserve">Code of Federal Regulations, Title 18, Chapter I, Subchapter F, Part 201- Uniform System of Accounts </w:t>
      </w:r>
      <w:r>
        <w:t>P</w:t>
      </w:r>
      <w:r w:rsidRPr="00F44764">
        <w:t xml:space="preserve">rescribed for Natural </w:t>
      </w:r>
      <w:r>
        <w:t>G</w:t>
      </w:r>
      <w:r w:rsidRPr="00F44764">
        <w:t xml:space="preserve">as </w:t>
      </w:r>
      <w:r>
        <w:t>C</w:t>
      </w:r>
      <w:r w:rsidRPr="00F44764">
        <w:t xml:space="preserve">ompanies </w:t>
      </w:r>
      <w:r>
        <w:t>S</w:t>
      </w:r>
      <w:r w:rsidRPr="00F44764">
        <w:t xml:space="preserve">ubject to the </w:t>
      </w:r>
      <w:r>
        <w:t>P</w:t>
      </w:r>
      <w:r w:rsidRPr="00F44764">
        <w:t>rovisions of the Natural Gas Act for further information regarding standardized accounting protocol and numeration</w:t>
      </w:r>
      <w:r>
        <w:t>.</w:t>
      </w:r>
    </w:p>
  </w:footnote>
  <w:footnote w:id="28">
    <w:p w:rsidR="000B5A4D" w:rsidRDefault="000B5A4D" w:rsidP="00F63B69">
      <w:pPr>
        <w:pStyle w:val="FootnoteText"/>
      </w:pPr>
      <w:r>
        <w:rPr>
          <w:rStyle w:val="FootnoteReference"/>
        </w:rPr>
        <w:footnoteRef/>
      </w:r>
      <w:r>
        <w:t xml:space="preserve"> </w:t>
      </w:r>
      <w:r w:rsidRPr="00F44764">
        <w:t>Document No. 08949-2019</w:t>
      </w:r>
      <w:r>
        <w:t>, Staff’s Audit Report.</w:t>
      </w:r>
    </w:p>
  </w:footnote>
  <w:footnote w:id="29">
    <w:p w:rsidR="000B5A4D" w:rsidRDefault="000B5A4D" w:rsidP="0098478B">
      <w:pPr>
        <w:pStyle w:val="FootnoteText"/>
      </w:pPr>
      <w:r>
        <w:rPr>
          <w:rStyle w:val="FootnoteReference"/>
        </w:rPr>
        <w:footnoteRef/>
      </w:r>
      <w:r>
        <w:t xml:space="preserve"> </w:t>
      </w:r>
      <w:r w:rsidRPr="00A21216">
        <w:t>Document No. 10856-2019</w:t>
      </w:r>
      <w:r>
        <w:t>, Revised MFR Schedules G.</w:t>
      </w:r>
    </w:p>
  </w:footnote>
  <w:footnote w:id="30">
    <w:p w:rsidR="000B5A4D" w:rsidRDefault="000B5A4D" w:rsidP="0098478B">
      <w:pPr>
        <w:pStyle w:val="FootnoteText"/>
      </w:pPr>
      <w:r>
        <w:rPr>
          <w:rStyle w:val="FootnoteReference"/>
        </w:rPr>
        <w:footnoteRef/>
      </w:r>
      <w:r>
        <w:t xml:space="preserve"> </w:t>
      </w:r>
      <w:r w:rsidRPr="00A21216">
        <w:t>Document No. 08949-2019</w:t>
      </w:r>
      <w:r>
        <w:t xml:space="preserve">, </w:t>
      </w:r>
      <w:r w:rsidRPr="00A21216">
        <w:t>Staff’s Audit Report</w:t>
      </w:r>
      <w:r>
        <w:t>.</w:t>
      </w:r>
    </w:p>
  </w:footnote>
  <w:footnote w:id="31">
    <w:p w:rsidR="000B5A4D" w:rsidRDefault="000B5A4D" w:rsidP="0098478B">
      <w:pPr>
        <w:pStyle w:val="FootnoteText"/>
      </w:pPr>
      <w:r>
        <w:rPr>
          <w:rStyle w:val="FootnoteReference"/>
        </w:rPr>
        <w:footnoteRef/>
      </w:r>
      <w:r>
        <w:t xml:space="preserve"> </w:t>
      </w:r>
      <w:r w:rsidRPr="00F44764">
        <w:t>Document No. 10856-2019</w:t>
      </w:r>
      <w:r>
        <w:t>, Revised MFR Schedule G-1, pp. 2 – 3.</w:t>
      </w:r>
    </w:p>
  </w:footnote>
  <w:footnote w:id="32">
    <w:p w:rsidR="000B5A4D" w:rsidRDefault="000B5A4D" w:rsidP="0098478B">
      <w:pPr>
        <w:pStyle w:val="FootnoteText"/>
      </w:pPr>
      <w:r>
        <w:rPr>
          <w:rStyle w:val="FootnoteReference"/>
        </w:rPr>
        <w:footnoteRef/>
      </w:r>
      <w:r>
        <w:t xml:space="preserve"> </w:t>
      </w:r>
      <w:r w:rsidRPr="00F44764">
        <w:t>Document No. 10856-2019</w:t>
      </w:r>
      <w:r>
        <w:t>, Revised MFR Schedule G-1, p. 1.</w:t>
      </w:r>
    </w:p>
  </w:footnote>
  <w:footnote w:id="33">
    <w:p w:rsidR="000B5A4D" w:rsidRDefault="000B5A4D" w:rsidP="00765DDA">
      <w:pPr>
        <w:pStyle w:val="FootnoteText"/>
      </w:pPr>
      <w:r>
        <w:rPr>
          <w:rStyle w:val="FootnoteReference"/>
        </w:rPr>
        <w:footnoteRef/>
      </w:r>
      <w:r>
        <w:t xml:space="preserve"> Document No. 11449-2019, </w:t>
      </w:r>
      <w:r w:rsidRPr="000F7A56">
        <w:t>Staff Audit ACN 2019-170-1-1, Work Paper</w:t>
      </w:r>
      <w:r>
        <w:t>s</w:t>
      </w:r>
      <w:r w:rsidRPr="000F7A56">
        <w:t xml:space="preserve"> 33-3</w:t>
      </w:r>
      <w:r>
        <w:t xml:space="preserve"> </w:t>
      </w:r>
      <w:r w:rsidRPr="000F7A56">
        <w:t>to 33-3.6</w:t>
      </w:r>
      <w:r>
        <w:t>.</w:t>
      </w:r>
    </w:p>
  </w:footnote>
  <w:footnote w:id="34">
    <w:p w:rsidR="000B5A4D" w:rsidRDefault="000B5A4D" w:rsidP="00765DDA">
      <w:pPr>
        <w:pStyle w:val="FootnoteText"/>
      </w:pPr>
      <w:r>
        <w:rPr>
          <w:rStyle w:val="FootnoteReference"/>
        </w:rPr>
        <w:footnoteRef/>
      </w:r>
      <w:r>
        <w:t xml:space="preserve"> </w:t>
      </w:r>
      <w:r w:rsidRPr="00F514DA">
        <w:t>Document No. 11449-2019, Staff Audit ACN 2019-170-1-1, Work Paper</w:t>
      </w:r>
      <w:r>
        <w:t>s</w:t>
      </w:r>
      <w:r w:rsidRPr="00F514DA">
        <w:t xml:space="preserve"> 33-3 to 33-3.6</w:t>
      </w:r>
      <w:r>
        <w:t>.</w:t>
      </w:r>
    </w:p>
  </w:footnote>
  <w:footnote w:id="35">
    <w:p w:rsidR="000B5A4D" w:rsidRDefault="000B5A4D" w:rsidP="00765DDA">
      <w:pPr>
        <w:pStyle w:val="FootnoteText"/>
      </w:pPr>
      <w:r>
        <w:rPr>
          <w:rStyle w:val="FootnoteReference"/>
        </w:rPr>
        <w:footnoteRef/>
      </w:r>
      <w:r>
        <w:t xml:space="preserve"> </w:t>
      </w:r>
      <w:r w:rsidRPr="005E2C9A">
        <w:t>Section 220.1105, F</w:t>
      </w:r>
      <w:r>
        <w:t>.</w:t>
      </w:r>
      <w:r w:rsidRPr="005E2C9A">
        <w:t>S</w:t>
      </w:r>
      <w:r>
        <w:t>.</w:t>
      </w:r>
    </w:p>
  </w:footnote>
  <w:footnote w:id="36">
    <w:p w:rsidR="000B5A4D" w:rsidRDefault="000B5A4D" w:rsidP="00765DDA">
      <w:pPr>
        <w:pStyle w:val="FootnoteText"/>
      </w:pPr>
      <w:r>
        <w:rPr>
          <w:rStyle w:val="FootnoteReference"/>
        </w:rPr>
        <w:footnoteRef/>
      </w:r>
      <w:r>
        <w:t xml:space="preserve"> </w:t>
      </w:r>
      <w:r w:rsidRPr="005E2C9A">
        <w:t>I</w:t>
      </w:r>
      <w:r>
        <w:t>nternal Revenue Service Code Section</w:t>
      </w:r>
      <w:r w:rsidR="00F0624B">
        <w:t>s</w:t>
      </w:r>
      <w:r>
        <w:t xml:space="preserve"> </w:t>
      </w:r>
      <w:r w:rsidR="00F0624B">
        <w:t xml:space="preserve">1.168(k)-2 and </w:t>
      </w:r>
      <w:r w:rsidRPr="005E2C9A">
        <w:t>163(j)(7)(A)(iv)</w:t>
      </w:r>
      <w:r>
        <w:t>.</w:t>
      </w:r>
    </w:p>
  </w:footnote>
  <w:footnote w:id="37">
    <w:p w:rsidR="000B5A4D" w:rsidRDefault="000B5A4D" w:rsidP="00765DDA">
      <w:pPr>
        <w:pStyle w:val="FootnoteText"/>
      </w:pPr>
      <w:r>
        <w:rPr>
          <w:rStyle w:val="FootnoteReference"/>
        </w:rPr>
        <w:footnoteRef/>
      </w:r>
      <w:r>
        <w:t xml:space="preserve"> Document No. 08680-2019, Sebring’s Response to Staff’s Sixth Data Request.</w:t>
      </w:r>
    </w:p>
  </w:footnote>
  <w:footnote w:id="38">
    <w:p w:rsidR="000B5A4D" w:rsidRDefault="000B5A4D" w:rsidP="00765DDA">
      <w:pPr>
        <w:pStyle w:val="FootnoteText"/>
      </w:pPr>
      <w:r>
        <w:rPr>
          <w:rStyle w:val="FootnoteReference"/>
        </w:rPr>
        <w:footnoteRef/>
      </w:r>
      <w:r>
        <w:t xml:space="preserve"> Document No. 04735-2019, Direct Testimony of Jerry Melendy, p. 24.</w:t>
      </w:r>
    </w:p>
  </w:footnote>
  <w:footnote w:id="39">
    <w:p w:rsidR="000B5A4D" w:rsidRDefault="000B5A4D" w:rsidP="00765DDA">
      <w:pPr>
        <w:pStyle w:val="FootnoteText"/>
      </w:pPr>
      <w:r>
        <w:rPr>
          <w:rStyle w:val="FootnoteReference"/>
        </w:rPr>
        <w:footnoteRef/>
      </w:r>
      <w:r>
        <w:t xml:space="preserve"> </w:t>
      </w:r>
      <w:r w:rsidRPr="0057799A">
        <w:t xml:space="preserve">Document No. 06177-2019, </w:t>
      </w:r>
      <w:r>
        <w:t>Sebring’s Responses to Staff’s Second Data Request.</w:t>
      </w:r>
    </w:p>
  </w:footnote>
  <w:footnote w:id="40">
    <w:p w:rsidR="000B5A4D" w:rsidRDefault="000B5A4D" w:rsidP="00765DDA">
      <w:pPr>
        <w:pStyle w:val="FootnoteText"/>
      </w:pPr>
      <w:r>
        <w:rPr>
          <w:rStyle w:val="FootnoteReference"/>
        </w:rPr>
        <w:footnoteRef/>
      </w:r>
      <w:r>
        <w:t xml:space="preserve"> Document No. 09458-2019, Sebring’s Redacted Responses to Staff’s Tenth Data Request.</w:t>
      </w:r>
    </w:p>
  </w:footnote>
  <w:footnote w:id="41">
    <w:p w:rsidR="000B5A4D" w:rsidRDefault="000B5A4D" w:rsidP="00765DDA">
      <w:pPr>
        <w:pStyle w:val="FootnoteText"/>
      </w:pPr>
      <w:r>
        <w:rPr>
          <w:rStyle w:val="FootnoteReference"/>
        </w:rPr>
        <w:footnoteRef/>
      </w:r>
      <w:r>
        <w:t xml:space="preserve"> In the event</w:t>
      </w:r>
      <w:r w:rsidRPr="004E61E4">
        <w:t xml:space="preserve"> total charges exceed $50,000, the Company and the law firm would engage in discussions to determine what changes, if any, would be appropriate.</w:t>
      </w:r>
    </w:p>
  </w:footnote>
  <w:footnote w:id="42">
    <w:p w:rsidR="000B5A4D" w:rsidRDefault="000B5A4D" w:rsidP="00765DDA">
      <w:pPr>
        <w:pStyle w:val="FootnoteText"/>
      </w:pPr>
      <w:r>
        <w:rPr>
          <w:rStyle w:val="FootnoteReference"/>
        </w:rPr>
        <w:footnoteRef/>
      </w:r>
      <w:r>
        <w:t xml:space="preserve"> Order Nos. PSC-</w:t>
      </w:r>
      <w:r w:rsidRPr="00642B22">
        <w:t>04-1260-PAA-GU, issued De</w:t>
      </w:r>
      <w:r>
        <w:t xml:space="preserve">cember 20, 2004, in Docket No. </w:t>
      </w:r>
      <w:r w:rsidRPr="00642B22">
        <w:t xml:space="preserve">040270-GU, </w:t>
      </w:r>
      <w:r w:rsidRPr="00113C9D">
        <w:rPr>
          <w:i/>
        </w:rPr>
        <w:t>In re: Application for rate increase by Sebring Gas System, Inc.</w:t>
      </w:r>
      <w:r w:rsidRPr="00642B22">
        <w:t xml:space="preserve"> and PSC-04-0565-PAA-GU, issued June 2, 2004, in Docket No. 20030954-GU, </w:t>
      </w:r>
      <w:r w:rsidRPr="00113C9D">
        <w:rPr>
          <w:i/>
        </w:rPr>
        <w:t>In re: Petition for rate increase by Indiantown Gas Company.</w:t>
      </w:r>
    </w:p>
  </w:footnote>
  <w:footnote w:id="43">
    <w:p w:rsidR="000B5A4D" w:rsidRDefault="000B5A4D" w:rsidP="00D053C4">
      <w:pPr>
        <w:pStyle w:val="FootnoteText"/>
      </w:pPr>
      <w:r>
        <w:rPr>
          <w:rStyle w:val="FootnoteReference"/>
        </w:rPr>
        <w:footnoteRef/>
      </w:r>
      <w:r>
        <w:t xml:space="preserve"> </w:t>
      </w:r>
      <w:r w:rsidRPr="00555042">
        <w:t>Document No. 10856-2019</w:t>
      </w:r>
      <w:r>
        <w:t>, Revised MFR Schedule G-2, p. 23.</w:t>
      </w:r>
    </w:p>
  </w:footnote>
  <w:footnote w:id="44">
    <w:p w:rsidR="000B5A4D" w:rsidRDefault="000B5A4D" w:rsidP="00D053C4">
      <w:pPr>
        <w:pStyle w:val="FootnoteText"/>
      </w:pPr>
      <w:r>
        <w:rPr>
          <w:rStyle w:val="FootnoteReference"/>
        </w:rPr>
        <w:footnoteRef/>
      </w:r>
      <w:r>
        <w:t xml:space="preserve"> </w:t>
      </w:r>
      <w:r w:rsidRPr="00555042">
        <w:t>Document No. 08949-2019</w:t>
      </w:r>
      <w:r>
        <w:t>, Staff’s Audit Report.</w:t>
      </w:r>
    </w:p>
  </w:footnote>
  <w:footnote w:id="45">
    <w:p w:rsidR="000B5A4D" w:rsidRDefault="000B5A4D" w:rsidP="00D053C4">
      <w:pPr>
        <w:pStyle w:val="FootnoteText"/>
      </w:pPr>
      <w:r>
        <w:rPr>
          <w:rStyle w:val="FootnoteReference"/>
        </w:rPr>
        <w:footnoteRef/>
      </w:r>
      <w:r>
        <w:t xml:space="preserve"> </w:t>
      </w:r>
      <w:r w:rsidRPr="00555042">
        <w:t xml:space="preserve">Order No. PSC-16-0574-PAA-GU, issued December 19, 2016, in Docket No. </w:t>
      </w:r>
      <w:r>
        <w:t>20</w:t>
      </w:r>
      <w:r w:rsidRPr="00555042">
        <w:t xml:space="preserve">160174-GU, </w:t>
      </w:r>
      <w:r w:rsidRPr="00F45EB3">
        <w:rPr>
          <w:i/>
        </w:rPr>
        <w:t>In re: Request for approval of 2016 depreciation study by Sebring Gas System, Inc.</w:t>
      </w:r>
    </w:p>
  </w:footnote>
  <w:footnote w:id="46">
    <w:p w:rsidR="000B5A4D" w:rsidRDefault="000B5A4D" w:rsidP="00D053C4">
      <w:pPr>
        <w:pStyle w:val="FootnoteText"/>
      </w:pPr>
      <w:r>
        <w:rPr>
          <w:rStyle w:val="FootnoteReference"/>
        </w:rPr>
        <w:footnoteRef/>
      </w:r>
      <w:r>
        <w:t xml:space="preserve"> </w:t>
      </w:r>
      <w:r w:rsidRPr="00152807">
        <w:t xml:space="preserve">Document No. 11050-2019, </w:t>
      </w:r>
      <w:r>
        <w:t>Sebring’s Responses to Staff’s Fourteenth Data Request.</w:t>
      </w:r>
    </w:p>
  </w:footnote>
  <w:footnote w:id="47">
    <w:p w:rsidR="000B5A4D" w:rsidRDefault="000B5A4D" w:rsidP="008B43F2">
      <w:pPr>
        <w:pStyle w:val="FootnoteText"/>
      </w:pPr>
      <w:r>
        <w:rPr>
          <w:rStyle w:val="FootnoteReference"/>
        </w:rPr>
        <w:footnoteRef/>
      </w:r>
      <w:r>
        <w:t xml:space="preserve"> </w:t>
      </w:r>
      <w:r w:rsidRPr="00CA3B6F">
        <w:t>D</w:t>
      </w:r>
      <w:r>
        <w:t xml:space="preserve">ocument </w:t>
      </w:r>
      <w:r w:rsidRPr="00CA3B6F">
        <w:t>N</w:t>
      </w:r>
      <w:r>
        <w:t>o.</w:t>
      </w:r>
      <w:r w:rsidRPr="00CA3B6F">
        <w:t xml:space="preserve"> 11050-2019</w:t>
      </w:r>
      <w:r>
        <w:t xml:space="preserve">, Revised </w:t>
      </w:r>
      <w:r w:rsidRPr="00CA3B6F">
        <w:t>MFR Schedule H-3, p</w:t>
      </w:r>
      <w:r>
        <w:t>.</w:t>
      </w:r>
      <w:r w:rsidRPr="00CA3B6F">
        <w:t xml:space="preserve"> 5</w:t>
      </w:r>
      <w:r>
        <w:t>.</w:t>
      </w:r>
    </w:p>
  </w:footnote>
  <w:footnote w:id="48">
    <w:p w:rsidR="000B5A4D" w:rsidRDefault="000B5A4D" w:rsidP="008B43F2">
      <w:pPr>
        <w:pStyle w:val="FootnoteText"/>
      </w:pPr>
      <w:r>
        <w:rPr>
          <w:rStyle w:val="FootnoteReference"/>
        </w:rPr>
        <w:footnoteRef/>
      </w:r>
      <w:r>
        <w:t xml:space="preserve"> $1,434,672 = $1,171,865 (Section 3) + $262,805 (Section 8.B.) (may not sum due to rounding).</w:t>
      </w:r>
    </w:p>
  </w:footnote>
  <w:footnote w:id="49">
    <w:p w:rsidR="000B5A4D" w:rsidRDefault="000B5A4D" w:rsidP="008B43F2">
      <w:pPr>
        <w:pStyle w:val="FootnoteText"/>
      </w:pPr>
      <w:r>
        <w:rPr>
          <w:rStyle w:val="FootnoteReference"/>
        </w:rPr>
        <w:footnoteRef/>
      </w:r>
      <w:r>
        <w:t xml:space="preserve"> </w:t>
      </w:r>
      <w:r w:rsidRPr="00633D45">
        <w:t>D</w:t>
      </w:r>
      <w:r>
        <w:t xml:space="preserve">ocument </w:t>
      </w:r>
      <w:r w:rsidRPr="00633D45">
        <w:t>N</w:t>
      </w:r>
      <w:r>
        <w:t>o.</w:t>
      </w:r>
      <w:r w:rsidRPr="00633D45">
        <w:t xml:space="preserve"> 04736-2019</w:t>
      </w:r>
      <w:r>
        <w:t xml:space="preserve">, </w:t>
      </w:r>
      <w:r w:rsidRPr="00633D45">
        <w:t xml:space="preserve">Direct </w:t>
      </w:r>
      <w:r>
        <w:t>T</w:t>
      </w:r>
      <w:r w:rsidRPr="00633D45">
        <w:t>estimony of Bruce Christmas</w:t>
      </w:r>
      <w:r>
        <w:t>, pp. 18-20.</w:t>
      </w:r>
    </w:p>
  </w:footnote>
  <w:footnote w:id="50">
    <w:p w:rsidR="000B5A4D" w:rsidRDefault="000B5A4D" w:rsidP="008B43F2">
      <w:pPr>
        <w:pStyle w:val="FootnoteText"/>
      </w:pPr>
      <w:r>
        <w:rPr>
          <w:rStyle w:val="FootnoteReference"/>
        </w:rPr>
        <w:footnoteRef/>
      </w:r>
      <w:r>
        <w:t xml:space="preserve"> </w:t>
      </w:r>
      <w:r w:rsidRPr="00633D45">
        <w:t>D</w:t>
      </w:r>
      <w:r>
        <w:t xml:space="preserve">ocument </w:t>
      </w:r>
      <w:r w:rsidRPr="00633D45">
        <w:t>N</w:t>
      </w:r>
      <w:r>
        <w:t>o.</w:t>
      </w:r>
      <w:r w:rsidRPr="00633D45">
        <w:t xml:space="preserve"> 09451-2019</w:t>
      </w:r>
      <w:r>
        <w:t>, Sebring’s Responses to Staff’s Tenth Data Request.</w:t>
      </w:r>
    </w:p>
  </w:footnote>
  <w:footnote w:id="51">
    <w:p w:rsidR="000B5A4D" w:rsidRDefault="000B5A4D" w:rsidP="008B43F2">
      <w:pPr>
        <w:pStyle w:val="FootnoteText"/>
      </w:pPr>
      <w:r>
        <w:rPr>
          <w:rStyle w:val="FootnoteReference"/>
        </w:rPr>
        <w:footnoteRef/>
      </w:r>
      <w:r>
        <w:t xml:space="preserve"> Document No. </w:t>
      </w:r>
      <w:r w:rsidRPr="00633D45">
        <w:t>09001-2019</w:t>
      </w:r>
      <w:r>
        <w:t>, Sebring’s Responses to Staff’s Ninth Data Request, b</w:t>
      </w:r>
      <w:r w:rsidRPr="00633D45">
        <w:t>ased on actual monthly customer therm usage in the 2018 Historic Base Year</w:t>
      </w:r>
      <w:r>
        <w:t>.</w:t>
      </w:r>
    </w:p>
  </w:footnote>
  <w:footnote w:id="52">
    <w:p w:rsidR="000B5A4D" w:rsidRDefault="000B5A4D" w:rsidP="008B43F2">
      <w:pPr>
        <w:pStyle w:val="FootnoteText"/>
      </w:pPr>
      <w:r>
        <w:rPr>
          <w:rStyle w:val="FootnoteReference"/>
        </w:rPr>
        <w:footnoteRef/>
      </w:r>
      <w:r>
        <w:t xml:space="preserve"> Order No. PSC-</w:t>
      </w:r>
      <w:r w:rsidRPr="00633D45">
        <w:t>04-1260-PAA-GU, issued December 20, 2004</w:t>
      </w:r>
      <w:r>
        <w:t xml:space="preserve">, in </w:t>
      </w:r>
      <w:r w:rsidRPr="00633D45">
        <w:t xml:space="preserve">Docket No. 20040270-GU, </w:t>
      </w:r>
      <w:r w:rsidRPr="001651AB">
        <w:rPr>
          <w:i/>
        </w:rPr>
        <w:t>In re: Application for rate increase by Sebring Gas System, Inc.</w:t>
      </w:r>
    </w:p>
  </w:footnote>
  <w:footnote w:id="53">
    <w:p w:rsidR="000B5A4D" w:rsidRDefault="000B5A4D" w:rsidP="008B43F2">
      <w:pPr>
        <w:pStyle w:val="FootnoteText"/>
      </w:pPr>
      <w:r>
        <w:rPr>
          <w:rStyle w:val="FootnoteReference"/>
        </w:rPr>
        <w:footnoteRef/>
      </w:r>
      <w:r>
        <w:t xml:space="preserve"> Order No. PSC-</w:t>
      </w:r>
      <w:r w:rsidRPr="00633D45">
        <w:t>10-0029-PAA-GU, issued January 14, 2010</w:t>
      </w:r>
      <w:r>
        <w:t xml:space="preserve">, in </w:t>
      </w:r>
      <w:r w:rsidRPr="00633D45">
        <w:t xml:space="preserve">Docket No. 20090125-GU, </w:t>
      </w:r>
      <w:r w:rsidRPr="001651AB">
        <w:rPr>
          <w:i/>
        </w:rPr>
        <w:t>In re: Petition for increase in rates by Florida Division of Chesapeake Utilities Corporation</w:t>
      </w:r>
      <w:r>
        <w:t>.</w:t>
      </w:r>
    </w:p>
  </w:footnote>
  <w:footnote w:id="54">
    <w:p w:rsidR="000B5A4D" w:rsidRDefault="000B5A4D" w:rsidP="008B43F2">
      <w:pPr>
        <w:pStyle w:val="FootnoteText"/>
      </w:pPr>
      <w:r>
        <w:rPr>
          <w:rStyle w:val="FootnoteReference"/>
        </w:rPr>
        <w:footnoteRef/>
      </w:r>
      <w:r>
        <w:t xml:space="preserve"> Order No. PSC-</w:t>
      </w:r>
      <w:r w:rsidRPr="00633D45">
        <w:t>08-0436-PAA-GU, issued July 8, 2008</w:t>
      </w:r>
      <w:r>
        <w:t xml:space="preserve">, in </w:t>
      </w:r>
      <w:r w:rsidRPr="00633D45">
        <w:t xml:space="preserve">Docket No. 20070592-GU, </w:t>
      </w:r>
      <w:r w:rsidRPr="001651AB">
        <w:rPr>
          <w:i/>
        </w:rPr>
        <w:t>In re: Petition for rate increase by St. Joe Natural Gas Company,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pPr>
      <w:pStyle w:val="OrderHeader"/>
    </w:pPr>
    <w:r>
      <w:t xml:space="preserve">ORDER NO. </w:t>
    </w:r>
    <w:fldSimple w:instr=" REF OrderNo0047 ">
      <w:r w:rsidR="00AC7B8D">
        <w:t>PSC-2020-0047-PAA-GU</w:t>
      </w:r>
    </w:fldSimple>
  </w:p>
  <w:p w:rsidR="000B5A4D" w:rsidRDefault="000B5A4D">
    <w:pPr>
      <w:pStyle w:val="OrderHeader"/>
    </w:pPr>
    <w:bookmarkStart w:id="10" w:name="HeaderDocketNo"/>
    <w:bookmarkEnd w:id="10"/>
    <w:r>
      <w:t>DOCKET NO. 20190083-GU</w:t>
    </w:r>
  </w:p>
  <w:p w:rsidR="000B5A4D" w:rsidRDefault="000B5A4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7B8D">
      <w:rPr>
        <w:rStyle w:val="PageNumber"/>
        <w:noProof/>
      </w:rPr>
      <w:t>25</w:t>
    </w:r>
    <w:r>
      <w:rPr>
        <w:rStyle w:val="PageNumber"/>
      </w:rPr>
      <w:fldChar w:fldCharType="end"/>
    </w:r>
  </w:p>
  <w:p w:rsidR="000B5A4D" w:rsidRDefault="000B5A4D">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rsidP="001769FA">
    <w:pPr>
      <w:pStyle w:val="OrderHeader"/>
      <w:tabs>
        <w:tab w:val="left" w:pos="7200"/>
        <w:tab w:val="left" w:pos="10080"/>
      </w:tabs>
    </w:pPr>
    <w:r>
      <w:t xml:space="preserve">ORDER NO. </w:t>
    </w:r>
    <w:r w:rsidR="00AC7B8D">
      <w:fldChar w:fldCharType="begin"/>
    </w:r>
    <w:r w:rsidR="00AC7B8D">
      <w:instrText xml:space="preserve"> REF OrderNo0047 </w:instrText>
    </w:r>
    <w:r w:rsidR="00AC7B8D">
      <w:fldChar w:fldCharType="separate"/>
    </w:r>
    <w:r w:rsidR="00AC7B8D">
      <w:t>PSC-2020-0047-PAA-GU</w:t>
    </w:r>
    <w:r w:rsidR="00AC7B8D">
      <w:fldChar w:fldCharType="end"/>
    </w:r>
    <w:r>
      <w:tab/>
    </w:r>
    <w:r>
      <w:tab/>
    </w:r>
    <w:r>
      <w:tab/>
    </w:r>
    <w:r>
      <w:tab/>
      <w:t>Schedule No. 2</w:t>
    </w:r>
  </w:p>
  <w:p w:rsidR="000B5A4D" w:rsidRDefault="000B5A4D" w:rsidP="001769FA">
    <w:pPr>
      <w:pStyle w:val="OrderHeader"/>
    </w:pPr>
    <w:r>
      <w:t>DOCKET NO. 20190083-GU</w:t>
    </w:r>
  </w:p>
  <w:p w:rsidR="000B5A4D" w:rsidRDefault="000B5A4D" w:rsidP="001769FA">
    <w:pPr>
      <w:pStyle w:val="Header"/>
      <w:tabs>
        <w:tab w:val="left" w:pos="7200"/>
      </w:tabs>
    </w:pPr>
    <w:r>
      <w:t xml:space="preserve">PAGE </w:t>
    </w:r>
    <w:r>
      <w:rPr>
        <w:rStyle w:val="PageNumber"/>
      </w:rPr>
      <w:fldChar w:fldCharType="begin"/>
    </w:r>
    <w:r>
      <w:rPr>
        <w:rStyle w:val="PageNumber"/>
      </w:rPr>
      <w:instrText xml:space="preserve"> PAGE </w:instrText>
    </w:r>
    <w:r>
      <w:rPr>
        <w:rStyle w:val="PageNumber"/>
      </w:rPr>
      <w:fldChar w:fldCharType="separate"/>
    </w:r>
    <w:r w:rsidR="00AC7B8D">
      <w:rPr>
        <w:rStyle w:val="PageNumber"/>
        <w:noProof/>
      </w:rPr>
      <w:t>29</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rsidP="001769FA">
    <w:pPr>
      <w:pStyle w:val="OrderHeader"/>
      <w:tabs>
        <w:tab w:val="left" w:pos="7200"/>
        <w:tab w:val="left" w:pos="10080"/>
      </w:tabs>
    </w:pPr>
    <w:r>
      <w:t xml:space="preserve">ORDER NO. </w:t>
    </w:r>
    <w:r w:rsidR="00AC7B8D">
      <w:fldChar w:fldCharType="begin"/>
    </w:r>
    <w:r w:rsidR="00AC7B8D">
      <w:instrText xml:space="preserve"> REF OrderNo0047 </w:instrText>
    </w:r>
    <w:r w:rsidR="00AC7B8D">
      <w:fldChar w:fldCharType="separate"/>
    </w:r>
    <w:r w:rsidR="00AC7B8D">
      <w:t>PSC-2020-0047-PAA-GU</w:t>
    </w:r>
    <w:r w:rsidR="00AC7B8D">
      <w:fldChar w:fldCharType="end"/>
    </w:r>
    <w:r>
      <w:tab/>
    </w:r>
    <w:r>
      <w:tab/>
    </w:r>
    <w:r>
      <w:tab/>
      <w:t>Schedule No. 3</w:t>
    </w:r>
  </w:p>
  <w:p w:rsidR="000B5A4D" w:rsidRDefault="000B5A4D" w:rsidP="001769FA">
    <w:pPr>
      <w:pStyle w:val="OrderHeader"/>
    </w:pPr>
    <w:r>
      <w:t>DOCKET NO. 20190083-GU</w:t>
    </w:r>
  </w:p>
  <w:p w:rsidR="000B5A4D" w:rsidRDefault="000B5A4D" w:rsidP="001769FA">
    <w:pPr>
      <w:pStyle w:val="Header"/>
      <w:tabs>
        <w:tab w:val="left" w:pos="7200"/>
      </w:tabs>
    </w:pPr>
    <w:r>
      <w:t xml:space="preserve">PAGE </w:t>
    </w:r>
    <w:r>
      <w:rPr>
        <w:rStyle w:val="PageNumber"/>
      </w:rPr>
      <w:fldChar w:fldCharType="begin"/>
    </w:r>
    <w:r>
      <w:rPr>
        <w:rStyle w:val="PageNumber"/>
      </w:rPr>
      <w:instrText xml:space="preserve"> PAGE </w:instrText>
    </w:r>
    <w:r>
      <w:rPr>
        <w:rStyle w:val="PageNumber"/>
      </w:rPr>
      <w:fldChar w:fldCharType="separate"/>
    </w:r>
    <w:r w:rsidR="00AC7B8D">
      <w:rPr>
        <w:rStyle w:val="PageNumber"/>
        <w:noProof/>
      </w:rPr>
      <w:t>30</w:t>
    </w:r>
    <w:r>
      <w:rPr>
        <w:rStyle w:val="PageNumber"/>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rsidP="001769FA">
    <w:pPr>
      <w:pStyle w:val="OrderHeader"/>
      <w:tabs>
        <w:tab w:val="left" w:pos="7200"/>
        <w:tab w:val="left" w:pos="10080"/>
      </w:tabs>
    </w:pPr>
    <w:r>
      <w:t xml:space="preserve">ORDER NO. </w:t>
    </w:r>
    <w:r w:rsidR="00AC7B8D">
      <w:fldChar w:fldCharType="begin"/>
    </w:r>
    <w:r w:rsidR="00AC7B8D">
      <w:instrText xml:space="preserve"> REF OrderNo0047 </w:instrText>
    </w:r>
    <w:r w:rsidR="00AC7B8D">
      <w:fldChar w:fldCharType="separate"/>
    </w:r>
    <w:r w:rsidR="00AC7B8D">
      <w:t>PSC-2020-0047-PAA-GU</w:t>
    </w:r>
    <w:r w:rsidR="00AC7B8D">
      <w:fldChar w:fldCharType="end"/>
    </w:r>
    <w:r>
      <w:tab/>
    </w:r>
    <w:r>
      <w:tab/>
    </w:r>
    <w:r>
      <w:tab/>
      <w:t>Schedule No. 4</w:t>
    </w:r>
  </w:p>
  <w:p w:rsidR="000B5A4D" w:rsidRDefault="000B5A4D" w:rsidP="001769FA">
    <w:pPr>
      <w:pStyle w:val="OrderHeader"/>
    </w:pPr>
    <w:r>
      <w:t>DOCKET NO. 20190083-GU</w:t>
    </w:r>
  </w:p>
  <w:p w:rsidR="000B5A4D" w:rsidRDefault="000B5A4D" w:rsidP="001769FA">
    <w:pPr>
      <w:pStyle w:val="Header"/>
      <w:tabs>
        <w:tab w:val="left" w:pos="7200"/>
      </w:tabs>
    </w:pPr>
    <w:r>
      <w:t xml:space="preserve">PAGE </w:t>
    </w:r>
    <w:r>
      <w:rPr>
        <w:rStyle w:val="PageNumber"/>
      </w:rPr>
      <w:fldChar w:fldCharType="begin"/>
    </w:r>
    <w:r>
      <w:rPr>
        <w:rStyle w:val="PageNumber"/>
      </w:rPr>
      <w:instrText xml:space="preserve"> PAGE </w:instrText>
    </w:r>
    <w:r>
      <w:rPr>
        <w:rStyle w:val="PageNumber"/>
      </w:rPr>
      <w:fldChar w:fldCharType="separate"/>
    </w:r>
    <w:r w:rsidR="00AC7B8D">
      <w:rPr>
        <w:rStyle w:val="PageNumber"/>
        <w:noProof/>
      </w:rPr>
      <w:t>31</w:t>
    </w:r>
    <w:r>
      <w:rPr>
        <w:rStyle w:val="PageNumber"/>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rsidP="001769FA">
    <w:pPr>
      <w:pStyle w:val="OrderHeader"/>
      <w:tabs>
        <w:tab w:val="left" w:pos="7200"/>
        <w:tab w:val="left" w:pos="10080"/>
      </w:tabs>
    </w:pPr>
    <w:r>
      <w:t xml:space="preserve">ORDER NO. </w:t>
    </w:r>
    <w:r w:rsidR="00AC7B8D">
      <w:fldChar w:fldCharType="begin"/>
    </w:r>
    <w:r w:rsidR="00AC7B8D">
      <w:instrText xml:space="preserve"> REF OrderNo0047 </w:instrText>
    </w:r>
    <w:r w:rsidR="00AC7B8D">
      <w:fldChar w:fldCharType="separate"/>
    </w:r>
    <w:r w:rsidR="00AC7B8D">
      <w:t>PSC-2020-0047-PAA-GU</w:t>
    </w:r>
    <w:r w:rsidR="00AC7B8D">
      <w:fldChar w:fldCharType="end"/>
    </w:r>
    <w:r>
      <w:tab/>
    </w:r>
    <w:r>
      <w:tab/>
    </w:r>
    <w:r>
      <w:tab/>
      <w:t>Schedule No. 5</w:t>
    </w:r>
  </w:p>
  <w:p w:rsidR="000B5A4D" w:rsidRDefault="000B5A4D" w:rsidP="001769FA">
    <w:pPr>
      <w:pStyle w:val="OrderHeader"/>
    </w:pPr>
    <w:r>
      <w:t>DOCKET NO. 20190083-GU</w:t>
    </w:r>
  </w:p>
  <w:p w:rsidR="000B5A4D" w:rsidRDefault="000B5A4D" w:rsidP="001769FA">
    <w:pPr>
      <w:pStyle w:val="Header"/>
      <w:tabs>
        <w:tab w:val="left" w:pos="7200"/>
      </w:tabs>
    </w:pPr>
    <w:r>
      <w:t xml:space="preserve">PAGE </w:t>
    </w:r>
    <w:r>
      <w:rPr>
        <w:rStyle w:val="PageNumber"/>
      </w:rPr>
      <w:fldChar w:fldCharType="begin"/>
    </w:r>
    <w:r>
      <w:rPr>
        <w:rStyle w:val="PageNumber"/>
      </w:rPr>
      <w:instrText xml:space="preserve"> PAGE </w:instrText>
    </w:r>
    <w:r>
      <w:rPr>
        <w:rStyle w:val="PageNumber"/>
      </w:rPr>
      <w:fldChar w:fldCharType="separate"/>
    </w:r>
    <w:r w:rsidR="00AC7B8D">
      <w:rPr>
        <w:rStyle w:val="PageNumber"/>
        <w:noProof/>
      </w:rPr>
      <w:t>32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rsidP="001769FA">
    <w:pPr>
      <w:pStyle w:val="OrderHeader"/>
      <w:tabs>
        <w:tab w:val="left" w:pos="7200"/>
        <w:tab w:val="left" w:pos="10080"/>
      </w:tabs>
    </w:pPr>
    <w:r>
      <w:t xml:space="preserve">ORDER NO. </w:t>
    </w:r>
    <w:r w:rsidR="00AC7B8D">
      <w:fldChar w:fldCharType="begin"/>
    </w:r>
    <w:r w:rsidR="00AC7B8D">
      <w:instrText xml:space="preserve"> REF OrderNo0047 </w:instrText>
    </w:r>
    <w:r w:rsidR="00AC7B8D">
      <w:fldChar w:fldCharType="separate"/>
    </w:r>
    <w:r w:rsidR="00AC7B8D">
      <w:t>PSC-2020-0047-PAA-GU</w:t>
    </w:r>
    <w:r w:rsidR="00AC7B8D">
      <w:fldChar w:fldCharType="end"/>
    </w:r>
    <w:r>
      <w:tab/>
    </w:r>
    <w:r>
      <w:tab/>
    </w:r>
    <w:r>
      <w:tab/>
      <w:t>Schedule No. 6</w:t>
    </w:r>
  </w:p>
  <w:p w:rsidR="000B5A4D" w:rsidRDefault="000B5A4D" w:rsidP="001769FA">
    <w:pPr>
      <w:pStyle w:val="OrderHeader"/>
    </w:pPr>
    <w:r>
      <w:t>DOCKET NO. 20190083-GU</w:t>
    </w:r>
  </w:p>
  <w:p w:rsidR="000B5A4D" w:rsidRDefault="000B5A4D" w:rsidP="001769FA">
    <w:pPr>
      <w:pStyle w:val="Header"/>
      <w:tabs>
        <w:tab w:val="left" w:pos="7200"/>
      </w:tabs>
    </w:pPr>
    <w:r>
      <w:t xml:space="preserve">PAGE </w:t>
    </w:r>
    <w:r>
      <w:rPr>
        <w:rStyle w:val="PageNumber"/>
      </w:rPr>
      <w:fldChar w:fldCharType="begin"/>
    </w:r>
    <w:r>
      <w:rPr>
        <w:rStyle w:val="PageNumber"/>
      </w:rPr>
      <w:instrText xml:space="preserve"> PAGE </w:instrText>
    </w:r>
    <w:r>
      <w:rPr>
        <w:rStyle w:val="PageNumber"/>
      </w:rPr>
      <w:fldChar w:fldCharType="separate"/>
    </w:r>
    <w:r w:rsidR="00AC7B8D">
      <w:rPr>
        <w:rStyle w:val="PageNumber"/>
        <w:noProof/>
      </w:rPr>
      <w:t>33</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rsidP="001622E2">
    <w:pPr>
      <w:pStyle w:val="OrderHeader"/>
      <w:tabs>
        <w:tab w:val="left" w:pos="10080"/>
      </w:tabs>
    </w:pPr>
    <w:r>
      <w:t xml:space="preserve">ORDER NO. </w:t>
    </w:r>
    <w:r w:rsidR="00AC7B8D">
      <w:fldChar w:fldCharType="begin"/>
    </w:r>
    <w:r w:rsidR="00AC7B8D">
      <w:instrText xml:space="preserve"> REF OrderNo0047 </w:instrText>
    </w:r>
    <w:r w:rsidR="00AC7B8D">
      <w:fldChar w:fldCharType="separate"/>
    </w:r>
    <w:r w:rsidR="00AC7B8D">
      <w:t>PSC-2020-0047-PAA-GU</w:t>
    </w:r>
    <w:r w:rsidR="00AC7B8D">
      <w:fldChar w:fldCharType="end"/>
    </w:r>
    <w:r>
      <w:tab/>
    </w:r>
    <w:r>
      <w:tab/>
    </w:r>
    <w:r>
      <w:tab/>
      <w:t>Attachment A</w:t>
    </w:r>
  </w:p>
  <w:p w:rsidR="000B5A4D" w:rsidRDefault="000B5A4D">
    <w:pPr>
      <w:pStyle w:val="OrderHeader"/>
    </w:pPr>
    <w:r>
      <w:t>DOCKET NO. 20190083-GU</w:t>
    </w:r>
  </w:p>
  <w:p w:rsidR="000B5A4D" w:rsidRDefault="000B5A4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7B8D">
      <w:rPr>
        <w:rStyle w:val="PageNumber"/>
        <w:noProof/>
      </w:rPr>
      <w:t>47</w:t>
    </w:r>
    <w:r>
      <w:rPr>
        <w:rStyle w:val="PageNumber"/>
      </w:rPr>
      <w:fldChar w:fldCharType="end"/>
    </w:r>
  </w:p>
  <w:p w:rsidR="000B5A4D" w:rsidRDefault="000B5A4D">
    <w:pPr>
      <w:pStyle w:val="Order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rsidP="001769FA">
    <w:pPr>
      <w:pStyle w:val="OrderHeader"/>
      <w:tabs>
        <w:tab w:val="left" w:pos="7200"/>
        <w:tab w:val="left" w:pos="10080"/>
      </w:tabs>
    </w:pPr>
    <w:r>
      <w:t xml:space="preserve">ORDER NO. </w:t>
    </w:r>
    <w:r w:rsidR="00AC7B8D">
      <w:fldChar w:fldCharType="begin"/>
    </w:r>
    <w:r w:rsidR="00AC7B8D">
      <w:instrText xml:space="preserve"> REF OrderNo0047 </w:instrText>
    </w:r>
    <w:r w:rsidR="00AC7B8D">
      <w:fldChar w:fldCharType="separate"/>
    </w:r>
    <w:r w:rsidR="00AC7B8D">
      <w:t>PSC-2020-0047-PAA-GU</w:t>
    </w:r>
    <w:r w:rsidR="00AC7B8D">
      <w:fldChar w:fldCharType="end"/>
    </w:r>
    <w:r>
      <w:tab/>
    </w:r>
    <w:r>
      <w:tab/>
    </w:r>
    <w:r>
      <w:tab/>
    </w:r>
    <w:r>
      <w:tab/>
      <w:t>Attachment A</w:t>
    </w:r>
  </w:p>
  <w:p w:rsidR="000B5A4D" w:rsidRDefault="000B5A4D" w:rsidP="001769FA">
    <w:pPr>
      <w:pStyle w:val="OrderHeader"/>
    </w:pPr>
    <w:r>
      <w:t>DOCKET NO. 20190083-GU</w:t>
    </w:r>
  </w:p>
  <w:p w:rsidR="000B5A4D" w:rsidRDefault="000B5A4D" w:rsidP="001769FA">
    <w:pPr>
      <w:pStyle w:val="Header"/>
      <w:tabs>
        <w:tab w:val="left" w:pos="7200"/>
      </w:tabs>
    </w:pPr>
    <w:r>
      <w:t xml:space="preserve">PAGE </w:t>
    </w:r>
    <w:r>
      <w:rPr>
        <w:rStyle w:val="PageNumber"/>
      </w:rPr>
      <w:fldChar w:fldCharType="begin"/>
    </w:r>
    <w:r>
      <w:rPr>
        <w:rStyle w:val="PageNumber"/>
      </w:rPr>
      <w:instrText xml:space="preserve"> PAGE </w:instrText>
    </w:r>
    <w:r>
      <w:rPr>
        <w:rStyle w:val="PageNumber"/>
      </w:rPr>
      <w:fldChar w:fldCharType="separate"/>
    </w:r>
    <w:r w:rsidR="00AC7B8D">
      <w:rPr>
        <w:rStyle w:val="PageNumber"/>
        <w:noProof/>
      </w:rPr>
      <w:t>34</w:t>
    </w:r>
    <w:r>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rsidP="001622E2">
    <w:pPr>
      <w:pStyle w:val="OrderHeader"/>
      <w:tabs>
        <w:tab w:val="left" w:pos="7200"/>
        <w:tab w:val="left" w:pos="10080"/>
      </w:tabs>
    </w:pPr>
    <w:r>
      <w:t xml:space="preserve">ORDER NO. </w:t>
    </w:r>
    <w:r w:rsidR="00AC7B8D">
      <w:fldChar w:fldCharType="begin"/>
    </w:r>
    <w:r w:rsidR="00AC7B8D">
      <w:instrText xml:space="preserve"> REF OrderNo0047 </w:instrText>
    </w:r>
    <w:r w:rsidR="00AC7B8D">
      <w:fldChar w:fldCharType="separate"/>
    </w:r>
    <w:r w:rsidR="00AC7B8D">
      <w:t>PSC-2020-0047-PAA-GU</w:t>
    </w:r>
    <w:r w:rsidR="00AC7B8D">
      <w:fldChar w:fldCharType="end"/>
    </w:r>
    <w:r>
      <w:tab/>
    </w:r>
    <w:r>
      <w:tab/>
    </w:r>
    <w:r>
      <w:tab/>
      <w:t>Attachment B</w:t>
    </w:r>
  </w:p>
  <w:p w:rsidR="000B5A4D" w:rsidRDefault="000B5A4D">
    <w:pPr>
      <w:pStyle w:val="OrderHeader"/>
    </w:pPr>
    <w:r>
      <w:t>DOCKET NO. 20190083-GU</w:t>
    </w:r>
  </w:p>
  <w:p w:rsidR="000B5A4D" w:rsidRDefault="000B5A4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7B8D">
      <w:rPr>
        <w:rStyle w:val="PageNumber"/>
        <w:noProof/>
      </w:rPr>
      <w:t>52</w:t>
    </w:r>
    <w:r>
      <w:rPr>
        <w:rStyle w:val="PageNumber"/>
      </w:rPr>
      <w:fldChar w:fldCharType="end"/>
    </w:r>
  </w:p>
  <w:p w:rsidR="000B5A4D" w:rsidRDefault="000B5A4D">
    <w:pPr>
      <w:pStyle w:val="Order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rsidP="001769FA">
    <w:pPr>
      <w:pStyle w:val="OrderHeader"/>
      <w:tabs>
        <w:tab w:val="left" w:pos="7200"/>
        <w:tab w:val="left" w:pos="10080"/>
      </w:tabs>
    </w:pPr>
    <w:r>
      <w:t xml:space="preserve">ORDER NO. </w:t>
    </w:r>
    <w:r w:rsidR="00AC7B8D">
      <w:fldChar w:fldCharType="begin"/>
    </w:r>
    <w:r w:rsidR="00AC7B8D">
      <w:instrText xml:space="preserve"> REF OrderNo0047 </w:instrText>
    </w:r>
    <w:r w:rsidR="00AC7B8D">
      <w:fldChar w:fldCharType="separate"/>
    </w:r>
    <w:r w:rsidR="00AC7B8D">
      <w:t>PSC-2020-0047-PAA-GU</w:t>
    </w:r>
    <w:r w:rsidR="00AC7B8D">
      <w:fldChar w:fldCharType="end"/>
    </w:r>
    <w:r>
      <w:tab/>
    </w:r>
    <w:r>
      <w:tab/>
    </w:r>
    <w:r>
      <w:tab/>
      <w:t>Attachment B</w:t>
    </w:r>
  </w:p>
  <w:p w:rsidR="000B5A4D" w:rsidRDefault="000B5A4D" w:rsidP="001769FA">
    <w:pPr>
      <w:pStyle w:val="OrderHeader"/>
    </w:pPr>
    <w:r>
      <w:t>DOCKET NO. 20190083-GU</w:t>
    </w:r>
  </w:p>
  <w:p w:rsidR="000B5A4D" w:rsidRDefault="000B5A4D" w:rsidP="001769FA">
    <w:pPr>
      <w:pStyle w:val="Header"/>
      <w:tabs>
        <w:tab w:val="left" w:pos="7200"/>
      </w:tabs>
    </w:pPr>
    <w:r>
      <w:t xml:space="preserve">PAGE </w:t>
    </w:r>
    <w:r>
      <w:rPr>
        <w:rStyle w:val="PageNumber"/>
      </w:rPr>
      <w:fldChar w:fldCharType="begin"/>
    </w:r>
    <w:r>
      <w:rPr>
        <w:rStyle w:val="PageNumber"/>
      </w:rPr>
      <w:instrText xml:space="preserve"> PAGE </w:instrText>
    </w:r>
    <w:r>
      <w:rPr>
        <w:rStyle w:val="PageNumber"/>
      </w:rPr>
      <w:fldChar w:fldCharType="separate"/>
    </w:r>
    <w:r w:rsidR="00AC7B8D">
      <w:rPr>
        <w:rStyle w:val="PageNumber"/>
        <w:noProof/>
      </w:rPr>
      <w:t>48</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rsidP="001769FA">
    <w:pPr>
      <w:pStyle w:val="OrderHeader"/>
      <w:tabs>
        <w:tab w:val="left" w:pos="7200"/>
      </w:tabs>
    </w:pPr>
    <w:r>
      <w:t xml:space="preserve">ORDER NO. </w:t>
    </w:r>
    <w:r w:rsidR="00AC7B8D">
      <w:fldChar w:fldCharType="begin"/>
    </w:r>
    <w:r w:rsidR="00AC7B8D">
      <w:instrText xml:space="preserve"> REF OrderNo0047 </w:instrText>
    </w:r>
    <w:r w:rsidR="00AC7B8D">
      <w:fldChar w:fldCharType="separate"/>
    </w:r>
    <w:r w:rsidR="00AC7B8D">
      <w:t>PSC-2020-0047-PAA-GU</w:t>
    </w:r>
    <w:r w:rsidR="00AC7B8D">
      <w:fldChar w:fldCharType="end"/>
    </w:r>
    <w:r>
      <w:tab/>
    </w:r>
    <w:r>
      <w:tab/>
      <w:t>Schedule No. 1A</w:t>
    </w:r>
  </w:p>
  <w:p w:rsidR="000B5A4D" w:rsidRDefault="000B5A4D" w:rsidP="001769FA">
    <w:pPr>
      <w:pStyle w:val="OrderHeader"/>
    </w:pPr>
    <w:r>
      <w:t>DOCKET NO. 20190083-GU</w:t>
    </w:r>
  </w:p>
  <w:p w:rsidR="000B5A4D" w:rsidRDefault="000B5A4D" w:rsidP="001769FA">
    <w:pPr>
      <w:pStyle w:val="Header"/>
      <w:tabs>
        <w:tab w:val="left" w:pos="7200"/>
      </w:tabs>
    </w:pPr>
    <w:r>
      <w:t xml:space="preserve">PAGE </w:t>
    </w:r>
    <w:r>
      <w:rPr>
        <w:rStyle w:val="PageNumber"/>
      </w:rPr>
      <w:fldChar w:fldCharType="begin"/>
    </w:r>
    <w:r>
      <w:rPr>
        <w:rStyle w:val="PageNumber"/>
      </w:rPr>
      <w:instrText xml:space="preserve"> PAGE </w:instrText>
    </w:r>
    <w:r>
      <w:rPr>
        <w:rStyle w:val="PageNumber"/>
      </w:rPr>
      <w:fldChar w:fldCharType="separate"/>
    </w:r>
    <w:r w:rsidR="00AC7B8D">
      <w:rPr>
        <w:rStyle w:val="PageNumber"/>
        <w:noProof/>
      </w:rPr>
      <w:t>27</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rsidP="001769FA">
    <w:pPr>
      <w:pStyle w:val="OrderHeader"/>
      <w:tabs>
        <w:tab w:val="left" w:pos="7200"/>
      </w:tabs>
    </w:pPr>
    <w:r>
      <w:t xml:space="preserve">ORDER NO. </w:t>
    </w:r>
    <w:r w:rsidR="00AC7B8D">
      <w:fldChar w:fldCharType="begin"/>
    </w:r>
    <w:r w:rsidR="00AC7B8D">
      <w:instrText xml:space="preserve"> REF OrderNo0047 </w:instrText>
    </w:r>
    <w:r w:rsidR="00AC7B8D">
      <w:fldChar w:fldCharType="separate"/>
    </w:r>
    <w:r w:rsidR="00AC7B8D">
      <w:t>PSC-2020-0047-PAA-GU</w:t>
    </w:r>
    <w:r w:rsidR="00AC7B8D">
      <w:fldChar w:fldCharType="end"/>
    </w:r>
    <w:r>
      <w:tab/>
    </w:r>
    <w:r>
      <w:tab/>
      <w:t>Schedule No. 1B</w:t>
    </w:r>
  </w:p>
  <w:p w:rsidR="000B5A4D" w:rsidRDefault="000B5A4D" w:rsidP="001769FA">
    <w:pPr>
      <w:pStyle w:val="OrderHeader"/>
    </w:pPr>
    <w:r>
      <w:t>DOCKET NO. 20190083-GU</w:t>
    </w:r>
  </w:p>
  <w:p w:rsidR="000B5A4D" w:rsidRDefault="000B5A4D" w:rsidP="001769FA">
    <w:pPr>
      <w:pStyle w:val="Header"/>
      <w:tabs>
        <w:tab w:val="left" w:pos="7200"/>
      </w:tabs>
    </w:pPr>
    <w:r>
      <w:t xml:space="preserve">PAGE </w:t>
    </w:r>
    <w:r>
      <w:rPr>
        <w:rStyle w:val="PageNumber"/>
      </w:rPr>
      <w:fldChar w:fldCharType="begin"/>
    </w:r>
    <w:r>
      <w:rPr>
        <w:rStyle w:val="PageNumber"/>
      </w:rPr>
      <w:instrText xml:space="preserve"> PAGE </w:instrText>
    </w:r>
    <w:r>
      <w:rPr>
        <w:rStyle w:val="PageNumber"/>
      </w:rPr>
      <w:fldChar w:fldCharType="separate"/>
    </w:r>
    <w:r w:rsidR="00AC7B8D">
      <w:rPr>
        <w:rStyle w:val="PageNumber"/>
        <w:noProof/>
      </w:rPr>
      <w:t>28</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4D" w:rsidRDefault="000B5A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83-GU"/>
  </w:docVars>
  <w:rsids>
    <w:rsidRoot w:val="00F63B69"/>
    <w:rsid w:val="000022B8"/>
    <w:rsid w:val="0003433F"/>
    <w:rsid w:val="00035A8C"/>
    <w:rsid w:val="00053AB9"/>
    <w:rsid w:val="00055AAC"/>
    <w:rsid w:val="00056229"/>
    <w:rsid w:val="00057AF1"/>
    <w:rsid w:val="00065FC2"/>
    <w:rsid w:val="00067685"/>
    <w:rsid w:val="000730D7"/>
    <w:rsid w:val="00073E05"/>
    <w:rsid w:val="00076E6B"/>
    <w:rsid w:val="0008247D"/>
    <w:rsid w:val="00090AFC"/>
    <w:rsid w:val="000B5A4D"/>
    <w:rsid w:val="000B783E"/>
    <w:rsid w:val="000C1F91"/>
    <w:rsid w:val="000D02B8"/>
    <w:rsid w:val="000D06E8"/>
    <w:rsid w:val="000E050C"/>
    <w:rsid w:val="000E20F0"/>
    <w:rsid w:val="000E344D"/>
    <w:rsid w:val="000E3F6D"/>
    <w:rsid w:val="000F194B"/>
    <w:rsid w:val="000F359F"/>
    <w:rsid w:val="000F3B2C"/>
    <w:rsid w:val="000F63EB"/>
    <w:rsid w:val="000F648A"/>
    <w:rsid w:val="000F7BE3"/>
    <w:rsid w:val="001052BA"/>
    <w:rsid w:val="001107B3"/>
    <w:rsid w:val="001114B1"/>
    <w:rsid w:val="001119AB"/>
    <w:rsid w:val="001139D8"/>
    <w:rsid w:val="001150D4"/>
    <w:rsid w:val="00116AD3"/>
    <w:rsid w:val="0012088E"/>
    <w:rsid w:val="00121957"/>
    <w:rsid w:val="0012387E"/>
    <w:rsid w:val="00126593"/>
    <w:rsid w:val="00136087"/>
    <w:rsid w:val="00142A96"/>
    <w:rsid w:val="00144280"/>
    <w:rsid w:val="00144F21"/>
    <w:rsid w:val="00147A41"/>
    <w:rsid w:val="001513DE"/>
    <w:rsid w:val="00154A71"/>
    <w:rsid w:val="001622E2"/>
    <w:rsid w:val="001769FA"/>
    <w:rsid w:val="00187E32"/>
    <w:rsid w:val="00194E81"/>
    <w:rsid w:val="001A15E7"/>
    <w:rsid w:val="001A33C9"/>
    <w:rsid w:val="001A58F3"/>
    <w:rsid w:val="001C2847"/>
    <w:rsid w:val="001C33CB"/>
    <w:rsid w:val="001C3F8C"/>
    <w:rsid w:val="001C6097"/>
    <w:rsid w:val="001C7126"/>
    <w:rsid w:val="001D008A"/>
    <w:rsid w:val="001E0152"/>
    <w:rsid w:val="001E0FF5"/>
    <w:rsid w:val="001F4CA3"/>
    <w:rsid w:val="001F6EA0"/>
    <w:rsid w:val="002002ED"/>
    <w:rsid w:val="00202DBE"/>
    <w:rsid w:val="002170E5"/>
    <w:rsid w:val="00220D57"/>
    <w:rsid w:val="0022721A"/>
    <w:rsid w:val="00230772"/>
    <w:rsid w:val="00230BB9"/>
    <w:rsid w:val="00241CEF"/>
    <w:rsid w:val="00250CFF"/>
    <w:rsid w:val="0025124E"/>
    <w:rsid w:val="00252B30"/>
    <w:rsid w:val="00254C12"/>
    <w:rsid w:val="002613E4"/>
    <w:rsid w:val="00264195"/>
    <w:rsid w:val="0026544B"/>
    <w:rsid w:val="00276CDC"/>
    <w:rsid w:val="00277655"/>
    <w:rsid w:val="002824B7"/>
    <w:rsid w:val="00282AC4"/>
    <w:rsid w:val="002A11AC"/>
    <w:rsid w:val="002A6F30"/>
    <w:rsid w:val="002B22C8"/>
    <w:rsid w:val="002B3111"/>
    <w:rsid w:val="002C7908"/>
    <w:rsid w:val="002D07BB"/>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17F9"/>
    <w:rsid w:val="00345434"/>
    <w:rsid w:val="0035495B"/>
    <w:rsid w:val="00355A93"/>
    <w:rsid w:val="00361522"/>
    <w:rsid w:val="0037196E"/>
    <w:rsid w:val="003744F5"/>
    <w:rsid w:val="00376A2C"/>
    <w:rsid w:val="00377EB0"/>
    <w:rsid w:val="00387BDE"/>
    <w:rsid w:val="00390DD8"/>
    <w:rsid w:val="00394DC6"/>
    <w:rsid w:val="00395622"/>
    <w:rsid w:val="00397C3E"/>
    <w:rsid w:val="003B1A09"/>
    <w:rsid w:val="003B2675"/>
    <w:rsid w:val="003C4B7F"/>
    <w:rsid w:val="003C73FC"/>
    <w:rsid w:val="003D4CCA"/>
    <w:rsid w:val="003D52A6"/>
    <w:rsid w:val="003D6416"/>
    <w:rsid w:val="003E1D48"/>
    <w:rsid w:val="003E3B24"/>
    <w:rsid w:val="003E4ECA"/>
    <w:rsid w:val="003F1D2B"/>
    <w:rsid w:val="003F2B8A"/>
    <w:rsid w:val="00411DF2"/>
    <w:rsid w:val="00411E8F"/>
    <w:rsid w:val="00424087"/>
    <w:rsid w:val="0042527B"/>
    <w:rsid w:val="00427EAC"/>
    <w:rsid w:val="00441C10"/>
    <w:rsid w:val="004437CA"/>
    <w:rsid w:val="0045537F"/>
    <w:rsid w:val="00457DC7"/>
    <w:rsid w:val="004640B3"/>
    <w:rsid w:val="00470298"/>
    <w:rsid w:val="00472BCC"/>
    <w:rsid w:val="00474567"/>
    <w:rsid w:val="00477D3A"/>
    <w:rsid w:val="00495581"/>
    <w:rsid w:val="004A25CD"/>
    <w:rsid w:val="004A26CC"/>
    <w:rsid w:val="004B2108"/>
    <w:rsid w:val="004B3A2B"/>
    <w:rsid w:val="004B70D3"/>
    <w:rsid w:val="004C312D"/>
    <w:rsid w:val="004C4BFF"/>
    <w:rsid w:val="004D2D1B"/>
    <w:rsid w:val="004D5067"/>
    <w:rsid w:val="004D6838"/>
    <w:rsid w:val="004D72BC"/>
    <w:rsid w:val="004E469D"/>
    <w:rsid w:val="004E7F4F"/>
    <w:rsid w:val="004F2DDE"/>
    <w:rsid w:val="004F7826"/>
    <w:rsid w:val="0050097F"/>
    <w:rsid w:val="005040F5"/>
    <w:rsid w:val="00514B1F"/>
    <w:rsid w:val="00524CA6"/>
    <w:rsid w:val="00525E93"/>
    <w:rsid w:val="0052671D"/>
    <w:rsid w:val="005300C0"/>
    <w:rsid w:val="0055595D"/>
    <w:rsid w:val="00556A10"/>
    <w:rsid w:val="00557F50"/>
    <w:rsid w:val="00571D3D"/>
    <w:rsid w:val="0058264B"/>
    <w:rsid w:val="005868AA"/>
    <w:rsid w:val="00590845"/>
    <w:rsid w:val="00594347"/>
    <w:rsid w:val="005963C2"/>
    <w:rsid w:val="005A0D69"/>
    <w:rsid w:val="005A21F0"/>
    <w:rsid w:val="005A31F4"/>
    <w:rsid w:val="005A73EA"/>
    <w:rsid w:val="005B45F7"/>
    <w:rsid w:val="005B63EA"/>
    <w:rsid w:val="005C1A88"/>
    <w:rsid w:val="005C5033"/>
    <w:rsid w:val="005E751B"/>
    <w:rsid w:val="005F3354"/>
    <w:rsid w:val="0060005E"/>
    <w:rsid w:val="0060095B"/>
    <w:rsid w:val="00601266"/>
    <w:rsid w:val="00604250"/>
    <w:rsid w:val="00610E73"/>
    <w:rsid w:val="00616DF2"/>
    <w:rsid w:val="0063168D"/>
    <w:rsid w:val="006531A4"/>
    <w:rsid w:val="00660774"/>
    <w:rsid w:val="0066389A"/>
    <w:rsid w:val="0066495C"/>
    <w:rsid w:val="00665CC7"/>
    <w:rsid w:val="00672612"/>
    <w:rsid w:val="00677F18"/>
    <w:rsid w:val="00684B0C"/>
    <w:rsid w:val="00685941"/>
    <w:rsid w:val="00693483"/>
    <w:rsid w:val="006A0BF3"/>
    <w:rsid w:val="006A76E9"/>
    <w:rsid w:val="006B0DA6"/>
    <w:rsid w:val="006C2115"/>
    <w:rsid w:val="006C547E"/>
    <w:rsid w:val="006D2B51"/>
    <w:rsid w:val="006D5575"/>
    <w:rsid w:val="006E42BE"/>
    <w:rsid w:val="006E5D4D"/>
    <w:rsid w:val="006E67B2"/>
    <w:rsid w:val="006E6D16"/>
    <w:rsid w:val="006E7458"/>
    <w:rsid w:val="006F03C4"/>
    <w:rsid w:val="00704C5D"/>
    <w:rsid w:val="007072BC"/>
    <w:rsid w:val="00715275"/>
    <w:rsid w:val="00721B44"/>
    <w:rsid w:val="007232A2"/>
    <w:rsid w:val="00726366"/>
    <w:rsid w:val="00733B6B"/>
    <w:rsid w:val="00740808"/>
    <w:rsid w:val="007467C4"/>
    <w:rsid w:val="007511CD"/>
    <w:rsid w:val="007556ED"/>
    <w:rsid w:val="007601D9"/>
    <w:rsid w:val="0076170F"/>
    <w:rsid w:val="00764064"/>
    <w:rsid w:val="00765DDA"/>
    <w:rsid w:val="0076669C"/>
    <w:rsid w:val="00766E46"/>
    <w:rsid w:val="00777727"/>
    <w:rsid w:val="00782B79"/>
    <w:rsid w:val="007865E9"/>
    <w:rsid w:val="00786AA0"/>
    <w:rsid w:val="00792383"/>
    <w:rsid w:val="00794D5A"/>
    <w:rsid w:val="00794DD9"/>
    <w:rsid w:val="007A060F"/>
    <w:rsid w:val="007B0CDE"/>
    <w:rsid w:val="007B350E"/>
    <w:rsid w:val="007C0FBC"/>
    <w:rsid w:val="007C36E3"/>
    <w:rsid w:val="007C5A4B"/>
    <w:rsid w:val="007C7134"/>
    <w:rsid w:val="007D3D20"/>
    <w:rsid w:val="007D742E"/>
    <w:rsid w:val="007E3AFD"/>
    <w:rsid w:val="00801DAD"/>
    <w:rsid w:val="00803189"/>
    <w:rsid w:val="00804E7A"/>
    <w:rsid w:val="00805FBB"/>
    <w:rsid w:val="008169A4"/>
    <w:rsid w:val="008278FE"/>
    <w:rsid w:val="00832598"/>
    <w:rsid w:val="0083397E"/>
    <w:rsid w:val="00833CC1"/>
    <w:rsid w:val="0083534B"/>
    <w:rsid w:val="00842035"/>
    <w:rsid w:val="00842602"/>
    <w:rsid w:val="008449F0"/>
    <w:rsid w:val="00847B45"/>
    <w:rsid w:val="00863A66"/>
    <w:rsid w:val="008703D7"/>
    <w:rsid w:val="00872696"/>
    <w:rsid w:val="00874429"/>
    <w:rsid w:val="00875D22"/>
    <w:rsid w:val="00883D9A"/>
    <w:rsid w:val="008919EF"/>
    <w:rsid w:val="00892B20"/>
    <w:rsid w:val="008A12EC"/>
    <w:rsid w:val="008B19A6"/>
    <w:rsid w:val="008B43F2"/>
    <w:rsid w:val="008B4EFB"/>
    <w:rsid w:val="008C21C8"/>
    <w:rsid w:val="008C6375"/>
    <w:rsid w:val="008C6A5B"/>
    <w:rsid w:val="008E0693"/>
    <w:rsid w:val="008E26A5"/>
    <w:rsid w:val="008E42D2"/>
    <w:rsid w:val="008E6328"/>
    <w:rsid w:val="008F578F"/>
    <w:rsid w:val="009040EE"/>
    <w:rsid w:val="009050BD"/>
    <w:rsid w:val="009057FD"/>
    <w:rsid w:val="00906FBA"/>
    <w:rsid w:val="0091150E"/>
    <w:rsid w:val="009163E8"/>
    <w:rsid w:val="009228C7"/>
    <w:rsid w:val="00922A7F"/>
    <w:rsid w:val="00923A5E"/>
    <w:rsid w:val="00924FE7"/>
    <w:rsid w:val="00925384"/>
    <w:rsid w:val="00926E27"/>
    <w:rsid w:val="00931C8C"/>
    <w:rsid w:val="0094504B"/>
    <w:rsid w:val="00952ABE"/>
    <w:rsid w:val="00964A38"/>
    <w:rsid w:val="009653CA"/>
    <w:rsid w:val="00966A9D"/>
    <w:rsid w:val="0096742B"/>
    <w:rsid w:val="009718C5"/>
    <w:rsid w:val="009777E6"/>
    <w:rsid w:val="0098478B"/>
    <w:rsid w:val="00986808"/>
    <w:rsid w:val="00991FCF"/>
    <w:rsid w:val="009924CF"/>
    <w:rsid w:val="00994100"/>
    <w:rsid w:val="009A6B17"/>
    <w:rsid w:val="009D0DB9"/>
    <w:rsid w:val="009D4C29"/>
    <w:rsid w:val="009D553F"/>
    <w:rsid w:val="009F40BA"/>
    <w:rsid w:val="009F6AD2"/>
    <w:rsid w:val="00A00D8D"/>
    <w:rsid w:val="00A01BB6"/>
    <w:rsid w:val="00A12C7A"/>
    <w:rsid w:val="00A32508"/>
    <w:rsid w:val="00A35179"/>
    <w:rsid w:val="00A42861"/>
    <w:rsid w:val="00A4303C"/>
    <w:rsid w:val="00A43F9E"/>
    <w:rsid w:val="00A442E1"/>
    <w:rsid w:val="00A470FD"/>
    <w:rsid w:val="00A62DAB"/>
    <w:rsid w:val="00A6757A"/>
    <w:rsid w:val="00A726A6"/>
    <w:rsid w:val="00A74842"/>
    <w:rsid w:val="00A843A6"/>
    <w:rsid w:val="00A97535"/>
    <w:rsid w:val="00AA2BAA"/>
    <w:rsid w:val="00AA73F1"/>
    <w:rsid w:val="00AB0E1A"/>
    <w:rsid w:val="00AB1A30"/>
    <w:rsid w:val="00AB3C36"/>
    <w:rsid w:val="00AC10D8"/>
    <w:rsid w:val="00AC7B8D"/>
    <w:rsid w:val="00AD10EB"/>
    <w:rsid w:val="00AD1ED3"/>
    <w:rsid w:val="00AF2A95"/>
    <w:rsid w:val="00AF7C64"/>
    <w:rsid w:val="00B02001"/>
    <w:rsid w:val="00B03C50"/>
    <w:rsid w:val="00B0777D"/>
    <w:rsid w:val="00B11576"/>
    <w:rsid w:val="00B1195F"/>
    <w:rsid w:val="00B14D10"/>
    <w:rsid w:val="00B209C7"/>
    <w:rsid w:val="00B3644F"/>
    <w:rsid w:val="00B4057A"/>
    <w:rsid w:val="00B40894"/>
    <w:rsid w:val="00B41039"/>
    <w:rsid w:val="00B437C5"/>
    <w:rsid w:val="00B444AE"/>
    <w:rsid w:val="00B45E75"/>
    <w:rsid w:val="00B50876"/>
    <w:rsid w:val="00B51074"/>
    <w:rsid w:val="00B54082"/>
    <w:rsid w:val="00B54DAA"/>
    <w:rsid w:val="00B55AB0"/>
    <w:rsid w:val="00B55EE5"/>
    <w:rsid w:val="00B67A43"/>
    <w:rsid w:val="00B71D1F"/>
    <w:rsid w:val="00B72CFF"/>
    <w:rsid w:val="00B73DE6"/>
    <w:rsid w:val="00B74DA5"/>
    <w:rsid w:val="00B761CD"/>
    <w:rsid w:val="00B86EF0"/>
    <w:rsid w:val="00B96969"/>
    <w:rsid w:val="00B97900"/>
    <w:rsid w:val="00BA1229"/>
    <w:rsid w:val="00BA44A8"/>
    <w:rsid w:val="00BA49C5"/>
    <w:rsid w:val="00BC4E7D"/>
    <w:rsid w:val="00BC786E"/>
    <w:rsid w:val="00BD5C92"/>
    <w:rsid w:val="00BE50E6"/>
    <w:rsid w:val="00BF6691"/>
    <w:rsid w:val="00BF761B"/>
    <w:rsid w:val="00C01704"/>
    <w:rsid w:val="00C01E71"/>
    <w:rsid w:val="00C028FC"/>
    <w:rsid w:val="00C03098"/>
    <w:rsid w:val="00C037F2"/>
    <w:rsid w:val="00C0386D"/>
    <w:rsid w:val="00C065A1"/>
    <w:rsid w:val="00C10ED5"/>
    <w:rsid w:val="00C14FEC"/>
    <w:rsid w:val="00C151A6"/>
    <w:rsid w:val="00C24098"/>
    <w:rsid w:val="00C30A4E"/>
    <w:rsid w:val="00C411F3"/>
    <w:rsid w:val="00C44105"/>
    <w:rsid w:val="00C55A33"/>
    <w:rsid w:val="00C65E75"/>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053C4"/>
    <w:rsid w:val="00D13535"/>
    <w:rsid w:val="00D15497"/>
    <w:rsid w:val="00D17B79"/>
    <w:rsid w:val="00D23FEA"/>
    <w:rsid w:val="00D269CA"/>
    <w:rsid w:val="00D30B48"/>
    <w:rsid w:val="00D3168A"/>
    <w:rsid w:val="00D35939"/>
    <w:rsid w:val="00D46FAA"/>
    <w:rsid w:val="00D47A40"/>
    <w:rsid w:val="00D51D33"/>
    <w:rsid w:val="00D57BB2"/>
    <w:rsid w:val="00D57E57"/>
    <w:rsid w:val="00D70752"/>
    <w:rsid w:val="00D80E2D"/>
    <w:rsid w:val="00D84D5E"/>
    <w:rsid w:val="00D8560E"/>
    <w:rsid w:val="00D8758F"/>
    <w:rsid w:val="00DA4EDD"/>
    <w:rsid w:val="00DA6B78"/>
    <w:rsid w:val="00DC0E89"/>
    <w:rsid w:val="00DC1D94"/>
    <w:rsid w:val="00DC42CF"/>
    <w:rsid w:val="00DD03A9"/>
    <w:rsid w:val="00DE057F"/>
    <w:rsid w:val="00DE2082"/>
    <w:rsid w:val="00DE2289"/>
    <w:rsid w:val="00DE64FD"/>
    <w:rsid w:val="00DF09A7"/>
    <w:rsid w:val="00DF7114"/>
    <w:rsid w:val="00E001D6"/>
    <w:rsid w:val="00E03A76"/>
    <w:rsid w:val="00E04410"/>
    <w:rsid w:val="00E07484"/>
    <w:rsid w:val="00E07892"/>
    <w:rsid w:val="00E11351"/>
    <w:rsid w:val="00E4225C"/>
    <w:rsid w:val="00E44879"/>
    <w:rsid w:val="00E6184C"/>
    <w:rsid w:val="00E63BC2"/>
    <w:rsid w:val="00E64462"/>
    <w:rsid w:val="00E72914"/>
    <w:rsid w:val="00E75AE0"/>
    <w:rsid w:val="00E83C1F"/>
    <w:rsid w:val="00E96F06"/>
    <w:rsid w:val="00E97656"/>
    <w:rsid w:val="00EA0F5D"/>
    <w:rsid w:val="00EA172C"/>
    <w:rsid w:val="00EA259B"/>
    <w:rsid w:val="00EA35A3"/>
    <w:rsid w:val="00EA3E6A"/>
    <w:rsid w:val="00EB18EF"/>
    <w:rsid w:val="00EB7951"/>
    <w:rsid w:val="00EC5378"/>
    <w:rsid w:val="00ED626A"/>
    <w:rsid w:val="00ED6A79"/>
    <w:rsid w:val="00EE17DF"/>
    <w:rsid w:val="00EF4621"/>
    <w:rsid w:val="00EF4D52"/>
    <w:rsid w:val="00EF6312"/>
    <w:rsid w:val="00F038B0"/>
    <w:rsid w:val="00F0624B"/>
    <w:rsid w:val="00F14797"/>
    <w:rsid w:val="00F22B27"/>
    <w:rsid w:val="00F234A7"/>
    <w:rsid w:val="00F277B6"/>
    <w:rsid w:val="00F27DA5"/>
    <w:rsid w:val="00F3491B"/>
    <w:rsid w:val="00F34E31"/>
    <w:rsid w:val="00F37E07"/>
    <w:rsid w:val="00F4182A"/>
    <w:rsid w:val="00F43E63"/>
    <w:rsid w:val="00F54380"/>
    <w:rsid w:val="00F54B47"/>
    <w:rsid w:val="00F61247"/>
    <w:rsid w:val="00F63191"/>
    <w:rsid w:val="00F63B69"/>
    <w:rsid w:val="00F6702E"/>
    <w:rsid w:val="00F70E84"/>
    <w:rsid w:val="00F749A1"/>
    <w:rsid w:val="00F94470"/>
    <w:rsid w:val="00FA092B"/>
    <w:rsid w:val="00FA4F6C"/>
    <w:rsid w:val="00FA6EFD"/>
    <w:rsid w:val="00FB74EA"/>
    <w:rsid w:val="00FD2C9E"/>
    <w:rsid w:val="00FD4786"/>
    <w:rsid w:val="00FD616C"/>
    <w:rsid w:val="00FE53F2"/>
    <w:rsid w:val="00FF0A00"/>
    <w:rsid w:val="00FF1C57"/>
    <w:rsid w:val="00FF2581"/>
    <w:rsid w:val="00FF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F4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F63B69"/>
  </w:style>
  <w:style w:type="table" w:customStyle="1" w:styleId="TableGrid1">
    <w:name w:val="Table Grid1"/>
    <w:basedOn w:val="TableNormal"/>
    <w:next w:val="TableGrid"/>
    <w:rsid w:val="00F63B6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8478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 Number"/>
    <w:basedOn w:val="BodyText"/>
    <w:next w:val="BodyText"/>
    <w:qFormat/>
    <w:rsid w:val="00765DDA"/>
    <w:pPr>
      <w:spacing w:before="480" w:after="0"/>
      <w:jc w:val="center"/>
    </w:pPr>
    <w:rPr>
      <w:rFonts w:ascii="Arial" w:hAnsi="Arial"/>
      <w:b/>
    </w:rPr>
  </w:style>
  <w:style w:type="paragraph" w:customStyle="1" w:styleId="TableTitle">
    <w:name w:val="Table Title"/>
    <w:basedOn w:val="BodyText"/>
    <w:next w:val="BodyText"/>
    <w:qFormat/>
    <w:rsid w:val="00765DDA"/>
    <w:pPr>
      <w:spacing w:after="0"/>
      <w:jc w:val="center"/>
    </w:pPr>
    <w:rPr>
      <w:rFonts w:ascii="Arial" w:hAnsi="Arial"/>
      <w:b/>
    </w:rPr>
  </w:style>
  <w:style w:type="paragraph" w:customStyle="1" w:styleId="TableSource">
    <w:name w:val="Table Source"/>
    <w:basedOn w:val="BodyText"/>
    <w:next w:val="BodyText"/>
    <w:qFormat/>
    <w:rsid w:val="00765DDA"/>
    <w:pPr>
      <w:spacing w:after="480"/>
      <w:jc w:val="both"/>
    </w:pPr>
  </w:style>
  <w:style w:type="table" w:customStyle="1" w:styleId="TableGrid3">
    <w:name w:val="Table Grid3"/>
    <w:basedOn w:val="TableNormal"/>
    <w:next w:val="TableGrid"/>
    <w:rsid w:val="00D053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ueHeading">
    <w:name w:val="Issue Heading"/>
    <w:basedOn w:val="Heading1"/>
    <w:next w:val="BodyText"/>
    <w:link w:val="IssueHeadingChar"/>
    <w:qFormat/>
    <w:rsid w:val="001769FA"/>
    <w:pPr>
      <w:keepNext w:val="0"/>
    </w:pPr>
    <w:rPr>
      <w:rFonts w:ascii="Arial" w:hAnsi="Arial"/>
      <w:b/>
      <w:i/>
    </w:rPr>
  </w:style>
  <w:style w:type="character" w:customStyle="1" w:styleId="IssueHeadingChar">
    <w:name w:val="Issue Heading Char"/>
    <w:link w:val="IssueHeading"/>
    <w:rsid w:val="001769FA"/>
    <w:rPr>
      <w:rFonts w:ascii="Arial" w:hAnsi="Arial" w:cs="Arial"/>
      <w:b/>
      <w:bCs/>
      <w:i/>
      <w:kern w:val="32"/>
      <w:sz w:val="24"/>
      <w:szCs w:val="32"/>
    </w:rPr>
  </w:style>
  <w:style w:type="paragraph" w:styleId="BalloonText">
    <w:name w:val="Balloon Text"/>
    <w:basedOn w:val="Normal"/>
    <w:link w:val="BalloonTextChar"/>
    <w:semiHidden/>
    <w:unhideWhenUsed/>
    <w:rsid w:val="001622E2"/>
    <w:rPr>
      <w:rFonts w:ascii="Tahoma" w:hAnsi="Tahoma" w:cs="Tahoma"/>
      <w:sz w:val="16"/>
      <w:szCs w:val="16"/>
    </w:rPr>
  </w:style>
  <w:style w:type="character" w:customStyle="1" w:styleId="BalloonTextChar">
    <w:name w:val="Balloon Text Char"/>
    <w:basedOn w:val="DefaultParagraphFont"/>
    <w:link w:val="BalloonText"/>
    <w:semiHidden/>
    <w:rsid w:val="001622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image" Target="media/image11.emf"/><Relationship Id="rId21" Type="http://schemas.openxmlformats.org/officeDocument/2006/relationships/header" Target="header15.xml"/><Relationship Id="rId34" Type="http://schemas.openxmlformats.org/officeDocument/2006/relationships/image" Target="media/image6.emf"/><Relationship Id="rId42" Type="http://schemas.openxmlformats.org/officeDocument/2006/relationships/image" Target="media/image14.emf"/><Relationship Id="rId47" Type="http://schemas.openxmlformats.org/officeDocument/2006/relationships/image" Target="media/image16.emf"/><Relationship Id="rId50" Type="http://schemas.openxmlformats.org/officeDocument/2006/relationships/image" Target="media/image19.emf"/><Relationship Id="rId55"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image" Target="media/image5.emf"/><Relationship Id="rId38" Type="http://schemas.openxmlformats.org/officeDocument/2006/relationships/image" Target="media/image10.emf"/><Relationship Id="rId46" Type="http://schemas.openxmlformats.org/officeDocument/2006/relationships/image" Target="media/image15.emf"/><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image" Target="media/image1.emf"/><Relationship Id="rId41" Type="http://schemas.openxmlformats.org/officeDocument/2006/relationships/image" Target="media/image13.e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image" Target="media/image4.emf"/><Relationship Id="rId37" Type="http://schemas.openxmlformats.org/officeDocument/2006/relationships/image" Target="media/image9.emf"/><Relationship Id="rId40" Type="http://schemas.openxmlformats.org/officeDocument/2006/relationships/image" Target="media/image12.emf"/><Relationship Id="rId45" Type="http://schemas.openxmlformats.org/officeDocument/2006/relationships/header" Target="header25.xml"/><Relationship Id="rId53" Type="http://schemas.openxmlformats.org/officeDocument/2006/relationships/header" Target="header2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image" Target="media/image8.emf"/><Relationship Id="rId49" Type="http://schemas.openxmlformats.org/officeDocument/2006/relationships/image" Target="media/image18.emf"/><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image" Target="media/image3.emf"/><Relationship Id="rId44" Type="http://schemas.openxmlformats.org/officeDocument/2006/relationships/header" Target="header24.xml"/><Relationship Id="rId52"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image" Target="media/image2.emf"/><Relationship Id="rId35" Type="http://schemas.openxmlformats.org/officeDocument/2006/relationships/image" Target="media/image7.emf"/><Relationship Id="rId43" Type="http://schemas.openxmlformats.org/officeDocument/2006/relationships/header" Target="header23.xml"/><Relationship Id="rId48" Type="http://schemas.openxmlformats.org/officeDocument/2006/relationships/image" Target="media/image17.emf"/><Relationship Id="rId8" Type="http://schemas.openxmlformats.org/officeDocument/2006/relationships/header" Target="header2.xml"/><Relationship Id="rId51" Type="http://schemas.openxmlformats.org/officeDocument/2006/relationships/header" Target="header26.xm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3CC56-5DE3-4079-A778-8F7ED4E6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52</Pages>
  <Words>10439</Words>
  <Characters>59504</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2020-02-03T18:32:00Z</dcterms:created>
  <dcterms:modified xsi:type="dcterms:W3CDTF">2020-02-03T18:44:00Z</dcterms:modified>
</cp:coreProperties>
</file>