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A2C99">
            <w:pPr>
              <w:pStyle w:val="MemoHeading"/>
            </w:pPr>
            <w:bookmarkStart w:id="1" w:name="FilingDate"/>
            <w:r>
              <w:t>February 20,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A2C99" w:rsidRDefault="004A2C99">
            <w:pPr>
              <w:pStyle w:val="MemoHeading"/>
            </w:pPr>
            <w:bookmarkStart w:id="2" w:name="From"/>
            <w:r>
              <w:t>Division of Accounting</w:t>
            </w:r>
            <w:r w:rsidR="00570B1E">
              <w:t xml:space="preserve"> and Finance (Hightower</w:t>
            </w:r>
            <w:r>
              <w:t>,</w:t>
            </w:r>
            <w:r w:rsidR="00570B1E">
              <w:t xml:space="preserve"> D.</w:t>
            </w:r>
            <w:r>
              <w:t xml:space="preserve"> Buys, Cicchetti, Richards)</w:t>
            </w:r>
          </w:p>
          <w:p w:rsidR="004A2C99" w:rsidRDefault="004A2C99">
            <w:pPr>
              <w:pStyle w:val="MemoHeading"/>
            </w:pPr>
            <w:r>
              <w:t>Division of Economics (</w:t>
            </w:r>
            <w:proofErr w:type="spellStart"/>
            <w:r>
              <w:t>Bethea</w:t>
            </w:r>
            <w:proofErr w:type="spellEnd"/>
            <w:r>
              <w:t>, Hudson)</w:t>
            </w:r>
          </w:p>
          <w:p w:rsidR="004A2C99" w:rsidRDefault="004A2C99">
            <w:pPr>
              <w:pStyle w:val="MemoHeading"/>
            </w:pPr>
            <w:r>
              <w:t xml:space="preserve">Division of Engineering (Ellis, </w:t>
            </w:r>
            <w:r w:rsidR="00163ABE">
              <w:t xml:space="preserve">D. </w:t>
            </w:r>
            <w:r>
              <w:t>Phillips, Thompson)</w:t>
            </w:r>
          </w:p>
          <w:p w:rsidR="007C0528" w:rsidRDefault="004A2C99" w:rsidP="00567BEC">
            <w:pPr>
              <w:pStyle w:val="MemoHeading"/>
            </w:pPr>
            <w:r>
              <w:t>Office of the General Counsel (</w:t>
            </w:r>
            <w:proofErr w:type="spellStart"/>
            <w:r>
              <w:t>Weisenfeld</w:t>
            </w:r>
            <w:proofErr w:type="spellEnd"/>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A2C99">
            <w:pPr>
              <w:pStyle w:val="MemoHeadingRe"/>
            </w:pPr>
            <w:bookmarkStart w:id="3" w:name="Re"/>
            <w:r>
              <w:t>Docket No. 20190125-WS – Application for staff-assisted rate case in Sumter County by The Woods Utility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A2C99" w:rsidP="00DA08B4">
            <w:pPr>
              <w:pStyle w:val="MemoHeading"/>
            </w:pPr>
            <w:bookmarkStart w:id="4" w:name="AgendaDate"/>
            <w:r>
              <w:t>03/03/20</w:t>
            </w:r>
            <w:bookmarkEnd w:id="4"/>
            <w:r w:rsidR="007C0528">
              <w:t xml:space="preserve"> – </w:t>
            </w:r>
            <w:bookmarkStart w:id="5" w:name="PermittedStatus"/>
            <w:r>
              <w:t xml:space="preserve">Regular Agenda – </w:t>
            </w:r>
            <w:r w:rsidR="008D6FDE">
              <w:t>Proposed Agency Action</w:t>
            </w:r>
            <w:r w:rsidR="00616052">
              <w:t xml:space="preserve"> Except for Issue Nos. 1</w:t>
            </w:r>
            <w:r w:rsidR="00DA08B4">
              <w:t>1</w:t>
            </w:r>
            <w:r w:rsidR="00616052">
              <w:t>, 1</w:t>
            </w:r>
            <w:r w:rsidR="00DA08B4">
              <w:t>2</w:t>
            </w:r>
            <w:r w:rsidR="00616052">
              <w:t xml:space="preserve"> and 1</w:t>
            </w:r>
            <w:r w:rsidR="00DA08B4">
              <w:t>3</w:t>
            </w:r>
            <w:r w:rsidR="00616052">
              <w:t xml:space="preserve"> –</w:t>
            </w:r>
            <w:r w:rsidR="008D6FDE">
              <w:t xml:space="preserve">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A2C9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A2C99">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16052">
            <w:pPr>
              <w:pStyle w:val="MemoHeading"/>
            </w:pPr>
            <w:r>
              <w:t>11/05/2020 (15-Month Effective Date (SARC))</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C0528">
            <w:pPr>
              <w:pStyle w:val="MemoHeading"/>
            </w:pPr>
          </w:p>
        </w:tc>
      </w:tr>
    </w:tbl>
    <w:p w:rsidR="00567BEC" w:rsidRDefault="00567BEC" w:rsidP="00D04D3C">
      <w:pPr>
        <w:pStyle w:val="RecommendationMajorSectionHeading"/>
        <w:sectPr w:rsidR="00567BEC" w:rsidSect="00420079">
          <w:footerReference w:type="default" r:id="rId10"/>
          <w:headerReference w:type="first" r:id="rId11"/>
          <w:footerReference w:type="first" r:id="rId12"/>
          <w:type w:val="continuous"/>
          <w:pgSz w:w="12240" w:h="15840" w:code="1"/>
          <w:pgMar w:top="1584" w:right="1440" w:bottom="1440" w:left="1440" w:header="720" w:footer="720" w:gutter="0"/>
          <w:cols w:space="720"/>
          <w:formProt w:val="0"/>
          <w:docGrid w:linePitch="360"/>
        </w:sectPr>
      </w:pPr>
      <w:bookmarkStart w:id="9" w:name="RecToC"/>
      <w:bookmarkEnd w:id="9"/>
    </w:p>
    <w:p w:rsidR="00D04D3C" w:rsidRDefault="00D04D3C" w:rsidP="00567BEC">
      <w:pPr>
        <w:pStyle w:val="RecommendationMajorSectionHeading"/>
      </w:pPr>
      <w:r>
        <w:lastRenderedPageBreak/>
        <w:t>Table of Contents</w:t>
      </w:r>
    </w:p>
    <w:p w:rsidR="00D04D3C" w:rsidRDefault="00D04D3C">
      <w:pPr>
        <w:pStyle w:val="TOCColumnHeadings"/>
      </w:pPr>
      <w:r>
        <w:t>Issue</w:t>
      </w:r>
      <w:r>
        <w:tab/>
        <w:t>Description</w:t>
      </w:r>
      <w:r>
        <w:tab/>
        <w:t>Page</w:t>
      </w:r>
    </w:p>
    <w:p w:rsidR="007852B7" w:rsidRDefault="00D04D3C">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32829956" w:history="1">
        <w:r w:rsidR="007852B7" w:rsidRPr="00C862B0">
          <w:rPr>
            <w:rStyle w:val="Hyperlink"/>
            <w:noProof/>
          </w:rPr>
          <w:tab/>
          <w:t>Case Background</w:t>
        </w:r>
        <w:r w:rsidR="007852B7">
          <w:rPr>
            <w:noProof/>
            <w:webHidden/>
          </w:rPr>
          <w:tab/>
        </w:r>
        <w:r w:rsidR="007852B7">
          <w:rPr>
            <w:noProof/>
            <w:webHidden/>
          </w:rPr>
          <w:fldChar w:fldCharType="begin"/>
        </w:r>
        <w:r w:rsidR="007852B7">
          <w:rPr>
            <w:noProof/>
            <w:webHidden/>
          </w:rPr>
          <w:instrText xml:space="preserve"> PAGEREF _Toc32829956 \h </w:instrText>
        </w:r>
        <w:r w:rsidR="007852B7">
          <w:rPr>
            <w:noProof/>
            <w:webHidden/>
          </w:rPr>
        </w:r>
        <w:r w:rsidR="007852B7">
          <w:rPr>
            <w:noProof/>
            <w:webHidden/>
          </w:rPr>
          <w:fldChar w:fldCharType="separate"/>
        </w:r>
        <w:r w:rsidR="00B51302">
          <w:rPr>
            <w:noProof/>
            <w:webHidden/>
          </w:rPr>
          <w:t>3</w:t>
        </w:r>
        <w:r w:rsidR="007852B7">
          <w:rPr>
            <w:noProof/>
            <w:webHidden/>
          </w:rPr>
          <w:fldChar w:fldCharType="end"/>
        </w:r>
      </w:hyperlink>
    </w:p>
    <w:p w:rsidR="007852B7" w:rsidRDefault="002F0A21">
      <w:pPr>
        <w:pStyle w:val="TOC1"/>
        <w:rPr>
          <w:rFonts w:asciiTheme="minorHAnsi" w:eastAsiaTheme="minorEastAsia" w:hAnsiTheme="minorHAnsi" w:cstheme="minorBidi"/>
          <w:noProof/>
          <w:sz w:val="22"/>
          <w:szCs w:val="22"/>
        </w:rPr>
      </w:pPr>
      <w:hyperlink w:anchor="_Toc32829957" w:history="1">
        <w:r w:rsidR="007852B7" w:rsidRPr="00C862B0">
          <w:rPr>
            <w:rStyle w:val="Hyperlink"/>
            <w:noProof/>
          </w:rPr>
          <w:t>1</w:t>
        </w:r>
        <w:r w:rsidR="007852B7" w:rsidRPr="00C862B0">
          <w:rPr>
            <w:rStyle w:val="Hyperlink"/>
            <w:noProof/>
          </w:rPr>
          <w:tab/>
          <w:t>Quality of Service (D. Phillips)</w:t>
        </w:r>
        <w:r w:rsidR="007852B7">
          <w:rPr>
            <w:noProof/>
            <w:webHidden/>
          </w:rPr>
          <w:tab/>
        </w:r>
        <w:r w:rsidR="007852B7">
          <w:rPr>
            <w:noProof/>
            <w:webHidden/>
          </w:rPr>
          <w:fldChar w:fldCharType="begin"/>
        </w:r>
        <w:r w:rsidR="007852B7">
          <w:rPr>
            <w:noProof/>
            <w:webHidden/>
          </w:rPr>
          <w:instrText xml:space="preserve"> PAGEREF _Toc32829957 \h </w:instrText>
        </w:r>
        <w:r w:rsidR="007852B7">
          <w:rPr>
            <w:noProof/>
            <w:webHidden/>
          </w:rPr>
        </w:r>
        <w:r w:rsidR="007852B7">
          <w:rPr>
            <w:noProof/>
            <w:webHidden/>
          </w:rPr>
          <w:fldChar w:fldCharType="separate"/>
        </w:r>
        <w:r w:rsidR="00B51302">
          <w:rPr>
            <w:noProof/>
            <w:webHidden/>
          </w:rPr>
          <w:t>4</w:t>
        </w:r>
        <w:r w:rsidR="007852B7">
          <w:rPr>
            <w:noProof/>
            <w:webHidden/>
          </w:rPr>
          <w:fldChar w:fldCharType="end"/>
        </w:r>
      </w:hyperlink>
    </w:p>
    <w:p w:rsidR="007852B7" w:rsidRDefault="002F0A21">
      <w:pPr>
        <w:pStyle w:val="TOC1"/>
        <w:rPr>
          <w:rFonts w:asciiTheme="minorHAnsi" w:eastAsiaTheme="minorEastAsia" w:hAnsiTheme="minorHAnsi" w:cstheme="minorBidi"/>
          <w:noProof/>
          <w:sz w:val="22"/>
          <w:szCs w:val="22"/>
        </w:rPr>
      </w:pPr>
      <w:hyperlink w:anchor="_Toc32829958" w:history="1">
        <w:r w:rsidR="007852B7" w:rsidRPr="00C862B0">
          <w:rPr>
            <w:rStyle w:val="Hyperlink"/>
            <w:noProof/>
          </w:rPr>
          <w:t>2</w:t>
        </w:r>
        <w:r w:rsidR="007852B7" w:rsidRPr="00C862B0">
          <w:rPr>
            <w:rStyle w:val="Hyperlink"/>
            <w:noProof/>
          </w:rPr>
          <w:tab/>
          <w:t>Infrastructure and Operating Conditions (Thompson)</w:t>
        </w:r>
        <w:r w:rsidR="007852B7">
          <w:rPr>
            <w:noProof/>
            <w:webHidden/>
          </w:rPr>
          <w:tab/>
        </w:r>
        <w:r w:rsidR="007852B7">
          <w:rPr>
            <w:noProof/>
            <w:webHidden/>
          </w:rPr>
          <w:fldChar w:fldCharType="begin"/>
        </w:r>
        <w:r w:rsidR="007852B7">
          <w:rPr>
            <w:noProof/>
            <w:webHidden/>
          </w:rPr>
          <w:instrText xml:space="preserve"> PAGEREF _Toc32829958 \h </w:instrText>
        </w:r>
        <w:r w:rsidR="007852B7">
          <w:rPr>
            <w:noProof/>
            <w:webHidden/>
          </w:rPr>
        </w:r>
        <w:r w:rsidR="007852B7">
          <w:rPr>
            <w:noProof/>
            <w:webHidden/>
          </w:rPr>
          <w:fldChar w:fldCharType="separate"/>
        </w:r>
        <w:r w:rsidR="00B51302">
          <w:rPr>
            <w:noProof/>
            <w:webHidden/>
          </w:rPr>
          <w:t>7</w:t>
        </w:r>
        <w:r w:rsidR="007852B7">
          <w:rPr>
            <w:noProof/>
            <w:webHidden/>
          </w:rPr>
          <w:fldChar w:fldCharType="end"/>
        </w:r>
      </w:hyperlink>
    </w:p>
    <w:p w:rsidR="007852B7" w:rsidRDefault="002F0A21">
      <w:pPr>
        <w:pStyle w:val="TOC1"/>
        <w:rPr>
          <w:rFonts w:asciiTheme="minorHAnsi" w:eastAsiaTheme="minorEastAsia" w:hAnsiTheme="minorHAnsi" w:cstheme="minorBidi"/>
          <w:noProof/>
          <w:sz w:val="22"/>
          <w:szCs w:val="22"/>
        </w:rPr>
      </w:pPr>
      <w:hyperlink w:anchor="_Toc32829959" w:history="1">
        <w:r w:rsidR="007852B7" w:rsidRPr="00C862B0">
          <w:rPr>
            <w:rStyle w:val="Hyperlink"/>
            <w:noProof/>
          </w:rPr>
          <w:t>3</w:t>
        </w:r>
        <w:r w:rsidR="007852B7" w:rsidRPr="00C862B0">
          <w:rPr>
            <w:rStyle w:val="Hyperlink"/>
            <w:noProof/>
          </w:rPr>
          <w:tab/>
          <w:t>Used and Useful (Thompson)</w:t>
        </w:r>
        <w:r w:rsidR="007852B7">
          <w:rPr>
            <w:noProof/>
            <w:webHidden/>
          </w:rPr>
          <w:tab/>
        </w:r>
        <w:r w:rsidR="007852B7">
          <w:rPr>
            <w:noProof/>
            <w:webHidden/>
          </w:rPr>
          <w:fldChar w:fldCharType="begin"/>
        </w:r>
        <w:r w:rsidR="007852B7">
          <w:rPr>
            <w:noProof/>
            <w:webHidden/>
          </w:rPr>
          <w:instrText xml:space="preserve"> PAGEREF _Toc32829959 \h </w:instrText>
        </w:r>
        <w:r w:rsidR="007852B7">
          <w:rPr>
            <w:noProof/>
            <w:webHidden/>
          </w:rPr>
        </w:r>
        <w:r w:rsidR="007852B7">
          <w:rPr>
            <w:noProof/>
            <w:webHidden/>
          </w:rPr>
          <w:fldChar w:fldCharType="separate"/>
        </w:r>
        <w:r w:rsidR="00B51302">
          <w:rPr>
            <w:noProof/>
            <w:webHidden/>
          </w:rPr>
          <w:t>8</w:t>
        </w:r>
        <w:r w:rsidR="007852B7">
          <w:rPr>
            <w:noProof/>
            <w:webHidden/>
          </w:rPr>
          <w:fldChar w:fldCharType="end"/>
        </w:r>
      </w:hyperlink>
    </w:p>
    <w:p w:rsidR="007852B7" w:rsidRDefault="002F0A21">
      <w:pPr>
        <w:pStyle w:val="TOC1"/>
        <w:rPr>
          <w:rFonts w:asciiTheme="minorHAnsi" w:eastAsiaTheme="minorEastAsia" w:hAnsiTheme="minorHAnsi" w:cstheme="minorBidi"/>
          <w:noProof/>
          <w:sz w:val="22"/>
          <w:szCs w:val="22"/>
        </w:rPr>
      </w:pPr>
      <w:hyperlink w:anchor="_Toc32829960" w:history="1">
        <w:r w:rsidR="007852B7" w:rsidRPr="00C862B0">
          <w:rPr>
            <w:rStyle w:val="Hyperlink"/>
            <w:noProof/>
          </w:rPr>
          <w:t>4</w:t>
        </w:r>
        <w:r w:rsidR="007852B7" w:rsidRPr="00C862B0">
          <w:rPr>
            <w:rStyle w:val="Hyperlink"/>
            <w:noProof/>
          </w:rPr>
          <w:tab/>
          <w:t>Average Test Year Rate Base (Hightower, Thompson)</w:t>
        </w:r>
        <w:r w:rsidR="007852B7">
          <w:rPr>
            <w:noProof/>
            <w:webHidden/>
          </w:rPr>
          <w:tab/>
        </w:r>
        <w:r w:rsidR="007852B7">
          <w:rPr>
            <w:noProof/>
            <w:webHidden/>
          </w:rPr>
          <w:fldChar w:fldCharType="begin"/>
        </w:r>
        <w:r w:rsidR="007852B7">
          <w:rPr>
            <w:noProof/>
            <w:webHidden/>
          </w:rPr>
          <w:instrText xml:space="preserve"> PAGEREF _Toc32829960 \h </w:instrText>
        </w:r>
        <w:r w:rsidR="007852B7">
          <w:rPr>
            <w:noProof/>
            <w:webHidden/>
          </w:rPr>
        </w:r>
        <w:r w:rsidR="007852B7">
          <w:rPr>
            <w:noProof/>
            <w:webHidden/>
          </w:rPr>
          <w:fldChar w:fldCharType="separate"/>
        </w:r>
        <w:r w:rsidR="00B51302">
          <w:rPr>
            <w:noProof/>
            <w:webHidden/>
          </w:rPr>
          <w:t>9</w:t>
        </w:r>
        <w:r w:rsidR="007852B7">
          <w:rPr>
            <w:noProof/>
            <w:webHidden/>
          </w:rPr>
          <w:fldChar w:fldCharType="end"/>
        </w:r>
      </w:hyperlink>
    </w:p>
    <w:p w:rsidR="007852B7" w:rsidRDefault="002F0A21">
      <w:pPr>
        <w:pStyle w:val="TOC1"/>
        <w:rPr>
          <w:rFonts w:asciiTheme="minorHAnsi" w:eastAsiaTheme="minorEastAsia" w:hAnsiTheme="minorHAnsi" w:cstheme="minorBidi"/>
          <w:noProof/>
          <w:sz w:val="22"/>
          <w:szCs w:val="22"/>
        </w:rPr>
      </w:pPr>
      <w:hyperlink w:anchor="_Toc32829961" w:history="1">
        <w:r w:rsidR="007852B7" w:rsidRPr="00C862B0">
          <w:rPr>
            <w:rStyle w:val="Hyperlink"/>
            <w:noProof/>
          </w:rPr>
          <w:t>5</w:t>
        </w:r>
        <w:r w:rsidR="007852B7" w:rsidRPr="00C862B0">
          <w:rPr>
            <w:rStyle w:val="Hyperlink"/>
            <w:noProof/>
          </w:rPr>
          <w:tab/>
          <w:t>Return on Equity (Hightower)</w:t>
        </w:r>
        <w:r w:rsidR="007852B7">
          <w:rPr>
            <w:noProof/>
            <w:webHidden/>
          </w:rPr>
          <w:tab/>
        </w:r>
        <w:r w:rsidR="007852B7">
          <w:rPr>
            <w:noProof/>
            <w:webHidden/>
          </w:rPr>
          <w:fldChar w:fldCharType="begin"/>
        </w:r>
        <w:r w:rsidR="007852B7">
          <w:rPr>
            <w:noProof/>
            <w:webHidden/>
          </w:rPr>
          <w:instrText xml:space="preserve"> PAGEREF _Toc32829961 \h </w:instrText>
        </w:r>
        <w:r w:rsidR="007852B7">
          <w:rPr>
            <w:noProof/>
            <w:webHidden/>
          </w:rPr>
        </w:r>
        <w:r w:rsidR="007852B7">
          <w:rPr>
            <w:noProof/>
            <w:webHidden/>
          </w:rPr>
          <w:fldChar w:fldCharType="separate"/>
        </w:r>
        <w:r w:rsidR="00B51302">
          <w:rPr>
            <w:noProof/>
            <w:webHidden/>
          </w:rPr>
          <w:t>12</w:t>
        </w:r>
        <w:r w:rsidR="007852B7">
          <w:rPr>
            <w:noProof/>
            <w:webHidden/>
          </w:rPr>
          <w:fldChar w:fldCharType="end"/>
        </w:r>
      </w:hyperlink>
    </w:p>
    <w:p w:rsidR="007852B7" w:rsidRDefault="002F0A21">
      <w:pPr>
        <w:pStyle w:val="TOC1"/>
        <w:rPr>
          <w:rFonts w:asciiTheme="minorHAnsi" w:eastAsiaTheme="minorEastAsia" w:hAnsiTheme="minorHAnsi" w:cstheme="minorBidi"/>
          <w:noProof/>
          <w:sz w:val="22"/>
          <w:szCs w:val="22"/>
        </w:rPr>
      </w:pPr>
      <w:hyperlink w:anchor="_Toc32829962" w:history="1">
        <w:r w:rsidR="007852B7" w:rsidRPr="00C862B0">
          <w:rPr>
            <w:rStyle w:val="Hyperlink"/>
            <w:noProof/>
          </w:rPr>
          <w:t>6</w:t>
        </w:r>
        <w:r w:rsidR="007852B7" w:rsidRPr="00C862B0">
          <w:rPr>
            <w:rStyle w:val="Hyperlink"/>
            <w:noProof/>
          </w:rPr>
          <w:tab/>
          <w:t>Test Year Revenue (Bethea)</w:t>
        </w:r>
        <w:r w:rsidR="007852B7">
          <w:rPr>
            <w:noProof/>
            <w:webHidden/>
          </w:rPr>
          <w:tab/>
        </w:r>
        <w:r w:rsidR="007852B7">
          <w:rPr>
            <w:noProof/>
            <w:webHidden/>
          </w:rPr>
          <w:fldChar w:fldCharType="begin"/>
        </w:r>
        <w:r w:rsidR="007852B7">
          <w:rPr>
            <w:noProof/>
            <w:webHidden/>
          </w:rPr>
          <w:instrText xml:space="preserve"> PAGEREF _Toc32829962 \h </w:instrText>
        </w:r>
        <w:r w:rsidR="007852B7">
          <w:rPr>
            <w:noProof/>
            <w:webHidden/>
          </w:rPr>
        </w:r>
        <w:r w:rsidR="007852B7">
          <w:rPr>
            <w:noProof/>
            <w:webHidden/>
          </w:rPr>
          <w:fldChar w:fldCharType="separate"/>
        </w:r>
        <w:r w:rsidR="00B51302">
          <w:rPr>
            <w:noProof/>
            <w:webHidden/>
          </w:rPr>
          <w:t>13</w:t>
        </w:r>
        <w:r w:rsidR="007852B7">
          <w:rPr>
            <w:noProof/>
            <w:webHidden/>
          </w:rPr>
          <w:fldChar w:fldCharType="end"/>
        </w:r>
      </w:hyperlink>
    </w:p>
    <w:p w:rsidR="007852B7" w:rsidRDefault="002F0A21">
      <w:pPr>
        <w:pStyle w:val="TOC1"/>
        <w:rPr>
          <w:rFonts w:asciiTheme="minorHAnsi" w:eastAsiaTheme="minorEastAsia" w:hAnsiTheme="minorHAnsi" w:cstheme="minorBidi"/>
          <w:noProof/>
          <w:sz w:val="22"/>
          <w:szCs w:val="22"/>
        </w:rPr>
      </w:pPr>
      <w:hyperlink w:anchor="_Toc32829963" w:history="1">
        <w:r w:rsidR="007852B7" w:rsidRPr="00C862B0">
          <w:rPr>
            <w:rStyle w:val="Hyperlink"/>
            <w:noProof/>
          </w:rPr>
          <w:t>7</w:t>
        </w:r>
        <w:r w:rsidR="007852B7" w:rsidRPr="00C862B0">
          <w:rPr>
            <w:rStyle w:val="Hyperlink"/>
            <w:noProof/>
          </w:rPr>
          <w:tab/>
          <w:t>Operating Expenses (Hightower)</w:t>
        </w:r>
        <w:r w:rsidR="007852B7">
          <w:rPr>
            <w:noProof/>
            <w:webHidden/>
          </w:rPr>
          <w:tab/>
        </w:r>
        <w:r w:rsidR="007852B7">
          <w:rPr>
            <w:noProof/>
            <w:webHidden/>
          </w:rPr>
          <w:fldChar w:fldCharType="begin"/>
        </w:r>
        <w:r w:rsidR="007852B7">
          <w:rPr>
            <w:noProof/>
            <w:webHidden/>
          </w:rPr>
          <w:instrText xml:space="preserve"> PAGEREF _Toc32829963 \h </w:instrText>
        </w:r>
        <w:r w:rsidR="007852B7">
          <w:rPr>
            <w:noProof/>
            <w:webHidden/>
          </w:rPr>
        </w:r>
        <w:r w:rsidR="007852B7">
          <w:rPr>
            <w:noProof/>
            <w:webHidden/>
          </w:rPr>
          <w:fldChar w:fldCharType="separate"/>
        </w:r>
        <w:r w:rsidR="00B51302">
          <w:rPr>
            <w:noProof/>
            <w:webHidden/>
          </w:rPr>
          <w:t>14</w:t>
        </w:r>
        <w:r w:rsidR="007852B7">
          <w:rPr>
            <w:noProof/>
            <w:webHidden/>
          </w:rPr>
          <w:fldChar w:fldCharType="end"/>
        </w:r>
      </w:hyperlink>
    </w:p>
    <w:p w:rsidR="007852B7" w:rsidRDefault="002F0A21">
      <w:pPr>
        <w:pStyle w:val="TOC1"/>
        <w:rPr>
          <w:rFonts w:asciiTheme="minorHAnsi" w:eastAsiaTheme="minorEastAsia" w:hAnsiTheme="minorHAnsi" w:cstheme="minorBidi"/>
          <w:noProof/>
          <w:sz w:val="22"/>
          <w:szCs w:val="22"/>
        </w:rPr>
      </w:pPr>
      <w:hyperlink w:anchor="_Toc32829964" w:history="1">
        <w:r w:rsidR="007852B7" w:rsidRPr="00C862B0">
          <w:rPr>
            <w:rStyle w:val="Hyperlink"/>
            <w:noProof/>
          </w:rPr>
          <w:t>8</w:t>
        </w:r>
        <w:r w:rsidR="007852B7" w:rsidRPr="00C862B0">
          <w:rPr>
            <w:rStyle w:val="Hyperlink"/>
            <w:noProof/>
          </w:rPr>
          <w:tab/>
          <w:t>Appropriate Revenue Requirement (Hightower)</w:t>
        </w:r>
        <w:r w:rsidR="007852B7">
          <w:rPr>
            <w:noProof/>
            <w:webHidden/>
          </w:rPr>
          <w:tab/>
        </w:r>
        <w:r w:rsidR="007852B7">
          <w:rPr>
            <w:noProof/>
            <w:webHidden/>
          </w:rPr>
          <w:fldChar w:fldCharType="begin"/>
        </w:r>
        <w:r w:rsidR="007852B7">
          <w:rPr>
            <w:noProof/>
            <w:webHidden/>
          </w:rPr>
          <w:instrText xml:space="preserve"> PAGEREF _Toc32829964 \h </w:instrText>
        </w:r>
        <w:r w:rsidR="007852B7">
          <w:rPr>
            <w:noProof/>
            <w:webHidden/>
          </w:rPr>
        </w:r>
        <w:r w:rsidR="007852B7">
          <w:rPr>
            <w:noProof/>
            <w:webHidden/>
          </w:rPr>
          <w:fldChar w:fldCharType="separate"/>
        </w:r>
        <w:r w:rsidR="00B51302">
          <w:rPr>
            <w:noProof/>
            <w:webHidden/>
          </w:rPr>
          <w:t>23</w:t>
        </w:r>
        <w:r w:rsidR="007852B7">
          <w:rPr>
            <w:noProof/>
            <w:webHidden/>
          </w:rPr>
          <w:fldChar w:fldCharType="end"/>
        </w:r>
      </w:hyperlink>
    </w:p>
    <w:p w:rsidR="007852B7" w:rsidRDefault="002F0A21">
      <w:pPr>
        <w:pStyle w:val="TOC1"/>
        <w:rPr>
          <w:rFonts w:asciiTheme="minorHAnsi" w:eastAsiaTheme="minorEastAsia" w:hAnsiTheme="minorHAnsi" w:cstheme="minorBidi"/>
          <w:noProof/>
          <w:sz w:val="22"/>
          <w:szCs w:val="22"/>
        </w:rPr>
      </w:pPr>
      <w:hyperlink w:anchor="_Toc32829965" w:history="1">
        <w:r w:rsidR="007852B7" w:rsidRPr="00C862B0">
          <w:rPr>
            <w:rStyle w:val="Hyperlink"/>
            <w:noProof/>
          </w:rPr>
          <w:t>9</w:t>
        </w:r>
        <w:r w:rsidR="007852B7" w:rsidRPr="00C862B0">
          <w:rPr>
            <w:rStyle w:val="Hyperlink"/>
            <w:noProof/>
          </w:rPr>
          <w:tab/>
          <w:t>Appropriate Rate Structure (Bethea)</w:t>
        </w:r>
        <w:r w:rsidR="007852B7">
          <w:rPr>
            <w:noProof/>
            <w:webHidden/>
          </w:rPr>
          <w:tab/>
        </w:r>
        <w:r w:rsidR="007852B7">
          <w:rPr>
            <w:noProof/>
            <w:webHidden/>
          </w:rPr>
          <w:fldChar w:fldCharType="begin"/>
        </w:r>
        <w:r w:rsidR="007852B7">
          <w:rPr>
            <w:noProof/>
            <w:webHidden/>
          </w:rPr>
          <w:instrText xml:space="preserve"> PAGEREF _Toc32829965 \h </w:instrText>
        </w:r>
        <w:r w:rsidR="007852B7">
          <w:rPr>
            <w:noProof/>
            <w:webHidden/>
          </w:rPr>
        </w:r>
        <w:r w:rsidR="007852B7">
          <w:rPr>
            <w:noProof/>
            <w:webHidden/>
          </w:rPr>
          <w:fldChar w:fldCharType="separate"/>
        </w:r>
        <w:r w:rsidR="00B51302">
          <w:rPr>
            <w:noProof/>
            <w:webHidden/>
          </w:rPr>
          <w:t>24</w:t>
        </w:r>
        <w:r w:rsidR="007852B7">
          <w:rPr>
            <w:noProof/>
            <w:webHidden/>
          </w:rPr>
          <w:fldChar w:fldCharType="end"/>
        </w:r>
      </w:hyperlink>
    </w:p>
    <w:p w:rsidR="007852B7" w:rsidRDefault="002F0A21">
      <w:pPr>
        <w:pStyle w:val="TOC1"/>
        <w:rPr>
          <w:rFonts w:asciiTheme="minorHAnsi" w:eastAsiaTheme="minorEastAsia" w:hAnsiTheme="minorHAnsi" w:cstheme="minorBidi"/>
          <w:noProof/>
          <w:sz w:val="22"/>
          <w:szCs w:val="22"/>
        </w:rPr>
      </w:pPr>
      <w:hyperlink w:anchor="_Toc32829966" w:history="1">
        <w:r w:rsidR="007852B7" w:rsidRPr="00C862B0">
          <w:rPr>
            <w:rStyle w:val="Hyperlink"/>
            <w:noProof/>
          </w:rPr>
          <w:t>10</w:t>
        </w:r>
        <w:r w:rsidR="007852B7" w:rsidRPr="00C862B0">
          <w:rPr>
            <w:rStyle w:val="Hyperlink"/>
            <w:noProof/>
          </w:rPr>
          <w:tab/>
          <w:t>Appropriate Customer Deposits (Bethea)</w:t>
        </w:r>
        <w:r w:rsidR="007852B7">
          <w:rPr>
            <w:noProof/>
            <w:webHidden/>
          </w:rPr>
          <w:tab/>
        </w:r>
        <w:r w:rsidR="007852B7">
          <w:rPr>
            <w:noProof/>
            <w:webHidden/>
          </w:rPr>
          <w:fldChar w:fldCharType="begin"/>
        </w:r>
        <w:r w:rsidR="007852B7">
          <w:rPr>
            <w:noProof/>
            <w:webHidden/>
          </w:rPr>
          <w:instrText xml:space="preserve"> PAGEREF _Toc32829966 \h </w:instrText>
        </w:r>
        <w:r w:rsidR="007852B7">
          <w:rPr>
            <w:noProof/>
            <w:webHidden/>
          </w:rPr>
        </w:r>
        <w:r w:rsidR="007852B7">
          <w:rPr>
            <w:noProof/>
            <w:webHidden/>
          </w:rPr>
          <w:fldChar w:fldCharType="separate"/>
        </w:r>
        <w:r w:rsidR="00B51302">
          <w:rPr>
            <w:noProof/>
            <w:webHidden/>
          </w:rPr>
          <w:t>27</w:t>
        </w:r>
        <w:r w:rsidR="007852B7">
          <w:rPr>
            <w:noProof/>
            <w:webHidden/>
          </w:rPr>
          <w:fldChar w:fldCharType="end"/>
        </w:r>
      </w:hyperlink>
    </w:p>
    <w:p w:rsidR="007852B7" w:rsidRDefault="002F0A21">
      <w:pPr>
        <w:pStyle w:val="TOC1"/>
        <w:rPr>
          <w:rFonts w:asciiTheme="minorHAnsi" w:eastAsiaTheme="minorEastAsia" w:hAnsiTheme="minorHAnsi" w:cstheme="minorBidi"/>
          <w:noProof/>
          <w:sz w:val="22"/>
          <w:szCs w:val="22"/>
        </w:rPr>
      </w:pPr>
      <w:hyperlink w:anchor="_Toc32829967" w:history="1">
        <w:r w:rsidR="007852B7" w:rsidRPr="00C862B0">
          <w:rPr>
            <w:rStyle w:val="Hyperlink"/>
            <w:noProof/>
          </w:rPr>
          <w:t>11</w:t>
        </w:r>
        <w:r w:rsidR="007852B7" w:rsidRPr="00C862B0">
          <w:rPr>
            <w:rStyle w:val="Hyperlink"/>
            <w:noProof/>
          </w:rPr>
          <w:tab/>
          <w:t>Four-Year Reduction (Bethea, Hightower)</w:t>
        </w:r>
        <w:r w:rsidR="007852B7">
          <w:rPr>
            <w:noProof/>
            <w:webHidden/>
          </w:rPr>
          <w:tab/>
        </w:r>
        <w:r w:rsidR="007852B7">
          <w:rPr>
            <w:noProof/>
            <w:webHidden/>
          </w:rPr>
          <w:fldChar w:fldCharType="begin"/>
        </w:r>
        <w:r w:rsidR="007852B7">
          <w:rPr>
            <w:noProof/>
            <w:webHidden/>
          </w:rPr>
          <w:instrText xml:space="preserve"> PAGEREF _Toc32829967 \h </w:instrText>
        </w:r>
        <w:r w:rsidR="007852B7">
          <w:rPr>
            <w:noProof/>
            <w:webHidden/>
          </w:rPr>
        </w:r>
        <w:r w:rsidR="007852B7">
          <w:rPr>
            <w:noProof/>
            <w:webHidden/>
          </w:rPr>
          <w:fldChar w:fldCharType="separate"/>
        </w:r>
        <w:r w:rsidR="00B51302">
          <w:rPr>
            <w:noProof/>
            <w:webHidden/>
          </w:rPr>
          <w:t>28</w:t>
        </w:r>
        <w:r w:rsidR="007852B7">
          <w:rPr>
            <w:noProof/>
            <w:webHidden/>
          </w:rPr>
          <w:fldChar w:fldCharType="end"/>
        </w:r>
      </w:hyperlink>
    </w:p>
    <w:p w:rsidR="007852B7" w:rsidRDefault="002F0A21">
      <w:pPr>
        <w:pStyle w:val="TOC1"/>
        <w:rPr>
          <w:rFonts w:asciiTheme="minorHAnsi" w:eastAsiaTheme="minorEastAsia" w:hAnsiTheme="minorHAnsi" w:cstheme="minorBidi"/>
          <w:noProof/>
          <w:sz w:val="22"/>
          <w:szCs w:val="22"/>
        </w:rPr>
      </w:pPr>
      <w:hyperlink w:anchor="_Toc32829968" w:history="1">
        <w:r w:rsidR="007852B7" w:rsidRPr="00C862B0">
          <w:rPr>
            <w:rStyle w:val="Hyperlink"/>
            <w:noProof/>
          </w:rPr>
          <w:t>12</w:t>
        </w:r>
        <w:r w:rsidR="007852B7" w:rsidRPr="00C862B0">
          <w:rPr>
            <w:rStyle w:val="Hyperlink"/>
            <w:noProof/>
          </w:rPr>
          <w:tab/>
          <w:t>Temporary Rates (Hightower)</w:t>
        </w:r>
        <w:r w:rsidR="007852B7">
          <w:rPr>
            <w:noProof/>
            <w:webHidden/>
          </w:rPr>
          <w:tab/>
        </w:r>
        <w:r w:rsidR="007852B7">
          <w:rPr>
            <w:noProof/>
            <w:webHidden/>
          </w:rPr>
          <w:fldChar w:fldCharType="begin"/>
        </w:r>
        <w:r w:rsidR="007852B7">
          <w:rPr>
            <w:noProof/>
            <w:webHidden/>
          </w:rPr>
          <w:instrText xml:space="preserve"> PAGEREF _Toc32829968 \h </w:instrText>
        </w:r>
        <w:r w:rsidR="007852B7">
          <w:rPr>
            <w:noProof/>
            <w:webHidden/>
          </w:rPr>
        </w:r>
        <w:r w:rsidR="007852B7">
          <w:rPr>
            <w:noProof/>
            <w:webHidden/>
          </w:rPr>
          <w:fldChar w:fldCharType="separate"/>
        </w:r>
        <w:r w:rsidR="00B51302">
          <w:rPr>
            <w:noProof/>
            <w:webHidden/>
          </w:rPr>
          <w:t>29</w:t>
        </w:r>
        <w:r w:rsidR="007852B7">
          <w:rPr>
            <w:noProof/>
            <w:webHidden/>
          </w:rPr>
          <w:fldChar w:fldCharType="end"/>
        </w:r>
      </w:hyperlink>
    </w:p>
    <w:p w:rsidR="007852B7" w:rsidRDefault="002F0A21">
      <w:pPr>
        <w:pStyle w:val="TOC1"/>
        <w:rPr>
          <w:rFonts w:asciiTheme="minorHAnsi" w:eastAsiaTheme="minorEastAsia" w:hAnsiTheme="minorHAnsi" w:cstheme="minorBidi"/>
          <w:noProof/>
          <w:sz w:val="22"/>
          <w:szCs w:val="22"/>
        </w:rPr>
      </w:pPr>
      <w:hyperlink w:anchor="_Toc32829969" w:history="1">
        <w:r w:rsidR="007852B7" w:rsidRPr="00C862B0">
          <w:rPr>
            <w:rStyle w:val="Hyperlink"/>
            <w:noProof/>
          </w:rPr>
          <w:t>13</w:t>
        </w:r>
        <w:r w:rsidR="007852B7" w:rsidRPr="00C862B0">
          <w:rPr>
            <w:rStyle w:val="Hyperlink"/>
            <w:noProof/>
          </w:rPr>
          <w:tab/>
          <w:t>Commission-Ordered Adjustments (Hightower)</w:t>
        </w:r>
        <w:r w:rsidR="007852B7">
          <w:rPr>
            <w:noProof/>
            <w:webHidden/>
          </w:rPr>
          <w:tab/>
        </w:r>
        <w:r w:rsidR="007852B7">
          <w:rPr>
            <w:noProof/>
            <w:webHidden/>
          </w:rPr>
          <w:fldChar w:fldCharType="begin"/>
        </w:r>
        <w:r w:rsidR="007852B7">
          <w:rPr>
            <w:noProof/>
            <w:webHidden/>
          </w:rPr>
          <w:instrText xml:space="preserve"> PAGEREF _Toc32829969 \h </w:instrText>
        </w:r>
        <w:r w:rsidR="007852B7">
          <w:rPr>
            <w:noProof/>
            <w:webHidden/>
          </w:rPr>
        </w:r>
        <w:r w:rsidR="007852B7">
          <w:rPr>
            <w:noProof/>
            <w:webHidden/>
          </w:rPr>
          <w:fldChar w:fldCharType="separate"/>
        </w:r>
        <w:r w:rsidR="00B51302">
          <w:rPr>
            <w:noProof/>
            <w:webHidden/>
          </w:rPr>
          <w:t>31</w:t>
        </w:r>
        <w:r w:rsidR="007852B7">
          <w:rPr>
            <w:noProof/>
            <w:webHidden/>
          </w:rPr>
          <w:fldChar w:fldCharType="end"/>
        </w:r>
      </w:hyperlink>
    </w:p>
    <w:p w:rsidR="007852B7" w:rsidRDefault="002F0A21">
      <w:pPr>
        <w:pStyle w:val="TOC1"/>
        <w:rPr>
          <w:rFonts w:asciiTheme="minorHAnsi" w:eastAsiaTheme="minorEastAsia" w:hAnsiTheme="minorHAnsi" w:cstheme="minorBidi"/>
          <w:noProof/>
          <w:sz w:val="22"/>
          <w:szCs w:val="22"/>
        </w:rPr>
      </w:pPr>
      <w:hyperlink w:anchor="_Toc32829970" w:history="1">
        <w:r w:rsidR="007852B7" w:rsidRPr="00C862B0">
          <w:rPr>
            <w:rStyle w:val="Hyperlink"/>
            <w:noProof/>
          </w:rPr>
          <w:t>14</w:t>
        </w:r>
        <w:r w:rsidR="007852B7" w:rsidRPr="00C862B0">
          <w:rPr>
            <w:rStyle w:val="Hyperlink"/>
            <w:noProof/>
          </w:rPr>
          <w:tab/>
          <w:t>Docket Closure (Weisenfeld)</w:t>
        </w:r>
        <w:r w:rsidR="007852B7">
          <w:rPr>
            <w:noProof/>
            <w:webHidden/>
          </w:rPr>
          <w:tab/>
        </w:r>
        <w:r w:rsidR="007852B7">
          <w:rPr>
            <w:noProof/>
            <w:webHidden/>
          </w:rPr>
          <w:fldChar w:fldCharType="begin"/>
        </w:r>
        <w:r w:rsidR="007852B7">
          <w:rPr>
            <w:noProof/>
            <w:webHidden/>
          </w:rPr>
          <w:instrText xml:space="preserve"> PAGEREF _Toc32829970 \h </w:instrText>
        </w:r>
        <w:r w:rsidR="007852B7">
          <w:rPr>
            <w:noProof/>
            <w:webHidden/>
          </w:rPr>
        </w:r>
        <w:r w:rsidR="007852B7">
          <w:rPr>
            <w:noProof/>
            <w:webHidden/>
          </w:rPr>
          <w:fldChar w:fldCharType="separate"/>
        </w:r>
        <w:r w:rsidR="00B51302">
          <w:rPr>
            <w:noProof/>
            <w:webHidden/>
          </w:rPr>
          <w:t>32</w:t>
        </w:r>
        <w:r w:rsidR="007852B7">
          <w:rPr>
            <w:noProof/>
            <w:webHidden/>
          </w:rPr>
          <w:fldChar w:fldCharType="end"/>
        </w:r>
      </w:hyperlink>
    </w:p>
    <w:p w:rsidR="007852B7" w:rsidRDefault="002F0A21">
      <w:pPr>
        <w:pStyle w:val="TOC1"/>
        <w:rPr>
          <w:rFonts w:asciiTheme="minorHAnsi" w:eastAsiaTheme="minorEastAsia" w:hAnsiTheme="minorHAnsi" w:cstheme="minorBidi"/>
          <w:noProof/>
          <w:sz w:val="22"/>
          <w:szCs w:val="22"/>
        </w:rPr>
      </w:pPr>
      <w:hyperlink w:anchor="_Toc32829971" w:history="1">
        <w:r w:rsidR="007852B7" w:rsidRPr="00C862B0">
          <w:rPr>
            <w:rStyle w:val="Hyperlink"/>
            <w:noProof/>
          </w:rPr>
          <w:tab/>
          <w:t>Schedule No. 1-A</w:t>
        </w:r>
        <w:r w:rsidR="007852B7">
          <w:rPr>
            <w:noProof/>
            <w:webHidden/>
          </w:rPr>
          <w:tab/>
        </w:r>
        <w:r w:rsidR="007852B7">
          <w:rPr>
            <w:noProof/>
            <w:webHidden/>
          </w:rPr>
          <w:fldChar w:fldCharType="begin"/>
        </w:r>
        <w:r w:rsidR="007852B7">
          <w:rPr>
            <w:noProof/>
            <w:webHidden/>
          </w:rPr>
          <w:instrText xml:space="preserve"> PAGEREF _Toc32829971 \h </w:instrText>
        </w:r>
        <w:r w:rsidR="007852B7">
          <w:rPr>
            <w:noProof/>
            <w:webHidden/>
          </w:rPr>
        </w:r>
        <w:r w:rsidR="007852B7">
          <w:rPr>
            <w:noProof/>
            <w:webHidden/>
          </w:rPr>
          <w:fldChar w:fldCharType="separate"/>
        </w:r>
        <w:r w:rsidR="00B51302">
          <w:rPr>
            <w:noProof/>
            <w:webHidden/>
          </w:rPr>
          <w:t>33</w:t>
        </w:r>
        <w:r w:rsidR="007852B7">
          <w:rPr>
            <w:noProof/>
            <w:webHidden/>
          </w:rPr>
          <w:fldChar w:fldCharType="end"/>
        </w:r>
      </w:hyperlink>
    </w:p>
    <w:p w:rsidR="007852B7" w:rsidRDefault="002F0A21">
      <w:pPr>
        <w:pStyle w:val="TOC1"/>
        <w:rPr>
          <w:rFonts w:asciiTheme="minorHAnsi" w:eastAsiaTheme="minorEastAsia" w:hAnsiTheme="minorHAnsi" w:cstheme="minorBidi"/>
          <w:noProof/>
          <w:sz w:val="22"/>
          <w:szCs w:val="22"/>
        </w:rPr>
      </w:pPr>
      <w:hyperlink w:anchor="_Toc32829972" w:history="1">
        <w:r w:rsidR="007852B7" w:rsidRPr="00C862B0">
          <w:rPr>
            <w:rStyle w:val="Hyperlink"/>
            <w:noProof/>
          </w:rPr>
          <w:tab/>
          <w:t>Schedule No. 1-B</w:t>
        </w:r>
        <w:r w:rsidR="007852B7">
          <w:rPr>
            <w:noProof/>
            <w:webHidden/>
          </w:rPr>
          <w:tab/>
        </w:r>
        <w:r w:rsidR="007852B7">
          <w:rPr>
            <w:noProof/>
            <w:webHidden/>
          </w:rPr>
          <w:fldChar w:fldCharType="begin"/>
        </w:r>
        <w:r w:rsidR="007852B7">
          <w:rPr>
            <w:noProof/>
            <w:webHidden/>
          </w:rPr>
          <w:instrText xml:space="preserve"> PAGEREF _Toc32829972 \h </w:instrText>
        </w:r>
        <w:r w:rsidR="007852B7">
          <w:rPr>
            <w:noProof/>
            <w:webHidden/>
          </w:rPr>
        </w:r>
        <w:r w:rsidR="007852B7">
          <w:rPr>
            <w:noProof/>
            <w:webHidden/>
          </w:rPr>
          <w:fldChar w:fldCharType="separate"/>
        </w:r>
        <w:r w:rsidR="00B51302">
          <w:rPr>
            <w:noProof/>
            <w:webHidden/>
          </w:rPr>
          <w:t>34</w:t>
        </w:r>
        <w:r w:rsidR="007852B7">
          <w:rPr>
            <w:noProof/>
            <w:webHidden/>
          </w:rPr>
          <w:fldChar w:fldCharType="end"/>
        </w:r>
      </w:hyperlink>
    </w:p>
    <w:p w:rsidR="007852B7" w:rsidRDefault="002F0A21">
      <w:pPr>
        <w:pStyle w:val="TOC1"/>
        <w:rPr>
          <w:rFonts w:asciiTheme="minorHAnsi" w:eastAsiaTheme="minorEastAsia" w:hAnsiTheme="minorHAnsi" w:cstheme="minorBidi"/>
          <w:noProof/>
          <w:sz w:val="22"/>
          <w:szCs w:val="22"/>
        </w:rPr>
      </w:pPr>
      <w:hyperlink w:anchor="_Toc32829973" w:history="1">
        <w:r w:rsidR="007852B7" w:rsidRPr="00C862B0">
          <w:rPr>
            <w:rStyle w:val="Hyperlink"/>
            <w:noProof/>
          </w:rPr>
          <w:tab/>
          <w:t>Schedule No. 2</w:t>
        </w:r>
        <w:r w:rsidR="007852B7">
          <w:rPr>
            <w:noProof/>
            <w:webHidden/>
          </w:rPr>
          <w:tab/>
        </w:r>
        <w:r w:rsidR="007852B7">
          <w:rPr>
            <w:noProof/>
            <w:webHidden/>
          </w:rPr>
          <w:fldChar w:fldCharType="begin"/>
        </w:r>
        <w:r w:rsidR="007852B7">
          <w:rPr>
            <w:noProof/>
            <w:webHidden/>
          </w:rPr>
          <w:instrText xml:space="preserve"> PAGEREF _Toc32829973 \h </w:instrText>
        </w:r>
        <w:r w:rsidR="007852B7">
          <w:rPr>
            <w:noProof/>
            <w:webHidden/>
          </w:rPr>
        </w:r>
        <w:r w:rsidR="007852B7">
          <w:rPr>
            <w:noProof/>
            <w:webHidden/>
          </w:rPr>
          <w:fldChar w:fldCharType="separate"/>
        </w:r>
        <w:r w:rsidR="00B51302">
          <w:rPr>
            <w:noProof/>
            <w:webHidden/>
          </w:rPr>
          <w:t>35</w:t>
        </w:r>
        <w:r w:rsidR="007852B7">
          <w:rPr>
            <w:noProof/>
            <w:webHidden/>
          </w:rPr>
          <w:fldChar w:fldCharType="end"/>
        </w:r>
      </w:hyperlink>
    </w:p>
    <w:p w:rsidR="007852B7" w:rsidRDefault="002F0A21">
      <w:pPr>
        <w:pStyle w:val="TOC1"/>
        <w:rPr>
          <w:rFonts w:asciiTheme="minorHAnsi" w:eastAsiaTheme="minorEastAsia" w:hAnsiTheme="minorHAnsi" w:cstheme="minorBidi"/>
          <w:noProof/>
          <w:sz w:val="22"/>
          <w:szCs w:val="22"/>
        </w:rPr>
      </w:pPr>
      <w:hyperlink w:anchor="_Toc32829974" w:history="1">
        <w:r w:rsidR="007852B7" w:rsidRPr="00C862B0">
          <w:rPr>
            <w:rStyle w:val="Hyperlink"/>
            <w:noProof/>
          </w:rPr>
          <w:tab/>
          <w:t>Schedule No. 3-A</w:t>
        </w:r>
        <w:r w:rsidR="007852B7">
          <w:rPr>
            <w:noProof/>
            <w:webHidden/>
          </w:rPr>
          <w:tab/>
        </w:r>
        <w:r w:rsidR="007852B7">
          <w:rPr>
            <w:noProof/>
            <w:webHidden/>
          </w:rPr>
          <w:fldChar w:fldCharType="begin"/>
        </w:r>
        <w:r w:rsidR="007852B7">
          <w:rPr>
            <w:noProof/>
            <w:webHidden/>
          </w:rPr>
          <w:instrText xml:space="preserve"> PAGEREF _Toc32829974 \h </w:instrText>
        </w:r>
        <w:r w:rsidR="007852B7">
          <w:rPr>
            <w:noProof/>
            <w:webHidden/>
          </w:rPr>
        </w:r>
        <w:r w:rsidR="007852B7">
          <w:rPr>
            <w:noProof/>
            <w:webHidden/>
          </w:rPr>
          <w:fldChar w:fldCharType="separate"/>
        </w:r>
        <w:r w:rsidR="00B51302">
          <w:rPr>
            <w:noProof/>
            <w:webHidden/>
          </w:rPr>
          <w:t>36</w:t>
        </w:r>
        <w:r w:rsidR="007852B7">
          <w:rPr>
            <w:noProof/>
            <w:webHidden/>
          </w:rPr>
          <w:fldChar w:fldCharType="end"/>
        </w:r>
      </w:hyperlink>
    </w:p>
    <w:p w:rsidR="007852B7" w:rsidRDefault="002F0A21">
      <w:pPr>
        <w:pStyle w:val="TOC1"/>
        <w:rPr>
          <w:rFonts w:asciiTheme="minorHAnsi" w:eastAsiaTheme="minorEastAsia" w:hAnsiTheme="minorHAnsi" w:cstheme="minorBidi"/>
          <w:noProof/>
          <w:sz w:val="22"/>
          <w:szCs w:val="22"/>
        </w:rPr>
      </w:pPr>
      <w:hyperlink w:anchor="_Toc32829975" w:history="1">
        <w:r w:rsidR="007852B7" w:rsidRPr="00C862B0">
          <w:rPr>
            <w:rStyle w:val="Hyperlink"/>
            <w:noProof/>
          </w:rPr>
          <w:tab/>
          <w:t>Schedule No. 3-B</w:t>
        </w:r>
        <w:r w:rsidR="007852B7">
          <w:rPr>
            <w:noProof/>
            <w:webHidden/>
          </w:rPr>
          <w:tab/>
        </w:r>
        <w:r w:rsidR="007852B7">
          <w:rPr>
            <w:noProof/>
            <w:webHidden/>
          </w:rPr>
          <w:fldChar w:fldCharType="begin"/>
        </w:r>
        <w:r w:rsidR="007852B7">
          <w:rPr>
            <w:noProof/>
            <w:webHidden/>
          </w:rPr>
          <w:instrText xml:space="preserve"> PAGEREF _Toc32829975 \h </w:instrText>
        </w:r>
        <w:r w:rsidR="007852B7">
          <w:rPr>
            <w:noProof/>
            <w:webHidden/>
          </w:rPr>
        </w:r>
        <w:r w:rsidR="007852B7">
          <w:rPr>
            <w:noProof/>
            <w:webHidden/>
          </w:rPr>
          <w:fldChar w:fldCharType="separate"/>
        </w:r>
        <w:r w:rsidR="00B51302">
          <w:rPr>
            <w:noProof/>
            <w:webHidden/>
          </w:rPr>
          <w:t>37</w:t>
        </w:r>
        <w:r w:rsidR="007852B7">
          <w:rPr>
            <w:noProof/>
            <w:webHidden/>
          </w:rPr>
          <w:fldChar w:fldCharType="end"/>
        </w:r>
      </w:hyperlink>
    </w:p>
    <w:p w:rsidR="007852B7" w:rsidRDefault="002F0A21">
      <w:pPr>
        <w:pStyle w:val="TOC1"/>
        <w:rPr>
          <w:rFonts w:asciiTheme="minorHAnsi" w:eastAsiaTheme="minorEastAsia" w:hAnsiTheme="minorHAnsi" w:cstheme="minorBidi"/>
          <w:noProof/>
          <w:sz w:val="22"/>
          <w:szCs w:val="22"/>
        </w:rPr>
      </w:pPr>
      <w:hyperlink w:anchor="_Toc32829976" w:history="1">
        <w:r w:rsidR="007852B7" w:rsidRPr="00C862B0">
          <w:rPr>
            <w:rStyle w:val="Hyperlink"/>
            <w:noProof/>
          </w:rPr>
          <w:tab/>
          <w:t>Schedule No. 3-C</w:t>
        </w:r>
        <w:r w:rsidR="007852B7">
          <w:rPr>
            <w:noProof/>
            <w:webHidden/>
          </w:rPr>
          <w:tab/>
        </w:r>
        <w:r w:rsidR="007852B7">
          <w:rPr>
            <w:noProof/>
            <w:webHidden/>
          </w:rPr>
          <w:fldChar w:fldCharType="begin"/>
        </w:r>
        <w:r w:rsidR="007852B7">
          <w:rPr>
            <w:noProof/>
            <w:webHidden/>
          </w:rPr>
          <w:instrText xml:space="preserve"> PAGEREF _Toc32829976 \h </w:instrText>
        </w:r>
        <w:r w:rsidR="007852B7">
          <w:rPr>
            <w:noProof/>
            <w:webHidden/>
          </w:rPr>
        </w:r>
        <w:r w:rsidR="007852B7">
          <w:rPr>
            <w:noProof/>
            <w:webHidden/>
          </w:rPr>
          <w:fldChar w:fldCharType="separate"/>
        </w:r>
        <w:r w:rsidR="00B51302">
          <w:rPr>
            <w:noProof/>
            <w:webHidden/>
          </w:rPr>
          <w:t>39</w:t>
        </w:r>
        <w:r w:rsidR="007852B7">
          <w:rPr>
            <w:noProof/>
            <w:webHidden/>
          </w:rPr>
          <w:fldChar w:fldCharType="end"/>
        </w:r>
      </w:hyperlink>
    </w:p>
    <w:p w:rsidR="007852B7" w:rsidRDefault="002F0A21">
      <w:pPr>
        <w:pStyle w:val="TOC1"/>
        <w:rPr>
          <w:rFonts w:asciiTheme="minorHAnsi" w:eastAsiaTheme="minorEastAsia" w:hAnsiTheme="minorHAnsi" w:cstheme="minorBidi"/>
          <w:noProof/>
          <w:sz w:val="22"/>
          <w:szCs w:val="22"/>
        </w:rPr>
      </w:pPr>
      <w:hyperlink w:anchor="_Toc32829977" w:history="1">
        <w:r w:rsidR="007852B7" w:rsidRPr="00C862B0">
          <w:rPr>
            <w:rStyle w:val="Hyperlink"/>
            <w:noProof/>
          </w:rPr>
          <w:tab/>
          <w:t>Schedule No. 4</w:t>
        </w:r>
        <w:r w:rsidR="007852B7">
          <w:rPr>
            <w:noProof/>
            <w:webHidden/>
          </w:rPr>
          <w:tab/>
        </w:r>
        <w:r w:rsidR="007852B7">
          <w:rPr>
            <w:noProof/>
            <w:webHidden/>
          </w:rPr>
          <w:fldChar w:fldCharType="begin"/>
        </w:r>
        <w:r w:rsidR="007852B7">
          <w:rPr>
            <w:noProof/>
            <w:webHidden/>
          </w:rPr>
          <w:instrText xml:space="preserve"> PAGEREF _Toc32829977 \h </w:instrText>
        </w:r>
        <w:r w:rsidR="007852B7">
          <w:rPr>
            <w:noProof/>
            <w:webHidden/>
          </w:rPr>
        </w:r>
        <w:r w:rsidR="007852B7">
          <w:rPr>
            <w:noProof/>
            <w:webHidden/>
          </w:rPr>
          <w:fldChar w:fldCharType="separate"/>
        </w:r>
        <w:r w:rsidR="00B51302">
          <w:rPr>
            <w:noProof/>
            <w:webHidden/>
          </w:rPr>
          <w:t>40</w:t>
        </w:r>
        <w:r w:rsidR="007852B7">
          <w:rPr>
            <w:noProof/>
            <w:webHidden/>
          </w:rPr>
          <w:fldChar w:fldCharType="end"/>
        </w:r>
      </w:hyperlink>
    </w:p>
    <w:p w:rsidR="00914922" w:rsidRDefault="00D04D3C" w:rsidP="00914922">
      <w:pPr>
        <w:pStyle w:val="TOCColumnHeadings"/>
      </w:pPr>
      <w:r>
        <w:fldChar w:fldCharType="end"/>
      </w:r>
    </w:p>
    <w:p w:rsidR="00914922" w:rsidRPr="00914922" w:rsidRDefault="00914922" w:rsidP="00914922">
      <w:pPr>
        <w:pStyle w:val="BodyText"/>
        <w:sectPr w:rsidR="00914922" w:rsidRPr="00914922" w:rsidSect="00567BEC">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r>
        <w:lastRenderedPageBreak/>
        <w:t xml:space="preserve"> </w:t>
      </w:r>
      <w:bookmarkStart w:id="10" w:name="CaseBackground"/>
      <w:r>
        <w:t>Case Background</w:t>
      </w:r>
      <w:r>
        <w:fldChar w:fldCharType="begin"/>
      </w:r>
      <w:r>
        <w:instrText xml:space="preserve"> TC  "</w:instrText>
      </w:r>
      <w:bookmarkStart w:id="11" w:name="_Toc30164194"/>
      <w:bookmarkStart w:id="12" w:name="_Toc32829956"/>
      <w:r>
        <w:tab/>
        <w:instrText>Case Background</w:instrText>
      </w:r>
      <w:bookmarkEnd w:id="11"/>
      <w:bookmarkEnd w:id="12"/>
      <w:r>
        <w:instrText xml:space="preserve">" \l 1 </w:instrText>
      </w:r>
      <w:r>
        <w:fldChar w:fldCharType="end"/>
      </w:r>
    </w:p>
    <w:p w:rsidR="004A2C99" w:rsidRPr="004A2C99" w:rsidRDefault="004A2C99" w:rsidP="004A2C99">
      <w:pPr>
        <w:pStyle w:val="BodyText"/>
      </w:pPr>
      <w:r w:rsidRPr="004A2C99">
        <w:t xml:space="preserve">The Woods Utility Company (The Woods or Utility) is a Class C utility serving approximately 58 residential </w:t>
      </w:r>
      <w:r w:rsidR="00FB0118">
        <w:t xml:space="preserve">water </w:t>
      </w:r>
      <w:r w:rsidRPr="004A2C99">
        <w:t>customers, 1 general service water customer, and 52</w:t>
      </w:r>
      <w:r w:rsidR="00AC0076">
        <w:t xml:space="preserve"> residential</w:t>
      </w:r>
      <w:r w:rsidRPr="004A2C99">
        <w:t xml:space="preserve"> wastewater customers in Sumter County. The service area is located in the Southwest Florida Water Management District</w:t>
      </w:r>
      <w:r w:rsidR="00AC0076">
        <w:t xml:space="preserve"> (</w:t>
      </w:r>
      <w:proofErr w:type="spellStart"/>
      <w:r w:rsidR="00AC0076">
        <w:t>SWFWMD</w:t>
      </w:r>
      <w:proofErr w:type="spellEnd"/>
      <w:r w:rsidR="00AC0076">
        <w:t>)</w:t>
      </w:r>
      <w:r w:rsidRPr="004A2C99">
        <w:t xml:space="preserve">, which has </w:t>
      </w:r>
      <w:r w:rsidR="00580946">
        <w:t>implemented year-round conservation measures</w:t>
      </w:r>
      <w:r w:rsidRPr="004A2C99">
        <w:t>. According to the Utility’s 2018 Annual Report, total gross revenues were $</w:t>
      </w:r>
      <w:r w:rsidR="007852B7">
        <w:t>37,354</w:t>
      </w:r>
      <w:r w:rsidRPr="004A2C99">
        <w:t xml:space="preserve"> and total operating expenses were $</w:t>
      </w:r>
      <w:r w:rsidR="007852B7">
        <w:t>50,491</w:t>
      </w:r>
      <w:r w:rsidRPr="004A2C99">
        <w:t>, resulting in a net operating loss of $</w:t>
      </w:r>
      <w:r w:rsidR="007852B7">
        <w:t>13,137</w:t>
      </w:r>
      <w:r w:rsidRPr="004A2C99">
        <w:t xml:space="preserve">. </w:t>
      </w:r>
      <w:r w:rsidR="00580946">
        <w:t>On June 6, 20</w:t>
      </w:r>
      <w:r w:rsidR="002B7DE8">
        <w:t>1</w:t>
      </w:r>
      <w:r w:rsidR="00580946">
        <w:t>9, The Woods filed an application for a rate increase in water and wastewater rates.</w:t>
      </w:r>
    </w:p>
    <w:p w:rsidR="004A2C99" w:rsidRPr="004A2C99" w:rsidRDefault="00B2462A" w:rsidP="004A2C99">
      <w:pPr>
        <w:pStyle w:val="BodyText"/>
        <w:rPr>
          <w:vertAlign w:val="superscript"/>
        </w:rPr>
      </w:pPr>
      <w:r>
        <w:t xml:space="preserve">Gary </w:t>
      </w:r>
      <w:proofErr w:type="spellStart"/>
      <w:r>
        <w:t>Deremer</w:t>
      </w:r>
      <w:proofErr w:type="spellEnd"/>
      <w:r>
        <w:t xml:space="preserve">, majority owner, </w:t>
      </w:r>
      <w:r w:rsidRPr="004A2C99">
        <w:t xml:space="preserve">purchased </w:t>
      </w:r>
      <w:r>
        <w:t xml:space="preserve">The Woods </w:t>
      </w:r>
      <w:r w:rsidR="004A2C99" w:rsidRPr="004A2C99">
        <w:t xml:space="preserve">from Aqua Utilities Florida, Inc. (AUF) in March 2013. The transfer was approved by the Florida Public Service Commission </w:t>
      </w:r>
      <w:r w:rsidR="00AC0076">
        <w:t xml:space="preserve">(Commission) </w:t>
      </w:r>
      <w:r w:rsidR="004A2C99" w:rsidRPr="004A2C99">
        <w:t xml:space="preserve">in Order No. </w:t>
      </w:r>
      <w:proofErr w:type="gramStart"/>
      <w:r w:rsidR="004A2C99" w:rsidRPr="004A2C99">
        <w:t>PSC-2014-0300-</w:t>
      </w:r>
      <w:proofErr w:type="spellStart"/>
      <w:r w:rsidR="004A2C99" w:rsidRPr="004A2C99">
        <w:t>PAA</w:t>
      </w:r>
      <w:proofErr w:type="spellEnd"/>
      <w:r w:rsidR="004A2C99" w:rsidRPr="004A2C99">
        <w:t>-WS.</w:t>
      </w:r>
      <w:proofErr w:type="gramEnd"/>
      <w:r w:rsidR="004A2C99" w:rsidRPr="004A2C99">
        <w:rPr>
          <w:vertAlign w:val="superscript"/>
        </w:rPr>
        <w:footnoteReference w:id="1"/>
      </w:r>
      <w:r w:rsidR="004A2C99" w:rsidRPr="004A2C99">
        <w:t xml:space="preserve"> The rate base was last established in that Order.</w:t>
      </w:r>
    </w:p>
    <w:p w:rsidR="004A2C99" w:rsidRPr="004A2C99" w:rsidRDefault="004A2C99" w:rsidP="004A2C99">
      <w:pPr>
        <w:pStyle w:val="BodyText"/>
        <w:rPr>
          <w:bCs/>
        </w:rPr>
      </w:pPr>
      <w:r w:rsidRPr="004A2C99">
        <w:t>The Util</w:t>
      </w:r>
      <w:r w:rsidR="00DA08B4">
        <w:t xml:space="preserve">ity filed </w:t>
      </w:r>
      <w:r w:rsidR="00567BEC">
        <w:t xml:space="preserve">an application </w:t>
      </w:r>
      <w:r w:rsidR="00DA08B4">
        <w:t>for a Staff-</w:t>
      </w:r>
      <w:r w:rsidRPr="004A2C99">
        <w:t>Assisted Rate Case (SARC) on September 21, 2015, in Docket N</w:t>
      </w:r>
      <w:r w:rsidR="00FB0118">
        <w:t>o.</w:t>
      </w:r>
      <w:r w:rsidRPr="004A2C99">
        <w:t xml:space="preserve"> 20150209-WS. The SARC application was withdrawn on February 24, 2016.</w:t>
      </w:r>
      <w:r w:rsidRPr="004A2C99">
        <w:rPr>
          <w:vertAlign w:val="superscript"/>
        </w:rPr>
        <w:footnoteReference w:id="2"/>
      </w:r>
      <w:r w:rsidRPr="004A2C99">
        <w:t xml:space="preserve"> An audit was completed for </w:t>
      </w:r>
      <w:r w:rsidR="00FB0118">
        <w:t xml:space="preserve">the </w:t>
      </w:r>
      <w:r w:rsidRPr="004A2C99">
        <w:t>12 months ended July 31, 2015, but rate base was not established.</w:t>
      </w:r>
      <w:r w:rsidRPr="004A2C99">
        <w:rPr>
          <w:vertAlign w:val="superscript"/>
        </w:rPr>
        <w:footnoteReference w:id="3"/>
      </w:r>
      <w:r w:rsidR="00471A2F">
        <w:t xml:space="preserve"> </w:t>
      </w:r>
      <w:r w:rsidRPr="004A2C99">
        <w:t>The Woods was p</w:t>
      </w:r>
      <w:r w:rsidR="009440E5">
        <w:t>reviously grouped in a “Rate Band</w:t>
      </w:r>
      <w:r w:rsidRPr="004A2C99">
        <w:t>” under the p</w:t>
      </w:r>
      <w:r w:rsidR="00DA08B4">
        <w:t>rior owner</w:t>
      </w:r>
      <w:r w:rsidR="002B7DE8">
        <w:t>,</w:t>
      </w:r>
      <w:r w:rsidR="00DA08B4">
        <w:t xml:space="preserve"> AUF, in a Commission-</w:t>
      </w:r>
      <w:r w:rsidRPr="004A2C99">
        <w:t>approved rate structure. The Woods no longer receives grouping subsidies or benefits</w:t>
      </w:r>
      <w:r w:rsidR="00FB0118">
        <w:t xml:space="preserve"> resulting from the </w:t>
      </w:r>
      <w:r w:rsidR="00616052">
        <w:t>“</w:t>
      </w:r>
      <w:r w:rsidR="00FB0118">
        <w:t>Rate Band” rate structure</w:t>
      </w:r>
      <w:r w:rsidRPr="004A2C99">
        <w:t>.</w:t>
      </w:r>
    </w:p>
    <w:p w:rsidR="004A2C99" w:rsidRDefault="004A2C99" w:rsidP="004A2C99">
      <w:pPr>
        <w:pStyle w:val="BodyText"/>
      </w:pPr>
      <w:r w:rsidRPr="004A2C99">
        <w:t>At the time of filing</w:t>
      </w:r>
      <w:r w:rsidR="00AD5C79">
        <w:t xml:space="preserve"> </w:t>
      </w:r>
      <w:r w:rsidR="00580946">
        <w:t>its</w:t>
      </w:r>
      <w:r w:rsidR="00567BEC">
        <w:t xml:space="preserve"> application</w:t>
      </w:r>
      <w:r w:rsidRPr="004A2C99">
        <w:t xml:space="preserve">, The Woods was under a Consent Order (DEP </w:t>
      </w:r>
      <w:proofErr w:type="spellStart"/>
      <w:r w:rsidRPr="004A2C99">
        <w:t>OGC</w:t>
      </w:r>
      <w:proofErr w:type="spellEnd"/>
      <w:r w:rsidRPr="004A2C99">
        <w:t xml:space="preserve"> File No.: 17-1067) with the Florida Department of Environmental Protection (DEP). The Utility has since completed work on a water treatment plant rehabilitation and filter retrofit</w:t>
      </w:r>
      <w:r w:rsidR="007D6CC0">
        <w:t xml:space="preserve">. </w:t>
      </w:r>
      <w:r w:rsidR="007852B7">
        <w:t xml:space="preserve">The Utility is requesting a rate increase primarily to recover the costs incurred to install the DEP required filter retrofit and water treatment plant improvements. </w:t>
      </w:r>
    </w:p>
    <w:p w:rsidR="00AD5C79" w:rsidRDefault="00AD5C79" w:rsidP="004A2C99">
      <w:pPr>
        <w:pStyle w:val="BodyText"/>
      </w:pPr>
      <w:r>
        <w:t>Staff conducted a customer meeting on December 18, 2019. One general service customer</w:t>
      </w:r>
      <w:r w:rsidR="00FB0118">
        <w:t xml:space="preserve"> spoke at the</w:t>
      </w:r>
      <w:r>
        <w:t xml:space="preserve"> meeting. </w:t>
      </w:r>
    </w:p>
    <w:p w:rsidR="00AD5C79" w:rsidRPr="004A2C99" w:rsidRDefault="00AD5C79" w:rsidP="00AD5C79">
      <w:pPr>
        <w:pStyle w:val="BodyText"/>
      </w:pPr>
      <w:r>
        <w:t>On January 27, 2020, The Woods withdrew its request for the wastewater portion of its SARC.</w:t>
      </w:r>
      <w:r>
        <w:rPr>
          <w:rStyle w:val="FootnoteReference"/>
        </w:rPr>
        <w:footnoteReference w:id="4"/>
      </w:r>
      <w:r w:rsidRPr="004A2C99">
        <w:t xml:space="preserve"> </w:t>
      </w:r>
    </w:p>
    <w:p w:rsidR="004A2C99" w:rsidRPr="004A2C99" w:rsidRDefault="004A2C99" w:rsidP="004A2C99">
      <w:pPr>
        <w:pStyle w:val="BodyText"/>
        <w:sectPr w:rsidR="004A2C99" w:rsidRPr="004A2C99" w:rsidSect="00567BEC">
          <w:pgSz w:w="12240" w:h="15840" w:code="1"/>
          <w:pgMar w:top="1584" w:right="1440" w:bottom="1440" w:left="1440" w:header="720" w:footer="720" w:gutter="0"/>
          <w:cols w:space="720"/>
          <w:formProt w:val="0"/>
          <w:titlePg/>
          <w:docGrid w:linePitch="360"/>
        </w:sectPr>
      </w:pPr>
      <w:r w:rsidRPr="004A2C99">
        <w:t>The Commission has jurisdiction in this case pursuant to Sections 367.011, 367.081, 367.0812, 367.0814, 367.091, and 367.121, Florida Statutes (</w:t>
      </w:r>
      <w:proofErr w:type="spellStart"/>
      <w:r w:rsidRPr="004A2C99">
        <w:t>F.S</w:t>
      </w:r>
      <w:proofErr w:type="spellEnd"/>
      <w:r w:rsidRPr="004A2C99">
        <w:t>.).</w:t>
      </w:r>
    </w:p>
    <w:p w:rsidR="003E58EF" w:rsidRPr="00B16172" w:rsidRDefault="007C0528" w:rsidP="00370305">
      <w:pPr>
        <w:pStyle w:val="RecommendationMajorSectionHeading"/>
      </w:pPr>
      <w:bookmarkStart w:id="13" w:name="DiscussionOfIssues"/>
      <w:bookmarkEnd w:id="10"/>
      <w:r>
        <w:lastRenderedPageBreak/>
        <w:t>Discussion of Issues</w:t>
      </w:r>
      <w:bookmarkEnd w:id="13"/>
    </w:p>
    <w:p w:rsidR="004A2C99" w:rsidRDefault="004A2C99">
      <w:pPr>
        <w:pStyle w:val="IssueHeading"/>
        <w:rPr>
          <w:vanish/>
          <w:specVanish/>
        </w:rPr>
      </w:pPr>
      <w:r w:rsidRPr="004C3641">
        <w:t xml:space="preserve">Issue </w:t>
      </w:r>
      <w:fldSimple w:instr=" SEQ Issue \* MERGEFORMAT ">
        <w:r w:rsidR="00B51302">
          <w:rPr>
            <w:noProof/>
          </w:rPr>
          <w:t>1</w:t>
        </w:r>
      </w:fldSimple>
      <w:r w:rsidRPr="004C3641">
        <w:t>:</w:t>
      </w:r>
      <w:r>
        <w:fldChar w:fldCharType="begin"/>
      </w:r>
      <w:r>
        <w:instrText xml:space="preserve"> TC "</w:instrText>
      </w:r>
      <w:r>
        <w:fldChar w:fldCharType="begin"/>
      </w:r>
      <w:r>
        <w:instrText xml:space="preserve"> SEQ issue \c </w:instrText>
      </w:r>
      <w:r>
        <w:fldChar w:fldCharType="separate"/>
      </w:r>
      <w:bookmarkStart w:id="14" w:name="_Toc30164195"/>
      <w:bookmarkStart w:id="15" w:name="_Toc32829957"/>
      <w:r w:rsidR="00B51302">
        <w:rPr>
          <w:noProof/>
        </w:rPr>
        <w:instrText>1</w:instrText>
      </w:r>
      <w:r>
        <w:fldChar w:fldCharType="end"/>
      </w:r>
      <w:r>
        <w:tab/>
      </w:r>
      <w:bookmarkEnd w:id="14"/>
      <w:r w:rsidR="00AC0076">
        <w:instrText>Quality of Service (D. Phillips)</w:instrText>
      </w:r>
      <w:bookmarkEnd w:id="15"/>
      <w:r>
        <w:instrText xml:space="preserve">" \l 1 </w:instrText>
      </w:r>
      <w:r>
        <w:fldChar w:fldCharType="end"/>
      </w:r>
      <w:r>
        <w:t> </w:t>
      </w:r>
    </w:p>
    <w:p w:rsidR="004A2C99" w:rsidRDefault="0058708C">
      <w:pPr>
        <w:pStyle w:val="BodyText"/>
      </w:pPr>
      <w:r>
        <w:t> Is t</w:t>
      </w:r>
      <w:r w:rsidR="004A2C99">
        <w:t xml:space="preserve">he quality of service provided by The Woods </w:t>
      </w:r>
      <w:r w:rsidR="00567BEC">
        <w:t xml:space="preserve">Utility Company </w:t>
      </w:r>
      <w:r w:rsidR="004A2C99">
        <w:t>satisfactory?</w:t>
      </w:r>
    </w:p>
    <w:p w:rsidR="004A2C99" w:rsidRPr="004C3641" w:rsidRDefault="004A2C99">
      <w:pPr>
        <w:pStyle w:val="IssueSubsectionHeading"/>
        <w:rPr>
          <w:vanish/>
          <w:specVanish/>
        </w:rPr>
      </w:pPr>
      <w:r w:rsidRPr="004C3641">
        <w:t>Recommendation: </w:t>
      </w:r>
    </w:p>
    <w:p w:rsidR="004A2C99" w:rsidRDefault="004A2C99">
      <w:pPr>
        <w:pStyle w:val="BodyText"/>
      </w:pPr>
      <w:r>
        <w:t> </w:t>
      </w:r>
      <w:r w:rsidR="002B0C01" w:rsidRPr="002B0C01">
        <w:t xml:space="preserve">No. The DEP has mandated that the Utility take action to address lead and copper exceedances. Therefore, staff recommends that the quality of product is unsatisfactory. However, the Utility has been responsive to customer complaints and </w:t>
      </w:r>
      <w:r w:rsidR="00567BEC">
        <w:t xml:space="preserve">is </w:t>
      </w:r>
      <w:r w:rsidR="002B0C01" w:rsidRPr="002B0C01">
        <w:t xml:space="preserve">working with the DEP to address product concerns; therefore, no penalty is recommended. The Utility should file status reports on the actions it has taken to meet the </w:t>
      </w:r>
      <w:proofErr w:type="spellStart"/>
      <w:r w:rsidR="002B0C01" w:rsidRPr="002B0C01">
        <w:t>DEP’s</w:t>
      </w:r>
      <w:proofErr w:type="spellEnd"/>
      <w:r w:rsidR="002B0C01" w:rsidRPr="002B0C01">
        <w:t xml:space="preserve"> requirements. Staff recommends the first status report be filed six</w:t>
      </w:r>
      <w:r w:rsidR="00FB0118">
        <w:t xml:space="preserve"> </w:t>
      </w:r>
      <w:r w:rsidR="002B0C01" w:rsidRPr="002B0C01">
        <w:t>months after the Fina</w:t>
      </w:r>
      <w:r w:rsidR="00FB0118">
        <w:t xml:space="preserve">l Order is issued </w:t>
      </w:r>
      <w:r w:rsidR="00567BEC">
        <w:t xml:space="preserve">in this Docket </w:t>
      </w:r>
      <w:r w:rsidR="00FB0118">
        <w:t xml:space="preserve">and every six </w:t>
      </w:r>
      <w:r w:rsidR="002B0C01" w:rsidRPr="002B0C01">
        <w:t>months thereafter until the additional monitoring is rescinded by the DEP. (</w:t>
      </w:r>
      <w:r w:rsidR="00AC0076">
        <w:t xml:space="preserve">D. </w:t>
      </w:r>
      <w:r w:rsidR="002B0C01" w:rsidRPr="002B0C01">
        <w:t>Phillips)</w:t>
      </w:r>
      <w:r>
        <w:t xml:space="preserve"> </w:t>
      </w:r>
    </w:p>
    <w:p w:rsidR="004A2C99" w:rsidRPr="004C3641" w:rsidRDefault="004A2C99">
      <w:pPr>
        <w:pStyle w:val="IssueSubsectionHeading"/>
        <w:rPr>
          <w:vanish/>
          <w:specVanish/>
        </w:rPr>
      </w:pPr>
      <w:r w:rsidRPr="004C3641">
        <w:t>Staff Analysis: </w:t>
      </w:r>
    </w:p>
    <w:p w:rsidR="002B0C01" w:rsidRPr="004B7DA1" w:rsidRDefault="004A2C99" w:rsidP="002B0C01">
      <w:pPr>
        <w:spacing w:after="240"/>
        <w:jc w:val="both"/>
        <w:rPr>
          <w:strike/>
          <w:highlight w:val="yellow"/>
        </w:rPr>
      </w:pPr>
      <w:r>
        <w:t> </w:t>
      </w:r>
      <w:r w:rsidR="002B0C01" w:rsidRPr="004A13FD">
        <w:t>Pursuant to Section 367.081(2</w:t>
      </w:r>
      <w:proofErr w:type="gramStart"/>
      <w:r w:rsidR="002B0C01" w:rsidRPr="004A13FD">
        <w:t>)(</w:t>
      </w:r>
      <w:proofErr w:type="gramEnd"/>
      <w:r w:rsidR="002B0C01">
        <w:t xml:space="preserve">a)1, </w:t>
      </w:r>
      <w:proofErr w:type="spellStart"/>
      <w:r w:rsidR="002B0C01">
        <w:t>F.S</w:t>
      </w:r>
      <w:proofErr w:type="spellEnd"/>
      <w:r w:rsidR="002B0C01">
        <w:t xml:space="preserve">., and </w:t>
      </w:r>
      <w:r w:rsidR="002B0C01" w:rsidRPr="00B27949">
        <w:t xml:space="preserve">Rule 25-30.433(1), </w:t>
      </w:r>
      <w:r w:rsidR="002B0C01">
        <w:t>Florida Administrative Code (</w:t>
      </w:r>
      <w:r w:rsidR="002B0C01" w:rsidRPr="00B27949">
        <w:t>F.A.C.</w:t>
      </w:r>
      <w:r w:rsidR="002B0C01">
        <w:t>)</w:t>
      </w:r>
      <w:r w:rsidR="002B0C01" w:rsidRPr="00B27949">
        <w:t>,</w:t>
      </w:r>
      <w:r w:rsidR="002B0C01" w:rsidRPr="004A13FD">
        <w:t xml:space="preserve"> in </w:t>
      </w:r>
      <w:r w:rsidR="002B0C01">
        <w:t>water</w:t>
      </w:r>
      <w:r w:rsidR="002B0C01" w:rsidRPr="004A13FD">
        <w:t xml:space="preserve"> rate cases, the Commission shall determine the overall quality of service provided by the utility. </w:t>
      </w:r>
      <w:r w:rsidR="002B0C01">
        <w:t>This</w:t>
      </w:r>
      <w:r w:rsidR="002B0C01" w:rsidRPr="00207BE0">
        <w:t xml:space="preserve"> determination is made from an evaluation of the quality of the utility’s product and the </w:t>
      </w:r>
      <w:r w:rsidR="002B0C01">
        <w:t>utility’s</w:t>
      </w:r>
      <w:r w:rsidR="002B0C01" w:rsidRPr="00207BE0">
        <w:t xml:space="preserve"> attempt to address customer satisfaction.</w:t>
      </w:r>
      <w:r w:rsidR="002B0C01" w:rsidRPr="00B27949">
        <w:t xml:space="preserve"> The Rule further states that </w:t>
      </w:r>
      <w:r w:rsidR="002B0C01">
        <w:t xml:space="preserve">the most recent chemical analyses, </w:t>
      </w:r>
      <w:r w:rsidR="002B0C01" w:rsidRPr="00B27949">
        <w:t xml:space="preserve">outstanding citations, violations, and consent orders on file with the DEP and the county health department, </w:t>
      </w:r>
      <w:r w:rsidR="002B0C01">
        <w:t>and</w:t>
      </w:r>
      <w:r w:rsidR="002B0C01" w:rsidRPr="00B27949">
        <w:t xml:space="preserve"> any DEP and county health department officials’ testimony concerning quality of service</w:t>
      </w:r>
      <w:r w:rsidR="009440E5">
        <w:t>,</w:t>
      </w:r>
      <w:r w:rsidR="002B0C01" w:rsidRPr="00B27949">
        <w:t xml:space="preserve"> shall be considered. In addition, any customer testimony, comments, or complaints received by the Commission are also reviewed.</w:t>
      </w:r>
    </w:p>
    <w:p w:rsidR="002B0C01" w:rsidRPr="00DE6D68" w:rsidRDefault="002B0C01" w:rsidP="002B0C01">
      <w:pPr>
        <w:jc w:val="both"/>
        <w:rPr>
          <w:rFonts w:ascii="Arial" w:hAnsi="Arial" w:cs="Arial"/>
          <w:b/>
        </w:rPr>
      </w:pPr>
      <w:r w:rsidRPr="00DE6D68">
        <w:rPr>
          <w:rFonts w:ascii="Arial" w:hAnsi="Arial" w:cs="Arial"/>
          <w:b/>
        </w:rPr>
        <w:t>Quality of the Utility’s Product</w:t>
      </w:r>
    </w:p>
    <w:p w:rsidR="002B0C01" w:rsidRPr="00DE6D68" w:rsidRDefault="002B0C01" w:rsidP="002B0C01">
      <w:pPr>
        <w:spacing w:after="240"/>
        <w:jc w:val="both"/>
      </w:pPr>
      <w:r w:rsidRPr="00DE6D68">
        <w:t>In evaluation of The Woods’ product quality, staff reviewed the Utility’s compliance with the DEP primary and secondary drinking water standards. Primary standards protect public health while secondary standards regulate contaminates that may impact the taste, odor, and color of drinking water. In November 2017, The Woods Utility entered into a Consent Order with the DEP regarding high levels of disinfection byproducts (</w:t>
      </w:r>
      <w:proofErr w:type="spellStart"/>
      <w:r w:rsidRPr="00DE6D68">
        <w:t>DBPs</w:t>
      </w:r>
      <w:proofErr w:type="spellEnd"/>
      <w:r w:rsidRPr="00DE6D68">
        <w:t xml:space="preserve">). The </w:t>
      </w:r>
      <w:proofErr w:type="spellStart"/>
      <w:r w:rsidRPr="00DE6D68">
        <w:t>DBPs</w:t>
      </w:r>
      <w:proofErr w:type="spellEnd"/>
      <w:r w:rsidRPr="00DE6D68">
        <w:t xml:space="preserve"> were a result of the Utility using free chlorine to oxidize high levels of iron in the raw water source. The </w:t>
      </w:r>
      <w:proofErr w:type="spellStart"/>
      <w:r w:rsidRPr="00DE6D68">
        <w:t>DBP</w:t>
      </w:r>
      <w:proofErr w:type="spellEnd"/>
      <w:r w:rsidRPr="00DE6D68">
        <w:t xml:space="preserve"> issue originally surfaced in 2007, while the Utility was operated by its previous owners. In order to comply with the DEP Consent Order</w:t>
      </w:r>
      <w:r w:rsidR="002B7DE8">
        <w:t>,</w:t>
      </w:r>
      <w:r w:rsidRPr="00DE6D68">
        <w:t xml:space="preserve"> the Utility replaced and updated the filtration system to remove the iron from the raw water before distribution. The Utility has also added auto-flushers throughout the distribution system and periodically flushes the system to remove residual iron. The Utility received final clearance from DEP regarding the Consent Order on February 7, 2019. The most recent water samples for secondary standards were taken on February 8, 2018, at which point all secondary sta</w:t>
      </w:r>
      <w:r w:rsidR="00B56F17">
        <w:t>ndards were met by the Utility.</w:t>
      </w:r>
    </w:p>
    <w:p w:rsidR="002B0C01" w:rsidRPr="00DE6D68" w:rsidRDefault="002B0C01" w:rsidP="002B0C01">
      <w:pPr>
        <w:spacing w:after="240"/>
        <w:jc w:val="both"/>
      </w:pPr>
      <w:r w:rsidRPr="00DE6D68">
        <w:t>On January 6, 2020, the Utility was notified by DEP that tap water samples</w:t>
      </w:r>
      <w:r>
        <w:t>, taken from customers’ premises,</w:t>
      </w:r>
      <w:r w:rsidRPr="00DE6D68">
        <w:t xml:space="preserve"> exceeded the allowable lead action level twice in 2019. In the first half of 2019, three samples exceeded lead levels, and in the second half of 2019, six samples exceeded lead levels and three exceeded copper levels. As a result, the DEP has mandated that additional actions are required to address lead</w:t>
      </w:r>
      <w:r>
        <w:t xml:space="preserve"> and copper</w:t>
      </w:r>
      <w:r w:rsidRPr="00DE6D68">
        <w:t xml:space="preserve"> levels. First, the Utility must notify its customers of the 2019 test results by March 31, 2020. Second, the Utility must conduct Water Quality Parameter tests for four consecutive quarters at the point of entry to the distribution system to be completed before December 31, 2020. Third</w:t>
      </w:r>
      <w:r>
        <w:t>,</w:t>
      </w:r>
      <w:r w:rsidRPr="00DE6D68">
        <w:t xml:space="preserve"> the Utility is required to complete an optimal corrosion control study to evaluate effectiveness of treatments by June 30, 2021. Finally</w:t>
      </w:r>
      <w:r>
        <w:t>,</w:t>
      </w:r>
      <w:r w:rsidRPr="00DE6D68">
        <w:t xml:space="preserve"> the Utility must conduct bi-annual lead and copper sampling tests until the system meets required </w:t>
      </w:r>
      <w:r w:rsidRPr="00DE6D68">
        <w:lastRenderedPageBreak/>
        <w:t xml:space="preserve">levels during two consecutive six-month periods. The first sample must be tested between January and June of 2020. </w:t>
      </w:r>
    </w:p>
    <w:p w:rsidR="002B0C01" w:rsidRPr="00DE6D68" w:rsidRDefault="002B0C01" w:rsidP="002B0C01">
      <w:pPr>
        <w:jc w:val="both"/>
        <w:outlineLvl w:val="2"/>
        <w:rPr>
          <w:rFonts w:ascii="Arial" w:hAnsi="Arial" w:cs="Arial"/>
          <w:b/>
          <w:bCs/>
          <w:iCs/>
          <w:szCs w:val="28"/>
        </w:rPr>
      </w:pPr>
      <w:r w:rsidRPr="00DE6D68">
        <w:rPr>
          <w:rFonts w:ascii="Arial" w:hAnsi="Arial" w:cs="Arial"/>
          <w:b/>
          <w:bCs/>
          <w:iCs/>
          <w:szCs w:val="28"/>
        </w:rPr>
        <w:t>The Utility’s Attempt to Address Customer Satisfaction</w:t>
      </w:r>
    </w:p>
    <w:p w:rsidR="002B0C01" w:rsidRPr="00DE6D68" w:rsidRDefault="002B0C01" w:rsidP="002B0C01">
      <w:pPr>
        <w:autoSpaceDE w:val="0"/>
        <w:autoSpaceDN w:val="0"/>
        <w:adjustRightInd w:val="0"/>
        <w:jc w:val="both"/>
      </w:pPr>
      <w:r w:rsidRPr="00DE6D68">
        <w:t xml:space="preserve">Staff reviewed the complaints filed in the Commission’s Consumer Activity Tracking System (CATS), filed with the DEP, and received by the Utility from April 1, 2014, through March 31, 2019. Staff </w:t>
      </w:r>
      <w:r>
        <w:t xml:space="preserve">also </w:t>
      </w:r>
      <w:r w:rsidRPr="00DE6D68">
        <w:t>performed a review of complaints filed in CATS following the December 18, 2019, customer meeting.</w:t>
      </w:r>
      <w:r w:rsidR="006554D7">
        <w:t xml:space="preserve"> Through mid-February 2020, </w:t>
      </w:r>
      <w:r w:rsidRPr="00DE6D68">
        <w:t xml:space="preserve">Table 1-1 shows the number of complaints categorized by complaint type and source. </w:t>
      </w:r>
      <w:r w:rsidR="000424EE">
        <w:t>A</w:t>
      </w:r>
      <w:r w:rsidRPr="00DE6D68">
        <w:t xml:space="preserve"> customer complaint may fit into multiple categories and counted multiple times.  </w:t>
      </w:r>
    </w:p>
    <w:p w:rsidR="002B0C01" w:rsidRPr="00DE6D68" w:rsidRDefault="002B0C01" w:rsidP="002B0C01">
      <w:pPr>
        <w:autoSpaceDE w:val="0"/>
        <w:autoSpaceDN w:val="0"/>
        <w:adjustRightInd w:val="0"/>
        <w:jc w:val="both"/>
      </w:pPr>
    </w:p>
    <w:p w:rsidR="002B0C01" w:rsidRPr="00DE6D68" w:rsidRDefault="002B0C01" w:rsidP="002B0C01">
      <w:pPr>
        <w:keepNext/>
        <w:jc w:val="center"/>
        <w:rPr>
          <w:rFonts w:ascii="Arial" w:hAnsi="Arial"/>
          <w:b/>
        </w:rPr>
      </w:pPr>
      <w:r w:rsidRPr="00DE6D68">
        <w:rPr>
          <w:rFonts w:ascii="Arial" w:hAnsi="Arial"/>
          <w:b/>
        </w:rPr>
        <w:t xml:space="preserve">Table </w:t>
      </w:r>
      <w:r w:rsidRPr="00DE6D68">
        <w:rPr>
          <w:rFonts w:ascii="Arial" w:hAnsi="Arial"/>
          <w:b/>
        </w:rPr>
        <w:fldChar w:fldCharType="begin"/>
      </w:r>
      <w:r w:rsidRPr="00DE6D68">
        <w:rPr>
          <w:rFonts w:ascii="Arial" w:hAnsi="Arial"/>
          <w:b/>
        </w:rPr>
        <w:instrText xml:space="preserve"> SEQ Issue \c </w:instrText>
      </w:r>
      <w:r w:rsidRPr="00DE6D68">
        <w:rPr>
          <w:rFonts w:ascii="Arial" w:hAnsi="Arial"/>
          <w:b/>
        </w:rPr>
        <w:fldChar w:fldCharType="separate"/>
      </w:r>
      <w:r w:rsidR="00B51302">
        <w:rPr>
          <w:rFonts w:ascii="Arial" w:hAnsi="Arial"/>
          <w:b/>
          <w:noProof/>
        </w:rPr>
        <w:t>1</w:t>
      </w:r>
      <w:r w:rsidRPr="00DE6D68">
        <w:rPr>
          <w:rFonts w:ascii="Arial" w:hAnsi="Arial"/>
          <w:b/>
          <w:noProof/>
        </w:rPr>
        <w:fldChar w:fldCharType="end"/>
      </w:r>
      <w:r w:rsidRPr="00DE6D68">
        <w:rPr>
          <w:rFonts w:ascii="Arial" w:hAnsi="Arial"/>
          <w:b/>
        </w:rPr>
        <w:t>-1</w:t>
      </w:r>
    </w:p>
    <w:p w:rsidR="002B0C01" w:rsidRPr="00DE6D68" w:rsidRDefault="002B0C01" w:rsidP="002B0C01">
      <w:pPr>
        <w:keepNext/>
        <w:jc w:val="center"/>
        <w:rPr>
          <w:rFonts w:ascii="Arial" w:hAnsi="Arial"/>
          <w:b/>
        </w:rPr>
      </w:pPr>
      <w:r w:rsidRPr="00DE6D68">
        <w:rPr>
          <w:rFonts w:ascii="Arial" w:hAnsi="Arial"/>
          <w:b/>
        </w:rPr>
        <w:t>Number of Complaints by Type and Source</w:t>
      </w:r>
    </w:p>
    <w:p w:rsidR="002B0C01" w:rsidRPr="00DE6D68" w:rsidRDefault="002B0C01" w:rsidP="002B0C01">
      <w:pPr>
        <w:jc w:val="center"/>
        <w:rPr>
          <w:sz w:val="20"/>
          <w:szCs w:val="20"/>
        </w:rPr>
      </w:pPr>
      <w:r w:rsidRPr="00DE6D68">
        <w:rPr>
          <w:noProof/>
        </w:rPr>
        <w:drawing>
          <wp:inline distT="0" distB="0" distL="0" distR="0" wp14:anchorId="44335025" wp14:editId="7F96677D">
            <wp:extent cx="3619500" cy="140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0" cy="1409700"/>
                    </a:xfrm>
                    <a:prstGeom prst="rect">
                      <a:avLst/>
                    </a:prstGeom>
                    <a:noFill/>
                    <a:ln>
                      <a:noFill/>
                    </a:ln>
                  </pic:spPr>
                </pic:pic>
              </a:graphicData>
            </a:graphic>
          </wp:inline>
        </w:drawing>
      </w:r>
    </w:p>
    <w:p w:rsidR="002B0C01" w:rsidRPr="007500F6" w:rsidRDefault="002B0C01" w:rsidP="002B0C01">
      <w:pPr>
        <w:ind w:left="1440"/>
      </w:pPr>
      <w:r>
        <w:rPr>
          <w:sz w:val="20"/>
          <w:szCs w:val="20"/>
        </w:rPr>
        <w:t xml:space="preserve">       </w:t>
      </w:r>
      <w:r w:rsidRPr="007500F6">
        <w:t xml:space="preserve">*A single customer complaint may be counted multiple times if it fits into </w:t>
      </w:r>
    </w:p>
    <w:p w:rsidR="002B0C01" w:rsidRPr="007500F6" w:rsidRDefault="002B0C01" w:rsidP="007500F6">
      <w:pPr>
        <w:ind w:left="1890"/>
      </w:pPr>
      <w:proofErr w:type="gramStart"/>
      <w:r w:rsidRPr="007500F6">
        <w:t>multiple</w:t>
      </w:r>
      <w:proofErr w:type="gramEnd"/>
      <w:r w:rsidRPr="007500F6">
        <w:t xml:space="preserve"> categories, was reported to multiple agencies, or was reported</w:t>
      </w:r>
      <w:r w:rsidR="007500F6">
        <w:t xml:space="preserve"> </w:t>
      </w:r>
      <w:r w:rsidRPr="007500F6">
        <w:t>multiple times.</w:t>
      </w:r>
    </w:p>
    <w:p w:rsidR="002B0C01" w:rsidRPr="00DE6D68" w:rsidRDefault="002B0C01" w:rsidP="002B0C01">
      <w:pPr>
        <w:jc w:val="center"/>
      </w:pPr>
    </w:p>
    <w:p w:rsidR="002B0C01" w:rsidRPr="00DE6D68" w:rsidRDefault="002B0C01" w:rsidP="002B0C01">
      <w:pPr>
        <w:autoSpaceDE w:val="0"/>
        <w:autoSpaceDN w:val="0"/>
        <w:adjustRightInd w:val="0"/>
        <w:jc w:val="both"/>
      </w:pPr>
      <w:r w:rsidRPr="00DE6D68">
        <w:t xml:space="preserve">The CATS recorded a total of ten complaints during the years reviewed, the most recent from January 2020. Six complaints were related to improper billing and five were related to quality of service, with all complaints resolved in a timely manner. CATS also recorded one complaint filed in September 2017 regarding a water outage after Hurricane Irma. The Utility confirmed that due to leaks the water pressure would not rise above 15 pounds per square inch (psi). The leaks were located and repaired in late September 2017 and water pressure returned to normal. The DEP received two complaints, one in 2018 the other in 2019, both regarding water quality. The Utility addressed the two complaints to the </w:t>
      </w:r>
      <w:proofErr w:type="spellStart"/>
      <w:r w:rsidRPr="00DE6D68">
        <w:t>DEP’s</w:t>
      </w:r>
      <w:proofErr w:type="spellEnd"/>
      <w:r w:rsidRPr="00DE6D68">
        <w:t xml:space="preserve"> satisfaction and the complaints were closed. The Utility received thirteen complaints during the past five years. Eleven were related to water quality, two related to water outages</w:t>
      </w:r>
      <w:r w:rsidR="000424EE">
        <w:t>,</w:t>
      </w:r>
      <w:r w:rsidRPr="00DE6D68">
        <w:t xml:space="preserve"> and four related to billing credit inquiries which were resolved by the Utility. </w:t>
      </w:r>
    </w:p>
    <w:p w:rsidR="002B0C01" w:rsidRPr="00DE6D68" w:rsidRDefault="002B0C01" w:rsidP="002B0C01">
      <w:pPr>
        <w:tabs>
          <w:tab w:val="left" w:pos="5805"/>
        </w:tabs>
        <w:autoSpaceDE w:val="0"/>
        <w:autoSpaceDN w:val="0"/>
        <w:adjustRightInd w:val="0"/>
        <w:jc w:val="both"/>
      </w:pPr>
      <w:r w:rsidRPr="00DE6D68">
        <w:tab/>
      </w:r>
    </w:p>
    <w:p w:rsidR="002B0C01" w:rsidRPr="00DE6D68" w:rsidRDefault="002B0C01" w:rsidP="002B0C01">
      <w:pPr>
        <w:autoSpaceDE w:val="0"/>
        <w:autoSpaceDN w:val="0"/>
        <w:adjustRightInd w:val="0"/>
        <w:jc w:val="both"/>
      </w:pPr>
      <w:r w:rsidRPr="00DE6D68">
        <w:t xml:space="preserve">A customer meeting was held on December 18, 2019. </w:t>
      </w:r>
      <w:r w:rsidR="00F43A90">
        <w:t>One customer</w:t>
      </w:r>
      <w:r w:rsidRPr="00DE6D68">
        <w:t xml:space="preserve"> w</w:t>
      </w:r>
      <w:r w:rsidR="00F43A90">
        <w:t>as</w:t>
      </w:r>
      <w:r w:rsidRPr="00DE6D68">
        <w:t xml:space="preserve"> in attendance </w:t>
      </w:r>
      <w:r w:rsidR="00376C9E">
        <w:t>that</w:t>
      </w:r>
      <w:r w:rsidR="00F43A90">
        <w:t xml:space="preserve"> h</w:t>
      </w:r>
      <w:r w:rsidR="00C8560F">
        <w:t>ad</w:t>
      </w:r>
      <w:r w:rsidR="00F43A90">
        <w:t xml:space="preserve"> a surrogate </w:t>
      </w:r>
      <w:r w:rsidR="00AD5C79">
        <w:t>provide</w:t>
      </w:r>
      <w:r w:rsidRPr="00DE6D68">
        <w:t xml:space="preserve"> oral comments. All of the </w:t>
      </w:r>
      <w:r w:rsidR="00AD5C79">
        <w:t>attendees</w:t>
      </w:r>
      <w:r w:rsidRPr="00DE6D68">
        <w:t xml:space="preserve"> present were from the Utilit</w:t>
      </w:r>
      <w:r w:rsidR="00567BEC">
        <w:t>y’s</w:t>
      </w:r>
      <w:r w:rsidRPr="00DE6D68">
        <w:t xml:space="preserve"> sole general service customer, Snooze N Sco</w:t>
      </w:r>
      <w:r w:rsidR="00616052">
        <w:t>ot, an</w:t>
      </w:r>
      <w:r w:rsidRPr="00DE6D68">
        <w:t xml:space="preserve"> RV park. At the meeting, the </w:t>
      </w:r>
      <w:r w:rsidR="000424EE">
        <w:t xml:space="preserve">general service </w:t>
      </w:r>
      <w:r w:rsidRPr="00DE6D68">
        <w:t xml:space="preserve">customer cited discolored water, low and fluctuating water pressure, and water outages as the main issues. Each of these </w:t>
      </w:r>
      <w:r w:rsidR="002B7DE8">
        <w:t xml:space="preserve">issues </w:t>
      </w:r>
      <w:r w:rsidR="000424EE">
        <w:t>is</w:t>
      </w:r>
      <w:r w:rsidRPr="00DE6D68">
        <w:t xml:space="preserve"> discussed further below.</w:t>
      </w:r>
    </w:p>
    <w:p w:rsidR="002B0C01" w:rsidRPr="00DE6D68" w:rsidRDefault="002B0C01" w:rsidP="002B0C01">
      <w:pPr>
        <w:autoSpaceDE w:val="0"/>
        <w:autoSpaceDN w:val="0"/>
        <w:adjustRightInd w:val="0"/>
        <w:jc w:val="both"/>
      </w:pPr>
    </w:p>
    <w:p w:rsidR="002B0C01" w:rsidRPr="00DE6D68" w:rsidRDefault="002B0C01" w:rsidP="002B0C01">
      <w:pPr>
        <w:autoSpaceDE w:val="0"/>
        <w:autoSpaceDN w:val="0"/>
        <w:adjustRightInd w:val="0"/>
        <w:jc w:val="both"/>
      </w:pPr>
      <w:r w:rsidRPr="00DE6D68">
        <w:t xml:space="preserve">Discolored water is present in the Utility’s distribution system, and </w:t>
      </w:r>
      <w:r w:rsidR="000424EE">
        <w:t xml:space="preserve">the general service </w:t>
      </w:r>
      <w:r w:rsidRPr="00DE6D68">
        <w:t>customer provided examples including water samples and personal water filters. The Utility notes that the water issues have existed since the previous owner and mainly result</w:t>
      </w:r>
      <w:r w:rsidR="002B7DE8">
        <w:t>s</w:t>
      </w:r>
      <w:r w:rsidRPr="00DE6D68">
        <w:t xml:space="preserve"> </w:t>
      </w:r>
      <w:r w:rsidR="002B7DE8">
        <w:t>from</w:t>
      </w:r>
      <w:r w:rsidRPr="00DE6D68">
        <w:t xml:space="preserve"> the natural iron </w:t>
      </w:r>
      <w:r w:rsidRPr="00DE6D68">
        <w:lastRenderedPageBreak/>
        <w:t>present in the raw water source. As discussed above</w:t>
      </w:r>
      <w:r w:rsidR="00567BEC">
        <w:t>,</w:t>
      </w:r>
      <w:r w:rsidRPr="00DE6D68">
        <w:t xml:space="preserve"> the Utility modified its water filtration system in March 2018, to comply with the DEP Consent Order. After the filtration system was replaced</w:t>
      </w:r>
      <w:r w:rsidR="007854C5">
        <w:t>,</w:t>
      </w:r>
      <w:r w:rsidRPr="00DE6D68">
        <w:t xml:space="preserve"> the water leaving the treatment plant was clear, odorless, and free of iron; excluding periods of mechanical issues </w:t>
      </w:r>
      <w:r w:rsidR="00796889">
        <w:t>that</w:t>
      </w:r>
      <w:r w:rsidRPr="00DE6D68">
        <w:t xml:space="preserve"> were resolved by the Utility </w:t>
      </w:r>
      <w:r w:rsidR="00796889">
        <w:t>promptly</w:t>
      </w:r>
      <w:r w:rsidRPr="00DE6D68">
        <w:t xml:space="preserve">. However, the Utility further stated that iron residuals have accumulated throughout the distribution system as well as in customer’s homes and water heaters. To help resolve the issue, the Utility has installed several auto flushers to improve water quality and has been adjusting flushing settings. The Woods received clearance from DEP to begin using an orthophosphate blend to help isolate the iron residuals and coat the pipes, and began the treatment on August 16, 2019. The combination of flushing the system and the orthophosphate treatment should improve the water quality; </w:t>
      </w:r>
      <w:r>
        <w:t xml:space="preserve">however, </w:t>
      </w:r>
      <w:r w:rsidRPr="00DE6D68">
        <w:t xml:space="preserve">the improvements will take time and be an ongoing process. While a complete replacement of the distribution system would eliminate this concern, a replacement is </w:t>
      </w:r>
      <w:r>
        <w:t xml:space="preserve">not </w:t>
      </w:r>
      <w:r w:rsidRPr="00DE6D68">
        <w:t>economical without government assistance. The Woods intends to work with DEP and the Florida Rural Water Association to explore possible government assisted funding.</w:t>
      </w:r>
    </w:p>
    <w:p w:rsidR="002B0C01" w:rsidRPr="00DE6D68" w:rsidRDefault="002B0C01" w:rsidP="002B0C01">
      <w:pPr>
        <w:autoSpaceDE w:val="0"/>
        <w:autoSpaceDN w:val="0"/>
        <w:adjustRightInd w:val="0"/>
        <w:jc w:val="both"/>
      </w:pPr>
    </w:p>
    <w:p w:rsidR="002B0C01" w:rsidRPr="00DE6D68" w:rsidRDefault="002B0C01" w:rsidP="002B0C01">
      <w:pPr>
        <w:autoSpaceDE w:val="0"/>
        <w:autoSpaceDN w:val="0"/>
        <w:adjustRightInd w:val="0"/>
        <w:jc w:val="both"/>
      </w:pPr>
      <w:r w:rsidRPr="00DE6D68">
        <w:t>The fluctuating and low water pressure is a result of the periodic flushes mentioned above as well as the</w:t>
      </w:r>
      <w:r w:rsidR="007854C5">
        <w:t xml:space="preserve"> location of the</w:t>
      </w:r>
      <w:r w:rsidRPr="00DE6D68">
        <w:t xml:space="preserve"> general service custome</w:t>
      </w:r>
      <w:r w:rsidR="007854C5">
        <w:t>r</w:t>
      </w:r>
      <w:r w:rsidRPr="00DE6D68">
        <w:t xml:space="preserve"> near the end of the distribution system. According to the Utility, when the system is being flushed</w:t>
      </w:r>
      <w:r w:rsidR="007854C5">
        <w:t>,</w:t>
      </w:r>
      <w:r w:rsidRPr="00DE6D68">
        <w:t xml:space="preserve"> a large amount of water is exiting the system causing a drop in pressure throughout the system. Additionally</w:t>
      </w:r>
      <w:r w:rsidR="007854C5">
        <w:t>,</w:t>
      </w:r>
      <w:r w:rsidRPr="00DE6D68">
        <w:t xml:space="preserve"> the water must travel the distance from the treatment plant to the general service customer at the end of the line</w:t>
      </w:r>
      <w:r w:rsidR="002B7DE8">
        <w:t>,</w:t>
      </w:r>
      <w:r w:rsidRPr="00DE6D68">
        <w:t xml:space="preserve"> which causes a large amount of head loss through the pipe. The Utility has added an additional pump to help maintain water pressure</w:t>
      </w:r>
      <w:r>
        <w:t xml:space="preserve">, but </w:t>
      </w:r>
      <w:r w:rsidRPr="00DE6D68">
        <w:t>indicate</w:t>
      </w:r>
      <w:r w:rsidR="007854C5">
        <w:t>d</w:t>
      </w:r>
      <w:r w:rsidRPr="00DE6D68">
        <w:t xml:space="preserve"> the system is only supported by one well which limits the amount of water available at any given time. The Utility state</w:t>
      </w:r>
      <w:r w:rsidR="007854C5">
        <w:t>d</w:t>
      </w:r>
      <w:r w:rsidRPr="00DE6D68">
        <w:t xml:space="preserve"> that the general service customer has a backflow prevention device and a filtration system installed that may cause a further reduction in water pressure. The Utility is aware of the pressure differential and takes this into consideration in planning and operation. For example, during one low pressure event</w:t>
      </w:r>
      <w:r w:rsidR="007854C5">
        <w:t>,</w:t>
      </w:r>
      <w:r w:rsidRPr="00DE6D68">
        <w:t xml:space="preserve"> the water pressure leaving the plant was approximately 28 psi, which is above the 20 psi required by the DEP, but the Utility i</w:t>
      </w:r>
      <w:r>
        <w:t>ssued a boil water notice to it</w:t>
      </w:r>
      <w:r w:rsidRPr="00DE6D68">
        <w:t xml:space="preserve">s customers since it was a drastic reduction </w:t>
      </w:r>
      <w:r>
        <w:t>from</w:t>
      </w:r>
      <w:r w:rsidRPr="00DE6D68">
        <w:t xml:space="preserve"> the normal pressure of approximately 56 psi. The Utility will continue to evaluate how flushing is scheduled to help reduce the pressure loss. </w:t>
      </w:r>
    </w:p>
    <w:p w:rsidR="002B0C01" w:rsidRPr="00DE6D68" w:rsidRDefault="002B0C01" w:rsidP="002B0C01">
      <w:pPr>
        <w:autoSpaceDE w:val="0"/>
        <w:autoSpaceDN w:val="0"/>
        <w:adjustRightInd w:val="0"/>
        <w:jc w:val="both"/>
      </w:pPr>
    </w:p>
    <w:p w:rsidR="002B0C01" w:rsidRPr="00DE6D68" w:rsidRDefault="002B0C01" w:rsidP="002B0C01">
      <w:pPr>
        <w:autoSpaceDE w:val="0"/>
        <w:autoSpaceDN w:val="0"/>
        <w:adjustRightInd w:val="0"/>
        <w:jc w:val="both"/>
      </w:pPr>
      <w:r w:rsidRPr="00DE6D68">
        <w:t>Outages were also a concern identified at the customer meeting. A significant outage was reported due to Hurricane Irma. The hurricane caused damage to the distribution system creating a leak which took time for the Utility to locate and repair. Other outages have been due to mechanical problems with the facility that were resolved in a timely man</w:t>
      </w:r>
      <w:r w:rsidR="00567BEC">
        <w:t>ne</w:t>
      </w:r>
      <w:r w:rsidRPr="00DE6D68">
        <w:t xml:space="preserve">r. The Utility issued two boil water notices during the test year and issued two additional notices after the end of the test year. </w:t>
      </w:r>
    </w:p>
    <w:p w:rsidR="002B0C01" w:rsidRPr="00DE6D68" w:rsidRDefault="002B0C01" w:rsidP="002B0C01">
      <w:pPr>
        <w:tabs>
          <w:tab w:val="left" w:pos="6225"/>
        </w:tabs>
        <w:autoSpaceDE w:val="0"/>
        <w:autoSpaceDN w:val="0"/>
        <w:adjustRightInd w:val="0"/>
        <w:jc w:val="both"/>
      </w:pPr>
    </w:p>
    <w:p w:rsidR="002B0C01" w:rsidRPr="00DE6D68" w:rsidRDefault="002B0C01" w:rsidP="002B0C01">
      <w:pPr>
        <w:jc w:val="both"/>
        <w:outlineLvl w:val="2"/>
        <w:rPr>
          <w:rFonts w:ascii="Arial" w:hAnsi="Arial" w:cs="Arial"/>
          <w:b/>
          <w:bCs/>
          <w:iCs/>
          <w:szCs w:val="28"/>
        </w:rPr>
      </w:pPr>
      <w:r w:rsidRPr="00DE6D68">
        <w:rPr>
          <w:rFonts w:ascii="Arial" w:hAnsi="Arial" w:cs="Arial"/>
          <w:b/>
          <w:bCs/>
          <w:iCs/>
          <w:szCs w:val="28"/>
        </w:rPr>
        <w:t>Conclusion</w:t>
      </w:r>
    </w:p>
    <w:p w:rsidR="00B16172" w:rsidRPr="00F43A90" w:rsidRDefault="002B0C01" w:rsidP="00F43A90">
      <w:pPr>
        <w:pStyle w:val="BodyText"/>
        <w:sectPr w:rsidR="00B16172" w:rsidRPr="00F43A90" w:rsidSect="009B1FE5">
          <w:headerReference w:type="default" r:id="rId14"/>
          <w:footerReference w:type="default" r:id="rId15"/>
          <w:pgSz w:w="12240" w:h="15840" w:code="1"/>
          <w:pgMar w:top="1584" w:right="1440" w:bottom="1440" w:left="1440" w:header="720" w:footer="720" w:gutter="0"/>
          <w:cols w:space="720"/>
          <w:formProt w:val="0"/>
          <w:docGrid w:linePitch="360"/>
        </w:sectPr>
      </w:pPr>
      <w:r w:rsidRPr="00DE6D68">
        <w:t>The DEP has mandated that the Utility take action to addres</w:t>
      </w:r>
      <w:r>
        <w:t xml:space="preserve">s lead and copper exceedances. </w:t>
      </w:r>
      <w:r w:rsidRPr="00DE6D68">
        <w:t>Therefore, the qualit</w:t>
      </w:r>
      <w:r>
        <w:t>y of product is unsatisfactory.</w:t>
      </w:r>
      <w:r w:rsidRPr="00DE6D68">
        <w:t xml:space="preserve"> However, the Utility has been responsive to customer complaints and</w:t>
      </w:r>
      <w:r w:rsidR="00796889">
        <w:t xml:space="preserve"> is</w:t>
      </w:r>
      <w:r w:rsidRPr="00DE6D68">
        <w:t xml:space="preserve"> working with the DEP to address product concerns; therefore, no penalty is recommended. The Utility should file status reports on the actions it has taken to meet </w:t>
      </w:r>
      <w:r>
        <w:t xml:space="preserve">the </w:t>
      </w:r>
      <w:proofErr w:type="spellStart"/>
      <w:r>
        <w:t>DEP’s</w:t>
      </w:r>
      <w:proofErr w:type="spellEnd"/>
      <w:r>
        <w:t xml:space="preserve"> requirements. </w:t>
      </w:r>
      <w:r w:rsidRPr="00DE6D68">
        <w:t>Staff recommends the first status report be filed six</w:t>
      </w:r>
      <w:r w:rsidR="007854C5">
        <w:t xml:space="preserve"> </w:t>
      </w:r>
      <w:r w:rsidRPr="00DE6D68">
        <w:t xml:space="preserve">months after the Final Order is issued </w:t>
      </w:r>
      <w:r w:rsidR="00567BEC">
        <w:t xml:space="preserve">in this Docket </w:t>
      </w:r>
      <w:r w:rsidRPr="00DE6D68">
        <w:t>and every six</w:t>
      </w:r>
      <w:r w:rsidR="007854C5">
        <w:t xml:space="preserve"> </w:t>
      </w:r>
      <w:r w:rsidRPr="00DE6D68">
        <w:t>months thereafter until the additional mon</w:t>
      </w:r>
      <w:r>
        <w:t>itoring is rescinded by the DEP</w:t>
      </w:r>
      <w:r w:rsidRPr="00CD4142">
        <w:t>.</w:t>
      </w:r>
    </w:p>
    <w:p w:rsidR="004A2C99" w:rsidRDefault="004A2C99">
      <w:pPr>
        <w:pStyle w:val="IssueHeading"/>
        <w:rPr>
          <w:vanish/>
          <w:specVanish/>
        </w:rPr>
      </w:pPr>
      <w:r w:rsidRPr="004C3641">
        <w:lastRenderedPageBreak/>
        <w:t xml:space="preserve">Issue </w:t>
      </w:r>
      <w:fldSimple w:instr=" SEQ Issue \* MERGEFORMAT ">
        <w:r w:rsidR="00B51302">
          <w:rPr>
            <w:noProof/>
          </w:rPr>
          <w:t>2</w:t>
        </w:r>
      </w:fldSimple>
      <w:r w:rsidRPr="004C3641">
        <w:t>:</w:t>
      </w:r>
      <w:r>
        <w:fldChar w:fldCharType="begin"/>
      </w:r>
      <w:r>
        <w:instrText xml:space="preserve"> TC "</w:instrText>
      </w:r>
      <w:r>
        <w:fldChar w:fldCharType="begin"/>
      </w:r>
      <w:r>
        <w:instrText xml:space="preserve"> SEQ issue \c </w:instrText>
      </w:r>
      <w:r>
        <w:fldChar w:fldCharType="separate"/>
      </w:r>
      <w:bookmarkStart w:id="16" w:name="_Toc30164196"/>
      <w:bookmarkStart w:id="17" w:name="_Toc32829958"/>
      <w:r w:rsidR="00B51302">
        <w:rPr>
          <w:noProof/>
        </w:rPr>
        <w:instrText>2</w:instrText>
      </w:r>
      <w:r>
        <w:fldChar w:fldCharType="end"/>
      </w:r>
      <w:r>
        <w:tab/>
      </w:r>
      <w:bookmarkEnd w:id="16"/>
      <w:r w:rsidR="00B50336">
        <w:instrText>Infrastructure and Operating Conditions (Thompson)</w:instrText>
      </w:r>
      <w:bookmarkEnd w:id="17"/>
      <w:r>
        <w:instrText xml:space="preserve">" \l 1 </w:instrText>
      </w:r>
      <w:r>
        <w:fldChar w:fldCharType="end"/>
      </w:r>
      <w:r>
        <w:t> </w:t>
      </w:r>
    </w:p>
    <w:p w:rsidR="004A2C99" w:rsidRDefault="004A2C99">
      <w:pPr>
        <w:pStyle w:val="BodyText"/>
      </w:pPr>
      <w:r>
        <w:t> </w:t>
      </w:r>
      <w:r w:rsidR="002B0C01">
        <w:t>Are the infrastructure and operating conditions of The Woods Utility Company’s water system in compliance with DEP regulations?</w:t>
      </w:r>
    </w:p>
    <w:p w:rsidR="004A2C99" w:rsidRPr="004C3641" w:rsidRDefault="004A2C99">
      <w:pPr>
        <w:pStyle w:val="IssueSubsectionHeading"/>
        <w:rPr>
          <w:vanish/>
          <w:specVanish/>
        </w:rPr>
      </w:pPr>
      <w:r w:rsidRPr="004C3641">
        <w:t>Recommendation: </w:t>
      </w:r>
    </w:p>
    <w:p w:rsidR="004A2C99" w:rsidRDefault="004A2C99">
      <w:pPr>
        <w:pStyle w:val="BodyText"/>
      </w:pPr>
      <w:r>
        <w:t> </w:t>
      </w:r>
      <w:r w:rsidR="002B0C01" w:rsidRPr="002B0C01">
        <w:t>Yes. The Woods’ water treatment facility is currently in compliance with DEP regulations. (Thompson</w:t>
      </w:r>
      <w:r w:rsidR="002B0C01">
        <w:t>)</w:t>
      </w:r>
    </w:p>
    <w:p w:rsidR="004A2C99" w:rsidRPr="004C3641" w:rsidRDefault="004A2C99">
      <w:pPr>
        <w:pStyle w:val="IssueSubsectionHeading"/>
        <w:rPr>
          <w:vanish/>
          <w:specVanish/>
        </w:rPr>
      </w:pPr>
      <w:r w:rsidRPr="004C3641">
        <w:t>Staff Analysis: </w:t>
      </w:r>
    </w:p>
    <w:p w:rsidR="002B0C01" w:rsidRDefault="004A2C99" w:rsidP="002B0C01">
      <w:pPr>
        <w:pStyle w:val="BodyText"/>
      </w:pPr>
      <w:r>
        <w:t> </w:t>
      </w:r>
      <w:r w:rsidR="002B0C01">
        <w:t xml:space="preserve">Rule 25-30.225(2), F.A.C., requires each water utility to </w:t>
      </w:r>
      <w:r w:rsidR="002B0C01" w:rsidRPr="00AB4D15">
        <w:t>maintain and operate its plant and facilities by employing qualified operators in accordance with the rules of the</w:t>
      </w:r>
      <w:r w:rsidR="002B0C01">
        <w:t xml:space="preserve"> DEP. </w:t>
      </w:r>
      <w:r w:rsidR="002B0C01" w:rsidRPr="004A13FD">
        <w:t>Rule 25</w:t>
      </w:r>
      <w:r w:rsidR="002B0C01">
        <w:t>-</w:t>
      </w:r>
      <w:r w:rsidR="002B0C01" w:rsidRPr="004A13FD">
        <w:t>30.433(</w:t>
      </w:r>
      <w:r w:rsidR="002B0C01">
        <w:t>2), F.A.C.</w:t>
      </w:r>
      <w:r w:rsidR="002B0C01" w:rsidRPr="004A13FD">
        <w:t>, requires</w:t>
      </w:r>
      <w:r w:rsidR="002B0C01">
        <w:t xml:space="preserve"> consideration of whether the infrastructure and operating conditions of the plant and facilities are in compliance with Rule 25-30.225, F.A.C. In making this determination, the Commission must consider testimony of the DEP and county health department officials, sanitary surveys, citations, violations, and consent orders issued to the utility, customer testimony, comments, and complaints, and utility testimony and responses to the aforementioned items.</w:t>
      </w:r>
    </w:p>
    <w:p w:rsidR="002B0C01" w:rsidRDefault="002B0C01" w:rsidP="002B0C01">
      <w:pPr>
        <w:tabs>
          <w:tab w:val="left" w:pos="3810"/>
        </w:tabs>
        <w:jc w:val="both"/>
        <w:outlineLvl w:val="2"/>
        <w:rPr>
          <w:rFonts w:ascii="Arial" w:hAnsi="Arial" w:cs="Arial"/>
          <w:b/>
          <w:bCs/>
          <w:iCs/>
          <w:szCs w:val="28"/>
        </w:rPr>
      </w:pPr>
      <w:r>
        <w:rPr>
          <w:rFonts w:ascii="Arial" w:hAnsi="Arial" w:cs="Arial"/>
          <w:b/>
          <w:bCs/>
          <w:iCs/>
          <w:szCs w:val="28"/>
        </w:rPr>
        <w:t>Water System Operating Conditions</w:t>
      </w:r>
    </w:p>
    <w:p w:rsidR="002B0C01" w:rsidRDefault="002B0C01" w:rsidP="002B0C01">
      <w:pPr>
        <w:pStyle w:val="BodyText"/>
      </w:pPr>
      <w:r>
        <w:t>The Woods’ water system has a permitted design capacity of 63,500 gallons per day (</w:t>
      </w:r>
      <w:proofErr w:type="spellStart"/>
      <w:r>
        <w:t>gpd</w:t>
      </w:r>
      <w:proofErr w:type="spellEnd"/>
      <w:r>
        <w:t xml:space="preserve">). The Utility’s </w:t>
      </w:r>
      <w:r w:rsidRPr="00C12347">
        <w:t xml:space="preserve">water system has one well </w:t>
      </w:r>
      <w:r>
        <w:t>with a pumping capacity of 100</w:t>
      </w:r>
      <w:r w:rsidRPr="00C12347">
        <w:t xml:space="preserve"> gallons per minute</w:t>
      </w:r>
      <w:r>
        <w:t>, a</w:t>
      </w:r>
      <w:r w:rsidRPr="00C12347">
        <w:t xml:space="preserve"> </w:t>
      </w:r>
      <w:r>
        <w:t>hydro-</w:t>
      </w:r>
      <w:r w:rsidRPr="00C12347">
        <w:t xml:space="preserve">pneumatic storage tank </w:t>
      </w:r>
      <w:r>
        <w:t xml:space="preserve">with a 2,500 gallon </w:t>
      </w:r>
      <w:r w:rsidRPr="00C12347">
        <w:t>capacity</w:t>
      </w:r>
      <w:r>
        <w:t>, and a ground storage tank with a 5,000 gallon capacity</w:t>
      </w:r>
      <w:r w:rsidRPr="00C12347">
        <w:t xml:space="preserve">. </w:t>
      </w:r>
      <w:r>
        <w:t>As discussed in Issue 1, The Woods recently upgraded its filtration system to address the exceedances noted in the DEP Consent Order.</w:t>
      </w:r>
      <w:r>
        <w:rPr>
          <w:rStyle w:val="FootnoteReference"/>
        </w:rPr>
        <w:footnoteReference w:id="5"/>
      </w:r>
      <w:r>
        <w:t xml:space="preserve"> Based on the case closure letter from the DEP dated June, 14, 2019, the Utility has addressed the requirements of the Consent Order to the </w:t>
      </w:r>
      <w:proofErr w:type="spellStart"/>
      <w:r>
        <w:t>DEP’s</w:t>
      </w:r>
      <w:proofErr w:type="spellEnd"/>
      <w:r>
        <w:t xml:space="preserve"> satisfaction, and the case has been closed. Staff reviewed The Woods’ sanitary surveys conducted by the DEP to determine the Utility’s overall water facility compliance. A review of the inspection conducted on July 25, 2019, indicated that The Woods’ water treatment facility was in compliance with the </w:t>
      </w:r>
      <w:proofErr w:type="spellStart"/>
      <w:r>
        <w:t>DEP’s</w:t>
      </w:r>
      <w:proofErr w:type="spellEnd"/>
      <w:r>
        <w:t xml:space="preserve"> rules and regulations.</w:t>
      </w:r>
    </w:p>
    <w:p w:rsidR="002B0C01" w:rsidRDefault="002B0C01" w:rsidP="002B0C01">
      <w:pPr>
        <w:pStyle w:val="First-LevelSubheading"/>
      </w:pPr>
      <w:r>
        <w:t>Conclusion</w:t>
      </w:r>
    </w:p>
    <w:p w:rsidR="002B0C01" w:rsidRDefault="002B0C01" w:rsidP="002B0C01">
      <w:pPr>
        <w:pStyle w:val="BodyText"/>
      </w:pPr>
      <w:r>
        <w:t>The Woods’ water treatment facility is currently in compliance with DEP regulations.</w:t>
      </w:r>
    </w:p>
    <w:p w:rsidR="00D43A4C" w:rsidRDefault="00D43A4C" w:rsidP="002B0C01">
      <w:pPr>
        <w:pStyle w:val="BodyText"/>
        <w:sectPr w:rsidR="00D43A4C" w:rsidSect="009B1FE5">
          <w:headerReference w:type="default" r:id="rId16"/>
          <w:pgSz w:w="12240" w:h="15840" w:code="1"/>
          <w:pgMar w:top="1584" w:right="1440" w:bottom="1440" w:left="1440" w:header="720" w:footer="720" w:gutter="0"/>
          <w:cols w:space="720"/>
          <w:formProt w:val="0"/>
          <w:docGrid w:linePitch="360"/>
        </w:sectPr>
      </w:pPr>
    </w:p>
    <w:p w:rsidR="004A2C99" w:rsidRPr="00B50336" w:rsidRDefault="004A2C99" w:rsidP="002B0C01">
      <w:pPr>
        <w:pStyle w:val="BodyText"/>
        <w:rPr>
          <w:rFonts w:ascii="Arial" w:hAnsi="Arial" w:cs="Arial"/>
          <w:b/>
          <w:vanish/>
          <w:specVanish/>
        </w:rPr>
      </w:pPr>
      <w:r w:rsidRPr="002B0C01">
        <w:rPr>
          <w:rFonts w:ascii="Arial" w:hAnsi="Arial" w:cs="Arial"/>
          <w:b/>
          <w:i/>
        </w:rPr>
        <w:lastRenderedPageBreak/>
        <w:t xml:space="preserve">Issue </w:t>
      </w:r>
      <w:r w:rsidR="001B3B59" w:rsidRPr="002B0C01">
        <w:rPr>
          <w:rFonts w:ascii="Arial" w:hAnsi="Arial" w:cs="Arial"/>
          <w:b/>
          <w:i/>
        </w:rPr>
        <w:fldChar w:fldCharType="begin"/>
      </w:r>
      <w:r w:rsidR="001B3B59" w:rsidRPr="002B0C01">
        <w:rPr>
          <w:rFonts w:ascii="Arial" w:hAnsi="Arial" w:cs="Arial"/>
          <w:b/>
          <w:i/>
        </w:rPr>
        <w:instrText xml:space="preserve"> SEQ Issue \* MERGEFORMAT </w:instrText>
      </w:r>
      <w:r w:rsidR="001B3B59" w:rsidRPr="002B0C01">
        <w:rPr>
          <w:rFonts w:ascii="Arial" w:hAnsi="Arial" w:cs="Arial"/>
          <w:b/>
          <w:i/>
        </w:rPr>
        <w:fldChar w:fldCharType="separate"/>
      </w:r>
      <w:r w:rsidR="00B51302">
        <w:rPr>
          <w:rFonts w:ascii="Arial" w:hAnsi="Arial" w:cs="Arial"/>
          <w:b/>
          <w:i/>
          <w:noProof/>
        </w:rPr>
        <w:t>3</w:t>
      </w:r>
      <w:r w:rsidR="001B3B59" w:rsidRPr="002B0C01">
        <w:rPr>
          <w:rFonts w:ascii="Arial" w:hAnsi="Arial" w:cs="Arial"/>
          <w:b/>
          <w:i/>
          <w:noProof/>
        </w:rPr>
        <w:fldChar w:fldCharType="end"/>
      </w:r>
      <w:r w:rsidRPr="002B0C01">
        <w:rPr>
          <w:rFonts w:ascii="Arial" w:hAnsi="Arial" w:cs="Arial"/>
          <w:b/>
          <w:i/>
        </w:rPr>
        <w:t>:</w:t>
      </w:r>
      <w:r w:rsidR="00B50336" w:rsidRPr="00B50336">
        <w:rPr>
          <w:rFonts w:ascii="Arial" w:hAnsi="Arial" w:cs="Arial"/>
          <w:i/>
        </w:rPr>
        <w:t xml:space="preserve"> </w:t>
      </w:r>
      <w:r w:rsidRPr="00B50336">
        <w:fldChar w:fldCharType="begin"/>
      </w:r>
      <w:r w:rsidRPr="00B50336">
        <w:instrText xml:space="preserve"> TC "</w:instrText>
      </w:r>
      <w:r w:rsidRPr="00B50336">
        <w:fldChar w:fldCharType="begin"/>
      </w:r>
      <w:r w:rsidRPr="00B50336">
        <w:instrText xml:space="preserve"> SEQ issue \c </w:instrText>
      </w:r>
      <w:r w:rsidRPr="00B50336">
        <w:fldChar w:fldCharType="separate"/>
      </w:r>
      <w:bookmarkStart w:id="18" w:name="_Toc30164197"/>
      <w:bookmarkStart w:id="19" w:name="_Toc32829959"/>
      <w:r w:rsidR="00B51302">
        <w:rPr>
          <w:noProof/>
        </w:rPr>
        <w:instrText>3</w:instrText>
      </w:r>
      <w:r w:rsidRPr="00B50336">
        <w:fldChar w:fldCharType="end"/>
      </w:r>
      <w:r w:rsidRPr="00B50336">
        <w:tab/>
      </w:r>
      <w:r w:rsidR="00C17C77" w:rsidRPr="00B50336">
        <w:instrText>Used and Useful (</w:instrText>
      </w:r>
      <w:r w:rsidR="00BB7A53" w:rsidRPr="00B50336">
        <w:instrText>Thompson</w:instrText>
      </w:r>
      <w:r w:rsidR="00C17C77" w:rsidRPr="00B50336">
        <w:instrText>)</w:instrText>
      </w:r>
      <w:bookmarkEnd w:id="18"/>
      <w:bookmarkEnd w:id="19"/>
      <w:r w:rsidRPr="00B50336">
        <w:instrText xml:space="preserve">" \l 1 </w:instrText>
      </w:r>
      <w:r w:rsidRPr="00B50336">
        <w:fldChar w:fldCharType="end"/>
      </w:r>
      <w:r w:rsidRPr="00B50336">
        <w:rPr>
          <w:rFonts w:ascii="Arial" w:hAnsi="Arial" w:cs="Arial"/>
          <w:i/>
        </w:rPr>
        <w:t> </w:t>
      </w:r>
    </w:p>
    <w:p w:rsidR="002B0C01" w:rsidRDefault="004A2C99" w:rsidP="002B0C01">
      <w:pPr>
        <w:pStyle w:val="BodyText"/>
      </w:pPr>
      <w:r w:rsidRPr="002B0C01">
        <w:rPr>
          <w:rFonts w:ascii="Arial" w:hAnsi="Arial" w:cs="Arial"/>
          <w:b/>
          <w:i/>
        </w:rPr>
        <w:t> </w:t>
      </w:r>
      <w:r w:rsidR="002B0C01">
        <w:t>What are the used and useful (</w:t>
      </w:r>
      <w:proofErr w:type="spellStart"/>
      <w:r w:rsidR="002B0C01">
        <w:t>U&amp;U</w:t>
      </w:r>
      <w:proofErr w:type="spellEnd"/>
      <w:r w:rsidR="002B0C01">
        <w:t>) percentages of The Woods Utility Company’s water treatment plant (</w:t>
      </w:r>
      <w:proofErr w:type="spellStart"/>
      <w:r w:rsidR="002B0C01">
        <w:t>WTP</w:t>
      </w:r>
      <w:proofErr w:type="spellEnd"/>
      <w:r w:rsidR="002B0C01">
        <w:t>), storage, and water distribution system?</w:t>
      </w:r>
    </w:p>
    <w:p w:rsidR="004A2C99" w:rsidRPr="004C3641" w:rsidRDefault="004A2C99">
      <w:pPr>
        <w:pStyle w:val="IssueSubsectionHeading"/>
        <w:rPr>
          <w:vanish/>
          <w:specVanish/>
        </w:rPr>
      </w:pPr>
      <w:r w:rsidRPr="004C3641">
        <w:t>Recommendation: </w:t>
      </w:r>
    </w:p>
    <w:p w:rsidR="002B0C01" w:rsidRDefault="004A2C99" w:rsidP="002B0C01">
      <w:pPr>
        <w:pStyle w:val="BodyText"/>
      </w:pPr>
      <w:r>
        <w:t> </w:t>
      </w:r>
      <w:r w:rsidR="002B0C01">
        <w:t xml:space="preserve">The Woods’ </w:t>
      </w:r>
      <w:proofErr w:type="spellStart"/>
      <w:r w:rsidR="002B0C01">
        <w:t>WTP</w:t>
      </w:r>
      <w:proofErr w:type="spellEnd"/>
      <w:r w:rsidR="002B0C01">
        <w:t xml:space="preserve"> and water storage should be considered 100 percent </w:t>
      </w:r>
      <w:proofErr w:type="spellStart"/>
      <w:r w:rsidR="002B0C01">
        <w:t>U&amp;U</w:t>
      </w:r>
      <w:proofErr w:type="spellEnd"/>
      <w:r w:rsidR="002B0C01">
        <w:t xml:space="preserve">. The Utility’s water distribution system should be considered 76 percent </w:t>
      </w:r>
      <w:proofErr w:type="spellStart"/>
      <w:r w:rsidR="002B0C01">
        <w:t>U&amp;U</w:t>
      </w:r>
      <w:proofErr w:type="spellEnd"/>
      <w:r w:rsidR="002B0C01">
        <w:t xml:space="preserve">. </w:t>
      </w:r>
      <w:r w:rsidR="002B0C01">
        <w:rPr>
          <w:bCs/>
          <w:iCs/>
        </w:rPr>
        <w:t>Additionally, staff recommends no adjustment to purchased power and chemical</w:t>
      </w:r>
      <w:r w:rsidR="00270E39">
        <w:rPr>
          <w:bCs/>
          <w:iCs/>
        </w:rPr>
        <w:t xml:space="preserve"> expenses</w:t>
      </w:r>
      <w:r w:rsidR="002B0C01">
        <w:rPr>
          <w:bCs/>
          <w:iCs/>
        </w:rPr>
        <w:t xml:space="preserve"> be made for excessive unaccounted for water (</w:t>
      </w:r>
      <w:proofErr w:type="spellStart"/>
      <w:r w:rsidR="002B0C01">
        <w:rPr>
          <w:bCs/>
          <w:iCs/>
        </w:rPr>
        <w:t>EUW</w:t>
      </w:r>
      <w:proofErr w:type="spellEnd"/>
      <w:r w:rsidR="002B0C01">
        <w:rPr>
          <w:bCs/>
          <w:iCs/>
        </w:rPr>
        <w:t>).</w:t>
      </w:r>
      <w:r w:rsidR="002B0C01">
        <w:t xml:space="preserve"> (Thompson)</w:t>
      </w:r>
    </w:p>
    <w:p w:rsidR="004A2C99" w:rsidRPr="004C3641" w:rsidRDefault="004A2C99">
      <w:pPr>
        <w:pStyle w:val="IssueSubsectionHeading"/>
        <w:rPr>
          <w:vanish/>
          <w:specVanish/>
        </w:rPr>
      </w:pPr>
      <w:r w:rsidRPr="004C3641">
        <w:t>Staff Analysis: </w:t>
      </w:r>
    </w:p>
    <w:p w:rsidR="002B0C01" w:rsidRDefault="004A2C99" w:rsidP="002B0C01">
      <w:pPr>
        <w:jc w:val="both"/>
      </w:pPr>
      <w:r>
        <w:t> </w:t>
      </w:r>
      <w:r w:rsidR="002B0C01">
        <w:t>The Woods’ water system began operations in 1988. As stated in Issue 2, the Utility’s water system has</w:t>
      </w:r>
      <w:r w:rsidR="002B0C01" w:rsidRPr="00C12347">
        <w:t xml:space="preserve"> one well </w:t>
      </w:r>
      <w:r w:rsidR="002B0C01">
        <w:t>with a pumping capacity of 100</w:t>
      </w:r>
      <w:r w:rsidR="002B0C01" w:rsidRPr="00C12347">
        <w:t xml:space="preserve"> gallons per minute</w:t>
      </w:r>
      <w:r w:rsidR="002B0C01">
        <w:t>, a</w:t>
      </w:r>
      <w:r w:rsidR="002B0C01" w:rsidRPr="00C12347">
        <w:t xml:space="preserve"> </w:t>
      </w:r>
      <w:r w:rsidR="002B0C01">
        <w:t>hydro-</w:t>
      </w:r>
      <w:r w:rsidR="002B0C01" w:rsidRPr="00C12347">
        <w:t xml:space="preserve">pneumatic storage tank </w:t>
      </w:r>
      <w:r w:rsidR="002B0C01">
        <w:t xml:space="preserve">with a 2,500 gallon </w:t>
      </w:r>
      <w:r w:rsidR="002B0C01" w:rsidRPr="00C12347">
        <w:t>capacity</w:t>
      </w:r>
      <w:r w:rsidR="002B0C01">
        <w:t>, and a ground storage tank with a 5,000 gallon capacity</w:t>
      </w:r>
      <w:r w:rsidR="002B0C01" w:rsidRPr="00C12347">
        <w:t>.</w:t>
      </w:r>
      <w:r w:rsidR="002B0C01">
        <w:t xml:space="preserve"> The Woods’ water distribution system</w:t>
      </w:r>
      <w:r w:rsidR="002B0C01" w:rsidRPr="00880B80">
        <w:t xml:space="preserve"> is composed of </w:t>
      </w:r>
      <w:r w:rsidR="002B0C01">
        <w:t>over 8,000 feet of polyvinyl chloride</w:t>
      </w:r>
      <w:r w:rsidR="002B0C01" w:rsidRPr="00880B80">
        <w:t xml:space="preserve"> pipe</w:t>
      </w:r>
      <w:r w:rsidR="002B0C01">
        <w:t xml:space="preserve"> of various diameters</w:t>
      </w:r>
      <w:r w:rsidR="002B0C01" w:rsidRPr="00880B80">
        <w:t>.</w:t>
      </w:r>
    </w:p>
    <w:p w:rsidR="002B0C01" w:rsidRDefault="002B0C01" w:rsidP="002B0C01">
      <w:pPr>
        <w:jc w:val="both"/>
      </w:pPr>
    </w:p>
    <w:p w:rsidR="002B0C01" w:rsidRDefault="002B0C01" w:rsidP="002B0C01">
      <w:pPr>
        <w:jc w:val="both"/>
        <w:outlineLvl w:val="2"/>
        <w:rPr>
          <w:rFonts w:ascii="Arial" w:hAnsi="Arial" w:cs="Arial"/>
          <w:b/>
          <w:bCs/>
          <w:iCs/>
          <w:szCs w:val="28"/>
        </w:rPr>
      </w:pPr>
      <w:r>
        <w:rPr>
          <w:rFonts w:ascii="Arial" w:hAnsi="Arial" w:cs="Arial"/>
          <w:b/>
          <w:bCs/>
          <w:iCs/>
          <w:szCs w:val="28"/>
        </w:rPr>
        <w:t>Used and Useful Percentages</w:t>
      </w:r>
    </w:p>
    <w:p w:rsidR="002B0C01" w:rsidRDefault="002B0C01" w:rsidP="002B0C01">
      <w:pPr>
        <w:jc w:val="both"/>
      </w:pPr>
      <w:r>
        <w:t xml:space="preserve">Rule 25-30.4325, F.A.C., addresses the method by which the </w:t>
      </w:r>
      <w:proofErr w:type="spellStart"/>
      <w:r>
        <w:t>U&amp;U</w:t>
      </w:r>
      <w:proofErr w:type="spellEnd"/>
      <w:r>
        <w:t xml:space="preserve"> of a water system is determined. The Woods’ </w:t>
      </w:r>
      <w:proofErr w:type="spellStart"/>
      <w:r>
        <w:t>U&amp;U</w:t>
      </w:r>
      <w:proofErr w:type="spellEnd"/>
      <w:r>
        <w:t xml:space="preserve"> percentages were last determined in Docket No. 20100330-WS.</w:t>
      </w:r>
      <w:r>
        <w:rPr>
          <w:rStyle w:val="FootnoteReference"/>
        </w:rPr>
        <w:footnoteReference w:id="6"/>
      </w:r>
      <w:r>
        <w:t xml:space="preserve"> In that docket, the Commission determined the Utility’s </w:t>
      </w:r>
      <w:proofErr w:type="spellStart"/>
      <w:r>
        <w:t>WTP</w:t>
      </w:r>
      <w:proofErr w:type="spellEnd"/>
      <w:r>
        <w:t xml:space="preserve"> and water storage to be 100 percent </w:t>
      </w:r>
      <w:proofErr w:type="spellStart"/>
      <w:r>
        <w:t>U&amp;U</w:t>
      </w:r>
      <w:proofErr w:type="spellEnd"/>
      <w:r>
        <w:t xml:space="preserve">. The Utility’s water distribution system was determined to be 76 percent </w:t>
      </w:r>
      <w:proofErr w:type="spellStart"/>
      <w:r>
        <w:t>U&amp;U</w:t>
      </w:r>
      <w:proofErr w:type="spellEnd"/>
      <w:r>
        <w:t>. The Utility has not inc</w:t>
      </w:r>
      <w:r w:rsidR="00567BEC">
        <w:t xml:space="preserve">reased the capacity of its </w:t>
      </w:r>
      <w:proofErr w:type="spellStart"/>
      <w:r w:rsidR="00567BEC">
        <w:t>WTP</w:t>
      </w:r>
      <w:proofErr w:type="spellEnd"/>
      <w:r w:rsidR="00AD6D0C">
        <w:t>,</w:t>
      </w:r>
      <w:r w:rsidR="00567BEC">
        <w:t xml:space="preserve"> </w:t>
      </w:r>
      <w:r w:rsidR="00AD6D0C">
        <w:t>n</w:t>
      </w:r>
      <w:r>
        <w:t xml:space="preserve">or </w:t>
      </w:r>
      <w:r w:rsidR="00AD6D0C">
        <w:t xml:space="preserve">has the Utility </w:t>
      </w:r>
      <w:r>
        <w:t xml:space="preserve">increased its water storage capacity since rates were last established. The Woods’ water service area has had a decrease in average growth for the past </w:t>
      </w:r>
      <w:r w:rsidRPr="00A32B31">
        <w:t>five</w:t>
      </w:r>
      <w:r>
        <w:t xml:space="preserve"> years, and the Utility has not expanded its territory. Therefore, consistent with the Commission’s previous decision, staff recommends the Utility’s </w:t>
      </w:r>
      <w:proofErr w:type="spellStart"/>
      <w:r>
        <w:t>WTP</w:t>
      </w:r>
      <w:proofErr w:type="spellEnd"/>
      <w:r>
        <w:t xml:space="preserve"> and water storage be considered 100 percent </w:t>
      </w:r>
      <w:proofErr w:type="spellStart"/>
      <w:r>
        <w:t>U&amp;U</w:t>
      </w:r>
      <w:proofErr w:type="spellEnd"/>
      <w:r>
        <w:t xml:space="preserve">, and the Utility’s water distribution system be considered 76 percent </w:t>
      </w:r>
      <w:proofErr w:type="spellStart"/>
      <w:r>
        <w:t>U&amp;U</w:t>
      </w:r>
      <w:proofErr w:type="spellEnd"/>
      <w:r>
        <w:t>.</w:t>
      </w:r>
    </w:p>
    <w:p w:rsidR="002B0C01" w:rsidRDefault="002B0C01" w:rsidP="002B0C01">
      <w:pPr>
        <w:jc w:val="both"/>
      </w:pPr>
    </w:p>
    <w:p w:rsidR="002B0C01" w:rsidRPr="00FF75A2" w:rsidRDefault="002B0C01" w:rsidP="002B0C01">
      <w:pPr>
        <w:jc w:val="both"/>
        <w:outlineLvl w:val="2"/>
        <w:rPr>
          <w:rFonts w:ascii="Arial" w:hAnsi="Arial" w:cs="Arial"/>
          <w:b/>
          <w:bCs/>
          <w:iCs/>
          <w:szCs w:val="28"/>
        </w:rPr>
      </w:pPr>
      <w:r w:rsidRPr="00FF75A2">
        <w:rPr>
          <w:rFonts w:ascii="Arial" w:hAnsi="Arial" w:cs="Arial"/>
          <w:b/>
          <w:bCs/>
          <w:iCs/>
          <w:szCs w:val="28"/>
        </w:rPr>
        <w:t>Excessive Unaccounted for Water</w:t>
      </w:r>
    </w:p>
    <w:p w:rsidR="002B0C01" w:rsidRPr="00FF75A2" w:rsidRDefault="002B0C01" w:rsidP="002B0C01">
      <w:pPr>
        <w:spacing w:after="240"/>
        <w:jc w:val="both"/>
      </w:pPr>
      <w:r w:rsidRPr="00FF75A2">
        <w:t>Rule 25</w:t>
      </w:r>
      <w:r>
        <w:t>-</w:t>
      </w:r>
      <w:r w:rsidRPr="00FF75A2">
        <w:t xml:space="preserve">30.4325, F.A.C., additionally provides factors to be considered in determining whether adjustments to operating expenses are necessary for </w:t>
      </w:r>
      <w:proofErr w:type="spellStart"/>
      <w:r w:rsidRPr="00FF75A2">
        <w:t>EUW</w:t>
      </w:r>
      <w:proofErr w:type="spellEnd"/>
      <w:r w:rsidRPr="00FF75A2">
        <w:t xml:space="preserve">. </w:t>
      </w:r>
      <w:proofErr w:type="spellStart"/>
      <w:r w:rsidRPr="00FF75A2">
        <w:t>EUW</w:t>
      </w:r>
      <w:proofErr w:type="spellEnd"/>
      <w:r w:rsidRPr="00FF75A2">
        <w:t xml:space="preserve"> is defined as “unaccounted for water in excess of 10 percent of the amount produced.” Unaccounted for water is all water produced that is not sold, metered, or accounted for in the records of the Utility.</w:t>
      </w:r>
    </w:p>
    <w:p w:rsidR="00376C9E" w:rsidRDefault="00AD6D0C" w:rsidP="00AD6D0C">
      <w:pPr>
        <w:jc w:val="both"/>
        <w:rPr>
          <w:rFonts w:ascii="Arial" w:hAnsi="Arial" w:cs="Arial"/>
          <w:b/>
          <w:bCs/>
          <w:iCs/>
          <w:szCs w:val="28"/>
        </w:rPr>
      </w:pPr>
      <w:proofErr w:type="spellStart"/>
      <w:r w:rsidRPr="00AD6D0C">
        <w:t>EUW</w:t>
      </w:r>
      <w:proofErr w:type="spellEnd"/>
      <w:r w:rsidRPr="00AD6D0C">
        <w:t xml:space="preserve"> is calculated by subtracting both the gallons sold to customers and the gallons used for other services, such as flushing, from the total gallons pumped for the test year. Based on monthly operating reports, the audit completed by staff, and Utility documentation, staff recommends no adjustments should be made to</w:t>
      </w:r>
      <w:r>
        <w:t xml:space="preserve"> purchased power and chemicals.</w:t>
      </w:r>
    </w:p>
    <w:p w:rsidR="00376C9E" w:rsidRDefault="00376C9E" w:rsidP="002B0C01">
      <w:pPr>
        <w:jc w:val="both"/>
        <w:outlineLvl w:val="2"/>
        <w:rPr>
          <w:rFonts w:ascii="Arial" w:hAnsi="Arial" w:cs="Arial"/>
          <w:b/>
          <w:bCs/>
          <w:iCs/>
          <w:szCs w:val="28"/>
        </w:rPr>
      </w:pPr>
    </w:p>
    <w:p w:rsidR="002B0C01" w:rsidRDefault="002B0C01" w:rsidP="002B0C01">
      <w:pPr>
        <w:jc w:val="both"/>
        <w:outlineLvl w:val="2"/>
        <w:rPr>
          <w:rFonts w:ascii="Arial" w:hAnsi="Arial" w:cs="Arial"/>
          <w:b/>
          <w:bCs/>
          <w:iCs/>
          <w:szCs w:val="28"/>
        </w:rPr>
      </w:pPr>
      <w:r>
        <w:rPr>
          <w:rFonts w:ascii="Arial" w:hAnsi="Arial" w:cs="Arial"/>
          <w:b/>
          <w:bCs/>
          <w:iCs/>
          <w:szCs w:val="28"/>
        </w:rPr>
        <w:t>Conclusion</w:t>
      </w:r>
    </w:p>
    <w:p w:rsidR="00D43A4C" w:rsidRDefault="002B0C01" w:rsidP="00567BEC">
      <w:pPr>
        <w:jc w:val="both"/>
        <w:outlineLvl w:val="2"/>
        <w:sectPr w:rsidR="00D43A4C" w:rsidSect="009B1FE5">
          <w:headerReference w:type="default" r:id="rId17"/>
          <w:pgSz w:w="12240" w:h="15840" w:code="1"/>
          <w:pgMar w:top="1584" w:right="1440" w:bottom="1440" w:left="1440" w:header="720" w:footer="720" w:gutter="0"/>
          <w:cols w:space="720"/>
          <w:formProt w:val="0"/>
          <w:docGrid w:linePitch="360"/>
        </w:sectPr>
      </w:pPr>
      <w:r>
        <w:t xml:space="preserve">The Woods’ </w:t>
      </w:r>
      <w:proofErr w:type="spellStart"/>
      <w:r>
        <w:t>WTP</w:t>
      </w:r>
      <w:proofErr w:type="spellEnd"/>
      <w:r>
        <w:t xml:space="preserve"> and water storage should be considered 100 percent </w:t>
      </w:r>
      <w:proofErr w:type="spellStart"/>
      <w:r>
        <w:t>U&amp;U</w:t>
      </w:r>
      <w:proofErr w:type="spellEnd"/>
      <w:r>
        <w:t xml:space="preserve">. The Utility’s water distribution system should be considered 76 percent </w:t>
      </w:r>
      <w:proofErr w:type="spellStart"/>
      <w:r>
        <w:t>U&amp;U</w:t>
      </w:r>
      <w:proofErr w:type="spellEnd"/>
      <w:r>
        <w:t xml:space="preserve">. </w:t>
      </w:r>
      <w:r w:rsidR="00270E39">
        <w:rPr>
          <w:bCs/>
          <w:iCs/>
        </w:rPr>
        <w:t>Additionally;</w:t>
      </w:r>
      <w:r>
        <w:rPr>
          <w:bCs/>
          <w:iCs/>
        </w:rPr>
        <w:t xml:space="preserve"> staff recommends no adjustment to purchased power and chemical</w:t>
      </w:r>
      <w:r w:rsidR="00270E39">
        <w:rPr>
          <w:bCs/>
          <w:iCs/>
        </w:rPr>
        <w:t xml:space="preserve"> expenses</w:t>
      </w:r>
      <w:r>
        <w:rPr>
          <w:bCs/>
          <w:iCs/>
        </w:rPr>
        <w:t xml:space="preserve"> </w:t>
      </w:r>
      <w:r w:rsidR="00567BEC">
        <w:rPr>
          <w:bCs/>
          <w:iCs/>
        </w:rPr>
        <w:t xml:space="preserve">be made for </w:t>
      </w:r>
      <w:proofErr w:type="spellStart"/>
      <w:r w:rsidR="00567BEC">
        <w:rPr>
          <w:bCs/>
          <w:iCs/>
        </w:rPr>
        <w:t>EUW</w:t>
      </w:r>
      <w:proofErr w:type="spellEnd"/>
      <w:r w:rsidR="00C17C77">
        <w:t>.</w:t>
      </w:r>
    </w:p>
    <w:p w:rsidR="00C17C77" w:rsidRDefault="00C17C77">
      <w:pPr>
        <w:pStyle w:val="IssueHeading"/>
        <w:rPr>
          <w:vanish/>
          <w:specVanish/>
        </w:rPr>
      </w:pPr>
      <w:r w:rsidRPr="004C3641">
        <w:lastRenderedPageBreak/>
        <w:t xml:space="preserve">Issue </w:t>
      </w:r>
      <w:fldSimple w:instr=" SEQ Issue \* MERGEFORMAT ">
        <w:r w:rsidR="00B51302">
          <w:rPr>
            <w:noProof/>
          </w:rPr>
          <w:t>4</w:t>
        </w:r>
      </w:fldSimple>
      <w:r w:rsidRPr="004C3641">
        <w:t>:</w:t>
      </w:r>
      <w:r>
        <w:fldChar w:fldCharType="begin"/>
      </w:r>
      <w:r>
        <w:instrText xml:space="preserve"> TC "</w:instrText>
      </w:r>
      <w:r>
        <w:fldChar w:fldCharType="begin"/>
      </w:r>
      <w:r>
        <w:instrText xml:space="preserve"> SEQ issue \c </w:instrText>
      </w:r>
      <w:r>
        <w:fldChar w:fldCharType="separate"/>
      </w:r>
      <w:bookmarkStart w:id="20" w:name="_Toc30164198"/>
      <w:bookmarkStart w:id="21" w:name="_Toc32829960"/>
      <w:r w:rsidR="00B51302">
        <w:rPr>
          <w:noProof/>
        </w:rPr>
        <w:instrText>4</w:instrText>
      </w:r>
      <w:r>
        <w:fldChar w:fldCharType="end"/>
      </w:r>
      <w:r>
        <w:tab/>
      </w:r>
      <w:bookmarkEnd w:id="20"/>
      <w:r w:rsidR="00567BEC">
        <w:instrText>Average Test Year Rate Base (Hightower, Thompson)</w:instrText>
      </w:r>
      <w:bookmarkEnd w:id="21"/>
      <w:r>
        <w:instrText xml:space="preserve">" \l 1 </w:instrText>
      </w:r>
      <w:r>
        <w:fldChar w:fldCharType="end"/>
      </w:r>
      <w:r>
        <w:t> </w:t>
      </w:r>
    </w:p>
    <w:p w:rsidR="00C17C77" w:rsidRDefault="00C17C77">
      <w:pPr>
        <w:pStyle w:val="BodyText"/>
      </w:pPr>
      <w:r>
        <w:t xml:space="preserve"> What </w:t>
      </w:r>
      <w:r w:rsidR="00471A2F">
        <w:t>is</w:t>
      </w:r>
      <w:r>
        <w:t xml:space="preserve"> the appropriate average test year </w:t>
      </w:r>
      <w:r w:rsidR="00471A2F">
        <w:t>rate base</w:t>
      </w:r>
      <w:r>
        <w:t xml:space="preserve"> for The Woods Utility</w:t>
      </w:r>
      <w:r w:rsidR="00567BEC">
        <w:t xml:space="preserve"> Company</w:t>
      </w:r>
      <w:r>
        <w:t>?</w:t>
      </w:r>
    </w:p>
    <w:p w:rsidR="00C17C77" w:rsidRPr="004C3641" w:rsidRDefault="00C17C77">
      <w:pPr>
        <w:pStyle w:val="IssueSubsectionHeading"/>
        <w:rPr>
          <w:vanish/>
          <w:specVanish/>
        </w:rPr>
      </w:pPr>
      <w:r w:rsidRPr="004C3641">
        <w:t>Recommendation: </w:t>
      </w:r>
    </w:p>
    <w:p w:rsidR="00C17C77" w:rsidRDefault="00C17C77">
      <w:pPr>
        <w:pStyle w:val="BodyText"/>
      </w:pPr>
      <w:r>
        <w:t> The appropriate average test year rate base is $</w:t>
      </w:r>
      <w:r w:rsidR="00657497">
        <w:t>1</w:t>
      </w:r>
      <w:r w:rsidR="00580946">
        <w:t>65,678</w:t>
      </w:r>
      <w:r w:rsidR="00471A2F">
        <w:t>.</w:t>
      </w:r>
      <w:r>
        <w:t xml:space="preserve"> (Hightower, Thompson)</w:t>
      </w:r>
    </w:p>
    <w:p w:rsidR="00C17C77" w:rsidRPr="004C3641" w:rsidRDefault="00C17C77">
      <w:pPr>
        <w:pStyle w:val="IssueSubsectionHeading"/>
        <w:rPr>
          <w:vanish/>
          <w:specVanish/>
        </w:rPr>
      </w:pPr>
      <w:r w:rsidRPr="004C3641">
        <w:t>Staff Analysis: </w:t>
      </w:r>
    </w:p>
    <w:p w:rsidR="00C17C77" w:rsidRPr="009C167F" w:rsidRDefault="00C17C77" w:rsidP="00C17C77">
      <w:pPr>
        <w:autoSpaceDE w:val="0"/>
        <w:autoSpaceDN w:val="0"/>
        <w:adjustRightInd w:val="0"/>
        <w:jc w:val="both"/>
      </w:pPr>
      <w:r>
        <w:t> </w:t>
      </w:r>
      <w:r w:rsidRPr="009C167F">
        <w:t>The appropriate components of the Utility’s rate base include utility plant in service (UPIS), land &amp; land rights, accumulated depreciation, contribution</w:t>
      </w:r>
      <w:r>
        <w:t>-</w:t>
      </w:r>
      <w:r w:rsidRPr="009C167F">
        <w:t>in</w:t>
      </w:r>
      <w:r>
        <w:t>-</w:t>
      </w:r>
      <w:r w:rsidRPr="009C167F">
        <w:t>aid</w:t>
      </w:r>
      <w:r>
        <w:t>-</w:t>
      </w:r>
      <w:r w:rsidRPr="009C167F">
        <w:t>of</w:t>
      </w:r>
      <w:r>
        <w:t>-</w:t>
      </w:r>
      <w:r w:rsidRPr="009C167F">
        <w:t>construction (</w:t>
      </w:r>
      <w:proofErr w:type="spellStart"/>
      <w:r w:rsidRPr="009C167F">
        <w:t>CIAC</w:t>
      </w:r>
      <w:proofErr w:type="spellEnd"/>
      <w:r w:rsidRPr="009C167F">
        <w:t xml:space="preserve">), accumulated amortization of </w:t>
      </w:r>
      <w:proofErr w:type="spellStart"/>
      <w:r w:rsidRPr="009C167F">
        <w:t>CIAC</w:t>
      </w:r>
      <w:proofErr w:type="spellEnd"/>
      <w:r w:rsidRPr="009C167F">
        <w:t>,</w:t>
      </w:r>
      <w:r>
        <w:t xml:space="preserve"> a negative acquisition adjustment,</w:t>
      </w:r>
      <w:r w:rsidRPr="009C167F">
        <w:t xml:space="preserve"> and working capital. The last full rate preceding that established balances for rate base for The Woods was Docket No. 20100330</w:t>
      </w:r>
      <w:r>
        <w:t>-</w:t>
      </w:r>
      <w:r w:rsidRPr="009C167F">
        <w:t>WS.</w:t>
      </w:r>
      <w:r>
        <w:rPr>
          <w:rStyle w:val="FootnoteReference"/>
        </w:rPr>
        <w:footnoteReference w:id="7"/>
      </w:r>
      <w:r w:rsidRPr="009C167F">
        <w:t xml:space="preserve"> </w:t>
      </w:r>
      <w:r>
        <w:t xml:space="preserve">Commission audit staff determined that the Utility’s books and records are in compliance with the National Association of Regulatory Utility Commissioners’ Uniform System of Accounts (NARUC </w:t>
      </w:r>
      <w:proofErr w:type="spellStart"/>
      <w:r>
        <w:t>USO</w:t>
      </w:r>
      <w:r w:rsidR="00AD5C79">
        <w:t>A</w:t>
      </w:r>
      <w:proofErr w:type="spellEnd"/>
      <w:r w:rsidR="00AD5C79">
        <w:t>). The Utility recorded a</w:t>
      </w:r>
      <w:r>
        <w:t xml:space="preserve"> rate base of $135,62</w:t>
      </w:r>
      <w:r w:rsidR="002B7DE8">
        <w:t>7</w:t>
      </w:r>
      <w:r>
        <w:t>. St</w:t>
      </w:r>
      <w:r w:rsidR="00697333">
        <w:t>aff recommends an increase of $</w:t>
      </w:r>
      <w:r w:rsidR="00FD786C">
        <w:t>3</w:t>
      </w:r>
      <w:r w:rsidR="004F3329">
        <w:t>0</w:t>
      </w:r>
      <w:r w:rsidR="00FD786C">
        <w:t>,051</w:t>
      </w:r>
      <w:r>
        <w:t xml:space="preserve"> to rate base. </w:t>
      </w:r>
      <w:r w:rsidRPr="009C167F">
        <w:t>A summary of each component and the recommended adjustments follows.</w:t>
      </w:r>
    </w:p>
    <w:p w:rsidR="00C17C77" w:rsidRDefault="00C17C77" w:rsidP="00C17C77">
      <w:pPr>
        <w:autoSpaceDE w:val="0"/>
        <w:autoSpaceDN w:val="0"/>
        <w:adjustRightInd w:val="0"/>
        <w:jc w:val="both"/>
        <w:rPr>
          <w:sz w:val="23"/>
          <w:szCs w:val="23"/>
        </w:rPr>
      </w:pPr>
    </w:p>
    <w:p w:rsidR="00C17C77" w:rsidRDefault="00C17C77" w:rsidP="00C17C77">
      <w:pPr>
        <w:pStyle w:val="First-LevelSubheading"/>
      </w:pPr>
      <w:r>
        <w:t xml:space="preserve">Utility Plant </w:t>
      </w:r>
      <w:proofErr w:type="gramStart"/>
      <w:r>
        <w:t>In</w:t>
      </w:r>
      <w:proofErr w:type="gramEnd"/>
      <w:r>
        <w:t xml:space="preserve"> Service (UPIS)</w:t>
      </w:r>
    </w:p>
    <w:p w:rsidR="00C17C77" w:rsidRPr="008C12A7" w:rsidRDefault="00C17C77" w:rsidP="00C17C77">
      <w:pPr>
        <w:autoSpaceDE w:val="0"/>
        <w:autoSpaceDN w:val="0"/>
        <w:adjustRightInd w:val="0"/>
        <w:jc w:val="both"/>
      </w:pPr>
      <w:r>
        <w:t>The Uti</w:t>
      </w:r>
      <w:r w:rsidRPr="008C12A7">
        <w:t>lity recorded $</w:t>
      </w:r>
      <w:r>
        <w:t>531,46</w:t>
      </w:r>
      <w:r w:rsidR="003E43F1">
        <w:t>9</w:t>
      </w:r>
      <w:r w:rsidRPr="008C12A7">
        <w:t xml:space="preserve"> </w:t>
      </w:r>
      <w:r>
        <w:t>in</w:t>
      </w:r>
      <w:r w:rsidRPr="008C12A7">
        <w:t xml:space="preserve"> UPIS. </w:t>
      </w:r>
      <w:r>
        <w:t>Staff</w:t>
      </w:r>
      <w:r w:rsidRPr="008C12A7">
        <w:t xml:space="preserve"> identified several adjustments resulting</w:t>
      </w:r>
      <w:r>
        <w:t xml:space="preserve"> </w:t>
      </w:r>
      <w:r w:rsidRPr="008C12A7">
        <w:t>in a</w:t>
      </w:r>
      <w:r>
        <w:t xml:space="preserve"> </w:t>
      </w:r>
      <w:r w:rsidRPr="008C12A7">
        <w:t>n</w:t>
      </w:r>
      <w:r>
        <w:t>et</w:t>
      </w:r>
      <w:r w:rsidRPr="008C12A7">
        <w:t xml:space="preserve"> </w:t>
      </w:r>
      <w:r>
        <w:t>increase</w:t>
      </w:r>
      <w:r w:rsidRPr="008C12A7">
        <w:t xml:space="preserve"> to UPIS of $</w:t>
      </w:r>
      <w:r>
        <w:t>45,760</w:t>
      </w:r>
      <w:r w:rsidRPr="008C12A7">
        <w:t xml:space="preserve">. </w:t>
      </w:r>
      <w:r>
        <w:t>First, staff de</w:t>
      </w:r>
      <w:r w:rsidRPr="008C12A7">
        <w:t>creased UPIS by $</w:t>
      </w:r>
      <w:r>
        <w:t>9,238</w:t>
      </w:r>
      <w:r w:rsidRPr="008C12A7">
        <w:t xml:space="preserve"> </w:t>
      </w:r>
      <w:r>
        <w:t>to reflect an averaging adjustment</w:t>
      </w:r>
      <w:r w:rsidRPr="008C12A7">
        <w:t>.</w:t>
      </w:r>
      <w:r>
        <w:t xml:space="preserve"> Staff reduced UPIS by $13,778 to reflect non-used and useful adjustments. </w:t>
      </w:r>
      <w:r w:rsidRPr="008C12A7">
        <w:t xml:space="preserve">Staff made </w:t>
      </w:r>
      <w:r>
        <w:t xml:space="preserve">an </w:t>
      </w:r>
      <w:r w:rsidRPr="008C12A7">
        <w:t>adjustment increasing</w:t>
      </w:r>
      <w:r>
        <w:t xml:space="preserve"> </w:t>
      </w:r>
      <w:r w:rsidRPr="008C12A7">
        <w:t>UPIS by $</w:t>
      </w:r>
      <w:r>
        <w:t>68,776</w:t>
      </w:r>
      <w:r w:rsidRPr="008C12A7">
        <w:t xml:space="preserve"> </w:t>
      </w:r>
      <w:r>
        <w:t>($</w:t>
      </w:r>
      <w:r w:rsidR="00945211">
        <w:t>68,187 + $2,357</w:t>
      </w:r>
      <w:r>
        <w:t xml:space="preserve"> - $1,768) </w:t>
      </w:r>
      <w:r w:rsidRPr="008C12A7">
        <w:t xml:space="preserve">to reflect </w:t>
      </w:r>
      <w:r w:rsidR="00945211">
        <w:t>the addition of the new water filtration system required by DEP consent order and one</w:t>
      </w:r>
      <w:r>
        <w:t xml:space="preserve"> </w:t>
      </w:r>
      <w:r w:rsidRPr="008C12A7">
        <w:t>pro forma plant addition</w:t>
      </w:r>
      <w:r>
        <w:t xml:space="preserve"> net of retirements</w:t>
      </w:r>
      <w:r w:rsidRPr="008C12A7">
        <w:t>. Therefore, staff recommends an average</w:t>
      </w:r>
      <w:r>
        <w:t xml:space="preserve"> </w:t>
      </w:r>
      <w:r w:rsidRPr="008C12A7">
        <w:t>UPIS balance of</w:t>
      </w:r>
      <w:r>
        <w:t xml:space="preserve"> </w:t>
      </w:r>
      <w:r w:rsidRPr="008C12A7">
        <w:t>$</w:t>
      </w:r>
      <w:r>
        <w:t>577,22</w:t>
      </w:r>
      <w:r w:rsidR="00945211">
        <w:t>9</w:t>
      </w:r>
      <w:r w:rsidRPr="008C12A7">
        <w:t xml:space="preserve"> (</w:t>
      </w:r>
      <w:r>
        <w:t>$531,46</w:t>
      </w:r>
      <w:r w:rsidR="003E43F1">
        <w:t>9</w:t>
      </w:r>
      <w:r>
        <w:t xml:space="preserve"> - $9,238 - $13,778 + $68,776</w:t>
      </w:r>
      <w:r w:rsidRPr="008C12A7">
        <w:t>)</w:t>
      </w:r>
      <w:r w:rsidR="00471A2F">
        <w:t>.</w:t>
      </w:r>
    </w:p>
    <w:p w:rsidR="00C17C77" w:rsidRDefault="00C17C77" w:rsidP="00C17C77">
      <w:pPr>
        <w:pStyle w:val="BodyText"/>
        <w:spacing w:after="0"/>
      </w:pPr>
    </w:p>
    <w:p w:rsidR="002B0C01" w:rsidRDefault="002B0C01" w:rsidP="002B0C01">
      <w:pPr>
        <w:pStyle w:val="Second-LevelSubheading"/>
      </w:pPr>
      <w:r>
        <w:t>Pro Forma Plant Additions</w:t>
      </w:r>
    </w:p>
    <w:p w:rsidR="002B0C01" w:rsidRDefault="002B0C01" w:rsidP="002B0C01">
      <w:pPr>
        <w:pStyle w:val="BodyText"/>
      </w:pPr>
      <w:r>
        <w:t>Table 4-1 shows The Woods’ requested pro forma plant</w:t>
      </w:r>
      <w:r w:rsidR="00AD5C79">
        <w:t xml:space="preserve"> addition</w:t>
      </w:r>
      <w:r>
        <w:t xml:space="preserve">. As is Commission practice, staff requested that three bids be provided for the pro forma </w:t>
      </w:r>
      <w:r w:rsidR="00AD5C79">
        <w:t>addition</w:t>
      </w:r>
      <w:r>
        <w:t xml:space="preserve">. According to the Utility, the pro forma </w:t>
      </w:r>
      <w:r w:rsidR="00AD5C79">
        <w:t>addition</w:t>
      </w:r>
      <w:r>
        <w:t xml:space="preserve"> was related to the project completed to comply with the DEP Consent Order. Therefore, the same vendor that completed those upgrades completed this project as well. The Utility stated that it did not request bid proposals for upgrades completed related to the DEP Consent Order as it was highly specialized work completed under its operation and maintenance contract with U.S. Water Services Corporation. As this project was completed in relation to the DEP Consent Order, staff recommends that the project cost is appropriate.</w:t>
      </w:r>
    </w:p>
    <w:p w:rsidR="002B0C01" w:rsidRDefault="002B0C01" w:rsidP="002B0C01">
      <w:pPr>
        <w:pStyle w:val="TableNumber"/>
        <w:keepNext/>
        <w:spacing w:before="240"/>
      </w:pPr>
      <w:r>
        <w:t xml:space="preserve">Table </w:t>
      </w:r>
      <w:fldSimple w:instr=" SEQ Issue \c ">
        <w:r w:rsidR="00B51302">
          <w:rPr>
            <w:noProof/>
          </w:rPr>
          <w:t>4</w:t>
        </w:r>
      </w:fldSimple>
      <w:r>
        <w:t>-1</w:t>
      </w:r>
    </w:p>
    <w:p w:rsidR="002B0C01" w:rsidRDefault="002B0C01" w:rsidP="002B0C01">
      <w:pPr>
        <w:pStyle w:val="TableTitle"/>
        <w:keepNext/>
      </w:pPr>
      <w:r>
        <w:t>Pro-Forma Plant Items</w:t>
      </w:r>
    </w:p>
    <w:tbl>
      <w:tblPr>
        <w:tblStyle w:val="TableGrid"/>
        <w:tblW w:w="0" w:type="auto"/>
        <w:tblLook w:val="04A0" w:firstRow="1" w:lastRow="0" w:firstColumn="1" w:lastColumn="0" w:noHBand="0" w:noVBand="1"/>
      </w:tblPr>
      <w:tblGrid>
        <w:gridCol w:w="3078"/>
        <w:gridCol w:w="743"/>
        <w:gridCol w:w="4505"/>
        <w:gridCol w:w="1250"/>
      </w:tblGrid>
      <w:tr w:rsidR="002B0C01" w:rsidTr="00583026">
        <w:tc>
          <w:tcPr>
            <w:tcW w:w="3078" w:type="dxa"/>
            <w:tcBorders>
              <w:top w:val="single" w:sz="4" w:space="0" w:color="auto"/>
              <w:left w:val="single" w:sz="4" w:space="0" w:color="auto"/>
              <w:bottom w:val="single" w:sz="4" w:space="0" w:color="auto"/>
              <w:right w:val="single" w:sz="4" w:space="0" w:color="auto"/>
            </w:tcBorders>
            <w:hideMark/>
          </w:tcPr>
          <w:p w:rsidR="002B0C01" w:rsidRDefault="002B0C01" w:rsidP="00583026">
            <w:pPr>
              <w:jc w:val="center"/>
              <w:rPr>
                <w:b/>
              </w:rPr>
            </w:pPr>
            <w:r>
              <w:rPr>
                <w:b/>
              </w:rPr>
              <w:t>Project</w:t>
            </w:r>
          </w:p>
        </w:tc>
        <w:tc>
          <w:tcPr>
            <w:tcW w:w="743" w:type="dxa"/>
            <w:tcBorders>
              <w:top w:val="single" w:sz="4" w:space="0" w:color="auto"/>
              <w:left w:val="single" w:sz="4" w:space="0" w:color="auto"/>
              <w:bottom w:val="single" w:sz="4" w:space="0" w:color="auto"/>
              <w:right w:val="single" w:sz="4" w:space="0" w:color="auto"/>
            </w:tcBorders>
            <w:hideMark/>
          </w:tcPr>
          <w:p w:rsidR="002B0C01" w:rsidRDefault="002B0C01" w:rsidP="00583026">
            <w:pPr>
              <w:jc w:val="center"/>
              <w:rPr>
                <w:b/>
              </w:rPr>
            </w:pPr>
            <w:r>
              <w:rPr>
                <w:b/>
              </w:rPr>
              <w:t>Acct. No.</w:t>
            </w:r>
          </w:p>
        </w:tc>
        <w:tc>
          <w:tcPr>
            <w:tcW w:w="4505" w:type="dxa"/>
            <w:tcBorders>
              <w:top w:val="single" w:sz="4" w:space="0" w:color="auto"/>
              <w:left w:val="single" w:sz="4" w:space="0" w:color="auto"/>
              <w:bottom w:val="single" w:sz="4" w:space="0" w:color="auto"/>
              <w:right w:val="single" w:sz="4" w:space="0" w:color="auto"/>
            </w:tcBorders>
            <w:hideMark/>
          </w:tcPr>
          <w:p w:rsidR="002B0C01" w:rsidRDefault="002B0C01" w:rsidP="00583026">
            <w:pPr>
              <w:jc w:val="center"/>
              <w:rPr>
                <w:b/>
              </w:rPr>
            </w:pPr>
            <w:r>
              <w:rPr>
                <w:b/>
              </w:rPr>
              <w:t>Description</w:t>
            </w:r>
          </w:p>
        </w:tc>
        <w:tc>
          <w:tcPr>
            <w:tcW w:w="1250" w:type="dxa"/>
            <w:tcBorders>
              <w:top w:val="single" w:sz="4" w:space="0" w:color="auto"/>
              <w:left w:val="single" w:sz="4" w:space="0" w:color="auto"/>
              <w:bottom w:val="single" w:sz="4" w:space="0" w:color="auto"/>
              <w:right w:val="single" w:sz="4" w:space="0" w:color="auto"/>
            </w:tcBorders>
            <w:hideMark/>
          </w:tcPr>
          <w:p w:rsidR="002B0C01" w:rsidRDefault="002B0C01" w:rsidP="00583026">
            <w:pPr>
              <w:jc w:val="center"/>
              <w:rPr>
                <w:b/>
              </w:rPr>
            </w:pPr>
            <w:r>
              <w:rPr>
                <w:b/>
              </w:rPr>
              <w:t>Amount</w:t>
            </w:r>
          </w:p>
        </w:tc>
      </w:tr>
      <w:tr w:rsidR="002B0C01" w:rsidTr="00583026">
        <w:tc>
          <w:tcPr>
            <w:tcW w:w="3078" w:type="dxa"/>
            <w:tcBorders>
              <w:top w:val="single" w:sz="4" w:space="0" w:color="auto"/>
              <w:left w:val="single" w:sz="4" w:space="0" w:color="auto"/>
              <w:bottom w:val="single" w:sz="4" w:space="0" w:color="auto"/>
              <w:right w:val="single" w:sz="4" w:space="0" w:color="auto"/>
            </w:tcBorders>
          </w:tcPr>
          <w:p w:rsidR="002B0C01" w:rsidRDefault="002B0C01" w:rsidP="00583026">
            <w:pPr>
              <w:jc w:val="center"/>
            </w:pPr>
            <w:r>
              <w:t>Power Pole Replacement</w:t>
            </w:r>
          </w:p>
        </w:tc>
        <w:tc>
          <w:tcPr>
            <w:tcW w:w="743" w:type="dxa"/>
            <w:tcBorders>
              <w:top w:val="single" w:sz="4" w:space="0" w:color="auto"/>
              <w:left w:val="single" w:sz="4" w:space="0" w:color="auto"/>
              <w:bottom w:val="single" w:sz="4" w:space="0" w:color="auto"/>
              <w:right w:val="single" w:sz="4" w:space="0" w:color="auto"/>
            </w:tcBorders>
          </w:tcPr>
          <w:p w:rsidR="002B0C01" w:rsidRDefault="002B0C01" w:rsidP="00583026">
            <w:pPr>
              <w:jc w:val="center"/>
            </w:pPr>
            <w:r>
              <w:t>304</w:t>
            </w:r>
          </w:p>
        </w:tc>
        <w:tc>
          <w:tcPr>
            <w:tcW w:w="4505" w:type="dxa"/>
            <w:tcBorders>
              <w:top w:val="single" w:sz="4" w:space="0" w:color="auto"/>
              <w:left w:val="single" w:sz="4" w:space="0" w:color="auto"/>
              <w:bottom w:val="single" w:sz="4" w:space="0" w:color="auto"/>
              <w:right w:val="single" w:sz="4" w:space="0" w:color="auto"/>
            </w:tcBorders>
          </w:tcPr>
          <w:p w:rsidR="002B0C01" w:rsidRDefault="002B0C01" w:rsidP="00583026">
            <w:pPr>
              <w:jc w:val="center"/>
            </w:pPr>
            <w:r>
              <w:t>New power pole and control panel install at the water treatment plant</w:t>
            </w:r>
          </w:p>
        </w:tc>
        <w:tc>
          <w:tcPr>
            <w:tcW w:w="1250" w:type="dxa"/>
            <w:tcBorders>
              <w:top w:val="single" w:sz="4" w:space="0" w:color="auto"/>
              <w:left w:val="single" w:sz="4" w:space="0" w:color="auto"/>
              <w:bottom w:val="single" w:sz="4" w:space="0" w:color="auto"/>
              <w:right w:val="single" w:sz="4" w:space="0" w:color="auto"/>
            </w:tcBorders>
            <w:vAlign w:val="center"/>
          </w:tcPr>
          <w:p w:rsidR="002B0C01" w:rsidRPr="003D4F45" w:rsidRDefault="002B0C01" w:rsidP="00583026">
            <w:pPr>
              <w:jc w:val="center"/>
            </w:pPr>
            <w:r w:rsidRPr="003D4F45">
              <w:t>$2,357</w:t>
            </w:r>
          </w:p>
        </w:tc>
      </w:tr>
      <w:tr w:rsidR="002B0C01" w:rsidTr="00583026">
        <w:tc>
          <w:tcPr>
            <w:tcW w:w="3078" w:type="dxa"/>
            <w:tcBorders>
              <w:top w:val="single" w:sz="4" w:space="0" w:color="auto"/>
              <w:left w:val="single" w:sz="4" w:space="0" w:color="auto"/>
              <w:bottom w:val="single" w:sz="4" w:space="0" w:color="auto"/>
              <w:right w:val="single" w:sz="4" w:space="0" w:color="auto"/>
            </w:tcBorders>
          </w:tcPr>
          <w:p w:rsidR="002B0C01" w:rsidRDefault="002B0C01" w:rsidP="00583026">
            <w:pPr>
              <w:jc w:val="center"/>
            </w:pPr>
            <w:r>
              <w:t>Power Pole Replacement</w:t>
            </w:r>
          </w:p>
        </w:tc>
        <w:tc>
          <w:tcPr>
            <w:tcW w:w="743" w:type="dxa"/>
            <w:tcBorders>
              <w:top w:val="single" w:sz="4" w:space="0" w:color="auto"/>
              <w:left w:val="single" w:sz="4" w:space="0" w:color="auto"/>
              <w:bottom w:val="single" w:sz="4" w:space="0" w:color="auto"/>
              <w:right w:val="single" w:sz="4" w:space="0" w:color="auto"/>
            </w:tcBorders>
          </w:tcPr>
          <w:p w:rsidR="002B0C01" w:rsidRDefault="002B0C01" w:rsidP="00583026">
            <w:pPr>
              <w:jc w:val="center"/>
            </w:pPr>
            <w:r>
              <w:t>304</w:t>
            </w:r>
          </w:p>
        </w:tc>
        <w:tc>
          <w:tcPr>
            <w:tcW w:w="4505" w:type="dxa"/>
            <w:tcBorders>
              <w:top w:val="single" w:sz="4" w:space="0" w:color="auto"/>
              <w:left w:val="single" w:sz="4" w:space="0" w:color="auto"/>
              <w:bottom w:val="single" w:sz="4" w:space="0" w:color="auto"/>
              <w:right w:val="single" w:sz="4" w:space="0" w:color="auto"/>
            </w:tcBorders>
          </w:tcPr>
          <w:p w:rsidR="002B0C01" w:rsidRDefault="002B0C01" w:rsidP="00583026">
            <w:pPr>
              <w:jc w:val="center"/>
            </w:pPr>
            <w:r>
              <w:t>Retirement</w:t>
            </w:r>
          </w:p>
        </w:tc>
        <w:tc>
          <w:tcPr>
            <w:tcW w:w="1250" w:type="dxa"/>
            <w:tcBorders>
              <w:top w:val="single" w:sz="4" w:space="0" w:color="auto"/>
              <w:left w:val="single" w:sz="4" w:space="0" w:color="auto"/>
              <w:bottom w:val="single" w:sz="4" w:space="0" w:color="auto"/>
              <w:right w:val="single" w:sz="4" w:space="0" w:color="auto"/>
            </w:tcBorders>
          </w:tcPr>
          <w:p w:rsidR="002B0C01" w:rsidRPr="003D4F45" w:rsidRDefault="002B0C01" w:rsidP="00583026">
            <w:pPr>
              <w:jc w:val="center"/>
              <w:rPr>
                <w:u w:val="single"/>
              </w:rPr>
            </w:pPr>
            <w:r w:rsidRPr="003D4F45">
              <w:rPr>
                <w:u w:val="single"/>
              </w:rPr>
              <w:t>($1,768)</w:t>
            </w:r>
          </w:p>
        </w:tc>
      </w:tr>
    </w:tbl>
    <w:p w:rsidR="002B0C01" w:rsidRPr="007500F6" w:rsidRDefault="002B0C01" w:rsidP="002B0C01">
      <w:pPr>
        <w:pStyle w:val="TableSource"/>
        <w:spacing w:after="0"/>
      </w:pPr>
      <w:r w:rsidRPr="007500F6">
        <w:t>Source: Responses to staff data requests.</w:t>
      </w:r>
    </w:p>
    <w:p w:rsidR="002B0C01" w:rsidRPr="002B0C01" w:rsidRDefault="002B0C01" w:rsidP="002B0C01">
      <w:pPr>
        <w:pStyle w:val="BodyText"/>
      </w:pPr>
    </w:p>
    <w:p w:rsidR="00C17C77" w:rsidRDefault="00C17C77" w:rsidP="00C17C77">
      <w:pPr>
        <w:pStyle w:val="First-LevelSubheading"/>
      </w:pPr>
      <w:r>
        <w:lastRenderedPageBreak/>
        <w:t>Land &amp; Land Rights</w:t>
      </w:r>
    </w:p>
    <w:p w:rsidR="00C17C77" w:rsidRDefault="00C17C77" w:rsidP="00C17C77">
      <w:pPr>
        <w:autoSpaceDE w:val="0"/>
        <w:autoSpaceDN w:val="0"/>
        <w:adjustRightInd w:val="0"/>
        <w:jc w:val="both"/>
      </w:pPr>
      <w:r w:rsidRPr="008C12A7">
        <w:t>The Utility recorded a test year land value of $</w:t>
      </w:r>
      <w:r>
        <w:t>3,500</w:t>
      </w:r>
      <w:r w:rsidRPr="008C12A7">
        <w:t xml:space="preserve">. Staff </w:t>
      </w:r>
      <w:r>
        <w:t>made no</w:t>
      </w:r>
      <w:r w:rsidRPr="008C12A7">
        <w:t xml:space="preserve"> adjustments to this</w:t>
      </w:r>
      <w:r>
        <w:t xml:space="preserve"> </w:t>
      </w:r>
      <w:r w:rsidRPr="008C12A7">
        <w:t>account.</w:t>
      </w:r>
    </w:p>
    <w:p w:rsidR="00C17C77" w:rsidRDefault="00C17C77" w:rsidP="00C17C77">
      <w:pPr>
        <w:autoSpaceDE w:val="0"/>
        <w:autoSpaceDN w:val="0"/>
        <w:adjustRightInd w:val="0"/>
        <w:jc w:val="both"/>
      </w:pPr>
    </w:p>
    <w:p w:rsidR="00C17C77" w:rsidRDefault="00C17C77" w:rsidP="00C17C77">
      <w:pPr>
        <w:pStyle w:val="First-LevelSubheading"/>
      </w:pPr>
      <w:r>
        <w:t>Used and Useful</w:t>
      </w:r>
    </w:p>
    <w:p w:rsidR="00C17C77" w:rsidRDefault="00C17C77" w:rsidP="00C17C77">
      <w:pPr>
        <w:autoSpaceDE w:val="0"/>
        <w:autoSpaceDN w:val="0"/>
        <w:adjustRightInd w:val="0"/>
        <w:jc w:val="both"/>
      </w:pPr>
      <w:r>
        <w:t xml:space="preserve">As discussed in Issue 3, during the prior rate case, the Utility’s water distribution system was determined to be 76 percent </w:t>
      </w:r>
      <w:proofErr w:type="spellStart"/>
      <w:r>
        <w:t>U&amp;U</w:t>
      </w:r>
      <w:proofErr w:type="spellEnd"/>
      <w:r>
        <w:t xml:space="preserve">. The water </w:t>
      </w:r>
      <w:r w:rsidR="00880F23">
        <w:t>service territory</w:t>
      </w:r>
      <w:r w:rsidR="00471A2F">
        <w:t xml:space="preserve"> has</w:t>
      </w:r>
      <w:r>
        <w:t xml:space="preserve"> not had any increase in average growth for the past </w:t>
      </w:r>
      <w:r w:rsidRPr="00A32B31">
        <w:t>five</w:t>
      </w:r>
      <w:r>
        <w:t xml:space="preserve"> years.</w:t>
      </w:r>
      <w:r w:rsidR="007854C5">
        <w:t xml:space="preserve"> As </w:t>
      </w:r>
      <w:r w:rsidR="00BB7A53">
        <w:t>discussed</w:t>
      </w:r>
      <w:r w:rsidR="007854C5">
        <w:t xml:space="preserve"> previously, staff </w:t>
      </w:r>
      <w:r w:rsidR="00BB7A53">
        <w:t>reduced</w:t>
      </w:r>
      <w:r w:rsidR="007854C5">
        <w:t xml:space="preserve"> UPIS by $13,778 to reflect non-used and useful </w:t>
      </w:r>
      <w:r w:rsidR="00BB7A53">
        <w:t>adjustments</w:t>
      </w:r>
      <w:r w:rsidR="007854C5">
        <w:t xml:space="preserve">. </w:t>
      </w:r>
    </w:p>
    <w:p w:rsidR="00C17C77" w:rsidRPr="008C12A7" w:rsidRDefault="00C17C77" w:rsidP="00C17C77">
      <w:pPr>
        <w:autoSpaceDE w:val="0"/>
        <w:autoSpaceDN w:val="0"/>
        <w:adjustRightInd w:val="0"/>
      </w:pPr>
    </w:p>
    <w:p w:rsidR="00C17C77" w:rsidRDefault="00C17C77" w:rsidP="00C17C77">
      <w:pPr>
        <w:pStyle w:val="First-LevelSubheading"/>
      </w:pPr>
      <w:r>
        <w:t>Accumulated Depreciation</w:t>
      </w:r>
    </w:p>
    <w:p w:rsidR="00C17C77" w:rsidRPr="00B852AC" w:rsidRDefault="00C17C77" w:rsidP="00C17C77">
      <w:pPr>
        <w:autoSpaceDE w:val="0"/>
        <w:autoSpaceDN w:val="0"/>
        <w:adjustRightInd w:val="0"/>
        <w:jc w:val="both"/>
        <w:rPr>
          <w:rFonts w:eastAsiaTheme="minorHAnsi"/>
        </w:rPr>
      </w:pPr>
      <w:r w:rsidRPr="00B852AC">
        <w:rPr>
          <w:rFonts w:eastAsiaTheme="minorHAnsi"/>
        </w:rPr>
        <w:t xml:space="preserve">The Utility recorded an accumulated </w:t>
      </w:r>
      <w:r w:rsidR="00945211">
        <w:rPr>
          <w:rFonts w:eastAsiaTheme="minorHAnsi"/>
        </w:rPr>
        <w:t>depreciation balance of $280,548</w:t>
      </w:r>
      <w:r w:rsidRPr="00B852AC">
        <w:rPr>
          <w:rFonts w:eastAsiaTheme="minorHAnsi"/>
        </w:rPr>
        <w:t>. Staff calculated accumulated depreciation to be $</w:t>
      </w:r>
      <w:r w:rsidR="00697333">
        <w:rPr>
          <w:rFonts w:eastAsiaTheme="minorHAnsi"/>
        </w:rPr>
        <w:t>2</w:t>
      </w:r>
      <w:r w:rsidR="00657497">
        <w:rPr>
          <w:rFonts w:eastAsiaTheme="minorHAnsi"/>
        </w:rPr>
        <w:t>68,9</w:t>
      </w:r>
      <w:r w:rsidR="00646F03">
        <w:rPr>
          <w:rFonts w:eastAsiaTheme="minorHAnsi"/>
        </w:rPr>
        <w:t>9</w:t>
      </w:r>
      <w:r w:rsidR="00945211">
        <w:rPr>
          <w:rFonts w:eastAsiaTheme="minorHAnsi"/>
        </w:rPr>
        <w:t>4</w:t>
      </w:r>
      <w:r w:rsidRPr="00B852AC">
        <w:rPr>
          <w:rFonts w:eastAsiaTheme="minorHAnsi"/>
        </w:rPr>
        <w:t>, resulting in a decrease of $</w:t>
      </w:r>
      <w:r w:rsidR="00945211">
        <w:rPr>
          <w:rFonts w:eastAsiaTheme="minorHAnsi"/>
        </w:rPr>
        <w:t>11,554</w:t>
      </w:r>
      <w:r w:rsidRPr="00B852AC">
        <w:rPr>
          <w:rFonts w:eastAsiaTheme="minorHAnsi"/>
        </w:rPr>
        <w:t xml:space="preserve">. Staff decreased accumulated depreciation by $1,096 </w:t>
      </w:r>
      <w:r w:rsidR="00471A2F">
        <w:rPr>
          <w:rFonts w:eastAsiaTheme="minorHAnsi"/>
        </w:rPr>
        <w:t>p</w:t>
      </w:r>
      <w:r w:rsidRPr="00B852AC">
        <w:rPr>
          <w:rFonts w:eastAsiaTheme="minorHAnsi"/>
        </w:rPr>
        <w:t>er the audit</w:t>
      </w:r>
      <w:r w:rsidR="00697333">
        <w:rPr>
          <w:rFonts w:eastAsiaTheme="minorHAnsi"/>
        </w:rPr>
        <w:t xml:space="preserve"> report recalculation</w:t>
      </w:r>
      <w:r w:rsidRPr="00B852AC">
        <w:rPr>
          <w:rFonts w:eastAsiaTheme="minorHAnsi"/>
        </w:rPr>
        <w:t>. Staff made an adjustment of $2,</w:t>
      </w:r>
      <w:r w:rsidR="00945211">
        <w:rPr>
          <w:rFonts w:eastAsiaTheme="minorHAnsi"/>
        </w:rPr>
        <w:t>726</w:t>
      </w:r>
      <w:r w:rsidRPr="00B852AC">
        <w:rPr>
          <w:rFonts w:eastAsiaTheme="minorHAnsi"/>
        </w:rPr>
        <w:t xml:space="preserve"> to decrease accumulated depreciation to reflect the non-used and useful portions of UPIS. Staff also made an averaging adjustment to accumulated depreciation that resulted in a </w:t>
      </w:r>
      <w:r>
        <w:rPr>
          <w:rFonts w:eastAsiaTheme="minorHAnsi"/>
        </w:rPr>
        <w:t>d</w:t>
      </w:r>
      <w:r w:rsidR="00880F23">
        <w:rPr>
          <w:rFonts w:eastAsiaTheme="minorHAnsi"/>
        </w:rPr>
        <w:t xml:space="preserve">ecrease of $9,997. </w:t>
      </w:r>
      <w:r w:rsidRPr="00B852AC">
        <w:rPr>
          <w:rFonts w:eastAsiaTheme="minorHAnsi"/>
        </w:rPr>
        <w:t>Further, staff made corresponding adjustments to accumulated depreciation based on the pro forma plant additions and retirements resulting in an increase of $2,265. Accordingly, staff recommends adjustments that result in an accumulated depreciation balance of $2</w:t>
      </w:r>
      <w:r w:rsidR="00657497">
        <w:rPr>
          <w:rFonts w:eastAsiaTheme="minorHAnsi"/>
        </w:rPr>
        <w:t>68,9</w:t>
      </w:r>
      <w:r w:rsidR="00646F03">
        <w:rPr>
          <w:rFonts w:eastAsiaTheme="minorHAnsi"/>
        </w:rPr>
        <w:t>9</w:t>
      </w:r>
      <w:r w:rsidR="00945211">
        <w:rPr>
          <w:rFonts w:eastAsiaTheme="minorHAnsi"/>
        </w:rPr>
        <w:t>4</w:t>
      </w:r>
      <w:r w:rsidRPr="00B852AC">
        <w:rPr>
          <w:rFonts w:eastAsiaTheme="minorHAnsi"/>
        </w:rPr>
        <w:t xml:space="preserve"> ($280,54</w:t>
      </w:r>
      <w:r w:rsidR="00945211">
        <w:rPr>
          <w:rFonts w:eastAsiaTheme="minorHAnsi"/>
        </w:rPr>
        <w:t>8</w:t>
      </w:r>
      <w:r w:rsidRPr="00B852AC">
        <w:rPr>
          <w:rFonts w:eastAsiaTheme="minorHAnsi"/>
        </w:rPr>
        <w:t xml:space="preserve"> </w:t>
      </w:r>
      <w:r w:rsidR="00657497">
        <w:rPr>
          <w:rFonts w:eastAsiaTheme="minorHAnsi"/>
        </w:rPr>
        <w:t>-</w:t>
      </w:r>
      <w:r w:rsidRPr="00B852AC">
        <w:rPr>
          <w:rFonts w:eastAsiaTheme="minorHAnsi"/>
        </w:rPr>
        <w:t xml:space="preserve"> $1,096 </w:t>
      </w:r>
      <w:r w:rsidR="00657497">
        <w:rPr>
          <w:rFonts w:eastAsiaTheme="minorHAnsi"/>
        </w:rPr>
        <w:t>-</w:t>
      </w:r>
      <w:r w:rsidRPr="00B852AC">
        <w:rPr>
          <w:rFonts w:eastAsiaTheme="minorHAnsi"/>
        </w:rPr>
        <w:t xml:space="preserve"> $2,</w:t>
      </w:r>
      <w:r w:rsidR="00945211">
        <w:rPr>
          <w:rFonts w:eastAsiaTheme="minorHAnsi"/>
        </w:rPr>
        <w:t>726+</w:t>
      </w:r>
      <w:r w:rsidRPr="00B852AC">
        <w:rPr>
          <w:rFonts w:eastAsiaTheme="minorHAnsi"/>
        </w:rPr>
        <w:t xml:space="preserve"> </w:t>
      </w:r>
      <w:r w:rsidR="00657497">
        <w:rPr>
          <w:rFonts w:eastAsiaTheme="minorHAnsi"/>
        </w:rPr>
        <w:t>- $9,997 +</w:t>
      </w:r>
      <w:r w:rsidRPr="00B852AC">
        <w:rPr>
          <w:rFonts w:eastAsiaTheme="minorHAnsi"/>
        </w:rPr>
        <w:t xml:space="preserve"> $2,265).</w:t>
      </w:r>
    </w:p>
    <w:p w:rsidR="00C17C77" w:rsidRPr="00FB4D94" w:rsidRDefault="00C17C77" w:rsidP="00C17C77">
      <w:pPr>
        <w:pStyle w:val="BodyText"/>
        <w:spacing w:after="0"/>
      </w:pPr>
    </w:p>
    <w:p w:rsidR="00C17C77" w:rsidRDefault="00C17C77" w:rsidP="00C17C77">
      <w:pPr>
        <w:pStyle w:val="First-LevelSubheading"/>
      </w:pPr>
      <w:r>
        <w:t>Contributions in Aid of Construction (</w:t>
      </w:r>
      <w:proofErr w:type="spellStart"/>
      <w:r>
        <w:t>CIAC</w:t>
      </w:r>
      <w:proofErr w:type="spellEnd"/>
      <w:r>
        <w:t>)</w:t>
      </w:r>
    </w:p>
    <w:p w:rsidR="00C17C77" w:rsidRDefault="00C17C77" w:rsidP="00C17C77">
      <w:pPr>
        <w:pStyle w:val="BodyText"/>
        <w:spacing w:after="0"/>
        <w:rPr>
          <w:sz w:val="23"/>
          <w:szCs w:val="23"/>
        </w:rPr>
      </w:pPr>
      <w:r w:rsidRPr="004D1A93">
        <w:rPr>
          <w:sz w:val="23"/>
          <w:szCs w:val="23"/>
        </w:rPr>
        <w:t xml:space="preserve">The Utility recorded a </w:t>
      </w:r>
      <w:proofErr w:type="spellStart"/>
      <w:r w:rsidRPr="004D1A93">
        <w:rPr>
          <w:sz w:val="23"/>
          <w:szCs w:val="23"/>
        </w:rPr>
        <w:t>CIAC</w:t>
      </w:r>
      <w:proofErr w:type="spellEnd"/>
      <w:r w:rsidRPr="004D1A93">
        <w:rPr>
          <w:sz w:val="23"/>
          <w:szCs w:val="23"/>
        </w:rPr>
        <w:t xml:space="preserve"> </w:t>
      </w:r>
      <w:r>
        <w:rPr>
          <w:sz w:val="23"/>
          <w:szCs w:val="23"/>
        </w:rPr>
        <w:t>balance of $92,939</w:t>
      </w:r>
      <w:r w:rsidRPr="004D1A93">
        <w:rPr>
          <w:sz w:val="23"/>
          <w:szCs w:val="23"/>
        </w:rPr>
        <w:t xml:space="preserve">. </w:t>
      </w:r>
      <w:r>
        <w:rPr>
          <w:sz w:val="23"/>
          <w:szCs w:val="23"/>
        </w:rPr>
        <w:t xml:space="preserve">Staff made an adjustment of </w:t>
      </w:r>
      <w:r w:rsidRPr="00735C7F">
        <w:rPr>
          <w:sz w:val="23"/>
          <w:szCs w:val="23"/>
        </w:rPr>
        <w:t xml:space="preserve">$2,167 </w:t>
      </w:r>
      <w:r>
        <w:rPr>
          <w:sz w:val="23"/>
          <w:szCs w:val="23"/>
        </w:rPr>
        <w:t xml:space="preserve">to reflect a reduction of the non-used &amp; useful portions of </w:t>
      </w:r>
      <w:proofErr w:type="spellStart"/>
      <w:r>
        <w:rPr>
          <w:sz w:val="23"/>
          <w:szCs w:val="23"/>
        </w:rPr>
        <w:t>CIAC</w:t>
      </w:r>
      <w:proofErr w:type="spellEnd"/>
      <w:r>
        <w:rPr>
          <w:sz w:val="23"/>
          <w:szCs w:val="23"/>
        </w:rPr>
        <w:t xml:space="preserve">. Therefore, staff recommends a </w:t>
      </w:r>
      <w:proofErr w:type="spellStart"/>
      <w:r>
        <w:rPr>
          <w:sz w:val="23"/>
          <w:szCs w:val="23"/>
        </w:rPr>
        <w:t>CIAC</w:t>
      </w:r>
      <w:proofErr w:type="spellEnd"/>
      <w:r>
        <w:rPr>
          <w:sz w:val="23"/>
          <w:szCs w:val="23"/>
        </w:rPr>
        <w:t xml:space="preserve"> balance of $90,772 ($92,939 - $2,167). </w:t>
      </w:r>
    </w:p>
    <w:p w:rsidR="00C17C77" w:rsidRDefault="00C17C77" w:rsidP="00C17C77">
      <w:pPr>
        <w:pStyle w:val="BodyText"/>
        <w:spacing w:after="0"/>
      </w:pPr>
    </w:p>
    <w:p w:rsidR="00C17C77" w:rsidRPr="002B6955" w:rsidRDefault="00C17C77" w:rsidP="00C17C77">
      <w:pPr>
        <w:pStyle w:val="First-LevelSubheading"/>
        <w:rPr>
          <w:b w:val="0"/>
        </w:rPr>
      </w:pPr>
      <w:r>
        <w:t xml:space="preserve">Accumulated Amortization of </w:t>
      </w:r>
      <w:proofErr w:type="spellStart"/>
      <w:r>
        <w:t>CIAC</w:t>
      </w:r>
      <w:proofErr w:type="spellEnd"/>
    </w:p>
    <w:p w:rsidR="00C17C77" w:rsidRDefault="00C17C77" w:rsidP="00C17C77">
      <w:pPr>
        <w:autoSpaceDE w:val="0"/>
        <w:autoSpaceDN w:val="0"/>
        <w:adjustRightInd w:val="0"/>
        <w:jc w:val="both"/>
        <w:rPr>
          <w:rFonts w:eastAsiaTheme="minorHAnsi"/>
        </w:rPr>
      </w:pPr>
      <w:r w:rsidRPr="00B852AC">
        <w:rPr>
          <w:rFonts w:eastAsiaTheme="minorHAnsi"/>
        </w:rPr>
        <w:t xml:space="preserve">The Utility recorded accumulated amortization of </w:t>
      </w:r>
      <w:proofErr w:type="spellStart"/>
      <w:r w:rsidRPr="00B852AC">
        <w:rPr>
          <w:rFonts w:eastAsiaTheme="minorHAnsi"/>
        </w:rPr>
        <w:t>CIAC</w:t>
      </w:r>
      <w:proofErr w:type="spellEnd"/>
      <w:r w:rsidRPr="00B852AC">
        <w:rPr>
          <w:rFonts w:eastAsiaTheme="minorHAnsi"/>
        </w:rPr>
        <w:t xml:space="preserve"> of $90,784. Staff recalculated accumulated amortization to include a decrease of $16 per </w:t>
      </w:r>
      <w:r>
        <w:rPr>
          <w:rFonts w:eastAsiaTheme="minorHAnsi"/>
        </w:rPr>
        <w:t xml:space="preserve">the </w:t>
      </w:r>
      <w:r w:rsidRPr="00B852AC">
        <w:rPr>
          <w:rFonts w:eastAsiaTheme="minorHAnsi"/>
        </w:rPr>
        <w:t>audit. Staff made corresponding</w:t>
      </w:r>
      <w:r w:rsidR="00C07602">
        <w:rPr>
          <w:rFonts w:eastAsiaTheme="minorHAnsi"/>
        </w:rPr>
        <w:t xml:space="preserve"> adjustments to reflect the non-</w:t>
      </w:r>
      <w:r w:rsidRPr="00B852AC">
        <w:rPr>
          <w:rFonts w:eastAsiaTheme="minorHAnsi"/>
        </w:rPr>
        <w:t xml:space="preserve">used &amp; useful </w:t>
      </w:r>
      <w:r>
        <w:rPr>
          <w:rFonts w:eastAsiaTheme="minorHAnsi"/>
        </w:rPr>
        <w:t xml:space="preserve">portion </w:t>
      </w:r>
      <w:r w:rsidRPr="00B852AC">
        <w:rPr>
          <w:rFonts w:eastAsiaTheme="minorHAnsi"/>
        </w:rPr>
        <w:t>which resulted in a decrease of $2,11</w:t>
      </w:r>
      <w:r w:rsidR="00945211">
        <w:rPr>
          <w:rFonts w:eastAsiaTheme="minorHAnsi"/>
        </w:rPr>
        <w:t>6</w:t>
      </w:r>
      <w:r w:rsidRPr="00B852AC">
        <w:rPr>
          <w:rFonts w:eastAsiaTheme="minorHAnsi"/>
        </w:rPr>
        <w:t xml:space="preserve">. </w:t>
      </w:r>
      <w:r w:rsidR="00FD786C">
        <w:rPr>
          <w:rFonts w:eastAsiaTheme="minorHAnsi"/>
        </w:rPr>
        <w:t>S</w:t>
      </w:r>
      <w:r w:rsidRPr="00B852AC">
        <w:rPr>
          <w:rFonts w:eastAsiaTheme="minorHAnsi"/>
        </w:rPr>
        <w:t xml:space="preserve">taff also made an adjustment to reflect an averaging adjustment creating a decrease of $48. </w:t>
      </w:r>
      <w:r w:rsidR="00AD6D0C">
        <w:rPr>
          <w:rFonts w:eastAsiaTheme="minorHAnsi"/>
        </w:rPr>
        <w:t>Therefore, s</w:t>
      </w:r>
      <w:r w:rsidRPr="00B852AC">
        <w:rPr>
          <w:rFonts w:eastAsiaTheme="minorHAnsi"/>
        </w:rPr>
        <w:t>taff recommends</w:t>
      </w:r>
      <w:r>
        <w:rPr>
          <w:rFonts w:eastAsiaTheme="minorHAnsi"/>
        </w:rPr>
        <w:t xml:space="preserve"> an</w:t>
      </w:r>
      <w:r w:rsidRPr="00B852AC">
        <w:rPr>
          <w:rFonts w:eastAsiaTheme="minorHAnsi"/>
        </w:rPr>
        <w:t xml:space="preserve"> accumulated amortization of </w:t>
      </w:r>
      <w:proofErr w:type="spellStart"/>
      <w:r w:rsidRPr="00B852AC">
        <w:rPr>
          <w:rFonts w:eastAsiaTheme="minorHAnsi"/>
        </w:rPr>
        <w:t>CIAC</w:t>
      </w:r>
      <w:proofErr w:type="spellEnd"/>
      <w:r w:rsidRPr="00B852AC">
        <w:rPr>
          <w:rFonts w:eastAsiaTheme="minorHAnsi"/>
        </w:rPr>
        <w:t xml:space="preserve"> balance of $88,60</w:t>
      </w:r>
      <w:r w:rsidR="00945211">
        <w:rPr>
          <w:rFonts w:eastAsiaTheme="minorHAnsi"/>
        </w:rPr>
        <w:t>4</w:t>
      </w:r>
      <w:r w:rsidRPr="00B852AC">
        <w:rPr>
          <w:rFonts w:eastAsiaTheme="minorHAnsi"/>
        </w:rPr>
        <w:t xml:space="preserve"> ($90,784 - $16 - $2,11</w:t>
      </w:r>
      <w:r w:rsidR="00945211">
        <w:rPr>
          <w:rFonts w:eastAsiaTheme="minorHAnsi"/>
        </w:rPr>
        <w:t>6</w:t>
      </w:r>
      <w:r w:rsidRPr="00B852AC">
        <w:rPr>
          <w:rFonts w:eastAsiaTheme="minorHAnsi"/>
        </w:rPr>
        <w:t xml:space="preserve"> - $48).</w:t>
      </w:r>
    </w:p>
    <w:p w:rsidR="007854C5" w:rsidRPr="007854C5" w:rsidRDefault="008D6FDE" w:rsidP="00C17C77">
      <w:pPr>
        <w:pStyle w:val="First-LevelSubheading"/>
        <w:rPr>
          <w:rFonts w:ascii="Times New Roman" w:hAnsi="Times New Roman" w:cs="Times New Roman"/>
          <w:b w:val="0"/>
        </w:rPr>
      </w:pPr>
      <w:r w:rsidRPr="008D6FDE">
        <w:rPr>
          <w:rFonts w:ascii="Times New Roman" w:hAnsi="Times New Roman" w:cs="Times New Roman"/>
          <w:b w:val="0"/>
        </w:rPr>
        <w:t xml:space="preserve"> </w:t>
      </w:r>
    </w:p>
    <w:p w:rsidR="00C17C77" w:rsidRDefault="001C242D" w:rsidP="00C17C77">
      <w:pPr>
        <w:pStyle w:val="First-LevelSubheading"/>
      </w:pPr>
      <w:r w:rsidRPr="001C242D">
        <w:t>Acquisition Adjustment</w:t>
      </w:r>
    </w:p>
    <w:p w:rsidR="006A056B" w:rsidRDefault="001C242D" w:rsidP="00FD786C">
      <w:pPr>
        <w:pStyle w:val="BodyText"/>
      </w:pPr>
      <w:r w:rsidRPr="001C242D">
        <w:t xml:space="preserve">The Utility recorded a negative acquisition adjustment of $259,183 based on Order No. </w:t>
      </w:r>
      <w:proofErr w:type="gramStart"/>
      <w:r w:rsidRPr="001C242D">
        <w:t>PSC-2014-0300-</w:t>
      </w:r>
      <w:proofErr w:type="spellStart"/>
      <w:r w:rsidRPr="001C242D">
        <w:t>PAA</w:t>
      </w:r>
      <w:proofErr w:type="spellEnd"/>
      <w:r w:rsidRPr="001C242D">
        <w:t>-WS.</w:t>
      </w:r>
      <w:proofErr w:type="gramEnd"/>
      <w:r w:rsidR="00370305">
        <w:rPr>
          <w:rStyle w:val="FootnoteReference"/>
        </w:rPr>
        <w:footnoteReference w:id="8"/>
      </w:r>
      <w:r w:rsidR="00370305">
        <w:t xml:space="preserve"> </w:t>
      </w:r>
      <w:r w:rsidRPr="001C242D">
        <w:t xml:space="preserve">Staff </w:t>
      </w:r>
      <w:r w:rsidR="00F02B62">
        <w:t xml:space="preserve">made an adjustment </w:t>
      </w:r>
      <w:r w:rsidR="00945211" w:rsidRPr="00945211">
        <w:t>of $6,042</w:t>
      </w:r>
      <w:r w:rsidR="00945211">
        <w:t xml:space="preserve"> </w:t>
      </w:r>
      <w:r w:rsidR="00F02B62">
        <w:t>to reflect a non-used and useful</w:t>
      </w:r>
      <w:r w:rsidR="006A056B">
        <w:t xml:space="preserve"> </w:t>
      </w:r>
      <w:r w:rsidR="00945211">
        <w:t>portion of the acquisition adjustment</w:t>
      </w:r>
      <w:r w:rsidR="006A056B">
        <w:t xml:space="preserve"> </w:t>
      </w:r>
      <w:r w:rsidR="00DA08B4" w:rsidRPr="00DA08B4">
        <w:t xml:space="preserve">resulting in an adjusted </w:t>
      </w:r>
      <w:r w:rsidR="00DA08B4">
        <w:t xml:space="preserve">balance of </w:t>
      </w:r>
      <w:r w:rsidR="00945211">
        <w:t xml:space="preserve">negative </w:t>
      </w:r>
      <w:r w:rsidR="006A056B">
        <w:t>$2</w:t>
      </w:r>
      <w:r w:rsidR="00DA08B4">
        <w:t>53,141</w:t>
      </w:r>
      <w:r w:rsidR="00FD786C">
        <w:t xml:space="preserve"> </w:t>
      </w:r>
      <w:r w:rsidR="006A056B">
        <w:t>(</w:t>
      </w:r>
      <w:r w:rsidR="00945211">
        <w:t>-$259,183</w:t>
      </w:r>
      <w:r w:rsidR="006A056B">
        <w:t xml:space="preserve"> + $</w:t>
      </w:r>
      <w:r w:rsidR="00DA08B4">
        <w:t>6,042</w:t>
      </w:r>
      <w:r w:rsidR="006A056B">
        <w:t xml:space="preserve">)  </w:t>
      </w:r>
    </w:p>
    <w:p w:rsidR="006A056B" w:rsidRPr="006A056B" w:rsidRDefault="006A056B" w:rsidP="006A056B">
      <w:pPr>
        <w:pStyle w:val="BodyText"/>
        <w:spacing w:after="0"/>
        <w:rPr>
          <w:rFonts w:ascii="Arial" w:hAnsi="Arial" w:cs="Arial"/>
          <w:b/>
        </w:rPr>
      </w:pPr>
      <w:r w:rsidRPr="006A056B">
        <w:rPr>
          <w:rFonts w:ascii="Arial" w:hAnsi="Arial" w:cs="Arial"/>
          <w:b/>
        </w:rPr>
        <w:t>Accumulated Amortization of Acquisition Adjustment</w:t>
      </w:r>
    </w:p>
    <w:p w:rsidR="002B0C01" w:rsidRPr="001C242D" w:rsidRDefault="00DA08B4" w:rsidP="00657497">
      <w:pPr>
        <w:pStyle w:val="BodyText"/>
      </w:pPr>
      <w:r>
        <w:t>The Utility reco</w:t>
      </w:r>
      <w:r w:rsidR="00802311">
        <w:t>r</w:t>
      </w:r>
      <w:r>
        <w:t xml:space="preserve">ded an accumulated amortization of the acquisition adjustment of $142,544. </w:t>
      </w:r>
      <w:r w:rsidR="006A056B">
        <w:t xml:space="preserve">Staff </w:t>
      </w:r>
      <w:r w:rsidR="001C242D" w:rsidRPr="001C242D">
        <w:t>calculated the accumulated amortization of the acquisition adjustment in accordance with Rule 25-30.0371(4</w:t>
      </w:r>
      <w:proofErr w:type="gramStart"/>
      <w:r w:rsidR="001C242D" w:rsidRPr="001C242D">
        <w:t>)(</w:t>
      </w:r>
      <w:proofErr w:type="gramEnd"/>
      <w:r w:rsidR="001C242D" w:rsidRPr="001C242D">
        <w:t>b)2</w:t>
      </w:r>
      <w:r w:rsidR="009E2533">
        <w:t>, F.A.C.,</w:t>
      </w:r>
      <w:r w:rsidR="001C242D" w:rsidRPr="001C242D">
        <w:t xml:space="preserve"> and recommends that the related test year amortiza</w:t>
      </w:r>
      <w:r w:rsidR="00567BEC">
        <w:t xml:space="preserve">tion should </w:t>
      </w:r>
      <w:r w:rsidR="00FD786C">
        <w:lastRenderedPageBreak/>
        <w:t xml:space="preserve">be </w:t>
      </w:r>
      <w:r w:rsidR="00567BEC">
        <w:t>reduced by $21,746</w:t>
      </w:r>
      <w:r w:rsidR="001C242D" w:rsidRPr="001C242D">
        <w:t xml:space="preserve">. Staff </w:t>
      </w:r>
      <w:r w:rsidR="00BB7A53" w:rsidRPr="001C242D">
        <w:t>calculated</w:t>
      </w:r>
      <w:r w:rsidR="001C242D" w:rsidRPr="001C242D">
        <w:t xml:space="preserve"> a simple average adjustment of negative $</w:t>
      </w:r>
      <w:r>
        <w:t>12,497</w:t>
      </w:r>
      <w:r w:rsidR="001C242D" w:rsidRPr="001C242D">
        <w:t xml:space="preserve">. Staff </w:t>
      </w:r>
      <w:r w:rsidR="00A224E9">
        <w:t>reduced</w:t>
      </w:r>
      <w:r w:rsidR="001C242D" w:rsidRPr="001C242D">
        <w:t xml:space="preserve"> the balance by $</w:t>
      </w:r>
      <w:r>
        <w:t>2,816</w:t>
      </w:r>
      <w:r w:rsidR="001C242D" w:rsidRPr="001C242D">
        <w:t xml:space="preserve"> to reflect the non-used and useful portion of the acquisition adjustment</w:t>
      </w:r>
      <w:r>
        <w:t xml:space="preserve">. Therefore, staff recommends an accumulated amortization of the </w:t>
      </w:r>
      <w:r w:rsidR="001C242D" w:rsidRPr="001C242D">
        <w:t>acquisition adjustment of $</w:t>
      </w:r>
      <w:r>
        <w:t>105,485</w:t>
      </w:r>
      <w:r w:rsidR="001C242D" w:rsidRPr="001C242D">
        <w:t xml:space="preserve"> ($142,544 – $21,746 – $1</w:t>
      </w:r>
      <w:r>
        <w:t>2,497</w:t>
      </w:r>
      <w:r w:rsidR="001C242D" w:rsidRPr="001C242D">
        <w:t xml:space="preserve"> </w:t>
      </w:r>
      <w:r w:rsidR="003E43F1">
        <w:t>–</w:t>
      </w:r>
      <w:r w:rsidR="005D3EF9">
        <w:t xml:space="preserve"> </w:t>
      </w:r>
      <w:r w:rsidR="001C242D">
        <w:rPr>
          <w:vanish/>
        </w:rPr>
        <w:t>And</w:t>
      </w:r>
      <w:r w:rsidR="00BB7A53">
        <w:rPr>
          <w:vanish/>
        </w:rPr>
        <w:t>, 44</w:t>
      </w:r>
      <w:r w:rsidR="001C242D">
        <w:rPr>
          <w:vanish/>
        </w:rPr>
        <w:t xml:space="preserve"> --</w:t>
      </w:r>
      <w:r w:rsidR="001C242D">
        <w:rPr>
          <w:vanish/>
        </w:rPr>
        <w:cr/>
        <w:t>alted a simple average adjustment of negative $10,873).Certificate Nos. 507-W and 411-S of Aqua Utilities Florida, In</w:t>
      </w:r>
      <w:r w:rsidR="001C242D" w:rsidRPr="001C242D">
        <w:t>$</w:t>
      </w:r>
      <w:r>
        <w:t>2,816</w:t>
      </w:r>
      <w:r w:rsidR="001C242D" w:rsidRPr="001C242D">
        <w:t>).</w:t>
      </w:r>
    </w:p>
    <w:p w:rsidR="00C17C77" w:rsidRDefault="00C17C77" w:rsidP="00C17C77">
      <w:pPr>
        <w:pStyle w:val="First-LevelSubheading"/>
      </w:pPr>
      <w:r>
        <w:t>Working Capital Allowance</w:t>
      </w:r>
    </w:p>
    <w:p w:rsidR="00C17C77" w:rsidRPr="0001699C" w:rsidRDefault="00C17C77" w:rsidP="00C17C77">
      <w:pPr>
        <w:autoSpaceDE w:val="0"/>
        <w:autoSpaceDN w:val="0"/>
        <w:adjustRightInd w:val="0"/>
        <w:jc w:val="both"/>
      </w:pPr>
      <w:r w:rsidRPr="008505B3">
        <w:t>Working capital is defined as the short</w:t>
      </w:r>
      <w:r>
        <w:t>-</w:t>
      </w:r>
      <w:r w:rsidRPr="008505B3">
        <w:t>term investor</w:t>
      </w:r>
      <w:r>
        <w:t>-</w:t>
      </w:r>
      <w:r w:rsidRPr="008505B3">
        <w:t>supplied funds that are necessary to meet operating expenses. Consistent with Rule 25</w:t>
      </w:r>
      <w:r>
        <w:t>-</w:t>
      </w:r>
      <w:r w:rsidRPr="008505B3">
        <w:t>30.433(3), F.A.C., staff used the one</w:t>
      </w:r>
      <w:r>
        <w:t>-</w:t>
      </w:r>
      <w:r w:rsidRPr="008505B3">
        <w:t>eighth of the operation and maintenance (</w:t>
      </w:r>
      <w:proofErr w:type="spellStart"/>
      <w:r w:rsidRPr="008505B3">
        <w:t>O&amp;M</w:t>
      </w:r>
      <w:proofErr w:type="spellEnd"/>
      <w:r w:rsidRPr="008505B3">
        <w:t xml:space="preserve">) expense formula approach for calculating the working capital allowance. Section 367.081(9), </w:t>
      </w:r>
      <w:proofErr w:type="spellStart"/>
      <w:r w:rsidRPr="008505B3">
        <w:t>F.S</w:t>
      </w:r>
      <w:proofErr w:type="spellEnd"/>
      <w:r w:rsidRPr="008505B3">
        <w:t>., prohibits a utility from earning a return on the unamortized balance of rate case expense. As such, staff removed the rate case expense balance of $</w:t>
      </w:r>
      <w:r w:rsidR="00DA08B4">
        <w:t>216</w:t>
      </w:r>
      <w:r w:rsidRPr="008505B3">
        <w:t xml:space="preserve"> for this calculation resulting in an adjusted </w:t>
      </w:r>
      <w:proofErr w:type="spellStart"/>
      <w:r w:rsidRPr="008505B3">
        <w:t>O&amp;M</w:t>
      </w:r>
      <w:proofErr w:type="spellEnd"/>
      <w:r w:rsidRPr="008505B3">
        <w:t xml:space="preserve"> expense balance of </w:t>
      </w:r>
      <w:r>
        <w:t>$3</w:t>
      </w:r>
      <w:r w:rsidR="00A43850">
        <w:t>0,</w:t>
      </w:r>
      <w:r w:rsidR="0087765A">
        <w:t>134</w:t>
      </w:r>
      <w:r>
        <w:t xml:space="preserve"> ($3</w:t>
      </w:r>
      <w:r w:rsidR="00A43850">
        <w:t>0,3</w:t>
      </w:r>
      <w:r w:rsidR="0087765A">
        <w:t>50</w:t>
      </w:r>
      <w:r>
        <w:t xml:space="preserve"> - $</w:t>
      </w:r>
      <w:r w:rsidR="0087765A">
        <w:t>216</w:t>
      </w:r>
      <w:r>
        <w:t>)</w:t>
      </w:r>
      <w:r w:rsidRPr="008505B3">
        <w:t xml:space="preserve">. Applying this formula approach to the adjusted </w:t>
      </w:r>
      <w:proofErr w:type="spellStart"/>
      <w:r w:rsidRPr="008505B3">
        <w:t>O&amp;M</w:t>
      </w:r>
      <w:proofErr w:type="spellEnd"/>
      <w:r w:rsidRPr="008505B3">
        <w:t xml:space="preserve"> expense balance, staff recommends a working capital allowance of</w:t>
      </w:r>
      <w:r>
        <w:rPr>
          <w:rFonts w:eastAsiaTheme="minorHAnsi"/>
          <w:sz w:val="23"/>
          <w:szCs w:val="23"/>
        </w:rPr>
        <w:t xml:space="preserve"> $3,</w:t>
      </w:r>
      <w:r w:rsidR="00A43850">
        <w:rPr>
          <w:rFonts w:eastAsiaTheme="minorHAnsi"/>
          <w:sz w:val="23"/>
          <w:szCs w:val="23"/>
        </w:rPr>
        <w:t>767</w:t>
      </w:r>
      <w:r>
        <w:rPr>
          <w:rFonts w:eastAsiaTheme="minorHAnsi"/>
          <w:sz w:val="23"/>
          <w:szCs w:val="23"/>
        </w:rPr>
        <w:t xml:space="preserve"> ($3</w:t>
      </w:r>
      <w:r w:rsidR="00A43850">
        <w:rPr>
          <w:rFonts w:eastAsiaTheme="minorHAnsi"/>
          <w:sz w:val="23"/>
          <w:szCs w:val="23"/>
        </w:rPr>
        <w:t>0</w:t>
      </w:r>
      <w:r w:rsidR="00551656">
        <w:rPr>
          <w:rFonts w:eastAsiaTheme="minorHAnsi"/>
          <w:sz w:val="23"/>
          <w:szCs w:val="23"/>
        </w:rPr>
        <w:t>,134</w:t>
      </w:r>
      <w:r>
        <w:rPr>
          <w:rFonts w:eastAsiaTheme="minorHAnsi"/>
          <w:sz w:val="23"/>
          <w:szCs w:val="23"/>
        </w:rPr>
        <w:t xml:space="preserve"> ÷ 8). </w:t>
      </w:r>
    </w:p>
    <w:p w:rsidR="00C17C77" w:rsidRPr="00123334" w:rsidRDefault="00C17C77" w:rsidP="00C17C77">
      <w:pPr>
        <w:autoSpaceDE w:val="0"/>
        <w:autoSpaceDN w:val="0"/>
        <w:adjustRightInd w:val="0"/>
        <w:jc w:val="both"/>
        <w:rPr>
          <w:rFonts w:asciiTheme="minorHAnsi" w:eastAsiaTheme="minorHAnsi" w:hAnsiTheme="minorHAnsi" w:cstheme="minorBidi"/>
          <w:sz w:val="22"/>
          <w:szCs w:val="22"/>
        </w:rPr>
      </w:pPr>
    </w:p>
    <w:p w:rsidR="00C17C77" w:rsidRDefault="00C17C77" w:rsidP="00C17C77">
      <w:pPr>
        <w:pStyle w:val="First-LevelSubheading"/>
      </w:pPr>
      <w:r>
        <w:t>Rate Base Summary</w:t>
      </w:r>
    </w:p>
    <w:p w:rsidR="00C17C77" w:rsidRDefault="00C17C77" w:rsidP="00C17C77">
      <w:pPr>
        <w:pStyle w:val="BodyText"/>
      </w:pPr>
      <w:r>
        <w:t>Based on the foregoing, staff recommends an average test year rate base is $</w:t>
      </w:r>
      <w:r w:rsidR="00260520">
        <w:t>1</w:t>
      </w:r>
      <w:r w:rsidR="00DA08B4">
        <w:t>65,678</w:t>
      </w:r>
      <w:r>
        <w:t xml:space="preserve">. </w:t>
      </w:r>
      <w:r w:rsidRPr="00CD7A33">
        <w:t>Rate base is shown on Schedule No. 1-</w:t>
      </w:r>
      <w:proofErr w:type="gramStart"/>
      <w:r w:rsidRPr="00CD7A33">
        <w:t>A</w:t>
      </w:r>
      <w:r w:rsidR="00880F23">
        <w:t>,</w:t>
      </w:r>
      <w:proofErr w:type="gramEnd"/>
      <w:r w:rsidR="00880F23">
        <w:t xml:space="preserve"> and t</w:t>
      </w:r>
      <w:r w:rsidRPr="00CD7A33">
        <w:t>he related adjustments are shown on Schedule No. 1-</w:t>
      </w:r>
      <w:r w:rsidR="00471A2F">
        <w:t>B</w:t>
      </w:r>
      <w:r w:rsidRPr="008505B3">
        <w:t>.</w:t>
      </w:r>
    </w:p>
    <w:p w:rsidR="00D43A4C" w:rsidRDefault="00D43A4C">
      <w:pPr>
        <w:pStyle w:val="IssueHeading"/>
        <w:rPr>
          <w:b w:val="0"/>
          <w:i w:val="0"/>
        </w:rPr>
        <w:sectPr w:rsidR="00D43A4C" w:rsidSect="009B1FE5">
          <w:headerReference w:type="default" r:id="rId18"/>
          <w:pgSz w:w="12240" w:h="15840" w:code="1"/>
          <w:pgMar w:top="1584" w:right="1440" w:bottom="1440" w:left="1440" w:header="720" w:footer="720" w:gutter="0"/>
          <w:cols w:space="720"/>
          <w:formProt w:val="0"/>
          <w:docGrid w:linePitch="360"/>
        </w:sectPr>
      </w:pPr>
    </w:p>
    <w:p w:rsidR="00C17C77" w:rsidRDefault="00C17C77">
      <w:pPr>
        <w:pStyle w:val="IssueHeading"/>
        <w:rPr>
          <w:vanish/>
          <w:specVanish/>
        </w:rPr>
      </w:pPr>
      <w:r w:rsidRPr="004C3641">
        <w:lastRenderedPageBreak/>
        <w:t xml:space="preserve">Issue </w:t>
      </w:r>
      <w:fldSimple w:instr=" SEQ Issue \* MERGEFORMAT ">
        <w:r w:rsidR="00B51302">
          <w:rPr>
            <w:noProof/>
          </w:rPr>
          <w:t>5</w:t>
        </w:r>
      </w:fldSimple>
      <w:r w:rsidRPr="004C3641">
        <w:t>:</w:t>
      </w:r>
      <w:r>
        <w:fldChar w:fldCharType="begin"/>
      </w:r>
      <w:r>
        <w:instrText xml:space="preserve"> TC "</w:instrText>
      </w:r>
      <w:r>
        <w:fldChar w:fldCharType="begin"/>
      </w:r>
      <w:r>
        <w:instrText xml:space="preserve"> SEQ issue \c </w:instrText>
      </w:r>
      <w:r>
        <w:fldChar w:fldCharType="separate"/>
      </w:r>
      <w:bookmarkStart w:id="22" w:name="_Toc30164199"/>
      <w:bookmarkStart w:id="23" w:name="_Toc32829961"/>
      <w:r w:rsidR="00B51302">
        <w:rPr>
          <w:noProof/>
        </w:rPr>
        <w:instrText>5</w:instrText>
      </w:r>
      <w:r>
        <w:fldChar w:fldCharType="end"/>
      </w:r>
      <w:r>
        <w:tab/>
      </w:r>
      <w:bookmarkEnd w:id="22"/>
      <w:r w:rsidR="000F60B6">
        <w:instrText>Return on Equity (Hightower)</w:instrText>
      </w:r>
      <w:bookmarkEnd w:id="23"/>
      <w:r>
        <w:instrText xml:space="preserve">" \l 1 </w:instrText>
      </w:r>
      <w:r>
        <w:fldChar w:fldCharType="end"/>
      </w:r>
      <w:r>
        <w:t> </w:t>
      </w:r>
    </w:p>
    <w:p w:rsidR="00C17C77" w:rsidRDefault="00C17C77">
      <w:pPr>
        <w:pStyle w:val="BodyText"/>
      </w:pPr>
      <w:r>
        <w:t> What is the appropriate return on equity and overall rate of return for The Woods</w:t>
      </w:r>
      <w:r w:rsidR="00C07602">
        <w:t xml:space="preserve"> Utility Company</w:t>
      </w:r>
      <w:r>
        <w:t>?</w:t>
      </w:r>
    </w:p>
    <w:p w:rsidR="00C17C77" w:rsidRPr="004C3641" w:rsidRDefault="00C17C77">
      <w:pPr>
        <w:pStyle w:val="IssueSubsectionHeading"/>
        <w:rPr>
          <w:vanish/>
          <w:specVanish/>
        </w:rPr>
      </w:pPr>
      <w:r w:rsidRPr="004C3641">
        <w:t>Recommendation: </w:t>
      </w:r>
    </w:p>
    <w:p w:rsidR="00C17C77" w:rsidRDefault="00C17C77">
      <w:pPr>
        <w:pStyle w:val="BodyText"/>
      </w:pPr>
      <w:r>
        <w:t> The appropriate return on equity (ROE) is 7.85 percent with a range of 6.85 percent to 8.85 percent. The appropriat</w:t>
      </w:r>
      <w:r w:rsidR="00D063BA">
        <w:t>e overall rate of return is 7.</w:t>
      </w:r>
      <w:r w:rsidR="00DA08B4">
        <w:t>57</w:t>
      </w:r>
      <w:r>
        <w:t xml:space="preserve"> percent. (H</w:t>
      </w:r>
      <w:r w:rsidR="00C07602">
        <w:t>ightower)</w:t>
      </w:r>
    </w:p>
    <w:p w:rsidR="00C17C77" w:rsidRPr="004C3641" w:rsidRDefault="00C17C77">
      <w:pPr>
        <w:pStyle w:val="IssueSubsectionHeading"/>
        <w:rPr>
          <w:vanish/>
          <w:specVanish/>
        </w:rPr>
      </w:pPr>
      <w:r w:rsidRPr="004C3641">
        <w:t>Staff Analysis: </w:t>
      </w:r>
    </w:p>
    <w:p w:rsidR="00C17C77" w:rsidRDefault="00C17C77" w:rsidP="00C17C77">
      <w:pPr>
        <w:pStyle w:val="BodyText"/>
      </w:pPr>
      <w:r>
        <w:t> According to staff’s audit, The Woods</w:t>
      </w:r>
      <w:r w:rsidR="00C07602">
        <w:t>’</w:t>
      </w:r>
      <w:r>
        <w:t xml:space="preserve"> test year capital structure consisted of 100 percent common equity. The Utility’s capital structure for the test year end</w:t>
      </w:r>
      <w:r w:rsidR="00D40DEC">
        <w:t>ed</w:t>
      </w:r>
      <w:r>
        <w:t xml:space="preserve"> March 31, 2019, has an equity balance of $275,788 with $7,817 in customer deposits. </w:t>
      </w:r>
    </w:p>
    <w:p w:rsidR="00C17C77" w:rsidRDefault="00C17C77" w:rsidP="00C17C77">
      <w:pPr>
        <w:pStyle w:val="BodyText"/>
      </w:pPr>
      <w:r>
        <w:t>The Utility’s proposed capital structure has been reconciled with staff’s recommended rate base. The appropriate ROE for the Utility is 7.85 percent based upon the Commission-approved leverage formula currently in effect.</w:t>
      </w:r>
      <w:r>
        <w:rPr>
          <w:rStyle w:val="FootnoteReference"/>
        </w:rPr>
        <w:footnoteReference w:id="9"/>
      </w:r>
      <w:r>
        <w:t xml:space="preserve"> Staff recommends an ROE of 7.85 percent, with a range of 6.85 percent to 8.85 percent, and a</w:t>
      </w:r>
      <w:r w:rsidR="00DA08B4">
        <w:t>n overall rate of return of 7.57</w:t>
      </w:r>
      <w:r>
        <w:t xml:space="preserve"> percent. The ROE and overall rate of return are shown on Schedule No. 2.</w:t>
      </w:r>
    </w:p>
    <w:p w:rsidR="00D43A4C" w:rsidRDefault="00D43A4C">
      <w:pPr>
        <w:pStyle w:val="IssueHeading"/>
        <w:rPr>
          <w:b w:val="0"/>
          <w:i w:val="0"/>
        </w:rPr>
        <w:sectPr w:rsidR="00D43A4C" w:rsidSect="009B1FE5">
          <w:headerReference w:type="default" r:id="rId19"/>
          <w:pgSz w:w="12240" w:h="15840" w:code="1"/>
          <w:pgMar w:top="1584" w:right="1440" w:bottom="1440" w:left="1440" w:header="720" w:footer="720" w:gutter="0"/>
          <w:cols w:space="720"/>
          <w:formProt w:val="0"/>
          <w:docGrid w:linePitch="360"/>
        </w:sectPr>
      </w:pPr>
    </w:p>
    <w:p w:rsidR="00C17C77" w:rsidRDefault="00C17C77">
      <w:pPr>
        <w:pStyle w:val="IssueHeading"/>
        <w:rPr>
          <w:vanish/>
          <w:specVanish/>
        </w:rPr>
      </w:pPr>
      <w:r w:rsidRPr="004C3641">
        <w:lastRenderedPageBreak/>
        <w:t xml:space="preserve">Issue </w:t>
      </w:r>
      <w:fldSimple w:instr=" SEQ Issue \* MERGEFORMAT ">
        <w:r w:rsidR="00B51302">
          <w:rPr>
            <w:noProof/>
          </w:rPr>
          <w:t>6</w:t>
        </w:r>
      </w:fldSimple>
      <w:r w:rsidRPr="004C3641">
        <w:t>:</w:t>
      </w:r>
      <w:r>
        <w:fldChar w:fldCharType="begin"/>
      </w:r>
      <w:r>
        <w:instrText xml:space="preserve"> TC "</w:instrText>
      </w:r>
      <w:r>
        <w:fldChar w:fldCharType="begin"/>
      </w:r>
      <w:r>
        <w:instrText xml:space="preserve"> SEQ issue \c </w:instrText>
      </w:r>
      <w:r>
        <w:fldChar w:fldCharType="separate"/>
      </w:r>
      <w:bookmarkStart w:id="24" w:name="_Toc30164200"/>
      <w:bookmarkStart w:id="25" w:name="_Toc32829962"/>
      <w:r w:rsidR="00B51302">
        <w:rPr>
          <w:noProof/>
        </w:rPr>
        <w:instrText>6</w:instrText>
      </w:r>
      <w:r>
        <w:fldChar w:fldCharType="end"/>
      </w:r>
      <w:r>
        <w:tab/>
        <w:instrText>Test Year Revenue</w:instrText>
      </w:r>
      <w:r w:rsidR="000F60B6">
        <w:instrText xml:space="preserve"> </w:instrText>
      </w:r>
      <w:r>
        <w:instrText>(Bethea)</w:instrText>
      </w:r>
      <w:bookmarkEnd w:id="24"/>
      <w:bookmarkEnd w:id="25"/>
      <w:r>
        <w:instrText xml:space="preserve">" \l 1 </w:instrText>
      </w:r>
      <w:r>
        <w:fldChar w:fldCharType="end"/>
      </w:r>
      <w:r>
        <w:t> </w:t>
      </w:r>
    </w:p>
    <w:p w:rsidR="00C17C77" w:rsidRDefault="00C17C77">
      <w:pPr>
        <w:pStyle w:val="BodyText"/>
      </w:pPr>
      <w:r>
        <w:t> What are the appropriate amounts of test year reven</w:t>
      </w:r>
      <w:r w:rsidR="00482EE9">
        <w:t>ues for</w:t>
      </w:r>
      <w:r>
        <w:t xml:space="preserve"> </w:t>
      </w:r>
      <w:r w:rsidR="00AD6D0C">
        <w:t xml:space="preserve">The Woods utility Company’s </w:t>
      </w:r>
      <w:r>
        <w:t>water system?</w:t>
      </w:r>
    </w:p>
    <w:p w:rsidR="00C17C77" w:rsidRPr="004C3641" w:rsidRDefault="00C17C77">
      <w:pPr>
        <w:pStyle w:val="IssueSubsectionHeading"/>
        <w:rPr>
          <w:vanish/>
          <w:specVanish/>
        </w:rPr>
      </w:pPr>
      <w:r w:rsidRPr="004C3641">
        <w:t>Recommendation: </w:t>
      </w:r>
    </w:p>
    <w:p w:rsidR="00C17C77" w:rsidRDefault="00C17C77">
      <w:pPr>
        <w:pStyle w:val="BodyText"/>
      </w:pPr>
      <w:r>
        <w:t> </w:t>
      </w:r>
      <w:r w:rsidR="008D6FDE" w:rsidRPr="008D6FDE">
        <w:t xml:space="preserve">The appropriate test year </w:t>
      </w:r>
      <w:proofErr w:type="gramStart"/>
      <w:r w:rsidR="008D6FDE" w:rsidRPr="008D6FDE">
        <w:t>revenues for The Woods’ water system is</w:t>
      </w:r>
      <w:proofErr w:type="gramEnd"/>
      <w:r w:rsidR="008D6FDE" w:rsidRPr="008D6FDE">
        <w:t xml:space="preserve"> $41,373</w:t>
      </w:r>
      <w:r>
        <w:t>. (</w:t>
      </w:r>
      <w:proofErr w:type="spellStart"/>
      <w:r>
        <w:t>Bethea</w:t>
      </w:r>
      <w:proofErr w:type="spellEnd"/>
      <w:r>
        <w:t>)</w:t>
      </w:r>
    </w:p>
    <w:p w:rsidR="00C17C77" w:rsidRPr="004C3641" w:rsidRDefault="00C17C77">
      <w:pPr>
        <w:pStyle w:val="IssueSubsectionHeading"/>
        <w:rPr>
          <w:vanish/>
          <w:specVanish/>
        </w:rPr>
      </w:pPr>
      <w:r w:rsidRPr="004C3641">
        <w:t>Staff Analysis: </w:t>
      </w:r>
    </w:p>
    <w:p w:rsidR="00016C62" w:rsidRDefault="00C17C77" w:rsidP="00016C62">
      <w:pPr>
        <w:pStyle w:val="BodyText"/>
      </w:pPr>
      <w:r>
        <w:t> </w:t>
      </w:r>
      <w:r w:rsidR="00016C62">
        <w:t xml:space="preserve">The Woods recorded total test year revenues of $39,229. The revenues included $32,868 of service revenues and $6,361 of miscellaneous revenues. </w:t>
      </w:r>
      <w:r w:rsidR="00AD6D0C" w:rsidRPr="00AD6D0C">
        <w:t>The Utility had a rate increase during the test year as well as subsequent to the test year as a result of price index and pass through adjustments.</w:t>
      </w:r>
      <w:r w:rsidR="00AD6D0C" w:rsidRPr="00AD6D0C">
        <w:rPr>
          <w:vertAlign w:val="superscript"/>
        </w:rPr>
        <w:footnoteReference w:id="10"/>
      </w:r>
      <w:r w:rsidR="00AD6D0C" w:rsidRPr="00AD6D0C">
        <w:t xml:space="preserve"> In addition, a general service customer was incorrectly billed for usage during the test year.</w:t>
      </w:r>
      <w:r w:rsidR="00AD6D0C" w:rsidRPr="00AD6D0C">
        <w:rPr>
          <w:vertAlign w:val="superscript"/>
        </w:rPr>
        <w:footnoteReference w:id="11"/>
      </w:r>
      <w:r w:rsidR="00016C62">
        <w:t xml:space="preserve"> Staff annualized </w:t>
      </w:r>
      <w:r w:rsidR="00F40A7D">
        <w:t xml:space="preserve">service </w:t>
      </w:r>
      <w:r w:rsidR="00016C62">
        <w:t xml:space="preserve">revenues to reflect those changes in rates, resulting in an increase of </w:t>
      </w:r>
      <w:r w:rsidR="00F40A7D">
        <w:t>$1,464</w:t>
      </w:r>
      <w:r w:rsidR="00016C62">
        <w:t xml:space="preserve">. In addition, a general service customer was incorrectly billed for usage during the test year.  Staff imputed the additional gallons for the Utility’s billing determinants, resulting in an increase of </w:t>
      </w:r>
      <w:r w:rsidR="009E2533">
        <w:t>$</w:t>
      </w:r>
      <w:r w:rsidR="00F40A7D">
        <w:t>3,531</w:t>
      </w:r>
      <w:r w:rsidR="00016C62">
        <w:t>. This results in an increase of $4,995 ($</w:t>
      </w:r>
      <w:r w:rsidR="00F40A7D">
        <w:t>1,464</w:t>
      </w:r>
      <w:r w:rsidR="00016C62">
        <w:t xml:space="preserve"> + $</w:t>
      </w:r>
      <w:r w:rsidR="00F40A7D">
        <w:t>3,531</w:t>
      </w:r>
      <w:r w:rsidR="00016C62">
        <w:t>) to reflect annualized test year service revenues. Based on the appropriate billing determinants and the rates that were in effect subsequent to the test year, staff determined service revenues to be $37,863 ($32,868</w:t>
      </w:r>
      <w:r w:rsidR="0059004A">
        <w:t xml:space="preserve"> + $4,995) for water.</w:t>
      </w:r>
    </w:p>
    <w:p w:rsidR="0043068D" w:rsidRDefault="00016C62" w:rsidP="00016C62">
      <w:pPr>
        <w:pStyle w:val="BodyText"/>
      </w:pPr>
      <w:r>
        <w:t>Staff also made adjustments to miscellaneous revenues for water. Based on the number of occurrences and the Commission-approved miscellaneous service charges, miscellaneous revenues should be increased by $20 to $6,381 ($6,361 + $20). The Utility recorded all miscellaneous revenues to its water system. When a Utility has both water and wastewater services, only a single miscellaneous service charge is appropriate for a customer with both services. Therefore, consistent with Commission practice, staff allocated a portion of the miscellaneous revenues based on the number of equivalent residential connections. This results in $3,510 ($6,381 x 55%) of miscellaneous revenues for the water system. As such, $2,871 ($6,381 - $3,510) should be removed from water and allocated to wastewater. Based on the adjustments above, the appropriate test year revenues for The Woods’ water system is $41,373 ($39,229 + $4,995 + $20 - $2,871)</w:t>
      </w:r>
      <w:r w:rsidR="0043068D">
        <w:t>.</w:t>
      </w:r>
    </w:p>
    <w:p w:rsidR="00D43A4C" w:rsidRDefault="008F1D71" w:rsidP="0043068D">
      <w:pPr>
        <w:pStyle w:val="BodyText"/>
        <w:sectPr w:rsidR="00D43A4C" w:rsidSect="009B1FE5">
          <w:headerReference w:type="default" r:id="rId20"/>
          <w:pgSz w:w="12240" w:h="15840" w:code="1"/>
          <w:pgMar w:top="1584" w:right="1440" w:bottom="1440" w:left="1440" w:header="720" w:footer="720" w:gutter="0"/>
          <w:cols w:space="720"/>
          <w:formProt w:val="0"/>
          <w:docGrid w:linePitch="360"/>
        </w:sectPr>
      </w:pPr>
      <w:r>
        <w:t>.</w:t>
      </w:r>
    </w:p>
    <w:p w:rsidR="00C17C77" w:rsidRDefault="00C17C77">
      <w:pPr>
        <w:pStyle w:val="IssueHeading"/>
        <w:rPr>
          <w:vanish/>
          <w:specVanish/>
        </w:rPr>
      </w:pPr>
      <w:r w:rsidRPr="004C3641">
        <w:lastRenderedPageBreak/>
        <w:t xml:space="preserve">Issue </w:t>
      </w:r>
      <w:fldSimple w:instr=" SEQ Issue \* MERGEFORMAT ">
        <w:r w:rsidR="00B51302">
          <w:rPr>
            <w:noProof/>
          </w:rPr>
          <w:t>7</w:t>
        </w:r>
      </w:fldSimple>
      <w:r w:rsidRPr="004C3641">
        <w:t>:</w:t>
      </w:r>
      <w:r>
        <w:fldChar w:fldCharType="begin"/>
      </w:r>
      <w:r>
        <w:instrText xml:space="preserve"> TC "</w:instrText>
      </w:r>
      <w:r>
        <w:fldChar w:fldCharType="begin"/>
      </w:r>
      <w:r>
        <w:instrText xml:space="preserve"> SEQ issue \c </w:instrText>
      </w:r>
      <w:r>
        <w:fldChar w:fldCharType="separate"/>
      </w:r>
      <w:bookmarkStart w:id="26" w:name="_Toc30164201"/>
      <w:bookmarkStart w:id="27" w:name="_Toc32829963"/>
      <w:r w:rsidR="00B51302">
        <w:rPr>
          <w:noProof/>
        </w:rPr>
        <w:instrText>7</w:instrText>
      </w:r>
      <w:r>
        <w:fldChar w:fldCharType="end"/>
      </w:r>
      <w:r>
        <w:tab/>
        <w:instrText>Operating Expenses</w:instrText>
      </w:r>
      <w:r w:rsidR="000F60B6">
        <w:instrText xml:space="preserve"> </w:instrText>
      </w:r>
      <w:r>
        <w:instrText>(Hightower)</w:instrText>
      </w:r>
      <w:bookmarkEnd w:id="26"/>
      <w:bookmarkEnd w:id="27"/>
      <w:r>
        <w:instrText xml:space="preserve">" \l 1 </w:instrText>
      </w:r>
      <w:r>
        <w:fldChar w:fldCharType="end"/>
      </w:r>
      <w:r>
        <w:t> </w:t>
      </w:r>
    </w:p>
    <w:p w:rsidR="00C17C77" w:rsidRDefault="00C17C77">
      <w:pPr>
        <w:pStyle w:val="BodyText"/>
      </w:pPr>
      <w:r>
        <w:t xml:space="preserve"> What </w:t>
      </w:r>
      <w:r w:rsidR="00D47ABA">
        <w:t>is</w:t>
      </w:r>
      <w:r w:rsidR="00185EA4">
        <w:t xml:space="preserve"> the appropriate </w:t>
      </w:r>
      <w:r>
        <w:t>amount of operating expenses for The Woods Utility</w:t>
      </w:r>
      <w:r w:rsidR="00C07602">
        <w:t xml:space="preserve"> Company</w:t>
      </w:r>
      <w:r>
        <w:t>?</w:t>
      </w:r>
    </w:p>
    <w:p w:rsidR="00C17C77" w:rsidRPr="004C3641" w:rsidRDefault="00C17C77">
      <w:pPr>
        <w:pStyle w:val="IssueSubsectionHeading"/>
        <w:rPr>
          <w:vanish/>
          <w:specVanish/>
        </w:rPr>
      </w:pPr>
      <w:r w:rsidRPr="004C3641">
        <w:t>Recommendation: </w:t>
      </w:r>
    </w:p>
    <w:p w:rsidR="00C17C77" w:rsidRDefault="00C17C77">
      <w:pPr>
        <w:pStyle w:val="BodyText"/>
      </w:pPr>
      <w:r>
        <w:t xml:space="preserve"> The appropriate amount of operating expenses </w:t>
      </w:r>
      <w:r w:rsidR="00D47ABA">
        <w:t>is</w:t>
      </w:r>
      <w:r>
        <w:t xml:space="preserve"> $</w:t>
      </w:r>
      <w:r w:rsidR="00646F03">
        <w:t>36,631</w:t>
      </w:r>
      <w:r>
        <w:t>. (Hightower)</w:t>
      </w:r>
    </w:p>
    <w:p w:rsidR="00C17C77" w:rsidRPr="004C3641" w:rsidRDefault="00C17C77">
      <w:pPr>
        <w:pStyle w:val="IssueSubsectionHeading"/>
        <w:rPr>
          <w:vanish/>
          <w:specVanish/>
        </w:rPr>
      </w:pPr>
      <w:r w:rsidRPr="004C3641">
        <w:t>Staff Analysis: </w:t>
      </w:r>
    </w:p>
    <w:p w:rsidR="00C17C77" w:rsidRDefault="00C17C77" w:rsidP="00C17C77">
      <w:pPr>
        <w:pStyle w:val="BodyText"/>
      </w:pPr>
      <w:r>
        <w:t> The Woods recorded operating expenses of $32,886 for the test year ended March 31, 2019. The test year operation and maintenance expenses have been reviewed, including invoices, canceled checks, and other supporting documentation. Staff has made several adjustments to the Utility’s operating expenses as summarized below.</w:t>
      </w:r>
    </w:p>
    <w:p w:rsidR="00102033" w:rsidRDefault="00C17C77" w:rsidP="00C17C77">
      <w:pPr>
        <w:pStyle w:val="First-LevelSubheading"/>
      </w:pPr>
      <w:r>
        <w:t>Operation &amp; Maintenance Expense</w:t>
      </w:r>
    </w:p>
    <w:p w:rsidR="00102033" w:rsidRDefault="00102033" w:rsidP="00102033">
      <w:pPr>
        <w:pStyle w:val="Second-LevelSubheading"/>
      </w:pPr>
      <w:r w:rsidRPr="00102033">
        <w:t>Salaries and Wages - Officers and Directors</w:t>
      </w:r>
      <w:r>
        <w:t xml:space="preserve"> (603)</w:t>
      </w:r>
    </w:p>
    <w:p w:rsidR="00E549F5" w:rsidRPr="00E549F5" w:rsidRDefault="00E549F5" w:rsidP="00E549F5">
      <w:pPr>
        <w:autoSpaceDE w:val="0"/>
        <w:autoSpaceDN w:val="0"/>
        <w:adjustRightInd w:val="0"/>
        <w:jc w:val="both"/>
      </w:pPr>
      <w:r w:rsidRPr="00E549F5">
        <w:t xml:space="preserve">The Utility recorded salaries and wages </w:t>
      </w:r>
      <w:r w:rsidR="00250325">
        <w:t>–</w:t>
      </w:r>
      <w:r w:rsidRPr="00E549F5">
        <w:t xml:space="preserve"> officers</w:t>
      </w:r>
      <w:r w:rsidR="00250325">
        <w:t xml:space="preserve"> and directors</w:t>
      </w:r>
      <w:r w:rsidRPr="00E549F5">
        <w:t xml:space="preserve"> expense of $</w:t>
      </w:r>
      <w:r w:rsidR="00250325">
        <w:t>3,150</w:t>
      </w:r>
      <w:r w:rsidRPr="00E549F5">
        <w:t xml:space="preserve"> in the test year to reflect the </w:t>
      </w:r>
      <w:r>
        <w:t xml:space="preserve">president's </w:t>
      </w:r>
      <w:r w:rsidR="002B0C01">
        <w:t>month</w:t>
      </w:r>
      <w:r w:rsidR="002B0C01" w:rsidRPr="00E549F5">
        <w:t>ly</w:t>
      </w:r>
      <w:r w:rsidRPr="00E549F5">
        <w:t xml:space="preserve"> salary of $</w:t>
      </w:r>
      <w:r w:rsidR="00E40315">
        <w:t>26</w:t>
      </w:r>
      <w:r w:rsidR="009F7FD4">
        <w:t>3</w:t>
      </w:r>
      <w:r w:rsidRPr="00E549F5">
        <w:t xml:space="preserve">. According to the Utility's 2018 Annual Report, </w:t>
      </w:r>
      <w:r>
        <w:t>The Woods</w:t>
      </w:r>
      <w:r w:rsidR="00FD786C">
        <w:t>’</w:t>
      </w:r>
      <w:r w:rsidRPr="00E549F5">
        <w:t xml:space="preserve"> officers also include an accounting manager who does not receive a salary</w:t>
      </w:r>
      <w:r w:rsidR="00FD786C">
        <w:t xml:space="preserve"> included in this amount</w:t>
      </w:r>
      <w:r w:rsidRPr="00E549F5">
        <w:t>. In addition, the Utility indicated in audit work papers that the president only receives compensation through distribution of retained earnings if there are any net operating profits from operations that are not used for continuing operations or capital improvements. As such, staff</w:t>
      </w:r>
      <w:r w:rsidR="00DA08B4">
        <w:t>’</w:t>
      </w:r>
      <w:r w:rsidRPr="00E549F5">
        <w:t>s recommend</w:t>
      </w:r>
      <w:r w:rsidR="00411198">
        <w:t>s a</w:t>
      </w:r>
      <w:r w:rsidRPr="00E549F5">
        <w:t xml:space="preserve"> salaries and wages - </w:t>
      </w:r>
      <w:r w:rsidR="0019642A" w:rsidRPr="00E549F5">
        <w:t>officer’s</w:t>
      </w:r>
      <w:r w:rsidR="00411198">
        <w:t xml:space="preserve"> expense for</w:t>
      </w:r>
      <w:r w:rsidRPr="00E549F5">
        <w:t xml:space="preserve"> the test year </w:t>
      </w:r>
      <w:r w:rsidR="00411198">
        <w:t>of</w:t>
      </w:r>
      <w:r w:rsidRPr="00E549F5">
        <w:t xml:space="preserve"> $</w:t>
      </w:r>
      <w:r w:rsidR="00E40315">
        <w:t>3,150</w:t>
      </w:r>
      <w:r w:rsidRPr="00E549F5">
        <w:t>.</w:t>
      </w:r>
    </w:p>
    <w:p w:rsidR="00E549F5" w:rsidRDefault="00E549F5" w:rsidP="00102033">
      <w:pPr>
        <w:pStyle w:val="Second-LevelSubheading"/>
      </w:pPr>
    </w:p>
    <w:p w:rsidR="00102033" w:rsidRDefault="00102033" w:rsidP="00102033">
      <w:pPr>
        <w:pStyle w:val="Second-LevelSubheading"/>
      </w:pPr>
      <w:r w:rsidRPr="00102033">
        <w:t>Purchased Power</w:t>
      </w:r>
      <w:r>
        <w:t xml:space="preserve"> (615)</w:t>
      </w:r>
    </w:p>
    <w:p w:rsidR="00E549F5" w:rsidRPr="00E549F5" w:rsidRDefault="00E549F5" w:rsidP="00E549F5">
      <w:pPr>
        <w:autoSpaceDE w:val="0"/>
        <w:autoSpaceDN w:val="0"/>
        <w:adjustRightInd w:val="0"/>
        <w:jc w:val="both"/>
      </w:pPr>
      <w:r w:rsidRPr="00E549F5">
        <w:t>The Utility recorded purchased power expense of $</w:t>
      </w:r>
      <w:r w:rsidR="00E40315">
        <w:t>1,581</w:t>
      </w:r>
      <w:r w:rsidRPr="00E549F5">
        <w:t xml:space="preserve"> in the test year. Supporting documentation confirming the purchased power expense was provided. Staff made no adjustments </w:t>
      </w:r>
      <w:r w:rsidR="009E2533">
        <w:t>to this account. As such, staff</w:t>
      </w:r>
      <w:r w:rsidRPr="00E549F5">
        <w:t xml:space="preserve"> </w:t>
      </w:r>
      <w:r w:rsidR="0059004A">
        <w:t xml:space="preserve">recommends a </w:t>
      </w:r>
      <w:r w:rsidRPr="00E549F5">
        <w:t xml:space="preserve">purchased power </w:t>
      </w:r>
      <w:r w:rsidR="0059004A">
        <w:t xml:space="preserve">expense </w:t>
      </w:r>
      <w:r w:rsidRPr="00E549F5">
        <w:t>for the test year</w:t>
      </w:r>
      <w:r w:rsidR="0059004A">
        <w:t xml:space="preserve"> of</w:t>
      </w:r>
      <w:r w:rsidRPr="00E549F5">
        <w:t xml:space="preserve"> $</w:t>
      </w:r>
      <w:r w:rsidR="00E40315">
        <w:t>1,581</w:t>
      </w:r>
      <w:r w:rsidRPr="00E549F5">
        <w:t>.</w:t>
      </w:r>
    </w:p>
    <w:p w:rsidR="00E549F5" w:rsidRDefault="00E549F5" w:rsidP="00E549F5">
      <w:pPr>
        <w:pStyle w:val="Second-LevelSubheading"/>
      </w:pPr>
    </w:p>
    <w:p w:rsidR="00C17C77" w:rsidRPr="00F30888" w:rsidRDefault="00C17C77" w:rsidP="00E549F5">
      <w:pPr>
        <w:pStyle w:val="Second-LevelSubheading"/>
      </w:pPr>
      <w:r w:rsidRPr="00F30888">
        <w:t xml:space="preserve">Chemicals (618) </w:t>
      </w:r>
    </w:p>
    <w:p w:rsidR="00C17C77" w:rsidRDefault="00C17C77" w:rsidP="00C17C77">
      <w:pPr>
        <w:pStyle w:val="BodyText"/>
      </w:pPr>
      <w:r w:rsidRPr="00291C3C">
        <w:t>The Utility recorded chemicals expense of $1,864 for the test year.</w:t>
      </w:r>
      <w:r>
        <w:t xml:space="preserve"> </w:t>
      </w:r>
      <w:r w:rsidR="00402887">
        <w:t xml:space="preserve">Staff </w:t>
      </w:r>
      <w:r w:rsidR="002B0C01">
        <w:t>determines</w:t>
      </w:r>
      <w:r w:rsidR="00402887">
        <w:t xml:space="preserve"> that no adjustments were necessary. </w:t>
      </w:r>
      <w:r>
        <w:t>Therefore, staff recommend</w:t>
      </w:r>
      <w:r w:rsidR="00880F23">
        <w:t>s a chemicals expense of $1,864</w:t>
      </w:r>
      <w:r>
        <w:t xml:space="preserve">. </w:t>
      </w:r>
    </w:p>
    <w:p w:rsidR="00C17C77" w:rsidRDefault="00C17C77" w:rsidP="00C17C77">
      <w:pPr>
        <w:pStyle w:val="Second-LevelSubheading"/>
      </w:pPr>
      <w:r>
        <w:t>Contrac</w:t>
      </w:r>
      <w:r w:rsidR="00402887">
        <w:t>tual Services – Accounting (632</w:t>
      </w:r>
      <w:r>
        <w:t>)</w:t>
      </w:r>
    </w:p>
    <w:p w:rsidR="00C17C77" w:rsidRDefault="00C17C77" w:rsidP="00C17C77">
      <w:pPr>
        <w:pStyle w:val="BodyText"/>
      </w:pPr>
      <w:r>
        <w:t xml:space="preserve">The Utility recorded accounting expenses of $400 for the test year ended March 31, 2019. </w:t>
      </w:r>
      <w:r w:rsidRPr="0083316A">
        <w:t>Staff reallocated 50</w:t>
      </w:r>
      <w:r>
        <w:t xml:space="preserve"> percent</w:t>
      </w:r>
      <w:r w:rsidRPr="0083316A">
        <w:t xml:space="preserve"> of the </w:t>
      </w:r>
      <w:r>
        <w:t>a</w:t>
      </w:r>
      <w:r w:rsidRPr="0083316A">
        <w:t xml:space="preserve">ccounting fees </w:t>
      </w:r>
      <w:r>
        <w:t>from water</w:t>
      </w:r>
      <w:r w:rsidR="00880F23">
        <w:t xml:space="preserve"> to the wastewater system</w:t>
      </w:r>
      <w:r w:rsidRPr="0083316A">
        <w:t>. Staff reallocated 50</w:t>
      </w:r>
      <w:r>
        <w:t xml:space="preserve"> percent</w:t>
      </w:r>
      <w:r w:rsidRPr="0083316A">
        <w:t xml:space="preserve"> of the </w:t>
      </w:r>
      <w:r>
        <w:t>p</w:t>
      </w:r>
      <w:r w:rsidRPr="0083316A">
        <w:t xml:space="preserve">rofessional fee </w:t>
      </w:r>
      <w:r>
        <w:t>from</w:t>
      </w:r>
      <w:r w:rsidRPr="0083316A">
        <w:t xml:space="preserve"> </w:t>
      </w:r>
      <w:r>
        <w:t>m</w:t>
      </w:r>
      <w:r w:rsidRPr="0083316A">
        <w:t xml:space="preserve">iscellaneous </w:t>
      </w:r>
      <w:r>
        <w:t>e</w:t>
      </w:r>
      <w:r w:rsidRPr="0083316A">
        <w:t xml:space="preserve">xpense to </w:t>
      </w:r>
      <w:r>
        <w:t>these accounts</w:t>
      </w:r>
      <w:r w:rsidRPr="0083316A">
        <w:t>. The total invoice for the preparation of the annual report to the State of Florida is $150</w:t>
      </w:r>
      <w:r>
        <w:t xml:space="preserve"> to be allocated equally to water</w:t>
      </w:r>
      <w:r w:rsidR="00C802D6">
        <w:t xml:space="preserve"> and wastewater</w:t>
      </w:r>
      <w:r w:rsidRPr="0083316A">
        <w:t>.</w:t>
      </w:r>
      <w:r>
        <w:t xml:space="preserve"> Therefore, staff recommends contractual services – accounting expenses of $275 ($400 - $200 + $75).</w:t>
      </w:r>
    </w:p>
    <w:p w:rsidR="00402887" w:rsidRDefault="00402887" w:rsidP="00402887">
      <w:pPr>
        <w:pStyle w:val="Second-LevelSubheading"/>
      </w:pPr>
      <w:r w:rsidRPr="00402887">
        <w:t xml:space="preserve">Contractual Services </w:t>
      </w:r>
      <w:r>
        <w:t>–</w:t>
      </w:r>
      <w:r w:rsidRPr="00402887">
        <w:t xml:space="preserve"> Legal</w:t>
      </w:r>
      <w:r>
        <w:t xml:space="preserve"> (633)</w:t>
      </w:r>
    </w:p>
    <w:p w:rsidR="00402887" w:rsidRPr="00551656" w:rsidRDefault="00E549F5" w:rsidP="00E549F5">
      <w:pPr>
        <w:autoSpaceDE w:val="0"/>
        <w:autoSpaceDN w:val="0"/>
        <w:adjustRightInd w:val="0"/>
        <w:jc w:val="both"/>
      </w:pPr>
      <w:r w:rsidRPr="00551656">
        <w:t>The Utility recorded contractual services - legal expense of $</w:t>
      </w:r>
      <w:r w:rsidR="00E40315" w:rsidRPr="00551656">
        <w:t>150</w:t>
      </w:r>
      <w:r w:rsidRPr="00551656">
        <w:t xml:space="preserve"> in the test year. Supporting documentation confirming the legal expense was provided. Staff made no adjus</w:t>
      </w:r>
      <w:r w:rsidR="002B0C01" w:rsidRPr="00551656">
        <w:t>t</w:t>
      </w:r>
      <w:r w:rsidRPr="00551656">
        <w:t xml:space="preserve">ments to this account. As </w:t>
      </w:r>
      <w:r w:rsidR="002B0C01" w:rsidRPr="00551656">
        <w:t>such,</w:t>
      </w:r>
      <w:r w:rsidR="009E2533">
        <w:t xml:space="preserve"> staff</w:t>
      </w:r>
      <w:r w:rsidRPr="00551656">
        <w:t xml:space="preserve"> </w:t>
      </w:r>
      <w:r w:rsidR="007852B7">
        <w:t xml:space="preserve">recommends </w:t>
      </w:r>
      <w:proofErr w:type="gramStart"/>
      <w:r w:rsidR="007852B7">
        <w:t>a</w:t>
      </w:r>
      <w:r w:rsidRPr="00551656">
        <w:t xml:space="preserve"> </w:t>
      </w:r>
      <w:r w:rsidR="002B0C01" w:rsidRPr="00551656">
        <w:t>contractual</w:t>
      </w:r>
      <w:r w:rsidRPr="00551656">
        <w:t xml:space="preserve"> serv</w:t>
      </w:r>
      <w:r w:rsidR="002B0C01" w:rsidRPr="00551656">
        <w:t>ices</w:t>
      </w:r>
      <w:proofErr w:type="gramEnd"/>
      <w:r w:rsidR="00C07602" w:rsidRPr="00551656">
        <w:t xml:space="preserve"> </w:t>
      </w:r>
      <w:r w:rsidR="002B0C01" w:rsidRPr="00551656">
        <w:t>- legal expense for the tes</w:t>
      </w:r>
      <w:r w:rsidRPr="00551656">
        <w:t xml:space="preserve">t year </w:t>
      </w:r>
      <w:r w:rsidR="007852B7">
        <w:t>of</w:t>
      </w:r>
      <w:r w:rsidRPr="00551656">
        <w:t xml:space="preserve"> $</w:t>
      </w:r>
      <w:r w:rsidR="00E40315" w:rsidRPr="00551656">
        <w:t>150</w:t>
      </w:r>
      <w:r w:rsidRPr="00551656">
        <w:t>.</w:t>
      </w:r>
    </w:p>
    <w:p w:rsidR="0059004A" w:rsidRDefault="0059004A" w:rsidP="00402887">
      <w:pPr>
        <w:pStyle w:val="Second-LevelSubheading"/>
      </w:pPr>
    </w:p>
    <w:p w:rsidR="0059004A" w:rsidRDefault="0059004A" w:rsidP="00402887">
      <w:pPr>
        <w:pStyle w:val="Second-LevelSubheading"/>
      </w:pPr>
    </w:p>
    <w:p w:rsidR="0059004A" w:rsidRDefault="0059004A" w:rsidP="00402887">
      <w:pPr>
        <w:pStyle w:val="Second-LevelSubheading"/>
      </w:pPr>
    </w:p>
    <w:p w:rsidR="00402887" w:rsidRDefault="00402887" w:rsidP="00402887">
      <w:pPr>
        <w:pStyle w:val="Second-LevelSubheading"/>
      </w:pPr>
      <w:r w:rsidRPr="00402887">
        <w:lastRenderedPageBreak/>
        <w:t xml:space="preserve">Contractual Services </w:t>
      </w:r>
      <w:r>
        <w:t>–</w:t>
      </w:r>
      <w:r w:rsidRPr="00402887">
        <w:t xml:space="preserve"> Testing</w:t>
      </w:r>
      <w:r>
        <w:t xml:space="preserve"> (635)</w:t>
      </w:r>
    </w:p>
    <w:p w:rsidR="00E549F5" w:rsidRPr="00EB31E1" w:rsidRDefault="00EB31E1" w:rsidP="00EB31E1">
      <w:pPr>
        <w:pStyle w:val="Second-LevelSubheading"/>
        <w:ind w:left="0"/>
        <w:rPr>
          <w:rFonts w:ascii="Times New Roman" w:hAnsi="Times New Roman" w:cs="Times New Roman"/>
          <w:b w:val="0"/>
          <w:i w:val="0"/>
        </w:rPr>
      </w:pPr>
      <w:r>
        <w:rPr>
          <w:rFonts w:ascii="Times New Roman" w:hAnsi="Times New Roman" w:cs="Times New Roman"/>
          <w:b w:val="0"/>
          <w:i w:val="0"/>
        </w:rPr>
        <w:t xml:space="preserve">The Utility </w:t>
      </w:r>
      <w:proofErr w:type="gramStart"/>
      <w:r>
        <w:rPr>
          <w:rFonts w:ascii="Times New Roman" w:hAnsi="Times New Roman" w:cs="Times New Roman"/>
          <w:b w:val="0"/>
          <w:i w:val="0"/>
        </w:rPr>
        <w:t>recorded a $94 contractual services</w:t>
      </w:r>
      <w:proofErr w:type="gramEnd"/>
      <w:r>
        <w:rPr>
          <w:rFonts w:ascii="Times New Roman" w:hAnsi="Times New Roman" w:cs="Times New Roman"/>
          <w:b w:val="0"/>
          <w:i w:val="0"/>
        </w:rPr>
        <w:t xml:space="preserve"> – testing expense</w:t>
      </w:r>
      <w:r w:rsidR="009822CC">
        <w:rPr>
          <w:rFonts w:ascii="Times New Roman" w:hAnsi="Times New Roman" w:cs="Times New Roman"/>
          <w:b w:val="0"/>
          <w:i w:val="0"/>
        </w:rPr>
        <w:t xml:space="preserve">. The Utility </w:t>
      </w:r>
      <w:r w:rsidR="00D47ABA">
        <w:rPr>
          <w:rFonts w:ascii="Times New Roman" w:hAnsi="Times New Roman" w:cs="Times New Roman"/>
          <w:b w:val="0"/>
          <w:i w:val="0"/>
        </w:rPr>
        <w:t>stated</w:t>
      </w:r>
      <w:r w:rsidR="009822CC">
        <w:rPr>
          <w:rFonts w:ascii="Times New Roman" w:hAnsi="Times New Roman" w:cs="Times New Roman"/>
          <w:b w:val="0"/>
          <w:i w:val="0"/>
        </w:rPr>
        <w:t xml:space="preserve"> the expenses were </w:t>
      </w:r>
      <w:r>
        <w:rPr>
          <w:rFonts w:ascii="Times New Roman" w:hAnsi="Times New Roman" w:cs="Times New Roman"/>
          <w:b w:val="0"/>
          <w:i w:val="0"/>
        </w:rPr>
        <w:t xml:space="preserve">attributed to </w:t>
      </w:r>
      <w:r w:rsidR="009822CC">
        <w:rPr>
          <w:rFonts w:ascii="Times New Roman" w:hAnsi="Times New Roman" w:cs="Times New Roman"/>
          <w:b w:val="0"/>
          <w:i w:val="0"/>
        </w:rPr>
        <w:t xml:space="preserve">a </w:t>
      </w:r>
      <w:r>
        <w:rPr>
          <w:rFonts w:ascii="Times New Roman" w:hAnsi="Times New Roman" w:cs="Times New Roman"/>
          <w:b w:val="0"/>
          <w:i w:val="0"/>
        </w:rPr>
        <w:t>boil water clearance</w:t>
      </w:r>
      <w:r w:rsidR="009822CC">
        <w:rPr>
          <w:rFonts w:ascii="Times New Roman" w:hAnsi="Times New Roman" w:cs="Times New Roman"/>
          <w:b w:val="0"/>
          <w:i w:val="0"/>
        </w:rPr>
        <w:t xml:space="preserve"> for</w:t>
      </w:r>
      <w:r>
        <w:rPr>
          <w:rFonts w:ascii="Times New Roman" w:hAnsi="Times New Roman" w:cs="Times New Roman"/>
          <w:b w:val="0"/>
          <w:i w:val="0"/>
        </w:rPr>
        <w:t xml:space="preserve"> </w:t>
      </w:r>
      <w:r w:rsidR="009822CC">
        <w:rPr>
          <w:rFonts w:ascii="Times New Roman" w:hAnsi="Times New Roman" w:cs="Times New Roman"/>
          <w:b w:val="0"/>
          <w:i w:val="0"/>
        </w:rPr>
        <w:t>a pre-planned outage to</w:t>
      </w:r>
      <w:r>
        <w:rPr>
          <w:rFonts w:ascii="Times New Roman" w:hAnsi="Times New Roman" w:cs="Times New Roman"/>
          <w:b w:val="0"/>
          <w:i w:val="0"/>
        </w:rPr>
        <w:t xml:space="preserve"> insta</w:t>
      </w:r>
      <w:r w:rsidR="009822CC">
        <w:rPr>
          <w:rFonts w:ascii="Times New Roman" w:hAnsi="Times New Roman" w:cs="Times New Roman"/>
          <w:b w:val="0"/>
          <w:i w:val="0"/>
        </w:rPr>
        <w:t>ll</w:t>
      </w:r>
      <w:r>
        <w:rPr>
          <w:rFonts w:ascii="Times New Roman" w:hAnsi="Times New Roman" w:cs="Times New Roman"/>
          <w:b w:val="0"/>
          <w:i w:val="0"/>
        </w:rPr>
        <w:t xml:space="preserve"> filters </w:t>
      </w:r>
      <w:r w:rsidR="009822CC">
        <w:rPr>
          <w:rFonts w:ascii="Times New Roman" w:hAnsi="Times New Roman" w:cs="Times New Roman"/>
          <w:b w:val="0"/>
          <w:i w:val="0"/>
        </w:rPr>
        <w:t>on January 16, 2019, for</w:t>
      </w:r>
      <w:r>
        <w:rPr>
          <w:rFonts w:ascii="Times New Roman" w:hAnsi="Times New Roman" w:cs="Times New Roman"/>
          <w:b w:val="0"/>
          <w:i w:val="0"/>
        </w:rPr>
        <w:t xml:space="preserve"> regulatory sampling not covered by the </w:t>
      </w:r>
      <w:r w:rsidR="0019642A">
        <w:rPr>
          <w:rFonts w:ascii="Times New Roman" w:hAnsi="Times New Roman" w:cs="Times New Roman"/>
          <w:b w:val="0"/>
          <w:i w:val="0"/>
        </w:rPr>
        <w:t>U.S. Water</w:t>
      </w:r>
      <w:r>
        <w:rPr>
          <w:rFonts w:ascii="Times New Roman" w:hAnsi="Times New Roman" w:cs="Times New Roman"/>
          <w:b w:val="0"/>
          <w:i w:val="0"/>
        </w:rPr>
        <w:t xml:space="preserve"> contract</w:t>
      </w:r>
      <w:r w:rsidR="009822CC">
        <w:rPr>
          <w:rFonts w:ascii="Times New Roman" w:hAnsi="Times New Roman" w:cs="Times New Roman"/>
          <w:b w:val="0"/>
          <w:i w:val="0"/>
        </w:rPr>
        <w:t>.</w:t>
      </w:r>
      <w:r>
        <w:rPr>
          <w:rFonts w:ascii="Times New Roman" w:hAnsi="Times New Roman" w:cs="Times New Roman"/>
          <w:b w:val="0"/>
          <w:i w:val="0"/>
        </w:rPr>
        <w:t xml:space="preserve"> The Utility provided </w:t>
      </w:r>
      <w:r w:rsidR="0019642A">
        <w:rPr>
          <w:rFonts w:ascii="Times New Roman" w:hAnsi="Times New Roman" w:cs="Times New Roman"/>
          <w:b w:val="0"/>
          <w:i w:val="0"/>
        </w:rPr>
        <w:t>an</w:t>
      </w:r>
      <w:r>
        <w:rPr>
          <w:rFonts w:ascii="Times New Roman" w:hAnsi="Times New Roman" w:cs="Times New Roman"/>
          <w:b w:val="0"/>
          <w:i w:val="0"/>
        </w:rPr>
        <w:t xml:space="preserve"> invoice and staff made no adjustments. Staff recommends a contractual service – testing expense of $94.   </w:t>
      </w:r>
    </w:p>
    <w:p w:rsidR="00EB31E1" w:rsidRPr="00EB31E1" w:rsidRDefault="00EB31E1" w:rsidP="00EB31E1">
      <w:pPr>
        <w:pStyle w:val="BodyText"/>
        <w:spacing w:after="0"/>
      </w:pPr>
    </w:p>
    <w:p w:rsidR="00406524" w:rsidRPr="00406524" w:rsidRDefault="00406524" w:rsidP="00406524">
      <w:pPr>
        <w:autoSpaceDE w:val="0"/>
        <w:autoSpaceDN w:val="0"/>
        <w:adjustRightInd w:val="0"/>
        <w:rPr>
          <w:rFonts w:ascii="Arial" w:eastAsiaTheme="minorHAnsi" w:hAnsi="Arial" w:cs="Arial"/>
          <w:b/>
          <w:bCs/>
          <w:i/>
          <w:iCs/>
        </w:rPr>
      </w:pPr>
      <w:r w:rsidRPr="00406524">
        <w:rPr>
          <w:rFonts w:ascii="Arial" w:eastAsiaTheme="minorHAnsi" w:hAnsi="Arial" w:cs="Arial"/>
          <w:b/>
          <w:bCs/>
          <w:i/>
          <w:iCs/>
        </w:rPr>
        <w:t xml:space="preserve">Contractual Services </w:t>
      </w:r>
      <w:r w:rsidRPr="00406524">
        <w:rPr>
          <w:rFonts w:ascii="Arial" w:eastAsiaTheme="minorHAnsi" w:hAnsi="Arial" w:cs="Arial"/>
          <w:b/>
          <w:bCs/>
        </w:rPr>
        <w:t xml:space="preserve">- </w:t>
      </w:r>
      <w:r w:rsidRPr="00406524">
        <w:rPr>
          <w:rFonts w:ascii="Arial" w:eastAsiaTheme="minorHAnsi" w:hAnsi="Arial" w:cs="Arial"/>
          <w:b/>
          <w:bCs/>
          <w:i/>
          <w:iCs/>
        </w:rPr>
        <w:t>Other Expense (636)</w:t>
      </w:r>
    </w:p>
    <w:p w:rsidR="00350FDE" w:rsidRDefault="00406524" w:rsidP="00406524">
      <w:pPr>
        <w:autoSpaceDE w:val="0"/>
        <w:autoSpaceDN w:val="0"/>
        <w:adjustRightInd w:val="0"/>
        <w:jc w:val="both"/>
        <w:rPr>
          <w:rFonts w:eastAsiaTheme="minorHAnsi"/>
        </w:rPr>
      </w:pPr>
      <w:r w:rsidRPr="00406524">
        <w:rPr>
          <w:rFonts w:eastAsiaTheme="minorHAnsi"/>
        </w:rPr>
        <w:t xml:space="preserve">During the test year, the Utility recorded contractual services - other expense of $18,560. The Woods receives all of its operational and administrative services under a contract with an affiliated company, </w:t>
      </w:r>
      <w:r w:rsidR="0019642A">
        <w:rPr>
          <w:rFonts w:eastAsiaTheme="minorHAnsi"/>
        </w:rPr>
        <w:t>U.S. Water</w:t>
      </w:r>
      <w:r w:rsidRPr="00406524">
        <w:rPr>
          <w:rFonts w:eastAsiaTheme="minorHAnsi"/>
        </w:rPr>
        <w:t xml:space="preserve"> Services Corporation (</w:t>
      </w:r>
      <w:proofErr w:type="spellStart"/>
      <w:r w:rsidRPr="00406524">
        <w:rPr>
          <w:rFonts w:eastAsiaTheme="minorHAnsi"/>
        </w:rPr>
        <w:t>USWSC</w:t>
      </w:r>
      <w:proofErr w:type="spellEnd"/>
      <w:r w:rsidRPr="00406524">
        <w:rPr>
          <w:rFonts w:eastAsiaTheme="minorHAnsi"/>
        </w:rPr>
        <w:t xml:space="preserve"> or </w:t>
      </w:r>
      <w:r w:rsidR="0019642A">
        <w:rPr>
          <w:rFonts w:eastAsiaTheme="minorHAnsi"/>
        </w:rPr>
        <w:t>U.S. Water</w:t>
      </w:r>
      <w:r w:rsidRPr="00406524">
        <w:rPr>
          <w:rFonts w:eastAsiaTheme="minorHAnsi"/>
        </w:rPr>
        <w:t xml:space="preserve">). Pursuant to the contract, The Woods employed the services of </w:t>
      </w:r>
      <w:proofErr w:type="spellStart"/>
      <w:r w:rsidRPr="00406524">
        <w:rPr>
          <w:rFonts w:eastAsiaTheme="minorHAnsi"/>
        </w:rPr>
        <w:t>USWSC</w:t>
      </w:r>
      <w:proofErr w:type="spellEnd"/>
      <w:r w:rsidRPr="00406524">
        <w:rPr>
          <w:rFonts w:eastAsiaTheme="minorHAnsi"/>
        </w:rPr>
        <w:t xml:space="preserve"> to perform various functions: administrative management, operations, maintenance, and billing/collection for the </w:t>
      </w:r>
      <w:r w:rsidR="00C07602">
        <w:rPr>
          <w:rFonts w:eastAsiaTheme="minorHAnsi"/>
        </w:rPr>
        <w:t>U</w:t>
      </w:r>
      <w:r w:rsidRPr="00406524">
        <w:rPr>
          <w:rFonts w:eastAsiaTheme="minorHAnsi"/>
        </w:rPr>
        <w:t xml:space="preserve">tility. </w:t>
      </w:r>
    </w:p>
    <w:p w:rsidR="00350FDE" w:rsidRDefault="00350FDE" w:rsidP="00406524">
      <w:pPr>
        <w:autoSpaceDE w:val="0"/>
        <w:autoSpaceDN w:val="0"/>
        <w:adjustRightInd w:val="0"/>
        <w:jc w:val="both"/>
        <w:rPr>
          <w:rFonts w:eastAsiaTheme="minorHAnsi"/>
        </w:rPr>
      </w:pPr>
    </w:p>
    <w:p w:rsidR="00E9534C" w:rsidRDefault="00406524" w:rsidP="00406524">
      <w:pPr>
        <w:autoSpaceDE w:val="0"/>
        <w:autoSpaceDN w:val="0"/>
        <w:adjustRightInd w:val="0"/>
        <w:jc w:val="both"/>
        <w:rPr>
          <w:rFonts w:eastAsiaTheme="minorHAnsi"/>
        </w:rPr>
      </w:pPr>
      <w:r w:rsidRPr="00880F23">
        <w:rPr>
          <w:rFonts w:eastAsiaTheme="minorHAnsi"/>
        </w:rPr>
        <w:t xml:space="preserve">The </w:t>
      </w:r>
      <w:r w:rsidR="00350FDE">
        <w:rPr>
          <w:rFonts w:eastAsiaTheme="minorHAnsi"/>
        </w:rPr>
        <w:t xml:space="preserve">current </w:t>
      </w:r>
      <w:proofErr w:type="spellStart"/>
      <w:r w:rsidRPr="00880F23">
        <w:rPr>
          <w:rFonts w:eastAsiaTheme="minorHAnsi"/>
        </w:rPr>
        <w:t>USWSC</w:t>
      </w:r>
      <w:proofErr w:type="spellEnd"/>
      <w:r w:rsidRPr="00880F23">
        <w:rPr>
          <w:rFonts w:eastAsiaTheme="minorHAnsi"/>
        </w:rPr>
        <w:t xml:space="preserve"> contract dated March 29, 2013, </w:t>
      </w:r>
      <w:r w:rsidR="00350FDE">
        <w:rPr>
          <w:rFonts w:eastAsiaTheme="minorHAnsi"/>
        </w:rPr>
        <w:t xml:space="preserve">and has not been revised since The Woods acquisition (transfer) from AUF. The contract </w:t>
      </w:r>
      <w:r w:rsidR="006A1056">
        <w:rPr>
          <w:rFonts w:eastAsiaTheme="minorHAnsi"/>
        </w:rPr>
        <w:t>expense</w:t>
      </w:r>
      <w:r w:rsidR="00350FDE">
        <w:rPr>
          <w:rFonts w:eastAsiaTheme="minorHAnsi"/>
        </w:rPr>
        <w:t xml:space="preserve"> has </w:t>
      </w:r>
      <w:r w:rsidR="006A1056">
        <w:rPr>
          <w:rFonts w:eastAsiaTheme="minorHAnsi"/>
        </w:rPr>
        <w:t>increased</w:t>
      </w:r>
      <w:r w:rsidR="00350FDE">
        <w:rPr>
          <w:rFonts w:eastAsiaTheme="minorHAnsi"/>
        </w:rPr>
        <w:t xml:space="preserve"> </w:t>
      </w:r>
      <w:r w:rsidR="007D6CC0">
        <w:rPr>
          <w:rFonts w:eastAsiaTheme="minorHAnsi"/>
        </w:rPr>
        <w:t>from</w:t>
      </w:r>
      <w:r w:rsidR="00350FDE">
        <w:rPr>
          <w:rFonts w:eastAsiaTheme="minorHAnsi"/>
        </w:rPr>
        <w:t xml:space="preserve"> $17</w:t>
      </w:r>
      <w:r w:rsidR="00AE44D1">
        <w:rPr>
          <w:rFonts w:eastAsiaTheme="minorHAnsi"/>
        </w:rPr>
        <w:t>,</w:t>
      </w:r>
      <w:r w:rsidR="00350FDE">
        <w:rPr>
          <w:rFonts w:eastAsiaTheme="minorHAnsi"/>
        </w:rPr>
        <w:t xml:space="preserve">339 </w:t>
      </w:r>
      <w:r w:rsidR="007D6CC0">
        <w:rPr>
          <w:rFonts w:eastAsiaTheme="minorHAnsi"/>
        </w:rPr>
        <w:t>to</w:t>
      </w:r>
      <w:r w:rsidR="00350FDE">
        <w:rPr>
          <w:rFonts w:eastAsiaTheme="minorHAnsi"/>
        </w:rPr>
        <w:t xml:space="preserve"> $18,560</w:t>
      </w:r>
      <w:r w:rsidR="006A1056">
        <w:rPr>
          <w:rFonts w:eastAsiaTheme="minorHAnsi"/>
        </w:rPr>
        <w:t>, which equates to a 7.04 percent increase over seven years</w:t>
      </w:r>
      <w:r w:rsidR="00350FDE">
        <w:rPr>
          <w:rFonts w:eastAsiaTheme="minorHAnsi"/>
        </w:rPr>
        <w:t xml:space="preserve">. </w:t>
      </w:r>
      <w:r w:rsidR="00AE44D1">
        <w:rPr>
          <w:rFonts w:eastAsiaTheme="minorHAnsi"/>
        </w:rPr>
        <w:t>This is below the compounded annual Commission approved index increases of 12.1</w:t>
      </w:r>
      <w:r w:rsidR="00C709D2">
        <w:rPr>
          <w:rFonts w:eastAsiaTheme="minorHAnsi"/>
        </w:rPr>
        <w:t>1</w:t>
      </w:r>
      <w:r w:rsidR="00AE44D1">
        <w:rPr>
          <w:rFonts w:eastAsiaTheme="minorHAnsi"/>
        </w:rPr>
        <w:t xml:space="preserve"> percent over the same period. </w:t>
      </w:r>
      <w:r w:rsidR="007D6CC0">
        <w:rPr>
          <w:rFonts w:eastAsiaTheme="minorHAnsi"/>
        </w:rPr>
        <w:t xml:space="preserve">However, due to the </w:t>
      </w:r>
      <w:r w:rsidR="00F85390">
        <w:rPr>
          <w:rFonts w:eastAsiaTheme="minorHAnsi"/>
        </w:rPr>
        <w:t>extremely</w:t>
      </w:r>
      <w:r w:rsidR="007D6CC0">
        <w:rPr>
          <w:rFonts w:eastAsiaTheme="minorHAnsi"/>
        </w:rPr>
        <w:t xml:space="preserve"> small number of customers (59 </w:t>
      </w:r>
      <w:proofErr w:type="spellStart"/>
      <w:r w:rsidR="007D6CC0">
        <w:rPr>
          <w:rFonts w:eastAsiaTheme="minorHAnsi"/>
        </w:rPr>
        <w:t>ERCs</w:t>
      </w:r>
      <w:proofErr w:type="spellEnd"/>
      <w:r w:rsidR="007D6CC0">
        <w:rPr>
          <w:rFonts w:eastAsiaTheme="minorHAnsi"/>
        </w:rPr>
        <w:t>) served by this Utility, t</w:t>
      </w:r>
      <w:r w:rsidR="00350FDE">
        <w:rPr>
          <w:rFonts w:eastAsiaTheme="minorHAnsi"/>
        </w:rPr>
        <w:t xml:space="preserve">he cost of the </w:t>
      </w:r>
      <w:proofErr w:type="spellStart"/>
      <w:r w:rsidR="00350FDE">
        <w:rPr>
          <w:rFonts w:eastAsiaTheme="minorHAnsi"/>
        </w:rPr>
        <w:t>USWSC</w:t>
      </w:r>
      <w:proofErr w:type="spellEnd"/>
      <w:r w:rsidR="00350FDE">
        <w:rPr>
          <w:rFonts w:eastAsiaTheme="minorHAnsi"/>
        </w:rPr>
        <w:t xml:space="preserve"> contract for The Woods equates to $489.52 per </w:t>
      </w:r>
      <w:proofErr w:type="spellStart"/>
      <w:r w:rsidR="00350FDE">
        <w:rPr>
          <w:rFonts w:eastAsiaTheme="minorHAnsi"/>
        </w:rPr>
        <w:t>ERC</w:t>
      </w:r>
      <w:proofErr w:type="spellEnd"/>
      <w:r w:rsidR="003978C1">
        <w:rPr>
          <w:rFonts w:eastAsiaTheme="minorHAnsi"/>
        </w:rPr>
        <w:t>.</w:t>
      </w:r>
    </w:p>
    <w:p w:rsidR="00E9534C" w:rsidRDefault="00E9534C" w:rsidP="00406524">
      <w:pPr>
        <w:autoSpaceDE w:val="0"/>
        <w:autoSpaceDN w:val="0"/>
        <w:adjustRightInd w:val="0"/>
        <w:jc w:val="both"/>
        <w:rPr>
          <w:rFonts w:eastAsiaTheme="minorHAnsi"/>
        </w:rPr>
      </w:pPr>
    </w:p>
    <w:p w:rsidR="00350FDE" w:rsidRDefault="007D6CC0" w:rsidP="00406524">
      <w:pPr>
        <w:autoSpaceDE w:val="0"/>
        <w:autoSpaceDN w:val="0"/>
        <w:adjustRightInd w:val="0"/>
        <w:jc w:val="both"/>
        <w:rPr>
          <w:rFonts w:eastAsiaTheme="minorHAnsi"/>
        </w:rPr>
      </w:pPr>
      <w:r>
        <w:rPr>
          <w:rFonts w:eastAsiaTheme="minorHAnsi"/>
        </w:rPr>
        <w:t>B</w:t>
      </w:r>
      <w:r w:rsidR="003978C1">
        <w:rPr>
          <w:rFonts w:eastAsiaTheme="minorHAnsi"/>
        </w:rPr>
        <w:t>ecause</w:t>
      </w:r>
      <w:r w:rsidR="00350FDE">
        <w:rPr>
          <w:rFonts w:eastAsiaTheme="minorHAnsi"/>
        </w:rPr>
        <w:t xml:space="preserve"> the contract has not been revised since 2013, the costs associated with the Administrative portion of the contract (which covers accounting and utility oversight, including office space and </w:t>
      </w:r>
      <w:r w:rsidR="006A1056">
        <w:rPr>
          <w:rFonts w:eastAsiaTheme="minorHAnsi"/>
        </w:rPr>
        <w:t>equipment</w:t>
      </w:r>
      <w:r w:rsidR="00350FDE">
        <w:rPr>
          <w:rFonts w:eastAsiaTheme="minorHAnsi"/>
        </w:rPr>
        <w:t>) are lower than the actual costs</w:t>
      </w:r>
      <w:r>
        <w:rPr>
          <w:rFonts w:eastAsiaTheme="minorHAnsi"/>
        </w:rPr>
        <w:t>.</w:t>
      </w:r>
      <w:r w:rsidR="00F85390">
        <w:rPr>
          <w:rFonts w:eastAsiaTheme="minorHAnsi"/>
        </w:rPr>
        <w:t xml:space="preserve"> This is the case b</w:t>
      </w:r>
      <w:r w:rsidR="00350FDE">
        <w:rPr>
          <w:rFonts w:eastAsiaTheme="minorHAnsi"/>
        </w:rPr>
        <w:t xml:space="preserve">ecause the contract includes </w:t>
      </w:r>
      <w:r w:rsidR="00C709D2">
        <w:rPr>
          <w:rFonts w:eastAsiaTheme="minorHAnsi"/>
        </w:rPr>
        <w:t xml:space="preserve">allocations for </w:t>
      </w:r>
      <w:r w:rsidR="00350FDE">
        <w:rPr>
          <w:rFonts w:eastAsiaTheme="minorHAnsi"/>
        </w:rPr>
        <w:t xml:space="preserve">1,000 additional </w:t>
      </w:r>
      <w:proofErr w:type="spellStart"/>
      <w:r w:rsidR="00350FDE">
        <w:rPr>
          <w:rFonts w:eastAsiaTheme="minorHAnsi"/>
        </w:rPr>
        <w:t>ERCs</w:t>
      </w:r>
      <w:proofErr w:type="spellEnd"/>
      <w:r w:rsidR="00350FDE">
        <w:rPr>
          <w:rFonts w:eastAsiaTheme="minorHAnsi"/>
        </w:rPr>
        <w:t xml:space="preserve"> for potential future </w:t>
      </w:r>
      <w:proofErr w:type="spellStart"/>
      <w:r w:rsidR="00350FDE">
        <w:rPr>
          <w:rFonts w:eastAsiaTheme="minorHAnsi"/>
        </w:rPr>
        <w:t>USWSC</w:t>
      </w:r>
      <w:proofErr w:type="spellEnd"/>
      <w:r w:rsidR="00350FDE">
        <w:rPr>
          <w:rFonts w:eastAsiaTheme="minorHAnsi"/>
        </w:rPr>
        <w:t xml:space="preserve"> acquisitions which </w:t>
      </w:r>
      <w:r w:rsidR="00F85390">
        <w:rPr>
          <w:rFonts w:eastAsiaTheme="minorHAnsi"/>
        </w:rPr>
        <w:t>have</w:t>
      </w:r>
      <w:r w:rsidR="00350FDE">
        <w:rPr>
          <w:rFonts w:eastAsiaTheme="minorHAnsi"/>
        </w:rPr>
        <w:t xml:space="preserve"> been eliminated in </w:t>
      </w:r>
      <w:proofErr w:type="spellStart"/>
      <w:r w:rsidR="00350FDE">
        <w:rPr>
          <w:rFonts w:eastAsiaTheme="minorHAnsi"/>
        </w:rPr>
        <w:t>USWSC</w:t>
      </w:r>
      <w:proofErr w:type="spellEnd"/>
      <w:r w:rsidR="00350FDE">
        <w:rPr>
          <w:rFonts w:eastAsiaTheme="minorHAnsi"/>
        </w:rPr>
        <w:t xml:space="preserve"> contracts</w:t>
      </w:r>
      <w:r>
        <w:rPr>
          <w:rFonts w:eastAsiaTheme="minorHAnsi"/>
        </w:rPr>
        <w:t xml:space="preserve"> on a prospective basis</w:t>
      </w:r>
      <w:r w:rsidR="00350FDE">
        <w:rPr>
          <w:rFonts w:eastAsiaTheme="minorHAnsi"/>
        </w:rPr>
        <w:t xml:space="preserve">. Additionally, only two </w:t>
      </w:r>
      <w:r w:rsidR="006A1056">
        <w:rPr>
          <w:rFonts w:eastAsiaTheme="minorHAnsi"/>
        </w:rPr>
        <w:t>employees</w:t>
      </w:r>
      <w:r w:rsidR="00350FDE">
        <w:rPr>
          <w:rFonts w:eastAsiaTheme="minorHAnsi"/>
        </w:rPr>
        <w:t xml:space="preserve"> (a Utilities manager and an Accountant) have been </w:t>
      </w:r>
      <w:r w:rsidR="006A1056">
        <w:rPr>
          <w:rFonts w:eastAsiaTheme="minorHAnsi"/>
        </w:rPr>
        <w:t>included</w:t>
      </w:r>
      <w:r w:rsidR="00350FDE">
        <w:rPr>
          <w:rFonts w:eastAsiaTheme="minorHAnsi"/>
        </w:rPr>
        <w:t xml:space="preserve"> in </w:t>
      </w:r>
      <w:r w:rsidR="006A1056">
        <w:rPr>
          <w:rFonts w:eastAsiaTheme="minorHAnsi"/>
        </w:rPr>
        <w:t>Administrative</w:t>
      </w:r>
      <w:r w:rsidR="00350FDE">
        <w:rPr>
          <w:rFonts w:eastAsiaTheme="minorHAnsi"/>
        </w:rPr>
        <w:t xml:space="preserve"> Services</w:t>
      </w:r>
      <w:r>
        <w:rPr>
          <w:rFonts w:eastAsiaTheme="minorHAnsi"/>
        </w:rPr>
        <w:t xml:space="preserve"> in the</w:t>
      </w:r>
      <w:r w:rsidR="00350FDE">
        <w:rPr>
          <w:rFonts w:eastAsiaTheme="minorHAnsi"/>
        </w:rPr>
        <w:t xml:space="preserve"> </w:t>
      </w:r>
      <w:r w:rsidR="006A1056">
        <w:rPr>
          <w:rFonts w:eastAsiaTheme="minorHAnsi"/>
        </w:rPr>
        <w:t>existing</w:t>
      </w:r>
      <w:r w:rsidR="00350FDE">
        <w:rPr>
          <w:rFonts w:eastAsiaTheme="minorHAnsi"/>
        </w:rPr>
        <w:t xml:space="preserve"> </w:t>
      </w:r>
      <w:proofErr w:type="spellStart"/>
      <w:r w:rsidR="00350FDE">
        <w:rPr>
          <w:rFonts w:eastAsiaTheme="minorHAnsi"/>
        </w:rPr>
        <w:t>USWSC</w:t>
      </w:r>
      <w:proofErr w:type="spellEnd"/>
      <w:r w:rsidR="00350FDE">
        <w:rPr>
          <w:rFonts w:eastAsiaTheme="minorHAnsi"/>
        </w:rPr>
        <w:t xml:space="preserve"> contract with The Woods. The Utility’s supplemental filing indicated, “</w:t>
      </w:r>
      <w:proofErr w:type="gramStart"/>
      <w:r w:rsidR="00350FDE" w:rsidRPr="00350FDE">
        <w:rPr>
          <w:rFonts w:eastAsiaTheme="minorHAnsi"/>
        </w:rPr>
        <w:t>if</w:t>
      </w:r>
      <w:proofErr w:type="gramEnd"/>
      <w:r w:rsidR="00350FDE" w:rsidRPr="00350FDE">
        <w:rPr>
          <w:rFonts w:eastAsiaTheme="minorHAnsi"/>
        </w:rPr>
        <w:t xml:space="preserve"> the actual costs were recovered through the actual number of </w:t>
      </w:r>
      <w:proofErr w:type="spellStart"/>
      <w:r w:rsidR="00350FDE" w:rsidRPr="00350FDE">
        <w:rPr>
          <w:rFonts w:eastAsiaTheme="minorHAnsi"/>
        </w:rPr>
        <w:t>ERCs</w:t>
      </w:r>
      <w:proofErr w:type="spellEnd"/>
      <w:r w:rsidR="00350FDE" w:rsidRPr="00350FDE">
        <w:rPr>
          <w:rFonts w:eastAsiaTheme="minorHAnsi"/>
        </w:rPr>
        <w:t xml:space="preserve">, the amount per </w:t>
      </w:r>
      <w:proofErr w:type="spellStart"/>
      <w:r w:rsidR="00350FDE" w:rsidRPr="00350FDE">
        <w:rPr>
          <w:rFonts w:eastAsiaTheme="minorHAnsi"/>
        </w:rPr>
        <w:t>ERC</w:t>
      </w:r>
      <w:proofErr w:type="spellEnd"/>
      <w:r w:rsidR="00350FDE" w:rsidRPr="00350FDE">
        <w:rPr>
          <w:rFonts w:eastAsiaTheme="minorHAnsi"/>
        </w:rPr>
        <w:t xml:space="preserve"> would be higher.”</w:t>
      </w:r>
      <w:r w:rsidR="00350FDE" w:rsidRPr="00350FDE">
        <w:rPr>
          <w:rFonts w:eastAsiaTheme="minorHAnsi"/>
          <w:vertAlign w:val="superscript"/>
        </w:rPr>
        <w:footnoteReference w:id="12"/>
      </w:r>
    </w:p>
    <w:p w:rsidR="00350FDE" w:rsidRDefault="00350FDE" w:rsidP="00406524">
      <w:pPr>
        <w:autoSpaceDE w:val="0"/>
        <w:autoSpaceDN w:val="0"/>
        <w:adjustRightInd w:val="0"/>
        <w:jc w:val="both"/>
        <w:rPr>
          <w:rFonts w:eastAsiaTheme="minorHAnsi"/>
        </w:rPr>
      </w:pPr>
    </w:p>
    <w:p w:rsidR="00350FDE" w:rsidRDefault="00350FDE" w:rsidP="00406524">
      <w:pPr>
        <w:autoSpaceDE w:val="0"/>
        <w:autoSpaceDN w:val="0"/>
        <w:adjustRightInd w:val="0"/>
        <w:jc w:val="both"/>
        <w:rPr>
          <w:rFonts w:eastAsiaTheme="minorHAnsi"/>
        </w:rPr>
      </w:pPr>
      <w:r>
        <w:rPr>
          <w:rFonts w:eastAsiaTheme="minorHAnsi"/>
        </w:rPr>
        <w:t xml:space="preserve">Despite the higher </w:t>
      </w:r>
      <w:proofErr w:type="spellStart"/>
      <w:r>
        <w:rPr>
          <w:rFonts w:eastAsiaTheme="minorHAnsi"/>
        </w:rPr>
        <w:t>ERC</w:t>
      </w:r>
      <w:proofErr w:type="spellEnd"/>
      <w:r>
        <w:rPr>
          <w:rFonts w:eastAsiaTheme="minorHAnsi"/>
        </w:rPr>
        <w:t xml:space="preserve"> cost, staff believes The Woods’ contractual services agreement with </w:t>
      </w:r>
      <w:proofErr w:type="spellStart"/>
      <w:r>
        <w:rPr>
          <w:rFonts w:eastAsiaTheme="minorHAnsi"/>
        </w:rPr>
        <w:t>USWSC</w:t>
      </w:r>
      <w:proofErr w:type="spellEnd"/>
      <w:r>
        <w:rPr>
          <w:rFonts w:eastAsiaTheme="minorHAnsi"/>
        </w:rPr>
        <w:t xml:space="preserve"> in reasonable and beneficial to the Utility. Through its contract with </w:t>
      </w:r>
      <w:proofErr w:type="spellStart"/>
      <w:r>
        <w:rPr>
          <w:rFonts w:eastAsiaTheme="minorHAnsi"/>
        </w:rPr>
        <w:t>USWSC</w:t>
      </w:r>
      <w:proofErr w:type="spellEnd"/>
      <w:r>
        <w:rPr>
          <w:rFonts w:eastAsiaTheme="minorHAnsi"/>
        </w:rPr>
        <w:t>, the Ut</w:t>
      </w:r>
      <w:r w:rsidR="006A1056">
        <w:rPr>
          <w:rFonts w:eastAsiaTheme="minorHAnsi"/>
        </w:rPr>
        <w:t>i</w:t>
      </w:r>
      <w:r>
        <w:rPr>
          <w:rFonts w:eastAsiaTheme="minorHAnsi"/>
        </w:rPr>
        <w:t>lity</w:t>
      </w:r>
      <w:r w:rsidR="006A1056">
        <w:rPr>
          <w:rFonts w:eastAsiaTheme="minorHAnsi"/>
        </w:rPr>
        <w:t xml:space="preserve"> asserted that it made significant plant improvements which have resulted in improved quality of service.</w:t>
      </w:r>
      <w:r w:rsidR="00AE44D1">
        <w:rPr>
          <w:rStyle w:val="FootnoteReference"/>
          <w:rFonts w:eastAsiaTheme="minorHAnsi"/>
        </w:rPr>
        <w:footnoteReference w:id="13"/>
      </w:r>
      <w:r w:rsidR="006A1056">
        <w:rPr>
          <w:rFonts w:eastAsiaTheme="minorHAnsi"/>
        </w:rPr>
        <w:t xml:space="preserve"> Staff believes that </w:t>
      </w:r>
      <w:proofErr w:type="spellStart"/>
      <w:r w:rsidR="006A1056">
        <w:rPr>
          <w:rFonts w:eastAsiaTheme="minorHAnsi"/>
        </w:rPr>
        <w:t>USWSC</w:t>
      </w:r>
      <w:proofErr w:type="spellEnd"/>
      <w:r w:rsidR="006A1056">
        <w:rPr>
          <w:rFonts w:eastAsiaTheme="minorHAnsi"/>
        </w:rPr>
        <w:t xml:space="preserve"> and its employees bring considerable management and operational experience at a comparably reasonable cost. As a result, staff believes that the utility’s customers are experiencing operational benefits that might not be realized if The Woods operated on a stand-alone basis. </w:t>
      </w:r>
      <w:r w:rsidR="00F85390" w:rsidRPr="00F85390">
        <w:rPr>
          <w:rFonts w:eastAsiaTheme="minorHAnsi"/>
        </w:rPr>
        <w:t xml:space="preserve">As the Utility noted in its supplemental filing, </w:t>
      </w:r>
      <w:proofErr w:type="spellStart"/>
      <w:r w:rsidR="00F85390" w:rsidRPr="00F85390">
        <w:rPr>
          <w:rFonts w:eastAsiaTheme="minorHAnsi"/>
        </w:rPr>
        <w:t>O&amp;M</w:t>
      </w:r>
      <w:proofErr w:type="spellEnd"/>
      <w:r w:rsidR="00F85390" w:rsidRPr="00F85390">
        <w:rPr>
          <w:rFonts w:eastAsiaTheme="minorHAnsi"/>
        </w:rPr>
        <w:t xml:space="preserve"> expenses would be incurred regardless of the size of the customer base.</w:t>
      </w:r>
      <w:r w:rsidR="00F85390">
        <w:rPr>
          <w:rFonts w:eastAsiaTheme="minorHAnsi"/>
        </w:rPr>
        <w:t xml:space="preserve"> </w:t>
      </w:r>
      <w:r w:rsidR="006A1056">
        <w:rPr>
          <w:rFonts w:eastAsiaTheme="minorHAnsi"/>
        </w:rPr>
        <w:t xml:space="preserve">When comparing </w:t>
      </w:r>
      <w:proofErr w:type="spellStart"/>
      <w:r w:rsidR="006A1056">
        <w:rPr>
          <w:rFonts w:eastAsiaTheme="minorHAnsi"/>
        </w:rPr>
        <w:t>O&amp;M</w:t>
      </w:r>
      <w:proofErr w:type="spellEnd"/>
      <w:r w:rsidR="006A1056">
        <w:rPr>
          <w:rFonts w:eastAsiaTheme="minorHAnsi"/>
        </w:rPr>
        <w:t xml:space="preserve"> costs on a per </w:t>
      </w:r>
      <w:proofErr w:type="spellStart"/>
      <w:r w:rsidR="006A1056">
        <w:rPr>
          <w:rFonts w:eastAsiaTheme="minorHAnsi"/>
        </w:rPr>
        <w:t>ERC</w:t>
      </w:r>
      <w:proofErr w:type="spellEnd"/>
      <w:r w:rsidR="006A1056">
        <w:rPr>
          <w:rFonts w:eastAsiaTheme="minorHAnsi"/>
        </w:rPr>
        <w:t xml:space="preserve"> basis, the results seemingly reflect poorly on The Woods, which is due to the extremely small customer base (5</w:t>
      </w:r>
      <w:r w:rsidR="00F85390">
        <w:rPr>
          <w:rFonts w:eastAsiaTheme="minorHAnsi"/>
        </w:rPr>
        <w:t>8</w:t>
      </w:r>
      <w:r w:rsidR="006A1056">
        <w:rPr>
          <w:rFonts w:eastAsiaTheme="minorHAnsi"/>
        </w:rPr>
        <w:t xml:space="preserve"> residential and 1 general service customer) in which the costs to provide service must be spread across. In its filing, The Woods asserted that if it was required to establish a stand-alone utility with personnel for maintenance, </w:t>
      </w:r>
      <w:r w:rsidR="006A1056">
        <w:rPr>
          <w:rFonts w:eastAsiaTheme="minorHAnsi"/>
        </w:rPr>
        <w:lastRenderedPageBreak/>
        <w:t xml:space="preserve">customer service, accounting, regulatory compliance, etc., the cost would exceed that of the current </w:t>
      </w:r>
      <w:proofErr w:type="spellStart"/>
      <w:r w:rsidR="006A1056">
        <w:rPr>
          <w:rFonts w:eastAsiaTheme="minorHAnsi"/>
        </w:rPr>
        <w:t>USWSC</w:t>
      </w:r>
      <w:proofErr w:type="spellEnd"/>
      <w:r w:rsidR="006A1056">
        <w:rPr>
          <w:rFonts w:eastAsiaTheme="minorHAnsi"/>
        </w:rPr>
        <w:t xml:space="preserve"> contract.</w:t>
      </w:r>
      <w:r w:rsidR="00F85390" w:rsidRPr="00F85390">
        <w:t xml:space="preserve"> </w:t>
      </w:r>
      <w:r w:rsidR="00F85390" w:rsidRPr="00F85390">
        <w:rPr>
          <w:rFonts w:eastAsiaTheme="minorHAnsi"/>
        </w:rPr>
        <w:t xml:space="preserve">For example, it would be highly impractical to assume that all of these operational, administrative, and managerial services could be preformed by a single individual for only $18,560 a year. By virtue of the </w:t>
      </w:r>
      <w:proofErr w:type="spellStart"/>
      <w:r w:rsidR="00F85390" w:rsidRPr="00F85390">
        <w:rPr>
          <w:rFonts w:eastAsiaTheme="minorHAnsi"/>
        </w:rPr>
        <w:t>USWSC</w:t>
      </w:r>
      <w:proofErr w:type="spellEnd"/>
      <w:r w:rsidR="00F85390" w:rsidRPr="00F85390">
        <w:rPr>
          <w:rFonts w:eastAsiaTheme="minorHAnsi"/>
        </w:rPr>
        <w:t xml:space="preserve"> contract, the customers of The Woods benefit from the services of multiple qualified employees on a fractional basis. On a stand alone basis, it is not possible to employ fractional positions.</w:t>
      </w:r>
    </w:p>
    <w:p w:rsidR="00350FDE" w:rsidRDefault="00350FDE" w:rsidP="00406524">
      <w:pPr>
        <w:autoSpaceDE w:val="0"/>
        <w:autoSpaceDN w:val="0"/>
        <w:adjustRightInd w:val="0"/>
        <w:jc w:val="both"/>
        <w:rPr>
          <w:rFonts w:eastAsiaTheme="minorHAnsi"/>
        </w:rPr>
      </w:pPr>
    </w:p>
    <w:p w:rsidR="00406524" w:rsidRPr="00406524" w:rsidRDefault="00406524" w:rsidP="00406524">
      <w:pPr>
        <w:spacing w:after="200"/>
        <w:jc w:val="both"/>
        <w:rPr>
          <w:rFonts w:eastAsiaTheme="minorHAnsi" w:cstheme="minorBidi"/>
        </w:rPr>
      </w:pPr>
      <w:r w:rsidRPr="00406524">
        <w:rPr>
          <w:rFonts w:eastAsiaTheme="minorHAnsi" w:cstheme="minorBidi"/>
        </w:rPr>
        <w:t xml:space="preserve">On August 9, 2019, </w:t>
      </w:r>
      <w:r w:rsidRPr="00406524">
        <w:rPr>
          <w:rFonts w:eastAsiaTheme="minorHAnsi"/>
        </w:rPr>
        <w:t>The Woods</w:t>
      </w:r>
      <w:r w:rsidRPr="00406524">
        <w:rPr>
          <w:rFonts w:eastAsiaTheme="minorHAnsi" w:cstheme="minorBidi"/>
        </w:rPr>
        <w:t xml:space="preserve"> submitted documentation containing additional information related to its outside contractual services agreement with </w:t>
      </w:r>
      <w:proofErr w:type="spellStart"/>
      <w:r w:rsidRPr="00406524">
        <w:rPr>
          <w:rFonts w:eastAsiaTheme="minorHAnsi" w:cstheme="minorBidi"/>
        </w:rPr>
        <w:t>USWSC</w:t>
      </w:r>
      <w:proofErr w:type="spellEnd"/>
      <w:r w:rsidRPr="00406524">
        <w:rPr>
          <w:rFonts w:eastAsiaTheme="minorHAnsi" w:cstheme="minorBidi"/>
        </w:rPr>
        <w:t>.</w:t>
      </w:r>
      <w:r w:rsidRPr="00406524">
        <w:rPr>
          <w:rFonts w:eastAsiaTheme="minorHAnsi" w:cstheme="minorBidi"/>
          <w:vertAlign w:val="superscript"/>
        </w:rPr>
        <w:footnoteReference w:id="14"/>
      </w:r>
      <w:r w:rsidRPr="00406524">
        <w:rPr>
          <w:rFonts w:eastAsiaTheme="minorHAnsi" w:cstheme="minorBidi"/>
        </w:rPr>
        <w:t xml:space="preserve"> According to the Utility, </w:t>
      </w:r>
      <w:proofErr w:type="spellStart"/>
      <w:r w:rsidRPr="00406524">
        <w:rPr>
          <w:rFonts w:eastAsiaTheme="minorHAnsi" w:cstheme="minorBidi"/>
        </w:rPr>
        <w:t>USWSC</w:t>
      </w:r>
      <w:proofErr w:type="spellEnd"/>
      <w:r w:rsidRPr="00406524">
        <w:rPr>
          <w:rFonts w:eastAsiaTheme="minorHAnsi" w:cstheme="minorBidi"/>
        </w:rPr>
        <w:t xml:space="preserve"> currently operates in 60 of Florida’s 67 counties, provides service to over 1,000 utility systems, and services to over 1,000,000 customers daily. </w:t>
      </w:r>
      <w:proofErr w:type="spellStart"/>
      <w:r w:rsidRPr="00406524">
        <w:rPr>
          <w:rFonts w:eastAsiaTheme="minorHAnsi" w:cstheme="minorBidi"/>
        </w:rPr>
        <w:t>USWSC’s</w:t>
      </w:r>
      <w:proofErr w:type="spellEnd"/>
      <w:r w:rsidRPr="00406524">
        <w:rPr>
          <w:rFonts w:eastAsiaTheme="minorHAnsi" w:cstheme="minorBidi"/>
        </w:rPr>
        <w:t xml:space="preserve"> president and majority shareholder has been in the water utility management and operations industry for over 30 years. The Woods contracts with </w:t>
      </w:r>
      <w:proofErr w:type="spellStart"/>
      <w:r w:rsidRPr="00406524">
        <w:rPr>
          <w:rFonts w:eastAsiaTheme="minorHAnsi" w:cstheme="minorBidi"/>
        </w:rPr>
        <w:t>USWSC</w:t>
      </w:r>
      <w:proofErr w:type="spellEnd"/>
      <w:r w:rsidRPr="00406524">
        <w:rPr>
          <w:rFonts w:eastAsiaTheme="minorHAnsi" w:cstheme="minorBidi"/>
        </w:rPr>
        <w:t xml:space="preserve"> for the following services:</w:t>
      </w:r>
    </w:p>
    <w:p w:rsidR="00406524" w:rsidRPr="00406524" w:rsidRDefault="00406524" w:rsidP="00406524">
      <w:pPr>
        <w:numPr>
          <w:ilvl w:val="0"/>
          <w:numId w:val="11"/>
        </w:numPr>
        <w:spacing w:after="200"/>
        <w:contextualSpacing/>
        <w:jc w:val="both"/>
        <w:rPr>
          <w:rFonts w:eastAsiaTheme="minorHAnsi" w:cstheme="minorBidi"/>
        </w:rPr>
      </w:pPr>
      <w:r w:rsidRPr="00406524">
        <w:rPr>
          <w:rFonts w:eastAsiaTheme="minorHAnsi" w:cstheme="minorBidi"/>
        </w:rPr>
        <w:t>Water and Wastewater Operations</w:t>
      </w:r>
    </w:p>
    <w:p w:rsidR="00406524" w:rsidRPr="00406524" w:rsidRDefault="00406524" w:rsidP="00406524">
      <w:pPr>
        <w:numPr>
          <w:ilvl w:val="0"/>
          <w:numId w:val="11"/>
        </w:numPr>
        <w:spacing w:after="200"/>
        <w:contextualSpacing/>
        <w:jc w:val="both"/>
        <w:rPr>
          <w:rFonts w:eastAsiaTheme="minorHAnsi" w:cstheme="minorBidi"/>
        </w:rPr>
      </w:pPr>
      <w:r w:rsidRPr="00406524">
        <w:rPr>
          <w:rFonts w:eastAsiaTheme="minorHAnsi" w:cstheme="minorBidi"/>
        </w:rPr>
        <w:t>Meter Reading</w:t>
      </w:r>
    </w:p>
    <w:p w:rsidR="00406524" w:rsidRPr="00406524" w:rsidRDefault="00406524" w:rsidP="00406524">
      <w:pPr>
        <w:numPr>
          <w:ilvl w:val="0"/>
          <w:numId w:val="11"/>
        </w:numPr>
        <w:spacing w:after="200"/>
        <w:contextualSpacing/>
        <w:jc w:val="both"/>
        <w:rPr>
          <w:rFonts w:eastAsiaTheme="minorHAnsi" w:cstheme="minorBidi"/>
        </w:rPr>
      </w:pPr>
      <w:r w:rsidRPr="00406524">
        <w:rPr>
          <w:rFonts w:eastAsiaTheme="minorHAnsi" w:cstheme="minorBidi"/>
        </w:rPr>
        <w:t>System Maintenance and Repairs</w:t>
      </w:r>
    </w:p>
    <w:p w:rsidR="00406524" w:rsidRPr="00406524" w:rsidRDefault="00406524" w:rsidP="00406524">
      <w:pPr>
        <w:numPr>
          <w:ilvl w:val="0"/>
          <w:numId w:val="11"/>
        </w:numPr>
        <w:spacing w:after="200"/>
        <w:contextualSpacing/>
        <w:jc w:val="both"/>
        <w:rPr>
          <w:rFonts w:eastAsiaTheme="minorHAnsi" w:cstheme="minorBidi"/>
        </w:rPr>
      </w:pPr>
      <w:r w:rsidRPr="00406524">
        <w:rPr>
          <w:rFonts w:eastAsiaTheme="minorHAnsi" w:cstheme="minorBidi"/>
        </w:rPr>
        <w:t>Billing and Collections</w:t>
      </w:r>
    </w:p>
    <w:p w:rsidR="00406524" w:rsidRPr="00406524" w:rsidRDefault="00406524" w:rsidP="00406524">
      <w:pPr>
        <w:numPr>
          <w:ilvl w:val="0"/>
          <w:numId w:val="11"/>
        </w:numPr>
        <w:spacing w:after="200"/>
        <w:contextualSpacing/>
        <w:jc w:val="both"/>
        <w:rPr>
          <w:rFonts w:eastAsiaTheme="minorHAnsi" w:cstheme="minorBidi"/>
        </w:rPr>
      </w:pPr>
      <w:r w:rsidRPr="00406524">
        <w:rPr>
          <w:rFonts w:eastAsiaTheme="minorHAnsi" w:cstheme="minorBidi"/>
        </w:rPr>
        <w:t>Customer Service</w:t>
      </w:r>
    </w:p>
    <w:p w:rsidR="00406524" w:rsidRPr="00406524" w:rsidRDefault="00406524" w:rsidP="00406524">
      <w:pPr>
        <w:numPr>
          <w:ilvl w:val="0"/>
          <w:numId w:val="11"/>
        </w:numPr>
        <w:spacing w:after="200"/>
        <w:contextualSpacing/>
        <w:jc w:val="both"/>
        <w:rPr>
          <w:rFonts w:eastAsiaTheme="minorHAnsi" w:cstheme="minorBidi"/>
        </w:rPr>
      </w:pPr>
      <w:r w:rsidRPr="00406524">
        <w:rPr>
          <w:rFonts w:eastAsiaTheme="minorHAnsi" w:cstheme="minorBidi"/>
        </w:rPr>
        <w:t>Regulatory Affairs</w:t>
      </w:r>
    </w:p>
    <w:p w:rsidR="00406524" w:rsidRPr="00406524" w:rsidRDefault="00406524" w:rsidP="00406524">
      <w:pPr>
        <w:numPr>
          <w:ilvl w:val="0"/>
          <w:numId w:val="11"/>
        </w:numPr>
        <w:spacing w:after="200"/>
        <w:contextualSpacing/>
        <w:jc w:val="both"/>
        <w:rPr>
          <w:rFonts w:eastAsiaTheme="minorHAnsi" w:cstheme="minorBidi"/>
        </w:rPr>
      </w:pPr>
      <w:r w:rsidRPr="00406524">
        <w:rPr>
          <w:rFonts w:eastAsiaTheme="minorHAnsi" w:cstheme="minorBidi"/>
        </w:rPr>
        <w:t>Testing</w:t>
      </w:r>
    </w:p>
    <w:p w:rsidR="00406524" w:rsidRPr="00406524" w:rsidRDefault="00406524" w:rsidP="00406524">
      <w:pPr>
        <w:numPr>
          <w:ilvl w:val="0"/>
          <w:numId w:val="11"/>
        </w:numPr>
        <w:spacing w:after="200"/>
        <w:contextualSpacing/>
        <w:jc w:val="both"/>
        <w:rPr>
          <w:rFonts w:eastAsiaTheme="minorHAnsi" w:cstheme="minorBidi"/>
        </w:rPr>
      </w:pPr>
      <w:r w:rsidRPr="00406524">
        <w:rPr>
          <w:rFonts w:eastAsiaTheme="minorHAnsi" w:cstheme="minorBidi"/>
        </w:rPr>
        <w:t>Accounting</w:t>
      </w:r>
    </w:p>
    <w:p w:rsidR="00406524" w:rsidRDefault="00406524" w:rsidP="00406524">
      <w:pPr>
        <w:numPr>
          <w:ilvl w:val="0"/>
          <w:numId w:val="11"/>
        </w:numPr>
        <w:spacing w:after="200"/>
        <w:contextualSpacing/>
        <w:jc w:val="both"/>
        <w:rPr>
          <w:rFonts w:eastAsiaTheme="minorHAnsi" w:cstheme="minorBidi"/>
        </w:rPr>
      </w:pPr>
      <w:r w:rsidRPr="00406524">
        <w:rPr>
          <w:rFonts w:eastAsiaTheme="minorHAnsi" w:cstheme="minorBidi"/>
        </w:rPr>
        <w:t>Office Space and Equipment</w:t>
      </w:r>
    </w:p>
    <w:p w:rsidR="00D063BA" w:rsidRPr="00406524" w:rsidRDefault="00D063BA" w:rsidP="00D063BA">
      <w:pPr>
        <w:spacing w:after="200"/>
        <w:ind w:left="720"/>
        <w:contextualSpacing/>
        <w:jc w:val="both"/>
        <w:rPr>
          <w:rFonts w:eastAsiaTheme="minorHAnsi" w:cstheme="minorBidi"/>
        </w:rPr>
      </w:pPr>
    </w:p>
    <w:p w:rsidR="00406524" w:rsidRPr="00406524" w:rsidRDefault="00406524" w:rsidP="00406524">
      <w:pPr>
        <w:spacing w:after="200"/>
        <w:jc w:val="both"/>
        <w:rPr>
          <w:rFonts w:eastAsiaTheme="minorHAnsi"/>
        </w:rPr>
      </w:pPr>
      <w:r w:rsidRPr="00406524">
        <w:rPr>
          <w:rFonts w:eastAsiaTheme="minorHAnsi"/>
        </w:rPr>
        <w:t xml:space="preserve">According to the Utility, each of the service contracts that </w:t>
      </w:r>
      <w:proofErr w:type="spellStart"/>
      <w:r w:rsidRPr="00406524">
        <w:rPr>
          <w:rFonts w:eastAsiaTheme="minorHAnsi"/>
        </w:rPr>
        <w:t>USWSC</w:t>
      </w:r>
      <w:proofErr w:type="spellEnd"/>
      <w:r w:rsidRPr="00406524">
        <w:rPr>
          <w:rFonts w:eastAsiaTheme="minorHAnsi"/>
        </w:rPr>
        <w:t xml:space="preserve"> enters into with a utility “are different and are priced differently depending on numerous factors.”</w:t>
      </w:r>
      <w:r w:rsidRPr="00406524">
        <w:rPr>
          <w:rFonts w:eastAsiaTheme="minorHAnsi"/>
          <w:vertAlign w:val="superscript"/>
        </w:rPr>
        <w:footnoteReference w:id="15"/>
      </w:r>
      <w:r w:rsidRPr="00406524">
        <w:rPr>
          <w:rFonts w:eastAsiaTheme="minorHAnsi"/>
        </w:rPr>
        <w:t xml:space="preserve"> These factors include the number of employees needed and the number of hours required per system for successful operation. Additional considerations include whether </w:t>
      </w:r>
      <w:proofErr w:type="spellStart"/>
      <w:r w:rsidRPr="00406524">
        <w:rPr>
          <w:rFonts w:eastAsiaTheme="minorHAnsi"/>
        </w:rPr>
        <w:t>USWSC</w:t>
      </w:r>
      <w:proofErr w:type="spellEnd"/>
      <w:r w:rsidRPr="00406524">
        <w:rPr>
          <w:rFonts w:eastAsiaTheme="minorHAnsi"/>
        </w:rPr>
        <w:t xml:space="preserve"> provides chemicals, power, offices, vehicles, etc., or if these items are provided by the utility.</w:t>
      </w:r>
    </w:p>
    <w:p w:rsidR="00406524" w:rsidRPr="00406524" w:rsidRDefault="00406524" w:rsidP="00406524">
      <w:pPr>
        <w:spacing w:after="200"/>
        <w:jc w:val="both"/>
        <w:rPr>
          <w:rFonts w:eastAsiaTheme="minorHAnsi" w:cstheme="minorBidi"/>
        </w:rPr>
      </w:pPr>
      <w:r w:rsidRPr="00406524">
        <w:rPr>
          <w:rFonts w:eastAsiaTheme="minorHAnsi" w:cstheme="minorBidi"/>
        </w:rPr>
        <w:t>Staff notes that similar relationships currently exist for three other regulate</w:t>
      </w:r>
      <w:r w:rsidR="00D47ABA">
        <w:rPr>
          <w:rFonts w:eastAsiaTheme="minorHAnsi" w:cstheme="minorBidi"/>
        </w:rPr>
        <w:t>d utilities in Marion County</w:t>
      </w:r>
      <w:r w:rsidR="00802311">
        <w:rPr>
          <w:rFonts w:eastAsiaTheme="minorHAnsi" w:cstheme="minorBidi"/>
        </w:rPr>
        <w:t>;</w:t>
      </w:r>
      <w:r w:rsidRPr="00406524">
        <w:rPr>
          <w:rFonts w:eastAsiaTheme="minorHAnsi" w:cstheme="minorBidi"/>
        </w:rPr>
        <w:t xml:space="preserve"> </w:t>
      </w:r>
      <w:proofErr w:type="spellStart"/>
      <w:r w:rsidRPr="00406524">
        <w:rPr>
          <w:rFonts w:eastAsiaTheme="minorHAnsi" w:cstheme="minorBidi"/>
        </w:rPr>
        <w:t>Tradewinds</w:t>
      </w:r>
      <w:proofErr w:type="spellEnd"/>
      <w:r w:rsidRPr="00406524">
        <w:rPr>
          <w:rFonts w:eastAsiaTheme="minorHAnsi" w:cstheme="minorBidi"/>
        </w:rPr>
        <w:t xml:space="preserve"> Utilities, Inc. (</w:t>
      </w:r>
      <w:proofErr w:type="spellStart"/>
      <w:r w:rsidRPr="00406524">
        <w:rPr>
          <w:rFonts w:eastAsiaTheme="minorHAnsi" w:cstheme="minorBidi"/>
        </w:rPr>
        <w:t>Tradewinds</w:t>
      </w:r>
      <w:proofErr w:type="spellEnd"/>
      <w:r w:rsidRPr="00406524">
        <w:rPr>
          <w:rFonts w:eastAsiaTheme="minorHAnsi" w:cstheme="minorBidi"/>
        </w:rPr>
        <w:t>),</w:t>
      </w:r>
      <w:r w:rsidRPr="00406524">
        <w:rPr>
          <w:rFonts w:eastAsiaTheme="minorHAnsi" w:cstheme="minorBidi"/>
          <w:vertAlign w:val="superscript"/>
        </w:rPr>
        <w:footnoteReference w:id="16"/>
      </w:r>
      <w:r w:rsidRPr="00406524">
        <w:rPr>
          <w:rFonts w:eastAsiaTheme="minorHAnsi" w:cstheme="minorBidi"/>
        </w:rPr>
        <w:t xml:space="preserve"> </w:t>
      </w:r>
      <w:proofErr w:type="spellStart"/>
      <w:r w:rsidRPr="00406524">
        <w:rPr>
          <w:rFonts w:eastAsiaTheme="minorHAnsi" w:cstheme="minorBidi"/>
        </w:rPr>
        <w:t>C.F.A.T</w:t>
      </w:r>
      <w:proofErr w:type="spellEnd"/>
      <w:r w:rsidRPr="00406524">
        <w:rPr>
          <w:rFonts w:eastAsiaTheme="minorHAnsi" w:cstheme="minorBidi"/>
        </w:rPr>
        <w:t>. H2O, Inc. (</w:t>
      </w:r>
      <w:proofErr w:type="spellStart"/>
      <w:r w:rsidRPr="00406524">
        <w:rPr>
          <w:rFonts w:eastAsiaTheme="minorHAnsi" w:cstheme="minorBidi"/>
        </w:rPr>
        <w:t>CFAT</w:t>
      </w:r>
      <w:proofErr w:type="spellEnd"/>
      <w:r w:rsidRPr="00406524">
        <w:rPr>
          <w:rFonts w:eastAsiaTheme="minorHAnsi" w:cstheme="minorBidi"/>
        </w:rPr>
        <w:t xml:space="preserve">), and BFF Corp. (BFF). All </w:t>
      </w:r>
      <w:r w:rsidR="00E365FD">
        <w:rPr>
          <w:rFonts w:eastAsiaTheme="minorHAnsi" w:cstheme="minorBidi"/>
        </w:rPr>
        <w:t xml:space="preserve">of the utilities </w:t>
      </w:r>
      <w:r w:rsidRPr="00406524">
        <w:rPr>
          <w:rFonts w:eastAsiaTheme="minorHAnsi" w:cstheme="minorBidi"/>
        </w:rPr>
        <w:t xml:space="preserve">have contractual service agreements with MIRA International, Inc. (MIRA). Their respective agreements cover similar services to those included in the agreement between The Woods and </w:t>
      </w:r>
      <w:proofErr w:type="spellStart"/>
      <w:r w:rsidRPr="00406524">
        <w:rPr>
          <w:rFonts w:eastAsiaTheme="minorHAnsi" w:cstheme="minorBidi"/>
        </w:rPr>
        <w:t>USWSC</w:t>
      </w:r>
      <w:proofErr w:type="spellEnd"/>
      <w:r w:rsidRPr="00406524">
        <w:rPr>
          <w:rFonts w:eastAsiaTheme="minorHAnsi" w:cstheme="minorBidi"/>
        </w:rPr>
        <w:t xml:space="preserve">. In addition to a relationship established by their contractual service agreements, the same individuals own the three utilities listed above and MIRA. As such, the relationship is similar to that of The Woods and </w:t>
      </w:r>
      <w:proofErr w:type="spellStart"/>
      <w:r w:rsidRPr="00406524">
        <w:rPr>
          <w:rFonts w:eastAsiaTheme="minorHAnsi" w:cstheme="minorBidi"/>
        </w:rPr>
        <w:t>USWSC</w:t>
      </w:r>
      <w:proofErr w:type="spellEnd"/>
      <w:r w:rsidRPr="00406524">
        <w:rPr>
          <w:rFonts w:eastAsiaTheme="minorHAnsi" w:cstheme="minorBidi"/>
        </w:rPr>
        <w:t xml:space="preserve">. </w:t>
      </w:r>
    </w:p>
    <w:p w:rsidR="00406524" w:rsidRDefault="00406524" w:rsidP="00E365FD">
      <w:pPr>
        <w:spacing w:after="200"/>
        <w:jc w:val="both"/>
        <w:rPr>
          <w:rFonts w:eastAsiaTheme="minorHAnsi" w:cstheme="minorBidi"/>
        </w:rPr>
      </w:pPr>
      <w:r w:rsidRPr="00406524">
        <w:rPr>
          <w:rFonts w:eastAsiaTheme="minorHAnsi" w:cstheme="minorBidi"/>
        </w:rPr>
        <w:t xml:space="preserve">As detailed in Table </w:t>
      </w:r>
      <w:r w:rsidR="00880F23">
        <w:rPr>
          <w:rFonts w:eastAsiaTheme="minorHAnsi" w:cstheme="minorBidi"/>
        </w:rPr>
        <w:t>7</w:t>
      </w:r>
      <w:r w:rsidRPr="00406524">
        <w:rPr>
          <w:rFonts w:eastAsiaTheme="minorHAnsi" w:cstheme="minorBidi"/>
        </w:rPr>
        <w:t xml:space="preserve">-1 below, based on the three most recent Annual Reports, </w:t>
      </w:r>
      <w:proofErr w:type="spellStart"/>
      <w:r w:rsidRPr="00406524">
        <w:rPr>
          <w:rFonts w:eastAsiaTheme="minorHAnsi" w:cstheme="minorBidi"/>
        </w:rPr>
        <w:t>CFAT</w:t>
      </w:r>
      <w:proofErr w:type="spellEnd"/>
      <w:r w:rsidRPr="00406524">
        <w:rPr>
          <w:rFonts w:eastAsiaTheme="minorHAnsi" w:cstheme="minorBidi"/>
        </w:rPr>
        <w:t xml:space="preserve"> has an average water operation and maintenance (</w:t>
      </w:r>
      <w:proofErr w:type="spellStart"/>
      <w:r w:rsidRPr="00406524">
        <w:rPr>
          <w:rFonts w:eastAsiaTheme="minorHAnsi" w:cstheme="minorBidi"/>
        </w:rPr>
        <w:t>O&amp;M</w:t>
      </w:r>
      <w:proofErr w:type="spellEnd"/>
      <w:r w:rsidRPr="00406524">
        <w:rPr>
          <w:rFonts w:eastAsiaTheme="minorHAnsi" w:cstheme="minorBidi"/>
        </w:rPr>
        <w:t>) expense of $267.92 per Equivalent Residential Connection (</w:t>
      </w:r>
      <w:proofErr w:type="spellStart"/>
      <w:r w:rsidRPr="00406524">
        <w:rPr>
          <w:rFonts w:eastAsiaTheme="minorHAnsi" w:cstheme="minorBidi"/>
        </w:rPr>
        <w:t>ERC</w:t>
      </w:r>
      <w:proofErr w:type="spellEnd"/>
      <w:r w:rsidRPr="00406524">
        <w:rPr>
          <w:rFonts w:eastAsiaTheme="minorHAnsi" w:cstheme="minorBidi"/>
        </w:rPr>
        <w:t xml:space="preserve">), and </w:t>
      </w:r>
      <w:proofErr w:type="spellStart"/>
      <w:r w:rsidRPr="00406524">
        <w:rPr>
          <w:rFonts w:eastAsiaTheme="minorHAnsi" w:cstheme="minorBidi"/>
        </w:rPr>
        <w:t>Tradewinds</w:t>
      </w:r>
      <w:proofErr w:type="spellEnd"/>
      <w:r w:rsidRPr="00406524">
        <w:rPr>
          <w:rFonts w:eastAsiaTheme="minorHAnsi" w:cstheme="minorBidi"/>
        </w:rPr>
        <w:t xml:space="preserve"> has an average water </w:t>
      </w:r>
      <w:proofErr w:type="spellStart"/>
      <w:r w:rsidRPr="00406524">
        <w:rPr>
          <w:rFonts w:eastAsiaTheme="minorHAnsi" w:cstheme="minorBidi"/>
        </w:rPr>
        <w:t>O&amp;M</w:t>
      </w:r>
      <w:proofErr w:type="spellEnd"/>
      <w:r w:rsidRPr="00406524">
        <w:rPr>
          <w:rFonts w:eastAsiaTheme="minorHAnsi" w:cstheme="minorBidi"/>
        </w:rPr>
        <w:t xml:space="preserve"> expense of $215.60 per </w:t>
      </w:r>
      <w:proofErr w:type="spellStart"/>
      <w:r w:rsidRPr="00406524">
        <w:rPr>
          <w:rFonts w:eastAsiaTheme="minorHAnsi" w:cstheme="minorBidi"/>
        </w:rPr>
        <w:t>ERC</w:t>
      </w:r>
      <w:proofErr w:type="spellEnd"/>
      <w:r w:rsidRPr="00406524">
        <w:rPr>
          <w:rFonts w:eastAsiaTheme="minorHAnsi" w:cstheme="minorBidi"/>
        </w:rPr>
        <w:t>. BFF is a wastewater only utility</w:t>
      </w:r>
      <w:r w:rsidR="00C07602">
        <w:rPr>
          <w:rFonts w:eastAsiaTheme="minorHAnsi" w:cstheme="minorBidi"/>
        </w:rPr>
        <w:t>,</w:t>
      </w:r>
      <w:r w:rsidRPr="00406524">
        <w:rPr>
          <w:rFonts w:eastAsiaTheme="minorHAnsi" w:cstheme="minorBidi"/>
        </w:rPr>
        <w:t xml:space="preserve"> and is not included in staff’s comparis</w:t>
      </w:r>
      <w:r w:rsidR="00C43B8B">
        <w:rPr>
          <w:rFonts w:eastAsiaTheme="minorHAnsi" w:cstheme="minorBidi"/>
        </w:rPr>
        <w:t>on below</w:t>
      </w:r>
      <w:r w:rsidR="00FD786C">
        <w:rPr>
          <w:rFonts w:eastAsiaTheme="minorHAnsi" w:cstheme="minorBidi"/>
        </w:rPr>
        <w:t>.</w:t>
      </w:r>
    </w:p>
    <w:p w:rsidR="00F85390" w:rsidRPr="00406524" w:rsidRDefault="00F85390" w:rsidP="00E365FD">
      <w:pPr>
        <w:spacing w:after="200"/>
        <w:jc w:val="both"/>
        <w:rPr>
          <w:rFonts w:ascii="Arial" w:eastAsiaTheme="minorHAnsi" w:hAnsi="Arial" w:cs="Arial"/>
          <w:b/>
          <w:szCs w:val="22"/>
        </w:rPr>
      </w:pPr>
    </w:p>
    <w:p w:rsidR="00406524" w:rsidRPr="00551656" w:rsidRDefault="00467D4E" w:rsidP="00406524">
      <w:pPr>
        <w:jc w:val="center"/>
        <w:rPr>
          <w:rFonts w:ascii="Arial" w:eastAsiaTheme="minorHAnsi" w:hAnsi="Arial" w:cs="Arial"/>
          <w:b/>
          <w:szCs w:val="22"/>
        </w:rPr>
      </w:pPr>
      <w:r w:rsidRPr="00551656">
        <w:rPr>
          <w:rFonts w:ascii="Arial" w:eastAsiaTheme="minorHAnsi" w:hAnsi="Arial" w:cs="Arial"/>
          <w:b/>
          <w:szCs w:val="22"/>
        </w:rPr>
        <w:lastRenderedPageBreak/>
        <w:t>Table 7</w:t>
      </w:r>
      <w:r w:rsidR="00406524" w:rsidRPr="00551656">
        <w:rPr>
          <w:rFonts w:ascii="Arial" w:eastAsiaTheme="minorHAnsi" w:hAnsi="Arial" w:cs="Arial"/>
          <w:b/>
          <w:szCs w:val="22"/>
        </w:rPr>
        <w:t>-1</w:t>
      </w:r>
    </w:p>
    <w:p w:rsidR="00406524" w:rsidRPr="00551656" w:rsidRDefault="00406524" w:rsidP="00406524">
      <w:pPr>
        <w:jc w:val="center"/>
        <w:rPr>
          <w:rFonts w:ascii="Arial" w:eastAsiaTheme="minorHAnsi" w:hAnsi="Arial" w:cs="Arial"/>
          <w:b/>
          <w:szCs w:val="22"/>
        </w:rPr>
      </w:pPr>
      <w:r w:rsidRPr="00551656">
        <w:rPr>
          <w:rFonts w:ascii="Arial" w:eastAsiaTheme="minorHAnsi" w:hAnsi="Arial" w:cs="Arial"/>
          <w:b/>
          <w:szCs w:val="22"/>
        </w:rPr>
        <w:t xml:space="preserve">Comparable Water </w:t>
      </w:r>
      <w:proofErr w:type="spellStart"/>
      <w:r w:rsidRPr="00551656">
        <w:rPr>
          <w:rFonts w:ascii="Arial" w:eastAsiaTheme="minorHAnsi" w:hAnsi="Arial" w:cs="Arial"/>
          <w:b/>
          <w:szCs w:val="22"/>
        </w:rPr>
        <w:t>O&amp;M</w:t>
      </w:r>
      <w:proofErr w:type="spellEnd"/>
      <w:r w:rsidRPr="00551656">
        <w:rPr>
          <w:rFonts w:ascii="Arial" w:eastAsiaTheme="minorHAnsi" w:hAnsi="Arial" w:cs="Arial"/>
          <w:b/>
          <w:szCs w:val="22"/>
        </w:rPr>
        <w:t xml:space="preserve"> Expense </w:t>
      </w:r>
      <w:proofErr w:type="gramStart"/>
      <w:r w:rsidRPr="00551656">
        <w:rPr>
          <w:rFonts w:ascii="Arial" w:eastAsiaTheme="minorHAnsi" w:hAnsi="Arial" w:cs="Arial"/>
          <w:b/>
          <w:szCs w:val="22"/>
        </w:rPr>
        <w:t>Per</w:t>
      </w:r>
      <w:proofErr w:type="gramEnd"/>
      <w:r w:rsidRPr="00551656">
        <w:rPr>
          <w:rFonts w:ascii="Arial" w:eastAsiaTheme="minorHAnsi" w:hAnsi="Arial" w:cs="Arial"/>
          <w:b/>
          <w:szCs w:val="22"/>
        </w:rPr>
        <w:t xml:space="preserve"> </w:t>
      </w:r>
      <w:proofErr w:type="spellStart"/>
      <w:r w:rsidRPr="00551656">
        <w:rPr>
          <w:rFonts w:ascii="Arial" w:eastAsiaTheme="minorHAnsi" w:hAnsi="Arial" w:cs="Arial"/>
          <w:b/>
          <w:szCs w:val="22"/>
        </w:rPr>
        <w:t>ERC</w:t>
      </w:r>
      <w:proofErr w:type="spellEnd"/>
    </w:p>
    <w:tbl>
      <w:tblPr>
        <w:tblStyle w:val="TableGrid2"/>
        <w:tblW w:w="4849" w:type="pct"/>
        <w:jc w:val="center"/>
        <w:tblLook w:val="04A0" w:firstRow="1" w:lastRow="0" w:firstColumn="1" w:lastColumn="0" w:noHBand="0" w:noVBand="1"/>
      </w:tblPr>
      <w:tblGrid>
        <w:gridCol w:w="2395"/>
        <w:gridCol w:w="2338"/>
        <w:gridCol w:w="2307"/>
        <w:gridCol w:w="2247"/>
      </w:tblGrid>
      <w:tr w:rsidR="00406524" w:rsidRPr="00E365FD" w:rsidTr="00406524">
        <w:trPr>
          <w:jc w:val="center"/>
        </w:trPr>
        <w:tc>
          <w:tcPr>
            <w:tcW w:w="1289" w:type="pct"/>
          </w:tcPr>
          <w:p w:rsidR="00406524" w:rsidRPr="004B54B1" w:rsidRDefault="00406524" w:rsidP="00406524">
            <w:pPr>
              <w:jc w:val="center"/>
              <w:rPr>
                <w:rFonts w:ascii="Times New Roman" w:hAnsi="Times New Roman" w:cs="Times New Roman"/>
                <w:b/>
                <w:szCs w:val="22"/>
              </w:rPr>
            </w:pPr>
            <w:r w:rsidRPr="004B54B1">
              <w:rPr>
                <w:rFonts w:ascii="Times New Roman" w:hAnsi="Times New Roman" w:cs="Times New Roman"/>
                <w:b/>
                <w:szCs w:val="22"/>
              </w:rPr>
              <w:t>Annual Report</w:t>
            </w:r>
          </w:p>
          <w:p w:rsidR="00406524" w:rsidRPr="004B54B1" w:rsidRDefault="00406524" w:rsidP="00406524">
            <w:pPr>
              <w:jc w:val="center"/>
              <w:rPr>
                <w:rFonts w:ascii="Times New Roman" w:hAnsi="Times New Roman" w:cs="Times New Roman"/>
                <w:b/>
                <w:szCs w:val="22"/>
              </w:rPr>
            </w:pPr>
            <w:r w:rsidRPr="004B54B1">
              <w:rPr>
                <w:rFonts w:ascii="Times New Roman" w:hAnsi="Times New Roman" w:cs="Times New Roman"/>
                <w:b/>
                <w:szCs w:val="22"/>
              </w:rPr>
              <w:t>Year</w:t>
            </w:r>
          </w:p>
        </w:tc>
        <w:tc>
          <w:tcPr>
            <w:tcW w:w="1259" w:type="pct"/>
          </w:tcPr>
          <w:p w:rsidR="00406524" w:rsidRPr="004B54B1" w:rsidRDefault="00406524" w:rsidP="00406524">
            <w:pPr>
              <w:jc w:val="center"/>
              <w:rPr>
                <w:rFonts w:ascii="Times New Roman" w:hAnsi="Times New Roman" w:cs="Times New Roman"/>
                <w:b/>
                <w:szCs w:val="22"/>
              </w:rPr>
            </w:pPr>
            <w:proofErr w:type="spellStart"/>
            <w:r w:rsidRPr="004B54B1">
              <w:rPr>
                <w:rFonts w:ascii="Times New Roman" w:hAnsi="Times New Roman" w:cs="Times New Roman"/>
                <w:b/>
                <w:szCs w:val="22"/>
              </w:rPr>
              <w:t>CFAT</w:t>
            </w:r>
            <w:proofErr w:type="spellEnd"/>
          </w:p>
          <w:p w:rsidR="00406524" w:rsidRPr="004B54B1" w:rsidRDefault="00406524" w:rsidP="00406524">
            <w:pPr>
              <w:jc w:val="center"/>
              <w:rPr>
                <w:rFonts w:ascii="Times New Roman" w:hAnsi="Times New Roman" w:cs="Times New Roman"/>
                <w:b/>
                <w:szCs w:val="22"/>
              </w:rPr>
            </w:pPr>
            <w:r w:rsidRPr="004B54B1">
              <w:rPr>
                <w:rFonts w:ascii="Times New Roman" w:hAnsi="Times New Roman" w:cs="Times New Roman"/>
                <w:b/>
                <w:szCs w:val="22"/>
              </w:rPr>
              <w:t xml:space="preserve">(227 </w:t>
            </w:r>
            <w:proofErr w:type="spellStart"/>
            <w:r w:rsidRPr="004B54B1">
              <w:rPr>
                <w:rFonts w:ascii="Times New Roman" w:hAnsi="Times New Roman" w:cs="Times New Roman"/>
                <w:b/>
                <w:szCs w:val="22"/>
              </w:rPr>
              <w:t>ERCs</w:t>
            </w:r>
            <w:proofErr w:type="spellEnd"/>
            <w:r w:rsidRPr="004B54B1">
              <w:rPr>
                <w:rFonts w:ascii="Times New Roman" w:hAnsi="Times New Roman" w:cs="Times New Roman"/>
                <w:b/>
                <w:szCs w:val="22"/>
              </w:rPr>
              <w:t>)</w:t>
            </w:r>
          </w:p>
        </w:tc>
        <w:tc>
          <w:tcPr>
            <w:tcW w:w="1242" w:type="pct"/>
          </w:tcPr>
          <w:p w:rsidR="00406524" w:rsidRPr="004B54B1" w:rsidRDefault="00406524" w:rsidP="00406524">
            <w:pPr>
              <w:jc w:val="center"/>
              <w:rPr>
                <w:rFonts w:ascii="Times New Roman" w:hAnsi="Times New Roman" w:cs="Times New Roman"/>
                <w:b/>
                <w:szCs w:val="22"/>
              </w:rPr>
            </w:pPr>
            <w:proofErr w:type="spellStart"/>
            <w:r w:rsidRPr="004B54B1">
              <w:rPr>
                <w:rFonts w:ascii="Times New Roman" w:hAnsi="Times New Roman" w:cs="Times New Roman"/>
                <w:b/>
                <w:szCs w:val="22"/>
              </w:rPr>
              <w:t>Tradewinds</w:t>
            </w:r>
            <w:proofErr w:type="spellEnd"/>
          </w:p>
          <w:p w:rsidR="00406524" w:rsidRPr="004B54B1" w:rsidRDefault="00406524" w:rsidP="00406524">
            <w:pPr>
              <w:jc w:val="center"/>
              <w:rPr>
                <w:rFonts w:ascii="Times New Roman" w:hAnsi="Times New Roman" w:cs="Times New Roman"/>
                <w:b/>
                <w:szCs w:val="22"/>
              </w:rPr>
            </w:pPr>
            <w:r w:rsidRPr="004B54B1">
              <w:rPr>
                <w:rFonts w:ascii="Times New Roman" w:hAnsi="Times New Roman" w:cs="Times New Roman"/>
                <w:b/>
                <w:szCs w:val="22"/>
              </w:rPr>
              <w:t xml:space="preserve">(616 </w:t>
            </w:r>
            <w:proofErr w:type="spellStart"/>
            <w:r w:rsidRPr="004B54B1">
              <w:rPr>
                <w:rFonts w:ascii="Times New Roman" w:hAnsi="Times New Roman" w:cs="Times New Roman"/>
                <w:b/>
                <w:szCs w:val="22"/>
              </w:rPr>
              <w:t>ERCs</w:t>
            </w:r>
            <w:proofErr w:type="spellEnd"/>
            <w:r w:rsidRPr="004B54B1">
              <w:rPr>
                <w:rFonts w:ascii="Times New Roman" w:hAnsi="Times New Roman" w:cs="Times New Roman"/>
                <w:b/>
                <w:szCs w:val="22"/>
              </w:rPr>
              <w:t>)</w:t>
            </w:r>
          </w:p>
        </w:tc>
        <w:tc>
          <w:tcPr>
            <w:tcW w:w="1210" w:type="pct"/>
          </w:tcPr>
          <w:p w:rsidR="00406524" w:rsidRPr="004B54B1" w:rsidRDefault="00406524" w:rsidP="00406524">
            <w:pPr>
              <w:jc w:val="center"/>
              <w:rPr>
                <w:rFonts w:ascii="Times New Roman" w:hAnsi="Times New Roman" w:cs="Times New Roman"/>
                <w:b/>
                <w:szCs w:val="22"/>
              </w:rPr>
            </w:pPr>
            <w:r w:rsidRPr="004B54B1">
              <w:rPr>
                <w:rFonts w:ascii="Times New Roman" w:hAnsi="Times New Roman" w:cs="Times New Roman"/>
                <w:b/>
                <w:szCs w:val="22"/>
              </w:rPr>
              <w:t>The Woods</w:t>
            </w:r>
          </w:p>
          <w:p w:rsidR="00406524" w:rsidRPr="004B54B1" w:rsidRDefault="00406524" w:rsidP="00406524">
            <w:pPr>
              <w:jc w:val="center"/>
              <w:rPr>
                <w:rFonts w:ascii="Times New Roman" w:hAnsi="Times New Roman" w:cs="Times New Roman"/>
                <w:b/>
                <w:szCs w:val="22"/>
              </w:rPr>
            </w:pPr>
            <w:r w:rsidRPr="004B54B1">
              <w:rPr>
                <w:rFonts w:ascii="Times New Roman" w:hAnsi="Times New Roman" w:cs="Times New Roman"/>
                <w:b/>
                <w:szCs w:val="22"/>
              </w:rPr>
              <w:t xml:space="preserve">(59 </w:t>
            </w:r>
            <w:proofErr w:type="spellStart"/>
            <w:r w:rsidRPr="004B54B1">
              <w:rPr>
                <w:rFonts w:ascii="Times New Roman" w:hAnsi="Times New Roman" w:cs="Times New Roman"/>
                <w:b/>
                <w:szCs w:val="22"/>
              </w:rPr>
              <w:t>ERCs</w:t>
            </w:r>
            <w:proofErr w:type="spellEnd"/>
            <w:r w:rsidRPr="004B54B1">
              <w:rPr>
                <w:rFonts w:ascii="Times New Roman" w:hAnsi="Times New Roman" w:cs="Times New Roman"/>
                <w:b/>
                <w:szCs w:val="22"/>
              </w:rPr>
              <w:t>)</w:t>
            </w:r>
          </w:p>
        </w:tc>
      </w:tr>
      <w:tr w:rsidR="00406524" w:rsidRPr="00E365FD" w:rsidTr="00406524">
        <w:trPr>
          <w:jc w:val="center"/>
        </w:trPr>
        <w:tc>
          <w:tcPr>
            <w:tcW w:w="1289" w:type="pct"/>
          </w:tcPr>
          <w:p w:rsidR="00406524" w:rsidRPr="00E365FD" w:rsidRDefault="00406524" w:rsidP="00406524">
            <w:pPr>
              <w:jc w:val="center"/>
              <w:rPr>
                <w:rFonts w:ascii="Times New Roman" w:hAnsi="Times New Roman" w:cs="Times New Roman"/>
                <w:szCs w:val="22"/>
              </w:rPr>
            </w:pPr>
            <w:r w:rsidRPr="00E365FD">
              <w:rPr>
                <w:rFonts w:ascii="Times New Roman" w:hAnsi="Times New Roman" w:cs="Times New Roman"/>
                <w:szCs w:val="22"/>
              </w:rPr>
              <w:t>2016</w:t>
            </w:r>
          </w:p>
        </w:tc>
        <w:tc>
          <w:tcPr>
            <w:tcW w:w="1259" w:type="pct"/>
          </w:tcPr>
          <w:p w:rsidR="00406524" w:rsidRPr="00E365FD" w:rsidRDefault="00406524" w:rsidP="00406524">
            <w:pPr>
              <w:jc w:val="right"/>
              <w:rPr>
                <w:rFonts w:ascii="Times New Roman" w:hAnsi="Times New Roman" w:cs="Times New Roman"/>
                <w:szCs w:val="22"/>
              </w:rPr>
            </w:pPr>
            <w:r w:rsidRPr="00E365FD">
              <w:rPr>
                <w:rFonts w:ascii="Times New Roman" w:hAnsi="Times New Roman" w:cs="Times New Roman"/>
                <w:szCs w:val="22"/>
              </w:rPr>
              <w:t>$222.31</w:t>
            </w:r>
          </w:p>
        </w:tc>
        <w:tc>
          <w:tcPr>
            <w:tcW w:w="1242" w:type="pct"/>
          </w:tcPr>
          <w:p w:rsidR="00406524" w:rsidRPr="00E365FD" w:rsidRDefault="00406524" w:rsidP="00406524">
            <w:pPr>
              <w:jc w:val="right"/>
              <w:rPr>
                <w:rFonts w:ascii="Times New Roman" w:hAnsi="Times New Roman" w:cs="Times New Roman"/>
                <w:szCs w:val="22"/>
              </w:rPr>
            </w:pPr>
            <w:r w:rsidRPr="00E365FD">
              <w:rPr>
                <w:rFonts w:ascii="Times New Roman" w:hAnsi="Times New Roman" w:cs="Times New Roman"/>
                <w:szCs w:val="22"/>
              </w:rPr>
              <w:t>$197.94</w:t>
            </w:r>
          </w:p>
        </w:tc>
        <w:tc>
          <w:tcPr>
            <w:tcW w:w="1210" w:type="pct"/>
          </w:tcPr>
          <w:p w:rsidR="00406524" w:rsidRPr="00E365FD" w:rsidRDefault="00406524" w:rsidP="00406524">
            <w:pPr>
              <w:jc w:val="right"/>
              <w:rPr>
                <w:rFonts w:ascii="Times New Roman" w:hAnsi="Times New Roman" w:cs="Times New Roman"/>
                <w:szCs w:val="22"/>
              </w:rPr>
            </w:pPr>
            <w:r w:rsidRPr="00E365FD">
              <w:rPr>
                <w:rFonts w:ascii="Times New Roman" w:hAnsi="Times New Roman" w:cs="Times New Roman"/>
                <w:szCs w:val="22"/>
              </w:rPr>
              <w:t>$422.61</w:t>
            </w:r>
          </w:p>
        </w:tc>
      </w:tr>
      <w:tr w:rsidR="00406524" w:rsidRPr="00E365FD" w:rsidTr="00406524">
        <w:trPr>
          <w:jc w:val="center"/>
        </w:trPr>
        <w:tc>
          <w:tcPr>
            <w:tcW w:w="1289" w:type="pct"/>
          </w:tcPr>
          <w:p w:rsidR="00406524" w:rsidRPr="00E365FD" w:rsidRDefault="00406524" w:rsidP="00406524">
            <w:pPr>
              <w:jc w:val="center"/>
              <w:rPr>
                <w:rFonts w:ascii="Times New Roman" w:hAnsi="Times New Roman" w:cs="Times New Roman"/>
                <w:szCs w:val="22"/>
              </w:rPr>
            </w:pPr>
            <w:r w:rsidRPr="00E365FD">
              <w:rPr>
                <w:rFonts w:ascii="Times New Roman" w:hAnsi="Times New Roman" w:cs="Times New Roman"/>
                <w:szCs w:val="22"/>
              </w:rPr>
              <w:t>2017</w:t>
            </w:r>
          </w:p>
        </w:tc>
        <w:tc>
          <w:tcPr>
            <w:tcW w:w="1259" w:type="pct"/>
          </w:tcPr>
          <w:p w:rsidR="00406524" w:rsidRPr="00E365FD" w:rsidRDefault="00406524" w:rsidP="00406524">
            <w:pPr>
              <w:jc w:val="right"/>
              <w:rPr>
                <w:rFonts w:ascii="Times New Roman" w:hAnsi="Times New Roman" w:cs="Times New Roman"/>
                <w:szCs w:val="22"/>
              </w:rPr>
            </w:pPr>
            <w:r w:rsidRPr="00E365FD">
              <w:rPr>
                <w:rFonts w:ascii="Times New Roman" w:hAnsi="Times New Roman" w:cs="Times New Roman"/>
                <w:szCs w:val="22"/>
              </w:rPr>
              <w:t>$278.85</w:t>
            </w:r>
          </w:p>
        </w:tc>
        <w:tc>
          <w:tcPr>
            <w:tcW w:w="1242" w:type="pct"/>
          </w:tcPr>
          <w:p w:rsidR="00406524" w:rsidRPr="00E365FD" w:rsidRDefault="00406524" w:rsidP="00406524">
            <w:pPr>
              <w:jc w:val="right"/>
              <w:rPr>
                <w:rFonts w:ascii="Times New Roman" w:hAnsi="Times New Roman" w:cs="Times New Roman"/>
                <w:szCs w:val="22"/>
              </w:rPr>
            </w:pPr>
            <w:r w:rsidRPr="00E365FD">
              <w:rPr>
                <w:rFonts w:ascii="Times New Roman" w:hAnsi="Times New Roman" w:cs="Times New Roman"/>
                <w:szCs w:val="22"/>
              </w:rPr>
              <w:t>$239.02</w:t>
            </w:r>
          </w:p>
        </w:tc>
        <w:tc>
          <w:tcPr>
            <w:tcW w:w="1210" w:type="pct"/>
          </w:tcPr>
          <w:p w:rsidR="00406524" w:rsidRPr="00E365FD" w:rsidRDefault="00406524" w:rsidP="00406524">
            <w:pPr>
              <w:jc w:val="right"/>
              <w:rPr>
                <w:rFonts w:ascii="Times New Roman" w:hAnsi="Times New Roman" w:cs="Times New Roman"/>
                <w:szCs w:val="22"/>
              </w:rPr>
            </w:pPr>
            <w:r w:rsidRPr="00E365FD">
              <w:rPr>
                <w:rFonts w:ascii="Times New Roman" w:hAnsi="Times New Roman" w:cs="Times New Roman"/>
                <w:szCs w:val="22"/>
              </w:rPr>
              <w:t>$468.75</w:t>
            </w:r>
          </w:p>
        </w:tc>
      </w:tr>
      <w:tr w:rsidR="00406524" w:rsidRPr="00E365FD" w:rsidTr="00406524">
        <w:trPr>
          <w:jc w:val="center"/>
        </w:trPr>
        <w:tc>
          <w:tcPr>
            <w:tcW w:w="1289" w:type="pct"/>
          </w:tcPr>
          <w:p w:rsidR="00406524" w:rsidRPr="00E365FD" w:rsidRDefault="00406524" w:rsidP="00406524">
            <w:pPr>
              <w:jc w:val="center"/>
              <w:rPr>
                <w:rFonts w:ascii="Times New Roman" w:hAnsi="Times New Roman" w:cs="Times New Roman"/>
                <w:szCs w:val="22"/>
              </w:rPr>
            </w:pPr>
            <w:r w:rsidRPr="00E365FD">
              <w:rPr>
                <w:rFonts w:ascii="Times New Roman" w:hAnsi="Times New Roman" w:cs="Times New Roman"/>
                <w:szCs w:val="22"/>
              </w:rPr>
              <w:t>2018</w:t>
            </w:r>
          </w:p>
        </w:tc>
        <w:tc>
          <w:tcPr>
            <w:tcW w:w="1259" w:type="pct"/>
          </w:tcPr>
          <w:p w:rsidR="00406524" w:rsidRPr="00E365FD" w:rsidRDefault="00406524" w:rsidP="00406524">
            <w:pPr>
              <w:jc w:val="right"/>
              <w:rPr>
                <w:rFonts w:ascii="Times New Roman" w:hAnsi="Times New Roman" w:cs="Times New Roman"/>
                <w:szCs w:val="22"/>
                <w:u w:val="single"/>
              </w:rPr>
            </w:pPr>
            <w:r w:rsidRPr="00E365FD">
              <w:rPr>
                <w:rFonts w:ascii="Times New Roman" w:hAnsi="Times New Roman" w:cs="Times New Roman"/>
                <w:szCs w:val="22"/>
                <w:u w:val="single"/>
              </w:rPr>
              <w:t>$302.61</w:t>
            </w:r>
          </w:p>
        </w:tc>
        <w:tc>
          <w:tcPr>
            <w:tcW w:w="1242" w:type="pct"/>
          </w:tcPr>
          <w:p w:rsidR="00406524" w:rsidRPr="00E365FD" w:rsidRDefault="00406524" w:rsidP="00406524">
            <w:pPr>
              <w:jc w:val="right"/>
              <w:rPr>
                <w:rFonts w:ascii="Times New Roman" w:hAnsi="Times New Roman" w:cs="Times New Roman"/>
                <w:szCs w:val="22"/>
                <w:u w:val="single"/>
              </w:rPr>
            </w:pPr>
            <w:r w:rsidRPr="00E365FD">
              <w:rPr>
                <w:rFonts w:ascii="Times New Roman" w:hAnsi="Times New Roman" w:cs="Times New Roman"/>
                <w:szCs w:val="22"/>
                <w:u w:val="single"/>
              </w:rPr>
              <w:t>$209.84</w:t>
            </w:r>
          </w:p>
        </w:tc>
        <w:tc>
          <w:tcPr>
            <w:tcW w:w="1210" w:type="pct"/>
          </w:tcPr>
          <w:p w:rsidR="00406524" w:rsidRPr="00E365FD" w:rsidRDefault="00406524" w:rsidP="00406524">
            <w:pPr>
              <w:jc w:val="right"/>
              <w:rPr>
                <w:rFonts w:ascii="Times New Roman" w:hAnsi="Times New Roman" w:cs="Times New Roman"/>
                <w:szCs w:val="22"/>
                <w:u w:val="single"/>
              </w:rPr>
            </w:pPr>
            <w:r w:rsidRPr="00E365FD">
              <w:rPr>
                <w:rFonts w:ascii="Times New Roman" w:hAnsi="Times New Roman" w:cs="Times New Roman"/>
                <w:szCs w:val="22"/>
                <w:u w:val="single"/>
              </w:rPr>
              <w:t>$476.11</w:t>
            </w:r>
          </w:p>
        </w:tc>
      </w:tr>
      <w:tr w:rsidR="00406524" w:rsidRPr="00E365FD" w:rsidTr="00406524">
        <w:trPr>
          <w:jc w:val="center"/>
        </w:trPr>
        <w:tc>
          <w:tcPr>
            <w:tcW w:w="1289" w:type="pct"/>
          </w:tcPr>
          <w:p w:rsidR="00406524" w:rsidRPr="00E365FD" w:rsidRDefault="00406524" w:rsidP="00406524">
            <w:pPr>
              <w:jc w:val="center"/>
              <w:rPr>
                <w:rFonts w:ascii="Times New Roman" w:hAnsi="Times New Roman" w:cs="Times New Roman"/>
                <w:szCs w:val="22"/>
              </w:rPr>
            </w:pPr>
            <w:r w:rsidRPr="00E365FD">
              <w:rPr>
                <w:rFonts w:ascii="Times New Roman" w:hAnsi="Times New Roman" w:cs="Times New Roman"/>
                <w:szCs w:val="22"/>
              </w:rPr>
              <w:t>3-Year Average</w:t>
            </w:r>
          </w:p>
        </w:tc>
        <w:tc>
          <w:tcPr>
            <w:tcW w:w="1259" w:type="pct"/>
          </w:tcPr>
          <w:p w:rsidR="00406524" w:rsidRPr="00E365FD" w:rsidRDefault="00406524" w:rsidP="00406524">
            <w:pPr>
              <w:jc w:val="right"/>
              <w:rPr>
                <w:rFonts w:ascii="Times New Roman" w:hAnsi="Times New Roman" w:cs="Times New Roman"/>
                <w:szCs w:val="22"/>
                <w:u w:val="double"/>
              </w:rPr>
            </w:pPr>
            <w:r w:rsidRPr="00E365FD">
              <w:rPr>
                <w:rFonts w:ascii="Times New Roman" w:hAnsi="Times New Roman" w:cs="Times New Roman"/>
                <w:szCs w:val="22"/>
                <w:u w:val="double"/>
              </w:rPr>
              <w:t>$267.92</w:t>
            </w:r>
          </w:p>
        </w:tc>
        <w:tc>
          <w:tcPr>
            <w:tcW w:w="1242" w:type="pct"/>
          </w:tcPr>
          <w:p w:rsidR="00406524" w:rsidRPr="00E365FD" w:rsidRDefault="00406524" w:rsidP="00406524">
            <w:pPr>
              <w:jc w:val="right"/>
              <w:rPr>
                <w:rFonts w:ascii="Times New Roman" w:hAnsi="Times New Roman" w:cs="Times New Roman"/>
                <w:szCs w:val="22"/>
                <w:u w:val="double"/>
              </w:rPr>
            </w:pPr>
            <w:r w:rsidRPr="00E365FD">
              <w:rPr>
                <w:rFonts w:ascii="Times New Roman" w:hAnsi="Times New Roman" w:cs="Times New Roman"/>
                <w:szCs w:val="22"/>
                <w:u w:val="double"/>
              </w:rPr>
              <w:t>$215.60</w:t>
            </w:r>
          </w:p>
        </w:tc>
        <w:tc>
          <w:tcPr>
            <w:tcW w:w="1210" w:type="pct"/>
          </w:tcPr>
          <w:p w:rsidR="00406524" w:rsidRPr="00E365FD" w:rsidRDefault="00406524" w:rsidP="00406524">
            <w:pPr>
              <w:jc w:val="right"/>
              <w:rPr>
                <w:rFonts w:ascii="Times New Roman" w:hAnsi="Times New Roman" w:cs="Times New Roman"/>
                <w:szCs w:val="22"/>
                <w:u w:val="double"/>
              </w:rPr>
            </w:pPr>
            <w:r w:rsidRPr="00E365FD">
              <w:rPr>
                <w:rFonts w:ascii="Times New Roman" w:hAnsi="Times New Roman" w:cs="Times New Roman"/>
                <w:szCs w:val="22"/>
                <w:u w:val="double"/>
              </w:rPr>
              <w:t>$455.82</w:t>
            </w:r>
          </w:p>
        </w:tc>
      </w:tr>
    </w:tbl>
    <w:p w:rsidR="00406524" w:rsidRPr="007500F6" w:rsidRDefault="007E1627" w:rsidP="00406524">
      <w:pPr>
        <w:jc w:val="both"/>
        <w:rPr>
          <w:rFonts w:eastAsiaTheme="minorHAnsi"/>
        </w:rPr>
      </w:pPr>
      <w:r>
        <w:rPr>
          <w:rFonts w:eastAsiaTheme="minorHAnsi"/>
        </w:rPr>
        <w:t xml:space="preserve">  </w:t>
      </w:r>
      <w:r w:rsidR="00406524" w:rsidRPr="007500F6">
        <w:rPr>
          <w:rFonts w:eastAsiaTheme="minorHAnsi"/>
        </w:rPr>
        <w:t xml:space="preserve">Source: </w:t>
      </w:r>
      <w:proofErr w:type="spellStart"/>
      <w:r w:rsidR="00406524" w:rsidRPr="007500F6">
        <w:rPr>
          <w:rFonts w:eastAsiaTheme="minorHAnsi"/>
        </w:rPr>
        <w:t>CFAT</w:t>
      </w:r>
      <w:proofErr w:type="spellEnd"/>
      <w:r w:rsidR="00406524" w:rsidRPr="007500F6">
        <w:rPr>
          <w:rFonts w:eastAsiaTheme="minorHAnsi"/>
        </w:rPr>
        <w:t xml:space="preserve">, </w:t>
      </w:r>
      <w:proofErr w:type="spellStart"/>
      <w:r w:rsidR="00406524" w:rsidRPr="007500F6">
        <w:rPr>
          <w:rFonts w:eastAsiaTheme="minorHAnsi"/>
        </w:rPr>
        <w:t>Tradewinds</w:t>
      </w:r>
      <w:proofErr w:type="spellEnd"/>
      <w:r w:rsidR="00406524" w:rsidRPr="007500F6">
        <w:rPr>
          <w:rFonts w:eastAsiaTheme="minorHAnsi"/>
        </w:rPr>
        <w:t>, and The Woods 2016-2018 Annual Reports, and staff calculations.</w:t>
      </w:r>
    </w:p>
    <w:p w:rsidR="00406524" w:rsidRPr="00406524" w:rsidRDefault="00406524" w:rsidP="007E1627">
      <w:pPr>
        <w:jc w:val="both"/>
        <w:rPr>
          <w:rFonts w:eastAsiaTheme="minorHAnsi"/>
          <w:color w:val="121212"/>
        </w:rPr>
      </w:pPr>
    </w:p>
    <w:p w:rsidR="00406524" w:rsidRPr="00880F23" w:rsidRDefault="00406524" w:rsidP="00406524">
      <w:pPr>
        <w:spacing w:after="200"/>
        <w:jc w:val="both"/>
        <w:rPr>
          <w:rFonts w:eastAsiaTheme="minorHAnsi"/>
        </w:rPr>
      </w:pPr>
      <w:r w:rsidRPr="00880F23">
        <w:rPr>
          <w:rFonts w:eastAsiaTheme="minorHAnsi"/>
        </w:rPr>
        <w:t>Additional support offered by the Utility included the “2016 American Water Works Association Benchmarking Performance Indicators for Water and Wastewater” (</w:t>
      </w:r>
      <w:proofErr w:type="spellStart"/>
      <w:r w:rsidRPr="00880F23">
        <w:rPr>
          <w:rFonts w:eastAsiaTheme="minorHAnsi"/>
        </w:rPr>
        <w:t>AWWA</w:t>
      </w:r>
      <w:proofErr w:type="spellEnd"/>
      <w:r w:rsidRPr="00880F23">
        <w:rPr>
          <w:rFonts w:eastAsiaTheme="minorHAnsi"/>
        </w:rPr>
        <w:t xml:space="preserve"> Benchmark) and an independent third-party contract and benchmarking review commissioned by the Florida Governmental Utility Authority (</w:t>
      </w:r>
      <w:proofErr w:type="spellStart"/>
      <w:r w:rsidRPr="00880F23">
        <w:rPr>
          <w:rFonts w:eastAsiaTheme="minorHAnsi"/>
        </w:rPr>
        <w:t>FGUA</w:t>
      </w:r>
      <w:proofErr w:type="spellEnd"/>
      <w:r w:rsidRPr="00880F23">
        <w:rPr>
          <w:rFonts w:eastAsiaTheme="minorHAnsi"/>
        </w:rPr>
        <w:t xml:space="preserve">), which was issued in 2013. According to the </w:t>
      </w:r>
      <w:proofErr w:type="spellStart"/>
      <w:r w:rsidRPr="00880F23">
        <w:rPr>
          <w:rFonts w:eastAsiaTheme="minorHAnsi"/>
        </w:rPr>
        <w:t>AWWA</w:t>
      </w:r>
      <w:proofErr w:type="spellEnd"/>
      <w:r w:rsidRPr="00880F23">
        <w:rPr>
          <w:rFonts w:eastAsiaTheme="minorHAnsi"/>
        </w:rPr>
        <w:t xml:space="preserve"> Benchmark, the median </w:t>
      </w:r>
      <w:proofErr w:type="spellStart"/>
      <w:r w:rsidRPr="00880F23">
        <w:rPr>
          <w:rFonts w:eastAsiaTheme="minorHAnsi"/>
        </w:rPr>
        <w:t>O&amp;M</w:t>
      </w:r>
      <w:proofErr w:type="spellEnd"/>
      <w:r w:rsidRPr="00880F23">
        <w:rPr>
          <w:rFonts w:eastAsiaTheme="minorHAnsi"/>
        </w:rPr>
        <w:t xml:space="preserve"> expense per account of the 44 water companies surveyed is $430.71, including customer service costs, with a range from $331.25 to $639.82.</w:t>
      </w:r>
      <w:r w:rsidR="00F85390">
        <w:rPr>
          <w:rFonts w:eastAsiaTheme="minorHAnsi"/>
        </w:rPr>
        <w:t xml:space="preserve"> Compared to the results of this analysis, while the recommended </w:t>
      </w:r>
      <w:proofErr w:type="spellStart"/>
      <w:r w:rsidR="00F85390">
        <w:rPr>
          <w:rFonts w:eastAsiaTheme="minorHAnsi"/>
        </w:rPr>
        <w:t>O&amp;M</w:t>
      </w:r>
      <w:proofErr w:type="spellEnd"/>
      <w:r w:rsidR="00F85390">
        <w:rPr>
          <w:rFonts w:eastAsiaTheme="minorHAnsi"/>
        </w:rPr>
        <w:t xml:space="preserve"> per </w:t>
      </w:r>
      <w:proofErr w:type="spellStart"/>
      <w:r w:rsidR="00F85390">
        <w:rPr>
          <w:rFonts w:eastAsiaTheme="minorHAnsi"/>
        </w:rPr>
        <w:t>ERC</w:t>
      </w:r>
      <w:proofErr w:type="spellEnd"/>
      <w:r w:rsidR="00270E39">
        <w:rPr>
          <w:rFonts w:eastAsiaTheme="minorHAnsi"/>
        </w:rPr>
        <w:t xml:space="preserve"> of</w:t>
      </w:r>
      <w:r w:rsidR="00F85390">
        <w:rPr>
          <w:rFonts w:eastAsiaTheme="minorHAnsi"/>
        </w:rPr>
        <w:t xml:space="preserve"> $490 is above the average, it is well within the range of $331 to $640. </w:t>
      </w:r>
    </w:p>
    <w:p w:rsidR="00406524" w:rsidRPr="00E365FD" w:rsidRDefault="00406524" w:rsidP="00406524">
      <w:pPr>
        <w:spacing w:after="200"/>
        <w:jc w:val="both"/>
        <w:rPr>
          <w:rFonts w:eastAsiaTheme="minorHAnsi"/>
          <w:color w:val="000000" w:themeColor="text1"/>
        </w:rPr>
      </w:pPr>
      <w:r w:rsidRPr="00E365FD">
        <w:rPr>
          <w:rFonts w:eastAsiaTheme="minorHAnsi"/>
          <w:color w:val="000000" w:themeColor="text1"/>
        </w:rPr>
        <w:t xml:space="preserve">The contract and benchmarking review commissioned by </w:t>
      </w:r>
      <w:proofErr w:type="spellStart"/>
      <w:r w:rsidRPr="00E365FD">
        <w:rPr>
          <w:rFonts w:eastAsiaTheme="minorHAnsi"/>
          <w:color w:val="000000" w:themeColor="text1"/>
        </w:rPr>
        <w:t>FGUA</w:t>
      </w:r>
      <w:proofErr w:type="spellEnd"/>
      <w:r w:rsidRPr="00E365FD">
        <w:rPr>
          <w:rFonts w:eastAsiaTheme="minorHAnsi"/>
          <w:color w:val="000000" w:themeColor="text1"/>
        </w:rPr>
        <w:t xml:space="preserve"> was undertaken to review charges by </w:t>
      </w:r>
      <w:proofErr w:type="spellStart"/>
      <w:r w:rsidRPr="00E365FD">
        <w:rPr>
          <w:rFonts w:eastAsiaTheme="minorHAnsi"/>
          <w:color w:val="000000" w:themeColor="text1"/>
        </w:rPr>
        <w:t>USWSC</w:t>
      </w:r>
      <w:proofErr w:type="spellEnd"/>
      <w:r w:rsidRPr="00E365FD">
        <w:rPr>
          <w:rFonts w:eastAsiaTheme="minorHAnsi"/>
          <w:color w:val="000000" w:themeColor="text1"/>
        </w:rPr>
        <w:t xml:space="preserve"> in comparison to similar water utilities throughout the United States. The </w:t>
      </w:r>
      <w:proofErr w:type="spellStart"/>
      <w:r w:rsidRPr="00E365FD">
        <w:rPr>
          <w:rFonts w:eastAsiaTheme="minorHAnsi"/>
          <w:color w:val="000000" w:themeColor="text1"/>
        </w:rPr>
        <w:t>FGUA</w:t>
      </w:r>
      <w:proofErr w:type="spellEnd"/>
      <w:r w:rsidRPr="00E365FD">
        <w:rPr>
          <w:rFonts w:eastAsiaTheme="minorHAnsi"/>
          <w:color w:val="000000" w:themeColor="text1"/>
        </w:rPr>
        <w:t xml:space="preserve"> study concluded that the </w:t>
      </w:r>
      <w:proofErr w:type="spellStart"/>
      <w:r w:rsidRPr="00E365FD">
        <w:rPr>
          <w:rFonts w:eastAsiaTheme="minorHAnsi"/>
          <w:color w:val="000000" w:themeColor="text1"/>
        </w:rPr>
        <w:t>USWSC</w:t>
      </w:r>
      <w:proofErr w:type="spellEnd"/>
      <w:r w:rsidRPr="00E365FD">
        <w:rPr>
          <w:rFonts w:eastAsiaTheme="minorHAnsi"/>
          <w:color w:val="000000" w:themeColor="text1"/>
        </w:rPr>
        <w:t xml:space="preserve"> costs on a per account basis fell within the top quartile (lower cost) of other utilities.</w:t>
      </w:r>
      <w:r w:rsidRPr="00E365FD">
        <w:rPr>
          <w:rFonts w:eastAsiaTheme="minorHAnsi"/>
          <w:color w:val="000000" w:themeColor="text1"/>
          <w:vertAlign w:val="superscript"/>
        </w:rPr>
        <w:footnoteReference w:id="17"/>
      </w:r>
      <w:r w:rsidRPr="00E365FD">
        <w:rPr>
          <w:rFonts w:eastAsiaTheme="minorHAnsi"/>
          <w:color w:val="000000" w:themeColor="text1"/>
        </w:rPr>
        <w:t xml:space="preserve"> While the Utility represented that there was a flaw in the data presented in the 2013 study, staff’s greater concern is the age of some of the underlying data, which can be tied to </w:t>
      </w:r>
      <w:proofErr w:type="spellStart"/>
      <w:r w:rsidRPr="00E365FD">
        <w:rPr>
          <w:rFonts w:eastAsiaTheme="minorHAnsi"/>
          <w:color w:val="000000" w:themeColor="text1"/>
        </w:rPr>
        <w:t>AWWA’s</w:t>
      </w:r>
      <w:proofErr w:type="spellEnd"/>
      <w:r w:rsidRPr="00E365FD">
        <w:rPr>
          <w:rFonts w:eastAsiaTheme="minorHAnsi"/>
          <w:color w:val="000000" w:themeColor="text1"/>
        </w:rPr>
        <w:t xml:space="preserve"> 2011 Benchmarking Performance Indicators. As such, staff believes that the 2016 Benchmarking Performance Indicators are a more appropriate reference point.</w:t>
      </w:r>
    </w:p>
    <w:p w:rsidR="00F85390" w:rsidRDefault="00406524" w:rsidP="00406524">
      <w:pPr>
        <w:spacing w:after="200"/>
        <w:jc w:val="both"/>
        <w:rPr>
          <w:rFonts w:eastAsiaTheme="minorHAnsi" w:cstheme="minorBidi"/>
        </w:rPr>
      </w:pPr>
      <w:r w:rsidRPr="00406524">
        <w:rPr>
          <w:rFonts w:eastAsiaTheme="minorHAnsi"/>
        </w:rPr>
        <w:t xml:space="preserve">Staff also compared The Woods to five “sister” water utilities that had a rate case approved in the last five years by calculating a three-year average </w:t>
      </w:r>
      <w:proofErr w:type="spellStart"/>
      <w:r w:rsidRPr="00406524">
        <w:rPr>
          <w:rFonts w:eastAsiaTheme="minorHAnsi"/>
        </w:rPr>
        <w:t>O&amp;M</w:t>
      </w:r>
      <w:proofErr w:type="spellEnd"/>
      <w:r w:rsidRPr="00406524">
        <w:rPr>
          <w:rFonts w:eastAsiaTheme="minorHAnsi"/>
        </w:rPr>
        <w:t xml:space="preserve"> per </w:t>
      </w:r>
      <w:proofErr w:type="spellStart"/>
      <w:r w:rsidRPr="00406524">
        <w:rPr>
          <w:rFonts w:eastAsiaTheme="minorHAnsi"/>
        </w:rPr>
        <w:t>ERC</w:t>
      </w:r>
      <w:proofErr w:type="spellEnd"/>
      <w:r w:rsidRPr="00406524">
        <w:rPr>
          <w:rFonts w:eastAsiaTheme="minorHAnsi"/>
        </w:rPr>
        <w:t xml:space="preserve"> expense using information contained in each utility’s 2016, 2017, and 2018 Annual Reports.</w:t>
      </w:r>
      <w:r w:rsidRPr="00406524">
        <w:rPr>
          <w:rFonts w:eastAsiaTheme="minorHAnsi"/>
          <w:vertAlign w:val="superscript"/>
        </w:rPr>
        <w:footnoteReference w:id="18"/>
      </w:r>
      <w:r w:rsidRPr="00406524">
        <w:rPr>
          <w:rFonts w:eastAsiaTheme="minorHAnsi"/>
        </w:rPr>
        <w:t xml:space="preserve"> Staff then compared The Woods to five non-U.S. Water affiliated water utilities using the same criteria.</w:t>
      </w:r>
      <w:r w:rsidRPr="00406524">
        <w:rPr>
          <w:rFonts w:eastAsiaTheme="minorHAnsi"/>
          <w:vertAlign w:val="superscript"/>
        </w:rPr>
        <w:footnoteReference w:id="19"/>
      </w:r>
      <w:r w:rsidRPr="00406524">
        <w:rPr>
          <w:rFonts w:eastAsiaTheme="minorHAnsi"/>
        </w:rPr>
        <w:t xml:space="preserve"> </w:t>
      </w:r>
      <w:r w:rsidRPr="00406524">
        <w:rPr>
          <w:rFonts w:eastAsiaTheme="minorHAnsi" w:cstheme="minorBidi"/>
        </w:rPr>
        <w:t xml:space="preserve">Table </w:t>
      </w:r>
      <w:r w:rsidR="00F43A90">
        <w:rPr>
          <w:rFonts w:eastAsiaTheme="minorHAnsi" w:cstheme="minorBidi"/>
        </w:rPr>
        <w:t>7</w:t>
      </w:r>
      <w:r w:rsidRPr="00406524">
        <w:rPr>
          <w:rFonts w:eastAsiaTheme="minorHAnsi" w:cstheme="minorBidi"/>
        </w:rPr>
        <w:t xml:space="preserve">-2 reflects the comparative </w:t>
      </w:r>
      <w:r w:rsidRPr="00406524">
        <w:rPr>
          <w:rFonts w:eastAsiaTheme="minorHAnsi"/>
        </w:rPr>
        <w:t xml:space="preserve">average </w:t>
      </w:r>
      <w:proofErr w:type="spellStart"/>
      <w:r w:rsidRPr="00406524">
        <w:rPr>
          <w:rFonts w:eastAsiaTheme="minorHAnsi"/>
        </w:rPr>
        <w:t>O&amp;M</w:t>
      </w:r>
      <w:proofErr w:type="spellEnd"/>
      <w:r w:rsidRPr="00406524">
        <w:rPr>
          <w:rFonts w:eastAsiaTheme="minorHAnsi"/>
        </w:rPr>
        <w:t xml:space="preserve"> expense per </w:t>
      </w:r>
      <w:proofErr w:type="spellStart"/>
      <w:r w:rsidRPr="00406524">
        <w:rPr>
          <w:rFonts w:eastAsiaTheme="minorHAnsi"/>
        </w:rPr>
        <w:t>ERC</w:t>
      </w:r>
      <w:proofErr w:type="spellEnd"/>
      <w:r w:rsidRPr="00406524">
        <w:rPr>
          <w:rFonts w:eastAsiaTheme="minorHAnsi" w:cstheme="minorBidi"/>
        </w:rPr>
        <w:t xml:space="preserve"> for The Woods, its U.S. Water sister</w:t>
      </w:r>
      <w:r w:rsidR="004B54B1">
        <w:rPr>
          <w:rFonts w:eastAsiaTheme="minorHAnsi" w:cstheme="minorBidi"/>
        </w:rPr>
        <w:t xml:space="preserve"> utilities</w:t>
      </w:r>
      <w:r w:rsidRPr="00406524">
        <w:rPr>
          <w:rFonts w:eastAsiaTheme="minorHAnsi" w:cstheme="minorBidi"/>
        </w:rPr>
        <w:t>, and non-</w:t>
      </w:r>
      <w:r w:rsidR="0019642A">
        <w:rPr>
          <w:rFonts w:eastAsiaTheme="minorHAnsi" w:cstheme="minorBidi"/>
        </w:rPr>
        <w:t>U.S. Water</w:t>
      </w:r>
      <w:r w:rsidRPr="00406524">
        <w:rPr>
          <w:rFonts w:eastAsiaTheme="minorHAnsi" w:cstheme="minorBidi"/>
        </w:rPr>
        <w:t xml:space="preserve"> utilities. </w:t>
      </w:r>
      <w:r w:rsidR="00F85390">
        <w:rPr>
          <w:rFonts w:eastAsiaTheme="minorHAnsi" w:cstheme="minorBidi"/>
        </w:rPr>
        <w:t xml:space="preserve">As shown in Table 7.2 below, while </w:t>
      </w:r>
      <w:r w:rsidRPr="00406524">
        <w:rPr>
          <w:rFonts w:eastAsiaTheme="minorHAnsi" w:cstheme="minorBidi"/>
        </w:rPr>
        <w:t xml:space="preserve">the </w:t>
      </w:r>
      <w:r w:rsidRPr="00406524">
        <w:rPr>
          <w:rFonts w:eastAsiaTheme="minorHAnsi"/>
        </w:rPr>
        <w:t xml:space="preserve">average </w:t>
      </w:r>
      <w:proofErr w:type="spellStart"/>
      <w:r w:rsidRPr="00406524">
        <w:rPr>
          <w:rFonts w:eastAsiaTheme="minorHAnsi"/>
        </w:rPr>
        <w:t>O&amp;M</w:t>
      </w:r>
      <w:proofErr w:type="spellEnd"/>
      <w:r w:rsidRPr="00406524">
        <w:rPr>
          <w:rFonts w:eastAsiaTheme="minorHAnsi"/>
        </w:rPr>
        <w:t xml:space="preserve"> expense per </w:t>
      </w:r>
      <w:proofErr w:type="spellStart"/>
      <w:r w:rsidRPr="00406524">
        <w:rPr>
          <w:rFonts w:eastAsiaTheme="minorHAnsi"/>
        </w:rPr>
        <w:t>ERC</w:t>
      </w:r>
      <w:proofErr w:type="spellEnd"/>
      <w:r w:rsidRPr="00406524">
        <w:rPr>
          <w:rFonts w:eastAsiaTheme="minorHAnsi"/>
        </w:rPr>
        <w:t xml:space="preserve"> incorporated in</w:t>
      </w:r>
      <w:r w:rsidRPr="00406524">
        <w:rPr>
          <w:rFonts w:eastAsiaTheme="minorHAnsi" w:cstheme="minorBidi"/>
        </w:rPr>
        <w:t xml:space="preserve"> staff’s</w:t>
      </w:r>
      <w:r w:rsidR="009E2533">
        <w:rPr>
          <w:rFonts w:eastAsiaTheme="minorHAnsi" w:cstheme="minorBidi"/>
        </w:rPr>
        <w:t xml:space="preserve"> recommended</w:t>
      </w:r>
      <w:r w:rsidRPr="00406524">
        <w:rPr>
          <w:rFonts w:eastAsiaTheme="minorHAnsi" w:cstheme="minorBidi"/>
        </w:rPr>
        <w:t xml:space="preserve"> water revenue requirements </w:t>
      </w:r>
      <w:r w:rsidR="00F85390">
        <w:rPr>
          <w:rFonts w:eastAsiaTheme="minorHAnsi" w:cstheme="minorBidi"/>
        </w:rPr>
        <w:t xml:space="preserve">is greater than the average for U.S. Water system utilities, it is comparable to the average level at other utilities that are not served by a </w:t>
      </w:r>
      <w:proofErr w:type="spellStart"/>
      <w:r w:rsidR="00F85390">
        <w:rPr>
          <w:rFonts w:eastAsiaTheme="minorHAnsi" w:cstheme="minorBidi"/>
        </w:rPr>
        <w:t>USWSC</w:t>
      </w:r>
      <w:proofErr w:type="spellEnd"/>
      <w:r w:rsidR="00F85390">
        <w:rPr>
          <w:rFonts w:eastAsiaTheme="minorHAnsi" w:cstheme="minorBidi"/>
        </w:rPr>
        <w:t xml:space="preserve"> contract. </w:t>
      </w:r>
    </w:p>
    <w:p w:rsidR="00F85390" w:rsidRDefault="00F85390" w:rsidP="00406524">
      <w:pPr>
        <w:spacing w:after="200"/>
        <w:jc w:val="both"/>
        <w:rPr>
          <w:rFonts w:eastAsiaTheme="minorHAnsi" w:cstheme="minorBidi"/>
        </w:rPr>
      </w:pPr>
    </w:p>
    <w:p w:rsidR="007E1627" w:rsidRDefault="007E1627" w:rsidP="00406524">
      <w:pPr>
        <w:spacing w:after="200"/>
        <w:jc w:val="both"/>
        <w:rPr>
          <w:rFonts w:eastAsiaTheme="minorHAnsi" w:cstheme="minorBidi"/>
        </w:rPr>
      </w:pPr>
    </w:p>
    <w:p w:rsidR="00406524" w:rsidRPr="00406524" w:rsidRDefault="00406524" w:rsidP="00406524">
      <w:pPr>
        <w:spacing w:after="200"/>
        <w:jc w:val="both"/>
        <w:rPr>
          <w:rFonts w:eastAsiaTheme="minorHAnsi" w:cstheme="minorBidi"/>
        </w:rPr>
      </w:pPr>
      <w:r w:rsidRPr="00406524">
        <w:rPr>
          <w:rFonts w:eastAsiaTheme="minorHAnsi" w:cstheme="minorBidi"/>
        </w:rPr>
        <w:t xml:space="preserve">  </w:t>
      </w:r>
    </w:p>
    <w:p w:rsidR="00406524" w:rsidRPr="004B54B1" w:rsidRDefault="00467D4E" w:rsidP="00406524">
      <w:pPr>
        <w:jc w:val="center"/>
        <w:rPr>
          <w:rFonts w:ascii="Arial" w:eastAsiaTheme="minorHAnsi" w:hAnsi="Arial" w:cs="Arial"/>
          <w:b/>
          <w:szCs w:val="22"/>
        </w:rPr>
      </w:pPr>
      <w:r w:rsidRPr="004B54B1">
        <w:rPr>
          <w:rFonts w:ascii="Arial" w:eastAsiaTheme="minorHAnsi" w:hAnsi="Arial" w:cs="Arial"/>
          <w:b/>
          <w:szCs w:val="22"/>
        </w:rPr>
        <w:lastRenderedPageBreak/>
        <w:t>Table 7</w:t>
      </w:r>
      <w:r w:rsidR="00406524" w:rsidRPr="004B54B1">
        <w:rPr>
          <w:rFonts w:ascii="Arial" w:eastAsiaTheme="minorHAnsi" w:hAnsi="Arial" w:cs="Arial"/>
          <w:b/>
          <w:szCs w:val="22"/>
        </w:rPr>
        <w:t>-2</w:t>
      </w:r>
    </w:p>
    <w:p w:rsidR="00406524" w:rsidRPr="004B54B1" w:rsidRDefault="00406524" w:rsidP="00406524">
      <w:pPr>
        <w:jc w:val="center"/>
        <w:rPr>
          <w:rFonts w:ascii="Arial" w:eastAsiaTheme="minorHAnsi" w:hAnsi="Arial" w:cs="Arial"/>
          <w:b/>
          <w:szCs w:val="22"/>
        </w:rPr>
      </w:pPr>
      <w:r w:rsidRPr="004B54B1">
        <w:rPr>
          <w:rFonts w:ascii="Arial" w:eastAsiaTheme="minorHAnsi" w:hAnsi="Arial" w:cs="Arial"/>
          <w:b/>
          <w:szCs w:val="22"/>
        </w:rPr>
        <w:t xml:space="preserve">Water </w:t>
      </w:r>
      <w:proofErr w:type="spellStart"/>
      <w:r w:rsidRPr="004B54B1">
        <w:rPr>
          <w:rFonts w:ascii="Arial" w:eastAsiaTheme="minorHAnsi" w:hAnsi="Arial" w:cs="Arial"/>
          <w:b/>
          <w:szCs w:val="22"/>
        </w:rPr>
        <w:t>O&amp;M</w:t>
      </w:r>
      <w:proofErr w:type="spellEnd"/>
      <w:r w:rsidRPr="004B54B1">
        <w:rPr>
          <w:rFonts w:ascii="Arial" w:eastAsiaTheme="minorHAnsi" w:hAnsi="Arial" w:cs="Arial"/>
          <w:b/>
          <w:szCs w:val="22"/>
        </w:rPr>
        <w:t xml:space="preserve"> Expense </w:t>
      </w:r>
      <w:proofErr w:type="gramStart"/>
      <w:r w:rsidRPr="004B54B1">
        <w:rPr>
          <w:rFonts w:ascii="Arial" w:eastAsiaTheme="minorHAnsi" w:hAnsi="Arial" w:cs="Arial"/>
          <w:b/>
          <w:szCs w:val="22"/>
        </w:rPr>
        <w:t>Per</w:t>
      </w:r>
      <w:proofErr w:type="gramEnd"/>
      <w:r w:rsidRPr="004B54B1">
        <w:rPr>
          <w:rFonts w:ascii="Arial" w:eastAsiaTheme="minorHAnsi" w:hAnsi="Arial" w:cs="Arial"/>
          <w:b/>
          <w:szCs w:val="22"/>
        </w:rPr>
        <w:t xml:space="preserve"> </w:t>
      </w:r>
      <w:proofErr w:type="spellStart"/>
      <w:r w:rsidRPr="004B54B1">
        <w:rPr>
          <w:rFonts w:ascii="Arial" w:eastAsiaTheme="minorHAnsi" w:hAnsi="Arial" w:cs="Arial"/>
          <w:b/>
          <w:szCs w:val="22"/>
        </w:rPr>
        <w:t>ERC</w:t>
      </w:r>
      <w:proofErr w:type="spellEnd"/>
    </w:p>
    <w:tbl>
      <w:tblPr>
        <w:tblStyle w:val="TableGrid2"/>
        <w:tblW w:w="0" w:type="auto"/>
        <w:jc w:val="center"/>
        <w:tblInd w:w="-557" w:type="dxa"/>
        <w:tblLook w:val="04A0" w:firstRow="1" w:lastRow="0" w:firstColumn="1" w:lastColumn="0" w:noHBand="0" w:noVBand="1"/>
      </w:tblPr>
      <w:tblGrid>
        <w:gridCol w:w="4061"/>
        <w:gridCol w:w="1901"/>
      </w:tblGrid>
      <w:tr w:rsidR="00406524" w:rsidRPr="004B54B1" w:rsidTr="004B6773">
        <w:trPr>
          <w:jc w:val="center"/>
        </w:trPr>
        <w:tc>
          <w:tcPr>
            <w:tcW w:w="4061" w:type="dxa"/>
          </w:tcPr>
          <w:p w:rsidR="00406524" w:rsidRPr="004B54B1" w:rsidRDefault="00406524" w:rsidP="00406524">
            <w:pPr>
              <w:jc w:val="center"/>
              <w:rPr>
                <w:rFonts w:ascii="Times New Roman" w:hAnsi="Times New Roman" w:cs="Times New Roman"/>
                <w:b/>
              </w:rPr>
            </w:pPr>
            <w:r w:rsidRPr="004B54B1">
              <w:rPr>
                <w:rFonts w:ascii="Times New Roman" w:hAnsi="Times New Roman" w:cs="Times New Roman"/>
                <w:b/>
              </w:rPr>
              <w:t>Utility</w:t>
            </w:r>
          </w:p>
        </w:tc>
        <w:tc>
          <w:tcPr>
            <w:tcW w:w="1901" w:type="dxa"/>
          </w:tcPr>
          <w:p w:rsidR="00406524" w:rsidRPr="004B54B1" w:rsidRDefault="00406524" w:rsidP="00406524">
            <w:pPr>
              <w:jc w:val="center"/>
              <w:rPr>
                <w:rFonts w:ascii="Times New Roman" w:hAnsi="Times New Roman" w:cs="Times New Roman"/>
                <w:b/>
              </w:rPr>
            </w:pPr>
            <w:proofErr w:type="spellStart"/>
            <w:r w:rsidRPr="004B54B1">
              <w:rPr>
                <w:rFonts w:ascii="Times New Roman" w:hAnsi="Times New Roman" w:cs="Times New Roman"/>
                <w:b/>
              </w:rPr>
              <w:t>O&amp;M</w:t>
            </w:r>
            <w:proofErr w:type="spellEnd"/>
            <w:r w:rsidRPr="004B54B1">
              <w:rPr>
                <w:rFonts w:ascii="Times New Roman" w:hAnsi="Times New Roman" w:cs="Times New Roman"/>
                <w:b/>
              </w:rPr>
              <w:t xml:space="preserve"> Exp./</w:t>
            </w:r>
            <w:proofErr w:type="spellStart"/>
            <w:r w:rsidRPr="004B54B1">
              <w:rPr>
                <w:rFonts w:ascii="Times New Roman" w:hAnsi="Times New Roman" w:cs="Times New Roman"/>
                <w:b/>
              </w:rPr>
              <w:t>ERC</w:t>
            </w:r>
            <w:proofErr w:type="spellEnd"/>
          </w:p>
        </w:tc>
      </w:tr>
      <w:tr w:rsidR="00406524" w:rsidRPr="004B54B1" w:rsidTr="004B6773">
        <w:trPr>
          <w:jc w:val="center"/>
        </w:trPr>
        <w:tc>
          <w:tcPr>
            <w:tcW w:w="4061" w:type="dxa"/>
          </w:tcPr>
          <w:p w:rsidR="00406524" w:rsidRPr="00551656" w:rsidRDefault="0019642A" w:rsidP="00406524">
            <w:pPr>
              <w:rPr>
                <w:rFonts w:ascii="Times New Roman" w:hAnsi="Times New Roman" w:cs="Times New Roman"/>
              </w:rPr>
            </w:pPr>
            <w:r w:rsidRPr="00551656">
              <w:rPr>
                <w:rFonts w:ascii="Times New Roman" w:hAnsi="Times New Roman" w:cs="Times New Roman"/>
              </w:rPr>
              <w:t>U.S. Water</w:t>
            </w:r>
            <w:r w:rsidR="00406524" w:rsidRPr="00551656">
              <w:rPr>
                <w:rFonts w:ascii="Times New Roman" w:hAnsi="Times New Roman" w:cs="Times New Roman"/>
              </w:rPr>
              <w:t xml:space="preserve"> Sister Utilities (3-Yr. Avg.)</w:t>
            </w:r>
          </w:p>
        </w:tc>
        <w:tc>
          <w:tcPr>
            <w:tcW w:w="1901" w:type="dxa"/>
          </w:tcPr>
          <w:p w:rsidR="00406524" w:rsidRPr="00551656" w:rsidRDefault="00406524" w:rsidP="00406524">
            <w:pPr>
              <w:jc w:val="center"/>
              <w:rPr>
                <w:rFonts w:ascii="Times New Roman" w:hAnsi="Times New Roman" w:cs="Times New Roman"/>
              </w:rPr>
            </w:pPr>
            <w:r w:rsidRPr="00551656">
              <w:rPr>
                <w:rFonts w:ascii="Times New Roman" w:hAnsi="Times New Roman" w:cs="Times New Roman"/>
              </w:rPr>
              <w:t>$306.60</w:t>
            </w:r>
          </w:p>
        </w:tc>
      </w:tr>
      <w:tr w:rsidR="00406524" w:rsidRPr="004B54B1" w:rsidTr="004B6773">
        <w:trPr>
          <w:jc w:val="center"/>
        </w:trPr>
        <w:tc>
          <w:tcPr>
            <w:tcW w:w="4061" w:type="dxa"/>
          </w:tcPr>
          <w:p w:rsidR="00406524" w:rsidRPr="00551656" w:rsidRDefault="00406524" w:rsidP="00406524">
            <w:pPr>
              <w:rPr>
                <w:rFonts w:ascii="Times New Roman" w:hAnsi="Times New Roman" w:cs="Times New Roman"/>
              </w:rPr>
            </w:pPr>
            <w:r w:rsidRPr="00551656">
              <w:rPr>
                <w:rFonts w:ascii="Times New Roman" w:hAnsi="Times New Roman" w:cs="Times New Roman"/>
              </w:rPr>
              <w:t>Non-</w:t>
            </w:r>
            <w:r w:rsidR="0019642A" w:rsidRPr="00551656">
              <w:rPr>
                <w:rFonts w:ascii="Times New Roman" w:hAnsi="Times New Roman" w:cs="Times New Roman"/>
              </w:rPr>
              <w:t>U.S. Water</w:t>
            </w:r>
            <w:r w:rsidRPr="00551656">
              <w:rPr>
                <w:rFonts w:ascii="Times New Roman" w:hAnsi="Times New Roman" w:cs="Times New Roman"/>
              </w:rPr>
              <w:t xml:space="preserve"> Utilities (3-Yr. Avg.)</w:t>
            </w:r>
          </w:p>
        </w:tc>
        <w:tc>
          <w:tcPr>
            <w:tcW w:w="1901" w:type="dxa"/>
          </w:tcPr>
          <w:p w:rsidR="00406524" w:rsidRPr="00551656" w:rsidRDefault="00406524" w:rsidP="00406524">
            <w:pPr>
              <w:jc w:val="center"/>
              <w:rPr>
                <w:rFonts w:ascii="Times New Roman" w:hAnsi="Times New Roman" w:cs="Times New Roman"/>
              </w:rPr>
            </w:pPr>
            <w:r w:rsidRPr="00551656">
              <w:rPr>
                <w:rFonts w:ascii="Times New Roman" w:hAnsi="Times New Roman" w:cs="Times New Roman"/>
              </w:rPr>
              <w:t>$486.71</w:t>
            </w:r>
          </w:p>
        </w:tc>
      </w:tr>
      <w:tr w:rsidR="00406524" w:rsidRPr="004B54B1" w:rsidTr="004B6773">
        <w:trPr>
          <w:jc w:val="center"/>
        </w:trPr>
        <w:tc>
          <w:tcPr>
            <w:tcW w:w="4061" w:type="dxa"/>
          </w:tcPr>
          <w:p w:rsidR="00406524" w:rsidRPr="00551656" w:rsidRDefault="00406524" w:rsidP="00406524">
            <w:pPr>
              <w:rPr>
                <w:rFonts w:ascii="Times New Roman" w:hAnsi="Times New Roman" w:cs="Times New Roman"/>
              </w:rPr>
            </w:pPr>
            <w:r w:rsidRPr="00551656">
              <w:rPr>
                <w:rFonts w:ascii="Times New Roman" w:hAnsi="Times New Roman" w:cs="Times New Roman"/>
              </w:rPr>
              <w:t xml:space="preserve">The Woods (Staff Recommended) </w:t>
            </w:r>
          </w:p>
        </w:tc>
        <w:tc>
          <w:tcPr>
            <w:tcW w:w="1901" w:type="dxa"/>
          </w:tcPr>
          <w:p w:rsidR="00406524" w:rsidRPr="00551656" w:rsidRDefault="0019642A" w:rsidP="00406524">
            <w:pPr>
              <w:jc w:val="center"/>
              <w:rPr>
                <w:rFonts w:ascii="Times New Roman" w:hAnsi="Times New Roman" w:cs="Times New Roman"/>
              </w:rPr>
            </w:pPr>
            <w:r w:rsidRPr="00551656">
              <w:rPr>
                <w:rFonts w:ascii="Times New Roman" w:hAnsi="Times New Roman" w:cs="Times New Roman"/>
              </w:rPr>
              <w:t>$489.52</w:t>
            </w:r>
          </w:p>
        </w:tc>
      </w:tr>
    </w:tbl>
    <w:p w:rsidR="00406524" w:rsidRPr="007500F6" w:rsidRDefault="00406524" w:rsidP="00406524">
      <w:pPr>
        <w:spacing w:after="200"/>
        <w:jc w:val="both"/>
        <w:rPr>
          <w:rFonts w:eastAsiaTheme="minorHAnsi" w:cstheme="minorBidi"/>
        </w:rPr>
      </w:pPr>
      <w:r w:rsidRPr="00406524">
        <w:rPr>
          <w:rFonts w:eastAsiaTheme="minorHAnsi" w:cstheme="minorBidi"/>
          <w:sz w:val="22"/>
          <w:szCs w:val="22"/>
        </w:rPr>
        <w:t xml:space="preserve">                               </w:t>
      </w:r>
      <w:r w:rsidRPr="007500F6">
        <w:rPr>
          <w:rFonts w:eastAsiaTheme="minorHAnsi" w:cstheme="minorBidi"/>
        </w:rPr>
        <w:t>Source: 2016-2018 Annual Reports and staff calculations.</w:t>
      </w:r>
    </w:p>
    <w:p w:rsidR="00406524" w:rsidRPr="00406524" w:rsidRDefault="00406524" w:rsidP="00406524">
      <w:pPr>
        <w:spacing w:after="200"/>
        <w:jc w:val="both"/>
        <w:rPr>
          <w:rFonts w:eastAsiaTheme="minorHAnsi"/>
        </w:rPr>
      </w:pPr>
      <w:r w:rsidRPr="00406524">
        <w:rPr>
          <w:rFonts w:eastAsiaTheme="minorHAnsi" w:cstheme="minorBidi"/>
        </w:rPr>
        <w:t xml:space="preserve">In the Gator </w:t>
      </w:r>
      <w:r w:rsidR="00031055">
        <w:rPr>
          <w:rFonts w:eastAsiaTheme="minorHAnsi" w:cstheme="minorBidi"/>
        </w:rPr>
        <w:t xml:space="preserve">Waterworks, Inc. </w:t>
      </w:r>
      <w:r w:rsidRPr="00406524">
        <w:rPr>
          <w:rFonts w:eastAsiaTheme="minorHAnsi" w:cstheme="minorBidi"/>
        </w:rPr>
        <w:t xml:space="preserve">and Merritt Island </w:t>
      </w:r>
      <w:r w:rsidR="00031055">
        <w:rPr>
          <w:rFonts w:eastAsiaTheme="minorHAnsi" w:cstheme="minorBidi"/>
        </w:rPr>
        <w:t xml:space="preserve">Utility Company </w:t>
      </w:r>
      <w:r w:rsidRPr="00406524">
        <w:rPr>
          <w:rFonts w:eastAsiaTheme="minorHAnsi" w:cstheme="minorBidi"/>
        </w:rPr>
        <w:t>staff recommendations which are scheduled for the same Co</w:t>
      </w:r>
      <w:r w:rsidR="00031055">
        <w:rPr>
          <w:rFonts w:eastAsiaTheme="minorHAnsi" w:cstheme="minorBidi"/>
        </w:rPr>
        <w:t>mmission Conference as this recommendation</w:t>
      </w:r>
      <w:r w:rsidRPr="00406524">
        <w:rPr>
          <w:rFonts w:eastAsiaTheme="minorHAnsi" w:cstheme="minorBidi"/>
        </w:rPr>
        <w:t xml:space="preserve">, staff recommended approval of the </w:t>
      </w:r>
      <w:r w:rsidRPr="00406524">
        <w:rPr>
          <w:rFonts w:eastAsiaTheme="minorHAnsi"/>
        </w:rPr>
        <w:t xml:space="preserve">contractual services agreement with </w:t>
      </w:r>
      <w:proofErr w:type="spellStart"/>
      <w:r w:rsidRPr="00406524">
        <w:rPr>
          <w:rFonts w:eastAsiaTheme="minorHAnsi"/>
        </w:rPr>
        <w:t>USWSC</w:t>
      </w:r>
      <w:proofErr w:type="spellEnd"/>
      <w:r w:rsidRPr="00406524">
        <w:rPr>
          <w:rFonts w:eastAsiaTheme="minorHAnsi"/>
        </w:rPr>
        <w:t xml:space="preserve">, based, in part, on comparisons to other utilities with similar agreements. The contractual services agreements in the Gator and Merritt Island dockets also appeared reasonable when compared to the </w:t>
      </w:r>
      <w:proofErr w:type="spellStart"/>
      <w:r w:rsidRPr="00406524">
        <w:rPr>
          <w:rFonts w:eastAsiaTheme="minorHAnsi"/>
        </w:rPr>
        <w:t>O&amp;M</w:t>
      </w:r>
      <w:proofErr w:type="spellEnd"/>
      <w:r w:rsidRPr="00406524">
        <w:rPr>
          <w:rFonts w:eastAsiaTheme="minorHAnsi"/>
        </w:rPr>
        <w:t xml:space="preserve"> expenses per </w:t>
      </w:r>
      <w:proofErr w:type="spellStart"/>
      <w:r w:rsidRPr="00406524">
        <w:rPr>
          <w:rFonts w:eastAsiaTheme="minorHAnsi"/>
        </w:rPr>
        <w:t>ERC</w:t>
      </w:r>
      <w:proofErr w:type="spellEnd"/>
      <w:r w:rsidRPr="00406524">
        <w:rPr>
          <w:rFonts w:eastAsiaTheme="minorHAnsi"/>
        </w:rPr>
        <w:t xml:space="preserve"> of industry peers as reflected in the </w:t>
      </w:r>
      <w:proofErr w:type="spellStart"/>
      <w:r w:rsidRPr="00406524">
        <w:rPr>
          <w:rFonts w:eastAsiaTheme="minorHAnsi"/>
        </w:rPr>
        <w:t>AWWA</w:t>
      </w:r>
      <w:proofErr w:type="spellEnd"/>
      <w:r w:rsidRPr="00406524">
        <w:rPr>
          <w:rFonts w:eastAsiaTheme="minorHAnsi"/>
        </w:rPr>
        <w:t xml:space="preserve"> Benchmark. </w:t>
      </w:r>
    </w:p>
    <w:p w:rsidR="00406524" w:rsidRPr="00406524" w:rsidRDefault="00406524" w:rsidP="00406524">
      <w:pPr>
        <w:spacing w:after="200"/>
        <w:jc w:val="both"/>
        <w:rPr>
          <w:rFonts w:eastAsiaTheme="minorHAnsi"/>
        </w:rPr>
      </w:pPr>
      <w:r w:rsidRPr="00406524">
        <w:rPr>
          <w:rFonts w:eastAsiaTheme="minorHAnsi"/>
        </w:rPr>
        <w:t xml:space="preserve">While staff provided similar comparisons for consistency, the water </w:t>
      </w:r>
      <w:proofErr w:type="spellStart"/>
      <w:r w:rsidRPr="00406524">
        <w:rPr>
          <w:rFonts w:eastAsiaTheme="minorHAnsi"/>
        </w:rPr>
        <w:t>O&amp;M</w:t>
      </w:r>
      <w:proofErr w:type="spellEnd"/>
      <w:r w:rsidRPr="00406524">
        <w:rPr>
          <w:rFonts w:eastAsiaTheme="minorHAnsi"/>
        </w:rPr>
        <w:t xml:space="preserve"> expense per </w:t>
      </w:r>
      <w:proofErr w:type="spellStart"/>
      <w:r w:rsidRPr="00406524">
        <w:rPr>
          <w:rFonts w:eastAsiaTheme="minorHAnsi"/>
        </w:rPr>
        <w:t>ERC</w:t>
      </w:r>
      <w:proofErr w:type="spellEnd"/>
      <w:r w:rsidRPr="00406524">
        <w:rPr>
          <w:rFonts w:eastAsiaTheme="minorHAnsi"/>
        </w:rPr>
        <w:t xml:space="preserve"> for The Woods is higher than other utilities with similar agreements due to its</w:t>
      </w:r>
      <w:r w:rsidR="004B54B1">
        <w:rPr>
          <w:rFonts w:eastAsiaTheme="minorHAnsi"/>
        </w:rPr>
        <w:t xml:space="preserve"> significantly</w:t>
      </w:r>
      <w:r w:rsidRPr="00406524">
        <w:rPr>
          <w:rFonts w:eastAsiaTheme="minorHAnsi"/>
        </w:rPr>
        <w:t xml:space="preserve"> small</w:t>
      </w:r>
      <w:r w:rsidR="004B54B1">
        <w:rPr>
          <w:rFonts w:eastAsiaTheme="minorHAnsi"/>
        </w:rPr>
        <w:t>er</w:t>
      </w:r>
      <w:r w:rsidRPr="00406524">
        <w:rPr>
          <w:rFonts w:eastAsiaTheme="minorHAnsi"/>
        </w:rPr>
        <w:t xml:space="preserve"> customer base. As referenced in Table </w:t>
      </w:r>
      <w:r w:rsidR="00F43A90">
        <w:rPr>
          <w:rFonts w:eastAsiaTheme="minorHAnsi"/>
        </w:rPr>
        <w:t>7</w:t>
      </w:r>
      <w:r w:rsidRPr="00406524">
        <w:rPr>
          <w:rFonts w:eastAsiaTheme="minorHAnsi"/>
        </w:rPr>
        <w:t xml:space="preserve">-1, </w:t>
      </w:r>
      <w:proofErr w:type="spellStart"/>
      <w:r w:rsidRPr="00406524">
        <w:rPr>
          <w:rFonts w:eastAsiaTheme="minorHAnsi"/>
        </w:rPr>
        <w:t>CFAT</w:t>
      </w:r>
      <w:proofErr w:type="spellEnd"/>
      <w:r w:rsidRPr="00406524">
        <w:rPr>
          <w:rFonts w:eastAsiaTheme="minorHAnsi"/>
        </w:rPr>
        <w:t xml:space="preserve"> has 227 </w:t>
      </w:r>
      <w:proofErr w:type="spellStart"/>
      <w:r w:rsidRPr="00406524">
        <w:rPr>
          <w:rFonts w:eastAsiaTheme="minorHAnsi"/>
        </w:rPr>
        <w:t>ERCs</w:t>
      </w:r>
      <w:proofErr w:type="spellEnd"/>
      <w:r w:rsidRPr="00406524">
        <w:rPr>
          <w:rFonts w:eastAsiaTheme="minorHAnsi"/>
        </w:rPr>
        <w:t xml:space="preserve"> and </w:t>
      </w:r>
      <w:proofErr w:type="spellStart"/>
      <w:r w:rsidRPr="00406524">
        <w:rPr>
          <w:rFonts w:eastAsiaTheme="minorHAnsi"/>
        </w:rPr>
        <w:t>Tradewinds</w:t>
      </w:r>
      <w:proofErr w:type="spellEnd"/>
      <w:r w:rsidRPr="00406524">
        <w:rPr>
          <w:rFonts w:eastAsiaTheme="minorHAnsi"/>
        </w:rPr>
        <w:t xml:space="preserve"> has 616 </w:t>
      </w:r>
      <w:proofErr w:type="spellStart"/>
      <w:r w:rsidRPr="00406524">
        <w:rPr>
          <w:rFonts w:eastAsiaTheme="minorHAnsi"/>
        </w:rPr>
        <w:t>ERCs</w:t>
      </w:r>
      <w:proofErr w:type="spellEnd"/>
      <w:r w:rsidRPr="00406524">
        <w:rPr>
          <w:rFonts w:eastAsiaTheme="minorHAnsi"/>
        </w:rPr>
        <w:t xml:space="preserve">, while The Woods has 59 </w:t>
      </w:r>
      <w:proofErr w:type="spellStart"/>
      <w:r w:rsidRPr="00406524">
        <w:rPr>
          <w:rFonts w:eastAsiaTheme="minorHAnsi"/>
        </w:rPr>
        <w:t>ERCs</w:t>
      </w:r>
      <w:proofErr w:type="spellEnd"/>
      <w:r w:rsidRPr="00406524">
        <w:rPr>
          <w:rFonts w:eastAsiaTheme="minorHAnsi"/>
        </w:rPr>
        <w:t xml:space="preserve">. In Table </w:t>
      </w:r>
      <w:r w:rsidR="004B54B1">
        <w:rPr>
          <w:rFonts w:eastAsiaTheme="minorHAnsi"/>
        </w:rPr>
        <w:t>7</w:t>
      </w:r>
      <w:r w:rsidRPr="00406524">
        <w:rPr>
          <w:rFonts w:eastAsiaTheme="minorHAnsi"/>
        </w:rPr>
        <w:t xml:space="preserve">-2, the sister utilities ranged from 72 to 481 </w:t>
      </w:r>
      <w:proofErr w:type="spellStart"/>
      <w:r w:rsidRPr="00406524">
        <w:rPr>
          <w:rFonts w:eastAsiaTheme="minorHAnsi"/>
        </w:rPr>
        <w:t>ERCs</w:t>
      </w:r>
      <w:proofErr w:type="spellEnd"/>
      <w:r w:rsidRPr="00406524">
        <w:rPr>
          <w:rFonts w:eastAsiaTheme="minorHAnsi"/>
        </w:rPr>
        <w:t xml:space="preserve"> and non-</w:t>
      </w:r>
      <w:r w:rsidR="0019642A">
        <w:rPr>
          <w:rFonts w:eastAsiaTheme="minorHAnsi"/>
        </w:rPr>
        <w:t>U.S. Water</w:t>
      </w:r>
      <w:r w:rsidRPr="00406524">
        <w:rPr>
          <w:rFonts w:eastAsiaTheme="minorHAnsi"/>
        </w:rPr>
        <w:t xml:space="preserve"> companies ranged from 73 to 517 </w:t>
      </w:r>
      <w:proofErr w:type="spellStart"/>
      <w:r w:rsidRPr="00406524">
        <w:rPr>
          <w:rFonts w:eastAsiaTheme="minorHAnsi"/>
        </w:rPr>
        <w:t>ERCs</w:t>
      </w:r>
      <w:proofErr w:type="spellEnd"/>
      <w:r w:rsidRPr="00406524">
        <w:rPr>
          <w:rFonts w:eastAsiaTheme="minorHAnsi"/>
        </w:rPr>
        <w:t xml:space="preserve">. For the same reason, The Woods is also higher than its industry peers as reflected in the </w:t>
      </w:r>
      <w:proofErr w:type="spellStart"/>
      <w:r w:rsidRPr="00406524">
        <w:rPr>
          <w:rFonts w:eastAsiaTheme="minorHAnsi"/>
        </w:rPr>
        <w:t>AWWA</w:t>
      </w:r>
      <w:proofErr w:type="spellEnd"/>
      <w:r w:rsidRPr="00406524">
        <w:rPr>
          <w:rFonts w:eastAsiaTheme="minorHAnsi"/>
        </w:rPr>
        <w:t xml:space="preserve"> Benchmark. Given the size of the Utility, staff believes it is necessary to go beyond the comparisons to determine the reasonableness of the </w:t>
      </w:r>
      <w:proofErr w:type="spellStart"/>
      <w:r w:rsidRPr="00406524">
        <w:rPr>
          <w:rFonts w:eastAsiaTheme="minorHAnsi"/>
        </w:rPr>
        <w:t>USWSC</w:t>
      </w:r>
      <w:proofErr w:type="spellEnd"/>
      <w:r w:rsidRPr="00406524">
        <w:rPr>
          <w:rFonts w:eastAsiaTheme="minorHAnsi"/>
        </w:rPr>
        <w:t xml:space="preserve"> contract in this docket. </w:t>
      </w:r>
    </w:p>
    <w:p w:rsidR="00406524" w:rsidRPr="00406524" w:rsidRDefault="00406524" w:rsidP="00406524">
      <w:pPr>
        <w:spacing w:after="200"/>
        <w:jc w:val="both"/>
        <w:rPr>
          <w:rFonts w:eastAsiaTheme="minorHAnsi"/>
        </w:rPr>
      </w:pPr>
      <w:r w:rsidRPr="00406524">
        <w:rPr>
          <w:rFonts w:eastAsiaTheme="minorHAnsi"/>
        </w:rPr>
        <w:t xml:space="preserve">Staff notes that the Commission previously approved similar </w:t>
      </w:r>
      <w:proofErr w:type="spellStart"/>
      <w:r w:rsidRPr="00406524">
        <w:rPr>
          <w:rFonts w:eastAsiaTheme="minorHAnsi"/>
        </w:rPr>
        <w:t>USWSC</w:t>
      </w:r>
      <w:proofErr w:type="spellEnd"/>
      <w:r w:rsidRPr="00406524">
        <w:rPr>
          <w:rFonts w:eastAsiaTheme="minorHAnsi"/>
        </w:rPr>
        <w:t xml:space="preserve"> agreements and related costs in prior cases involving nine of </w:t>
      </w:r>
      <w:r w:rsidRPr="00406524">
        <w:rPr>
          <w:rFonts w:eastAsiaTheme="minorHAnsi" w:cstheme="minorBidi"/>
          <w:szCs w:val="22"/>
        </w:rPr>
        <w:t>The Woods’</w:t>
      </w:r>
      <w:r w:rsidRPr="00406524">
        <w:rPr>
          <w:rFonts w:eastAsiaTheme="minorHAnsi"/>
        </w:rPr>
        <w:t xml:space="preserve"> sister utilities during eleven rate case proceedings.</w:t>
      </w:r>
      <w:r w:rsidRPr="00406524">
        <w:rPr>
          <w:rFonts w:eastAsiaTheme="minorHAnsi"/>
          <w:vertAlign w:val="superscript"/>
        </w:rPr>
        <w:footnoteReference w:id="20"/>
      </w:r>
      <w:r w:rsidRPr="00406524">
        <w:rPr>
          <w:rFonts w:eastAsiaTheme="minorHAnsi"/>
        </w:rPr>
        <w:t xml:space="preserve"> Two sister utilities, LP Waterworks, Inc. and Lakeside Waterworks, Inc., each had two </w:t>
      </w:r>
      <w:proofErr w:type="spellStart"/>
      <w:r w:rsidRPr="00406524">
        <w:rPr>
          <w:rFonts w:eastAsiaTheme="minorHAnsi"/>
        </w:rPr>
        <w:t>SARCs</w:t>
      </w:r>
      <w:proofErr w:type="spellEnd"/>
      <w:r w:rsidRPr="00406524">
        <w:rPr>
          <w:rFonts w:eastAsiaTheme="minorHAnsi"/>
        </w:rPr>
        <w:t xml:space="preserve"> in which th</w:t>
      </w:r>
      <w:r w:rsidR="00031055">
        <w:rPr>
          <w:rFonts w:eastAsiaTheme="minorHAnsi"/>
        </w:rPr>
        <w:t>e</w:t>
      </w:r>
      <w:r w:rsidRPr="00406524">
        <w:rPr>
          <w:rFonts w:eastAsiaTheme="minorHAnsi"/>
        </w:rPr>
        <w:t xml:space="preserve"> Commission reviewed and approved expenses related to </w:t>
      </w:r>
      <w:proofErr w:type="spellStart"/>
      <w:r w:rsidRPr="00406524">
        <w:rPr>
          <w:rFonts w:eastAsiaTheme="minorHAnsi"/>
        </w:rPr>
        <w:t>USWSC</w:t>
      </w:r>
      <w:proofErr w:type="spellEnd"/>
      <w:r w:rsidRPr="00406524">
        <w:rPr>
          <w:rFonts w:eastAsiaTheme="minorHAnsi"/>
        </w:rPr>
        <w:t xml:space="preserve"> management services contracts. In addition to The Woods, two additional sister utilities with </w:t>
      </w:r>
      <w:r w:rsidRPr="00406524">
        <w:rPr>
          <w:rFonts w:eastAsiaTheme="minorHAnsi"/>
        </w:rPr>
        <w:lastRenderedPageBreak/>
        <w:t xml:space="preserve">similar contracts have </w:t>
      </w:r>
      <w:proofErr w:type="spellStart"/>
      <w:r w:rsidRPr="00406524">
        <w:rPr>
          <w:rFonts w:eastAsiaTheme="minorHAnsi"/>
        </w:rPr>
        <w:t>SARCs</w:t>
      </w:r>
      <w:proofErr w:type="spellEnd"/>
      <w:r w:rsidRPr="00406524">
        <w:rPr>
          <w:rFonts w:eastAsiaTheme="minorHAnsi"/>
        </w:rPr>
        <w:t xml:space="preserve"> pending at this time,</w:t>
      </w:r>
      <w:r w:rsidRPr="00406524">
        <w:rPr>
          <w:rFonts w:eastAsiaTheme="minorHAnsi"/>
          <w:vertAlign w:val="superscript"/>
        </w:rPr>
        <w:footnoteReference w:id="21"/>
      </w:r>
      <w:r w:rsidRPr="00406524">
        <w:rPr>
          <w:rFonts w:eastAsiaTheme="minorHAnsi"/>
        </w:rPr>
        <w:t xml:space="preserve"> and a third has a file and suspend rate case pending.</w:t>
      </w:r>
      <w:r w:rsidRPr="00406524">
        <w:rPr>
          <w:rFonts w:eastAsiaTheme="minorHAnsi"/>
          <w:vertAlign w:val="superscript"/>
        </w:rPr>
        <w:footnoteReference w:id="22"/>
      </w:r>
    </w:p>
    <w:p w:rsidR="00406524" w:rsidRPr="00406524" w:rsidRDefault="00406524" w:rsidP="00406524">
      <w:pPr>
        <w:spacing w:after="200"/>
        <w:jc w:val="both"/>
        <w:rPr>
          <w:rFonts w:eastAsiaTheme="minorHAnsi" w:cstheme="minorBidi"/>
          <w:szCs w:val="22"/>
        </w:rPr>
      </w:pPr>
      <w:r w:rsidRPr="00406524">
        <w:rPr>
          <w:rFonts w:eastAsiaTheme="minorHAnsi" w:cstheme="minorBidi"/>
          <w:szCs w:val="22"/>
        </w:rPr>
        <w:t xml:space="preserve">In regard to the appropriateness of utility contracts with affiliated companies, the Utility cited </w:t>
      </w:r>
      <w:r w:rsidRPr="00406524">
        <w:rPr>
          <w:rFonts w:eastAsiaTheme="minorHAnsi" w:cstheme="minorBidi"/>
          <w:i/>
          <w:szCs w:val="22"/>
        </w:rPr>
        <w:t xml:space="preserve">GTE v. </w:t>
      </w:r>
      <w:proofErr w:type="spellStart"/>
      <w:r w:rsidRPr="00406524">
        <w:rPr>
          <w:rFonts w:eastAsiaTheme="minorHAnsi" w:cstheme="minorBidi"/>
          <w:i/>
          <w:szCs w:val="22"/>
        </w:rPr>
        <w:t>Deason</w:t>
      </w:r>
      <w:proofErr w:type="spellEnd"/>
      <w:r w:rsidRPr="00406524">
        <w:rPr>
          <w:rFonts w:eastAsiaTheme="minorHAnsi" w:cstheme="minorBidi"/>
          <w:szCs w:val="22"/>
        </w:rPr>
        <w:t xml:space="preserve">, 642 </w:t>
      </w:r>
      <w:proofErr w:type="gramStart"/>
      <w:r w:rsidRPr="00406524">
        <w:rPr>
          <w:rFonts w:eastAsiaTheme="minorHAnsi" w:cstheme="minorBidi"/>
          <w:szCs w:val="22"/>
        </w:rPr>
        <w:t>So</w:t>
      </w:r>
      <w:proofErr w:type="gramEnd"/>
      <w:r w:rsidRPr="00406524">
        <w:rPr>
          <w:rFonts w:eastAsiaTheme="minorHAnsi" w:cstheme="minorBidi"/>
          <w:szCs w:val="22"/>
        </w:rPr>
        <w:t xml:space="preserve">. </w:t>
      </w:r>
      <w:proofErr w:type="spellStart"/>
      <w:r w:rsidRPr="00406524">
        <w:rPr>
          <w:rFonts w:eastAsiaTheme="minorHAnsi" w:cstheme="minorBidi"/>
          <w:szCs w:val="22"/>
        </w:rPr>
        <w:t>2d</w:t>
      </w:r>
      <w:proofErr w:type="spellEnd"/>
      <w:r w:rsidRPr="00406524">
        <w:rPr>
          <w:rFonts w:eastAsiaTheme="minorHAnsi" w:cstheme="minorBidi"/>
          <w:szCs w:val="22"/>
        </w:rPr>
        <w:t xml:space="preserve"> 545 (Fla. 1994), in which the Florida Supreme Court stated:</w:t>
      </w:r>
    </w:p>
    <w:p w:rsidR="00406524" w:rsidRPr="00406524" w:rsidRDefault="00406524" w:rsidP="00406524">
      <w:pPr>
        <w:spacing w:after="200"/>
        <w:ind w:left="720" w:right="720"/>
        <w:jc w:val="both"/>
        <w:rPr>
          <w:rFonts w:eastAsiaTheme="minorHAnsi" w:cstheme="minorBidi"/>
          <w:szCs w:val="22"/>
        </w:rPr>
      </w:pPr>
      <w:r w:rsidRPr="00406524">
        <w:rPr>
          <w:rFonts w:eastAsiaTheme="minorHAnsi" w:cstheme="minorBidi"/>
          <w:szCs w:val="22"/>
        </w:rPr>
        <w:t>The mere fact that a utility is doing business with an affiliate does not mean that unfair or excess profits are being generated, without more. Charles F. Phillips, Jr.</w:t>
      </w:r>
      <w:r w:rsidR="003E33BF">
        <w:rPr>
          <w:rFonts w:eastAsiaTheme="minorHAnsi" w:cstheme="minorBidi"/>
          <w:szCs w:val="22"/>
        </w:rPr>
        <w:t>,</w:t>
      </w:r>
      <w:r w:rsidRPr="00406524">
        <w:rPr>
          <w:rFonts w:eastAsiaTheme="minorHAnsi" w:cstheme="minorBidi"/>
          <w:szCs w:val="22"/>
        </w:rPr>
        <w:t xml:space="preserve"> </w:t>
      </w:r>
      <w:proofErr w:type="gramStart"/>
      <w:r w:rsidRPr="00031055">
        <w:rPr>
          <w:rFonts w:eastAsiaTheme="minorHAnsi" w:cstheme="minorBidi"/>
          <w:i/>
          <w:szCs w:val="22"/>
        </w:rPr>
        <w:t>The</w:t>
      </w:r>
      <w:proofErr w:type="gramEnd"/>
      <w:r w:rsidRPr="00031055">
        <w:rPr>
          <w:rFonts w:eastAsiaTheme="minorHAnsi" w:cstheme="minorBidi"/>
          <w:i/>
          <w:szCs w:val="22"/>
        </w:rPr>
        <w:t xml:space="preserve"> Regulation of Public Utilities</w:t>
      </w:r>
      <w:r w:rsidRPr="00406524">
        <w:rPr>
          <w:rFonts w:eastAsiaTheme="minorHAnsi" w:cstheme="minorBidi"/>
          <w:szCs w:val="22"/>
        </w:rPr>
        <w:t xml:space="preserve"> 254-255 (1988). We believe the standard must be whether the transactions exceed the going market rate or otherwise inherently unfair . . . </w:t>
      </w:r>
      <w:r w:rsidR="004B6773">
        <w:rPr>
          <w:rFonts w:eastAsiaTheme="minorHAnsi" w:cstheme="minorBidi"/>
          <w:szCs w:val="22"/>
        </w:rPr>
        <w:t>[</w:t>
      </w:r>
      <w:proofErr w:type="spellStart"/>
      <w:r w:rsidRPr="00406524">
        <w:rPr>
          <w:rFonts w:eastAsiaTheme="minorHAnsi" w:cstheme="minorBidi"/>
          <w:szCs w:val="22"/>
        </w:rPr>
        <w:t>i</w:t>
      </w:r>
      <w:proofErr w:type="spellEnd"/>
      <w:r w:rsidR="004B6773">
        <w:rPr>
          <w:rFonts w:eastAsiaTheme="minorHAnsi" w:cstheme="minorBidi"/>
          <w:szCs w:val="22"/>
        </w:rPr>
        <w:t>]</w:t>
      </w:r>
      <w:r w:rsidRPr="00406524">
        <w:rPr>
          <w:rFonts w:eastAsiaTheme="minorHAnsi" w:cstheme="minorBidi"/>
          <w:szCs w:val="22"/>
        </w:rPr>
        <w:t>f the answer is “no</w:t>
      </w:r>
      <w:r w:rsidR="00031055">
        <w:rPr>
          <w:rFonts w:eastAsiaTheme="minorHAnsi" w:cstheme="minorBidi"/>
          <w:szCs w:val="22"/>
        </w:rPr>
        <w:t>,</w:t>
      </w:r>
      <w:r w:rsidRPr="00406524">
        <w:rPr>
          <w:rFonts w:eastAsiaTheme="minorHAnsi" w:cstheme="minorBidi"/>
          <w:szCs w:val="22"/>
        </w:rPr>
        <w:t>” then the PSC may not reject the utility’s position.</w:t>
      </w:r>
    </w:p>
    <w:p w:rsidR="00406524" w:rsidRPr="00406524" w:rsidRDefault="00AE44D1" w:rsidP="00406524">
      <w:pPr>
        <w:spacing w:after="200"/>
        <w:jc w:val="both"/>
        <w:rPr>
          <w:rFonts w:eastAsiaTheme="minorHAnsi"/>
        </w:rPr>
      </w:pPr>
      <w:r>
        <w:rPr>
          <w:rFonts w:eastAsiaTheme="minorHAnsi" w:cstheme="minorBidi"/>
        </w:rPr>
        <w:t xml:space="preserve">In the instant case, staff believes that the contract reflects the market conditions of the Utility’s service area. </w:t>
      </w:r>
      <w:r w:rsidR="00406524" w:rsidRPr="00406524">
        <w:rPr>
          <w:rFonts w:eastAsiaTheme="minorHAnsi" w:cstheme="minorBidi"/>
        </w:rPr>
        <w:t xml:space="preserve">Absent the </w:t>
      </w:r>
      <w:proofErr w:type="spellStart"/>
      <w:r w:rsidR="00406524" w:rsidRPr="00406524">
        <w:rPr>
          <w:rFonts w:eastAsiaTheme="minorHAnsi" w:cstheme="minorBidi"/>
        </w:rPr>
        <w:t>USWSC</w:t>
      </w:r>
      <w:proofErr w:type="spellEnd"/>
      <w:r w:rsidR="00406524" w:rsidRPr="00406524">
        <w:rPr>
          <w:rFonts w:eastAsiaTheme="minorHAnsi" w:cstheme="minorBidi"/>
        </w:rPr>
        <w:t xml:space="preserve"> contract, staff believes the costs to provide service would most likely be even higher.</w:t>
      </w:r>
      <w:r w:rsidR="007500F6">
        <w:rPr>
          <w:rFonts w:eastAsiaTheme="minorHAnsi" w:cstheme="minorBidi"/>
        </w:rPr>
        <w:t xml:space="preserve"> </w:t>
      </w:r>
      <w:r w:rsidR="00406524" w:rsidRPr="00406524">
        <w:rPr>
          <w:rFonts w:eastAsiaTheme="minorHAnsi"/>
        </w:rPr>
        <w:t xml:space="preserve">For the reasons discussed above, staff believes that </w:t>
      </w:r>
      <w:r w:rsidR="00406524" w:rsidRPr="00406524">
        <w:rPr>
          <w:rFonts w:eastAsiaTheme="minorHAnsi" w:cstheme="minorBidi"/>
          <w:szCs w:val="22"/>
        </w:rPr>
        <w:t xml:space="preserve">the Utility’s </w:t>
      </w:r>
      <w:r w:rsidR="00406524" w:rsidRPr="00406524">
        <w:rPr>
          <w:rFonts w:eastAsiaTheme="minorHAnsi"/>
        </w:rPr>
        <w:t xml:space="preserve">contract with </w:t>
      </w:r>
      <w:proofErr w:type="spellStart"/>
      <w:r w:rsidR="00406524" w:rsidRPr="00406524">
        <w:rPr>
          <w:rFonts w:eastAsiaTheme="minorHAnsi"/>
        </w:rPr>
        <w:t>USWSC</w:t>
      </w:r>
      <w:proofErr w:type="spellEnd"/>
      <w:r w:rsidR="00406524" w:rsidRPr="00406524">
        <w:rPr>
          <w:rFonts w:eastAsiaTheme="minorHAnsi"/>
        </w:rPr>
        <w:t xml:space="preserve"> is reasonable and the cost should be included for recovery in </w:t>
      </w:r>
      <w:r w:rsidR="00406524" w:rsidRPr="00406524">
        <w:rPr>
          <w:rFonts w:eastAsiaTheme="minorHAnsi" w:cstheme="minorBidi"/>
          <w:szCs w:val="22"/>
        </w:rPr>
        <w:t>the Utility</w:t>
      </w:r>
      <w:r w:rsidR="00406524" w:rsidRPr="00406524">
        <w:rPr>
          <w:rFonts w:eastAsiaTheme="minorHAnsi"/>
        </w:rPr>
        <w:t>’s proposed rates. Therefore, staff recommends test year contractual services - other expense of $18,560.</w:t>
      </w:r>
    </w:p>
    <w:p w:rsidR="00C17C77" w:rsidRDefault="00C17C77" w:rsidP="00C17C77">
      <w:pPr>
        <w:pStyle w:val="Second-LevelSubheading"/>
      </w:pPr>
      <w:r>
        <w:t xml:space="preserve">Insurance Expense (655) </w:t>
      </w:r>
    </w:p>
    <w:p w:rsidR="00C17C77" w:rsidRDefault="00C17C77" w:rsidP="00C17C77">
      <w:pPr>
        <w:pStyle w:val="BodyText"/>
      </w:pPr>
      <w:r>
        <w:t xml:space="preserve">The Utility recorded a test year insurance expense of $1,442 for water. Staff allocated this amount equally between water and wastewater. This policy relates to both the water and wastewater systems. Therefore, staff recommends an </w:t>
      </w:r>
      <w:r w:rsidR="009E2533">
        <w:t>i</w:t>
      </w:r>
      <w:r>
        <w:t xml:space="preserve">nsurance </w:t>
      </w:r>
      <w:r w:rsidR="009E2533">
        <w:t>e</w:t>
      </w:r>
      <w:r>
        <w:t>xpense of $721 ($1,442 ÷ 2)</w:t>
      </w:r>
      <w:r w:rsidR="00C802D6">
        <w:t>.</w:t>
      </w:r>
    </w:p>
    <w:p w:rsidR="00C17C77" w:rsidRDefault="00C17C77" w:rsidP="00C17C77">
      <w:pPr>
        <w:pStyle w:val="Second-LevelSubheading"/>
      </w:pPr>
      <w:r>
        <w:t>Rate Case Expense (665)</w:t>
      </w:r>
    </w:p>
    <w:p w:rsidR="00C17C77" w:rsidRDefault="00C17C77" w:rsidP="00C17C77">
      <w:pPr>
        <w:pStyle w:val="BodyText"/>
        <w:spacing w:after="0"/>
      </w:pPr>
      <w:r>
        <w:t>The Utility did not record a rate case expense in this account. Staff recommends a</w:t>
      </w:r>
      <w:r w:rsidR="00880F23">
        <w:t>n annual</w:t>
      </w:r>
      <w:r>
        <w:t xml:space="preserve"> rate case expense of $2</w:t>
      </w:r>
      <w:r w:rsidR="00406524">
        <w:t>16</w:t>
      </w:r>
      <w:r w:rsidR="007500F6">
        <w:t>.</w:t>
      </w:r>
    </w:p>
    <w:p w:rsidR="00C17C77" w:rsidRPr="00BF1607" w:rsidRDefault="00C17C77" w:rsidP="00C17C77">
      <w:pPr>
        <w:pStyle w:val="BodyText"/>
        <w:spacing w:after="0"/>
      </w:pPr>
    </w:p>
    <w:p w:rsidR="00C17C77" w:rsidRDefault="00C17C77" w:rsidP="00C17C77">
      <w:pPr>
        <w:pStyle w:val="Third-LevelSubheading"/>
      </w:pPr>
      <w:r>
        <w:t>Filing Fees and Customer Notices</w:t>
      </w:r>
    </w:p>
    <w:p w:rsidR="00C17C77" w:rsidRDefault="00122356" w:rsidP="00C17C77">
      <w:pPr>
        <w:pStyle w:val="BodyText"/>
        <w:rPr>
          <w:rFonts w:cstheme="minorHAnsi"/>
        </w:rPr>
      </w:pPr>
      <w:r w:rsidRPr="00122356">
        <w:rPr>
          <w:rFonts w:cstheme="minorHAnsi"/>
        </w:rPr>
        <w:t>The Utility paid a $1,000 rate case filing fee to be allocated 50 percent to water and 50 percent to wastewater.</w:t>
      </w:r>
      <w:r>
        <w:rPr>
          <w:rFonts w:cstheme="minorHAnsi"/>
        </w:rPr>
        <w:t xml:space="preserve"> </w:t>
      </w:r>
      <w:r w:rsidR="00C17C77">
        <w:rPr>
          <w:rFonts w:cstheme="minorHAnsi"/>
        </w:rPr>
        <w:t>The</w:t>
      </w:r>
      <w:r w:rsidR="00C17C77" w:rsidRPr="0089104A">
        <w:rPr>
          <w:rFonts w:cstheme="minorHAnsi"/>
        </w:rPr>
        <w:t xml:space="preserve"> Utility is required by Rule 25</w:t>
      </w:r>
      <w:r w:rsidR="00C17C77">
        <w:rPr>
          <w:rFonts w:cstheme="minorHAnsi"/>
        </w:rPr>
        <w:t>-</w:t>
      </w:r>
      <w:r w:rsidR="00C17C77" w:rsidRPr="0089104A">
        <w:rPr>
          <w:rFonts w:cstheme="minorHAnsi"/>
        </w:rPr>
        <w:t>22.0407, F.A.C., to provide notices of the customer meeting and notices of final rates in this case to its customers. For noticing, staff estimated $</w:t>
      </w:r>
      <w:r w:rsidR="00C17C77">
        <w:rPr>
          <w:rFonts w:cstheme="minorHAnsi"/>
        </w:rPr>
        <w:t>97</w:t>
      </w:r>
      <w:r w:rsidR="00C17C77" w:rsidRPr="0089104A">
        <w:rPr>
          <w:rFonts w:cstheme="minorHAnsi"/>
        </w:rPr>
        <w:t xml:space="preserve"> for postage expense, $</w:t>
      </w:r>
      <w:r w:rsidR="00C17C77">
        <w:rPr>
          <w:rFonts w:cstheme="minorHAnsi"/>
        </w:rPr>
        <w:t>59</w:t>
      </w:r>
      <w:r w:rsidR="00C17C77" w:rsidRPr="0089104A">
        <w:rPr>
          <w:rFonts w:cstheme="minorHAnsi"/>
        </w:rPr>
        <w:t xml:space="preserve"> for printing expense, and $</w:t>
      </w:r>
      <w:r w:rsidR="00C17C77">
        <w:rPr>
          <w:rFonts w:cstheme="minorHAnsi"/>
        </w:rPr>
        <w:t>9</w:t>
      </w:r>
      <w:r w:rsidR="00C17C77" w:rsidRPr="0089104A">
        <w:rPr>
          <w:rFonts w:cstheme="minorHAnsi"/>
        </w:rPr>
        <w:t xml:space="preserve"> for envelopes. This results in $</w:t>
      </w:r>
      <w:r w:rsidR="00C17C77">
        <w:rPr>
          <w:rFonts w:cstheme="minorHAnsi"/>
        </w:rPr>
        <w:t>165</w:t>
      </w:r>
      <w:r w:rsidR="00C17C77" w:rsidRPr="0089104A">
        <w:rPr>
          <w:rFonts w:cstheme="minorHAnsi"/>
        </w:rPr>
        <w:t xml:space="preserve"> </w:t>
      </w:r>
      <w:r w:rsidR="00C17C77">
        <w:rPr>
          <w:rFonts w:cstheme="minorHAnsi"/>
        </w:rPr>
        <w:t xml:space="preserve">in expense </w:t>
      </w:r>
      <w:r w:rsidR="00C17C77" w:rsidRPr="0089104A">
        <w:rPr>
          <w:rFonts w:cstheme="minorHAnsi"/>
        </w:rPr>
        <w:t>for the noticing requirement</w:t>
      </w:r>
      <w:r>
        <w:rPr>
          <w:rFonts w:cstheme="minorHAnsi"/>
        </w:rPr>
        <w:t>s</w:t>
      </w:r>
      <w:r w:rsidR="00102033">
        <w:rPr>
          <w:rFonts w:cstheme="minorHAnsi"/>
        </w:rPr>
        <w:t xml:space="preserve"> </w:t>
      </w:r>
      <w:r>
        <w:rPr>
          <w:rFonts w:cstheme="minorHAnsi"/>
        </w:rPr>
        <w:t>and a $500 filing fee</w:t>
      </w:r>
      <w:r w:rsidRPr="00122356">
        <w:t xml:space="preserve"> </w:t>
      </w:r>
      <w:r w:rsidRPr="00122356">
        <w:rPr>
          <w:rFonts w:cstheme="minorHAnsi"/>
        </w:rPr>
        <w:t>for the Utility</w:t>
      </w:r>
      <w:r w:rsidR="00C17C77">
        <w:rPr>
          <w:rFonts w:cstheme="minorHAnsi"/>
        </w:rPr>
        <w:t>.</w:t>
      </w:r>
      <w:r>
        <w:rPr>
          <w:rFonts w:cstheme="minorHAnsi"/>
        </w:rPr>
        <w:t xml:space="preserve"> </w:t>
      </w:r>
      <w:r w:rsidR="00C17C77">
        <w:rPr>
          <w:rFonts w:cstheme="minorHAnsi"/>
        </w:rPr>
        <w:t xml:space="preserve"> </w:t>
      </w:r>
    </w:p>
    <w:p w:rsidR="00C17C77" w:rsidRDefault="00C17C77" w:rsidP="00C17C77">
      <w:pPr>
        <w:pStyle w:val="Third-LevelSubheading"/>
      </w:pPr>
      <w:r>
        <w:t>Travel Expenses</w:t>
      </w:r>
    </w:p>
    <w:p w:rsidR="00C17C77" w:rsidRDefault="00C17C77" w:rsidP="00C17C77">
      <w:pPr>
        <w:pStyle w:val="BodyText"/>
        <w:rPr>
          <w:rFonts w:cstheme="minorHAnsi"/>
        </w:rPr>
      </w:pPr>
      <w:r>
        <w:rPr>
          <w:rFonts w:cstheme="minorHAnsi"/>
        </w:rPr>
        <w:t>Th</w:t>
      </w:r>
      <w:r w:rsidR="00802311">
        <w:rPr>
          <w:rFonts w:cstheme="minorHAnsi"/>
        </w:rPr>
        <w:t>e Utility did not record travel</w:t>
      </w:r>
      <w:r w:rsidR="0019642A">
        <w:rPr>
          <w:rFonts w:cstheme="minorHAnsi"/>
        </w:rPr>
        <w:t xml:space="preserve"> expense in the test year filing</w:t>
      </w:r>
      <w:r w:rsidR="00031055">
        <w:rPr>
          <w:rFonts w:cstheme="minorHAnsi"/>
        </w:rPr>
        <w:t>.</w:t>
      </w:r>
      <w:r w:rsidR="0019642A">
        <w:rPr>
          <w:rFonts w:cstheme="minorHAnsi"/>
        </w:rPr>
        <w:t xml:space="preserve"> </w:t>
      </w:r>
      <w:r w:rsidR="00031055">
        <w:rPr>
          <w:rFonts w:cstheme="minorHAnsi"/>
        </w:rPr>
        <w:t>T</w:t>
      </w:r>
      <w:r w:rsidR="0019642A">
        <w:rPr>
          <w:rFonts w:cstheme="minorHAnsi"/>
        </w:rPr>
        <w:t>herefore</w:t>
      </w:r>
      <w:r w:rsidR="00031055">
        <w:rPr>
          <w:rFonts w:cstheme="minorHAnsi"/>
        </w:rPr>
        <w:t>,</w:t>
      </w:r>
      <w:r w:rsidR="0019642A">
        <w:rPr>
          <w:rFonts w:cstheme="minorHAnsi"/>
        </w:rPr>
        <w:t xml:space="preserve"> staff has</w:t>
      </w:r>
      <w:r>
        <w:rPr>
          <w:rFonts w:cstheme="minorHAnsi"/>
        </w:rPr>
        <w:t xml:space="preserve"> allocated mileage reimbursement of $</w:t>
      </w:r>
      <w:r w:rsidR="00D40DEC">
        <w:rPr>
          <w:rFonts w:cstheme="minorHAnsi"/>
        </w:rPr>
        <w:t>68</w:t>
      </w:r>
      <w:r>
        <w:rPr>
          <w:rFonts w:cstheme="minorHAnsi"/>
        </w:rPr>
        <w:t xml:space="preserve"> for</w:t>
      </w:r>
      <w:r w:rsidRPr="0089104A">
        <w:rPr>
          <w:rFonts w:cstheme="minorHAnsi"/>
        </w:rPr>
        <w:t xml:space="preserve"> travel to attend the customer meeting</w:t>
      </w:r>
      <w:r w:rsidR="006401B5">
        <w:rPr>
          <w:rFonts w:cstheme="minorHAnsi"/>
        </w:rPr>
        <w:t>.</w:t>
      </w:r>
      <w:r>
        <w:rPr>
          <w:rFonts w:cstheme="minorHAnsi"/>
        </w:rPr>
        <w:t xml:space="preserve"> </w:t>
      </w:r>
      <w:r w:rsidR="006401B5" w:rsidRPr="006401B5">
        <w:rPr>
          <w:rFonts w:cstheme="minorHAnsi"/>
        </w:rPr>
        <w:t>Staff believes that the travel for the Commission Conference should be shared with Gator Waterworks, Inc.</w:t>
      </w:r>
      <w:r w:rsidR="007500F6">
        <w:rPr>
          <w:rFonts w:cstheme="minorHAnsi"/>
        </w:rPr>
        <w:t>,</w:t>
      </w:r>
      <w:r w:rsidR="006401B5" w:rsidRPr="006401B5">
        <w:rPr>
          <w:rFonts w:cstheme="minorHAnsi"/>
        </w:rPr>
        <w:t xml:space="preserve"> and The </w:t>
      </w:r>
      <w:r w:rsidR="006401B5">
        <w:rPr>
          <w:rFonts w:cstheme="minorHAnsi"/>
        </w:rPr>
        <w:t>Merritt Island Utility Company</w:t>
      </w:r>
      <w:r w:rsidR="006401B5" w:rsidRPr="006401B5">
        <w:rPr>
          <w:rFonts w:cstheme="minorHAnsi"/>
        </w:rPr>
        <w:t>. The</w:t>
      </w:r>
      <w:r w:rsidR="00031055">
        <w:rPr>
          <w:rFonts w:cstheme="minorHAnsi"/>
        </w:rPr>
        <w:t>se</w:t>
      </w:r>
      <w:r w:rsidR="006401B5" w:rsidRPr="006401B5">
        <w:rPr>
          <w:rFonts w:cstheme="minorHAnsi"/>
        </w:rPr>
        <w:t xml:space="preserve"> utilities are sister utilities of </w:t>
      </w:r>
      <w:r w:rsidR="006401B5">
        <w:rPr>
          <w:rFonts w:cstheme="minorHAnsi"/>
        </w:rPr>
        <w:t>The Woods</w:t>
      </w:r>
      <w:r w:rsidR="006401B5" w:rsidRPr="006401B5">
        <w:rPr>
          <w:rFonts w:cstheme="minorHAnsi"/>
        </w:rPr>
        <w:t xml:space="preserve"> which have </w:t>
      </w:r>
      <w:proofErr w:type="spellStart"/>
      <w:r w:rsidR="006401B5" w:rsidRPr="006401B5">
        <w:rPr>
          <w:rFonts w:cstheme="minorHAnsi"/>
        </w:rPr>
        <w:t>SARCs</w:t>
      </w:r>
      <w:proofErr w:type="spellEnd"/>
      <w:r w:rsidR="006401B5" w:rsidRPr="006401B5">
        <w:rPr>
          <w:rFonts w:cstheme="minorHAnsi"/>
        </w:rPr>
        <w:t xml:space="preserve"> scheduled for the same Commission Conference. As such, staff believes it is appropriate </w:t>
      </w:r>
      <w:r w:rsidR="006401B5" w:rsidRPr="006401B5">
        <w:rPr>
          <w:rFonts w:cstheme="minorHAnsi"/>
        </w:rPr>
        <w:lastRenderedPageBreak/>
        <w:t>to split travel costs to the Commission Conference equally between the three utilities,</w:t>
      </w:r>
      <w:r w:rsidR="006401B5">
        <w:rPr>
          <w:rFonts w:cstheme="minorHAnsi"/>
        </w:rPr>
        <w:t xml:space="preserve"> or $130 ($389 / 3) per utility, for a total of $</w:t>
      </w:r>
      <w:r w:rsidR="00D47ABA">
        <w:rPr>
          <w:rFonts w:cstheme="minorHAnsi"/>
        </w:rPr>
        <w:t>198</w:t>
      </w:r>
      <w:r w:rsidR="006401B5">
        <w:rPr>
          <w:rFonts w:cstheme="minorHAnsi"/>
        </w:rPr>
        <w:t xml:space="preserve"> ($</w:t>
      </w:r>
      <w:r w:rsidR="00D40DEC">
        <w:rPr>
          <w:rFonts w:cstheme="minorHAnsi"/>
        </w:rPr>
        <w:t>68</w:t>
      </w:r>
      <w:r>
        <w:rPr>
          <w:rFonts w:cstheme="minorHAnsi"/>
        </w:rPr>
        <w:t xml:space="preserve"> + $</w:t>
      </w:r>
      <w:r w:rsidR="006401B5">
        <w:rPr>
          <w:rFonts w:cstheme="minorHAnsi"/>
        </w:rPr>
        <w:t>130</w:t>
      </w:r>
      <w:r>
        <w:rPr>
          <w:rFonts w:cstheme="minorHAnsi"/>
        </w:rPr>
        <w:t>) for rate case travel expenses</w:t>
      </w:r>
      <w:r w:rsidRPr="0089104A">
        <w:rPr>
          <w:rFonts w:cstheme="minorHAnsi"/>
        </w:rPr>
        <w:t>.</w:t>
      </w:r>
      <w:r>
        <w:rPr>
          <w:rFonts w:cstheme="minorHAnsi"/>
        </w:rPr>
        <w:t xml:space="preserve"> </w:t>
      </w:r>
    </w:p>
    <w:p w:rsidR="00C17C77" w:rsidRDefault="00C17C77" w:rsidP="00C17C77">
      <w:pPr>
        <w:pStyle w:val="Third-LevelSubheading"/>
      </w:pPr>
      <w:r>
        <w:t>Rate Case Expense Amortization</w:t>
      </w:r>
    </w:p>
    <w:p w:rsidR="00C17C77" w:rsidRDefault="00C17C77" w:rsidP="00C17C77">
      <w:pPr>
        <w:spacing w:after="240"/>
        <w:jc w:val="both"/>
      </w:pPr>
      <w:r w:rsidRPr="0089104A">
        <w:rPr>
          <w:rFonts w:cstheme="minorHAnsi"/>
        </w:rPr>
        <w:t>Based on the above, staff recommends total rate case expense of $</w:t>
      </w:r>
      <w:r w:rsidR="0065102A">
        <w:rPr>
          <w:rFonts w:cstheme="minorHAnsi"/>
        </w:rPr>
        <w:t>86</w:t>
      </w:r>
      <w:r w:rsidR="00D40DEC">
        <w:rPr>
          <w:rFonts w:cstheme="minorHAnsi"/>
        </w:rPr>
        <w:t>4</w:t>
      </w:r>
      <w:r w:rsidRPr="0089104A">
        <w:rPr>
          <w:rFonts w:cstheme="minorHAnsi"/>
        </w:rPr>
        <w:t xml:space="preserve"> ($</w:t>
      </w:r>
      <w:r w:rsidR="0065102A">
        <w:rPr>
          <w:rFonts w:cstheme="minorHAnsi"/>
        </w:rPr>
        <w:t>36</w:t>
      </w:r>
      <w:r w:rsidR="00D40DEC">
        <w:rPr>
          <w:rFonts w:cstheme="minorHAnsi"/>
        </w:rPr>
        <w:t>4</w:t>
      </w:r>
      <w:r>
        <w:rPr>
          <w:rFonts w:cstheme="minorHAnsi"/>
        </w:rPr>
        <w:t xml:space="preserve"> + $500</w:t>
      </w:r>
      <w:r w:rsidRPr="0089104A">
        <w:rPr>
          <w:rFonts w:cstheme="minorHAnsi"/>
        </w:rPr>
        <w:t>)</w:t>
      </w:r>
      <w:r w:rsidR="00802311">
        <w:rPr>
          <w:rFonts w:cstheme="minorHAnsi"/>
        </w:rPr>
        <w:t>,</w:t>
      </w:r>
      <w:r>
        <w:rPr>
          <w:rFonts w:cstheme="minorHAnsi"/>
        </w:rPr>
        <w:t xml:space="preserve"> to be</w:t>
      </w:r>
      <w:r w:rsidRPr="0089104A">
        <w:rPr>
          <w:rFonts w:cstheme="minorHAnsi"/>
        </w:rPr>
        <w:t xml:space="preserve"> amortized over four years. </w:t>
      </w:r>
      <w:r w:rsidRPr="00127CE0">
        <w:t>Staff’s adjustments to these accounts, described above, results in an increase of $</w:t>
      </w:r>
      <w:r w:rsidR="0065102A">
        <w:t>216</w:t>
      </w:r>
      <w:r w:rsidRPr="00127CE0">
        <w:t xml:space="preserve"> </w:t>
      </w:r>
      <w:r>
        <w:t>($</w:t>
      </w:r>
      <w:r w:rsidR="0065102A">
        <w:t>86</w:t>
      </w:r>
      <w:r w:rsidR="00D40DEC">
        <w:t>4</w:t>
      </w:r>
      <w:r>
        <w:t xml:space="preserve"> ÷ </w:t>
      </w:r>
      <w:r w:rsidR="00F711F5">
        <w:t>4</w:t>
      </w:r>
      <w:r>
        <w:t>)</w:t>
      </w:r>
      <w:r w:rsidR="009E2533">
        <w:t>. Staff recommends regulatory commission e</w:t>
      </w:r>
      <w:r w:rsidRPr="00127CE0">
        <w:t>xpense of $</w:t>
      </w:r>
      <w:r w:rsidR="0065102A">
        <w:t>216</w:t>
      </w:r>
      <w:r w:rsidRPr="00127CE0">
        <w:t xml:space="preserve"> ($0 + $</w:t>
      </w:r>
      <w:r w:rsidR="0065102A">
        <w:t>216</w:t>
      </w:r>
      <w:r w:rsidR="00802311">
        <w:t>)</w:t>
      </w:r>
      <w:r w:rsidRPr="00127CE0">
        <w:t>. Rat</w:t>
      </w:r>
      <w:r w:rsidR="009E2533">
        <w:t>e case e</w:t>
      </w:r>
      <w:r w:rsidRPr="00127CE0">
        <w:t xml:space="preserve">xpense is delineated in Table </w:t>
      </w:r>
      <w:r>
        <w:t>7-</w:t>
      </w:r>
      <w:r w:rsidR="00D43A4C">
        <w:t>3</w:t>
      </w:r>
      <w:r w:rsidRPr="00127CE0">
        <w:t>.</w:t>
      </w:r>
    </w:p>
    <w:p w:rsidR="00C17C77" w:rsidRPr="00B852AC" w:rsidRDefault="00467D4E" w:rsidP="00C17C77">
      <w:pPr>
        <w:jc w:val="center"/>
        <w:rPr>
          <w:rFonts w:ascii="Arial" w:hAnsi="Arial" w:cs="Arial"/>
          <w:b/>
        </w:rPr>
      </w:pPr>
      <w:r>
        <w:rPr>
          <w:rFonts w:ascii="Arial" w:hAnsi="Arial" w:cs="Arial"/>
          <w:b/>
        </w:rPr>
        <w:t>Table 7-3</w:t>
      </w:r>
    </w:p>
    <w:p w:rsidR="00C17C77" w:rsidRPr="00B852AC" w:rsidRDefault="00C17C77" w:rsidP="00C17C77">
      <w:pPr>
        <w:jc w:val="center"/>
        <w:rPr>
          <w:rFonts w:ascii="Arial" w:hAnsi="Arial" w:cs="Arial"/>
          <w:b/>
        </w:rPr>
      </w:pPr>
      <w:r w:rsidRPr="00B852AC">
        <w:rPr>
          <w:rFonts w:ascii="Arial" w:hAnsi="Arial" w:cs="Arial"/>
          <w:b/>
        </w:rPr>
        <w:t>Rate Case Expense</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736"/>
        <w:gridCol w:w="1729"/>
      </w:tblGrid>
      <w:tr w:rsidR="00802311" w:rsidTr="00C17C77">
        <w:trPr>
          <w:jc w:val="center"/>
        </w:trPr>
        <w:tc>
          <w:tcPr>
            <w:tcW w:w="0" w:type="auto"/>
            <w:tcBorders>
              <w:top w:val="single" w:sz="4" w:space="0" w:color="auto"/>
              <w:bottom w:val="single" w:sz="4" w:space="0" w:color="auto"/>
            </w:tcBorders>
            <w:vAlign w:val="bottom"/>
          </w:tcPr>
          <w:p w:rsidR="00802311" w:rsidRDefault="00802311" w:rsidP="00C17C77">
            <w:pPr>
              <w:jc w:val="center"/>
            </w:pPr>
            <w:r>
              <w:t>Item</w:t>
            </w:r>
          </w:p>
        </w:tc>
        <w:tc>
          <w:tcPr>
            <w:tcW w:w="1729" w:type="dxa"/>
            <w:tcBorders>
              <w:top w:val="single" w:sz="4" w:space="0" w:color="auto"/>
              <w:bottom w:val="single" w:sz="4" w:space="0" w:color="auto"/>
            </w:tcBorders>
            <w:vAlign w:val="bottom"/>
          </w:tcPr>
          <w:p w:rsidR="00802311" w:rsidRDefault="00802311" w:rsidP="00C17C77">
            <w:pPr>
              <w:jc w:val="center"/>
            </w:pPr>
            <w:r>
              <w:t xml:space="preserve">Staff Recommended </w:t>
            </w:r>
          </w:p>
        </w:tc>
      </w:tr>
      <w:tr w:rsidR="00802311" w:rsidTr="00C17C77">
        <w:trPr>
          <w:jc w:val="center"/>
        </w:trPr>
        <w:tc>
          <w:tcPr>
            <w:tcW w:w="0" w:type="auto"/>
            <w:tcBorders>
              <w:top w:val="single" w:sz="4" w:space="0" w:color="auto"/>
            </w:tcBorders>
          </w:tcPr>
          <w:p w:rsidR="00802311" w:rsidRDefault="00802311" w:rsidP="00C17C77">
            <w:r>
              <w:t>Filing Fee</w:t>
            </w:r>
          </w:p>
        </w:tc>
        <w:tc>
          <w:tcPr>
            <w:tcW w:w="1729" w:type="dxa"/>
            <w:tcBorders>
              <w:top w:val="single" w:sz="4" w:space="0" w:color="auto"/>
            </w:tcBorders>
          </w:tcPr>
          <w:p w:rsidR="00802311" w:rsidRDefault="00802311" w:rsidP="004B54B1">
            <w:pPr>
              <w:jc w:val="right"/>
            </w:pPr>
            <w:r>
              <w:t>$ 500</w:t>
            </w:r>
          </w:p>
        </w:tc>
      </w:tr>
      <w:tr w:rsidR="00802311" w:rsidTr="00C17C77">
        <w:trPr>
          <w:jc w:val="center"/>
        </w:trPr>
        <w:tc>
          <w:tcPr>
            <w:tcW w:w="0" w:type="auto"/>
          </w:tcPr>
          <w:p w:rsidR="00802311" w:rsidRDefault="00802311" w:rsidP="00C17C77">
            <w:r>
              <w:t>Travel – Customer Meeting</w:t>
            </w:r>
          </w:p>
        </w:tc>
        <w:tc>
          <w:tcPr>
            <w:tcW w:w="1729" w:type="dxa"/>
          </w:tcPr>
          <w:p w:rsidR="00802311" w:rsidRDefault="00802311" w:rsidP="006401B5">
            <w:pPr>
              <w:jc w:val="right"/>
            </w:pPr>
            <w:r>
              <w:t>68</w:t>
            </w:r>
          </w:p>
        </w:tc>
      </w:tr>
      <w:tr w:rsidR="00802311" w:rsidTr="00C17C77">
        <w:trPr>
          <w:jc w:val="center"/>
        </w:trPr>
        <w:tc>
          <w:tcPr>
            <w:tcW w:w="0" w:type="auto"/>
          </w:tcPr>
          <w:p w:rsidR="00802311" w:rsidRDefault="00802311" w:rsidP="00C17C77">
            <w:r>
              <w:t>Travel – Agenda Conference</w:t>
            </w:r>
          </w:p>
        </w:tc>
        <w:tc>
          <w:tcPr>
            <w:tcW w:w="1729" w:type="dxa"/>
          </w:tcPr>
          <w:p w:rsidR="00802311" w:rsidRDefault="00802311" w:rsidP="00C17C77">
            <w:pPr>
              <w:jc w:val="right"/>
            </w:pPr>
            <w:r>
              <w:t>130</w:t>
            </w:r>
          </w:p>
        </w:tc>
      </w:tr>
      <w:tr w:rsidR="00802311" w:rsidTr="00C17C77">
        <w:trPr>
          <w:jc w:val="center"/>
        </w:trPr>
        <w:tc>
          <w:tcPr>
            <w:tcW w:w="0" w:type="auto"/>
          </w:tcPr>
          <w:p w:rsidR="00802311" w:rsidRDefault="00802311" w:rsidP="00C17C77">
            <w:r>
              <w:t>Notices – Customer Meeting</w:t>
            </w:r>
          </w:p>
        </w:tc>
        <w:tc>
          <w:tcPr>
            <w:tcW w:w="1729" w:type="dxa"/>
          </w:tcPr>
          <w:p w:rsidR="00802311" w:rsidRDefault="00802311" w:rsidP="00D40DEC">
            <w:pPr>
              <w:jc w:val="right"/>
            </w:pPr>
            <w:r>
              <w:t>72</w:t>
            </w:r>
          </w:p>
        </w:tc>
      </w:tr>
      <w:tr w:rsidR="00802311" w:rsidTr="00C17C77">
        <w:trPr>
          <w:jc w:val="center"/>
        </w:trPr>
        <w:tc>
          <w:tcPr>
            <w:tcW w:w="0" w:type="auto"/>
          </w:tcPr>
          <w:p w:rsidR="00802311" w:rsidRDefault="00802311" w:rsidP="00C17C77">
            <w:r>
              <w:t>Notices – Final Rates</w:t>
            </w:r>
          </w:p>
        </w:tc>
        <w:tc>
          <w:tcPr>
            <w:tcW w:w="1729" w:type="dxa"/>
          </w:tcPr>
          <w:p w:rsidR="00802311" w:rsidRDefault="00802311" w:rsidP="00C17C77">
            <w:pPr>
              <w:jc w:val="right"/>
            </w:pPr>
            <w:r>
              <w:t>47</w:t>
            </w:r>
          </w:p>
        </w:tc>
      </w:tr>
      <w:tr w:rsidR="00802311" w:rsidTr="00C17C77">
        <w:trPr>
          <w:jc w:val="center"/>
        </w:trPr>
        <w:tc>
          <w:tcPr>
            <w:tcW w:w="0" w:type="auto"/>
          </w:tcPr>
          <w:p w:rsidR="00802311" w:rsidRDefault="00802311" w:rsidP="00C17C77">
            <w:r>
              <w:t>Notices – Four-Year Rate Reduction</w:t>
            </w:r>
          </w:p>
        </w:tc>
        <w:tc>
          <w:tcPr>
            <w:tcW w:w="1729" w:type="dxa"/>
          </w:tcPr>
          <w:p w:rsidR="00802311" w:rsidRPr="005063CE" w:rsidRDefault="00802311" w:rsidP="00C17C77">
            <w:pPr>
              <w:jc w:val="right"/>
              <w:rPr>
                <w:u w:val="single"/>
              </w:rPr>
            </w:pPr>
            <w:r w:rsidRPr="005063CE">
              <w:rPr>
                <w:u w:val="single"/>
              </w:rPr>
              <w:t>47</w:t>
            </w:r>
          </w:p>
        </w:tc>
      </w:tr>
      <w:tr w:rsidR="00802311" w:rsidTr="00C17C77">
        <w:trPr>
          <w:jc w:val="center"/>
        </w:trPr>
        <w:tc>
          <w:tcPr>
            <w:tcW w:w="0" w:type="auto"/>
          </w:tcPr>
          <w:p w:rsidR="00802311" w:rsidRDefault="00802311" w:rsidP="00C17C77">
            <w:r>
              <w:t>Total Rate Case Expense</w:t>
            </w:r>
          </w:p>
        </w:tc>
        <w:tc>
          <w:tcPr>
            <w:tcW w:w="1729" w:type="dxa"/>
          </w:tcPr>
          <w:p w:rsidR="00802311" w:rsidRPr="0002718F" w:rsidRDefault="00802311" w:rsidP="004B54B1">
            <w:pPr>
              <w:jc w:val="right"/>
              <w:rPr>
                <w:u w:val="single"/>
              </w:rPr>
            </w:pPr>
            <w:r w:rsidRPr="0002718F">
              <w:rPr>
                <w:u w:val="single"/>
              </w:rPr>
              <w:t>$</w:t>
            </w:r>
            <w:r>
              <w:rPr>
                <w:u w:val="single"/>
              </w:rPr>
              <w:t>864</w:t>
            </w:r>
          </w:p>
        </w:tc>
      </w:tr>
      <w:tr w:rsidR="00802311" w:rsidTr="00C17C77">
        <w:trPr>
          <w:jc w:val="center"/>
        </w:trPr>
        <w:tc>
          <w:tcPr>
            <w:tcW w:w="0" w:type="auto"/>
          </w:tcPr>
          <w:p w:rsidR="00802311" w:rsidRDefault="00802311" w:rsidP="00C17C77">
            <w:r>
              <w:t>Annual Rate Case Expense</w:t>
            </w:r>
          </w:p>
        </w:tc>
        <w:tc>
          <w:tcPr>
            <w:tcW w:w="1729" w:type="dxa"/>
          </w:tcPr>
          <w:p w:rsidR="00802311" w:rsidRPr="0002718F" w:rsidRDefault="00802311" w:rsidP="004B54B1">
            <w:pPr>
              <w:jc w:val="right"/>
              <w:rPr>
                <w:u w:val="double"/>
              </w:rPr>
            </w:pPr>
            <w:r>
              <w:rPr>
                <w:u w:val="double"/>
              </w:rPr>
              <w:t>$216</w:t>
            </w:r>
          </w:p>
        </w:tc>
      </w:tr>
    </w:tbl>
    <w:p w:rsidR="00C17C77" w:rsidRDefault="00C17C77" w:rsidP="007500F6">
      <w:pPr>
        <w:pStyle w:val="TableSource"/>
        <w:spacing w:after="240"/>
        <w:ind w:left="1440" w:firstLine="720"/>
      </w:pPr>
      <w:r w:rsidRPr="007500F6">
        <w:t>Source: Responses to staff data requests.</w:t>
      </w:r>
    </w:p>
    <w:p w:rsidR="00402887" w:rsidRDefault="00402887" w:rsidP="00402887">
      <w:pPr>
        <w:pStyle w:val="Second-LevelSubheading"/>
      </w:pPr>
      <w:r w:rsidRPr="00402887">
        <w:t>Bad Debt Expense</w:t>
      </w:r>
      <w:r>
        <w:t xml:space="preserve"> (670)</w:t>
      </w:r>
    </w:p>
    <w:p w:rsidR="0065102A" w:rsidRPr="0065102A" w:rsidRDefault="00583026" w:rsidP="00583026">
      <w:pPr>
        <w:autoSpaceDE w:val="0"/>
        <w:autoSpaceDN w:val="0"/>
        <w:adjustRightInd w:val="0"/>
        <w:jc w:val="both"/>
      </w:pPr>
      <w:r w:rsidRPr="00FE1443">
        <w:rPr>
          <w:rFonts w:eastAsiaTheme="minorHAnsi"/>
        </w:rPr>
        <w:t xml:space="preserve">The Utility </w:t>
      </w:r>
      <w:r w:rsidR="0065102A" w:rsidRPr="00EA02E5">
        <w:t>rec</w:t>
      </w:r>
      <w:r w:rsidR="0065102A">
        <w:t>orded a bad debt expense of $4,038</w:t>
      </w:r>
      <w:r w:rsidR="0065102A" w:rsidRPr="00EA02E5">
        <w:t xml:space="preserve"> for the test year. It is Commission practice to calculate bad debt expense using a three-year average.</w:t>
      </w:r>
      <w:r w:rsidR="0065102A">
        <w:t xml:space="preserve"> </w:t>
      </w:r>
      <w:r>
        <w:t>Staff used the actual bad debt expense numbers for 2017 and 2018, and then annualized the first 10 months</w:t>
      </w:r>
      <w:r w:rsidR="009E2533">
        <w:t xml:space="preserve"> of 2019 to create a full three-</w:t>
      </w:r>
      <w:r>
        <w:t xml:space="preserve">year average. </w:t>
      </w:r>
      <w:r w:rsidR="00551656">
        <w:t xml:space="preserve">Using this methodology, staff calculated bad debt expense of $3,019. </w:t>
      </w:r>
      <w:r w:rsidR="0065102A" w:rsidRPr="00EA02E5">
        <w:t>Staff believes the appropriate bad deb</w:t>
      </w:r>
      <w:r w:rsidR="0065102A">
        <w:t>t expense for the test year is</w:t>
      </w:r>
      <w:r w:rsidR="0065102A" w:rsidRPr="00EA02E5">
        <w:t xml:space="preserve"> </w:t>
      </w:r>
      <w:r w:rsidR="00802311">
        <w:t xml:space="preserve">the </w:t>
      </w:r>
      <w:r w:rsidR="009E2533">
        <w:t>most recent three-</w:t>
      </w:r>
      <w:r w:rsidR="0065102A">
        <w:t>year average.</w:t>
      </w:r>
      <w:r w:rsidR="0065102A" w:rsidRPr="00EA02E5">
        <w:t xml:space="preserve"> Therefore, staff recommends </w:t>
      </w:r>
      <w:r w:rsidR="005063CE">
        <w:t xml:space="preserve">reducing bad debt </w:t>
      </w:r>
      <w:r w:rsidR="00551656">
        <w:t>expense by $1,019 resulting in</w:t>
      </w:r>
      <w:r w:rsidR="005063CE">
        <w:t xml:space="preserve"> test year </w:t>
      </w:r>
      <w:r w:rsidR="0065102A" w:rsidRPr="00EA02E5">
        <w:t>bad debt expense of $</w:t>
      </w:r>
      <w:r w:rsidR="0065102A">
        <w:t>3,019 ($4,038 -</w:t>
      </w:r>
      <w:r w:rsidR="0065102A" w:rsidRPr="00EA02E5">
        <w:t xml:space="preserve"> $</w:t>
      </w:r>
      <w:r w:rsidR="004C79BA">
        <w:t>1</w:t>
      </w:r>
      <w:r w:rsidR="0065102A">
        <w:t>,019</w:t>
      </w:r>
      <w:r w:rsidR="0065102A" w:rsidRPr="00EA02E5">
        <w:t>).</w:t>
      </w:r>
    </w:p>
    <w:p w:rsidR="00402887" w:rsidRDefault="00402887" w:rsidP="00C17C77">
      <w:pPr>
        <w:pStyle w:val="Second-LevelSubheading"/>
      </w:pPr>
    </w:p>
    <w:p w:rsidR="00C17C77" w:rsidRDefault="00C17C77" w:rsidP="00C17C77">
      <w:pPr>
        <w:pStyle w:val="Second-LevelSubheading"/>
      </w:pPr>
      <w:r>
        <w:t>Miscellaneous Expenses (675)</w:t>
      </w:r>
    </w:p>
    <w:p w:rsidR="00C17C77" w:rsidRPr="00BC0C9F" w:rsidRDefault="00C17C77" w:rsidP="00C17C77">
      <w:pPr>
        <w:pStyle w:val="BodyText"/>
      </w:pPr>
      <w:r>
        <w:t>The Utility recorded a test year miscellaneous expense of $871. Staff reduced this account by $150, for fees for preparation of the annual report to the State of Florida</w:t>
      </w:r>
      <w:r w:rsidR="00551656">
        <w:t xml:space="preserve"> and</w:t>
      </w:r>
      <w:r>
        <w:t xml:space="preserve"> reclassified </w:t>
      </w:r>
      <w:r w:rsidR="00551656">
        <w:t>this amount</w:t>
      </w:r>
      <w:r>
        <w:t xml:space="preserve"> to contractual services - accounting. Therefore, staff recommends a miscellaneous expense of $721 ($871 - $150). </w:t>
      </w:r>
    </w:p>
    <w:p w:rsidR="00C17C77" w:rsidRDefault="000632B0" w:rsidP="00C17C77">
      <w:pPr>
        <w:pStyle w:val="First-LevelSubheading"/>
      </w:pPr>
      <w:r>
        <w:t>Operation</w:t>
      </w:r>
      <w:r w:rsidR="00C17C77">
        <w:t xml:space="preserve"> and Maintenance </w:t>
      </w:r>
      <w:r>
        <w:t xml:space="preserve">Expense </w:t>
      </w:r>
      <w:r w:rsidR="00C17C77">
        <w:t>Summary</w:t>
      </w:r>
    </w:p>
    <w:p w:rsidR="00C17C77" w:rsidRDefault="00C17C77" w:rsidP="006A5853">
      <w:pPr>
        <w:pStyle w:val="BodyText"/>
        <w:spacing w:after="0"/>
      </w:pPr>
      <w:r>
        <w:t xml:space="preserve">Based on the above adjustments, </w:t>
      </w:r>
      <w:proofErr w:type="spellStart"/>
      <w:r>
        <w:t>O&amp;M</w:t>
      </w:r>
      <w:proofErr w:type="spellEnd"/>
      <w:r>
        <w:t xml:space="preserve"> expense should be decreased by $</w:t>
      </w:r>
      <w:r w:rsidR="006A5853">
        <w:t>1,800</w:t>
      </w:r>
      <w:r>
        <w:t xml:space="preserve">, resulting in total </w:t>
      </w:r>
      <w:proofErr w:type="spellStart"/>
      <w:r>
        <w:t>O&amp;M</w:t>
      </w:r>
      <w:proofErr w:type="spellEnd"/>
      <w:r>
        <w:t xml:space="preserve"> expense of $3</w:t>
      </w:r>
      <w:r w:rsidR="006A5853">
        <w:t>0,350</w:t>
      </w:r>
      <w:r w:rsidR="007500F6">
        <w:t>,</w:t>
      </w:r>
      <w:r>
        <w:t xml:space="preserve"> as shown in Schedule Nos. 3-A through 3-E. </w:t>
      </w:r>
    </w:p>
    <w:p w:rsidR="00C17C77" w:rsidRDefault="00C17C77" w:rsidP="00C17C77">
      <w:pPr>
        <w:pStyle w:val="First-LevelSubheading"/>
      </w:pPr>
    </w:p>
    <w:p w:rsidR="00C17C77" w:rsidRDefault="00C17C77" w:rsidP="00C17C77">
      <w:pPr>
        <w:pStyle w:val="First-LevelSubheading"/>
      </w:pPr>
      <w:r>
        <w:t>Depreciation Expense</w:t>
      </w:r>
    </w:p>
    <w:p w:rsidR="00C17C77" w:rsidRDefault="00C17C77" w:rsidP="00C17C77">
      <w:pPr>
        <w:pStyle w:val="BodyText"/>
      </w:pPr>
      <w:r>
        <w:t xml:space="preserve">The Utility’s records reflect test year </w:t>
      </w:r>
      <w:r w:rsidR="00880F23">
        <w:t xml:space="preserve">water </w:t>
      </w:r>
      <w:r>
        <w:t xml:space="preserve">depreciation expenses of $22,025. Staff increased the depreciation expense by $4,033 to reflect the Utility’s </w:t>
      </w:r>
      <w:proofErr w:type="spellStart"/>
      <w:r w:rsidR="00880F23">
        <w:t>WTP</w:t>
      </w:r>
      <w:proofErr w:type="spellEnd"/>
      <w:r>
        <w:t xml:space="preserve"> additions. Staff </w:t>
      </w:r>
      <w:r w:rsidR="006A5853">
        <w:t xml:space="preserve">auditors </w:t>
      </w:r>
      <w:r>
        <w:t xml:space="preserve">recalculated deprecation expenses using the prescribed rates set forth in Rule 25-30.140, F.A.C., and </w:t>
      </w:r>
      <w:r>
        <w:lastRenderedPageBreak/>
        <w:t xml:space="preserve">decreased depreciation expense by $575. Staff recommends </w:t>
      </w:r>
      <w:r w:rsidR="00455126">
        <w:t xml:space="preserve">a </w:t>
      </w:r>
      <w:r w:rsidR="005063CE">
        <w:t xml:space="preserve">further </w:t>
      </w:r>
      <w:r w:rsidR="00455126">
        <w:t>reduction</w:t>
      </w:r>
      <w:r>
        <w:t xml:space="preserve"> of $410 to r</w:t>
      </w:r>
      <w:r w:rsidR="00802311">
        <w:t>eflect non-</w:t>
      </w:r>
      <w:r>
        <w:t>used and useful portions of the depreciation expense. Therefore, staff recommends a depreciation expense of $25,073 ($22,025 + $4,033 - $</w:t>
      </w:r>
      <w:r w:rsidR="00102033">
        <w:t>410 - $575)</w:t>
      </w:r>
      <w:r>
        <w:t>.</w:t>
      </w:r>
    </w:p>
    <w:p w:rsidR="00455126" w:rsidRDefault="00455126" w:rsidP="00455126">
      <w:pPr>
        <w:pStyle w:val="First-LevelSubheading"/>
      </w:pPr>
      <w:r>
        <w:t>Amortization Expense (Net)</w:t>
      </w:r>
    </w:p>
    <w:p w:rsidR="00455126" w:rsidRPr="00455126" w:rsidRDefault="00455126" w:rsidP="00455126">
      <w:pPr>
        <w:pStyle w:val="BodyText"/>
      </w:pPr>
      <w:r>
        <w:t xml:space="preserve">The Utility recorded Amortization Expense of $23,681 for the test year ended March 31, 2019. Staff reduced this amount by $389 to reflect an auditing adjustment and $583 to </w:t>
      </w:r>
      <w:r w:rsidR="00376C9E">
        <w:t>reflect</w:t>
      </w:r>
      <w:r>
        <w:t xml:space="preserve"> the non-used and useful portion and recommends total amortization expense of $22,709 ($23,681 - $389 - $583). </w:t>
      </w:r>
    </w:p>
    <w:p w:rsidR="00C17C77" w:rsidRPr="00455126" w:rsidRDefault="00C17C77" w:rsidP="00455126">
      <w:pPr>
        <w:pStyle w:val="First-LevelSubheading"/>
        <w:ind w:firstLine="720"/>
        <w:rPr>
          <w:i/>
        </w:rPr>
      </w:pPr>
      <w:r w:rsidRPr="00455126">
        <w:rPr>
          <w:i/>
        </w:rPr>
        <w:t xml:space="preserve">Amortization </w:t>
      </w:r>
      <w:proofErr w:type="spellStart"/>
      <w:r w:rsidRPr="00455126">
        <w:rPr>
          <w:i/>
        </w:rPr>
        <w:t>CIAC</w:t>
      </w:r>
      <w:proofErr w:type="spellEnd"/>
    </w:p>
    <w:p w:rsidR="00C17C77" w:rsidRDefault="00C17C77" w:rsidP="00C17C77">
      <w:pPr>
        <w:pStyle w:val="BodyText"/>
      </w:pPr>
      <w:r>
        <w:t xml:space="preserve">The Utility recorded </w:t>
      </w:r>
      <w:proofErr w:type="spellStart"/>
      <w:r>
        <w:t>CIAC</w:t>
      </w:r>
      <w:proofErr w:type="spellEnd"/>
      <w:r>
        <w:t xml:space="preserve"> Amortization expense of </w:t>
      </w:r>
      <w:r w:rsidR="0073672E">
        <w:t xml:space="preserve">negative </w:t>
      </w:r>
      <w:r>
        <w:t xml:space="preserve">$88. Staff </w:t>
      </w:r>
      <w:r w:rsidR="0017668A">
        <w:t>a</w:t>
      </w:r>
      <w:r>
        <w:t xml:space="preserve">grees with the Utility’s amount and recommends no adjustment. </w:t>
      </w:r>
    </w:p>
    <w:p w:rsidR="00C17C77" w:rsidRDefault="00802311" w:rsidP="00C17C77">
      <w:pPr>
        <w:pStyle w:val="Second-LevelSubheading"/>
      </w:pPr>
      <w:r>
        <w:t>Negative Acquisition Amortization Expense</w:t>
      </w:r>
    </w:p>
    <w:p w:rsidR="00802311" w:rsidRDefault="00C17C77" w:rsidP="003E33BF">
      <w:pPr>
        <w:pStyle w:val="BodyText"/>
      </w:pPr>
      <w:r>
        <w:t xml:space="preserve">The Utility recorded </w:t>
      </w:r>
      <w:r w:rsidR="005F7E92">
        <w:t xml:space="preserve">a negative </w:t>
      </w:r>
      <w:r>
        <w:t>acquisition amortization expense of $24,790 for the test year ended March 31</w:t>
      </w:r>
      <w:r w:rsidR="00551656">
        <w:t>,</w:t>
      </w:r>
      <w:r>
        <w:t xml:space="preserve"> 2019. Staff calculated the amortization expense for the acquisition adjustment per Order No. PSC-20</w:t>
      </w:r>
      <w:r w:rsidR="007500F6">
        <w:t>1</w:t>
      </w:r>
      <w:r>
        <w:t>4-0300-</w:t>
      </w:r>
      <w:proofErr w:type="spellStart"/>
      <w:r>
        <w:t>PAA</w:t>
      </w:r>
      <w:proofErr w:type="spellEnd"/>
      <w:r>
        <w:t>-WS</w:t>
      </w:r>
      <w:r w:rsidR="007500F6">
        <w:t>,</w:t>
      </w:r>
      <w:r>
        <w:t xml:space="preserve"> which is in accordance with Rule 25-30.0371(4</w:t>
      </w:r>
      <w:proofErr w:type="gramStart"/>
      <w:r>
        <w:t>)(</w:t>
      </w:r>
      <w:proofErr w:type="gramEnd"/>
      <w:r>
        <w:t>b)2, F.A.C. and determined that the related test year amortization expense should be a negative $24,996. Staff recommends an adjustment to decrease the amortization expense by $</w:t>
      </w:r>
      <w:r w:rsidR="009249CB">
        <w:t>206</w:t>
      </w:r>
      <w:r w:rsidR="008F4813">
        <w:t xml:space="preserve"> to reflect the audit adjustment</w:t>
      </w:r>
      <w:r>
        <w:t>. Staff also recommends a correspondin</w:t>
      </w:r>
      <w:r w:rsidR="00802311">
        <w:t>g adjustment to reflect the non-</w:t>
      </w:r>
      <w:r>
        <w:t xml:space="preserve">used &amp; useful adjustment, decreasing the negative acquisition </w:t>
      </w:r>
      <w:r w:rsidR="00802311">
        <w:t>amortization expense</w:t>
      </w:r>
      <w:r>
        <w:t xml:space="preserve"> by $</w:t>
      </w:r>
      <w:r w:rsidR="0073672E">
        <w:t>583</w:t>
      </w:r>
      <w:r w:rsidR="008F4813">
        <w:t xml:space="preserve"> </w:t>
      </w:r>
      <w:r w:rsidR="005F7E92">
        <w:t>-</w:t>
      </w:r>
      <w:r w:rsidR="00A45B1B">
        <w:t>$</w:t>
      </w:r>
      <w:r w:rsidR="0073672E">
        <w:t>24,413</w:t>
      </w:r>
      <w:r w:rsidR="00A45B1B">
        <w:t xml:space="preserve"> </w:t>
      </w:r>
      <w:r w:rsidR="005F7E92">
        <w:t>(-</w:t>
      </w:r>
      <w:r w:rsidR="008F4813">
        <w:t xml:space="preserve">$24,790 </w:t>
      </w:r>
      <w:r w:rsidR="009249CB">
        <w:t xml:space="preserve">– </w:t>
      </w:r>
      <w:r w:rsidR="005F7E92">
        <w:t>$</w:t>
      </w:r>
      <w:r w:rsidR="0073672E">
        <w:t>206 + 583</w:t>
      </w:r>
      <w:r w:rsidR="00A45B1B">
        <w:t>)</w:t>
      </w:r>
      <w:r w:rsidR="007500F6">
        <w:t>.</w:t>
      </w:r>
    </w:p>
    <w:p w:rsidR="00C17C77" w:rsidRDefault="00C17C77" w:rsidP="00C17C77">
      <w:pPr>
        <w:pStyle w:val="Second-LevelSubheading"/>
      </w:pPr>
      <w:r>
        <w:t xml:space="preserve">Hydro Tank Coating </w:t>
      </w:r>
    </w:p>
    <w:p w:rsidR="00C17C77" w:rsidRDefault="00C17C77" w:rsidP="00C17C77">
      <w:pPr>
        <w:pStyle w:val="BodyText"/>
      </w:pPr>
      <w:r>
        <w:t>The amortization included in Account 407-3 – Hydro Tank Amortization by the Utility of $1,197 reflects 8 months of amortization. Staff recalculated the amortization for the 12 months to be $</w:t>
      </w:r>
      <w:proofErr w:type="gramStart"/>
      <w:r>
        <w:t>1,</w:t>
      </w:r>
      <w:r w:rsidR="009249CB">
        <w:t>792</w:t>
      </w:r>
      <w:r w:rsidR="008656B8">
        <w:t>,</w:t>
      </w:r>
      <w:proofErr w:type="gramEnd"/>
      <w:r>
        <w:t xml:space="preserve"> in accordance with Rule 25-30.433(9), F.A.C. Staff recommends that Amortization Expense should be increase</w:t>
      </w:r>
      <w:r w:rsidR="0077465B">
        <w:t>d</w:t>
      </w:r>
      <w:r>
        <w:t xml:space="preserve"> by $</w:t>
      </w:r>
      <w:r w:rsidR="009249CB">
        <w:t>595</w:t>
      </w:r>
      <w:r>
        <w:t xml:space="preserve"> to reflect 12 months of amortization in the test year</w:t>
      </w:r>
      <w:r w:rsidR="00A45B1B">
        <w:t xml:space="preserve"> </w:t>
      </w:r>
      <w:r w:rsidR="005063CE">
        <w:t xml:space="preserve">of </w:t>
      </w:r>
      <w:r w:rsidR="00A45B1B">
        <w:t>$</w:t>
      </w:r>
      <w:r w:rsidR="00482EE9">
        <w:t>1,792 (</w:t>
      </w:r>
      <w:r w:rsidR="00A45B1B">
        <w:t>$1,197 + $</w:t>
      </w:r>
      <w:r w:rsidR="009249CB">
        <w:t>595</w:t>
      </w:r>
      <w:r w:rsidR="00A45B1B">
        <w:t>)</w:t>
      </w:r>
      <w:r w:rsidR="008656B8">
        <w:t>.</w:t>
      </w:r>
      <w:r>
        <w:t xml:space="preserve"> </w:t>
      </w:r>
    </w:p>
    <w:p w:rsidR="00C17C77" w:rsidRPr="008F7D0C" w:rsidRDefault="00C17C77" w:rsidP="00C17C77">
      <w:pPr>
        <w:pStyle w:val="First-LevelSubheading"/>
      </w:pPr>
      <w:r w:rsidRPr="008F7D0C">
        <w:t>Taxes Other Than Income</w:t>
      </w:r>
    </w:p>
    <w:p w:rsidR="00C17C77" w:rsidRDefault="00C17C77" w:rsidP="00C17C77">
      <w:pPr>
        <w:pStyle w:val="BodyText"/>
        <w:spacing w:after="0"/>
      </w:pPr>
      <w:r>
        <w:t>The Utility recorded taxes other than income (</w:t>
      </w:r>
      <w:proofErr w:type="spellStart"/>
      <w:r>
        <w:t>TOTI</w:t>
      </w:r>
      <w:proofErr w:type="spellEnd"/>
      <w:r>
        <w:t>) of $2,392 for the test year end</w:t>
      </w:r>
      <w:r w:rsidR="00802311">
        <w:t>ed</w:t>
      </w:r>
      <w:r>
        <w:t xml:space="preserve"> March 31, 2019. Staff increased </w:t>
      </w:r>
      <w:r w:rsidR="004C16AC">
        <w:t>the amount</w:t>
      </w:r>
      <w:r>
        <w:t xml:space="preserve"> by $288 to reflect increased property and tangible property taxes. Property taxes are calculated at the current 2019 millage rate. Staff increased </w:t>
      </w:r>
      <w:r w:rsidR="004C16AC">
        <w:t>the amount</w:t>
      </w:r>
      <w:r>
        <w:t xml:space="preserve"> by </w:t>
      </w:r>
      <w:r w:rsidR="005063CE">
        <w:t xml:space="preserve">$86 to reflect an audit adjustment and </w:t>
      </w:r>
      <w:r>
        <w:t>$</w:t>
      </w:r>
      <w:r w:rsidR="005063CE">
        <w:t>30</w:t>
      </w:r>
      <w:r>
        <w:t xml:space="preserve"> to reflect increased RAFs due to the recommended rate increase. Staff decreased </w:t>
      </w:r>
      <w:r w:rsidR="004C16AC">
        <w:t>the amount</w:t>
      </w:r>
      <w:r>
        <w:t xml:space="preserve"> by $22 to reflect the non-used and useful portions of property and tangible property tax. Staff increased the total by $792 to reflect the property tax increase for the plant addition</w:t>
      </w:r>
      <w:r w:rsidR="005F7E92">
        <w:t>s</w:t>
      </w:r>
      <w:r>
        <w:t xml:space="preserve">. The result is </w:t>
      </w:r>
      <w:r w:rsidR="00551656">
        <w:t xml:space="preserve">a net increase of </w:t>
      </w:r>
      <w:r>
        <w:t>$</w:t>
      </w:r>
      <w:r w:rsidR="00551656">
        <w:t>1,17</w:t>
      </w:r>
      <w:r w:rsidR="001A1A7C">
        <w:t>3</w:t>
      </w:r>
      <w:r>
        <w:t xml:space="preserve"> ($288 + $86 + $</w:t>
      </w:r>
      <w:r w:rsidR="005063CE">
        <w:t>30</w:t>
      </w:r>
      <w:r>
        <w:t xml:space="preserve"> - $22 + $792).</w:t>
      </w:r>
    </w:p>
    <w:p w:rsidR="00C17C77" w:rsidRDefault="00C17C77" w:rsidP="00C17C77">
      <w:pPr>
        <w:pStyle w:val="BodyText"/>
        <w:spacing w:after="0"/>
      </w:pPr>
    </w:p>
    <w:p w:rsidR="00C17C77" w:rsidRDefault="00C17C77" w:rsidP="00C17C77">
      <w:pPr>
        <w:pStyle w:val="BodyText"/>
      </w:pPr>
      <w:r w:rsidRPr="004E03C5">
        <w:t xml:space="preserve">In addition, as discussed in Issue </w:t>
      </w:r>
      <w:r>
        <w:t>8</w:t>
      </w:r>
      <w:r w:rsidRPr="004E03C5">
        <w:t xml:space="preserve">, revenues have been increased by </w:t>
      </w:r>
      <w:r>
        <w:t>$</w:t>
      </w:r>
      <w:r w:rsidR="005F7E92">
        <w:t>7,806</w:t>
      </w:r>
      <w:r>
        <w:t xml:space="preserve"> </w:t>
      </w:r>
      <w:r w:rsidRPr="004E03C5">
        <w:t xml:space="preserve">to reflect the change in revenue required to cover expenses and allow </w:t>
      </w:r>
      <w:r w:rsidR="00802311">
        <w:t xml:space="preserve">an opportunity to earn </w:t>
      </w:r>
      <w:r w:rsidRPr="004E03C5">
        <w:t xml:space="preserve">the recommended </w:t>
      </w:r>
      <w:r w:rsidR="00802311">
        <w:t>rate of return</w:t>
      </w:r>
      <w:r w:rsidRPr="004E03C5">
        <w:t xml:space="preserve">. As a result, </w:t>
      </w:r>
      <w:proofErr w:type="spellStart"/>
      <w:r w:rsidRPr="004E03C5">
        <w:t>TOTI</w:t>
      </w:r>
      <w:proofErr w:type="spellEnd"/>
      <w:r w:rsidRPr="004E03C5">
        <w:t xml:space="preserve"> should be increased by </w:t>
      </w:r>
      <w:r>
        <w:t>$</w:t>
      </w:r>
      <w:r w:rsidR="005F7E92">
        <w:t>351</w:t>
      </w:r>
      <w:r>
        <w:t xml:space="preserve"> </w:t>
      </w:r>
      <w:r w:rsidRPr="004E03C5">
        <w:t xml:space="preserve">to reflect RAFs of 4.5 percent on the change in revenues. Therefore, staff recommends </w:t>
      </w:r>
      <w:proofErr w:type="spellStart"/>
      <w:r w:rsidRPr="004E03C5">
        <w:t>TOTI</w:t>
      </w:r>
      <w:proofErr w:type="spellEnd"/>
      <w:r w:rsidRPr="004E03C5">
        <w:t xml:space="preserve"> </w:t>
      </w:r>
      <w:r>
        <w:t>expense of $</w:t>
      </w:r>
      <w:r w:rsidR="005F7E92">
        <w:t>3,917</w:t>
      </w:r>
      <w:r>
        <w:t xml:space="preserve"> ($3,</w:t>
      </w:r>
      <w:r w:rsidR="005F7E92">
        <w:t>566</w:t>
      </w:r>
      <w:r>
        <w:t xml:space="preserve"> + $</w:t>
      </w:r>
      <w:r w:rsidR="005F7E92">
        <w:t>351</w:t>
      </w:r>
      <w:r>
        <w:t>).</w:t>
      </w:r>
    </w:p>
    <w:p w:rsidR="00255B41" w:rsidRDefault="00255B41" w:rsidP="00C17C77">
      <w:pPr>
        <w:pStyle w:val="BodyText"/>
      </w:pPr>
    </w:p>
    <w:p w:rsidR="00C17C77" w:rsidRPr="00801AD3" w:rsidRDefault="00C17C77" w:rsidP="00C17C77">
      <w:pPr>
        <w:autoSpaceDE w:val="0"/>
        <w:autoSpaceDN w:val="0"/>
        <w:adjustRightInd w:val="0"/>
        <w:rPr>
          <w:rFonts w:ascii="Arial" w:hAnsi="Arial" w:cs="Arial"/>
          <w:b/>
          <w:bCs/>
        </w:rPr>
      </w:pPr>
      <w:r w:rsidRPr="00801AD3">
        <w:rPr>
          <w:rFonts w:ascii="Arial" w:hAnsi="Arial" w:cs="Arial"/>
          <w:b/>
          <w:bCs/>
        </w:rPr>
        <w:lastRenderedPageBreak/>
        <w:t>Income Tax</w:t>
      </w:r>
    </w:p>
    <w:p w:rsidR="00C17C77" w:rsidRDefault="00C17C77" w:rsidP="00C17C77">
      <w:pPr>
        <w:pStyle w:val="BodyText"/>
        <w:spacing w:after="0"/>
      </w:pPr>
      <w:r w:rsidRPr="00D46696">
        <w:t xml:space="preserve">The Utility is a Subchapter S Corporation and therefore did not record any income tax expense for the test year. </w:t>
      </w:r>
      <w:r>
        <w:t>Therefore, s</w:t>
      </w:r>
      <w:r w:rsidRPr="00D46696">
        <w:t>taff recommends no adjustment to income tax expense</w:t>
      </w:r>
      <w:r>
        <w:t>.</w:t>
      </w:r>
    </w:p>
    <w:p w:rsidR="004B6773" w:rsidRDefault="004B6773" w:rsidP="00C17C77">
      <w:pPr>
        <w:pStyle w:val="BodyText"/>
        <w:spacing w:after="0"/>
      </w:pPr>
    </w:p>
    <w:p w:rsidR="00C17C77" w:rsidRDefault="00C17C77" w:rsidP="00C17C77">
      <w:pPr>
        <w:pStyle w:val="BodyText"/>
        <w:spacing w:after="0"/>
      </w:pPr>
    </w:p>
    <w:p w:rsidR="00C17C77" w:rsidRPr="008505B3" w:rsidRDefault="00C17C77" w:rsidP="00C17C77">
      <w:pPr>
        <w:pStyle w:val="First-LevelSubheading"/>
        <w:rPr>
          <w:szCs w:val="24"/>
        </w:rPr>
      </w:pPr>
      <w:r w:rsidRPr="008505B3">
        <w:rPr>
          <w:szCs w:val="24"/>
        </w:rPr>
        <w:t>Operating Expenses Summary</w:t>
      </w:r>
    </w:p>
    <w:p w:rsidR="00C17C77" w:rsidRDefault="00C17C77" w:rsidP="00C17C77">
      <w:pPr>
        <w:pStyle w:val="BodyText"/>
      </w:pPr>
      <w:r>
        <w:t xml:space="preserve">Staff recommends operating expenses </w:t>
      </w:r>
      <w:r w:rsidR="004C16AC">
        <w:t>of</w:t>
      </w:r>
      <w:r w:rsidR="009249CB">
        <w:t xml:space="preserve"> $3</w:t>
      </w:r>
      <w:r w:rsidR="00A00C9E">
        <w:t>6,631</w:t>
      </w:r>
      <w:r>
        <w:t>.</w:t>
      </w:r>
      <w:r w:rsidRPr="00F30888">
        <w:t xml:space="preserve"> </w:t>
      </w:r>
      <w:r w:rsidRPr="008505B3">
        <w:t>Operating expenses are shown on Schedule No. 3</w:t>
      </w:r>
      <w:r>
        <w:t>-</w:t>
      </w:r>
      <w:r w:rsidRPr="008505B3">
        <w:t>A. The related adjustments are shown on Schedule No. 3</w:t>
      </w:r>
      <w:r>
        <w:t>-</w:t>
      </w:r>
      <w:r w:rsidR="00646F03">
        <w:t>B</w:t>
      </w:r>
      <w:r w:rsidRPr="008505B3">
        <w:t>.</w:t>
      </w:r>
    </w:p>
    <w:p w:rsidR="00B87604" w:rsidRDefault="00B87604">
      <w:pPr>
        <w:pStyle w:val="BodyText"/>
        <w:sectPr w:rsidR="00B87604" w:rsidSect="009B1FE5">
          <w:headerReference w:type="default" r:id="rId21"/>
          <w:pgSz w:w="12240" w:h="15840" w:code="1"/>
          <w:pgMar w:top="1584" w:right="1440" w:bottom="1440" w:left="1440" w:header="720" w:footer="720" w:gutter="0"/>
          <w:cols w:space="720"/>
          <w:formProt w:val="0"/>
          <w:docGrid w:linePitch="360"/>
        </w:sectPr>
      </w:pPr>
    </w:p>
    <w:p w:rsidR="001B13D4" w:rsidRDefault="001B13D4">
      <w:pPr>
        <w:pStyle w:val="IssueHeading"/>
        <w:rPr>
          <w:vanish/>
          <w:specVanish/>
        </w:rPr>
      </w:pPr>
      <w:r w:rsidRPr="004C3641">
        <w:lastRenderedPageBreak/>
        <w:t xml:space="preserve">Issue </w:t>
      </w:r>
      <w:fldSimple w:instr=" SEQ Issue \* MERGEFORMAT ">
        <w:r w:rsidR="00B51302">
          <w:rPr>
            <w:noProof/>
          </w:rPr>
          <w:t>8</w:t>
        </w:r>
      </w:fldSimple>
      <w:r w:rsidRPr="004C3641">
        <w:t>:</w:t>
      </w:r>
      <w:r>
        <w:fldChar w:fldCharType="begin"/>
      </w:r>
      <w:r>
        <w:instrText xml:space="preserve"> TC "</w:instrText>
      </w:r>
      <w:r>
        <w:fldChar w:fldCharType="begin"/>
      </w:r>
      <w:r>
        <w:instrText xml:space="preserve"> SEQ issue \c </w:instrText>
      </w:r>
      <w:r>
        <w:fldChar w:fldCharType="separate"/>
      </w:r>
      <w:bookmarkStart w:id="31" w:name="_Toc30164203"/>
      <w:bookmarkStart w:id="32" w:name="_Toc32829964"/>
      <w:r w:rsidR="00B51302">
        <w:rPr>
          <w:noProof/>
        </w:rPr>
        <w:instrText>8</w:instrText>
      </w:r>
      <w:r>
        <w:fldChar w:fldCharType="end"/>
      </w:r>
      <w:r>
        <w:tab/>
        <w:instrText>Appropriate Revenue Requirement (Hightower)</w:instrText>
      </w:r>
      <w:bookmarkEnd w:id="31"/>
      <w:bookmarkEnd w:id="32"/>
      <w:r>
        <w:instrText xml:space="preserve">" \l 1 </w:instrText>
      </w:r>
      <w:r>
        <w:fldChar w:fldCharType="end"/>
      </w:r>
      <w:r>
        <w:t> </w:t>
      </w:r>
    </w:p>
    <w:p w:rsidR="001B13D4" w:rsidRDefault="001B13D4">
      <w:pPr>
        <w:pStyle w:val="BodyText"/>
      </w:pPr>
      <w:r>
        <w:t> What is the appropriate revenue requirement</w:t>
      </w:r>
      <w:r w:rsidR="008656B8">
        <w:t xml:space="preserve"> for The Woods Utility Company</w:t>
      </w:r>
      <w:r>
        <w:t>?</w:t>
      </w:r>
    </w:p>
    <w:p w:rsidR="001B13D4" w:rsidRPr="004C3641" w:rsidRDefault="001B13D4">
      <w:pPr>
        <w:pStyle w:val="IssueSubsectionHeading"/>
        <w:rPr>
          <w:vanish/>
          <w:specVanish/>
        </w:rPr>
      </w:pPr>
      <w:r w:rsidRPr="004C3641">
        <w:t>Recommendation: </w:t>
      </w:r>
    </w:p>
    <w:p w:rsidR="001B13D4" w:rsidRDefault="001B13D4">
      <w:pPr>
        <w:pStyle w:val="BodyText"/>
      </w:pPr>
      <w:r>
        <w:t> </w:t>
      </w:r>
      <w:r w:rsidRPr="00170418">
        <w:t>The appropriate revenue requirement is $</w:t>
      </w:r>
      <w:r w:rsidR="00802311">
        <w:t>4</w:t>
      </w:r>
      <w:r w:rsidR="005F7E92">
        <w:t>9,179</w:t>
      </w:r>
      <w:r w:rsidRPr="00170418">
        <w:t>, resulting in an annual increase of $</w:t>
      </w:r>
      <w:r w:rsidR="00802311">
        <w:t>7,</w:t>
      </w:r>
      <w:r w:rsidR="005F7E92">
        <w:t>806</w:t>
      </w:r>
      <w:r w:rsidR="00A53B3F">
        <w:t xml:space="preserve"> (</w:t>
      </w:r>
      <w:r w:rsidR="00551656">
        <w:t>18.87</w:t>
      </w:r>
      <w:r w:rsidRPr="00170418">
        <w:t xml:space="preserve"> percent)</w:t>
      </w:r>
      <w:r>
        <w:t>. (Hightower)</w:t>
      </w:r>
    </w:p>
    <w:p w:rsidR="001B13D4" w:rsidRPr="004C3641" w:rsidRDefault="001B13D4">
      <w:pPr>
        <w:pStyle w:val="IssueSubsectionHeading"/>
        <w:rPr>
          <w:vanish/>
          <w:specVanish/>
        </w:rPr>
      </w:pPr>
      <w:r w:rsidRPr="004C3641">
        <w:t>Staff Analysis: </w:t>
      </w:r>
    </w:p>
    <w:p w:rsidR="001B13D4" w:rsidRDefault="001B13D4" w:rsidP="001B13D4">
      <w:pPr>
        <w:pStyle w:val="BodyText"/>
        <w:rPr>
          <w:rFonts w:eastAsiaTheme="minorHAnsi" w:cstheme="minorBidi"/>
          <w:szCs w:val="22"/>
        </w:rPr>
      </w:pPr>
      <w:r>
        <w:t xml:space="preserve"> The Woods </w:t>
      </w:r>
      <w:r w:rsidRPr="00170418">
        <w:rPr>
          <w:rFonts w:eastAsiaTheme="minorHAnsi" w:cstheme="minorBidi"/>
          <w:szCs w:val="22"/>
        </w:rPr>
        <w:t>should be allowed an annual increase of $</w:t>
      </w:r>
      <w:r w:rsidR="00802311">
        <w:rPr>
          <w:rFonts w:eastAsiaTheme="minorHAnsi" w:cstheme="minorBidi"/>
          <w:szCs w:val="22"/>
        </w:rPr>
        <w:t>7,</w:t>
      </w:r>
      <w:r w:rsidR="005F7E92">
        <w:rPr>
          <w:rFonts w:eastAsiaTheme="minorHAnsi" w:cstheme="minorBidi"/>
          <w:szCs w:val="22"/>
        </w:rPr>
        <w:t>806</w:t>
      </w:r>
      <w:r w:rsidR="005063CE">
        <w:rPr>
          <w:rFonts w:eastAsiaTheme="minorHAnsi" w:cstheme="minorBidi"/>
          <w:szCs w:val="22"/>
        </w:rPr>
        <w:t xml:space="preserve"> </w:t>
      </w:r>
      <w:r w:rsidRPr="00170418">
        <w:rPr>
          <w:rFonts w:eastAsiaTheme="minorHAnsi" w:cstheme="minorBidi"/>
          <w:szCs w:val="22"/>
        </w:rPr>
        <w:t>(</w:t>
      </w:r>
      <w:r w:rsidR="00802311">
        <w:rPr>
          <w:rFonts w:eastAsiaTheme="minorHAnsi" w:cstheme="minorBidi"/>
          <w:szCs w:val="22"/>
        </w:rPr>
        <w:t>18.</w:t>
      </w:r>
      <w:r w:rsidR="005F7E92">
        <w:rPr>
          <w:rFonts w:eastAsiaTheme="minorHAnsi" w:cstheme="minorBidi"/>
          <w:szCs w:val="22"/>
        </w:rPr>
        <w:t>87</w:t>
      </w:r>
      <w:r w:rsidRPr="00170418">
        <w:rPr>
          <w:rFonts w:eastAsiaTheme="minorHAnsi" w:cstheme="minorBidi"/>
          <w:szCs w:val="22"/>
        </w:rPr>
        <w:t xml:space="preserve"> percent). The c</w:t>
      </w:r>
      <w:r>
        <w:rPr>
          <w:rFonts w:eastAsiaTheme="minorHAnsi" w:cstheme="minorBidi"/>
          <w:szCs w:val="22"/>
        </w:rPr>
        <w:t xml:space="preserve">alculations are shown in Table 8-1. </w:t>
      </w:r>
    </w:p>
    <w:p w:rsidR="001B13D4" w:rsidRPr="00B25D82" w:rsidRDefault="001B13D4" w:rsidP="001B13D4">
      <w:pPr>
        <w:pStyle w:val="BodyText"/>
        <w:spacing w:after="0"/>
        <w:jc w:val="center"/>
        <w:rPr>
          <w:rFonts w:ascii="Arial" w:eastAsiaTheme="minorHAnsi" w:hAnsi="Arial" w:cs="Arial"/>
          <w:b/>
          <w:szCs w:val="22"/>
        </w:rPr>
      </w:pPr>
      <w:r w:rsidRPr="00B25D82">
        <w:rPr>
          <w:rFonts w:ascii="Arial" w:eastAsiaTheme="minorHAnsi" w:hAnsi="Arial" w:cs="Arial"/>
          <w:b/>
          <w:szCs w:val="22"/>
        </w:rPr>
        <w:t>Table 8-1</w:t>
      </w:r>
    </w:p>
    <w:p w:rsidR="001B13D4" w:rsidRPr="00B25D82" w:rsidRDefault="001B13D4" w:rsidP="001B13D4">
      <w:pPr>
        <w:pStyle w:val="BodyText"/>
        <w:spacing w:after="0"/>
        <w:jc w:val="center"/>
        <w:rPr>
          <w:rFonts w:ascii="Arial" w:eastAsiaTheme="minorHAnsi" w:hAnsi="Arial" w:cs="Arial"/>
          <w:b/>
          <w:szCs w:val="22"/>
        </w:rPr>
      </w:pPr>
      <w:r w:rsidRPr="00B25D82">
        <w:rPr>
          <w:rFonts w:ascii="Arial" w:eastAsiaTheme="minorHAnsi" w:hAnsi="Arial" w:cs="Arial"/>
          <w:b/>
          <w:szCs w:val="22"/>
        </w:rPr>
        <w:t>Revenue Requirement - Water</w:t>
      </w:r>
    </w:p>
    <w:tbl>
      <w:tblPr>
        <w:tblW w:w="5940" w:type="dxa"/>
        <w:jc w:val="center"/>
        <w:tblInd w:w="93"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426"/>
        <w:gridCol w:w="1514"/>
      </w:tblGrid>
      <w:tr w:rsidR="001B13D4" w:rsidTr="00D04D3C">
        <w:trPr>
          <w:trHeight w:val="315"/>
          <w:jc w:val="center"/>
        </w:trPr>
        <w:tc>
          <w:tcPr>
            <w:tcW w:w="4426" w:type="dxa"/>
            <w:shd w:val="clear" w:color="auto" w:fill="auto"/>
            <w:noWrap/>
            <w:vAlign w:val="bottom"/>
            <w:hideMark/>
          </w:tcPr>
          <w:p w:rsidR="001B13D4" w:rsidRDefault="001B13D4" w:rsidP="00D04D3C">
            <w:pPr>
              <w:rPr>
                <w:color w:val="000000"/>
              </w:rPr>
            </w:pPr>
            <w:r>
              <w:rPr>
                <w:color w:val="000000"/>
              </w:rPr>
              <w:t>Adjusted Rate Base</w:t>
            </w:r>
          </w:p>
        </w:tc>
        <w:tc>
          <w:tcPr>
            <w:tcW w:w="1514" w:type="dxa"/>
            <w:shd w:val="clear" w:color="auto" w:fill="auto"/>
            <w:noWrap/>
            <w:vAlign w:val="bottom"/>
            <w:hideMark/>
          </w:tcPr>
          <w:p w:rsidR="001B13D4" w:rsidRDefault="001B13D4" w:rsidP="00802311">
            <w:pPr>
              <w:jc w:val="right"/>
              <w:rPr>
                <w:color w:val="000000"/>
              </w:rPr>
            </w:pPr>
            <w:r>
              <w:rPr>
                <w:color w:val="000000"/>
              </w:rPr>
              <w:t>$</w:t>
            </w:r>
            <w:r w:rsidR="009249CB">
              <w:rPr>
                <w:color w:val="000000"/>
              </w:rPr>
              <w:t>1</w:t>
            </w:r>
            <w:r w:rsidR="000A125E">
              <w:rPr>
                <w:color w:val="000000"/>
              </w:rPr>
              <w:t>6</w:t>
            </w:r>
            <w:r w:rsidR="00802311">
              <w:rPr>
                <w:color w:val="000000"/>
              </w:rPr>
              <w:t>5,678</w:t>
            </w:r>
            <w:r>
              <w:rPr>
                <w:color w:val="000000"/>
              </w:rPr>
              <w:t xml:space="preserve"> </w:t>
            </w:r>
          </w:p>
        </w:tc>
      </w:tr>
      <w:tr w:rsidR="001B13D4" w:rsidTr="00D04D3C">
        <w:trPr>
          <w:trHeight w:val="315"/>
          <w:jc w:val="center"/>
        </w:trPr>
        <w:tc>
          <w:tcPr>
            <w:tcW w:w="4426" w:type="dxa"/>
            <w:shd w:val="clear" w:color="auto" w:fill="auto"/>
            <w:noWrap/>
            <w:vAlign w:val="bottom"/>
            <w:hideMark/>
          </w:tcPr>
          <w:p w:rsidR="001B13D4" w:rsidRDefault="001B13D4" w:rsidP="00D04D3C">
            <w:pPr>
              <w:rPr>
                <w:color w:val="000000"/>
              </w:rPr>
            </w:pPr>
            <w:r>
              <w:rPr>
                <w:color w:val="000000"/>
              </w:rPr>
              <w:t>Rate of Return</w:t>
            </w:r>
          </w:p>
        </w:tc>
        <w:tc>
          <w:tcPr>
            <w:tcW w:w="1514" w:type="dxa"/>
            <w:shd w:val="clear" w:color="auto" w:fill="auto"/>
            <w:noWrap/>
            <w:vAlign w:val="bottom"/>
            <w:hideMark/>
          </w:tcPr>
          <w:p w:rsidR="001B13D4" w:rsidRDefault="001B13D4" w:rsidP="00802311">
            <w:pPr>
              <w:jc w:val="right"/>
              <w:rPr>
                <w:color w:val="000000"/>
                <w:u w:val="single"/>
              </w:rPr>
            </w:pPr>
            <w:r>
              <w:rPr>
                <w:color w:val="000000"/>
                <w:u w:val="single"/>
              </w:rPr>
              <w:t>7.</w:t>
            </w:r>
            <w:r w:rsidR="00802311">
              <w:rPr>
                <w:color w:val="000000"/>
                <w:u w:val="single"/>
              </w:rPr>
              <w:t>57</w:t>
            </w:r>
            <w:r>
              <w:rPr>
                <w:color w:val="000000"/>
                <w:u w:val="single"/>
              </w:rPr>
              <w:t>%</w:t>
            </w:r>
          </w:p>
        </w:tc>
      </w:tr>
      <w:tr w:rsidR="001B13D4" w:rsidTr="00D04D3C">
        <w:trPr>
          <w:trHeight w:val="315"/>
          <w:jc w:val="center"/>
        </w:trPr>
        <w:tc>
          <w:tcPr>
            <w:tcW w:w="4426" w:type="dxa"/>
            <w:shd w:val="clear" w:color="auto" w:fill="auto"/>
            <w:noWrap/>
            <w:vAlign w:val="bottom"/>
            <w:hideMark/>
          </w:tcPr>
          <w:p w:rsidR="001B13D4" w:rsidRDefault="001B13D4" w:rsidP="00D04D3C">
            <w:pPr>
              <w:rPr>
                <w:color w:val="000000"/>
              </w:rPr>
            </w:pPr>
            <w:r>
              <w:rPr>
                <w:color w:val="000000"/>
              </w:rPr>
              <w:t>Return on Rate Base</w:t>
            </w:r>
          </w:p>
        </w:tc>
        <w:tc>
          <w:tcPr>
            <w:tcW w:w="1514" w:type="dxa"/>
            <w:shd w:val="clear" w:color="auto" w:fill="auto"/>
            <w:noWrap/>
            <w:vAlign w:val="bottom"/>
            <w:hideMark/>
          </w:tcPr>
          <w:p w:rsidR="001B13D4" w:rsidRDefault="001B13D4" w:rsidP="00802311">
            <w:pPr>
              <w:jc w:val="right"/>
              <w:rPr>
                <w:color w:val="000000"/>
              </w:rPr>
            </w:pPr>
            <w:r>
              <w:rPr>
                <w:color w:val="000000"/>
              </w:rPr>
              <w:t>1</w:t>
            </w:r>
            <w:r w:rsidR="000A125E">
              <w:rPr>
                <w:color w:val="000000"/>
              </w:rPr>
              <w:t>2,</w:t>
            </w:r>
            <w:r w:rsidR="00802311">
              <w:rPr>
                <w:color w:val="000000"/>
              </w:rPr>
              <w:t>548</w:t>
            </w:r>
            <w:r>
              <w:rPr>
                <w:color w:val="000000"/>
              </w:rPr>
              <w:t xml:space="preserve"> </w:t>
            </w:r>
          </w:p>
        </w:tc>
      </w:tr>
      <w:tr w:rsidR="001B13D4" w:rsidTr="00D04D3C">
        <w:trPr>
          <w:trHeight w:val="315"/>
          <w:jc w:val="center"/>
        </w:trPr>
        <w:tc>
          <w:tcPr>
            <w:tcW w:w="4426" w:type="dxa"/>
            <w:shd w:val="clear" w:color="auto" w:fill="auto"/>
            <w:noWrap/>
            <w:vAlign w:val="bottom"/>
            <w:hideMark/>
          </w:tcPr>
          <w:p w:rsidR="001B13D4" w:rsidRDefault="001B13D4" w:rsidP="00D04D3C">
            <w:pPr>
              <w:rPr>
                <w:color w:val="000000"/>
              </w:rPr>
            </w:pPr>
            <w:r>
              <w:rPr>
                <w:color w:val="000000"/>
              </w:rPr>
              <w:t xml:space="preserve">Adjusted </w:t>
            </w:r>
            <w:proofErr w:type="spellStart"/>
            <w:r>
              <w:rPr>
                <w:color w:val="000000"/>
              </w:rPr>
              <w:t>O&amp;M</w:t>
            </w:r>
            <w:proofErr w:type="spellEnd"/>
            <w:r>
              <w:rPr>
                <w:color w:val="000000"/>
              </w:rPr>
              <w:t xml:space="preserve"> Expense</w:t>
            </w:r>
          </w:p>
        </w:tc>
        <w:tc>
          <w:tcPr>
            <w:tcW w:w="1514" w:type="dxa"/>
            <w:shd w:val="clear" w:color="auto" w:fill="auto"/>
            <w:noWrap/>
            <w:vAlign w:val="bottom"/>
            <w:hideMark/>
          </w:tcPr>
          <w:p w:rsidR="001B13D4" w:rsidRDefault="001B13D4" w:rsidP="008656B8">
            <w:pPr>
              <w:jc w:val="right"/>
              <w:rPr>
                <w:color w:val="000000"/>
              </w:rPr>
            </w:pPr>
            <w:r>
              <w:rPr>
                <w:color w:val="000000"/>
              </w:rPr>
              <w:t>3</w:t>
            </w:r>
            <w:r w:rsidR="004C79BA">
              <w:rPr>
                <w:color w:val="000000"/>
              </w:rPr>
              <w:t>0</w:t>
            </w:r>
            <w:r w:rsidR="00802311">
              <w:rPr>
                <w:color w:val="000000"/>
              </w:rPr>
              <w:t>,</w:t>
            </w:r>
            <w:r w:rsidR="008656B8">
              <w:rPr>
                <w:color w:val="000000"/>
              </w:rPr>
              <w:t>350</w:t>
            </w:r>
            <w:r>
              <w:rPr>
                <w:color w:val="000000"/>
              </w:rPr>
              <w:t xml:space="preserve"> </w:t>
            </w:r>
          </w:p>
        </w:tc>
      </w:tr>
      <w:tr w:rsidR="001B13D4" w:rsidTr="00D04D3C">
        <w:trPr>
          <w:trHeight w:val="315"/>
          <w:jc w:val="center"/>
        </w:trPr>
        <w:tc>
          <w:tcPr>
            <w:tcW w:w="4426" w:type="dxa"/>
            <w:shd w:val="clear" w:color="auto" w:fill="auto"/>
            <w:noWrap/>
            <w:vAlign w:val="bottom"/>
            <w:hideMark/>
          </w:tcPr>
          <w:p w:rsidR="001B13D4" w:rsidRDefault="001B13D4" w:rsidP="00D04D3C">
            <w:pPr>
              <w:rPr>
                <w:color w:val="000000"/>
              </w:rPr>
            </w:pPr>
            <w:r>
              <w:rPr>
                <w:color w:val="000000"/>
              </w:rPr>
              <w:t>Depreciation Expense</w:t>
            </w:r>
          </w:p>
        </w:tc>
        <w:tc>
          <w:tcPr>
            <w:tcW w:w="1514" w:type="dxa"/>
            <w:shd w:val="clear" w:color="auto" w:fill="auto"/>
            <w:noWrap/>
            <w:vAlign w:val="bottom"/>
            <w:hideMark/>
          </w:tcPr>
          <w:p w:rsidR="001B13D4" w:rsidRDefault="001B13D4" w:rsidP="00D04D3C">
            <w:pPr>
              <w:jc w:val="right"/>
              <w:rPr>
                <w:color w:val="000000"/>
              </w:rPr>
            </w:pPr>
            <w:r>
              <w:rPr>
                <w:color w:val="000000"/>
              </w:rPr>
              <w:t xml:space="preserve">25,073 </w:t>
            </w:r>
          </w:p>
        </w:tc>
      </w:tr>
      <w:tr w:rsidR="001B13D4" w:rsidTr="00D04D3C">
        <w:trPr>
          <w:trHeight w:val="315"/>
          <w:jc w:val="center"/>
        </w:trPr>
        <w:tc>
          <w:tcPr>
            <w:tcW w:w="4426" w:type="dxa"/>
            <w:shd w:val="clear" w:color="auto" w:fill="auto"/>
            <w:noWrap/>
            <w:vAlign w:val="bottom"/>
            <w:hideMark/>
          </w:tcPr>
          <w:p w:rsidR="001B13D4" w:rsidRDefault="001B13D4" w:rsidP="00D04D3C">
            <w:pPr>
              <w:rPr>
                <w:color w:val="000000"/>
              </w:rPr>
            </w:pPr>
            <w:r>
              <w:rPr>
                <w:color w:val="000000"/>
              </w:rPr>
              <w:t>Amortization</w:t>
            </w:r>
          </w:p>
        </w:tc>
        <w:tc>
          <w:tcPr>
            <w:tcW w:w="1514" w:type="dxa"/>
            <w:shd w:val="clear" w:color="auto" w:fill="auto"/>
            <w:noWrap/>
            <w:vAlign w:val="bottom"/>
            <w:hideMark/>
          </w:tcPr>
          <w:p w:rsidR="001B13D4" w:rsidRDefault="001B13D4" w:rsidP="00802311">
            <w:pPr>
              <w:jc w:val="right"/>
              <w:rPr>
                <w:color w:val="000000"/>
              </w:rPr>
            </w:pPr>
            <w:r>
              <w:t>(2</w:t>
            </w:r>
            <w:r w:rsidR="00802311">
              <w:t>2,709</w:t>
            </w:r>
            <w:r w:rsidRPr="00C531BE">
              <w:t>)</w:t>
            </w:r>
          </w:p>
        </w:tc>
      </w:tr>
      <w:tr w:rsidR="001B13D4" w:rsidTr="00D04D3C">
        <w:trPr>
          <w:trHeight w:val="315"/>
          <w:jc w:val="center"/>
        </w:trPr>
        <w:tc>
          <w:tcPr>
            <w:tcW w:w="4426" w:type="dxa"/>
            <w:shd w:val="clear" w:color="auto" w:fill="auto"/>
            <w:noWrap/>
            <w:vAlign w:val="bottom"/>
            <w:hideMark/>
          </w:tcPr>
          <w:p w:rsidR="001B13D4" w:rsidRDefault="001B13D4" w:rsidP="00D04D3C">
            <w:pPr>
              <w:rPr>
                <w:color w:val="000000"/>
              </w:rPr>
            </w:pPr>
            <w:r>
              <w:rPr>
                <w:color w:val="000000"/>
              </w:rPr>
              <w:t>Taxes Other Than Income</w:t>
            </w:r>
          </w:p>
        </w:tc>
        <w:tc>
          <w:tcPr>
            <w:tcW w:w="1514" w:type="dxa"/>
            <w:shd w:val="clear" w:color="auto" w:fill="auto"/>
            <w:noWrap/>
            <w:vAlign w:val="bottom"/>
            <w:hideMark/>
          </w:tcPr>
          <w:p w:rsidR="001B13D4" w:rsidRDefault="00802311" w:rsidP="008656B8">
            <w:pPr>
              <w:jc w:val="right"/>
              <w:rPr>
                <w:color w:val="000000"/>
              </w:rPr>
            </w:pPr>
            <w:r>
              <w:rPr>
                <w:color w:val="000000"/>
              </w:rPr>
              <w:t>3,91</w:t>
            </w:r>
            <w:r w:rsidR="008656B8">
              <w:rPr>
                <w:color w:val="000000"/>
              </w:rPr>
              <w:t>7</w:t>
            </w:r>
            <w:r w:rsidR="001B13D4">
              <w:rPr>
                <w:color w:val="000000"/>
              </w:rPr>
              <w:t xml:space="preserve"> </w:t>
            </w:r>
          </w:p>
        </w:tc>
      </w:tr>
      <w:tr w:rsidR="001B13D4" w:rsidTr="00D04D3C">
        <w:trPr>
          <w:trHeight w:val="315"/>
          <w:jc w:val="center"/>
        </w:trPr>
        <w:tc>
          <w:tcPr>
            <w:tcW w:w="4426" w:type="dxa"/>
            <w:shd w:val="clear" w:color="auto" w:fill="auto"/>
            <w:noWrap/>
            <w:vAlign w:val="bottom"/>
            <w:hideMark/>
          </w:tcPr>
          <w:p w:rsidR="001B13D4" w:rsidRDefault="001B13D4" w:rsidP="00D04D3C">
            <w:pPr>
              <w:rPr>
                <w:color w:val="000000"/>
              </w:rPr>
            </w:pPr>
            <w:r>
              <w:rPr>
                <w:color w:val="000000"/>
              </w:rPr>
              <w:t>Income Taxes</w:t>
            </w:r>
          </w:p>
        </w:tc>
        <w:tc>
          <w:tcPr>
            <w:tcW w:w="1514" w:type="dxa"/>
            <w:shd w:val="clear" w:color="auto" w:fill="auto"/>
            <w:noWrap/>
            <w:vAlign w:val="bottom"/>
            <w:hideMark/>
          </w:tcPr>
          <w:p w:rsidR="001B13D4" w:rsidRDefault="001B13D4" w:rsidP="00D04D3C">
            <w:pPr>
              <w:jc w:val="right"/>
              <w:rPr>
                <w:color w:val="000000"/>
                <w:u w:val="single"/>
              </w:rPr>
            </w:pPr>
            <w:r>
              <w:rPr>
                <w:color w:val="000000"/>
                <w:u w:val="single"/>
              </w:rPr>
              <w:t xml:space="preserve">0 </w:t>
            </w:r>
          </w:p>
        </w:tc>
      </w:tr>
      <w:tr w:rsidR="001B13D4" w:rsidTr="00D04D3C">
        <w:trPr>
          <w:trHeight w:val="315"/>
          <w:jc w:val="center"/>
        </w:trPr>
        <w:tc>
          <w:tcPr>
            <w:tcW w:w="4426" w:type="dxa"/>
            <w:shd w:val="clear" w:color="auto" w:fill="auto"/>
            <w:noWrap/>
            <w:vAlign w:val="bottom"/>
            <w:hideMark/>
          </w:tcPr>
          <w:p w:rsidR="001B13D4" w:rsidRDefault="001B13D4" w:rsidP="00D04D3C">
            <w:pPr>
              <w:rPr>
                <w:color w:val="000000"/>
              </w:rPr>
            </w:pPr>
            <w:r>
              <w:rPr>
                <w:color w:val="000000"/>
              </w:rPr>
              <w:t>Revenue Requirement</w:t>
            </w:r>
          </w:p>
        </w:tc>
        <w:tc>
          <w:tcPr>
            <w:tcW w:w="1514" w:type="dxa"/>
            <w:shd w:val="clear" w:color="auto" w:fill="auto"/>
            <w:noWrap/>
            <w:vAlign w:val="bottom"/>
            <w:hideMark/>
          </w:tcPr>
          <w:p w:rsidR="001B13D4" w:rsidRPr="0002759A" w:rsidRDefault="001B13D4" w:rsidP="008656B8">
            <w:pPr>
              <w:jc w:val="right"/>
              <w:rPr>
                <w:color w:val="000000"/>
              </w:rPr>
            </w:pPr>
            <w:r>
              <w:rPr>
                <w:color w:val="000000"/>
              </w:rPr>
              <w:t>$</w:t>
            </w:r>
            <w:r w:rsidR="000A125E">
              <w:rPr>
                <w:color w:val="000000"/>
              </w:rPr>
              <w:t>4</w:t>
            </w:r>
            <w:r w:rsidR="00802311">
              <w:rPr>
                <w:color w:val="000000"/>
              </w:rPr>
              <w:t>9,</w:t>
            </w:r>
            <w:r w:rsidR="008656B8">
              <w:rPr>
                <w:color w:val="000000"/>
              </w:rPr>
              <w:t>179</w:t>
            </w:r>
            <w:r w:rsidRPr="0002759A">
              <w:rPr>
                <w:color w:val="000000"/>
              </w:rPr>
              <w:t xml:space="preserve"> </w:t>
            </w:r>
          </w:p>
        </w:tc>
      </w:tr>
      <w:tr w:rsidR="001B13D4" w:rsidTr="00D04D3C">
        <w:trPr>
          <w:trHeight w:val="315"/>
          <w:jc w:val="center"/>
        </w:trPr>
        <w:tc>
          <w:tcPr>
            <w:tcW w:w="4426" w:type="dxa"/>
            <w:shd w:val="clear" w:color="auto" w:fill="auto"/>
            <w:noWrap/>
            <w:vAlign w:val="bottom"/>
            <w:hideMark/>
          </w:tcPr>
          <w:p w:rsidR="001B13D4" w:rsidRDefault="001B13D4" w:rsidP="00D04D3C">
            <w:pPr>
              <w:rPr>
                <w:color w:val="000000"/>
              </w:rPr>
            </w:pPr>
            <w:r>
              <w:rPr>
                <w:color w:val="000000"/>
              </w:rPr>
              <w:t>Less Test Year Revenues</w:t>
            </w:r>
          </w:p>
        </w:tc>
        <w:tc>
          <w:tcPr>
            <w:tcW w:w="1514" w:type="dxa"/>
            <w:shd w:val="clear" w:color="auto" w:fill="auto"/>
            <w:noWrap/>
            <w:vAlign w:val="bottom"/>
            <w:hideMark/>
          </w:tcPr>
          <w:p w:rsidR="001B13D4" w:rsidRPr="0002759A" w:rsidRDefault="004C79BA" w:rsidP="00A07B54">
            <w:pPr>
              <w:jc w:val="right"/>
              <w:rPr>
                <w:color w:val="000000"/>
                <w:u w:val="single"/>
              </w:rPr>
            </w:pPr>
            <w:r>
              <w:rPr>
                <w:color w:val="000000"/>
                <w:u w:val="single"/>
              </w:rPr>
              <w:t>$</w:t>
            </w:r>
            <w:r w:rsidR="00A07B54">
              <w:rPr>
                <w:color w:val="000000"/>
                <w:u w:val="single"/>
              </w:rPr>
              <w:t>41,373</w:t>
            </w:r>
            <w:r w:rsidR="001B13D4" w:rsidRPr="0002759A">
              <w:rPr>
                <w:color w:val="000000"/>
                <w:u w:val="single"/>
              </w:rPr>
              <w:t xml:space="preserve"> </w:t>
            </w:r>
          </w:p>
        </w:tc>
      </w:tr>
      <w:tr w:rsidR="001B13D4" w:rsidTr="00D04D3C">
        <w:trPr>
          <w:trHeight w:val="315"/>
          <w:jc w:val="center"/>
        </w:trPr>
        <w:tc>
          <w:tcPr>
            <w:tcW w:w="4426" w:type="dxa"/>
            <w:shd w:val="clear" w:color="auto" w:fill="auto"/>
            <w:noWrap/>
            <w:vAlign w:val="bottom"/>
            <w:hideMark/>
          </w:tcPr>
          <w:p w:rsidR="001B13D4" w:rsidRDefault="001B13D4" w:rsidP="00D04D3C">
            <w:pPr>
              <w:rPr>
                <w:color w:val="000000"/>
              </w:rPr>
            </w:pPr>
            <w:r>
              <w:rPr>
                <w:color w:val="000000"/>
              </w:rPr>
              <w:t>Annual Increase / (Decrease)</w:t>
            </w:r>
          </w:p>
        </w:tc>
        <w:tc>
          <w:tcPr>
            <w:tcW w:w="1514" w:type="dxa"/>
            <w:shd w:val="clear" w:color="auto" w:fill="auto"/>
            <w:noWrap/>
            <w:vAlign w:val="bottom"/>
            <w:hideMark/>
          </w:tcPr>
          <w:p w:rsidR="001B13D4" w:rsidRPr="0002759A" w:rsidRDefault="001B13D4" w:rsidP="008656B8">
            <w:pPr>
              <w:jc w:val="right"/>
              <w:rPr>
                <w:color w:val="000000"/>
                <w:u w:val="double"/>
              </w:rPr>
            </w:pPr>
            <w:r>
              <w:rPr>
                <w:color w:val="000000"/>
                <w:u w:val="double"/>
              </w:rPr>
              <w:t>$</w:t>
            </w:r>
            <w:r w:rsidR="00802311">
              <w:rPr>
                <w:color w:val="000000"/>
                <w:u w:val="double"/>
              </w:rPr>
              <w:t>7,</w:t>
            </w:r>
            <w:r w:rsidR="008656B8">
              <w:rPr>
                <w:color w:val="000000"/>
                <w:u w:val="double"/>
              </w:rPr>
              <w:t>806</w:t>
            </w:r>
            <w:r w:rsidRPr="0002759A">
              <w:rPr>
                <w:color w:val="000000"/>
                <w:u w:val="double"/>
              </w:rPr>
              <w:t xml:space="preserve"> </w:t>
            </w:r>
          </w:p>
        </w:tc>
      </w:tr>
      <w:tr w:rsidR="001B13D4" w:rsidTr="00D04D3C">
        <w:trPr>
          <w:trHeight w:val="330"/>
          <w:jc w:val="center"/>
        </w:trPr>
        <w:tc>
          <w:tcPr>
            <w:tcW w:w="4426" w:type="dxa"/>
            <w:shd w:val="clear" w:color="auto" w:fill="auto"/>
            <w:noWrap/>
            <w:vAlign w:val="bottom"/>
            <w:hideMark/>
          </w:tcPr>
          <w:p w:rsidR="001B13D4" w:rsidRDefault="001B13D4" w:rsidP="00D04D3C">
            <w:pPr>
              <w:rPr>
                <w:color w:val="000000"/>
              </w:rPr>
            </w:pPr>
            <w:r>
              <w:rPr>
                <w:color w:val="000000"/>
              </w:rPr>
              <w:t>Percent Increase / (Decrease)</w:t>
            </w:r>
          </w:p>
        </w:tc>
        <w:tc>
          <w:tcPr>
            <w:tcW w:w="1514" w:type="dxa"/>
            <w:shd w:val="clear" w:color="auto" w:fill="auto"/>
            <w:noWrap/>
            <w:vAlign w:val="bottom"/>
            <w:hideMark/>
          </w:tcPr>
          <w:p w:rsidR="001B13D4" w:rsidRPr="0002759A" w:rsidRDefault="009249CB" w:rsidP="008656B8">
            <w:pPr>
              <w:jc w:val="right"/>
              <w:rPr>
                <w:color w:val="000000"/>
                <w:u w:val="double"/>
              </w:rPr>
            </w:pPr>
            <w:r>
              <w:rPr>
                <w:color w:val="000000"/>
                <w:u w:val="double"/>
              </w:rPr>
              <w:t>1</w:t>
            </w:r>
            <w:r w:rsidR="00802311">
              <w:rPr>
                <w:color w:val="000000"/>
                <w:u w:val="double"/>
              </w:rPr>
              <w:t>8.</w:t>
            </w:r>
            <w:r w:rsidR="008656B8">
              <w:rPr>
                <w:color w:val="000000"/>
                <w:u w:val="double"/>
              </w:rPr>
              <w:t>87</w:t>
            </w:r>
            <w:r w:rsidR="001B13D4" w:rsidRPr="0002759A">
              <w:rPr>
                <w:color w:val="000000"/>
                <w:u w:val="double"/>
              </w:rPr>
              <w:t>%</w:t>
            </w:r>
          </w:p>
        </w:tc>
      </w:tr>
    </w:tbl>
    <w:p w:rsidR="001B13D4" w:rsidRPr="008656B8" w:rsidRDefault="001B13D4" w:rsidP="001B13D4">
      <w:pPr>
        <w:pStyle w:val="TableSource"/>
        <w:spacing w:after="240"/>
        <w:ind w:left="1440"/>
      </w:pPr>
      <w:r w:rsidRPr="008656B8">
        <w:t xml:space="preserve">      Source: Responses to staff data requests.</w:t>
      </w:r>
    </w:p>
    <w:p w:rsidR="001B13D4" w:rsidRDefault="001B13D4" w:rsidP="001B13D4">
      <w:pPr>
        <w:pStyle w:val="BodyText"/>
        <w:spacing w:after="0"/>
        <w:jc w:val="left"/>
        <w:rPr>
          <w:b/>
        </w:rPr>
      </w:pPr>
    </w:p>
    <w:p w:rsidR="00B87604" w:rsidRDefault="00B87604">
      <w:pPr>
        <w:pStyle w:val="IssueHeading"/>
        <w:rPr>
          <w:b w:val="0"/>
          <w:i w:val="0"/>
        </w:rPr>
        <w:sectPr w:rsidR="00B87604" w:rsidSect="009B1FE5">
          <w:headerReference w:type="default" r:id="rId22"/>
          <w:pgSz w:w="12240" w:h="15840" w:code="1"/>
          <w:pgMar w:top="1584" w:right="1440" w:bottom="1440" w:left="1440" w:header="720" w:footer="720" w:gutter="0"/>
          <w:cols w:space="720"/>
          <w:formProt w:val="0"/>
          <w:docGrid w:linePitch="360"/>
        </w:sectPr>
      </w:pPr>
    </w:p>
    <w:p w:rsidR="001B13D4" w:rsidRDefault="001B13D4">
      <w:pPr>
        <w:pStyle w:val="IssueHeading"/>
        <w:rPr>
          <w:vanish/>
          <w:specVanish/>
        </w:rPr>
      </w:pPr>
      <w:r w:rsidRPr="004C3641">
        <w:lastRenderedPageBreak/>
        <w:t xml:space="preserve">Issue </w:t>
      </w:r>
      <w:fldSimple w:instr=" SEQ Issue \* MERGEFORMAT ">
        <w:r w:rsidR="00B51302">
          <w:rPr>
            <w:noProof/>
          </w:rPr>
          <w:t>9</w:t>
        </w:r>
      </w:fldSimple>
      <w:r w:rsidRPr="004C3641">
        <w:t>:</w:t>
      </w:r>
      <w:r>
        <w:fldChar w:fldCharType="begin"/>
      </w:r>
      <w:r>
        <w:instrText xml:space="preserve"> TC "</w:instrText>
      </w:r>
      <w:r>
        <w:fldChar w:fldCharType="begin"/>
      </w:r>
      <w:r>
        <w:instrText xml:space="preserve"> SEQ issue \c </w:instrText>
      </w:r>
      <w:r>
        <w:fldChar w:fldCharType="separate"/>
      </w:r>
      <w:bookmarkStart w:id="33" w:name="_Toc30164204"/>
      <w:bookmarkStart w:id="34" w:name="_Toc32829965"/>
      <w:r w:rsidR="00B51302">
        <w:rPr>
          <w:noProof/>
        </w:rPr>
        <w:instrText>9</w:instrText>
      </w:r>
      <w:r>
        <w:fldChar w:fldCharType="end"/>
      </w:r>
      <w:r>
        <w:tab/>
        <w:instrText>Appropriate Rate Structure (Bethea)</w:instrText>
      </w:r>
      <w:bookmarkEnd w:id="33"/>
      <w:bookmarkEnd w:id="34"/>
      <w:r>
        <w:instrText xml:space="preserve">" \l 1 </w:instrText>
      </w:r>
      <w:r>
        <w:fldChar w:fldCharType="end"/>
      </w:r>
      <w:r>
        <w:t> </w:t>
      </w:r>
    </w:p>
    <w:p w:rsidR="001B13D4" w:rsidRDefault="001B13D4">
      <w:pPr>
        <w:pStyle w:val="BodyText"/>
      </w:pPr>
      <w:r>
        <w:t> </w:t>
      </w:r>
      <w:r w:rsidR="008F1D71" w:rsidRPr="00C850C2">
        <w:t>What are the appropriate rate structu</w:t>
      </w:r>
      <w:r w:rsidR="008F1D71">
        <w:t>res and rates for the water system of The Woods Utility Company</w:t>
      </w:r>
      <w:r w:rsidR="008F1D71" w:rsidRPr="00402BFC">
        <w:t>?</w:t>
      </w:r>
    </w:p>
    <w:p w:rsidR="001B13D4" w:rsidRPr="004C3641" w:rsidRDefault="001B13D4">
      <w:pPr>
        <w:pStyle w:val="IssueSubsectionHeading"/>
        <w:rPr>
          <w:vanish/>
          <w:specVanish/>
        </w:rPr>
      </w:pPr>
      <w:r w:rsidRPr="004C3641">
        <w:t>Recommendation: </w:t>
      </w:r>
    </w:p>
    <w:p w:rsidR="001B13D4" w:rsidRDefault="001B13D4">
      <w:pPr>
        <w:pStyle w:val="BodyText"/>
      </w:pPr>
      <w:r>
        <w:t> </w:t>
      </w:r>
      <w:r w:rsidR="008F1D71" w:rsidRPr="00C850C2">
        <w:t>The recomme</w:t>
      </w:r>
      <w:r w:rsidR="008F1D71">
        <w:t xml:space="preserve">nded rate structures and monthly water </w:t>
      </w:r>
      <w:r w:rsidR="008F1D71" w:rsidRPr="00C850C2">
        <w:t>ra</w:t>
      </w:r>
      <w:r w:rsidR="008F1D71">
        <w:t>tes are shown on Schedule No. 4</w:t>
      </w:r>
      <w:r w:rsidR="008F1D71" w:rsidRPr="00C850C2">
        <w:t>.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w:t>
      </w:r>
      <w:r w:rsidR="008656B8">
        <w:t>e</w:t>
      </w:r>
      <w:r w:rsidR="008F1D71" w:rsidRPr="00C850C2">
        <w:t xml:space="preserve"> notice.</w:t>
      </w:r>
      <w:r w:rsidR="008F1D71">
        <w:t xml:space="preserve"> </w:t>
      </w:r>
      <w:r>
        <w:t>(</w:t>
      </w:r>
      <w:proofErr w:type="spellStart"/>
      <w:r>
        <w:t>Bethea</w:t>
      </w:r>
      <w:proofErr w:type="spellEnd"/>
      <w:r>
        <w:t>)</w:t>
      </w:r>
    </w:p>
    <w:p w:rsidR="008D6FDE" w:rsidRPr="008D6FDE" w:rsidRDefault="008D6FDE" w:rsidP="008D6FDE">
      <w:pPr>
        <w:spacing w:after="240"/>
        <w:jc w:val="both"/>
        <w:outlineLvl w:val="1"/>
        <w:rPr>
          <w:rFonts w:ascii="Arial" w:hAnsi="Arial" w:cs="Arial"/>
          <w:b/>
          <w:bCs/>
          <w:i/>
          <w:iCs/>
          <w:vanish/>
          <w:szCs w:val="28"/>
        </w:rPr>
      </w:pPr>
      <w:r w:rsidRPr="008D6FDE">
        <w:rPr>
          <w:rFonts w:ascii="Arial" w:hAnsi="Arial" w:cs="Arial"/>
          <w:b/>
          <w:bCs/>
          <w:i/>
          <w:iCs/>
          <w:szCs w:val="28"/>
        </w:rPr>
        <w:t>Staff Analysis: </w:t>
      </w:r>
    </w:p>
    <w:p w:rsidR="0043068D" w:rsidRPr="0043068D" w:rsidRDefault="008D6FDE" w:rsidP="0043068D">
      <w:pPr>
        <w:pStyle w:val="IssueSubsectionHeading"/>
      </w:pPr>
      <w:r w:rsidRPr="008D6FDE">
        <w:t> </w:t>
      </w:r>
      <w:r w:rsidR="0043068D" w:rsidRPr="0043068D">
        <w:rPr>
          <w:rFonts w:ascii="Times New Roman" w:hAnsi="Times New Roman" w:cs="Times New Roman"/>
          <w:b w:val="0"/>
          <w:bCs w:val="0"/>
          <w:i w:val="0"/>
          <w:iCs w:val="0"/>
          <w:szCs w:val="24"/>
        </w:rPr>
        <w:t xml:space="preserve">The Utility is located in Sumter County within the </w:t>
      </w:r>
      <w:proofErr w:type="spellStart"/>
      <w:r w:rsidR="007852B7">
        <w:rPr>
          <w:rFonts w:ascii="Times New Roman" w:hAnsi="Times New Roman" w:cs="Times New Roman"/>
          <w:b w:val="0"/>
          <w:bCs w:val="0"/>
          <w:i w:val="0"/>
          <w:iCs w:val="0"/>
          <w:szCs w:val="24"/>
        </w:rPr>
        <w:t>SWFWMD</w:t>
      </w:r>
      <w:proofErr w:type="spellEnd"/>
      <w:r w:rsidR="0043068D" w:rsidRPr="0043068D">
        <w:rPr>
          <w:rFonts w:ascii="Times New Roman" w:hAnsi="Times New Roman" w:cs="Times New Roman"/>
          <w:b w:val="0"/>
          <w:bCs w:val="0"/>
          <w:i w:val="0"/>
          <w:iCs w:val="0"/>
          <w:szCs w:val="24"/>
        </w:rPr>
        <w:t>. The Woods provides water service to approximately 58 residential customers and 1 general service customer. Typically, staff evaluates the seasonality of Utility customers based on the percentage of bills at zero gallons, which is 16 percent. Staff then evaluated the seasonality based on the percentage of bills at the 1,000 gallon level, which is 37 percent. As a result, it appears that the customer base is somewhat seasonal. The average residential water demand is 3,406 gallons per month. The average water demand excluding zero gallon bills is 4,030 gallons per month. The Utility’s current water system rate structure for residential service consists of a monthly base facility charge (</w:t>
      </w:r>
      <w:proofErr w:type="spellStart"/>
      <w:r w:rsidR="0043068D" w:rsidRPr="0043068D">
        <w:rPr>
          <w:rFonts w:ascii="Times New Roman" w:hAnsi="Times New Roman" w:cs="Times New Roman"/>
          <w:b w:val="0"/>
          <w:bCs w:val="0"/>
          <w:i w:val="0"/>
          <w:iCs w:val="0"/>
          <w:szCs w:val="24"/>
        </w:rPr>
        <w:t>BFC</w:t>
      </w:r>
      <w:proofErr w:type="spellEnd"/>
      <w:r w:rsidR="0043068D" w:rsidRPr="0043068D">
        <w:rPr>
          <w:rFonts w:ascii="Times New Roman" w:hAnsi="Times New Roman" w:cs="Times New Roman"/>
          <w:b w:val="0"/>
          <w:bCs w:val="0"/>
          <w:i w:val="0"/>
          <w:iCs w:val="0"/>
          <w:szCs w:val="24"/>
        </w:rPr>
        <w:t xml:space="preserve">) based on meter size with a three tier </w:t>
      </w:r>
      <w:proofErr w:type="spellStart"/>
      <w:r w:rsidR="0043068D" w:rsidRPr="0043068D">
        <w:rPr>
          <w:rFonts w:ascii="Times New Roman" w:hAnsi="Times New Roman" w:cs="Times New Roman"/>
          <w:b w:val="0"/>
          <w:bCs w:val="0"/>
          <w:i w:val="0"/>
          <w:iCs w:val="0"/>
          <w:szCs w:val="24"/>
        </w:rPr>
        <w:t>gallonage</w:t>
      </w:r>
      <w:proofErr w:type="spellEnd"/>
      <w:r w:rsidR="0043068D" w:rsidRPr="0043068D">
        <w:rPr>
          <w:rFonts w:ascii="Times New Roman" w:hAnsi="Times New Roman" w:cs="Times New Roman"/>
          <w:b w:val="0"/>
          <w:bCs w:val="0"/>
          <w:i w:val="0"/>
          <w:iCs w:val="0"/>
          <w:szCs w:val="24"/>
        </w:rPr>
        <w:t xml:space="preserve"> charge: (1) 0-6,000 gallons; (2) 6,001-12,000 gallons; and (3) all usage in excess of 12,001 gallons per month. General </w:t>
      </w:r>
      <w:proofErr w:type="gramStart"/>
      <w:r w:rsidR="0043068D" w:rsidRPr="0043068D">
        <w:rPr>
          <w:rFonts w:ascii="Times New Roman" w:hAnsi="Times New Roman" w:cs="Times New Roman"/>
          <w:b w:val="0"/>
          <w:bCs w:val="0"/>
          <w:i w:val="0"/>
          <w:iCs w:val="0"/>
          <w:szCs w:val="24"/>
        </w:rPr>
        <w:t>service</w:t>
      </w:r>
      <w:proofErr w:type="gramEnd"/>
      <w:r w:rsidR="0043068D" w:rsidRPr="0043068D">
        <w:rPr>
          <w:rFonts w:ascii="Times New Roman" w:hAnsi="Times New Roman" w:cs="Times New Roman"/>
          <w:b w:val="0"/>
          <w:bCs w:val="0"/>
          <w:i w:val="0"/>
          <w:iCs w:val="0"/>
          <w:szCs w:val="24"/>
        </w:rPr>
        <w:t xml:space="preserve"> customers are billed a monthly </w:t>
      </w:r>
      <w:proofErr w:type="spellStart"/>
      <w:r w:rsidR="0043068D" w:rsidRPr="0043068D">
        <w:rPr>
          <w:rFonts w:ascii="Times New Roman" w:hAnsi="Times New Roman" w:cs="Times New Roman"/>
          <w:b w:val="0"/>
          <w:bCs w:val="0"/>
          <w:i w:val="0"/>
          <w:iCs w:val="0"/>
          <w:szCs w:val="24"/>
        </w:rPr>
        <w:t>BFC</w:t>
      </w:r>
      <w:proofErr w:type="spellEnd"/>
      <w:r w:rsidR="0043068D" w:rsidRPr="0043068D">
        <w:rPr>
          <w:rFonts w:ascii="Times New Roman" w:hAnsi="Times New Roman" w:cs="Times New Roman"/>
          <w:b w:val="0"/>
          <w:bCs w:val="0"/>
          <w:i w:val="0"/>
          <w:iCs w:val="0"/>
          <w:szCs w:val="24"/>
        </w:rPr>
        <w:t xml:space="preserve"> based on meter size and a uniform </w:t>
      </w:r>
      <w:proofErr w:type="spellStart"/>
      <w:r w:rsidR="0043068D" w:rsidRPr="0043068D">
        <w:rPr>
          <w:rFonts w:ascii="Times New Roman" w:hAnsi="Times New Roman" w:cs="Times New Roman"/>
          <w:b w:val="0"/>
          <w:bCs w:val="0"/>
          <w:i w:val="0"/>
          <w:iCs w:val="0"/>
          <w:szCs w:val="24"/>
        </w:rPr>
        <w:t>gallonage</w:t>
      </w:r>
      <w:proofErr w:type="spellEnd"/>
      <w:r w:rsidR="0043068D" w:rsidRPr="0043068D">
        <w:rPr>
          <w:rFonts w:ascii="Times New Roman" w:hAnsi="Times New Roman" w:cs="Times New Roman"/>
          <w:b w:val="0"/>
          <w:bCs w:val="0"/>
          <w:i w:val="0"/>
          <w:iCs w:val="0"/>
          <w:szCs w:val="24"/>
        </w:rPr>
        <w:t xml:space="preserve"> charge.</w:t>
      </w:r>
    </w:p>
    <w:p w:rsidR="0043068D" w:rsidRPr="0043068D" w:rsidRDefault="0043068D" w:rsidP="0043068D">
      <w:pPr>
        <w:spacing w:after="240"/>
        <w:jc w:val="both"/>
      </w:pPr>
      <w:r w:rsidRPr="0043068D">
        <w:t>Staff performed an analysis of the Utility’s billing data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Commission practice.</w:t>
      </w:r>
    </w:p>
    <w:p w:rsidR="0043068D" w:rsidRPr="0043068D" w:rsidRDefault="0043068D" w:rsidP="0043068D">
      <w:pPr>
        <w:spacing w:after="240"/>
        <w:jc w:val="both"/>
      </w:pPr>
      <w:r w:rsidRPr="0043068D">
        <w:t xml:space="preserve">In this case, staff recommends that 40 percent of the water revenues should be generated from the </w:t>
      </w:r>
      <w:proofErr w:type="spellStart"/>
      <w:r w:rsidRPr="0043068D">
        <w:t>BFC</w:t>
      </w:r>
      <w:proofErr w:type="spellEnd"/>
      <w:r w:rsidRPr="0043068D">
        <w:t xml:space="preserve">, which will provide sufficient revenues to design </w:t>
      </w:r>
      <w:proofErr w:type="spellStart"/>
      <w:r w:rsidRPr="0043068D">
        <w:t>gallonage</w:t>
      </w:r>
      <w:proofErr w:type="spellEnd"/>
      <w:r w:rsidRPr="0043068D">
        <w:t xml:space="preserve"> charges that send pricing signals to customers using above the non-discretionary level. </w:t>
      </w:r>
      <w:r w:rsidR="009E2533">
        <w:t>According to census data, t</w:t>
      </w:r>
      <w:r w:rsidRPr="0043068D">
        <w:t>he average people per household served by the water system is two and a half; therefore, based on the number of people per household, 50 gallons per day per person, and the number of days per month, the non-discretionary usage threshold should be 4,000 gallons per month.</w:t>
      </w:r>
      <w:r w:rsidR="009E2533">
        <w:rPr>
          <w:rStyle w:val="FootnoteReference"/>
        </w:rPr>
        <w:footnoteReference w:id="23"/>
      </w:r>
      <w:r w:rsidRPr="0043068D">
        <w:t xml:space="preserve"> Staff recommends a </w:t>
      </w:r>
      <w:proofErr w:type="spellStart"/>
      <w:r w:rsidRPr="0043068D">
        <w:t>BFC</w:t>
      </w:r>
      <w:proofErr w:type="spellEnd"/>
      <w:r w:rsidRPr="0043068D">
        <w:t xml:space="preserve"> and a three tier inclining block rate structure, which includes separate </w:t>
      </w:r>
      <w:proofErr w:type="spellStart"/>
      <w:r w:rsidRPr="0043068D">
        <w:t>gallonage</w:t>
      </w:r>
      <w:proofErr w:type="spellEnd"/>
      <w:r w:rsidRPr="0043068D">
        <w:t xml:space="preserve"> charges for discretionary and non-discretionary usage for residential water customers. The staff recommended blocks are: (1) 0-4,000 gallons; (2) 4,001-10,000 gallons; and (3) all usage in excess of 10,000 gallons per month. This rate structure sends the appropriate pricing signals because it targets high consumption levels and minimizes price increases for customers at non-discretionary levels. In addition, the third tier provides an additional pricing signal to customers using in excess of 10,000 gallons of water per month, which represents approximately 10 percent of the usage. General </w:t>
      </w:r>
      <w:proofErr w:type="gramStart"/>
      <w:r w:rsidRPr="0043068D">
        <w:t>service</w:t>
      </w:r>
      <w:proofErr w:type="gramEnd"/>
      <w:r w:rsidRPr="0043068D">
        <w:t xml:space="preserve"> customers should be billed a </w:t>
      </w:r>
      <w:proofErr w:type="spellStart"/>
      <w:r w:rsidRPr="0043068D">
        <w:t>BFC</w:t>
      </w:r>
      <w:proofErr w:type="spellEnd"/>
      <w:r w:rsidRPr="0043068D">
        <w:t xml:space="preserve"> and uniform </w:t>
      </w:r>
      <w:proofErr w:type="spellStart"/>
      <w:r w:rsidRPr="0043068D">
        <w:t>gallonage</w:t>
      </w:r>
      <w:proofErr w:type="spellEnd"/>
      <w:r w:rsidRPr="0043068D">
        <w:t xml:space="preserve"> charge.</w:t>
      </w:r>
    </w:p>
    <w:p w:rsidR="0043068D" w:rsidRPr="0043068D" w:rsidRDefault="0043068D" w:rsidP="0043068D">
      <w:pPr>
        <w:spacing w:after="240"/>
        <w:jc w:val="both"/>
      </w:pPr>
      <w:r w:rsidRPr="0043068D">
        <w:lastRenderedPageBreak/>
        <w:t>Based on the customer billing data, approximately 33 percent of total residential consumption is discretionary and subject to the effects of repression. Customers will typically adjust their discretionary consumption in response to price changes, while non-discretionary consumption remains relatively unresponsive. Based on a recommended revenue increase of 20.6 percent, which excludes miscellaneous revenues, the residential consumption can be expected to decline by 118,000 gallons resulting in anticipated average residential demand of 3,239 gallons per month. Staff recommends a 4.9 percent reduction in test year residential gallons for rate setting purposes and corresponding reductions of $66 for purchased power, $78 for chemicals, and $7 for RAFs to reflect the anticipated repression, which results in a post repression revenue requirement of $45,519.</w:t>
      </w:r>
    </w:p>
    <w:p w:rsidR="0043068D" w:rsidRDefault="0043068D" w:rsidP="0043068D">
      <w:pPr>
        <w:spacing w:after="240"/>
        <w:jc w:val="both"/>
      </w:pPr>
      <w:r>
        <w:t>Table 9</w:t>
      </w:r>
      <w:r w:rsidRPr="0043068D">
        <w:t>-1 contains staff’s recommended water rate structure and rates</w:t>
      </w:r>
      <w:r w:rsidR="00EC64D5">
        <w:t>,</w:t>
      </w:r>
      <w:r w:rsidRPr="0043068D">
        <w:t xml:space="preserve"> as well as an alternative rate structure.  The alternative rate structure </w:t>
      </w:r>
      <w:proofErr w:type="spellStart"/>
      <w:r w:rsidRPr="0043068D">
        <w:t>BFC</w:t>
      </w:r>
      <w:proofErr w:type="spellEnd"/>
      <w:r w:rsidRPr="0043068D">
        <w:t xml:space="preserve"> allocation of 42 percent and rate blocks are consistent with the current rate structure.</w:t>
      </w:r>
      <w:r w:rsidR="00106FEF" w:rsidRPr="00106FEF">
        <w:t xml:space="preserve"> </w:t>
      </w:r>
      <w:r w:rsidR="00106FEF" w:rsidRPr="00F611EB">
        <w:t xml:space="preserve">Staff notes that the calculation of the </w:t>
      </w:r>
      <w:proofErr w:type="spellStart"/>
      <w:r w:rsidR="00106FEF" w:rsidRPr="00F611EB">
        <w:t>gallonage</w:t>
      </w:r>
      <w:proofErr w:type="spellEnd"/>
      <w:r w:rsidR="00106FEF" w:rsidRPr="00F611EB">
        <w:t xml:space="preserve"> charges under the alternative rate structures yields the same charges as under the staff-recommended rates. However, as a result of the higher </w:t>
      </w:r>
      <w:proofErr w:type="spellStart"/>
      <w:r w:rsidR="00106FEF" w:rsidRPr="00F611EB">
        <w:t>BFC</w:t>
      </w:r>
      <w:proofErr w:type="spellEnd"/>
      <w:r w:rsidR="00106FEF" w:rsidRPr="00F611EB">
        <w:t xml:space="preserve"> allocation and different rate structure, the bill impacts between the staff-recommended and alternative rates are different.</w:t>
      </w:r>
      <w:r w:rsidRPr="0043068D">
        <w:t xml:space="preserve"> The alternative rate structure, in comparison to the staff</w:t>
      </w:r>
      <w:r w:rsidR="00EC64D5">
        <w:t>-</w:t>
      </w:r>
      <w:r w:rsidRPr="0043068D">
        <w:t>recommended</w:t>
      </w:r>
      <w:r w:rsidR="00EC64D5">
        <w:t xml:space="preserve"> rates</w:t>
      </w:r>
      <w:r w:rsidRPr="0043068D">
        <w:t>, sends less of a pricing signal to target discretionary usage.  The staff</w:t>
      </w:r>
      <w:r w:rsidR="00EC64D5">
        <w:t>-</w:t>
      </w:r>
      <w:r w:rsidRPr="0043068D">
        <w:t>recommended rate structure provides both rate stability and a significant pricing signal that targets discretionary usage.</w:t>
      </w:r>
    </w:p>
    <w:p w:rsidR="00106FEF" w:rsidRDefault="00106FEF" w:rsidP="0043068D">
      <w:pPr>
        <w:spacing w:after="240"/>
        <w:jc w:val="both"/>
      </w:pPr>
    </w:p>
    <w:p w:rsidR="00106FEF" w:rsidRDefault="00106FEF" w:rsidP="0043068D">
      <w:pPr>
        <w:spacing w:after="240"/>
        <w:jc w:val="both"/>
      </w:pPr>
    </w:p>
    <w:p w:rsidR="00106FEF" w:rsidRDefault="00106FEF" w:rsidP="0043068D">
      <w:pPr>
        <w:spacing w:after="240"/>
        <w:jc w:val="both"/>
      </w:pPr>
    </w:p>
    <w:p w:rsidR="00106FEF" w:rsidRDefault="00106FEF" w:rsidP="0043068D">
      <w:pPr>
        <w:spacing w:after="240"/>
        <w:jc w:val="both"/>
      </w:pPr>
    </w:p>
    <w:p w:rsidR="00106FEF" w:rsidRDefault="00106FEF" w:rsidP="0043068D">
      <w:pPr>
        <w:spacing w:after="240"/>
        <w:jc w:val="both"/>
      </w:pPr>
    </w:p>
    <w:p w:rsidR="00106FEF" w:rsidRDefault="00106FEF" w:rsidP="0043068D">
      <w:pPr>
        <w:spacing w:after="240"/>
        <w:jc w:val="both"/>
      </w:pPr>
    </w:p>
    <w:p w:rsidR="00106FEF" w:rsidRDefault="00106FEF" w:rsidP="0043068D">
      <w:pPr>
        <w:spacing w:after="240"/>
        <w:jc w:val="both"/>
      </w:pPr>
    </w:p>
    <w:p w:rsidR="00106FEF" w:rsidRDefault="00106FEF" w:rsidP="0043068D">
      <w:pPr>
        <w:spacing w:after="240"/>
        <w:jc w:val="both"/>
      </w:pPr>
    </w:p>
    <w:p w:rsidR="00106FEF" w:rsidRDefault="00106FEF" w:rsidP="0043068D">
      <w:pPr>
        <w:spacing w:after="240"/>
        <w:jc w:val="both"/>
      </w:pPr>
    </w:p>
    <w:p w:rsidR="00106FEF" w:rsidRDefault="00106FEF" w:rsidP="0043068D">
      <w:pPr>
        <w:spacing w:after="240"/>
        <w:jc w:val="both"/>
      </w:pPr>
    </w:p>
    <w:p w:rsidR="00106FEF" w:rsidRDefault="00106FEF" w:rsidP="0043068D">
      <w:pPr>
        <w:spacing w:after="240"/>
        <w:jc w:val="both"/>
      </w:pPr>
    </w:p>
    <w:p w:rsidR="00106FEF" w:rsidRDefault="00106FEF" w:rsidP="0043068D">
      <w:pPr>
        <w:spacing w:after="240"/>
        <w:jc w:val="both"/>
      </w:pPr>
    </w:p>
    <w:p w:rsidR="00106FEF" w:rsidRDefault="00106FEF" w:rsidP="0043068D">
      <w:pPr>
        <w:spacing w:after="240"/>
        <w:jc w:val="both"/>
      </w:pPr>
    </w:p>
    <w:p w:rsidR="00106FEF" w:rsidRPr="0043068D" w:rsidRDefault="00106FEF" w:rsidP="0043068D">
      <w:pPr>
        <w:spacing w:after="240"/>
        <w:jc w:val="both"/>
      </w:pPr>
    </w:p>
    <w:p w:rsidR="0043068D" w:rsidRPr="0043068D" w:rsidRDefault="0043068D" w:rsidP="0043068D">
      <w:pPr>
        <w:jc w:val="center"/>
        <w:rPr>
          <w:rFonts w:ascii="Arial" w:hAnsi="Arial" w:cs="Arial"/>
          <w:b/>
        </w:rPr>
      </w:pPr>
      <w:r>
        <w:rPr>
          <w:rFonts w:ascii="Arial" w:hAnsi="Arial" w:cs="Arial"/>
          <w:b/>
        </w:rPr>
        <w:lastRenderedPageBreak/>
        <w:t>Table 9</w:t>
      </w:r>
      <w:r w:rsidRPr="0043068D">
        <w:rPr>
          <w:rFonts w:ascii="Arial" w:hAnsi="Arial" w:cs="Arial"/>
          <w:b/>
        </w:rPr>
        <w:t>-1</w:t>
      </w:r>
    </w:p>
    <w:p w:rsidR="0043068D" w:rsidRPr="0043068D" w:rsidRDefault="0043068D" w:rsidP="0043068D">
      <w:pPr>
        <w:jc w:val="center"/>
        <w:rPr>
          <w:rFonts w:ascii="Arial" w:hAnsi="Arial" w:cs="Arial"/>
          <w:b/>
        </w:rPr>
      </w:pPr>
      <w:r w:rsidRPr="0043068D">
        <w:rPr>
          <w:rFonts w:ascii="Arial" w:hAnsi="Arial" w:cs="Arial"/>
          <w:b/>
        </w:rPr>
        <w:t>Staff’s Recommended and Alternative Water Rate Structures and Rates</w:t>
      </w:r>
    </w:p>
    <w:tbl>
      <w:tblPr>
        <w:tblStyle w:val="TableGrid13"/>
        <w:tblW w:w="0" w:type="auto"/>
        <w:jc w:val="center"/>
        <w:tblInd w:w="573" w:type="dxa"/>
        <w:tblLayout w:type="fixed"/>
        <w:tblLook w:val="04A0" w:firstRow="1" w:lastRow="0" w:firstColumn="1" w:lastColumn="0" w:noHBand="0" w:noVBand="1"/>
      </w:tblPr>
      <w:tblGrid>
        <w:gridCol w:w="3048"/>
        <w:gridCol w:w="1201"/>
        <w:gridCol w:w="2067"/>
        <w:gridCol w:w="1754"/>
      </w:tblGrid>
      <w:tr w:rsidR="0043068D" w:rsidRPr="0043068D" w:rsidTr="00567BEC">
        <w:trPr>
          <w:trHeight w:val="1093"/>
          <w:jc w:val="center"/>
        </w:trPr>
        <w:tc>
          <w:tcPr>
            <w:tcW w:w="3048" w:type="dxa"/>
          </w:tcPr>
          <w:p w:rsidR="0043068D" w:rsidRPr="0043068D" w:rsidRDefault="0043068D" w:rsidP="0043068D">
            <w:pPr>
              <w:jc w:val="center"/>
              <w:rPr>
                <w:rFonts w:ascii="Times New Roman" w:hAnsi="Times New Roman" w:cs="Times New Roman"/>
                <w:sz w:val="22"/>
                <w:szCs w:val="22"/>
              </w:rPr>
            </w:pPr>
          </w:p>
        </w:tc>
        <w:tc>
          <w:tcPr>
            <w:tcW w:w="1201" w:type="dxa"/>
            <w:vAlign w:val="bottom"/>
          </w:tcPr>
          <w:p w:rsidR="0043068D" w:rsidRPr="0043068D" w:rsidRDefault="0043068D" w:rsidP="0043068D">
            <w:pPr>
              <w:jc w:val="center"/>
              <w:rPr>
                <w:rFonts w:ascii="Times New Roman" w:hAnsi="Times New Roman" w:cs="Times New Roman"/>
                <w:sz w:val="22"/>
                <w:szCs w:val="22"/>
              </w:rPr>
            </w:pPr>
            <w:r w:rsidRPr="0043068D">
              <w:rPr>
                <w:rFonts w:ascii="Times New Roman" w:hAnsi="Times New Roman" w:cs="Times New Roman"/>
                <w:sz w:val="22"/>
                <w:szCs w:val="22"/>
              </w:rPr>
              <w:t>Rates at the Time of Filing</w:t>
            </w:r>
          </w:p>
        </w:tc>
        <w:tc>
          <w:tcPr>
            <w:tcW w:w="2067" w:type="dxa"/>
            <w:vAlign w:val="bottom"/>
          </w:tcPr>
          <w:p w:rsidR="0043068D" w:rsidRPr="0043068D" w:rsidRDefault="0043068D" w:rsidP="0043068D">
            <w:pPr>
              <w:jc w:val="center"/>
              <w:rPr>
                <w:rFonts w:ascii="Times New Roman" w:hAnsi="Times New Roman" w:cs="Times New Roman"/>
                <w:sz w:val="22"/>
                <w:szCs w:val="22"/>
              </w:rPr>
            </w:pPr>
            <w:r w:rsidRPr="0043068D">
              <w:rPr>
                <w:rFonts w:ascii="Times New Roman" w:hAnsi="Times New Roman" w:cs="Times New Roman"/>
                <w:sz w:val="22"/>
                <w:szCs w:val="22"/>
              </w:rPr>
              <w:t>Staff Recommended Rates</w:t>
            </w:r>
          </w:p>
          <w:p w:rsidR="0043068D" w:rsidRPr="0043068D" w:rsidRDefault="0043068D" w:rsidP="0043068D">
            <w:pPr>
              <w:jc w:val="center"/>
              <w:rPr>
                <w:rFonts w:ascii="Times New Roman" w:hAnsi="Times New Roman" w:cs="Times New Roman"/>
                <w:sz w:val="22"/>
                <w:szCs w:val="22"/>
              </w:rPr>
            </w:pPr>
            <w:r w:rsidRPr="0043068D">
              <w:rPr>
                <w:rFonts w:ascii="Times New Roman" w:hAnsi="Times New Roman" w:cs="Times New Roman"/>
                <w:sz w:val="22"/>
                <w:szCs w:val="22"/>
              </w:rPr>
              <w:t xml:space="preserve">40% </w:t>
            </w:r>
            <w:proofErr w:type="spellStart"/>
            <w:r w:rsidRPr="0043068D">
              <w:rPr>
                <w:rFonts w:ascii="Times New Roman" w:hAnsi="Times New Roman" w:cs="Times New Roman"/>
                <w:sz w:val="22"/>
                <w:szCs w:val="22"/>
              </w:rPr>
              <w:t>BFC</w:t>
            </w:r>
            <w:proofErr w:type="spellEnd"/>
          </w:p>
        </w:tc>
        <w:tc>
          <w:tcPr>
            <w:tcW w:w="1754" w:type="dxa"/>
            <w:vAlign w:val="bottom"/>
          </w:tcPr>
          <w:p w:rsidR="0043068D" w:rsidRPr="0043068D" w:rsidRDefault="0043068D" w:rsidP="0043068D">
            <w:pPr>
              <w:jc w:val="center"/>
              <w:rPr>
                <w:rFonts w:ascii="Times New Roman" w:hAnsi="Times New Roman" w:cs="Times New Roman"/>
                <w:sz w:val="22"/>
                <w:szCs w:val="22"/>
              </w:rPr>
            </w:pPr>
            <w:r w:rsidRPr="0043068D">
              <w:rPr>
                <w:rFonts w:ascii="Times New Roman" w:hAnsi="Times New Roman" w:cs="Times New Roman"/>
                <w:sz w:val="22"/>
                <w:szCs w:val="22"/>
              </w:rPr>
              <w:t>Alternative</w:t>
            </w:r>
          </w:p>
          <w:p w:rsidR="0043068D" w:rsidRPr="0043068D" w:rsidRDefault="0043068D" w:rsidP="0043068D">
            <w:pPr>
              <w:jc w:val="center"/>
              <w:rPr>
                <w:rFonts w:ascii="Times New Roman" w:hAnsi="Times New Roman" w:cs="Times New Roman"/>
                <w:sz w:val="22"/>
                <w:szCs w:val="22"/>
              </w:rPr>
            </w:pPr>
            <w:r w:rsidRPr="0043068D">
              <w:rPr>
                <w:rFonts w:ascii="Times New Roman" w:hAnsi="Times New Roman" w:cs="Times New Roman"/>
                <w:sz w:val="22"/>
                <w:szCs w:val="22"/>
              </w:rPr>
              <w:t>Rates</w:t>
            </w:r>
          </w:p>
          <w:p w:rsidR="0043068D" w:rsidRPr="0043068D" w:rsidRDefault="0043068D" w:rsidP="0043068D">
            <w:pPr>
              <w:jc w:val="center"/>
              <w:rPr>
                <w:rFonts w:ascii="Times New Roman" w:hAnsi="Times New Roman" w:cs="Times New Roman"/>
                <w:sz w:val="22"/>
                <w:szCs w:val="22"/>
              </w:rPr>
            </w:pPr>
            <w:r w:rsidRPr="0043068D">
              <w:rPr>
                <w:rFonts w:ascii="Times New Roman" w:hAnsi="Times New Roman" w:cs="Times New Roman"/>
                <w:sz w:val="22"/>
                <w:szCs w:val="22"/>
              </w:rPr>
              <w:t xml:space="preserve">42% </w:t>
            </w:r>
            <w:proofErr w:type="spellStart"/>
            <w:r w:rsidRPr="0043068D">
              <w:rPr>
                <w:rFonts w:ascii="Times New Roman" w:hAnsi="Times New Roman" w:cs="Times New Roman"/>
                <w:sz w:val="22"/>
                <w:szCs w:val="22"/>
              </w:rPr>
              <w:t>BFC</w:t>
            </w:r>
            <w:proofErr w:type="spellEnd"/>
          </w:p>
        </w:tc>
      </w:tr>
      <w:tr w:rsidR="0043068D" w:rsidRPr="0043068D" w:rsidTr="00567BEC">
        <w:trPr>
          <w:trHeight w:val="319"/>
          <w:jc w:val="center"/>
        </w:trPr>
        <w:tc>
          <w:tcPr>
            <w:tcW w:w="3048" w:type="dxa"/>
          </w:tcPr>
          <w:p w:rsidR="0043068D" w:rsidRPr="0043068D" w:rsidRDefault="0043068D" w:rsidP="0043068D">
            <w:pPr>
              <w:rPr>
                <w:rFonts w:ascii="Times New Roman" w:hAnsi="Times New Roman" w:cs="Times New Roman"/>
                <w:b/>
                <w:sz w:val="22"/>
                <w:szCs w:val="22"/>
                <w:u w:val="single"/>
              </w:rPr>
            </w:pPr>
            <w:r w:rsidRPr="0043068D">
              <w:rPr>
                <w:rFonts w:ascii="Times New Roman" w:hAnsi="Times New Roman" w:cs="Times New Roman"/>
                <w:b/>
                <w:sz w:val="22"/>
                <w:szCs w:val="22"/>
                <w:u w:val="single"/>
              </w:rPr>
              <w:t>Residential</w:t>
            </w:r>
          </w:p>
        </w:tc>
        <w:tc>
          <w:tcPr>
            <w:tcW w:w="1201" w:type="dxa"/>
          </w:tcPr>
          <w:p w:rsidR="0043068D" w:rsidRPr="0043068D" w:rsidRDefault="0043068D" w:rsidP="0043068D">
            <w:pPr>
              <w:jc w:val="right"/>
              <w:rPr>
                <w:rFonts w:ascii="Times New Roman" w:hAnsi="Times New Roman" w:cs="Times New Roman"/>
                <w:sz w:val="22"/>
                <w:szCs w:val="22"/>
              </w:rPr>
            </w:pPr>
          </w:p>
        </w:tc>
        <w:tc>
          <w:tcPr>
            <w:tcW w:w="2067" w:type="dxa"/>
          </w:tcPr>
          <w:p w:rsidR="0043068D" w:rsidRPr="0043068D" w:rsidRDefault="0043068D" w:rsidP="0043068D">
            <w:pPr>
              <w:jc w:val="right"/>
              <w:rPr>
                <w:rFonts w:ascii="Times New Roman" w:hAnsi="Times New Roman" w:cs="Times New Roman"/>
                <w:sz w:val="22"/>
                <w:szCs w:val="22"/>
              </w:rPr>
            </w:pPr>
          </w:p>
        </w:tc>
        <w:tc>
          <w:tcPr>
            <w:tcW w:w="1754" w:type="dxa"/>
          </w:tcPr>
          <w:p w:rsidR="0043068D" w:rsidRPr="0043068D" w:rsidRDefault="0043068D" w:rsidP="0043068D">
            <w:pPr>
              <w:jc w:val="right"/>
              <w:rPr>
                <w:rFonts w:ascii="Times New Roman" w:hAnsi="Times New Roman" w:cs="Times New Roman"/>
                <w:sz w:val="22"/>
                <w:szCs w:val="22"/>
              </w:rPr>
            </w:pPr>
          </w:p>
        </w:tc>
      </w:tr>
      <w:tr w:rsidR="0043068D" w:rsidRPr="0043068D" w:rsidTr="00567BEC">
        <w:trPr>
          <w:trHeight w:val="319"/>
          <w:jc w:val="center"/>
        </w:trPr>
        <w:tc>
          <w:tcPr>
            <w:tcW w:w="3048" w:type="dxa"/>
          </w:tcPr>
          <w:p w:rsidR="0043068D" w:rsidRPr="0043068D" w:rsidRDefault="0043068D" w:rsidP="0043068D">
            <w:pPr>
              <w:rPr>
                <w:rFonts w:ascii="Times New Roman" w:hAnsi="Times New Roman" w:cs="Times New Roman"/>
                <w:sz w:val="22"/>
                <w:szCs w:val="22"/>
              </w:rPr>
            </w:pPr>
            <w:r w:rsidRPr="0043068D">
              <w:rPr>
                <w:rFonts w:ascii="Times New Roman" w:hAnsi="Times New Roman" w:cs="Times New Roman"/>
                <w:sz w:val="22"/>
                <w:szCs w:val="22"/>
              </w:rPr>
              <w:t>5/8” x 3/4” Meter Size</w:t>
            </w:r>
          </w:p>
        </w:tc>
        <w:tc>
          <w:tcPr>
            <w:tcW w:w="1201"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$19.11</w:t>
            </w:r>
          </w:p>
        </w:tc>
        <w:tc>
          <w:tcPr>
            <w:tcW w:w="2067"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$23.83</w:t>
            </w:r>
          </w:p>
        </w:tc>
        <w:tc>
          <w:tcPr>
            <w:tcW w:w="1754"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$25.07</w:t>
            </w:r>
          </w:p>
        </w:tc>
      </w:tr>
      <w:tr w:rsidR="0043068D" w:rsidRPr="0043068D" w:rsidTr="00567BEC">
        <w:trPr>
          <w:trHeight w:val="319"/>
          <w:jc w:val="center"/>
        </w:trPr>
        <w:tc>
          <w:tcPr>
            <w:tcW w:w="3048" w:type="dxa"/>
          </w:tcPr>
          <w:p w:rsidR="0043068D" w:rsidRPr="0043068D" w:rsidRDefault="0043068D" w:rsidP="0043068D">
            <w:pPr>
              <w:rPr>
                <w:rFonts w:ascii="Times New Roman" w:hAnsi="Times New Roman" w:cs="Times New Roman"/>
                <w:sz w:val="22"/>
                <w:szCs w:val="22"/>
              </w:rPr>
            </w:pPr>
            <w:r w:rsidRPr="0043068D">
              <w:rPr>
                <w:rFonts w:ascii="Times New Roman" w:hAnsi="Times New Roman" w:cs="Times New Roman"/>
                <w:sz w:val="22"/>
                <w:szCs w:val="22"/>
              </w:rPr>
              <w:t xml:space="preserve"> </w:t>
            </w:r>
          </w:p>
        </w:tc>
        <w:tc>
          <w:tcPr>
            <w:tcW w:w="1201" w:type="dxa"/>
          </w:tcPr>
          <w:p w:rsidR="0043068D" w:rsidRPr="0043068D" w:rsidRDefault="0043068D" w:rsidP="0043068D">
            <w:pPr>
              <w:jc w:val="right"/>
              <w:rPr>
                <w:rFonts w:ascii="Times New Roman" w:hAnsi="Times New Roman" w:cs="Times New Roman"/>
                <w:sz w:val="22"/>
                <w:szCs w:val="22"/>
              </w:rPr>
            </w:pPr>
          </w:p>
        </w:tc>
        <w:tc>
          <w:tcPr>
            <w:tcW w:w="2067" w:type="dxa"/>
          </w:tcPr>
          <w:p w:rsidR="0043068D" w:rsidRPr="0043068D" w:rsidRDefault="0043068D" w:rsidP="0043068D">
            <w:pPr>
              <w:jc w:val="right"/>
              <w:rPr>
                <w:rFonts w:ascii="Times New Roman" w:hAnsi="Times New Roman" w:cs="Times New Roman"/>
                <w:sz w:val="22"/>
                <w:szCs w:val="22"/>
              </w:rPr>
            </w:pPr>
          </w:p>
        </w:tc>
        <w:tc>
          <w:tcPr>
            <w:tcW w:w="1754" w:type="dxa"/>
          </w:tcPr>
          <w:p w:rsidR="0043068D" w:rsidRPr="0043068D" w:rsidRDefault="0043068D" w:rsidP="0043068D">
            <w:pPr>
              <w:jc w:val="right"/>
              <w:rPr>
                <w:rFonts w:ascii="Times New Roman" w:hAnsi="Times New Roman" w:cs="Times New Roman"/>
                <w:sz w:val="22"/>
                <w:szCs w:val="22"/>
              </w:rPr>
            </w:pPr>
          </w:p>
        </w:tc>
      </w:tr>
      <w:tr w:rsidR="0043068D" w:rsidRPr="0043068D" w:rsidTr="00567BEC">
        <w:trPr>
          <w:trHeight w:val="319"/>
          <w:jc w:val="center"/>
        </w:trPr>
        <w:tc>
          <w:tcPr>
            <w:tcW w:w="3048" w:type="dxa"/>
          </w:tcPr>
          <w:p w:rsidR="0043068D" w:rsidRPr="0043068D" w:rsidRDefault="0043068D" w:rsidP="0043068D">
            <w:pPr>
              <w:rPr>
                <w:rFonts w:ascii="Times New Roman" w:hAnsi="Times New Roman" w:cs="Times New Roman"/>
                <w:sz w:val="22"/>
                <w:szCs w:val="22"/>
              </w:rPr>
            </w:pPr>
            <w:r w:rsidRPr="0043068D">
              <w:rPr>
                <w:rFonts w:ascii="Times New Roman" w:hAnsi="Times New Roman" w:cs="Times New Roman"/>
                <w:sz w:val="22"/>
                <w:szCs w:val="22"/>
              </w:rPr>
              <w:t xml:space="preserve">Charge per 1,000 gallons  </w:t>
            </w:r>
          </w:p>
        </w:tc>
        <w:tc>
          <w:tcPr>
            <w:tcW w:w="1201" w:type="dxa"/>
          </w:tcPr>
          <w:p w:rsidR="0043068D" w:rsidRPr="0043068D" w:rsidRDefault="0043068D" w:rsidP="0043068D">
            <w:pPr>
              <w:jc w:val="right"/>
              <w:rPr>
                <w:rFonts w:ascii="Times New Roman" w:hAnsi="Times New Roman" w:cs="Times New Roman"/>
                <w:sz w:val="22"/>
                <w:szCs w:val="22"/>
              </w:rPr>
            </w:pPr>
          </w:p>
        </w:tc>
        <w:tc>
          <w:tcPr>
            <w:tcW w:w="2067" w:type="dxa"/>
          </w:tcPr>
          <w:p w:rsidR="0043068D" w:rsidRPr="0043068D" w:rsidRDefault="0043068D" w:rsidP="0043068D">
            <w:pPr>
              <w:jc w:val="right"/>
              <w:rPr>
                <w:rFonts w:ascii="Times New Roman" w:hAnsi="Times New Roman" w:cs="Times New Roman"/>
                <w:sz w:val="22"/>
                <w:szCs w:val="22"/>
              </w:rPr>
            </w:pPr>
          </w:p>
        </w:tc>
        <w:tc>
          <w:tcPr>
            <w:tcW w:w="1754" w:type="dxa"/>
          </w:tcPr>
          <w:p w:rsidR="0043068D" w:rsidRPr="0043068D" w:rsidRDefault="0043068D" w:rsidP="0043068D">
            <w:pPr>
              <w:jc w:val="right"/>
              <w:rPr>
                <w:rFonts w:ascii="Times New Roman" w:hAnsi="Times New Roman" w:cs="Times New Roman"/>
                <w:sz w:val="22"/>
                <w:szCs w:val="22"/>
              </w:rPr>
            </w:pPr>
          </w:p>
        </w:tc>
      </w:tr>
      <w:tr w:rsidR="0043068D" w:rsidRPr="0043068D" w:rsidTr="00567BEC">
        <w:trPr>
          <w:trHeight w:val="319"/>
          <w:jc w:val="center"/>
        </w:trPr>
        <w:tc>
          <w:tcPr>
            <w:tcW w:w="3048" w:type="dxa"/>
          </w:tcPr>
          <w:p w:rsidR="0043068D" w:rsidRPr="0043068D" w:rsidRDefault="0043068D" w:rsidP="0043068D">
            <w:pPr>
              <w:rPr>
                <w:rFonts w:ascii="Times New Roman" w:hAnsi="Times New Roman" w:cs="Times New Roman"/>
                <w:sz w:val="22"/>
                <w:szCs w:val="22"/>
              </w:rPr>
            </w:pPr>
            <w:r w:rsidRPr="0043068D">
              <w:rPr>
                <w:rFonts w:ascii="Times New Roman" w:hAnsi="Times New Roman" w:cs="Times New Roman"/>
                <w:sz w:val="22"/>
                <w:szCs w:val="22"/>
              </w:rPr>
              <w:t>0-6,000 gallons</w:t>
            </w:r>
          </w:p>
        </w:tc>
        <w:tc>
          <w:tcPr>
            <w:tcW w:w="1201"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$6.58</w:t>
            </w:r>
          </w:p>
        </w:tc>
        <w:tc>
          <w:tcPr>
            <w:tcW w:w="2067"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N/A</w:t>
            </w:r>
          </w:p>
        </w:tc>
        <w:tc>
          <w:tcPr>
            <w:tcW w:w="1754"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$8.41</w:t>
            </w:r>
          </w:p>
        </w:tc>
      </w:tr>
      <w:tr w:rsidR="0043068D" w:rsidRPr="0043068D" w:rsidTr="00567BEC">
        <w:trPr>
          <w:trHeight w:val="319"/>
          <w:jc w:val="center"/>
        </w:trPr>
        <w:tc>
          <w:tcPr>
            <w:tcW w:w="3048" w:type="dxa"/>
          </w:tcPr>
          <w:p w:rsidR="0043068D" w:rsidRPr="0043068D" w:rsidRDefault="0043068D" w:rsidP="0043068D">
            <w:pPr>
              <w:rPr>
                <w:rFonts w:ascii="Times New Roman" w:hAnsi="Times New Roman" w:cs="Times New Roman"/>
                <w:sz w:val="22"/>
                <w:szCs w:val="22"/>
              </w:rPr>
            </w:pPr>
            <w:r w:rsidRPr="0043068D">
              <w:rPr>
                <w:rFonts w:ascii="Times New Roman" w:hAnsi="Times New Roman" w:cs="Times New Roman"/>
                <w:sz w:val="22"/>
                <w:szCs w:val="22"/>
              </w:rPr>
              <w:t>6,001-12,000 gallons</w:t>
            </w:r>
          </w:p>
        </w:tc>
        <w:tc>
          <w:tcPr>
            <w:tcW w:w="1201"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$9.90</w:t>
            </w:r>
          </w:p>
        </w:tc>
        <w:tc>
          <w:tcPr>
            <w:tcW w:w="2067"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N/A</w:t>
            </w:r>
          </w:p>
        </w:tc>
        <w:tc>
          <w:tcPr>
            <w:tcW w:w="1754"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$12.62</w:t>
            </w:r>
          </w:p>
        </w:tc>
      </w:tr>
      <w:tr w:rsidR="0043068D" w:rsidRPr="0043068D" w:rsidTr="00567BEC">
        <w:trPr>
          <w:trHeight w:val="319"/>
          <w:jc w:val="center"/>
        </w:trPr>
        <w:tc>
          <w:tcPr>
            <w:tcW w:w="3048" w:type="dxa"/>
          </w:tcPr>
          <w:p w:rsidR="0043068D" w:rsidRPr="0043068D" w:rsidRDefault="0043068D" w:rsidP="0043068D">
            <w:pPr>
              <w:rPr>
                <w:rFonts w:ascii="Times New Roman" w:hAnsi="Times New Roman" w:cs="Times New Roman"/>
                <w:sz w:val="22"/>
                <w:szCs w:val="22"/>
              </w:rPr>
            </w:pPr>
            <w:r w:rsidRPr="0043068D">
              <w:rPr>
                <w:rFonts w:ascii="Times New Roman" w:hAnsi="Times New Roman" w:cs="Times New Roman"/>
                <w:sz w:val="22"/>
                <w:szCs w:val="22"/>
              </w:rPr>
              <w:t>Over 12,000 gallons</w:t>
            </w:r>
          </w:p>
        </w:tc>
        <w:tc>
          <w:tcPr>
            <w:tcW w:w="1201"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$13.17</w:t>
            </w:r>
          </w:p>
        </w:tc>
        <w:tc>
          <w:tcPr>
            <w:tcW w:w="2067"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 xml:space="preserve">N/A </w:t>
            </w:r>
          </w:p>
        </w:tc>
        <w:tc>
          <w:tcPr>
            <w:tcW w:w="1754"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$16.82</w:t>
            </w:r>
          </w:p>
        </w:tc>
      </w:tr>
      <w:tr w:rsidR="0043068D" w:rsidRPr="0043068D" w:rsidTr="00567BEC">
        <w:trPr>
          <w:trHeight w:val="319"/>
          <w:jc w:val="center"/>
        </w:trPr>
        <w:tc>
          <w:tcPr>
            <w:tcW w:w="3048" w:type="dxa"/>
          </w:tcPr>
          <w:p w:rsidR="0043068D" w:rsidRPr="0043068D" w:rsidRDefault="0043068D" w:rsidP="0043068D">
            <w:pPr>
              <w:rPr>
                <w:rFonts w:ascii="Times New Roman" w:hAnsi="Times New Roman" w:cs="Times New Roman"/>
                <w:sz w:val="22"/>
                <w:szCs w:val="22"/>
              </w:rPr>
            </w:pPr>
          </w:p>
        </w:tc>
        <w:tc>
          <w:tcPr>
            <w:tcW w:w="1201" w:type="dxa"/>
          </w:tcPr>
          <w:p w:rsidR="0043068D" w:rsidRPr="0043068D" w:rsidRDefault="0043068D" w:rsidP="0043068D">
            <w:pPr>
              <w:jc w:val="right"/>
              <w:rPr>
                <w:rFonts w:ascii="Times New Roman" w:hAnsi="Times New Roman" w:cs="Times New Roman"/>
                <w:sz w:val="22"/>
                <w:szCs w:val="22"/>
              </w:rPr>
            </w:pPr>
          </w:p>
        </w:tc>
        <w:tc>
          <w:tcPr>
            <w:tcW w:w="2067" w:type="dxa"/>
          </w:tcPr>
          <w:p w:rsidR="0043068D" w:rsidRPr="0043068D" w:rsidRDefault="0043068D" w:rsidP="0043068D">
            <w:pPr>
              <w:jc w:val="right"/>
              <w:rPr>
                <w:rFonts w:ascii="Times New Roman" w:hAnsi="Times New Roman" w:cs="Times New Roman"/>
                <w:sz w:val="22"/>
                <w:szCs w:val="22"/>
              </w:rPr>
            </w:pPr>
          </w:p>
        </w:tc>
        <w:tc>
          <w:tcPr>
            <w:tcW w:w="1754" w:type="dxa"/>
          </w:tcPr>
          <w:p w:rsidR="0043068D" w:rsidRPr="0043068D" w:rsidRDefault="0043068D" w:rsidP="0043068D">
            <w:pPr>
              <w:jc w:val="right"/>
              <w:rPr>
                <w:rFonts w:ascii="Times New Roman" w:hAnsi="Times New Roman" w:cs="Times New Roman"/>
                <w:sz w:val="22"/>
                <w:szCs w:val="22"/>
              </w:rPr>
            </w:pPr>
          </w:p>
        </w:tc>
      </w:tr>
      <w:tr w:rsidR="0043068D" w:rsidRPr="0043068D" w:rsidTr="00567BEC">
        <w:trPr>
          <w:trHeight w:val="319"/>
          <w:jc w:val="center"/>
        </w:trPr>
        <w:tc>
          <w:tcPr>
            <w:tcW w:w="3048" w:type="dxa"/>
          </w:tcPr>
          <w:p w:rsidR="0043068D" w:rsidRPr="0043068D" w:rsidRDefault="0043068D" w:rsidP="0043068D">
            <w:pPr>
              <w:rPr>
                <w:rFonts w:ascii="Times New Roman" w:hAnsi="Times New Roman" w:cs="Times New Roman"/>
                <w:sz w:val="22"/>
                <w:szCs w:val="22"/>
              </w:rPr>
            </w:pPr>
          </w:p>
        </w:tc>
        <w:tc>
          <w:tcPr>
            <w:tcW w:w="1201" w:type="dxa"/>
          </w:tcPr>
          <w:p w:rsidR="0043068D" w:rsidRPr="0043068D" w:rsidRDefault="0043068D" w:rsidP="0043068D">
            <w:pPr>
              <w:jc w:val="right"/>
              <w:rPr>
                <w:rFonts w:ascii="Times New Roman" w:hAnsi="Times New Roman" w:cs="Times New Roman"/>
                <w:sz w:val="22"/>
                <w:szCs w:val="22"/>
              </w:rPr>
            </w:pPr>
          </w:p>
        </w:tc>
        <w:tc>
          <w:tcPr>
            <w:tcW w:w="2067" w:type="dxa"/>
          </w:tcPr>
          <w:p w:rsidR="0043068D" w:rsidRPr="0043068D" w:rsidRDefault="0043068D" w:rsidP="0043068D">
            <w:pPr>
              <w:jc w:val="right"/>
              <w:rPr>
                <w:rFonts w:ascii="Times New Roman" w:hAnsi="Times New Roman" w:cs="Times New Roman"/>
                <w:sz w:val="22"/>
                <w:szCs w:val="22"/>
              </w:rPr>
            </w:pPr>
          </w:p>
        </w:tc>
        <w:tc>
          <w:tcPr>
            <w:tcW w:w="1754" w:type="dxa"/>
          </w:tcPr>
          <w:p w:rsidR="0043068D" w:rsidRPr="0043068D" w:rsidRDefault="0043068D" w:rsidP="0043068D">
            <w:pPr>
              <w:jc w:val="right"/>
              <w:rPr>
                <w:rFonts w:ascii="Times New Roman" w:hAnsi="Times New Roman" w:cs="Times New Roman"/>
                <w:sz w:val="22"/>
                <w:szCs w:val="22"/>
              </w:rPr>
            </w:pPr>
          </w:p>
        </w:tc>
      </w:tr>
      <w:tr w:rsidR="0043068D" w:rsidRPr="0043068D" w:rsidTr="00567BEC">
        <w:trPr>
          <w:trHeight w:val="319"/>
          <w:jc w:val="center"/>
        </w:trPr>
        <w:tc>
          <w:tcPr>
            <w:tcW w:w="3048" w:type="dxa"/>
          </w:tcPr>
          <w:p w:rsidR="0043068D" w:rsidRPr="0043068D" w:rsidRDefault="0043068D" w:rsidP="0043068D">
            <w:pPr>
              <w:rPr>
                <w:rFonts w:ascii="Times New Roman" w:hAnsi="Times New Roman" w:cs="Times New Roman"/>
              </w:rPr>
            </w:pPr>
            <w:r w:rsidRPr="0043068D">
              <w:rPr>
                <w:rFonts w:ascii="Times New Roman" w:hAnsi="Times New Roman" w:cs="Times New Roman"/>
              </w:rPr>
              <w:t>0-4,000 gallons</w:t>
            </w:r>
          </w:p>
        </w:tc>
        <w:tc>
          <w:tcPr>
            <w:tcW w:w="1201"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N/A</w:t>
            </w:r>
          </w:p>
        </w:tc>
        <w:tc>
          <w:tcPr>
            <w:tcW w:w="2067"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$8.41</w:t>
            </w:r>
          </w:p>
        </w:tc>
        <w:tc>
          <w:tcPr>
            <w:tcW w:w="1754"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N/A</w:t>
            </w:r>
          </w:p>
        </w:tc>
      </w:tr>
      <w:tr w:rsidR="0043068D" w:rsidRPr="0043068D" w:rsidTr="00567BEC">
        <w:trPr>
          <w:trHeight w:val="319"/>
          <w:jc w:val="center"/>
        </w:trPr>
        <w:tc>
          <w:tcPr>
            <w:tcW w:w="3048" w:type="dxa"/>
          </w:tcPr>
          <w:p w:rsidR="0043068D" w:rsidRPr="0043068D" w:rsidRDefault="0043068D" w:rsidP="0043068D">
            <w:pPr>
              <w:rPr>
                <w:rFonts w:ascii="Times New Roman" w:hAnsi="Times New Roman" w:cs="Times New Roman"/>
              </w:rPr>
            </w:pPr>
            <w:r w:rsidRPr="0043068D">
              <w:rPr>
                <w:rFonts w:ascii="Times New Roman" w:hAnsi="Times New Roman" w:cs="Times New Roman"/>
              </w:rPr>
              <w:t>4,001-10,000 gallons</w:t>
            </w:r>
          </w:p>
        </w:tc>
        <w:tc>
          <w:tcPr>
            <w:tcW w:w="1201"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N/A</w:t>
            </w:r>
          </w:p>
        </w:tc>
        <w:tc>
          <w:tcPr>
            <w:tcW w:w="2067"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$12.62</w:t>
            </w:r>
          </w:p>
        </w:tc>
        <w:tc>
          <w:tcPr>
            <w:tcW w:w="1754"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N/A</w:t>
            </w:r>
          </w:p>
        </w:tc>
      </w:tr>
      <w:tr w:rsidR="0043068D" w:rsidRPr="0043068D" w:rsidTr="00567BEC">
        <w:trPr>
          <w:trHeight w:val="319"/>
          <w:jc w:val="center"/>
        </w:trPr>
        <w:tc>
          <w:tcPr>
            <w:tcW w:w="3048" w:type="dxa"/>
          </w:tcPr>
          <w:p w:rsidR="0043068D" w:rsidRPr="0043068D" w:rsidRDefault="0043068D" w:rsidP="0043068D">
            <w:pPr>
              <w:rPr>
                <w:rFonts w:ascii="Times New Roman" w:hAnsi="Times New Roman" w:cs="Times New Roman"/>
              </w:rPr>
            </w:pPr>
            <w:r w:rsidRPr="0043068D">
              <w:rPr>
                <w:rFonts w:ascii="Times New Roman" w:hAnsi="Times New Roman" w:cs="Times New Roman"/>
              </w:rPr>
              <w:t>Over 10,000 gallons</w:t>
            </w:r>
          </w:p>
        </w:tc>
        <w:tc>
          <w:tcPr>
            <w:tcW w:w="1201"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N/A</w:t>
            </w:r>
          </w:p>
        </w:tc>
        <w:tc>
          <w:tcPr>
            <w:tcW w:w="2067"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$16.82</w:t>
            </w:r>
          </w:p>
        </w:tc>
        <w:tc>
          <w:tcPr>
            <w:tcW w:w="1754"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 xml:space="preserve">N/A </w:t>
            </w:r>
          </w:p>
        </w:tc>
      </w:tr>
      <w:tr w:rsidR="0043068D" w:rsidRPr="0043068D" w:rsidTr="00567BEC">
        <w:trPr>
          <w:trHeight w:val="319"/>
          <w:jc w:val="center"/>
        </w:trPr>
        <w:tc>
          <w:tcPr>
            <w:tcW w:w="3048" w:type="dxa"/>
          </w:tcPr>
          <w:p w:rsidR="0043068D" w:rsidRPr="0043068D" w:rsidRDefault="0043068D" w:rsidP="0043068D">
            <w:pPr>
              <w:rPr>
                <w:rFonts w:ascii="Times New Roman" w:hAnsi="Times New Roman" w:cs="Times New Roman"/>
                <w:sz w:val="22"/>
                <w:szCs w:val="22"/>
              </w:rPr>
            </w:pPr>
          </w:p>
        </w:tc>
        <w:tc>
          <w:tcPr>
            <w:tcW w:w="1201" w:type="dxa"/>
          </w:tcPr>
          <w:p w:rsidR="0043068D" w:rsidRPr="0043068D" w:rsidRDefault="0043068D" w:rsidP="0043068D">
            <w:pPr>
              <w:jc w:val="right"/>
              <w:rPr>
                <w:rFonts w:ascii="Times New Roman" w:hAnsi="Times New Roman" w:cs="Times New Roman"/>
                <w:sz w:val="22"/>
                <w:szCs w:val="22"/>
              </w:rPr>
            </w:pPr>
          </w:p>
        </w:tc>
        <w:tc>
          <w:tcPr>
            <w:tcW w:w="2067" w:type="dxa"/>
          </w:tcPr>
          <w:p w:rsidR="0043068D" w:rsidRPr="0043068D" w:rsidRDefault="0043068D" w:rsidP="0043068D">
            <w:pPr>
              <w:jc w:val="right"/>
              <w:rPr>
                <w:rFonts w:ascii="Times New Roman" w:hAnsi="Times New Roman" w:cs="Times New Roman"/>
                <w:sz w:val="22"/>
                <w:szCs w:val="22"/>
              </w:rPr>
            </w:pPr>
          </w:p>
        </w:tc>
        <w:tc>
          <w:tcPr>
            <w:tcW w:w="1754" w:type="dxa"/>
          </w:tcPr>
          <w:p w:rsidR="0043068D" w:rsidRPr="0043068D" w:rsidRDefault="0043068D" w:rsidP="0043068D">
            <w:pPr>
              <w:jc w:val="right"/>
              <w:rPr>
                <w:rFonts w:ascii="Times New Roman" w:hAnsi="Times New Roman" w:cs="Times New Roman"/>
                <w:sz w:val="22"/>
                <w:szCs w:val="22"/>
              </w:rPr>
            </w:pPr>
          </w:p>
        </w:tc>
      </w:tr>
      <w:tr w:rsidR="0043068D" w:rsidRPr="0043068D" w:rsidTr="00567BEC">
        <w:trPr>
          <w:trHeight w:val="319"/>
          <w:jc w:val="center"/>
        </w:trPr>
        <w:tc>
          <w:tcPr>
            <w:tcW w:w="3048" w:type="dxa"/>
          </w:tcPr>
          <w:p w:rsidR="0043068D" w:rsidRPr="0043068D" w:rsidRDefault="0043068D" w:rsidP="0043068D">
            <w:pPr>
              <w:rPr>
                <w:rFonts w:ascii="Times New Roman" w:hAnsi="Times New Roman" w:cs="Times New Roman"/>
                <w:sz w:val="22"/>
                <w:szCs w:val="22"/>
              </w:rPr>
            </w:pPr>
          </w:p>
        </w:tc>
        <w:tc>
          <w:tcPr>
            <w:tcW w:w="1201" w:type="dxa"/>
          </w:tcPr>
          <w:p w:rsidR="0043068D" w:rsidRPr="0043068D" w:rsidRDefault="0043068D" w:rsidP="0043068D">
            <w:pPr>
              <w:jc w:val="right"/>
              <w:rPr>
                <w:rFonts w:ascii="Times New Roman" w:hAnsi="Times New Roman" w:cs="Times New Roman"/>
                <w:sz w:val="22"/>
                <w:szCs w:val="22"/>
              </w:rPr>
            </w:pPr>
          </w:p>
        </w:tc>
        <w:tc>
          <w:tcPr>
            <w:tcW w:w="2067" w:type="dxa"/>
          </w:tcPr>
          <w:p w:rsidR="0043068D" w:rsidRPr="0043068D" w:rsidRDefault="0043068D" w:rsidP="0043068D">
            <w:pPr>
              <w:jc w:val="right"/>
              <w:rPr>
                <w:rFonts w:ascii="Times New Roman" w:hAnsi="Times New Roman" w:cs="Times New Roman"/>
                <w:sz w:val="22"/>
                <w:szCs w:val="22"/>
              </w:rPr>
            </w:pPr>
          </w:p>
        </w:tc>
        <w:tc>
          <w:tcPr>
            <w:tcW w:w="1754" w:type="dxa"/>
          </w:tcPr>
          <w:p w:rsidR="0043068D" w:rsidRPr="0043068D" w:rsidRDefault="0043068D" w:rsidP="0043068D">
            <w:pPr>
              <w:jc w:val="right"/>
              <w:rPr>
                <w:rFonts w:ascii="Times New Roman" w:hAnsi="Times New Roman" w:cs="Times New Roman"/>
                <w:sz w:val="22"/>
                <w:szCs w:val="22"/>
              </w:rPr>
            </w:pPr>
          </w:p>
        </w:tc>
      </w:tr>
      <w:tr w:rsidR="0043068D" w:rsidRPr="0043068D" w:rsidTr="00567BEC">
        <w:trPr>
          <w:trHeight w:val="319"/>
          <w:jc w:val="center"/>
        </w:trPr>
        <w:tc>
          <w:tcPr>
            <w:tcW w:w="3048" w:type="dxa"/>
          </w:tcPr>
          <w:p w:rsidR="0043068D" w:rsidRPr="0043068D" w:rsidRDefault="0043068D" w:rsidP="0043068D">
            <w:pPr>
              <w:rPr>
                <w:rFonts w:ascii="Times New Roman" w:hAnsi="Times New Roman" w:cs="Times New Roman"/>
                <w:sz w:val="22"/>
                <w:szCs w:val="22"/>
              </w:rPr>
            </w:pPr>
            <w:r w:rsidRPr="0043068D">
              <w:rPr>
                <w:rFonts w:ascii="Times New Roman" w:hAnsi="Times New Roman" w:cs="Times New Roman"/>
                <w:sz w:val="22"/>
                <w:szCs w:val="22"/>
              </w:rPr>
              <w:t>4,000 Gallons</w:t>
            </w:r>
          </w:p>
        </w:tc>
        <w:tc>
          <w:tcPr>
            <w:tcW w:w="1201" w:type="dxa"/>
          </w:tcPr>
          <w:p w:rsidR="0043068D" w:rsidRPr="0043068D" w:rsidRDefault="0043068D" w:rsidP="0043068D">
            <w:pPr>
              <w:jc w:val="right"/>
              <w:rPr>
                <w:rFonts w:ascii="Times New Roman" w:hAnsi="Times New Roman" w:cs="Times New Roman"/>
              </w:rPr>
            </w:pPr>
            <w:r w:rsidRPr="0043068D">
              <w:rPr>
                <w:rFonts w:ascii="Times New Roman" w:hAnsi="Times New Roman" w:cs="Times New Roman"/>
              </w:rPr>
              <w:t xml:space="preserve">$45.43 </w:t>
            </w:r>
          </w:p>
        </w:tc>
        <w:tc>
          <w:tcPr>
            <w:tcW w:w="2067"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$57.47</w:t>
            </w:r>
          </w:p>
        </w:tc>
        <w:tc>
          <w:tcPr>
            <w:tcW w:w="1754"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$58.71</w:t>
            </w:r>
          </w:p>
        </w:tc>
      </w:tr>
      <w:tr w:rsidR="0043068D" w:rsidRPr="0043068D" w:rsidTr="00567BEC">
        <w:trPr>
          <w:trHeight w:val="319"/>
          <w:jc w:val="center"/>
        </w:trPr>
        <w:tc>
          <w:tcPr>
            <w:tcW w:w="3048" w:type="dxa"/>
          </w:tcPr>
          <w:p w:rsidR="0043068D" w:rsidRPr="0043068D" w:rsidRDefault="0043068D" w:rsidP="0043068D">
            <w:pPr>
              <w:rPr>
                <w:rFonts w:ascii="Times New Roman" w:hAnsi="Times New Roman" w:cs="Times New Roman"/>
                <w:sz w:val="22"/>
                <w:szCs w:val="22"/>
              </w:rPr>
            </w:pPr>
            <w:r w:rsidRPr="0043068D">
              <w:rPr>
                <w:rFonts w:ascii="Times New Roman" w:hAnsi="Times New Roman" w:cs="Times New Roman"/>
                <w:sz w:val="22"/>
                <w:szCs w:val="22"/>
              </w:rPr>
              <w:t>6,000 Gallons</w:t>
            </w:r>
          </w:p>
        </w:tc>
        <w:tc>
          <w:tcPr>
            <w:tcW w:w="1201" w:type="dxa"/>
          </w:tcPr>
          <w:p w:rsidR="0043068D" w:rsidRPr="0043068D" w:rsidRDefault="0043068D" w:rsidP="0043068D">
            <w:pPr>
              <w:jc w:val="right"/>
              <w:rPr>
                <w:rFonts w:ascii="Times New Roman" w:hAnsi="Times New Roman" w:cs="Times New Roman"/>
              </w:rPr>
            </w:pPr>
            <w:r w:rsidRPr="0043068D">
              <w:rPr>
                <w:rFonts w:ascii="Times New Roman" w:hAnsi="Times New Roman" w:cs="Times New Roman"/>
              </w:rPr>
              <w:t xml:space="preserve">$58.59 </w:t>
            </w:r>
          </w:p>
        </w:tc>
        <w:tc>
          <w:tcPr>
            <w:tcW w:w="2067"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$82.71</w:t>
            </w:r>
          </w:p>
        </w:tc>
        <w:tc>
          <w:tcPr>
            <w:tcW w:w="1754"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$75.53</w:t>
            </w:r>
          </w:p>
        </w:tc>
      </w:tr>
      <w:tr w:rsidR="0043068D" w:rsidRPr="0043068D" w:rsidTr="00567BEC">
        <w:trPr>
          <w:trHeight w:val="319"/>
          <w:jc w:val="center"/>
        </w:trPr>
        <w:tc>
          <w:tcPr>
            <w:tcW w:w="3048" w:type="dxa"/>
          </w:tcPr>
          <w:p w:rsidR="0043068D" w:rsidRPr="0043068D" w:rsidRDefault="0043068D" w:rsidP="0043068D">
            <w:pPr>
              <w:rPr>
                <w:rFonts w:ascii="Times New Roman" w:hAnsi="Times New Roman" w:cs="Times New Roman"/>
                <w:sz w:val="22"/>
                <w:szCs w:val="22"/>
              </w:rPr>
            </w:pPr>
            <w:r w:rsidRPr="0043068D">
              <w:rPr>
                <w:rFonts w:ascii="Times New Roman" w:hAnsi="Times New Roman" w:cs="Times New Roman"/>
                <w:sz w:val="22"/>
                <w:szCs w:val="22"/>
              </w:rPr>
              <w:t>9,000 Gallons</w:t>
            </w:r>
          </w:p>
        </w:tc>
        <w:tc>
          <w:tcPr>
            <w:tcW w:w="1201" w:type="dxa"/>
          </w:tcPr>
          <w:p w:rsidR="0043068D" w:rsidRPr="0043068D" w:rsidRDefault="0043068D" w:rsidP="0043068D">
            <w:pPr>
              <w:jc w:val="right"/>
              <w:rPr>
                <w:rFonts w:ascii="Times New Roman" w:hAnsi="Times New Roman" w:cs="Times New Roman"/>
              </w:rPr>
            </w:pPr>
            <w:r w:rsidRPr="0043068D">
              <w:rPr>
                <w:rFonts w:ascii="Times New Roman" w:hAnsi="Times New Roman" w:cs="Times New Roman"/>
              </w:rPr>
              <w:t xml:space="preserve">$88.29 </w:t>
            </w:r>
          </w:p>
        </w:tc>
        <w:tc>
          <w:tcPr>
            <w:tcW w:w="2067"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$120.57</w:t>
            </w:r>
          </w:p>
        </w:tc>
        <w:tc>
          <w:tcPr>
            <w:tcW w:w="1754" w:type="dxa"/>
          </w:tcPr>
          <w:p w:rsidR="0043068D" w:rsidRPr="0043068D" w:rsidRDefault="0043068D" w:rsidP="0043068D">
            <w:pPr>
              <w:jc w:val="right"/>
              <w:rPr>
                <w:rFonts w:ascii="Times New Roman" w:hAnsi="Times New Roman" w:cs="Times New Roman"/>
                <w:sz w:val="22"/>
                <w:szCs w:val="22"/>
              </w:rPr>
            </w:pPr>
            <w:r w:rsidRPr="0043068D">
              <w:rPr>
                <w:rFonts w:ascii="Times New Roman" w:hAnsi="Times New Roman" w:cs="Times New Roman"/>
                <w:sz w:val="22"/>
                <w:szCs w:val="22"/>
              </w:rPr>
              <w:t xml:space="preserve">$113.39 </w:t>
            </w:r>
          </w:p>
        </w:tc>
      </w:tr>
    </w:tbl>
    <w:p w:rsidR="0043068D" w:rsidRPr="0043068D" w:rsidRDefault="0043068D" w:rsidP="0043068D">
      <w:pPr>
        <w:spacing w:after="240"/>
        <w:jc w:val="both"/>
      </w:pPr>
      <w:r w:rsidRPr="0043068D">
        <w:t xml:space="preserve">             Source: Utility’s tariff and staff’s calculations</w:t>
      </w:r>
    </w:p>
    <w:p w:rsidR="008F1D71" w:rsidRPr="008F1D71" w:rsidRDefault="0043068D" w:rsidP="0043068D">
      <w:pPr>
        <w:pStyle w:val="IssueSubsectionHeading"/>
      </w:pPr>
      <w:r w:rsidRPr="0043068D">
        <w:rPr>
          <w:rFonts w:ascii="Times New Roman" w:hAnsi="Times New Roman" w:cs="Times New Roman"/>
          <w:b w:val="0"/>
          <w:bCs w:val="0"/>
          <w:i w:val="0"/>
          <w:iCs w:val="0"/>
          <w:szCs w:val="24"/>
        </w:rPr>
        <w:t>The rates, as shown on Schedule No. 4, should be effective for service rendered on or after the stamped approval date on the tariff sheets pursuant to Rule 25-30.475(1), F.A.C. The Utility should file revised tariff sheets and a proposed customer notice to reflect the Commission-approved rates. In addition, the approved rates should not be implemented until staff has approved the proposed customer notice and the notice has been received by the customers. The Utility should provide proof of the date that notice was given within 10 days of the date of the notice.</w:t>
      </w:r>
    </w:p>
    <w:p w:rsidR="00B87604" w:rsidRPr="00B87604" w:rsidRDefault="00B87604" w:rsidP="008F1D71">
      <w:pPr>
        <w:spacing w:after="240"/>
        <w:jc w:val="both"/>
        <w:outlineLvl w:val="1"/>
        <w:sectPr w:rsidR="00B87604" w:rsidRPr="00B87604" w:rsidSect="009B1FE5">
          <w:headerReference w:type="default" r:id="rId23"/>
          <w:pgSz w:w="12240" w:h="15840" w:code="1"/>
          <w:pgMar w:top="1584" w:right="1440" w:bottom="1440" w:left="1440" w:header="720" w:footer="720" w:gutter="0"/>
          <w:cols w:space="720"/>
          <w:formProt w:val="0"/>
          <w:docGrid w:linePitch="360"/>
        </w:sectPr>
      </w:pPr>
    </w:p>
    <w:p w:rsidR="000F60B6" w:rsidRDefault="000F60B6">
      <w:pPr>
        <w:pStyle w:val="IssueHeading"/>
        <w:rPr>
          <w:vanish/>
          <w:specVanish/>
        </w:rPr>
      </w:pPr>
      <w:r w:rsidRPr="004C3641">
        <w:lastRenderedPageBreak/>
        <w:t xml:space="preserve">Issue </w:t>
      </w:r>
      <w:fldSimple w:instr=" SEQ Issue \* MERGEFORMAT ">
        <w:r w:rsidR="00B51302">
          <w:rPr>
            <w:noProof/>
          </w:rPr>
          <w:t>10</w:t>
        </w:r>
      </w:fldSimple>
      <w:r w:rsidRPr="004C3641">
        <w:t>:</w:t>
      </w:r>
      <w:r>
        <w:fldChar w:fldCharType="begin"/>
      </w:r>
      <w:r>
        <w:instrText xml:space="preserve"> TC "</w:instrText>
      </w:r>
      <w:r>
        <w:fldChar w:fldCharType="begin"/>
      </w:r>
      <w:r>
        <w:instrText xml:space="preserve"> SEQ issue \c </w:instrText>
      </w:r>
      <w:r>
        <w:fldChar w:fldCharType="separate"/>
      </w:r>
      <w:bookmarkStart w:id="35" w:name="_Toc32829966"/>
      <w:r w:rsidR="00B51302">
        <w:rPr>
          <w:noProof/>
        </w:rPr>
        <w:instrText>10</w:instrText>
      </w:r>
      <w:r>
        <w:fldChar w:fldCharType="end"/>
      </w:r>
      <w:r>
        <w:tab/>
      </w:r>
      <w:r w:rsidR="001430F6">
        <w:instrText>Appropriate Customer Deposits (Bethea)</w:instrText>
      </w:r>
      <w:bookmarkEnd w:id="35"/>
      <w:r>
        <w:instrText xml:space="preserve">" \l 1 </w:instrText>
      </w:r>
      <w:r>
        <w:fldChar w:fldCharType="end"/>
      </w:r>
      <w:r>
        <w:t> </w:t>
      </w:r>
    </w:p>
    <w:p w:rsidR="000F60B6" w:rsidRDefault="000F60B6">
      <w:pPr>
        <w:pStyle w:val="BodyText"/>
      </w:pPr>
      <w:r>
        <w:t xml:space="preserve"> What are the appropriate </w:t>
      </w:r>
      <w:r w:rsidR="00BB7A53">
        <w:t>initial</w:t>
      </w:r>
      <w:r>
        <w:t xml:space="preserve"> customer deposits for The Woods Utility Company?</w:t>
      </w:r>
    </w:p>
    <w:p w:rsidR="000F60B6" w:rsidRPr="004C3641" w:rsidRDefault="000F60B6">
      <w:pPr>
        <w:pStyle w:val="IssueSubsectionHeading"/>
        <w:rPr>
          <w:vanish/>
          <w:specVanish/>
        </w:rPr>
      </w:pPr>
      <w:r w:rsidRPr="004C3641">
        <w:t>Recommendation: </w:t>
      </w:r>
    </w:p>
    <w:p w:rsidR="000F60B6" w:rsidRDefault="000F60B6">
      <w:pPr>
        <w:pStyle w:val="BodyText"/>
      </w:pPr>
      <w:r>
        <w:t> </w:t>
      </w:r>
      <w:r w:rsidR="008F1D71" w:rsidRPr="008E38AB">
        <w:t>The appropriate initial customer deposit is $</w:t>
      </w:r>
      <w:r w:rsidR="008F1D71">
        <w:t>10</w:t>
      </w:r>
      <w:r w:rsidR="00172B3D">
        <w:t>2</w:t>
      </w:r>
      <w:r w:rsidR="008F1D71" w:rsidRPr="008E38AB">
        <w:t xml:space="preserve"> for all residential meter sizes. The initial customer deposits for all general service meter sizes should be two times the average estimated monthly bill</w:t>
      </w:r>
      <w:r w:rsidR="008F1D71" w:rsidRPr="008E38AB">
        <w:rPr>
          <w:bCs/>
          <w:kern w:val="32"/>
        </w:rPr>
        <w:t>.</w:t>
      </w:r>
      <w:r w:rsidR="008F1D71" w:rsidRPr="008E38AB">
        <w:t xml:space="preserve"> The approved initial customer deposits should be effective for service rendered or connections made on or after the stamped approval date on the tariff sheets pursuant to Rule 25-30.475, F.A.C. The </w:t>
      </w:r>
      <w:r w:rsidR="008F1D71">
        <w:t>U</w:t>
      </w:r>
      <w:r w:rsidR="008F1D71" w:rsidRPr="008E38AB">
        <w:t>tility should be required to collect the approved initial customer deposits until authorized to change them by the Commission in a subsequent proceeding.</w:t>
      </w:r>
      <w:r>
        <w:t xml:space="preserve"> (</w:t>
      </w:r>
      <w:proofErr w:type="spellStart"/>
      <w:r>
        <w:t>Bethea</w:t>
      </w:r>
      <w:proofErr w:type="spellEnd"/>
      <w:r>
        <w:t>)</w:t>
      </w:r>
    </w:p>
    <w:p w:rsidR="000F60B6" w:rsidRPr="004C3641" w:rsidRDefault="000F60B6">
      <w:pPr>
        <w:pStyle w:val="IssueSubsectionHeading"/>
        <w:rPr>
          <w:vanish/>
          <w:specVanish/>
        </w:rPr>
      </w:pPr>
      <w:r w:rsidRPr="004C3641">
        <w:t>Staff Analysis: </w:t>
      </w:r>
    </w:p>
    <w:p w:rsidR="0043068D" w:rsidRPr="008E38AB" w:rsidRDefault="000F60B6" w:rsidP="0043068D">
      <w:pPr>
        <w:pStyle w:val="BodyText"/>
      </w:pPr>
      <w:r>
        <w:t> </w:t>
      </w:r>
      <w:r w:rsidR="0043068D" w:rsidRPr="008E38AB">
        <w:t>Rule 25-30.311, F.A.C., provides the criteria for collecting, administering, and refunding customer deposits. Customer deposits are designed to minimize the exposu</w:t>
      </w:r>
      <w:r w:rsidR="0043068D">
        <w:t>re of bad debt expense for the U</w:t>
      </w:r>
      <w:r w:rsidR="0043068D" w:rsidRPr="008E38AB">
        <w:t>tility and, ultimately, the general body of ratepayers. An initial customer deposit ensures that the cost of providing service is recovered from the cost causer. Historically, the Commission has set initial customer deposits equal to two times the average estimated bill.</w:t>
      </w:r>
      <w:r w:rsidR="0043068D" w:rsidRPr="008E38AB">
        <w:rPr>
          <w:rStyle w:val="FootnoteReference"/>
        </w:rPr>
        <w:footnoteReference w:id="24"/>
      </w:r>
      <w:r w:rsidR="0043068D" w:rsidRPr="008E38AB">
        <w:t xml:space="preserve"> Currently, the </w:t>
      </w:r>
      <w:r w:rsidR="0043068D">
        <w:t>U</w:t>
      </w:r>
      <w:r w:rsidR="0043068D" w:rsidRPr="008E38AB">
        <w:t xml:space="preserve">tility has an initial customer deposit of $89.06. However, this amount does not cover two months’ average bills based on staff’s recommended rates. The </w:t>
      </w:r>
      <w:r w:rsidR="0043068D">
        <w:t>U</w:t>
      </w:r>
      <w:r w:rsidR="0043068D" w:rsidRPr="008E38AB">
        <w:t>tilit</w:t>
      </w:r>
      <w:r w:rsidR="0043068D">
        <w:t>y</w:t>
      </w:r>
      <w:r w:rsidR="00EC64D5">
        <w:t>’s</w:t>
      </w:r>
      <w:r w:rsidR="0043068D">
        <w:t xml:space="preserve"> </w:t>
      </w:r>
      <w:r w:rsidR="0043068D" w:rsidRPr="008E38AB">
        <w:t>average monthly residential water usage</w:t>
      </w:r>
      <w:r w:rsidR="0043068D">
        <w:t xml:space="preserve"> after repression</w:t>
      </w:r>
      <w:r w:rsidR="0043068D" w:rsidRPr="008E38AB">
        <w:t xml:space="preserve"> is </w:t>
      </w:r>
      <w:r w:rsidR="0043068D">
        <w:t>3,239</w:t>
      </w:r>
      <w:r w:rsidR="0043068D" w:rsidRPr="008E38AB">
        <w:t xml:space="preserve"> gallons per customer. Therefore, the average residential monthly bill based on staff’s recommended rates is approximately $</w:t>
      </w:r>
      <w:r w:rsidR="0043068D">
        <w:t>51</w:t>
      </w:r>
      <w:r w:rsidR="0043068D" w:rsidRPr="008E38AB">
        <w:t>.</w:t>
      </w:r>
    </w:p>
    <w:p w:rsidR="000F60B6" w:rsidRDefault="0043068D" w:rsidP="0043068D">
      <w:pPr>
        <w:pStyle w:val="BodyText"/>
        <w:sectPr w:rsidR="000F60B6" w:rsidSect="009B1FE5">
          <w:headerReference w:type="default" r:id="rId24"/>
          <w:pgSz w:w="12240" w:h="15840" w:code="1"/>
          <w:pgMar w:top="1584" w:right="1440" w:bottom="1440" w:left="1440" w:header="720" w:footer="720" w:gutter="0"/>
          <w:cols w:space="720"/>
          <w:formProt w:val="0"/>
          <w:docGrid w:linePitch="360"/>
        </w:sectPr>
      </w:pPr>
      <w:r w:rsidRPr="008E38AB">
        <w:rPr>
          <w:rStyle w:val="BodyTextChar"/>
        </w:rPr>
        <w:t>Staff recommends the appropriate initial customer deposit is $</w:t>
      </w:r>
      <w:r>
        <w:rPr>
          <w:rStyle w:val="BodyTextChar"/>
        </w:rPr>
        <w:t>102</w:t>
      </w:r>
      <w:r w:rsidRPr="008E38AB">
        <w:rPr>
          <w:rStyle w:val="BodyTextChar"/>
        </w:rPr>
        <w:t xml:space="preserve"> for all residential meter sizes. The initial customer deposits for all general service meter sizes should be two times the average estimated monthly bill. The approved initial customer deposits should be effective for service rendered or connections made on or after the stamped approval date on the tariff sheets pursuant</w:t>
      </w:r>
      <w:r>
        <w:rPr>
          <w:rStyle w:val="BodyTextChar"/>
        </w:rPr>
        <w:t xml:space="preserve"> to Rule 25-30.475, F.A.C. The U</w:t>
      </w:r>
      <w:r w:rsidRPr="008E38AB">
        <w:rPr>
          <w:rStyle w:val="BodyTextChar"/>
        </w:rPr>
        <w:t>tility should be required to collect the approved initial customer deposits until authorized to change them by the Commis</w:t>
      </w:r>
      <w:r>
        <w:rPr>
          <w:rStyle w:val="BodyTextChar"/>
        </w:rPr>
        <w:t>sion in a subsequent proceeding</w:t>
      </w:r>
      <w:r w:rsidR="000F60B6">
        <w:t>.</w:t>
      </w:r>
    </w:p>
    <w:p w:rsidR="001B13D4" w:rsidRDefault="001B13D4">
      <w:pPr>
        <w:pStyle w:val="IssueHeading"/>
        <w:rPr>
          <w:vanish/>
          <w:specVanish/>
        </w:rPr>
      </w:pPr>
      <w:r w:rsidRPr="004C3641">
        <w:lastRenderedPageBreak/>
        <w:t xml:space="preserve">Issue </w:t>
      </w:r>
      <w:fldSimple w:instr=" SEQ Issue \* MERGEFORMAT ">
        <w:r w:rsidR="00B51302">
          <w:rPr>
            <w:noProof/>
          </w:rPr>
          <w:t>11</w:t>
        </w:r>
      </w:fldSimple>
      <w:r w:rsidRPr="004C3641">
        <w:t>:</w:t>
      </w:r>
      <w:r>
        <w:fldChar w:fldCharType="begin"/>
      </w:r>
      <w:r>
        <w:instrText xml:space="preserve"> TC "</w:instrText>
      </w:r>
      <w:r>
        <w:fldChar w:fldCharType="begin"/>
      </w:r>
      <w:r>
        <w:instrText xml:space="preserve"> SEQ issue \c </w:instrText>
      </w:r>
      <w:r>
        <w:fldChar w:fldCharType="separate"/>
      </w:r>
      <w:bookmarkStart w:id="36" w:name="_Toc30164205"/>
      <w:bookmarkStart w:id="37" w:name="_Toc32829967"/>
      <w:r w:rsidR="00B51302">
        <w:rPr>
          <w:noProof/>
        </w:rPr>
        <w:instrText>11</w:instrText>
      </w:r>
      <w:r>
        <w:fldChar w:fldCharType="end"/>
      </w:r>
      <w:r>
        <w:tab/>
        <w:instrText>Four-Year Reduction (Bethea, Hightower)</w:instrText>
      </w:r>
      <w:bookmarkEnd w:id="36"/>
      <w:bookmarkEnd w:id="37"/>
      <w:r>
        <w:instrText xml:space="preserve">" \l 1 </w:instrText>
      </w:r>
      <w:r>
        <w:fldChar w:fldCharType="end"/>
      </w:r>
      <w:r>
        <w:t> </w:t>
      </w:r>
    </w:p>
    <w:p w:rsidR="001B13D4" w:rsidRDefault="001B13D4">
      <w:pPr>
        <w:pStyle w:val="BodyText"/>
      </w:pPr>
      <w:r>
        <w:t> What is the appropriate amount by which rates should be reduced in four years after the published effective date to reflect the removal of the amortized rate case expense?</w:t>
      </w:r>
    </w:p>
    <w:p w:rsidR="001B13D4" w:rsidRPr="004C3641" w:rsidRDefault="001B13D4">
      <w:pPr>
        <w:pStyle w:val="IssueSubsectionHeading"/>
        <w:rPr>
          <w:vanish/>
          <w:specVanish/>
        </w:rPr>
      </w:pPr>
      <w:r w:rsidRPr="004C3641">
        <w:t>Recommendation: </w:t>
      </w:r>
    </w:p>
    <w:p w:rsidR="001B13D4" w:rsidRDefault="001B13D4">
      <w:pPr>
        <w:pStyle w:val="BodyText"/>
      </w:pPr>
      <w:r>
        <w:t> </w:t>
      </w:r>
      <w:r w:rsidRPr="00192253">
        <w:rPr>
          <w:rFonts w:cs="Arial"/>
          <w:bCs/>
          <w:iCs/>
          <w:szCs w:val="28"/>
        </w:rPr>
        <w:t xml:space="preserve">In four years, the </w:t>
      </w:r>
      <w:r>
        <w:rPr>
          <w:rFonts w:cs="Arial"/>
          <w:bCs/>
          <w:iCs/>
          <w:szCs w:val="28"/>
        </w:rPr>
        <w:t xml:space="preserve">water </w:t>
      </w:r>
      <w:r w:rsidRPr="00192253">
        <w:rPr>
          <w:rFonts w:cs="Arial"/>
          <w:bCs/>
          <w:iCs/>
          <w:szCs w:val="28"/>
        </w:rPr>
        <w:t>rates should be reduced, as shown on Schedule No. 4, to remove rate case expense grossed</w:t>
      </w:r>
      <w:r>
        <w:rPr>
          <w:rFonts w:cs="Arial"/>
          <w:bCs/>
          <w:iCs/>
          <w:szCs w:val="28"/>
        </w:rPr>
        <w:t>-</w:t>
      </w:r>
      <w:r w:rsidRPr="00192253">
        <w:rPr>
          <w:rFonts w:cs="Arial"/>
          <w:bCs/>
          <w:iCs/>
          <w:szCs w:val="28"/>
        </w:rPr>
        <w:t>up for RAFs and amortized over a four</w:t>
      </w:r>
      <w:r>
        <w:rPr>
          <w:rFonts w:cs="Arial"/>
          <w:bCs/>
          <w:iCs/>
          <w:szCs w:val="28"/>
        </w:rPr>
        <w:t>-</w:t>
      </w:r>
      <w:r w:rsidRPr="00192253">
        <w:rPr>
          <w:rFonts w:cs="Arial"/>
          <w:bCs/>
          <w:iCs/>
          <w:szCs w:val="28"/>
        </w:rPr>
        <w:t>year period. The decrease in rates should become effective immediately following the expiration of the four</w:t>
      </w:r>
      <w:r>
        <w:rPr>
          <w:rFonts w:cs="Arial"/>
          <w:bCs/>
          <w:iCs/>
          <w:szCs w:val="28"/>
        </w:rPr>
        <w:t>-</w:t>
      </w:r>
      <w:r w:rsidRPr="00192253">
        <w:rPr>
          <w:rFonts w:cs="Arial"/>
          <w:bCs/>
          <w:iCs/>
          <w:szCs w:val="28"/>
        </w:rPr>
        <w:t xml:space="preserve">year rate case expense recovery period, pursuant to Section 367.081(8), </w:t>
      </w:r>
      <w:proofErr w:type="spellStart"/>
      <w:r w:rsidRPr="00192253">
        <w:rPr>
          <w:rFonts w:cs="Arial"/>
          <w:bCs/>
          <w:iCs/>
          <w:szCs w:val="28"/>
        </w:rPr>
        <w:t>F.S</w:t>
      </w:r>
      <w:proofErr w:type="spellEnd"/>
      <w:r w:rsidRPr="00192253">
        <w:rPr>
          <w:rFonts w:cs="Arial"/>
          <w:bCs/>
          <w:iCs/>
          <w:szCs w:val="28"/>
        </w:rPr>
        <w:t xml:space="preserve">. </w:t>
      </w:r>
      <w:r>
        <w:rPr>
          <w:rFonts w:cs="Arial"/>
          <w:bCs/>
          <w:iCs/>
          <w:szCs w:val="28"/>
        </w:rPr>
        <w:t>The Woods</w:t>
      </w:r>
      <w:r w:rsidRPr="00192253">
        <w:rPr>
          <w:rFonts w:cs="Arial"/>
          <w:bCs/>
          <w:iCs/>
          <w:szCs w:val="28"/>
        </w:rPr>
        <w:t xml:space="preserve">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w:t>
      </w:r>
      <w:r>
        <w:rPr>
          <w:rFonts w:cs="Arial"/>
          <w:bCs/>
          <w:iCs/>
          <w:szCs w:val="28"/>
        </w:rPr>
        <w:t>-</w:t>
      </w:r>
      <w:r w:rsidRPr="00192253">
        <w:rPr>
          <w:rFonts w:cs="Arial"/>
          <w:bCs/>
          <w:iCs/>
          <w:szCs w:val="28"/>
        </w:rPr>
        <w:t>through rate adjustment, separate data should be filed for the price index and/or pass</w:t>
      </w:r>
      <w:r>
        <w:rPr>
          <w:rFonts w:cs="Arial"/>
          <w:bCs/>
          <w:iCs/>
          <w:szCs w:val="28"/>
        </w:rPr>
        <w:t>-</w:t>
      </w:r>
      <w:r w:rsidRPr="00192253">
        <w:rPr>
          <w:rFonts w:cs="Arial"/>
          <w:bCs/>
          <w:iCs/>
          <w:szCs w:val="28"/>
        </w:rPr>
        <w:t>through increase or decrease and the reduction in the rates due to the amortized rate case expense.</w:t>
      </w:r>
      <w:r>
        <w:rPr>
          <w:rFonts w:cs="Arial"/>
          <w:bCs/>
          <w:iCs/>
          <w:szCs w:val="28"/>
        </w:rPr>
        <w:t xml:space="preserve"> (</w:t>
      </w:r>
      <w:r w:rsidR="009440E5" w:rsidRPr="00554C10">
        <w:rPr>
          <w:rFonts w:cs="Arial"/>
          <w:bCs/>
          <w:iCs/>
          <w:szCs w:val="28"/>
        </w:rPr>
        <w:t>Procedural</w:t>
      </w:r>
      <w:r w:rsidRPr="00554C10">
        <w:rPr>
          <w:rFonts w:cs="Arial"/>
          <w:bCs/>
          <w:iCs/>
          <w:szCs w:val="28"/>
        </w:rPr>
        <w:t xml:space="preserve"> Agency Action</w:t>
      </w:r>
      <w:r>
        <w:rPr>
          <w:rFonts w:cs="Arial"/>
          <w:bCs/>
          <w:iCs/>
          <w:szCs w:val="28"/>
        </w:rPr>
        <w:t>)</w:t>
      </w:r>
      <w:r>
        <w:t xml:space="preserve"> (</w:t>
      </w:r>
      <w:proofErr w:type="spellStart"/>
      <w:r>
        <w:t>Bethea</w:t>
      </w:r>
      <w:proofErr w:type="spellEnd"/>
      <w:r>
        <w:t>, Hightower)</w:t>
      </w:r>
    </w:p>
    <w:p w:rsidR="001B13D4" w:rsidRPr="004C3641" w:rsidRDefault="001B13D4">
      <w:pPr>
        <w:pStyle w:val="IssueSubsectionHeading"/>
        <w:rPr>
          <w:vanish/>
          <w:specVanish/>
        </w:rPr>
      </w:pPr>
      <w:r w:rsidRPr="004C3641">
        <w:t>Staff Analysis: </w:t>
      </w:r>
    </w:p>
    <w:p w:rsidR="001B13D4" w:rsidRDefault="001B13D4" w:rsidP="001B13D4">
      <w:pPr>
        <w:jc w:val="both"/>
      </w:pPr>
      <w:r>
        <w:t> </w:t>
      </w:r>
      <w:r w:rsidRPr="00192253">
        <w:t xml:space="preserve">Section 367.081(8), </w:t>
      </w:r>
      <w:proofErr w:type="spellStart"/>
      <w:r w:rsidRPr="00192253">
        <w:t>F.S</w:t>
      </w:r>
      <w:proofErr w:type="spellEnd"/>
      <w:r w:rsidRPr="00192253">
        <w:t>., requires that the rates be reduced immediately following the expiration of the four</w:t>
      </w:r>
      <w:r>
        <w:t>-</w:t>
      </w:r>
      <w:r w:rsidRPr="00192253">
        <w:t>year period by the amount of the rate case expense previously included in rates. The reduction will reflect the removal of revenue associated with the amortization of rate case expense and the gross</w:t>
      </w:r>
      <w:r>
        <w:t>-</w:t>
      </w:r>
      <w:r w:rsidRPr="00192253">
        <w:t>up for RAFs. This results in a reduction of $</w:t>
      </w:r>
      <w:r>
        <w:t>226</w:t>
      </w:r>
      <w:r w:rsidRPr="00192253">
        <w:t xml:space="preserve">. </w:t>
      </w:r>
    </w:p>
    <w:p w:rsidR="001B13D4" w:rsidRPr="00192253" w:rsidRDefault="001B13D4" w:rsidP="001B13D4">
      <w:pPr>
        <w:jc w:val="both"/>
      </w:pPr>
    </w:p>
    <w:p w:rsidR="00B87604" w:rsidRDefault="001B13D4" w:rsidP="001B13D4">
      <w:pPr>
        <w:pStyle w:val="BodyText"/>
        <w:sectPr w:rsidR="00B87604" w:rsidSect="009B1FE5">
          <w:headerReference w:type="default" r:id="rId25"/>
          <w:pgSz w:w="12240" w:h="15840" w:code="1"/>
          <w:pgMar w:top="1584" w:right="1440" w:bottom="1440" w:left="1440" w:header="720" w:footer="720" w:gutter="0"/>
          <w:cols w:space="720"/>
          <w:formProt w:val="0"/>
          <w:docGrid w:linePitch="360"/>
        </w:sectPr>
      </w:pPr>
      <w:r w:rsidRPr="00192253">
        <w:t xml:space="preserve">The </w:t>
      </w:r>
      <w:r>
        <w:t xml:space="preserve">water </w:t>
      </w:r>
      <w:r w:rsidRPr="00192253">
        <w:t>rates should be reduced, as shown on Schedule No. 4, to remove rate case expense grossed</w:t>
      </w:r>
      <w:r>
        <w:t>-</w:t>
      </w:r>
      <w:r w:rsidRPr="00192253">
        <w:t>up for RAFs and amortized over a four</w:t>
      </w:r>
      <w:r>
        <w:t>-</w:t>
      </w:r>
      <w:r w:rsidRPr="00192253">
        <w:t>year period. The decrease in rates should become effective immediately following the expiration of the four</w:t>
      </w:r>
      <w:r>
        <w:t>-</w:t>
      </w:r>
      <w:r w:rsidRPr="00192253">
        <w:t xml:space="preserve">year rate case expense recovery period, pursuant to Section 367.081(8), </w:t>
      </w:r>
      <w:proofErr w:type="spellStart"/>
      <w:r w:rsidRPr="00192253">
        <w:t>F.S</w:t>
      </w:r>
      <w:proofErr w:type="spellEnd"/>
      <w:r w:rsidRPr="00192253">
        <w:t xml:space="preserve">. </w:t>
      </w:r>
      <w:r>
        <w:t>The Woods</w:t>
      </w:r>
      <w:r w:rsidRPr="00192253">
        <w:t xml:space="preserve">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w:t>
      </w:r>
      <w:r>
        <w:t>-</w:t>
      </w:r>
      <w:r w:rsidRPr="00192253">
        <w:t>through rate adjustment, separate data should be filed for the price index and/or pass</w:t>
      </w:r>
      <w:r>
        <w:t>-</w:t>
      </w:r>
      <w:r w:rsidRPr="00192253">
        <w:t>through increase or decrease and the reduction in the rates due to the amortized rate case expense.</w:t>
      </w:r>
    </w:p>
    <w:p w:rsidR="001B13D4" w:rsidRDefault="001B13D4">
      <w:pPr>
        <w:pStyle w:val="IssueHeading"/>
        <w:rPr>
          <w:vanish/>
          <w:specVanish/>
        </w:rPr>
      </w:pPr>
      <w:r w:rsidRPr="004C3641">
        <w:lastRenderedPageBreak/>
        <w:t xml:space="preserve">Issue </w:t>
      </w:r>
      <w:fldSimple w:instr=" SEQ Issue \* MERGEFORMAT ">
        <w:r w:rsidR="00B51302">
          <w:rPr>
            <w:noProof/>
          </w:rPr>
          <w:t>12</w:t>
        </w:r>
      </w:fldSimple>
      <w:r w:rsidRPr="004C3641">
        <w:t>:</w:t>
      </w:r>
      <w:r>
        <w:fldChar w:fldCharType="begin"/>
      </w:r>
      <w:r>
        <w:instrText xml:space="preserve"> TC "</w:instrText>
      </w:r>
      <w:r>
        <w:fldChar w:fldCharType="begin"/>
      </w:r>
      <w:r>
        <w:instrText xml:space="preserve"> SEQ issue \c </w:instrText>
      </w:r>
      <w:r>
        <w:fldChar w:fldCharType="separate"/>
      </w:r>
      <w:bookmarkStart w:id="38" w:name="_Toc30164206"/>
      <w:bookmarkStart w:id="39" w:name="_Toc32829968"/>
      <w:r w:rsidR="00B51302">
        <w:rPr>
          <w:noProof/>
        </w:rPr>
        <w:instrText>12</w:instrText>
      </w:r>
      <w:r>
        <w:fldChar w:fldCharType="end"/>
      </w:r>
      <w:r>
        <w:tab/>
      </w:r>
      <w:bookmarkEnd w:id="38"/>
      <w:r w:rsidR="00616052">
        <w:instrText>Temporary Rates (Hightower)</w:instrText>
      </w:r>
      <w:bookmarkEnd w:id="39"/>
      <w:r>
        <w:instrText xml:space="preserve">" \l 1 </w:instrText>
      </w:r>
      <w:r>
        <w:fldChar w:fldCharType="end"/>
      </w:r>
      <w:r>
        <w:t> </w:t>
      </w:r>
    </w:p>
    <w:p w:rsidR="001B13D4" w:rsidRDefault="001B13D4">
      <w:pPr>
        <w:pStyle w:val="BodyText"/>
      </w:pPr>
      <w:r>
        <w:t xml:space="preserve"> Should the recommended rates be approved for The Woods </w:t>
      </w:r>
      <w:r w:rsidR="00EC64D5">
        <w:t xml:space="preserve">Utility Company </w:t>
      </w:r>
      <w:r>
        <w:t>on a temporary basis, subject to refund with interest, in the event of a protest filed by a party other than the Utility?</w:t>
      </w:r>
    </w:p>
    <w:p w:rsidR="001B13D4" w:rsidRPr="004C3641" w:rsidRDefault="001B13D4">
      <w:pPr>
        <w:pStyle w:val="IssueSubsectionHeading"/>
        <w:rPr>
          <w:vanish/>
          <w:specVanish/>
        </w:rPr>
      </w:pPr>
      <w:r w:rsidRPr="004C3641">
        <w:t>Recommendation: </w:t>
      </w:r>
    </w:p>
    <w:p w:rsidR="001B13D4" w:rsidRDefault="001B13D4">
      <w:pPr>
        <w:pStyle w:val="BodyText"/>
      </w:pPr>
      <w:r>
        <w:t> </w:t>
      </w:r>
      <w:r w:rsidRPr="00312C21">
        <w:t xml:space="preserve">Yes. Pursuant to Section 367.0814(7), </w:t>
      </w:r>
      <w:proofErr w:type="spellStart"/>
      <w:r w:rsidRPr="00312C21">
        <w:t>F.S</w:t>
      </w:r>
      <w:proofErr w:type="spellEnd"/>
      <w:r w:rsidRPr="00312C21">
        <w:t xml:space="preserve">., the recommended rates should be approved for the </w:t>
      </w:r>
      <w:r>
        <w:t>U</w:t>
      </w:r>
      <w:r w:rsidRPr="00312C21">
        <w:t xml:space="preserve">tility on a temporary basis, subject to refund with interest, in the event of a protest filed by a party other than the utility. </w:t>
      </w:r>
      <w:r>
        <w:t>The Woods</w:t>
      </w:r>
      <w:r w:rsidRPr="00312C21">
        <w:t xml:space="preserve"> should file revised tariff sheets and a proposed customer notice to reflect the Commission</w:t>
      </w:r>
      <w:r>
        <w:t>-</w:t>
      </w:r>
      <w:r w:rsidRPr="00312C21">
        <w:t>approved rates. The approved rates should be effective for service rendered on or after the stamped approval date on the tariff sheet, pursuant to Rule 25</w:t>
      </w:r>
      <w:r>
        <w:t>-</w:t>
      </w:r>
      <w:r w:rsidRPr="00312C21">
        <w:t xml:space="preserve">30.475(1), F.A.C. In addition, the temporary rates should not be implemented until staff has approved the proposed notice, and the notice has been received by the customers. Prior to implementation of any temporary rates, the </w:t>
      </w:r>
      <w:r>
        <w:t>U</w:t>
      </w:r>
      <w:r w:rsidRPr="00312C21">
        <w:t xml:space="preserve">tility should provide appropriate security. If the recommended rates are approved on a temporary basis, the rates collected by the </w:t>
      </w:r>
      <w:r>
        <w:t>U</w:t>
      </w:r>
      <w:r w:rsidRPr="00312C21">
        <w:t>tility should be subject to the refund provisions discussed below in the staff analysis. In addition, after the increased rates are in effect, pursuant to Rule 25</w:t>
      </w:r>
      <w:r>
        <w:t>-</w:t>
      </w:r>
      <w:r w:rsidRPr="00312C21">
        <w:t xml:space="preserve">30.360(6), F.A.C., the </w:t>
      </w:r>
      <w:r>
        <w:t>U</w:t>
      </w:r>
      <w:r w:rsidRPr="00312C21">
        <w:t>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w:t>
      </w:r>
      <w:r>
        <w:t xml:space="preserve"> (</w:t>
      </w:r>
      <w:r w:rsidR="009440E5" w:rsidRPr="009440E5">
        <w:t>Procedural</w:t>
      </w:r>
      <w:r>
        <w:t xml:space="preserve"> Agency Action) (Hightower)</w:t>
      </w:r>
    </w:p>
    <w:p w:rsidR="001B13D4" w:rsidRPr="004C3641" w:rsidRDefault="001B13D4">
      <w:pPr>
        <w:pStyle w:val="IssueSubsectionHeading"/>
        <w:rPr>
          <w:vanish/>
          <w:specVanish/>
        </w:rPr>
      </w:pPr>
      <w:r w:rsidRPr="004C3641">
        <w:t>Staff Analysis: </w:t>
      </w:r>
    </w:p>
    <w:p w:rsidR="001B13D4" w:rsidRDefault="001B13D4" w:rsidP="001B13D4">
      <w:pPr>
        <w:autoSpaceDE w:val="0"/>
        <w:autoSpaceDN w:val="0"/>
        <w:adjustRightInd w:val="0"/>
        <w:jc w:val="both"/>
        <w:rPr>
          <w:rFonts w:eastAsiaTheme="minorHAnsi" w:cstheme="minorBidi"/>
          <w:szCs w:val="22"/>
        </w:rPr>
      </w:pPr>
      <w:r>
        <w:t> </w:t>
      </w:r>
      <w:r w:rsidRPr="00312C21">
        <w:rPr>
          <w:rFonts w:eastAsiaTheme="minorHAnsi" w:cstheme="minorBidi"/>
          <w:szCs w:val="22"/>
        </w:rPr>
        <w:t xml:space="preserve">This recommendation proposes an increase in </w:t>
      </w:r>
      <w:r>
        <w:rPr>
          <w:rFonts w:eastAsiaTheme="minorHAnsi" w:cstheme="minorBidi"/>
          <w:szCs w:val="22"/>
        </w:rPr>
        <w:t xml:space="preserve">water </w:t>
      </w:r>
      <w:r w:rsidRPr="00312C21">
        <w:rPr>
          <w:rFonts w:eastAsiaTheme="minorHAnsi" w:cstheme="minorBidi"/>
          <w:szCs w:val="22"/>
        </w:rPr>
        <w:t xml:space="preserve">rates. A timely protest might delay what may be a justified rate increase resulting in an unrecoverable loss of revenue to the </w:t>
      </w:r>
      <w:r>
        <w:rPr>
          <w:rFonts w:eastAsiaTheme="minorHAnsi" w:cstheme="minorBidi"/>
          <w:szCs w:val="22"/>
        </w:rPr>
        <w:t>U</w:t>
      </w:r>
      <w:r w:rsidRPr="00312C21">
        <w:rPr>
          <w:rFonts w:eastAsiaTheme="minorHAnsi" w:cstheme="minorBidi"/>
          <w:szCs w:val="22"/>
        </w:rPr>
        <w:t xml:space="preserve">tility. Therefore, pursuant to Section 367.0814(7), </w:t>
      </w:r>
      <w:proofErr w:type="spellStart"/>
      <w:r w:rsidRPr="00312C21">
        <w:rPr>
          <w:rFonts w:eastAsiaTheme="minorHAnsi" w:cstheme="minorBidi"/>
          <w:szCs w:val="22"/>
        </w:rPr>
        <w:t>F.S</w:t>
      </w:r>
      <w:proofErr w:type="spellEnd"/>
      <w:r w:rsidRPr="00312C21">
        <w:rPr>
          <w:rFonts w:eastAsiaTheme="minorHAnsi" w:cstheme="minorBidi"/>
          <w:szCs w:val="22"/>
        </w:rPr>
        <w:t xml:space="preserve">., in the event of a protest filed by a party other than the </w:t>
      </w:r>
      <w:proofErr w:type="gramStart"/>
      <w:r>
        <w:rPr>
          <w:rFonts w:eastAsiaTheme="minorHAnsi" w:cstheme="minorBidi"/>
          <w:szCs w:val="22"/>
        </w:rPr>
        <w:t>U</w:t>
      </w:r>
      <w:r w:rsidRPr="00312C21">
        <w:rPr>
          <w:rFonts w:eastAsiaTheme="minorHAnsi" w:cstheme="minorBidi"/>
          <w:szCs w:val="22"/>
        </w:rPr>
        <w:t>tility</w:t>
      </w:r>
      <w:proofErr w:type="gramEnd"/>
      <w:r w:rsidRPr="00312C21">
        <w:rPr>
          <w:rFonts w:eastAsiaTheme="minorHAnsi" w:cstheme="minorBidi"/>
          <w:szCs w:val="22"/>
        </w:rPr>
        <w:t xml:space="preserve">, staff recommends that the recommended rates be approved as temporary rates. </w:t>
      </w:r>
      <w:r>
        <w:rPr>
          <w:rFonts w:eastAsiaTheme="minorHAnsi" w:cstheme="minorBidi"/>
          <w:szCs w:val="22"/>
        </w:rPr>
        <w:t>The Woods</w:t>
      </w:r>
      <w:r w:rsidRPr="00312C21">
        <w:rPr>
          <w:rFonts w:eastAsiaTheme="minorHAnsi" w:cstheme="minorBidi"/>
          <w:szCs w:val="22"/>
        </w:rPr>
        <w:t xml:space="preserve"> should file revised tariff sheets and a proposed customer notice to reflect the Commission</w:t>
      </w:r>
      <w:r>
        <w:rPr>
          <w:rFonts w:eastAsiaTheme="minorHAnsi" w:cstheme="minorBidi"/>
          <w:szCs w:val="22"/>
        </w:rPr>
        <w:t>-</w:t>
      </w:r>
      <w:r w:rsidRPr="00312C21">
        <w:rPr>
          <w:rFonts w:eastAsiaTheme="minorHAnsi" w:cstheme="minorBidi"/>
          <w:szCs w:val="22"/>
        </w:rPr>
        <w:t>approved rates. The approved rates should be effective for service rendered on or after the stamped approval date on the tariff sheet, pursuant to Rule 25</w:t>
      </w:r>
      <w:r>
        <w:rPr>
          <w:rFonts w:eastAsiaTheme="minorHAnsi" w:cstheme="minorBidi"/>
          <w:szCs w:val="22"/>
        </w:rPr>
        <w:t>-</w:t>
      </w:r>
      <w:r w:rsidRPr="00312C21">
        <w:rPr>
          <w:rFonts w:eastAsiaTheme="minorHAnsi" w:cstheme="minorBidi"/>
          <w:szCs w:val="22"/>
        </w:rPr>
        <w:t>30.475(1), F.A.C. In addition, the temporary rates should not be implemented until staff has approved the proposed notice, and the notice has been received by the customers. The recommended rates collected by the</w:t>
      </w:r>
      <w:r>
        <w:rPr>
          <w:rFonts w:eastAsiaTheme="minorHAnsi" w:cstheme="minorBidi"/>
          <w:szCs w:val="22"/>
        </w:rPr>
        <w:t xml:space="preserve"> U</w:t>
      </w:r>
      <w:r w:rsidRPr="00312C21">
        <w:rPr>
          <w:rFonts w:eastAsiaTheme="minorHAnsi" w:cstheme="minorBidi"/>
          <w:szCs w:val="22"/>
        </w:rPr>
        <w:t>tility should be subject to the refund provisions discussed below.</w:t>
      </w:r>
    </w:p>
    <w:p w:rsidR="001B13D4" w:rsidRPr="00312C21" w:rsidRDefault="001B13D4" w:rsidP="001B13D4">
      <w:pPr>
        <w:autoSpaceDE w:val="0"/>
        <w:autoSpaceDN w:val="0"/>
        <w:adjustRightInd w:val="0"/>
        <w:jc w:val="both"/>
        <w:rPr>
          <w:rFonts w:eastAsiaTheme="minorHAnsi" w:cstheme="minorBidi"/>
          <w:szCs w:val="22"/>
        </w:rPr>
      </w:pPr>
    </w:p>
    <w:p w:rsidR="001B13D4" w:rsidRPr="00312C21" w:rsidRDefault="001B13D4" w:rsidP="001B13D4">
      <w:pPr>
        <w:autoSpaceDE w:val="0"/>
        <w:autoSpaceDN w:val="0"/>
        <w:adjustRightInd w:val="0"/>
        <w:spacing w:after="200"/>
        <w:jc w:val="both"/>
        <w:rPr>
          <w:rFonts w:eastAsiaTheme="minorHAnsi" w:cstheme="minorBidi"/>
          <w:szCs w:val="22"/>
        </w:rPr>
      </w:pPr>
      <w:r>
        <w:rPr>
          <w:rFonts w:eastAsiaTheme="minorHAnsi" w:cstheme="minorBidi"/>
          <w:szCs w:val="22"/>
        </w:rPr>
        <w:t>The Woods</w:t>
      </w:r>
      <w:r w:rsidRPr="00312C21">
        <w:rPr>
          <w:rFonts w:eastAsiaTheme="minorHAnsi" w:cstheme="minorBidi"/>
          <w:szCs w:val="22"/>
        </w:rPr>
        <w:t xml:space="preserve"> should be authorized to collect the temporary rates upon staff's approval of an appropriate security for the potential refund and the proposed customer notice. Security should be in the form of a bond or letter of credit in the amount of</w:t>
      </w:r>
      <w:r w:rsidRPr="00312C21">
        <w:rPr>
          <w:rFonts w:eastAsiaTheme="minorHAnsi" w:cstheme="minorBidi"/>
          <w:b/>
          <w:szCs w:val="22"/>
        </w:rPr>
        <w:t xml:space="preserve"> </w:t>
      </w:r>
      <w:r>
        <w:rPr>
          <w:rFonts w:eastAsiaTheme="minorHAnsi" w:cstheme="minorBidi"/>
          <w:szCs w:val="22"/>
        </w:rPr>
        <w:t>$6,757 for water</w:t>
      </w:r>
      <w:r w:rsidRPr="00312C21">
        <w:rPr>
          <w:rFonts w:eastAsiaTheme="minorHAnsi" w:cstheme="minorBidi"/>
          <w:szCs w:val="22"/>
        </w:rPr>
        <w:t xml:space="preserve">. Alternatively, the </w:t>
      </w:r>
      <w:r>
        <w:rPr>
          <w:rFonts w:eastAsiaTheme="minorHAnsi" w:cstheme="minorBidi"/>
          <w:szCs w:val="22"/>
        </w:rPr>
        <w:t>U</w:t>
      </w:r>
      <w:r w:rsidRPr="00312C21">
        <w:rPr>
          <w:rFonts w:eastAsiaTheme="minorHAnsi" w:cstheme="minorBidi"/>
          <w:szCs w:val="22"/>
        </w:rPr>
        <w:t>tility could establish an escrow agreement with an independent financial institution.</w:t>
      </w:r>
    </w:p>
    <w:p w:rsidR="001B13D4" w:rsidRPr="00312C21" w:rsidRDefault="001B13D4" w:rsidP="001B13D4">
      <w:pPr>
        <w:autoSpaceDE w:val="0"/>
        <w:autoSpaceDN w:val="0"/>
        <w:adjustRightInd w:val="0"/>
        <w:spacing w:after="200"/>
        <w:jc w:val="both"/>
        <w:rPr>
          <w:rFonts w:eastAsiaTheme="minorHAnsi" w:cstheme="minorBidi"/>
          <w:szCs w:val="22"/>
        </w:rPr>
      </w:pPr>
      <w:r w:rsidRPr="00312C21">
        <w:rPr>
          <w:rFonts w:eastAsiaTheme="minorHAnsi" w:cstheme="minorBidi"/>
          <w:szCs w:val="22"/>
        </w:rPr>
        <w:t xml:space="preserve">If the </w:t>
      </w:r>
      <w:r>
        <w:rPr>
          <w:rFonts w:eastAsiaTheme="minorHAnsi" w:cstheme="minorBidi"/>
          <w:szCs w:val="22"/>
        </w:rPr>
        <w:t>U</w:t>
      </w:r>
      <w:r w:rsidRPr="00312C21">
        <w:rPr>
          <w:rFonts w:eastAsiaTheme="minorHAnsi" w:cstheme="minorBidi"/>
          <w:szCs w:val="22"/>
        </w:rPr>
        <w:t>tility chooses a bond as security, the bond should contain wording to the effect that it will be terminated only under the following conditions:</w:t>
      </w:r>
    </w:p>
    <w:p w:rsidR="001B13D4" w:rsidRPr="00312C21" w:rsidRDefault="001B13D4" w:rsidP="001B13D4">
      <w:pPr>
        <w:autoSpaceDE w:val="0"/>
        <w:autoSpaceDN w:val="0"/>
        <w:adjustRightInd w:val="0"/>
        <w:spacing w:after="200"/>
        <w:ind w:left="720"/>
        <w:jc w:val="both"/>
        <w:rPr>
          <w:rFonts w:eastAsiaTheme="minorHAnsi" w:cstheme="minorBidi"/>
          <w:szCs w:val="22"/>
        </w:rPr>
      </w:pPr>
      <w:r w:rsidRPr="00312C21">
        <w:rPr>
          <w:rFonts w:eastAsiaTheme="minorHAnsi" w:cstheme="minorBidi"/>
          <w:szCs w:val="22"/>
        </w:rPr>
        <w:t>1) The Commission approves the rate increase; or,</w:t>
      </w:r>
    </w:p>
    <w:p w:rsidR="001B13D4" w:rsidRPr="00312C21" w:rsidRDefault="001B13D4" w:rsidP="001B13D4">
      <w:pPr>
        <w:autoSpaceDE w:val="0"/>
        <w:autoSpaceDN w:val="0"/>
        <w:adjustRightInd w:val="0"/>
        <w:spacing w:after="200"/>
        <w:ind w:left="990" w:hanging="270"/>
        <w:jc w:val="both"/>
        <w:rPr>
          <w:rFonts w:eastAsiaTheme="minorHAnsi" w:cstheme="minorBidi"/>
          <w:szCs w:val="22"/>
        </w:rPr>
      </w:pPr>
      <w:r w:rsidRPr="00312C21">
        <w:rPr>
          <w:rFonts w:eastAsiaTheme="minorHAnsi" w:cstheme="minorBidi"/>
          <w:szCs w:val="22"/>
        </w:rPr>
        <w:t xml:space="preserve">2) If the Commission denies the increase, the </w:t>
      </w:r>
      <w:r>
        <w:rPr>
          <w:rFonts w:eastAsiaTheme="minorHAnsi" w:cstheme="minorBidi"/>
          <w:szCs w:val="22"/>
        </w:rPr>
        <w:t>U</w:t>
      </w:r>
      <w:r w:rsidRPr="00312C21">
        <w:rPr>
          <w:rFonts w:eastAsiaTheme="minorHAnsi" w:cstheme="minorBidi"/>
          <w:szCs w:val="22"/>
        </w:rPr>
        <w:t>tility shall refund the amount collected that is attributable to the increase.</w:t>
      </w:r>
    </w:p>
    <w:p w:rsidR="001B13D4" w:rsidRPr="00312C21" w:rsidRDefault="001B13D4" w:rsidP="001B13D4">
      <w:pPr>
        <w:autoSpaceDE w:val="0"/>
        <w:autoSpaceDN w:val="0"/>
        <w:adjustRightInd w:val="0"/>
        <w:spacing w:after="200"/>
        <w:jc w:val="both"/>
        <w:rPr>
          <w:rFonts w:eastAsiaTheme="minorHAnsi" w:cstheme="minorBidi"/>
          <w:szCs w:val="22"/>
        </w:rPr>
      </w:pPr>
      <w:r w:rsidRPr="00312C21">
        <w:rPr>
          <w:rFonts w:eastAsiaTheme="minorHAnsi" w:cstheme="minorBidi"/>
          <w:szCs w:val="22"/>
        </w:rPr>
        <w:t xml:space="preserve">If the </w:t>
      </w:r>
      <w:r>
        <w:rPr>
          <w:rFonts w:eastAsiaTheme="minorHAnsi" w:cstheme="minorBidi"/>
          <w:szCs w:val="22"/>
        </w:rPr>
        <w:t>U</w:t>
      </w:r>
      <w:r w:rsidRPr="00312C21">
        <w:rPr>
          <w:rFonts w:eastAsiaTheme="minorHAnsi" w:cstheme="minorBidi"/>
          <w:szCs w:val="22"/>
        </w:rPr>
        <w:t>tility chooses a letter of credit as a security, it should contain the following conditions:</w:t>
      </w:r>
    </w:p>
    <w:p w:rsidR="001B13D4" w:rsidRPr="00312C21" w:rsidRDefault="001B13D4" w:rsidP="001B13D4">
      <w:pPr>
        <w:autoSpaceDE w:val="0"/>
        <w:autoSpaceDN w:val="0"/>
        <w:adjustRightInd w:val="0"/>
        <w:spacing w:after="200"/>
        <w:ind w:left="720"/>
        <w:jc w:val="both"/>
        <w:rPr>
          <w:rFonts w:eastAsiaTheme="minorHAnsi" w:cstheme="minorBidi"/>
          <w:szCs w:val="22"/>
        </w:rPr>
      </w:pPr>
      <w:r w:rsidRPr="00312C21">
        <w:rPr>
          <w:rFonts w:eastAsiaTheme="minorHAnsi" w:cstheme="minorBidi"/>
          <w:szCs w:val="22"/>
        </w:rPr>
        <w:t>1) The letter of credit is irrevocable for the period it is in effect, and,</w:t>
      </w:r>
    </w:p>
    <w:p w:rsidR="001B13D4" w:rsidRPr="00312C21" w:rsidRDefault="001B13D4" w:rsidP="001B13D4">
      <w:pPr>
        <w:autoSpaceDE w:val="0"/>
        <w:autoSpaceDN w:val="0"/>
        <w:adjustRightInd w:val="0"/>
        <w:spacing w:after="200"/>
        <w:ind w:left="720"/>
        <w:jc w:val="both"/>
        <w:rPr>
          <w:rFonts w:eastAsiaTheme="minorHAnsi" w:cstheme="minorBidi"/>
          <w:szCs w:val="22"/>
        </w:rPr>
      </w:pPr>
      <w:r w:rsidRPr="00312C21">
        <w:rPr>
          <w:rFonts w:eastAsiaTheme="minorHAnsi" w:cstheme="minorBidi"/>
          <w:szCs w:val="22"/>
        </w:rPr>
        <w:lastRenderedPageBreak/>
        <w:t>2) The letter of credit will be in effect until a final Commission order is rendered, either approving or denying the rate increase.</w:t>
      </w:r>
    </w:p>
    <w:p w:rsidR="001B13D4" w:rsidRPr="00312C21" w:rsidRDefault="001B13D4" w:rsidP="001B13D4">
      <w:pPr>
        <w:spacing w:after="200"/>
        <w:jc w:val="both"/>
        <w:rPr>
          <w:rFonts w:cstheme="minorBidi"/>
          <w:szCs w:val="22"/>
        </w:rPr>
      </w:pPr>
      <w:r w:rsidRPr="00312C21">
        <w:rPr>
          <w:rFonts w:cstheme="minorBidi"/>
          <w:szCs w:val="22"/>
        </w:rPr>
        <w:t>If security is provided through an escrow agreement, the following conditions should be part of the agreement:</w:t>
      </w:r>
    </w:p>
    <w:p w:rsidR="001B13D4" w:rsidRPr="00312C21" w:rsidRDefault="001B13D4" w:rsidP="001B13D4">
      <w:pPr>
        <w:spacing w:after="200"/>
        <w:ind w:left="1080" w:hanging="360"/>
        <w:jc w:val="both"/>
        <w:rPr>
          <w:rFonts w:cstheme="minorBidi"/>
          <w:szCs w:val="22"/>
        </w:rPr>
      </w:pPr>
      <w:r w:rsidRPr="00312C21">
        <w:rPr>
          <w:rFonts w:cstheme="minorBidi"/>
          <w:szCs w:val="22"/>
        </w:rPr>
        <w:t>1)</w:t>
      </w:r>
      <w:r w:rsidRPr="00312C21">
        <w:rPr>
          <w:rFonts w:cstheme="minorBidi"/>
          <w:szCs w:val="22"/>
        </w:rPr>
        <w:tab/>
        <w:t>The Commission Clerk, or his or her designee, must be a signatory to the escrow agreement; and,</w:t>
      </w:r>
    </w:p>
    <w:p w:rsidR="001B13D4" w:rsidRPr="00312C21" w:rsidRDefault="001B13D4" w:rsidP="001B13D4">
      <w:pPr>
        <w:spacing w:after="200"/>
        <w:ind w:left="1080" w:hanging="360"/>
        <w:jc w:val="both"/>
        <w:rPr>
          <w:rFonts w:cstheme="minorBidi"/>
          <w:szCs w:val="22"/>
        </w:rPr>
      </w:pPr>
      <w:r w:rsidRPr="00312C21">
        <w:rPr>
          <w:rFonts w:cstheme="minorBidi"/>
          <w:szCs w:val="22"/>
        </w:rPr>
        <w:t>2)</w:t>
      </w:r>
      <w:r w:rsidRPr="00312C21">
        <w:rPr>
          <w:rFonts w:cstheme="minorBidi"/>
          <w:szCs w:val="22"/>
        </w:rPr>
        <w:tab/>
        <w:t xml:space="preserve">No monies in the escrow account may be withdrawn by the </w:t>
      </w:r>
      <w:r>
        <w:rPr>
          <w:rFonts w:cstheme="minorBidi"/>
          <w:szCs w:val="22"/>
        </w:rPr>
        <w:t>U</w:t>
      </w:r>
      <w:r w:rsidRPr="00312C21">
        <w:rPr>
          <w:rFonts w:cstheme="minorBidi"/>
          <w:szCs w:val="22"/>
        </w:rPr>
        <w:t xml:space="preserve">tility without the prior written authorization of the Commission Clerk, or his or her designee; </w:t>
      </w:r>
    </w:p>
    <w:p w:rsidR="001B13D4" w:rsidRPr="00312C21" w:rsidRDefault="001B13D4" w:rsidP="001B13D4">
      <w:pPr>
        <w:spacing w:after="200"/>
        <w:ind w:left="1080" w:hanging="360"/>
        <w:jc w:val="both"/>
        <w:rPr>
          <w:rFonts w:cstheme="minorBidi"/>
          <w:szCs w:val="22"/>
        </w:rPr>
      </w:pPr>
      <w:r w:rsidRPr="00312C21">
        <w:rPr>
          <w:rFonts w:cstheme="minorBidi"/>
          <w:szCs w:val="22"/>
        </w:rPr>
        <w:t>3)</w:t>
      </w:r>
      <w:r w:rsidRPr="00312C21">
        <w:rPr>
          <w:rFonts w:cstheme="minorBidi"/>
          <w:szCs w:val="22"/>
        </w:rPr>
        <w:tab/>
        <w:t>The escrow account shall be an interest bearing account;</w:t>
      </w:r>
    </w:p>
    <w:p w:rsidR="001B13D4" w:rsidRPr="00312C21" w:rsidRDefault="001B13D4" w:rsidP="001B13D4">
      <w:pPr>
        <w:spacing w:after="200"/>
        <w:ind w:left="1080" w:hanging="360"/>
        <w:jc w:val="both"/>
        <w:rPr>
          <w:rFonts w:cstheme="minorBidi"/>
          <w:szCs w:val="22"/>
        </w:rPr>
      </w:pPr>
      <w:r w:rsidRPr="00312C21">
        <w:rPr>
          <w:rFonts w:cstheme="minorBidi"/>
          <w:szCs w:val="22"/>
        </w:rPr>
        <w:t>4)</w:t>
      </w:r>
      <w:r w:rsidRPr="00312C21">
        <w:rPr>
          <w:rFonts w:cstheme="minorBidi"/>
          <w:szCs w:val="22"/>
        </w:rPr>
        <w:tab/>
        <w:t>If a refund to the customers is required, all interest earned by the escrow account shall be distributed to the customers;</w:t>
      </w:r>
    </w:p>
    <w:p w:rsidR="001B13D4" w:rsidRPr="00312C21" w:rsidRDefault="001B13D4" w:rsidP="001B13D4">
      <w:pPr>
        <w:spacing w:after="200"/>
        <w:ind w:left="1080" w:hanging="360"/>
        <w:jc w:val="both"/>
        <w:rPr>
          <w:rFonts w:cstheme="minorBidi"/>
          <w:szCs w:val="22"/>
        </w:rPr>
      </w:pPr>
      <w:r w:rsidRPr="00312C21">
        <w:rPr>
          <w:rFonts w:cstheme="minorBidi"/>
          <w:szCs w:val="22"/>
        </w:rPr>
        <w:t>5)</w:t>
      </w:r>
      <w:r w:rsidRPr="00312C21">
        <w:rPr>
          <w:rFonts w:cstheme="minorBidi"/>
          <w:szCs w:val="22"/>
        </w:rPr>
        <w:tab/>
        <w:t xml:space="preserve">If a refund to the customers is not required, the interest earned by the escrow account shall revert to the </w:t>
      </w:r>
      <w:r>
        <w:rPr>
          <w:rFonts w:cstheme="minorBidi"/>
          <w:szCs w:val="22"/>
        </w:rPr>
        <w:t>U</w:t>
      </w:r>
      <w:r w:rsidRPr="00312C21">
        <w:rPr>
          <w:rFonts w:cstheme="minorBidi"/>
          <w:szCs w:val="22"/>
        </w:rPr>
        <w:t>tility;</w:t>
      </w:r>
    </w:p>
    <w:p w:rsidR="001B13D4" w:rsidRPr="00312C21" w:rsidRDefault="001B13D4" w:rsidP="001B13D4">
      <w:pPr>
        <w:spacing w:after="200"/>
        <w:ind w:left="1080" w:hanging="360"/>
        <w:jc w:val="both"/>
        <w:rPr>
          <w:rFonts w:cstheme="minorBidi"/>
          <w:szCs w:val="22"/>
        </w:rPr>
      </w:pPr>
      <w:r w:rsidRPr="00312C21">
        <w:rPr>
          <w:rFonts w:cstheme="minorBidi"/>
          <w:szCs w:val="22"/>
        </w:rPr>
        <w:t>6)</w:t>
      </w:r>
      <w:r w:rsidRPr="00312C21">
        <w:rPr>
          <w:rFonts w:cstheme="minorBidi"/>
          <w:szCs w:val="22"/>
        </w:rPr>
        <w:tab/>
        <w:t>All information on the escrow account shall be available from the holder of the escrow account to a Commission representative at all times;</w:t>
      </w:r>
    </w:p>
    <w:p w:rsidR="001B13D4" w:rsidRPr="00312C21" w:rsidRDefault="001B13D4" w:rsidP="001B13D4">
      <w:pPr>
        <w:spacing w:after="200"/>
        <w:ind w:left="1080" w:hanging="360"/>
        <w:jc w:val="both"/>
        <w:rPr>
          <w:rFonts w:cstheme="minorBidi"/>
          <w:szCs w:val="22"/>
        </w:rPr>
      </w:pPr>
      <w:r w:rsidRPr="00312C21">
        <w:rPr>
          <w:rFonts w:cstheme="minorBidi"/>
          <w:szCs w:val="22"/>
        </w:rPr>
        <w:t>7)</w:t>
      </w:r>
      <w:r w:rsidRPr="00312C21">
        <w:rPr>
          <w:rFonts w:cstheme="minorBidi"/>
          <w:szCs w:val="22"/>
        </w:rPr>
        <w:tab/>
        <w:t>The amount of revenue subject to refund shall be deposited in the escrow account within seven days of receipt;</w:t>
      </w:r>
    </w:p>
    <w:p w:rsidR="001B13D4" w:rsidRPr="00312C21" w:rsidRDefault="001B13D4" w:rsidP="001B13D4">
      <w:pPr>
        <w:spacing w:after="200"/>
        <w:ind w:left="1080" w:hanging="360"/>
        <w:jc w:val="both"/>
        <w:rPr>
          <w:rFonts w:cstheme="minorBidi"/>
          <w:szCs w:val="22"/>
        </w:rPr>
      </w:pPr>
      <w:r w:rsidRPr="00312C21">
        <w:rPr>
          <w:rFonts w:cstheme="minorBidi"/>
          <w:szCs w:val="22"/>
        </w:rPr>
        <w:t>8)</w:t>
      </w:r>
      <w:r w:rsidRPr="00312C21">
        <w:rPr>
          <w:rFonts w:cstheme="minorBidi"/>
          <w:szCs w:val="22"/>
        </w:rPr>
        <w:tab/>
        <w:t xml:space="preserve">This escrow account is established by the direction of the Florida Public Service Commission for the purpose(s) set forth in its order requiring such account. </w:t>
      </w:r>
      <w:proofErr w:type="gramStart"/>
      <w:r w:rsidRPr="00312C21">
        <w:rPr>
          <w:rFonts w:cstheme="minorBidi"/>
          <w:szCs w:val="22"/>
        </w:rPr>
        <w:t xml:space="preserve">Pursuant to </w:t>
      </w:r>
      <w:proofErr w:type="spellStart"/>
      <w:r w:rsidRPr="002D3283">
        <w:rPr>
          <w:rFonts w:cstheme="minorBidi"/>
          <w:i/>
          <w:szCs w:val="22"/>
        </w:rPr>
        <w:t>Cosentino</w:t>
      </w:r>
      <w:proofErr w:type="spellEnd"/>
      <w:r w:rsidRPr="002D3283">
        <w:rPr>
          <w:rFonts w:cstheme="minorBidi"/>
          <w:i/>
          <w:szCs w:val="22"/>
        </w:rPr>
        <w:t xml:space="preserve"> v. Elson</w:t>
      </w:r>
      <w:r w:rsidRPr="00312C21">
        <w:rPr>
          <w:rFonts w:cstheme="minorBidi"/>
          <w:szCs w:val="22"/>
        </w:rPr>
        <w:t>, 263 So.</w:t>
      </w:r>
      <w:proofErr w:type="gramEnd"/>
      <w:r w:rsidRPr="00312C21">
        <w:rPr>
          <w:rFonts w:cstheme="minorBidi"/>
          <w:szCs w:val="22"/>
        </w:rPr>
        <w:t xml:space="preserve"> </w:t>
      </w:r>
      <w:proofErr w:type="spellStart"/>
      <w:r w:rsidRPr="00312C21">
        <w:rPr>
          <w:rFonts w:cstheme="minorBidi"/>
          <w:szCs w:val="22"/>
        </w:rPr>
        <w:t>2d</w:t>
      </w:r>
      <w:proofErr w:type="spellEnd"/>
      <w:r w:rsidRPr="00312C21">
        <w:rPr>
          <w:rFonts w:cstheme="minorBidi"/>
          <w:szCs w:val="22"/>
        </w:rPr>
        <w:t xml:space="preserve"> 253 (Fla. </w:t>
      </w:r>
      <w:proofErr w:type="spellStart"/>
      <w:r w:rsidRPr="00312C21">
        <w:rPr>
          <w:rFonts w:cstheme="minorBidi"/>
          <w:szCs w:val="22"/>
        </w:rPr>
        <w:t>3d</w:t>
      </w:r>
      <w:proofErr w:type="spellEnd"/>
      <w:r w:rsidRPr="00312C21">
        <w:rPr>
          <w:rFonts w:cstheme="minorBidi"/>
          <w:szCs w:val="22"/>
        </w:rPr>
        <w:t xml:space="preserve"> </w:t>
      </w:r>
      <w:proofErr w:type="spellStart"/>
      <w:r w:rsidRPr="00312C21">
        <w:rPr>
          <w:rFonts w:cstheme="minorBidi"/>
          <w:szCs w:val="22"/>
        </w:rPr>
        <w:t>DCA</w:t>
      </w:r>
      <w:proofErr w:type="spellEnd"/>
      <w:r w:rsidRPr="00312C21">
        <w:rPr>
          <w:rFonts w:cstheme="minorBidi"/>
          <w:szCs w:val="22"/>
        </w:rPr>
        <w:t xml:space="preserve"> 1972), escrow accounts are not subject to garnishments;</w:t>
      </w:r>
    </w:p>
    <w:p w:rsidR="001B13D4" w:rsidRPr="00312C21" w:rsidRDefault="001B13D4" w:rsidP="001B13D4">
      <w:pPr>
        <w:spacing w:after="240"/>
        <w:ind w:left="1080" w:hanging="360"/>
        <w:jc w:val="both"/>
        <w:rPr>
          <w:rFonts w:cstheme="minorBidi"/>
          <w:szCs w:val="22"/>
        </w:rPr>
      </w:pPr>
      <w:r w:rsidRPr="00312C21">
        <w:rPr>
          <w:rFonts w:cstheme="minorBidi"/>
          <w:szCs w:val="22"/>
        </w:rPr>
        <w:t>9)</w:t>
      </w:r>
      <w:r w:rsidRPr="00312C21">
        <w:rPr>
          <w:rFonts w:cstheme="minorBidi"/>
          <w:szCs w:val="22"/>
        </w:rPr>
        <w:tab/>
        <w:t>The account must specify by whom and on whose behalf such monies were paid.</w:t>
      </w:r>
    </w:p>
    <w:p w:rsidR="001B13D4" w:rsidRPr="00312C21" w:rsidRDefault="001B13D4" w:rsidP="001B13D4">
      <w:pPr>
        <w:autoSpaceDE w:val="0"/>
        <w:autoSpaceDN w:val="0"/>
        <w:adjustRightInd w:val="0"/>
        <w:spacing w:after="200"/>
        <w:jc w:val="both"/>
        <w:rPr>
          <w:rFonts w:eastAsiaTheme="minorHAnsi" w:cstheme="minorBidi"/>
          <w:szCs w:val="22"/>
        </w:rPr>
      </w:pPr>
      <w:r w:rsidRPr="00312C21">
        <w:rPr>
          <w:rFonts w:eastAsiaTheme="minorHAnsi" w:cstheme="minorBidi"/>
          <w:szCs w:val="22"/>
        </w:rPr>
        <w:t xml:space="preserve">In no instance should the maintenance and administrative costs associated with the refund be borne by the customers. These costs are the responsibility of, and should be borne by, the </w:t>
      </w:r>
      <w:r>
        <w:rPr>
          <w:rFonts w:eastAsiaTheme="minorHAnsi" w:cstheme="minorBidi"/>
          <w:szCs w:val="22"/>
        </w:rPr>
        <w:t>U</w:t>
      </w:r>
      <w:r w:rsidRPr="00312C21">
        <w:rPr>
          <w:rFonts w:eastAsiaTheme="minorHAnsi" w:cstheme="minorBidi"/>
          <w:szCs w:val="22"/>
        </w:rPr>
        <w:t xml:space="preserve">tility. Irrespective of the form of security chosen by the </w:t>
      </w:r>
      <w:r>
        <w:rPr>
          <w:rFonts w:eastAsiaTheme="minorHAnsi" w:cstheme="minorBidi"/>
          <w:szCs w:val="22"/>
        </w:rPr>
        <w:t>U</w:t>
      </w:r>
      <w:r w:rsidRPr="00312C21">
        <w:rPr>
          <w:rFonts w:eastAsiaTheme="minorHAnsi" w:cstheme="minorBidi"/>
          <w:szCs w:val="22"/>
        </w:rPr>
        <w:t xml:space="preserve">tility, an account of all monies received as a result of the rate increase should be maintained by the </w:t>
      </w:r>
      <w:r>
        <w:rPr>
          <w:rFonts w:eastAsiaTheme="minorHAnsi" w:cstheme="minorBidi"/>
          <w:szCs w:val="22"/>
        </w:rPr>
        <w:t>U</w:t>
      </w:r>
      <w:r w:rsidRPr="00312C21">
        <w:rPr>
          <w:rFonts w:eastAsiaTheme="minorHAnsi" w:cstheme="minorBidi"/>
          <w:szCs w:val="22"/>
        </w:rPr>
        <w:t>tility. If a refund is ultimately required, it should be paid with interest calculated pursuant to Rule 25</w:t>
      </w:r>
      <w:r>
        <w:rPr>
          <w:rFonts w:eastAsiaTheme="minorHAnsi" w:cstheme="minorBidi"/>
          <w:szCs w:val="22"/>
        </w:rPr>
        <w:t>-</w:t>
      </w:r>
      <w:r w:rsidRPr="00312C21">
        <w:rPr>
          <w:rFonts w:eastAsiaTheme="minorHAnsi" w:cstheme="minorBidi"/>
          <w:szCs w:val="22"/>
        </w:rPr>
        <w:t>30.360(4), F.A.C.</w:t>
      </w:r>
    </w:p>
    <w:p w:rsidR="00B87604" w:rsidRDefault="001B13D4" w:rsidP="001B13D4">
      <w:pPr>
        <w:pStyle w:val="BodyText"/>
        <w:rPr>
          <w:rFonts w:eastAsiaTheme="minorHAnsi" w:cstheme="minorBidi"/>
          <w:szCs w:val="22"/>
        </w:rPr>
        <w:sectPr w:rsidR="00B87604" w:rsidSect="009B1FE5">
          <w:headerReference w:type="default" r:id="rId26"/>
          <w:pgSz w:w="12240" w:h="15840" w:code="1"/>
          <w:pgMar w:top="1584" w:right="1440" w:bottom="1440" w:left="1440" w:header="720" w:footer="720" w:gutter="0"/>
          <w:cols w:space="720"/>
          <w:formProt w:val="0"/>
          <w:docGrid w:linePitch="360"/>
        </w:sectPr>
      </w:pPr>
      <w:r w:rsidRPr="00312C21">
        <w:rPr>
          <w:rFonts w:eastAsiaTheme="minorHAnsi" w:cstheme="minorBidi"/>
          <w:szCs w:val="22"/>
        </w:rPr>
        <w:t xml:space="preserve">Should the recommended rates be approved by the Commission on a temporary basis, </w:t>
      </w:r>
      <w:r>
        <w:rPr>
          <w:rFonts w:eastAsiaTheme="minorHAnsi" w:cstheme="minorBidi"/>
          <w:szCs w:val="22"/>
        </w:rPr>
        <w:t>The Wood</w:t>
      </w:r>
      <w:r w:rsidR="00420079">
        <w:rPr>
          <w:rFonts w:eastAsiaTheme="minorHAnsi" w:cstheme="minorBidi"/>
          <w:szCs w:val="22"/>
        </w:rPr>
        <w:t>s</w:t>
      </w:r>
      <w:r>
        <w:rPr>
          <w:rFonts w:eastAsiaTheme="minorHAnsi" w:cstheme="minorBidi"/>
          <w:szCs w:val="22"/>
        </w:rPr>
        <w:t xml:space="preserve"> </w:t>
      </w:r>
      <w:r w:rsidRPr="00312C21">
        <w:rPr>
          <w:rFonts w:eastAsiaTheme="minorHAnsi" w:cstheme="minorBidi"/>
          <w:szCs w:val="22"/>
        </w:rPr>
        <w:t>should maintain a record of the amount of the security, and the amount of revenues that are subject to refund. In addition, after the increased rates are in effect, pursuant to Rule 25</w:t>
      </w:r>
      <w:r>
        <w:rPr>
          <w:rFonts w:eastAsiaTheme="minorHAnsi" w:cstheme="minorBidi"/>
          <w:szCs w:val="22"/>
        </w:rPr>
        <w:t>-</w:t>
      </w:r>
      <w:r w:rsidRPr="00312C21">
        <w:rPr>
          <w:rFonts w:eastAsiaTheme="minorHAnsi" w:cstheme="minorBidi"/>
          <w:szCs w:val="22"/>
        </w:rPr>
        <w:t xml:space="preserve">30.360(6), F.A.C., the </w:t>
      </w:r>
      <w:r>
        <w:rPr>
          <w:rFonts w:eastAsiaTheme="minorHAnsi" w:cstheme="minorBidi"/>
          <w:szCs w:val="22"/>
        </w:rPr>
        <w:t>U</w:t>
      </w:r>
      <w:r w:rsidRPr="00312C21">
        <w:rPr>
          <w:rFonts w:eastAsiaTheme="minorHAnsi" w:cstheme="minorBidi"/>
          <w:szCs w:val="22"/>
        </w:rPr>
        <w:t>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w:t>
      </w:r>
    </w:p>
    <w:p w:rsidR="001B13D4" w:rsidRDefault="001B13D4">
      <w:pPr>
        <w:pStyle w:val="IssueHeading"/>
        <w:rPr>
          <w:vanish/>
          <w:specVanish/>
        </w:rPr>
      </w:pPr>
      <w:r w:rsidRPr="004C3641">
        <w:lastRenderedPageBreak/>
        <w:t xml:space="preserve">Issue </w:t>
      </w:r>
      <w:fldSimple w:instr=" SEQ Issue \* MERGEFORMAT ">
        <w:r w:rsidR="00B51302">
          <w:rPr>
            <w:noProof/>
          </w:rPr>
          <w:t>13</w:t>
        </w:r>
      </w:fldSimple>
      <w:r w:rsidRPr="004C3641">
        <w:t>:</w:t>
      </w:r>
      <w:r>
        <w:fldChar w:fldCharType="begin"/>
      </w:r>
      <w:r>
        <w:instrText xml:space="preserve"> TC "</w:instrText>
      </w:r>
      <w:r>
        <w:fldChar w:fldCharType="begin"/>
      </w:r>
      <w:r>
        <w:instrText xml:space="preserve"> SEQ issue \c </w:instrText>
      </w:r>
      <w:r>
        <w:fldChar w:fldCharType="separate"/>
      </w:r>
      <w:bookmarkStart w:id="40" w:name="_Toc30164207"/>
      <w:bookmarkStart w:id="41" w:name="_Toc32829969"/>
      <w:r w:rsidR="00B51302">
        <w:rPr>
          <w:noProof/>
        </w:rPr>
        <w:instrText>13</w:instrText>
      </w:r>
      <w:r>
        <w:fldChar w:fldCharType="end"/>
      </w:r>
      <w:r>
        <w:tab/>
      </w:r>
      <w:bookmarkEnd w:id="40"/>
      <w:r w:rsidR="007852B7">
        <w:instrText>Commission-Ordered Adjustments (Hightower)</w:instrText>
      </w:r>
      <w:bookmarkEnd w:id="41"/>
      <w:r>
        <w:instrText xml:space="preserve">" \l 1 </w:instrText>
      </w:r>
      <w:r>
        <w:fldChar w:fldCharType="end"/>
      </w:r>
      <w:r>
        <w:t> </w:t>
      </w:r>
    </w:p>
    <w:p w:rsidR="001B13D4" w:rsidRDefault="001B13D4">
      <w:pPr>
        <w:pStyle w:val="BodyText"/>
      </w:pPr>
      <w:r>
        <w:t> Should The Woods be required to notify the Commission within 90 days of an effective order finalizing this docket, that it has adjusted its books for all the applicable National Association of Regulatory Utility Commissioners (NARUC) Uniform System of Accounts (</w:t>
      </w:r>
      <w:proofErr w:type="spellStart"/>
      <w:r>
        <w:t>USOA</w:t>
      </w:r>
      <w:proofErr w:type="spellEnd"/>
      <w:r>
        <w:t>) associated with the Commission approved adjustments?</w:t>
      </w:r>
    </w:p>
    <w:p w:rsidR="001B13D4" w:rsidRPr="004C3641" w:rsidRDefault="001B13D4">
      <w:pPr>
        <w:pStyle w:val="IssueSubsectionHeading"/>
        <w:rPr>
          <w:vanish/>
          <w:specVanish/>
        </w:rPr>
      </w:pPr>
      <w:r w:rsidRPr="004C3641">
        <w:t>Recommendation: </w:t>
      </w:r>
    </w:p>
    <w:p w:rsidR="001B13D4" w:rsidRDefault="001B13D4">
      <w:pPr>
        <w:pStyle w:val="BodyText"/>
      </w:pPr>
      <w:r>
        <w:t> </w:t>
      </w:r>
      <w:r w:rsidRPr="008D6D73">
        <w:t xml:space="preserve">Yes. The Utility should be required to notify the Commission, in writing, that it has adjusted its books in accordance with the Commission’s decision. </w:t>
      </w:r>
      <w:r>
        <w:t>The Woods</w:t>
      </w:r>
      <w:r w:rsidRPr="008D6D73">
        <w:t xml:space="preserve"> should submit a letter within 90 days of the final order in this docket, confirming that the adjustments to all the applicable National Association of Regulatory Utility Commissioners (NARUC) Uniform System of Accounts (</w:t>
      </w:r>
      <w:proofErr w:type="spellStart"/>
      <w:r w:rsidRPr="008D6D73">
        <w:t>USOA</w:t>
      </w:r>
      <w:proofErr w:type="spellEnd"/>
      <w:r w:rsidRPr="008D6D73">
        <w:t xml:space="preserve">) </w:t>
      </w:r>
      <w:r>
        <w:t xml:space="preserve">primary </w:t>
      </w:r>
      <w:r w:rsidRPr="008D6D73">
        <w:t>accounts have been made to the Utility’s books and records. In the event the Utility needs additional time to complete the adjustments, notice should be provided not less than seven days prior to the deadline. Upon providing good cause, staff should be given administrative authority to grant an extension of up to 60 days.</w:t>
      </w:r>
      <w:r>
        <w:t xml:space="preserve"> </w:t>
      </w:r>
      <w:r w:rsidR="00172B3D">
        <w:t>(</w:t>
      </w:r>
      <w:r w:rsidR="009440E5" w:rsidRPr="009440E5">
        <w:t>Procedural</w:t>
      </w:r>
      <w:r w:rsidR="00172B3D">
        <w:t xml:space="preserve"> Agency Action) </w:t>
      </w:r>
      <w:r>
        <w:t>(Hightower)</w:t>
      </w:r>
    </w:p>
    <w:p w:rsidR="001B13D4" w:rsidRPr="004C3641" w:rsidRDefault="001B13D4">
      <w:pPr>
        <w:pStyle w:val="IssueSubsectionHeading"/>
        <w:rPr>
          <w:vanish/>
          <w:specVanish/>
        </w:rPr>
      </w:pPr>
      <w:r w:rsidRPr="004C3641">
        <w:t>Staff Analysis: </w:t>
      </w:r>
    </w:p>
    <w:p w:rsidR="001B13D4" w:rsidRDefault="001B13D4">
      <w:pPr>
        <w:pStyle w:val="BodyText"/>
      </w:pPr>
      <w:r>
        <w:t> </w:t>
      </w:r>
      <w:r w:rsidRPr="00453BA2">
        <w:t xml:space="preserve">The Utility should be required to notify the Commission, in writing that it has adjusted its books in accordance with the Commission’s decision. </w:t>
      </w:r>
      <w:r>
        <w:t>The Woods</w:t>
      </w:r>
      <w:r w:rsidRPr="00453BA2">
        <w:t xml:space="preserve"> should submit a letter within 90 days of the final order in this docket, confirming that the adjustments to all the applicable NARUC </w:t>
      </w:r>
      <w:proofErr w:type="spellStart"/>
      <w:r w:rsidRPr="00453BA2">
        <w:t>USOA</w:t>
      </w:r>
      <w:proofErr w:type="spellEnd"/>
      <w:r w:rsidRPr="00453BA2">
        <w:t xml:space="preserve"> </w:t>
      </w:r>
      <w:r>
        <w:t xml:space="preserve">primary </w:t>
      </w:r>
      <w:r w:rsidRPr="00453BA2">
        <w:t>accounts</w:t>
      </w:r>
      <w:r>
        <w:t xml:space="preserve"> </w:t>
      </w:r>
      <w:r w:rsidRPr="00453BA2">
        <w:t>have been made to the Utility’s books and records. In the event the Utility needs additional time to complete the adjustments, notice should be provided not less than seven days prior to deadline. Upon providing good cause, staff should be given administrative authority to grant an extension of up to 60 days.</w:t>
      </w:r>
    </w:p>
    <w:p w:rsidR="00144B8B" w:rsidRDefault="00144B8B">
      <w:pPr>
        <w:pStyle w:val="BodyText"/>
      </w:pPr>
    </w:p>
    <w:p w:rsidR="00B16172" w:rsidRDefault="00B16172">
      <w:pPr>
        <w:rPr>
          <w:sz w:val="20"/>
          <w:szCs w:val="20"/>
        </w:rPr>
        <w:sectPr w:rsidR="00B16172" w:rsidSect="009B1FE5">
          <w:headerReference w:type="default" r:id="rId27"/>
          <w:pgSz w:w="12240" w:h="15840" w:code="1"/>
          <w:pgMar w:top="1584" w:right="1440" w:bottom="1440" w:left="1440" w:header="720" w:footer="720" w:gutter="0"/>
          <w:cols w:space="720"/>
          <w:formProt w:val="0"/>
          <w:docGrid w:linePitch="360"/>
        </w:sectPr>
      </w:pPr>
    </w:p>
    <w:p w:rsidR="00144B8B" w:rsidRDefault="00144B8B">
      <w:pPr>
        <w:rPr>
          <w:sz w:val="20"/>
          <w:szCs w:val="20"/>
        </w:rPr>
      </w:pPr>
    </w:p>
    <w:p w:rsidR="00B87604" w:rsidRDefault="00B87604">
      <w:pPr>
        <w:pStyle w:val="IssueHeading"/>
        <w:rPr>
          <w:vanish/>
          <w:specVanish/>
        </w:rPr>
      </w:pPr>
      <w:r w:rsidRPr="004C3641">
        <w:t xml:space="preserve">Issue </w:t>
      </w:r>
      <w:fldSimple w:instr=" SEQ Issue \* MERGEFORMAT ">
        <w:r w:rsidR="00B51302">
          <w:rPr>
            <w:noProof/>
          </w:rPr>
          <w:t>14</w:t>
        </w:r>
      </w:fldSimple>
      <w:r w:rsidRPr="004C3641">
        <w:t>:</w:t>
      </w:r>
      <w:r>
        <w:fldChar w:fldCharType="begin"/>
      </w:r>
      <w:r>
        <w:instrText xml:space="preserve"> TC "</w:instrText>
      </w:r>
      <w:r>
        <w:fldChar w:fldCharType="begin"/>
      </w:r>
      <w:r>
        <w:instrText xml:space="preserve"> SEQ issue \c </w:instrText>
      </w:r>
      <w:r>
        <w:fldChar w:fldCharType="separate"/>
      </w:r>
      <w:bookmarkStart w:id="42" w:name="_Toc32829970"/>
      <w:r w:rsidR="00B51302">
        <w:rPr>
          <w:noProof/>
        </w:rPr>
        <w:instrText>14</w:instrText>
      </w:r>
      <w:r>
        <w:fldChar w:fldCharType="end"/>
      </w:r>
      <w:r>
        <w:tab/>
      </w:r>
      <w:r w:rsidR="002B7DE8">
        <w:instrText>Docket Closure (Weisenfeld)</w:instrText>
      </w:r>
      <w:bookmarkEnd w:id="42"/>
      <w:r>
        <w:instrText xml:space="preserve">" \l 1 </w:instrText>
      </w:r>
      <w:r>
        <w:fldChar w:fldCharType="end"/>
      </w:r>
      <w:r>
        <w:t> </w:t>
      </w:r>
    </w:p>
    <w:p w:rsidR="00B87604" w:rsidRDefault="00B87604">
      <w:pPr>
        <w:pStyle w:val="BodyText"/>
      </w:pPr>
      <w:r>
        <w:t> Should this docket be closed?</w:t>
      </w:r>
    </w:p>
    <w:p w:rsidR="00B87604" w:rsidRPr="004C3641" w:rsidRDefault="00B87604">
      <w:pPr>
        <w:pStyle w:val="IssueSubsectionHeading"/>
        <w:rPr>
          <w:vanish/>
          <w:specVanish/>
        </w:rPr>
      </w:pPr>
      <w:r w:rsidRPr="004C3641">
        <w:t>Recommendation: </w:t>
      </w:r>
    </w:p>
    <w:p w:rsidR="00B87604" w:rsidRDefault="00B87604">
      <w:pPr>
        <w:pStyle w:val="BodyText"/>
      </w:pPr>
      <w:r>
        <w:t> </w:t>
      </w:r>
      <w:r w:rsidRPr="00943843">
        <w:t>No. 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w:t>
      </w:r>
      <w:r w:rsidR="007852B7">
        <w:t xml:space="preserve">, and receipt of required biannual status reports on the Utility’s until </w:t>
      </w:r>
      <w:r w:rsidR="00482EE9">
        <w:t>additional</w:t>
      </w:r>
      <w:r w:rsidR="007852B7">
        <w:t xml:space="preserve"> </w:t>
      </w:r>
      <w:r w:rsidR="00482EE9">
        <w:t>monitoring</w:t>
      </w:r>
      <w:r w:rsidR="007852B7">
        <w:t xml:space="preserve"> is rescinded by the DEP</w:t>
      </w:r>
      <w:r w:rsidRPr="00943843">
        <w:t>. Once these actions are complete, this docket should be close</w:t>
      </w:r>
      <w:r>
        <w:t>d administratively. (</w:t>
      </w:r>
      <w:proofErr w:type="spellStart"/>
      <w:r w:rsidR="0019642A">
        <w:t>Weisenfeld</w:t>
      </w:r>
      <w:proofErr w:type="spellEnd"/>
      <w:r>
        <w:t>)</w:t>
      </w:r>
    </w:p>
    <w:p w:rsidR="00B87604" w:rsidRPr="004C3641" w:rsidRDefault="00B87604">
      <w:pPr>
        <w:pStyle w:val="IssueSubsectionHeading"/>
        <w:rPr>
          <w:vanish/>
          <w:specVanish/>
        </w:rPr>
      </w:pPr>
      <w:r w:rsidRPr="004C3641">
        <w:t>Staff Analysis: </w:t>
      </w:r>
    </w:p>
    <w:p w:rsidR="00B87604" w:rsidRDefault="00B87604" w:rsidP="00B87604">
      <w:pPr>
        <w:pStyle w:val="BodyText"/>
      </w:pPr>
      <w:r>
        <w:t> </w:t>
      </w:r>
      <w:r w:rsidRPr="00943843">
        <w:t>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w:t>
      </w:r>
      <w:r w:rsidR="007852B7" w:rsidRPr="007852B7">
        <w:t xml:space="preserve">, and receipt of required biannual status reports on the Utility’s until </w:t>
      </w:r>
      <w:r w:rsidR="00482EE9" w:rsidRPr="007852B7">
        <w:t>additional</w:t>
      </w:r>
      <w:r w:rsidR="007852B7" w:rsidRPr="007852B7">
        <w:t xml:space="preserve"> </w:t>
      </w:r>
      <w:r w:rsidR="00482EE9" w:rsidRPr="007852B7">
        <w:t>monitoring</w:t>
      </w:r>
      <w:r w:rsidR="007852B7" w:rsidRPr="007852B7">
        <w:t xml:space="preserve"> is rescinded by the DEP</w:t>
      </w:r>
      <w:r w:rsidRPr="00943843">
        <w:t>. Once these actions are complete, this docket should be closed administratively.</w:t>
      </w:r>
    </w:p>
    <w:p w:rsidR="00D43A4C" w:rsidRDefault="00D43A4C">
      <w:pPr>
        <w:pStyle w:val="BodyText"/>
        <w:sectPr w:rsidR="00D43A4C" w:rsidSect="009B1FE5">
          <w:headerReference w:type="default" r:id="rId28"/>
          <w:pgSz w:w="12240" w:h="15840" w:code="1"/>
          <w:pgMar w:top="1584" w:right="1440" w:bottom="1440" w:left="1440" w:header="720" w:footer="720" w:gutter="0"/>
          <w:cols w:space="720"/>
          <w:formProt w:val="0"/>
          <w:docGrid w:linePitch="360"/>
        </w:sectPr>
      </w:pPr>
    </w:p>
    <w:p w:rsidR="0029604B" w:rsidRDefault="00B85519">
      <w:pPr>
        <w:pStyle w:val="BodyText"/>
      </w:pPr>
      <w:r>
        <w:lastRenderedPageBreak/>
        <w:fldChar w:fldCharType="begin"/>
      </w:r>
      <w:r>
        <w:instrText xml:space="preserve"> TC  "</w:instrText>
      </w:r>
      <w:bookmarkStart w:id="43" w:name="_Toc32829971"/>
      <w:r>
        <w:tab/>
        <w:instrText>Schedule No. 1-A</w:instrText>
      </w:r>
      <w:bookmarkEnd w:id="43"/>
      <w:r>
        <w:instrText xml:space="preserve">" \l 1 </w:instrText>
      </w:r>
      <w:r>
        <w:fldChar w:fldCharType="end"/>
      </w:r>
      <w:r w:rsidR="00EC2F42" w:rsidRPr="00EC2F42">
        <w:t xml:space="preserve"> </w:t>
      </w:r>
    </w:p>
    <w:tbl>
      <w:tblPr>
        <w:tblW w:w="10040" w:type="dxa"/>
        <w:tblInd w:w="93" w:type="dxa"/>
        <w:tblLook w:val="04A0" w:firstRow="1" w:lastRow="0" w:firstColumn="1" w:lastColumn="0" w:noHBand="0" w:noVBand="1"/>
      </w:tblPr>
      <w:tblGrid>
        <w:gridCol w:w="396"/>
        <w:gridCol w:w="5080"/>
        <w:gridCol w:w="1642"/>
        <w:gridCol w:w="1396"/>
        <w:gridCol w:w="1642"/>
      </w:tblGrid>
      <w:tr w:rsidR="008F546E" w:rsidTr="008F546E">
        <w:trPr>
          <w:trHeight w:val="315"/>
        </w:trPr>
        <w:tc>
          <w:tcPr>
            <w:tcW w:w="280" w:type="dxa"/>
            <w:tcBorders>
              <w:top w:val="single" w:sz="4" w:space="0" w:color="auto"/>
              <w:left w:val="single" w:sz="4" w:space="0" w:color="auto"/>
              <w:bottom w:val="nil"/>
              <w:right w:val="nil"/>
            </w:tcBorders>
            <w:shd w:val="clear" w:color="auto" w:fill="auto"/>
            <w:noWrap/>
            <w:vAlign w:val="bottom"/>
            <w:hideMark/>
          </w:tcPr>
          <w:p w:rsidR="008F546E" w:rsidRDefault="008F546E">
            <w:pPr>
              <w:jc w:val="center"/>
              <w:rPr>
                <w:color w:val="000000"/>
              </w:rPr>
            </w:pPr>
            <w:r>
              <w:rPr>
                <w:color w:val="000000"/>
              </w:rPr>
              <w:t> </w:t>
            </w:r>
          </w:p>
        </w:tc>
        <w:tc>
          <w:tcPr>
            <w:tcW w:w="5080" w:type="dxa"/>
            <w:tcBorders>
              <w:top w:val="single" w:sz="4" w:space="0" w:color="auto"/>
              <w:left w:val="nil"/>
              <w:bottom w:val="nil"/>
              <w:right w:val="nil"/>
            </w:tcBorders>
            <w:shd w:val="clear" w:color="auto" w:fill="auto"/>
            <w:noWrap/>
            <w:vAlign w:val="bottom"/>
            <w:hideMark/>
          </w:tcPr>
          <w:p w:rsidR="008F546E" w:rsidRDefault="008F546E">
            <w:pPr>
              <w:rPr>
                <w:b/>
                <w:bCs/>
                <w:color w:val="000000"/>
              </w:rPr>
            </w:pPr>
            <w:r>
              <w:rPr>
                <w:b/>
                <w:bCs/>
                <w:color w:val="000000"/>
              </w:rPr>
              <w:t>THE WOODS UTILITY COMPANY, INC.</w:t>
            </w:r>
          </w:p>
        </w:tc>
        <w:tc>
          <w:tcPr>
            <w:tcW w:w="4680" w:type="dxa"/>
            <w:gridSpan w:val="3"/>
            <w:tcBorders>
              <w:top w:val="single" w:sz="4" w:space="0" w:color="auto"/>
              <w:left w:val="nil"/>
              <w:bottom w:val="nil"/>
              <w:right w:val="single" w:sz="4" w:space="0" w:color="000000"/>
            </w:tcBorders>
            <w:shd w:val="clear" w:color="auto" w:fill="auto"/>
            <w:noWrap/>
            <w:vAlign w:val="bottom"/>
            <w:hideMark/>
          </w:tcPr>
          <w:p w:rsidR="008F546E" w:rsidRDefault="008F546E">
            <w:pPr>
              <w:jc w:val="right"/>
              <w:rPr>
                <w:b/>
                <w:bCs/>
                <w:color w:val="000000"/>
              </w:rPr>
            </w:pPr>
            <w:r>
              <w:rPr>
                <w:b/>
                <w:bCs/>
                <w:color w:val="000000"/>
              </w:rPr>
              <w:t>SCHEDULE NO. 1-A</w:t>
            </w:r>
          </w:p>
        </w:tc>
      </w:tr>
      <w:tr w:rsidR="008F546E" w:rsidTr="008F546E">
        <w:trPr>
          <w:trHeight w:val="315"/>
        </w:trPr>
        <w:tc>
          <w:tcPr>
            <w:tcW w:w="280" w:type="dxa"/>
            <w:tcBorders>
              <w:top w:val="nil"/>
              <w:left w:val="single" w:sz="4" w:space="0" w:color="auto"/>
              <w:bottom w:val="nil"/>
              <w:right w:val="nil"/>
            </w:tcBorders>
            <w:shd w:val="clear" w:color="auto" w:fill="auto"/>
            <w:noWrap/>
            <w:vAlign w:val="bottom"/>
            <w:hideMark/>
          </w:tcPr>
          <w:p w:rsidR="008F546E" w:rsidRDefault="008F546E">
            <w:pPr>
              <w:jc w:val="center"/>
              <w:rPr>
                <w:b/>
                <w:bCs/>
                <w:color w:val="000000"/>
              </w:rPr>
            </w:pPr>
            <w:r>
              <w:rPr>
                <w:b/>
                <w:bCs/>
                <w:color w:val="000000"/>
              </w:rPr>
              <w:t> </w:t>
            </w:r>
          </w:p>
        </w:tc>
        <w:tc>
          <w:tcPr>
            <w:tcW w:w="5080" w:type="dxa"/>
            <w:tcBorders>
              <w:top w:val="nil"/>
              <w:left w:val="nil"/>
              <w:bottom w:val="nil"/>
              <w:right w:val="nil"/>
            </w:tcBorders>
            <w:shd w:val="clear" w:color="auto" w:fill="auto"/>
            <w:noWrap/>
            <w:vAlign w:val="bottom"/>
            <w:hideMark/>
          </w:tcPr>
          <w:p w:rsidR="008F546E" w:rsidRDefault="008F546E">
            <w:pPr>
              <w:rPr>
                <w:b/>
                <w:bCs/>
                <w:color w:val="000000"/>
              </w:rPr>
            </w:pPr>
            <w:r>
              <w:rPr>
                <w:b/>
                <w:bCs/>
                <w:color w:val="000000"/>
              </w:rPr>
              <w:t>TEST YEAR ENDED 03/31/2019</w:t>
            </w:r>
          </w:p>
        </w:tc>
        <w:tc>
          <w:tcPr>
            <w:tcW w:w="4680" w:type="dxa"/>
            <w:gridSpan w:val="3"/>
            <w:tcBorders>
              <w:top w:val="nil"/>
              <w:left w:val="nil"/>
              <w:bottom w:val="nil"/>
              <w:right w:val="single" w:sz="4" w:space="0" w:color="000000"/>
            </w:tcBorders>
            <w:shd w:val="clear" w:color="auto" w:fill="auto"/>
            <w:noWrap/>
            <w:vAlign w:val="bottom"/>
            <w:hideMark/>
          </w:tcPr>
          <w:p w:rsidR="008F546E" w:rsidRDefault="008F546E">
            <w:pPr>
              <w:jc w:val="right"/>
              <w:rPr>
                <w:b/>
                <w:bCs/>
                <w:color w:val="000000"/>
              </w:rPr>
            </w:pPr>
            <w:r>
              <w:rPr>
                <w:b/>
                <w:bCs/>
                <w:color w:val="000000"/>
              </w:rPr>
              <w:t>DOCKET NO. 20190125-WS</w:t>
            </w:r>
          </w:p>
        </w:tc>
      </w:tr>
      <w:tr w:rsidR="008F546E" w:rsidTr="008F546E">
        <w:trPr>
          <w:trHeight w:val="315"/>
        </w:trPr>
        <w:tc>
          <w:tcPr>
            <w:tcW w:w="280" w:type="dxa"/>
            <w:tcBorders>
              <w:top w:val="nil"/>
              <w:left w:val="single" w:sz="4" w:space="0" w:color="auto"/>
              <w:bottom w:val="single" w:sz="4" w:space="0" w:color="auto"/>
              <w:right w:val="nil"/>
            </w:tcBorders>
            <w:shd w:val="clear" w:color="auto" w:fill="auto"/>
            <w:noWrap/>
            <w:vAlign w:val="bottom"/>
            <w:hideMark/>
          </w:tcPr>
          <w:p w:rsidR="008F546E" w:rsidRDefault="008F546E">
            <w:pPr>
              <w:jc w:val="center"/>
              <w:rPr>
                <w:b/>
                <w:bCs/>
                <w:color w:val="000000"/>
              </w:rPr>
            </w:pPr>
            <w:r>
              <w:rPr>
                <w:b/>
                <w:bCs/>
                <w:color w:val="000000"/>
              </w:rPr>
              <w:t> </w:t>
            </w:r>
          </w:p>
        </w:tc>
        <w:tc>
          <w:tcPr>
            <w:tcW w:w="5080" w:type="dxa"/>
            <w:tcBorders>
              <w:top w:val="nil"/>
              <w:left w:val="nil"/>
              <w:bottom w:val="single" w:sz="4" w:space="0" w:color="auto"/>
              <w:right w:val="nil"/>
            </w:tcBorders>
            <w:shd w:val="clear" w:color="auto" w:fill="auto"/>
            <w:noWrap/>
            <w:vAlign w:val="bottom"/>
            <w:hideMark/>
          </w:tcPr>
          <w:p w:rsidR="008F546E" w:rsidRDefault="008F546E">
            <w:pPr>
              <w:rPr>
                <w:b/>
                <w:bCs/>
                <w:color w:val="000000"/>
              </w:rPr>
            </w:pPr>
            <w:r>
              <w:rPr>
                <w:b/>
                <w:bCs/>
                <w:color w:val="000000"/>
              </w:rPr>
              <w:t>SCHEDULE OF WATER RATE BASE</w:t>
            </w:r>
          </w:p>
        </w:tc>
        <w:tc>
          <w:tcPr>
            <w:tcW w:w="1642" w:type="dxa"/>
            <w:tcBorders>
              <w:top w:val="nil"/>
              <w:left w:val="nil"/>
              <w:bottom w:val="single" w:sz="4" w:space="0" w:color="auto"/>
              <w:right w:val="nil"/>
            </w:tcBorders>
            <w:shd w:val="clear" w:color="auto" w:fill="auto"/>
            <w:noWrap/>
            <w:vAlign w:val="bottom"/>
            <w:hideMark/>
          </w:tcPr>
          <w:p w:rsidR="008F546E" w:rsidRDefault="008F546E">
            <w:pPr>
              <w:rPr>
                <w:b/>
                <w:bCs/>
                <w:color w:val="000000"/>
              </w:rPr>
            </w:pPr>
            <w:r>
              <w:rPr>
                <w:b/>
                <w:bCs/>
                <w:color w:val="000000"/>
              </w:rPr>
              <w:t> </w:t>
            </w:r>
          </w:p>
        </w:tc>
        <w:tc>
          <w:tcPr>
            <w:tcW w:w="1396" w:type="dxa"/>
            <w:tcBorders>
              <w:top w:val="nil"/>
              <w:left w:val="nil"/>
              <w:bottom w:val="single" w:sz="4" w:space="0" w:color="auto"/>
              <w:right w:val="nil"/>
            </w:tcBorders>
            <w:shd w:val="clear" w:color="auto" w:fill="auto"/>
            <w:noWrap/>
            <w:vAlign w:val="bottom"/>
            <w:hideMark/>
          </w:tcPr>
          <w:p w:rsidR="008F546E" w:rsidRDefault="008F546E">
            <w:pPr>
              <w:rPr>
                <w:b/>
                <w:bCs/>
                <w:color w:val="000000"/>
              </w:rPr>
            </w:pPr>
            <w:r>
              <w:rPr>
                <w:b/>
                <w:bCs/>
                <w:color w:val="000000"/>
              </w:rPr>
              <w:t> </w:t>
            </w:r>
          </w:p>
        </w:tc>
        <w:tc>
          <w:tcPr>
            <w:tcW w:w="1642" w:type="dxa"/>
            <w:tcBorders>
              <w:top w:val="nil"/>
              <w:left w:val="nil"/>
              <w:bottom w:val="single" w:sz="4" w:space="0" w:color="auto"/>
              <w:right w:val="single" w:sz="4" w:space="0" w:color="auto"/>
            </w:tcBorders>
            <w:shd w:val="clear" w:color="auto" w:fill="auto"/>
            <w:noWrap/>
            <w:vAlign w:val="bottom"/>
            <w:hideMark/>
          </w:tcPr>
          <w:p w:rsidR="008F546E" w:rsidRDefault="008F546E">
            <w:pPr>
              <w:rPr>
                <w:b/>
                <w:bCs/>
                <w:color w:val="000000"/>
              </w:rPr>
            </w:pPr>
            <w:r>
              <w:rPr>
                <w:b/>
                <w:bCs/>
                <w:color w:val="000000"/>
              </w:rPr>
              <w:t> </w:t>
            </w:r>
          </w:p>
        </w:tc>
      </w:tr>
      <w:tr w:rsidR="008F546E" w:rsidTr="008F546E">
        <w:trPr>
          <w:trHeight w:val="315"/>
        </w:trPr>
        <w:tc>
          <w:tcPr>
            <w:tcW w:w="280" w:type="dxa"/>
            <w:tcBorders>
              <w:top w:val="nil"/>
              <w:left w:val="single" w:sz="4" w:space="0" w:color="auto"/>
              <w:bottom w:val="nil"/>
              <w:right w:val="nil"/>
            </w:tcBorders>
            <w:shd w:val="clear" w:color="auto" w:fill="auto"/>
            <w:noWrap/>
            <w:vAlign w:val="bottom"/>
            <w:hideMark/>
          </w:tcPr>
          <w:p w:rsidR="008F546E" w:rsidRDefault="008F546E">
            <w:pPr>
              <w:jc w:val="center"/>
              <w:rPr>
                <w:b/>
                <w:bCs/>
                <w:color w:val="000000"/>
              </w:rPr>
            </w:pPr>
            <w:r>
              <w:rPr>
                <w:b/>
                <w:bCs/>
                <w:color w:val="000000"/>
              </w:rPr>
              <w:t> </w:t>
            </w:r>
          </w:p>
        </w:tc>
        <w:tc>
          <w:tcPr>
            <w:tcW w:w="5080" w:type="dxa"/>
            <w:tcBorders>
              <w:top w:val="nil"/>
              <w:left w:val="nil"/>
              <w:bottom w:val="nil"/>
              <w:right w:val="nil"/>
            </w:tcBorders>
            <w:shd w:val="clear" w:color="auto" w:fill="auto"/>
            <w:noWrap/>
            <w:vAlign w:val="bottom"/>
            <w:hideMark/>
          </w:tcPr>
          <w:p w:rsidR="008F546E" w:rsidRDefault="008F546E">
            <w:pPr>
              <w:rPr>
                <w:b/>
                <w:bCs/>
                <w:color w:val="000000"/>
              </w:rPr>
            </w:pPr>
            <w:r>
              <w:rPr>
                <w:b/>
                <w:bCs/>
                <w:color w:val="000000"/>
              </w:rPr>
              <w:t> </w:t>
            </w:r>
          </w:p>
        </w:tc>
        <w:tc>
          <w:tcPr>
            <w:tcW w:w="1642" w:type="dxa"/>
            <w:tcBorders>
              <w:top w:val="nil"/>
              <w:left w:val="nil"/>
              <w:bottom w:val="nil"/>
              <w:right w:val="nil"/>
            </w:tcBorders>
            <w:shd w:val="clear" w:color="auto" w:fill="auto"/>
            <w:noWrap/>
            <w:vAlign w:val="bottom"/>
            <w:hideMark/>
          </w:tcPr>
          <w:p w:rsidR="008F546E" w:rsidRDefault="008F546E">
            <w:pPr>
              <w:jc w:val="center"/>
              <w:rPr>
                <w:b/>
                <w:bCs/>
                <w:color w:val="000000"/>
              </w:rPr>
            </w:pPr>
            <w:r>
              <w:rPr>
                <w:b/>
                <w:bCs/>
                <w:color w:val="000000"/>
              </w:rPr>
              <w:t>BALANCE</w:t>
            </w:r>
          </w:p>
        </w:tc>
        <w:tc>
          <w:tcPr>
            <w:tcW w:w="1396" w:type="dxa"/>
            <w:tcBorders>
              <w:top w:val="nil"/>
              <w:left w:val="nil"/>
              <w:bottom w:val="nil"/>
              <w:right w:val="nil"/>
            </w:tcBorders>
            <w:shd w:val="clear" w:color="auto" w:fill="auto"/>
            <w:noWrap/>
            <w:vAlign w:val="bottom"/>
            <w:hideMark/>
          </w:tcPr>
          <w:p w:rsidR="008F546E" w:rsidRDefault="008F546E">
            <w:pPr>
              <w:jc w:val="center"/>
              <w:rPr>
                <w:b/>
                <w:bCs/>
                <w:color w:val="000000"/>
              </w:rPr>
            </w:pPr>
            <w:r>
              <w:rPr>
                <w:b/>
                <w:bCs/>
                <w:color w:val="000000"/>
              </w:rPr>
              <w:t> </w:t>
            </w:r>
          </w:p>
        </w:tc>
        <w:tc>
          <w:tcPr>
            <w:tcW w:w="1642" w:type="dxa"/>
            <w:tcBorders>
              <w:top w:val="nil"/>
              <w:left w:val="nil"/>
              <w:bottom w:val="nil"/>
              <w:right w:val="single" w:sz="4" w:space="0" w:color="auto"/>
            </w:tcBorders>
            <w:shd w:val="clear" w:color="auto" w:fill="auto"/>
            <w:noWrap/>
            <w:vAlign w:val="bottom"/>
            <w:hideMark/>
          </w:tcPr>
          <w:p w:rsidR="008F546E" w:rsidRDefault="008F546E">
            <w:pPr>
              <w:jc w:val="center"/>
              <w:rPr>
                <w:b/>
                <w:bCs/>
                <w:color w:val="000000"/>
              </w:rPr>
            </w:pPr>
            <w:r>
              <w:rPr>
                <w:b/>
                <w:bCs/>
                <w:color w:val="000000"/>
              </w:rPr>
              <w:t>BALANCE</w:t>
            </w:r>
          </w:p>
        </w:tc>
      </w:tr>
      <w:tr w:rsidR="008F546E" w:rsidTr="008F546E">
        <w:trPr>
          <w:trHeight w:val="315"/>
        </w:trPr>
        <w:tc>
          <w:tcPr>
            <w:tcW w:w="280" w:type="dxa"/>
            <w:tcBorders>
              <w:top w:val="nil"/>
              <w:left w:val="single" w:sz="4" w:space="0" w:color="auto"/>
              <w:bottom w:val="nil"/>
              <w:right w:val="nil"/>
            </w:tcBorders>
            <w:shd w:val="clear" w:color="auto" w:fill="auto"/>
            <w:noWrap/>
            <w:vAlign w:val="bottom"/>
            <w:hideMark/>
          </w:tcPr>
          <w:p w:rsidR="008F546E" w:rsidRDefault="008F546E">
            <w:pPr>
              <w:jc w:val="center"/>
              <w:rPr>
                <w:b/>
                <w:bCs/>
                <w:color w:val="000000"/>
              </w:rPr>
            </w:pPr>
            <w:r>
              <w:rPr>
                <w:b/>
                <w:bCs/>
                <w:color w:val="000000"/>
              </w:rPr>
              <w:t> </w:t>
            </w:r>
          </w:p>
        </w:tc>
        <w:tc>
          <w:tcPr>
            <w:tcW w:w="5080" w:type="dxa"/>
            <w:tcBorders>
              <w:top w:val="nil"/>
              <w:left w:val="nil"/>
              <w:bottom w:val="nil"/>
              <w:right w:val="nil"/>
            </w:tcBorders>
            <w:shd w:val="clear" w:color="auto" w:fill="auto"/>
            <w:noWrap/>
            <w:vAlign w:val="bottom"/>
            <w:hideMark/>
          </w:tcPr>
          <w:p w:rsidR="008F546E" w:rsidRDefault="008F546E">
            <w:pPr>
              <w:rPr>
                <w:b/>
                <w:bCs/>
                <w:color w:val="000000"/>
              </w:rPr>
            </w:pPr>
          </w:p>
        </w:tc>
        <w:tc>
          <w:tcPr>
            <w:tcW w:w="1642" w:type="dxa"/>
            <w:tcBorders>
              <w:top w:val="nil"/>
              <w:left w:val="nil"/>
              <w:bottom w:val="nil"/>
              <w:right w:val="nil"/>
            </w:tcBorders>
            <w:shd w:val="clear" w:color="auto" w:fill="auto"/>
            <w:noWrap/>
            <w:vAlign w:val="bottom"/>
            <w:hideMark/>
          </w:tcPr>
          <w:p w:rsidR="008F546E" w:rsidRDefault="008F546E">
            <w:pPr>
              <w:jc w:val="center"/>
              <w:rPr>
                <w:b/>
                <w:bCs/>
                <w:color w:val="000000"/>
              </w:rPr>
            </w:pPr>
            <w:r>
              <w:rPr>
                <w:b/>
                <w:bCs/>
                <w:color w:val="000000"/>
              </w:rPr>
              <w:t>PER</w:t>
            </w:r>
          </w:p>
        </w:tc>
        <w:tc>
          <w:tcPr>
            <w:tcW w:w="1396" w:type="dxa"/>
            <w:tcBorders>
              <w:top w:val="nil"/>
              <w:left w:val="nil"/>
              <w:bottom w:val="nil"/>
              <w:right w:val="nil"/>
            </w:tcBorders>
            <w:shd w:val="clear" w:color="auto" w:fill="auto"/>
            <w:noWrap/>
            <w:vAlign w:val="bottom"/>
            <w:hideMark/>
          </w:tcPr>
          <w:p w:rsidR="008F546E" w:rsidRDefault="008F546E">
            <w:pPr>
              <w:jc w:val="center"/>
              <w:rPr>
                <w:b/>
                <w:bCs/>
                <w:color w:val="000000"/>
              </w:rPr>
            </w:pPr>
            <w:r>
              <w:rPr>
                <w:b/>
                <w:bCs/>
                <w:color w:val="000000"/>
              </w:rPr>
              <w:t>STAFF</w:t>
            </w:r>
          </w:p>
        </w:tc>
        <w:tc>
          <w:tcPr>
            <w:tcW w:w="1642" w:type="dxa"/>
            <w:tcBorders>
              <w:top w:val="nil"/>
              <w:left w:val="nil"/>
              <w:bottom w:val="nil"/>
              <w:right w:val="single" w:sz="4" w:space="0" w:color="auto"/>
            </w:tcBorders>
            <w:shd w:val="clear" w:color="auto" w:fill="auto"/>
            <w:noWrap/>
            <w:vAlign w:val="bottom"/>
            <w:hideMark/>
          </w:tcPr>
          <w:p w:rsidR="008F546E" w:rsidRDefault="008F546E">
            <w:pPr>
              <w:jc w:val="center"/>
              <w:rPr>
                <w:b/>
                <w:bCs/>
                <w:color w:val="000000"/>
              </w:rPr>
            </w:pPr>
            <w:r>
              <w:rPr>
                <w:b/>
                <w:bCs/>
                <w:color w:val="000000"/>
              </w:rPr>
              <w:t>PER</w:t>
            </w:r>
          </w:p>
        </w:tc>
      </w:tr>
      <w:tr w:rsidR="008F546E" w:rsidTr="008F546E">
        <w:trPr>
          <w:trHeight w:val="315"/>
        </w:trPr>
        <w:tc>
          <w:tcPr>
            <w:tcW w:w="280" w:type="dxa"/>
            <w:tcBorders>
              <w:top w:val="nil"/>
              <w:left w:val="single" w:sz="4" w:space="0" w:color="auto"/>
              <w:bottom w:val="single" w:sz="4" w:space="0" w:color="auto"/>
              <w:right w:val="nil"/>
            </w:tcBorders>
            <w:shd w:val="clear" w:color="auto" w:fill="auto"/>
            <w:noWrap/>
            <w:vAlign w:val="bottom"/>
            <w:hideMark/>
          </w:tcPr>
          <w:p w:rsidR="008F546E" w:rsidRDefault="008F546E">
            <w:pPr>
              <w:jc w:val="center"/>
              <w:rPr>
                <w:b/>
                <w:bCs/>
                <w:color w:val="000000"/>
              </w:rPr>
            </w:pPr>
            <w:r>
              <w:rPr>
                <w:b/>
                <w:bCs/>
                <w:color w:val="000000"/>
              </w:rPr>
              <w:t> </w:t>
            </w:r>
          </w:p>
        </w:tc>
        <w:tc>
          <w:tcPr>
            <w:tcW w:w="5080" w:type="dxa"/>
            <w:tcBorders>
              <w:top w:val="nil"/>
              <w:left w:val="nil"/>
              <w:bottom w:val="single" w:sz="4" w:space="0" w:color="auto"/>
              <w:right w:val="nil"/>
            </w:tcBorders>
            <w:shd w:val="clear" w:color="auto" w:fill="auto"/>
            <w:noWrap/>
            <w:vAlign w:val="bottom"/>
            <w:hideMark/>
          </w:tcPr>
          <w:p w:rsidR="008F546E" w:rsidRDefault="008F546E">
            <w:pPr>
              <w:rPr>
                <w:b/>
                <w:bCs/>
                <w:color w:val="000000"/>
              </w:rPr>
            </w:pPr>
            <w:r>
              <w:rPr>
                <w:b/>
                <w:bCs/>
                <w:color w:val="000000"/>
              </w:rPr>
              <w:t>DESCRIPTION</w:t>
            </w:r>
          </w:p>
        </w:tc>
        <w:tc>
          <w:tcPr>
            <w:tcW w:w="1642" w:type="dxa"/>
            <w:tcBorders>
              <w:top w:val="nil"/>
              <w:left w:val="nil"/>
              <w:bottom w:val="single" w:sz="4" w:space="0" w:color="auto"/>
              <w:right w:val="nil"/>
            </w:tcBorders>
            <w:shd w:val="clear" w:color="auto" w:fill="auto"/>
            <w:noWrap/>
            <w:vAlign w:val="bottom"/>
            <w:hideMark/>
          </w:tcPr>
          <w:p w:rsidR="008F546E" w:rsidRDefault="008F546E">
            <w:pPr>
              <w:jc w:val="center"/>
              <w:rPr>
                <w:b/>
                <w:bCs/>
                <w:color w:val="000000"/>
              </w:rPr>
            </w:pPr>
            <w:proofErr w:type="spellStart"/>
            <w:r>
              <w:rPr>
                <w:b/>
                <w:bCs/>
                <w:color w:val="000000"/>
              </w:rPr>
              <w:t>UTILTY</w:t>
            </w:r>
            <w:proofErr w:type="spellEnd"/>
          </w:p>
        </w:tc>
        <w:tc>
          <w:tcPr>
            <w:tcW w:w="1396" w:type="dxa"/>
            <w:tcBorders>
              <w:top w:val="nil"/>
              <w:left w:val="nil"/>
              <w:bottom w:val="single" w:sz="4" w:space="0" w:color="auto"/>
              <w:right w:val="nil"/>
            </w:tcBorders>
            <w:shd w:val="clear" w:color="auto" w:fill="auto"/>
            <w:noWrap/>
            <w:vAlign w:val="bottom"/>
            <w:hideMark/>
          </w:tcPr>
          <w:p w:rsidR="008F546E" w:rsidRDefault="008F546E">
            <w:pPr>
              <w:jc w:val="center"/>
              <w:rPr>
                <w:b/>
                <w:bCs/>
                <w:color w:val="000000"/>
              </w:rPr>
            </w:pPr>
            <w:r>
              <w:rPr>
                <w:b/>
                <w:bCs/>
                <w:color w:val="000000"/>
              </w:rPr>
              <w:t>ADJUST.</w:t>
            </w:r>
          </w:p>
        </w:tc>
        <w:tc>
          <w:tcPr>
            <w:tcW w:w="1642" w:type="dxa"/>
            <w:tcBorders>
              <w:top w:val="nil"/>
              <w:left w:val="nil"/>
              <w:bottom w:val="single" w:sz="4" w:space="0" w:color="auto"/>
              <w:right w:val="single" w:sz="4" w:space="0" w:color="auto"/>
            </w:tcBorders>
            <w:shd w:val="clear" w:color="auto" w:fill="auto"/>
            <w:noWrap/>
            <w:vAlign w:val="bottom"/>
            <w:hideMark/>
          </w:tcPr>
          <w:p w:rsidR="008F546E" w:rsidRDefault="008F546E">
            <w:pPr>
              <w:jc w:val="center"/>
              <w:rPr>
                <w:b/>
                <w:bCs/>
                <w:color w:val="000000"/>
              </w:rPr>
            </w:pPr>
            <w:r>
              <w:rPr>
                <w:b/>
                <w:bCs/>
                <w:color w:val="000000"/>
              </w:rPr>
              <w:t>STAFF</w:t>
            </w:r>
          </w:p>
        </w:tc>
      </w:tr>
      <w:tr w:rsidR="008F546E" w:rsidTr="008F546E">
        <w:trPr>
          <w:trHeight w:val="315"/>
        </w:trPr>
        <w:tc>
          <w:tcPr>
            <w:tcW w:w="280" w:type="dxa"/>
            <w:tcBorders>
              <w:top w:val="nil"/>
              <w:left w:val="single" w:sz="4" w:space="0" w:color="auto"/>
              <w:bottom w:val="nil"/>
              <w:right w:val="nil"/>
            </w:tcBorders>
            <w:shd w:val="clear" w:color="auto" w:fill="auto"/>
            <w:noWrap/>
            <w:vAlign w:val="bottom"/>
            <w:hideMark/>
          </w:tcPr>
          <w:p w:rsidR="008F546E" w:rsidRDefault="008F546E">
            <w:pPr>
              <w:jc w:val="center"/>
              <w:rPr>
                <w:b/>
                <w:bCs/>
                <w:color w:val="000000"/>
              </w:rPr>
            </w:pPr>
            <w:r>
              <w:rPr>
                <w:b/>
                <w:bCs/>
                <w:color w:val="000000"/>
              </w:rPr>
              <w:t> </w:t>
            </w:r>
          </w:p>
        </w:tc>
        <w:tc>
          <w:tcPr>
            <w:tcW w:w="5080" w:type="dxa"/>
            <w:tcBorders>
              <w:top w:val="nil"/>
              <w:left w:val="nil"/>
              <w:bottom w:val="nil"/>
              <w:right w:val="nil"/>
            </w:tcBorders>
            <w:shd w:val="clear" w:color="auto" w:fill="auto"/>
            <w:noWrap/>
            <w:vAlign w:val="bottom"/>
            <w:hideMark/>
          </w:tcPr>
          <w:p w:rsidR="008F546E" w:rsidRDefault="008F546E">
            <w:pPr>
              <w:rPr>
                <w:b/>
                <w:bCs/>
                <w:color w:val="000000"/>
              </w:rPr>
            </w:pPr>
          </w:p>
        </w:tc>
        <w:tc>
          <w:tcPr>
            <w:tcW w:w="1642" w:type="dxa"/>
            <w:tcBorders>
              <w:top w:val="nil"/>
              <w:left w:val="nil"/>
              <w:bottom w:val="nil"/>
              <w:right w:val="nil"/>
            </w:tcBorders>
            <w:shd w:val="clear" w:color="auto" w:fill="auto"/>
            <w:noWrap/>
            <w:vAlign w:val="bottom"/>
            <w:hideMark/>
          </w:tcPr>
          <w:p w:rsidR="008F546E" w:rsidRDefault="008F546E">
            <w:pPr>
              <w:rPr>
                <w:color w:val="000000"/>
              </w:rPr>
            </w:pPr>
          </w:p>
        </w:tc>
        <w:tc>
          <w:tcPr>
            <w:tcW w:w="1396" w:type="dxa"/>
            <w:tcBorders>
              <w:top w:val="nil"/>
              <w:left w:val="nil"/>
              <w:bottom w:val="nil"/>
              <w:right w:val="nil"/>
            </w:tcBorders>
            <w:shd w:val="clear" w:color="auto" w:fill="auto"/>
            <w:noWrap/>
            <w:vAlign w:val="bottom"/>
            <w:hideMark/>
          </w:tcPr>
          <w:p w:rsidR="008F546E" w:rsidRDefault="008F546E">
            <w:pPr>
              <w:rPr>
                <w:color w:val="000000"/>
              </w:rPr>
            </w:pPr>
          </w:p>
        </w:tc>
        <w:tc>
          <w:tcPr>
            <w:tcW w:w="1642" w:type="dxa"/>
            <w:tcBorders>
              <w:top w:val="nil"/>
              <w:left w:val="nil"/>
              <w:bottom w:val="nil"/>
              <w:right w:val="single" w:sz="4" w:space="0" w:color="auto"/>
            </w:tcBorders>
            <w:shd w:val="clear" w:color="auto" w:fill="auto"/>
            <w:noWrap/>
            <w:vAlign w:val="bottom"/>
            <w:hideMark/>
          </w:tcPr>
          <w:p w:rsidR="008F546E" w:rsidRDefault="008F546E">
            <w:pPr>
              <w:rPr>
                <w:color w:val="000000"/>
              </w:rPr>
            </w:pPr>
            <w:r>
              <w:rPr>
                <w:color w:val="000000"/>
              </w:rPr>
              <w:t> </w:t>
            </w:r>
          </w:p>
        </w:tc>
      </w:tr>
      <w:tr w:rsidR="008F546E" w:rsidTr="008F546E">
        <w:trPr>
          <w:trHeight w:val="315"/>
        </w:trPr>
        <w:tc>
          <w:tcPr>
            <w:tcW w:w="280" w:type="dxa"/>
            <w:tcBorders>
              <w:top w:val="nil"/>
              <w:left w:val="single" w:sz="4" w:space="0" w:color="auto"/>
              <w:bottom w:val="nil"/>
              <w:right w:val="nil"/>
            </w:tcBorders>
            <w:shd w:val="clear" w:color="auto" w:fill="auto"/>
            <w:noWrap/>
            <w:vAlign w:val="bottom"/>
            <w:hideMark/>
          </w:tcPr>
          <w:p w:rsidR="008F546E" w:rsidRDefault="008F546E">
            <w:pPr>
              <w:jc w:val="center"/>
              <w:rPr>
                <w:color w:val="000000"/>
              </w:rPr>
            </w:pPr>
            <w:r>
              <w:rPr>
                <w:color w:val="000000"/>
              </w:rPr>
              <w:t>1.</w:t>
            </w:r>
          </w:p>
        </w:tc>
        <w:tc>
          <w:tcPr>
            <w:tcW w:w="5080" w:type="dxa"/>
            <w:tcBorders>
              <w:top w:val="nil"/>
              <w:left w:val="nil"/>
              <w:bottom w:val="nil"/>
              <w:right w:val="nil"/>
            </w:tcBorders>
            <w:shd w:val="clear" w:color="auto" w:fill="auto"/>
            <w:noWrap/>
            <w:vAlign w:val="bottom"/>
            <w:hideMark/>
          </w:tcPr>
          <w:p w:rsidR="008F546E" w:rsidRDefault="008F546E">
            <w:pPr>
              <w:rPr>
                <w:color w:val="000000"/>
              </w:rPr>
            </w:pPr>
            <w:r>
              <w:rPr>
                <w:color w:val="000000"/>
              </w:rPr>
              <w:t>UTILITY PLANT IN SERVICE</w:t>
            </w:r>
          </w:p>
        </w:tc>
        <w:tc>
          <w:tcPr>
            <w:tcW w:w="1642" w:type="dxa"/>
            <w:tcBorders>
              <w:top w:val="nil"/>
              <w:left w:val="nil"/>
              <w:bottom w:val="nil"/>
              <w:right w:val="nil"/>
            </w:tcBorders>
            <w:shd w:val="clear" w:color="auto" w:fill="auto"/>
            <w:noWrap/>
            <w:vAlign w:val="bottom"/>
            <w:hideMark/>
          </w:tcPr>
          <w:p w:rsidR="008F546E" w:rsidRDefault="008F546E">
            <w:pPr>
              <w:jc w:val="right"/>
              <w:rPr>
                <w:color w:val="000000"/>
              </w:rPr>
            </w:pPr>
            <w:r>
              <w:rPr>
                <w:color w:val="000000"/>
              </w:rPr>
              <w:t xml:space="preserve">$531,469 </w:t>
            </w:r>
          </w:p>
        </w:tc>
        <w:tc>
          <w:tcPr>
            <w:tcW w:w="1396" w:type="dxa"/>
            <w:tcBorders>
              <w:top w:val="nil"/>
              <w:left w:val="nil"/>
              <w:bottom w:val="nil"/>
              <w:right w:val="nil"/>
            </w:tcBorders>
            <w:shd w:val="clear" w:color="auto" w:fill="auto"/>
            <w:noWrap/>
            <w:vAlign w:val="bottom"/>
            <w:hideMark/>
          </w:tcPr>
          <w:p w:rsidR="008F546E" w:rsidRDefault="008F546E">
            <w:pPr>
              <w:jc w:val="right"/>
              <w:rPr>
                <w:color w:val="000000"/>
              </w:rPr>
            </w:pPr>
            <w:r>
              <w:rPr>
                <w:color w:val="000000"/>
              </w:rPr>
              <w:t xml:space="preserve">$45,760 </w:t>
            </w:r>
          </w:p>
        </w:tc>
        <w:tc>
          <w:tcPr>
            <w:tcW w:w="1642" w:type="dxa"/>
            <w:tcBorders>
              <w:top w:val="nil"/>
              <w:left w:val="nil"/>
              <w:bottom w:val="nil"/>
              <w:right w:val="single" w:sz="4" w:space="0" w:color="auto"/>
            </w:tcBorders>
            <w:shd w:val="clear" w:color="auto" w:fill="auto"/>
            <w:noWrap/>
            <w:vAlign w:val="bottom"/>
            <w:hideMark/>
          </w:tcPr>
          <w:p w:rsidR="008F546E" w:rsidRDefault="008F546E">
            <w:pPr>
              <w:jc w:val="right"/>
              <w:rPr>
                <w:color w:val="000000"/>
              </w:rPr>
            </w:pPr>
            <w:r>
              <w:rPr>
                <w:color w:val="000000"/>
              </w:rPr>
              <w:t xml:space="preserve">$577,229 </w:t>
            </w:r>
          </w:p>
        </w:tc>
      </w:tr>
      <w:tr w:rsidR="008F546E" w:rsidTr="008F546E">
        <w:trPr>
          <w:trHeight w:val="315"/>
        </w:trPr>
        <w:tc>
          <w:tcPr>
            <w:tcW w:w="280" w:type="dxa"/>
            <w:tcBorders>
              <w:top w:val="nil"/>
              <w:left w:val="single" w:sz="4" w:space="0" w:color="auto"/>
              <w:bottom w:val="nil"/>
              <w:right w:val="nil"/>
            </w:tcBorders>
            <w:shd w:val="clear" w:color="auto" w:fill="auto"/>
            <w:noWrap/>
            <w:vAlign w:val="bottom"/>
            <w:hideMark/>
          </w:tcPr>
          <w:p w:rsidR="008F546E" w:rsidRDefault="008F546E">
            <w:pPr>
              <w:jc w:val="center"/>
              <w:rPr>
                <w:color w:val="000000"/>
              </w:rPr>
            </w:pPr>
            <w:r>
              <w:rPr>
                <w:color w:val="000000"/>
              </w:rPr>
              <w:t> </w:t>
            </w:r>
          </w:p>
        </w:tc>
        <w:tc>
          <w:tcPr>
            <w:tcW w:w="5080" w:type="dxa"/>
            <w:tcBorders>
              <w:top w:val="nil"/>
              <w:left w:val="nil"/>
              <w:bottom w:val="nil"/>
              <w:right w:val="nil"/>
            </w:tcBorders>
            <w:shd w:val="clear" w:color="auto" w:fill="auto"/>
            <w:noWrap/>
            <w:vAlign w:val="bottom"/>
            <w:hideMark/>
          </w:tcPr>
          <w:p w:rsidR="008F546E" w:rsidRDefault="008F546E">
            <w:pPr>
              <w:rPr>
                <w:color w:val="000000"/>
              </w:rPr>
            </w:pPr>
          </w:p>
        </w:tc>
        <w:tc>
          <w:tcPr>
            <w:tcW w:w="1642" w:type="dxa"/>
            <w:tcBorders>
              <w:top w:val="nil"/>
              <w:left w:val="nil"/>
              <w:bottom w:val="nil"/>
              <w:right w:val="nil"/>
            </w:tcBorders>
            <w:shd w:val="clear" w:color="auto" w:fill="auto"/>
            <w:noWrap/>
            <w:vAlign w:val="bottom"/>
            <w:hideMark/>
          </w:tcPr>
          <w:p w:rsidR="008F546E" w:rsidRDefault="008F546E">
            <w:pPr>
              <w:rPr>
                <w:color w:val="000000"/>
              </w:rPr>
            </w:pPr>
          </w:p>
        </w:tc>
        <w:tc>
          <w:tcPr>
            <w:tcW w:w="1396" w:type="dxa"/>
            <w:tcBorders>
              <w:top w:val="nil"/>
              <w:left w:val="nil"/>
              <w:bottom w:val="nil"/>
              <w:right w:val="nil"/>
            </w:tcBorders>
            <w:shd w:val="clear" w:color="auto" w:fill="auto"/>
            <w:noWrap/>
            <w:vAlign w:val="bottom"/>
            <w:hideMark/>
          </w:tcPr>
          <w:p w:rsidR="008F546E" w:rsidRDefault="008F546E">
            <w:pPr>
              <w:rPr>
                <w:color w:val="000000"/>
              </w:rPr>
            </w:pPr>
          </w:p>
        </w:tc>
        <w:tc>
          <w:tcPr>
            <w:tcW w:w="1642" w:type="dxa"/>
            <w:tcBorders>
              <w:top w:val="nil"/>
              <w:left w:val="nil"/>
              <w:bottom w:val="nil"/>
              <w:right w:val="single" w:sz="4" w:space="0" w:color="auto"/>
            </w:tcBorders>
            <w:shd w:val="clear" w:color="auto" w:fill="auto"/>
            <w:noWrap/>
            <w:vAlign w:val="bottom"/>
            <w:hideMark/>
          </w:tcPr>
          <w:p w:rsidR="008F546E" w:rsidRDefault="008F546E">
            <w:pPr>
              <w:rPr>
                <w:color w:val="000000"/>
              </w:rPr>
            </w:pPr>
            <w:r>
              <w:rPr>
                <w:color w:val="000000"/>
              </w:rPr>
              <w:t> </w:t>
            </w:r>
          </w:p>
        </w:tc>
      </w:tr>
      <w:tr w:rsidR="008F546E" w:rsidTr="008F546E">
        <w:trPr>
          <w:trHeight w:val="315"/>
        </w:trPr>
        <w:tc>
          <w:tcPr>
            <w:tcW w:w="280" w:type="dxa"/>
            <w:tcBorders>
              <w:top w:val="nil"/>
              <w:left w:val="single" w:sz="4" w:space="0" w:color="auto"/>
              <w:bottom w:val="nil"/>
              <w:right w:val="nil"/>
            </w:tcBorders>
            <w:shd w:val="clear" w:color="auto" w:fill="auto"/>
            <w:noWrap/>
            <w:vAlign w:val="bottom"/>
            <w:hideMark/>
          </w:tcPr>
          <w:p w:rsidR="008F546E" w:rsidRDefault="008F546E">
            <w:pPr>
              <w:jc w:val="center"/>
              <w:rPr>
                <w:color w:val="000000"/>
              </w:rPr>
            </w:pPr>
            <w:r>
              <w:rPr>
                <w:color w:val="000000"/>
              </w:rPr>
              <w:t>2.</w:t>
            </w:r>
          </w:p>
        </w:tc>
        <w:tc>
          <w:tcPr>
            <w:tcW w:w="5080" w:type="dxa"/>
            <w:tcBorders>
              <w:top w:val="nil"/>
              <w:left w:val="nil"/>
              <w:bottom w:val="nil"/>
              <w:right w:val="nil"/>
            </w:tcBorders>
            <w:shd w:val="clear" w:color="auto" w:fill="auto"/>
            <w:noWrap/>
            <w:vAlign w:val="bottom"/>
            <w:hideMark/>
          </w:tcPr>
          <w:p w:rsidR="008F546E" w:rsidRDefault="008F546E">
            <w:pPr>
              <w:rPr>
                <w:color w:val="000000"/>
              </w:rPr>
            </w:pPr>
            <w:r>
              <w:rPr>
                <w:color w:val="000000"/>
              </w:rPr>
              <w:t>LAND &amp; LAND RIGHTS</w:t>
            </w:r>
          </w:p>
        </w:tc>
        <w:tc>
          <w:tcPr>
            <w:tcW w:w="1642" w:type="dxa"/>
            <w:tcBorders>
              <w:top w:val="nil"/>
              <w:left w:val="nil"/>
              <w:bottom w:val="nil"/>
              <w:right w:val="nil"/>
            </w:tcBorders>
            <w:shd w:val="clear" w:color="auto" w:fill="auto"/>
            <w:noWrap/>
            <w:vAlign w:val="bottom"/>
            <w:hideMark/>
          </w:tcPr>
          <w:p w:rsidR="008F546E" w:rsidRDefault="008F546E">
            <w:pPr>
              <w:jc w:val="right"/>
              <w:rPr>
                <w:color w:val="000000"/>
              </w:rPr>
            </w:pPr>
            <w:r>
              <w:rPr>
                <w:color w:val="000000"/>
              </w:rPr>
              <w:t xml:space="preserve">3,500 </w:t>
            </w:r>
          </w:p>
        </w:tc>
        <w:tc>
          <w:tcPr>
            <w:tcW w:w="1396" w:type="dxa"/>
            <w:tcBorders>
              <w:top w:val="nil"/>
              <w:left w:val="nil"/>
              <w:bottom w:val="nil"/>
              <w:right w:val="nil"/>
            </w:tcBorders>
            <w:shd w:val="clear" w:color="auto" w:fill="auto"/>
            <w:noWrap/>
            <w:vAlign w:val="bottom"/>
            <w:hideMark/>
          </w:tcPr>
          <w:p w:rsidR="008F546E" w:rsidRDefault="008F546E">
            <w:pPr>
              <w:jc w:val="right"/>
              <w:rPr>
                <w:color w:val="000000"/>
              </w:rPr>
            </w:pPr>
            <w:r>
              <w:rPr>
                <w:color w:val="000000"/>
              </w:rPr>
              <w:t xml:space="preserve">0 </w:t>
            </w:r>
          </w:p>
        </w:tc>
        <w:tc>
          <w:tcPr>
            <w:tcW w:w="1642" w:type="dxa"/>
            <w:tcBorders>
              <w:top w:val="nil"/>
              <w:left w:val="nil"/>
              <w:bottom w:val="nil"/>
              <w:right w:val="single" w:sz="4" w:space="0" w:color="auto"/>
            </w:tcBorders>
            <w:shd w:val="clear" w:color="auto" w:fill="auto"/>
            <w:noWrap/>
            <w:vAlign w:val="bottom"/>
            <w:hideMark/>
          </w:tcPr>
          <w:p w:rsidR="008F546E" w:rsidRDefault="008F546E">
            <w:pPr>
              <w:jc w:val="right"/>
              <w:rPr>
                <w:color w:val="000000"/>
              </w:rPr>
            </w:pPr>
            <w:r>
              <w:rPr>
                <w:color w:val="000000"/>
              </w:rPr>
              <w:t xml:space="preserve">3,500 </w:t>
            </w:r>
          </w:p>
        </w:tc>
      </w:tr>
      <w:tr w:rsidR="008F546E" w:rsidTr="008F546E">
        <w:trPr>
          <w:trHeight w:val="315"/>
        </w:trPr>
        <w:tc>
          <w:tcPr>
            <w:tcW w:w="280" w:type="dxa"/>
            <w:tcBorders>
              <w:top w:val="nil"/>
              <w:left w:val="single" w:sz="4" w:space="0" w:color="auto"/>
              <w:bottom w:val="nil"/>
              <w:right w:val="nil"/>
            </w:tcBorders>
            <w:shd w:val="clear" w:color="auto" w:fill="auto"/>
            <w:noWrap/>
            <w:vAlign w:val="bottom"/>
            <w:hideMark/>
          </w:tcPr>
          <w:p w:rsidR="008F546E" w:rsidRDefault="008F546E">
            <w:pPr>
              <w:jc w:val="center"/>
              <w:rPr>
                <w:color w:val="000000"/>
              </w:rPr>
            </w:pPr>
            <w:r>
              <w:rPr>
                <w:color w:val="000000"/>
              </w:rPr>
              <w:t> </w:t>
            </w:r>
          </w:p>
        </w:tc>
        <w:tc>
          <w:tcPr>
            <w:tcW w:w="5080" w:type="dxa"/>
            <w:tcBorders>
              <w:top w:val="nil"/>
              <w:left w:val="nil"/>
              <w:bottom w:val="nil"/>
              <w:right w:val="nil"/>
            </w:tcBorders>
            <w:shd w:val="clear" w:color="auto" w:fill="auto"/>
            <w:noWrap/>
            <w:vAlign w:val="bottom"/>
            <w:hideMark/>
          </w:tcPr>
          <w:p w:rsidR="008F546E" w:rsidRDefault="008F546E">
            <w:pPr>
              <w:rPr>
                <w:color w:val="000000"/>
              </w:rPr>
            </w:pPr>
          </w:p>
        </w:tc>
        <w:tc>
          <w:tcPr>
            <w:tcW w:w="1642" w:type="dxa"/>
            <w:tcBorders>
              <w:top w:val="nil"/>
              <w:left w:val="nil"/>
              <w:bottom w:val="nil"/>
              <w:right w:val="nil"/>
            </w:tcBorders>
            <w:shd w:val="clear" w:color="auto" w:fill="auto"/>
            <w:noWrap/>
            <w:vAlign w:val="bottom"/>
            <w:hideMark/>
          </w:tcPr>
          <w:p w:rsidR="008F546E" w:rsidRDefault="008F546E">
            <w:pPr>
              <w:rPr>
                <w:color w:val="000000"/>
              </w:rPr>
            </w:pPr>
          </w:p>
        </w:tc>
        <w:tc>
          <w:tcPr>
            <w:tcW w:w="1396" w:type="dxa"/>
            <w:tcBorders>
              <w:top w:val="nil"/>
              <w:left w:val="nil"/>
              <w:bottom w:val="nil"/>
              <w:right w:val="nil"/>
            </w:tcBorders>
            <w:shd w:val="clear" w:color="auto" w:fill="auto"/>
            <w:noWrap/>
            <w:vAlign w:val="bottom"/>
            <w:hideMark/>
          </w:tcPr>
          <w:p w:rsidR="008F546E" w:rsidRDefault="008F546E">
            <w:pPr>
              <w:rPr>
                <w:color w:val="000000"/>
              </w:rPr>
            </w:pPr>
          </w:p>
        </w:tc>
        <w:tc>
          <w:tcPr>
            <w:tcW w:w="1642" w:type="dxa"/>
            <w:tcBorders>
              <w:top w:val="nil"/>
              <w:left w:val="nil"/>
              <w:bottom w:val="nil"/>
              <w:right w:val="single" w:sz="4" w:space="0" w:color="auto"/>
            </w:tcBorders>
            <w:shd w:val="clear" w:color="auto" w:fill="auto"/>
            <w:noWrap/>
            <w:vAlign w:val="bottom"/>
            <w:hideMark/>
          </w:tcPr>
          <w:p w:rsidR="008F546E" w:rsidRDefault="008F546E">
            <w:pPr>
              <w:rPr>
                <w:color w:val="000000"/>
              </w:rPr>
            </w:pPr>
            <w:r>
              <w:rPr>
                <w:color w:val="000000"/>
              </w:rPr>
              <w:t> </w:t>
            </w:r>
          </w:p>
        </w:tc>
      </w:tr>
      <w:tr w:rsidR="008F546E" w:rsidTr="008F546E">
        <w:trPr>
          <w:trHeight w:val="315"/>
        </w:trPr>
        <w:tc>
          <w:tcPr>
            <w:tcW w:w="280" w:type="dxa"/>
            <w:tcBorders>
              <w:top w:val="nil"/>
              <w:left w:val="single" w:sz="4" w:space="0" w:color="auto"/>
              <w:bottom w:val="nil"/>
              <w:right w:val="nil"/>
            </w:tcBorders>
            <w:shd w:val="clear" w:color="auto" w:fill="auto"/>
            <w:noWrap/>
            <w:vAlign w:val="bottom"/>
            <w:hideMark/>
          </w:tcPr>
          <w:p w:rsidR="008F546E" w:rsidRDefault="008F546E">
            <w:pPr>
              <w:jc w:val="center"/>
              <w:rPr>
                <w:color w:val="000000"/>
              </w:rPr>
            </w:pPr>
            <w:r>
              <w:rPr>
                <w:color w:val="000000"/>
              </w:rPr>
              <w:t>3.</w:t>
            </w:r>
          </w:p>
        </w:tc>
        <w:tc>
          <w:tcPr>
            <w:tcW w:w="5080" w:type="dxa"/>
            <w:tcBorders>
              <w:top w:val="nil"/>
              <w:left w:val="nil"/>
              <w:bottom w:val="nil"/>
              <w:right w:val="nil"/>
            </w:tcBorders>
            <w:shd w:val="clear" w:color="auto" w:fill="auto"/>
            <w:noWrap/>
            <w:vAlign w:val="bottom"/>
            <w:hideMark/>
          </w:tcPr>
          <w:p w:rsidR="008F546E" w:rsidRDefault="008F546E">
            <w:pPr>
              <w:rPr>
                <w:color w:val="000000"/>
              </w:rPr>
            </w:pPr>
            <w:r>
              <w:rPr>
                <w:color w:val="000000"/>
              </w:rPr>
              <w:t>ACCUMULATED DEPRECIATION</w:t>
            </w:r>
          </w:p>
        </w:tc>
        <w:tc>
          <w:tcPr>
            <w:tcW w:w="1642" w:type="dxa"/>
            <w:tcBorders>
              <w:top w:val="nil"/>
              <w:left w:val="nil"/>
              <w:bottom w:val="nil"/>
              <w:right w:val="nil"/>
            </w:tcBorders>
            <w:shd w:val="clear" w:color="auto" w:fill="auto"/>
            <w:noWrap/>
            <w:vAlign w:val="bottom"/>
            <w:hideMark/>
          </w:tcPr>
          <w:p w:rsidR="008F546E" w:rsidRDefault="008F546E">
            <w:pPr>
              <w:jc w:val="right"/>
              <w:rPr>
                <w:color w:val="000000"/>
              </w:rPr>
            </w:pPr>
            <w:r>
              <w:rPr>
                <w:color w:val="000000"/>
              </w:rPr>
              <w:t>(280,548)</w:t>
            </w:r>
          </w:p>
        </w:tc>
        <w:tc>
          <w:tcPr>
            <w:tcW w:w="1396" w:type="dxa"/>
            <w:tcBorders>
              <w:top w:val="nil"/>
              <w:left w:val="nil"/>
              <w:bottom w:val="nil"/>
              <w:right w:val="nil"/>
            </w:tcBorders>
            <w:shd w:val="clear" w:color="auto" w:fill="auto"/>
            <w:noWrap/>
            <w:vAlign w:val="bottom"/>
            <w:hideMark/>
          </w:tcPr>
          <w:p w:rsidR="008F546E" w:rsidRDefault="008F546E">
            <w:pPr>
              <w:jc w:val="right"/>
              <w:rPr>
                <w:color w:val="000000"/>
              </w:rPr>
            </w:pPr>
            <w:r>
              <w:rPr>
                <w:color w:val="000000"/>
              </w:rPr>
              <w:t xml:space="preserve">11,554 </w:t>
            </w:r>
          </w:p>
        </w:tc>
        <w:tc>
          <w:tcPr>
            <w:tcW w:w="1642" w:type="dxa"/>
            <w:tcBorders>
              <w:top w:val="nil"/>
              <w:left w:val="nil"/>
              <w:bottom w:val="nil"/>
              <w:right w:val="single" w:sz="4" w:space="0" w:color="auto"/>
            </w:tcBorders>
            <w:shd w:val="clear" w:color="auto" w:fill="auto"/>
            <w:noWrap/>
            <w:vAlign w:val="bottom"/>
            <w:hideMark/>
          </w:tcPr>
          <w:p w:rsidR="008F546E" w:rsidRDefault="008F546E">
            <w:pPr>
              <w:jc w:val="right"/>
              <w:rPr>
                <w:color w:val="000000"/>
              </w:rPr>
            </w:pPr>
            <w:r>
              <w:rPr>
                <w:color w:val="000000"/>
              </w:rPr>
              <w:t>(268,994)</w:t>
            </w:r>
          </w:p>
        </w:tc>
      </w:tr>
      <w:tr w:rsidR="008F546E" w:rsidTr="008F546E">
        <w:trPr>
          <w:trHeight w:val="315"/>
        </w:trPr>
        <w:tc>
          <w:tcPr>
            <w:tcW w:w="280" w:type="dxa"/>
            <w:tcBorders>
              <w:top w:val="nil"/>
              <w:left w:val="single" w:sz="4" w:space="0" w:color="auto"/>
              <w:bottom w:val="nil"/>
              <w:right w:val="nil"/>
            </w:tcBorders>
            <w:shd w:val="clear" w:color="auto" w:fill="auto"/>
            <w:noWrap/>
            <w:vAlign w:val="bottom"/>
            <w:hideMark/>
          </w:tcPr>
          <w:p w:rsidR="008F546E" w:rsidRDefault="008F546E">
            <w:pPr>
              <w:jc w:val="center"/>
              <w:rPr>
                <w:color w:val="000000"/>
              </w:rPr>
            </w:pPr>
            <w:r>
              <w:rPr>
                <w:color w:val="000000"/>
              </w:rPr>
              <w:t> </w:t>
            </w:r>
          </w:p>
        </w:tc>
        <w:tc>
          <w:tcPr>
            <w:tcW w:w="5080" w:type="dxa"/>
            <w:tcBorders>
              <w:top w:val="nil"/>
              <w:left w:val="nil"/>
              <w:bottom w:val="nil"/>
              <w:right w:val="nil"/>
            </w:tcBorders>
            <w:shd w:val="clear" w:color="auto" w:fill="auto"/>
            <w:noWrap/>
            <w:vAlign w:val="bottom"/>
            <w:hideMark/>
          </w:tcPr>
          <w:p w:rsidR="008F546E" w:rsidRDefault="008F546E">
            <w:pPr>
              <w:rPr>
                <w:color w:val="000000"/>
              </w:rPr>
            </w:pPr>
          </w:p>
        </w:tc>
        <w:tc>
          <w:tcPr>
            <w:tcW w:w="1642" w:type="dxa"/>
            <w:tcBorders>
              <w:top w:val="nil"/>
              <w:left w:val="nil"/>
              <w:bottom w:val="nil"/>
              <w:right w:val="nil"/>
            </w:tcBorders>
            <w:shd w:val="clear" w:color="auto" w:fill="auto"/>
            <w:noWrap/>
            <w:vAlign w:val="bottom"/>
            <w:hideMark/>
          </w:tcPr>
          <w:p w:rsidR="008F546E" w:rsidRDefault="008F546E">
            <w:pPr>
              <w:rPr>
                <w:color w:val="000000"/>
              </w:rPr>
            </w:pPr>
          </w:p>
        </w:tc>
        <w:tc>
          <w:tcPr>
            <w:tcW w:w="1396" w:type="dxa"/>
            <w:tcBorders>
              <w:top w:val="nil"/>
              <w:left w:val="nil"/>
              <w:bottom w:val="nil"/>
              <w:right w:val="nil"/>
            </w:tcBorders>
            <w:shd w:val="clear" w:color="auto" w:fill="auto"/>
            <w:noWrap/>
            <w:vAlign w:val="bottom"/>
            <w:hideMark/>
          </w:tcPr>
          <w:p w:rsidR="008F546E" w:rsidRDefault="008F546E">
            <w:pPr>
              <w:rPr>
                <w:color w:val="000000"/>
              </w:rPr>
            </w:pPr>
          </w:p>
        </w:tc>
        <w:tc>
          <w:tcPr>
            <w:tcW w:w="1642" w:type="dxa"/>
            <w:tcBorders>
              <w:top w:val="nil"/>
              <w:left w:val="nil"/>
              <w:bottom w:val="nil"/>
              <w:right w:val="single" w:sz="4" w:space="0" w:color="auto"/>
            </w:tcBorders>
            <w:shd w:val="clear" w:color="auto" w:fill="auto"/>
            <w:noWrap/>
            <w:vAlign w:val="bottom"/>
            <w:hideMark/>
          </w:tcPr>
          <w:p w:rsidR="008F546E" w:rsidRDefault="008F546E">
            <w:pPr>
              <w:rPr>
                <w:color w:val="000000"/>
              </w:rPr>
            </w:pPr>
            <w:r>
              <w:rPr>
                <w:color w:val="000000"/>
              </w:rPr>
              <w:t> </w:t>
            </w:r>
          </w:p>
        </w:tc>
      </w:tr>
      <w:tr w:rsidR="008F546E" w:rsidTr="008F546E">
        <w:trPr>
          <w:trHeight w:val="315"/>
        </w:trPr>
        <w:tc>
          <w:tcPr>
            <w:tcW w:w="280" w:type="dxa"/>
            <w:tcBorders>
              <w:top w:val="nil"/>
              <w:left w:val="single" w:sz="4" w:space="0" w:color="auto"/>
              <w:bottom w:val="nil"/>
              <w:right w:val="nil"/>
            </w:tcBorders>
            <w:shd w:val="clear" w:color="auto" w:fill="auto"/>
            <w:noWrap/>
            <w:vAlign w:val="bottom"/>
            <w:hideMark/>
          </w:tcPr>
          <w:p w:rsidR="008F546E" w:rsidRDefault="008F546E">
            <w:pPr>
              <w:jc w:val="center"/>
              <w:rPr>
                <w:color w:val="000000"/>
              </w:rPr>
            </w:pPr>
            <w:r>
              <w:rPr>
                <w:color w:val="000000"/>
              </w:rPr>
              <w:t>4.</w:t>
            </w:r>
          </w:p>
        </w:tc>
        <w:tc>
          <w:tcPr>
            <w:tcW w:w="5080" w:type="dxa"/>
            <w:tcBorders>
              <w:top w:val="nil"/>
              <w:left w:val="nil"/>
              <w:bottom w:val="nil"/>
              <w:right w:val="nil"/>
            </w:tcBorders>
            <w:shd w:val="clear" w:color="auto" w:fill="auto"/>
            <w:noWrap/>
            <w:vAlign w:val="bottom"/>
            <w:hideMark/>
          </w:tcPr>
          <w:p w:rsidR="008F546E" w:rsidRDefault="008F546E">
            <w:pPr>
              <w:rPr>
                <w:color w:val="000000"/>
              </w:rPr>
            </w:pPr>
            <w:proofErr w:type="spellStart"/>
            <w:r>
              <w:rPr>
                <w:color w:val="000000"/>
              </w:rPr>
              <w:t>CIAC</w:t>
            </w:r>
            <w:proofErr w:type="spellEnd"/>
          </w:p>
        </w:tc>
        <w:tc>
          <w:tcPr>
            <w:tcW w:w="1642" w:type="dxa"/>
            <w:tcBorders>
              <w:top w:val="nil"/>
              <w:left w:val="nil"/>
              <w:bottom w:val="nil"/>
              <w:right w:val="nil"/>
            </w:tcBorders>
            <w:shd w:val="clear" w:color="auto" w:fill="auto"/>
            <w:noWrap/>
            <w:vAlign w:val="bottom"/>
            <w:hideMark/>
          </w:tcPr>
          <w:p w:rsidR="008F546E" w:rsidRDefault="008F546E">
            <w:pPr>
              <w:jc w:val="right"/>
              <w:rPr>
                <w:color w:val="000000"/>
              </w:rPr>
            </w:pPr>
            <w:r>
              <w:rPr>
                <w:color w:val="000000"/>
              </w:rPr>
              <w:t>(92,939)</w:t>
            </w:r>
          </w:p>
        </w:tc>
        <w:tc>
          <w:tcPr>
            <w:tcW w:w="1396" w:type="dxa"/>
            <w:tcBorders>
              <w:top w:val="nil"/>
              <w:left w:val="nil"/>
              <w:bottom w:val="nil"/>
              <w:right w:val="nil"/>
            </w:tcBorders>
            <w:shd w:val="clear" w:color="auto" w:fill="auto"/>
            <w:noWrap/>
            <w:vAlign w:val="bottom"/>
            <w:hideMark/>
          </w:tcPr>
          <w:p w:rsidR="008F546E" w:rsidRDefault="008F546E">
            <w:pPr>
              <w:jc w:val="right"/>
              <w:rPr>
                <w:color w:val="000000"/>
              </w:rPr>
            </w:pPr>
            <w:r>
              <w:rPr>
                <w:color w:val="000000"/>
              </w:rPr>
              <w:t xml:space="preserve">2,167 </w:t>
            </w:r>
          </w:p>
        </w:tc>
        <w:tc>
          <w:tcPr>
            <w:tcW w:w="1642" w:type="dxa"/>
            <w:tcBorders>
              <w:top w:val="nil"/>
              <w:left w:val="nil"/>
              <w:bottom w:val="nil"/>
              <w:right w:val="single" w:sz="4" w:space="0" w:color="auto"/>
            </w:tcBorders>
            <w:shd w:val="clear" w:color="auto" w:fill="auto"/>
            <w:noWrap/>
            <w:vAlign w:val="bottom"/>
            <w:hideMark/>
          </w:tcPr>
          <w:p w:rsidR="008F546E" w:rsidRDefault="008F546E">
            <w:pPr>
              <w:jc w:val="right"/>
              <w:rPr>
                <w:color w:val="000000"/>
              </w:rPr>
            </w:pPr>
            <w:r>
              <w:rPr>
                <w:color w:val="000000"/>
              </w:rPr>
              <w:t>(90,772)</w:t>
            </w:r>
          </w:p>
        </w:tc>
      </w:tr>
      <w:tr w:rsidR="008F546E" w:rsidTr="008F546E">
        <w:trPr>
          <w:trHeight w:val="315"/>
        </w:trPr>
        <w:tc>
          <w:tcPr>
            <w:tcW w:w="280" w:type="dxa"/>
            <w:tcBorders>
              <w:top w:val="nil"/>
              <w:left w:val="single" w:sz="4" w:space="0" w:color="auto"/>
              <w:bottom w:val="nil"/>
              <w:right w:val="nil"/>
            </w:tcBorders>
            <w:shd w:val="clear" w:color="auto" w:fill="auto"/>
            <w:noWrap/>
            <w:vAlign w:val="bottom"/>
            <w:hideMark/>
          </w:tcPr>
          <w:p w:rsidR="008F546E" w:rsidRDefault="008F546E">
            <w:pPr>
              <w:jc w:val="center"/>
              <w:rPr>
                <w:color w:val="000000"/>
              </w:rPr>
            </w:pPr>
            <w:r>
              <w:rPr>
                <w:color w:val="000000"/>
              </w:rPr>
              <w:t> </w:t>
            </w:r>
          </w:p>
        </w:tc>
        <w:tc>
          <w:tcPr>
            <w:tcW w:w="5080" w:type="dxa"/>
            <w:tcBorders>
              <w:top w:val="nil"/>
              <w:left w:val="nil"/>
              <w:bottom w:val="nil"/>
              <w:right w:val="nil"/>
            </w:tcBorders>
            <w:shd w:val="clear" w:color="auto" w:fill="auto"/>
            <w:noWrap/>
            <w:vAlign w:val="bottom"/>
            <w:hideMark/>
          </w:tcPr>
          <w:p w:rsidR="008F546E" w:rsidRDefault="008F546E">
            <w:pPr>
              <w:rPr>
                <w:color w:val="000000"/>
              </w:rPr>
            </w:pPr>
          </w:p>
        </w:tc>
        <w:tc>
          <w:tcPr>
            <w:tcW w:w="1642" w:type="dxa"/>
            <w:tcBorders>
              <w:top w:val="nil"/>
              <w:left w:val="nil"/>
              <w:bottom w:val="nil"/>
              <w:right w:val="nil"/>
            </w:tcBorders>
            <w:shd w:val="clear" w:color="auto" w:fill="auto"/>
            <w:noWrap/>
            <w:vAlign w:val="bottom"/>
            <w:hideMark/>
          </w:tcPr>
          <w:p w:rsidR="008F546E" w:rsidRDefault="008F546E">
            <w:pPr>
              <w:rPr>
                <w:color w:val="000000"/>
              </w:rPr>
            </w:pPr>
          </w:p>
        </w:tc>
        <w:tc>
          <w:tcPr>
            <w:tcW w:w="1396" w:type="dxa"/>
            <w:tcBorders>
              <w:top w:val="nil"/>
              <w:left w:val="nil"/>
              <w:bottom w:val="nil"/>
              <w:right w:val="nil"/>
            </w:tcBorders>
            <w:shd w:val="clear" w:color="auto" w:fill="auto"/>
            <w:noWrap/>
            <w:vAlign w:val="bottom"/>
            <w:hideMark/>
          </w:tcPr>
          <w:p w:rsidR="008F546E" w:rsidRDefault="008F546E">
            <w:pPr>
              <w:rPr>
                <w:color w:val="000000"/>
              </w:rPr>
            </w:pPr>
          </w:p>
        </w:tc>
        <w:tc>
          <w:tcPr>
            <w:tcW w:w="1642" w:type="dxa"/>
            <w:tcBorders>
              <w:top w:val="nil"/>
              <w:left w:val="nil"/>
              <w:bottom w:val="nil"/>
              <w:right w:val="single" w:sz="4" w:space="0" w:color="auto"/>
            </w:tcBorders>
            <w:shd w:val="clear" w:color="auto" w:fill="auto"/>
            <w:noWrap/>
            <w:vAlign w:val="bottom"/>
            <w:hideMark/>
          </w:tcPr>
          <w:p w:rsidR="008F546E" w:rsidRDefault="008F546E">
            <w:pPr>
              <w:rPr>
                <w:color w:val="000000"/>
              </w:rPr>
            </w:pPr>
            <w:r>
              <w:rPr>
                <w:color w:val="000000"/>
              </w:rPr>
              <w:t> </w:t>
            </w:r>
          </w:p>
        </w:tc>
      </w:tr>
      <w:tr w:rsidR="008F546E" w:rsidTr="008F546E">
        <w:trPr>
          <w:trHeight w:val="315"/>
        </w:trPr>
        <w:tc>
          <w:tcPr>
            <w:tcW w:w="280" w:type="dxa"/>
            <w:tcBorders>
              <w:top w:val="nil"/>
              <w:left w:val="single" w:sz="4" w:space="0" w:color="auto"/>
              <w:bottom w:val="nil"/>
              <w:right w:val="nil"/>
            </w:tcBorders>
            <w:shd w:val="clear" w:color="auto" w:fill="auto"/>
            <w:noWrap/>
            <w:vAlign w:val="bottom"/>
            <w:hideMark/>
          </w:tcPr>
          <w:p w:rsidR="008F546E" w:rsidRDefault="008F546E">
            <w:pPr>
              <w:jc w:val="center"/>
              <w:rPr>
                <w:color w:val="000000"/>
              </w:rPr>
            </w:pPr>
            <w:r>
              <w:rPr>
                <w:color w:val="000000"/>
              </w:rPr>
              <w:t>5.</w:t>
            </w:r>
          </w:p>
        </w:tc>
        <w:tc>
          <w:tcPr>
            <w:tcW w:w="5080" w:type="dxa"/>
            <w:tcBorders>
              <w:top w:val="nil"/>
              <w:left w:val="nil"/>
              <w:bottom w:val="nil"/>
              <w:right w:val="nil"/>
            </w:tcBorders>
            <w:shd w:val="clear" w:color="auto" w:fill="auto"/>
            <w:noWrap/>
            <w:vAlign w:val="bottom"/>
            <w:hideMark/>
          </w:tcPr>
          <w:p w:rsidR="008F546E" w:rsidRDefault="008F546E">
            <w:pPr>
              <w:rPr>
                <w:color w:val="000000"/>
              </w:rPr>
            </w:pPr>
            <w:r>
              <w:rPr>
                <w:color w:val="000000"/>
              </w:rPr>
              <w:t xml:space="preserve">ACCUMULATED AMORTIZATION OF </w:t>
            </w:r>
            <w:proofErr w:type="spellStart"/>
            <w:r>
              <w:rPr>
                <w:color w:val="000000"/>
              </w:rPr>
              <w:t>CIAC</w:t>
            </w:r>
            <w:proofErr w:type="spellEnd"/>
          </w:p>
        </w:tc>
        <w:tc>
          <w:tcPr>
            <w:tcW w:w="1642" w:type="dxa"/>
            <w:tcBorders>
              <w:top w:val="nil"/>
              <w:left w:val="nil"/>
              <w:bottom w:val="nil"/>
              <w:right w:val="nil"/>
            </w:tcBorders>
            <w:shd w:val="clear" w:color="auto" w:fill="auto"/>
            <w:noWrap/>
            <w:vAlign w:val="bottom"/>
            <w:hideMark/>
          </w:tcPr>
          <w:p w:rsidR="008F546E" w:rsidRDefault="008F546E">
            <w:pPr>
              <w:jc w:val="right"/>
              <w:rPr>
                <w:color w:val="000000"/>
              </w:rPr>
            </w:pPr>
            <w:r>
              <w:rPr>
                <w:color w:val="000000"/>
              </w:rPr>
              <w:t xml:space="preserve">90,784 </w:t>
            </w:r>
          </w:p>
        </w:tc>
        <w:tc>
          <w:tcPr>
            <w:tcW w:w="1396" w:type="dxa"/>
            <w:tcBorders>
              <w:top w:val="nil"/>
              <w:left w:val="nil"/>
              <w:bottom w:val="nil"/>
              <w:right w:val="nil"/>
            </w:tcBorders>
            <w:shd w:val="clear" w:color="auto" w:fill="auto"/>
            <w:noWrap/>
            <w:vAlign w:val="bottom"/>
            <w:hideMark/>
          </w:tcPr>
          <w:p w:rsidR="008F546E" w:rsidRDefault="008F546E">
            <w:pPr>
              <w:jc w:val="right"/>
              <w:rPr>
                <w:color w:val="000000"/>
              </w:rPr>
            </w:pPr>
            <w:r>
              <w:rPr>
                <w:color w:val="000000"/>
              </w:rPr>
              <w:t>(2,180)</w:t>
            </w:r>
          </w:p>
        </w:tc>
        <w:tc>
          <w:tcPr>
            <w:tcW w:w="1642" w:type="dxa"/>
            <w:tcBorders>
              <w:top w:val="nil"/>
              <w:left w:val="nil"/>
              <w:bottom w:val="nil"/>
              <w:right w:val="single" w:sz="4" w:space="0" w:color="auto"/>
            </w:tcBorders>
            <w:shd w:val="clear" w:color="auto" w:fill="auto"/>
            <w:noWrap/>
            <w:vAlign w:val="bottom"/>
            <w:hideMark/>
          </w:tcPr>
          <w:p w:rsidR="008F546E" w:rsidRDefault="008F546E">
            <w:pPr>
              <w:jc w:val="right"/>
              <w:rPr>
                <w:color w:val="000000"/>
              </w:rPr>
            </w:pPr>
            <w:r>
              <w:rPr>
                <w:color w:val="000000"/>
              </w:rPr>
              <w:t xml:space="preserve">88,604 </w:t>
            </w:r>
          </w:p>
        </w:tc>
      </w:tr>
      <w:tr w:rsidR="008F546E" w:rsidTr="008F546E">
        <w:trPr>
          <w:trHeight w:val="315"/>
        </w:trPr>
        <w:tc>
          <w:tcPr>
            <w:tcW w:w="280" w:type="dxa"/>
            <w:tcBorders>
              <w:top w:val="nil"/>
              <w:left w:val="single" w:sz="4" w:space="0" w:color="auto"/>
              <w:bottom w:val="nil"/>
              <w:right w:val="nil"/>
            </w:tcBorders>
            <w:shd w:val="clear" w:color="auto" w:fill="auto"/>
            <w:noWrap/>
            <w:vAlign w:val="bottom"/>
            <w:hideMark/>
          </w:tcPr>
          <w:p w:rsidR="008F546E" w:rsidRDefault="008F546E">
            <w:pPr>
              <w:jc w:val="center"/>
              <w:rPr>
                <w:color w:val="000000"/>
              </w:rPr>
            </w:pPr>
            <w:r>
              <w:rPr>
                <w:color w:val="000000"/>
              </w:rPr>
              <w:t> </w:t>
            </w:r>
          </w:p>
        </w:tc>
        <w:tc>
          <w:tcPr>
            <w:tcW w:w="5080" w:type="dxa"/>
            <w:tcBorders>
              <w:top w:val="nil"/>
              <w:left w:val="nil"/>
              <w:bottom w:val="nil"/>
              <w:right w:val="nil"/>
            </w:tcBorders>
            <w:shd w:val="clear" w:color="auto" w:fill="auto"/>
            <w:noWrap/>
            <w:vAlign w:val="bottom"/>
            <w:hideMark/>
          </w:tcPr>
          <w:p w:rsidR="008F546E" w:rsidRDefault="008F546E">
            <w:pPr>
              <w:rPr>
                <w:color w:val="000000"/>
              </w:rPr>
            </w:pPr>
          </w:p>
        </w:tc>
        <w:tc>
          <w:tcPr>
            <w:tcW w:w="1642" w:type="dxa"/>
            <w:tcBorders>
              <w:top w:val="nil"/>
              <w:left w:val="nil"/>
              <w:bottom w:val="nil"/>
              <w:right w:val="nil"/>
            </w:tcBorders>
            <w:shd w:val="clear" w:color="auto" w:fill="auto"/>
            <w:noWrap/>
            <w:vAlign w:val="bottom"/>
            <w:hideMark/>
          </w:tcPr>
          <w:p w:rsidR="008F546E" w:rsidRDefault="008F546E">
            <w:pPr>
              <w:rPr>
                <w:color w:val="000000"/>
              </w:rPr>
            </w:pPr>
          </w:p>
        </w:tc>
        <w:tc>
          <w:tcPr>
            <w:tcW w:w="1396" w:type="dxa"/>
            <w:tcBorders>
              <w:top w:val="nil"/>
              <w:left w:val="nil"/>
              <w:bottom w:val="nil"/>
              <w:right w:val="nil"/>
            </w:tcBorders>
            <w:shd w:val="clear" w:color="auto" w:fill="auto"/>
            <w:noWrap/>
            <w:vAlign w:val="bottom"/>
            <w:hideMark/>
          </w:tcPr>
          <w:p w:rsidR="008F546E" w:rsidRDefault="008F546E">
            <w:pPr>
              <w:rPr>
                <w:color w:val="000000"/>
              </w:rPr>
            </w:pPr>
          </w:p>
        </w:tc>
        <w:tc>
          <w:tcPr>
            <w:tcW w:w="1642" w:type="dxa"/>
            <w:tcBorders>
              <w:top w:val="nil"/>
              <w:left w:val="nil"/>
              <w:bottom w:val="nil"/>
              <w:right w:val="single" w:sz="4" w:space="0" w:color="auto"/>
            </w:tcBorders>
            <w:shd w:val="clear" w:color="auto" w:fill="auto"/>
            <w:noWrap/>
            <w:vAlign w:val="bottom"/>
            <w:hideMark/>
          </w:tcPr>
          <w:p w:rsidR="008F546E" w:rsidRDefault="008F546E">
            <w:pPr>
              <w:rPr>
                <w:color w:val="000000"/>
              </w:rPr>
            </w:pPr>
            <w:r>
              <w:rPr>
                <w:color w:val="000000"/>
              </w:rPr>
              <w:t> </w:t>
            </w:r>
          </w:p>
        </w:tc>
      </w:tr>
      <w:tr w:rsidR="008F546E" w:rsidTr="008F546E">
        <w:trPr>
          <w:trHeight w:val="315"/>
        </w:trPr>
        <w:tc>
          <w:tcPr>
            <w:tcW w:w="280" w:type="dxa"/>
            <w:tcBorders>
              <w:top w:val="nil"/>
              <w:left w:val="single" w:sz="4" w:space="0" w:color="auto"/>
              <w:bottom w:val="nil"/>
              <w:right w:val="nil"/>
            </w:tcBorders>
            <w:shd w:val="clear" w:color="auto" w:fill="auto"/>
            <w:noWrap/>
            <w:vAlign w:val="bottom"/>
            <w:hideMark/>
          </w:tcPr>
          <w:p w:rsidR="008F546E" w:rsidRDefault="008F546E">
            <w:pPr>
              <w:jc w:val="center"/>
              <w:rPr>
                <w:color w:val="000000"/>
              </w:rPr>
            </w:pPr>
            <w:r>
              <w:rPr>
                <w:color w:val="000000"/>
              </w:rPr>
              <w:t>6.</w:t>
            </w:r>
          </w:p>
        </w:tc>
        <w:tc>
          <w:tcPr>
            <w:tcW w:w="5080" w:type="dxa"/>
            <w:tcBorders>
              <w:top w:val="nil"/>
              <w:left w:val="nil"/>
              <w:bottom w:val="nil"/>
              <w:right w:val="nil"/>
            </w:tcBorders>
            <w:shd w:val="clear" w:color="auto" w:fill="auto"/>
            <w:noWrap/>
            <w:vAlign w:val="bottom"/>
            <w:hideMark/>
          </w:tcPr>
          <w:p w:rsidR="008F546E" w:rsidRDefault="008F546E">
            <w:pPr>
              <w:rPr>
                <w:color w:val="000000"/>
              </w:rPr>
            </w:pPr>
            <w:r>
              <w:rPr>
                <w:color w:val="000000"/>
              </w:rPr>
              <w:t>ACQUISITION ADJUSTMENT</w:t>
            </w:r>
          </w:p>
        </w:tc>
        <w:tc>
          <w:tcPr>
            <w:tcW w:w="1642" w:type="dxa"/>
            <w:tcBorders>
              <w:top w:val="nil"/>
              <w:left w:val="nil"/>
              <w:bottom w:val="nil"/>
              <w:right w:val="nil"/>
            </w:tcBorders>
            <w:shd w:val="clear" w:color="auto" w:fill="auto"/>
            <w:noWrap/>
            <w:vAlign w:val="bottom"/>
            <w:hideMark/>
          </w:tcPr>
          <w:p w:rsidR="008F546E" w:rsidRDefault="008F546E">
            <w:pPr>
              <w:jc w:val="right"/>
              <w:rPr>
                <w:color w:val="000000"/>
              </w:rPr>
            </w:pPr>
            <w:r>
              <w:rPr>
                <w:color w:val="000000"/>
              </w:rPr>
              <w:t>(259,183)</w:t>
            </w:r>
          </w:p>
        </w:tc>
        <w:tc>
          <w:tcPr>
            <w:tcW w:w="1396" w:type="dxa"/>
            <w:tcBorders>
              <w:top w:val="nil"/>
              <w:left w:val="nil"/>
              <w:bottom w:val="nil"/>
              <w:right w:val="nil"/>
            </w:tcBorders>
            <w:shd w:val="clear" w:color="auto" w:fill="auto"/>
            <w:noWrap/>
            <w:vAlign w:val="bottom"/>
            <w:hideMark/>
          </w:tcPr>
          <w:p w:rsidR="008F546E" w:rsidRDefault="008F546E">
            <w:pPr>
              <w:jc w:val="right"/>
              <w:rPr>
                <w:color w:val="000000"/>
              </w:rPr>
            </w:pPr>
            <w:r>
              <w:rPr>
                <w:color w:val="000000"/>
              </w:rPr>
              <w:t xml:space="preserve">6,042 </w:t>
            </w:r>
          </w:p>
        </w:tc>
        <w:tc>
          <w:tcPr>
            <w:tcW w:w="1642" w:type="dxa"/>
            <w:tcBorders>
              <w:top w:val="nil"/>
              <w:left w:val="nil"/>
              <w:bottom w:val="nil"/>
              <w:right w:val="single" w:sz="4" w:space="0" w:color="auto"/>
            </w:tcBorders>
            <w:shd w:val="clear" w:color="auto" w:fill="auto"/>
            <w:noWrap/>
            <w:vAlign w:val="bottom"/>
            <w:hideMark/>
          </w:tcPr>
          <w:p w:rsidR="008F546E" w:rsidRDefault="008F546E">
            <w:pPr>
              <w:jc w:val="right"/>
              <w:rPr>
                <w:color w:val="000000"/>
              </w:rPr>
            </w:pPr>
            <w:r>
              <w:rPr>
                <w:color w:val="000000"/>
              </w:rPr>
              <w:t>(253,141)</w:t>
            </w:r>
          </w:p>
        </w:tc>
      </w:tr>
      <w:tr w:rsidR="008F546E" w:rsidTr="008F546E">
        <w:trPr>
          <w:trHeight w:val="315"/>
        </w:trPr>
        <w:tc>
          <w:tcPr>
            <w:tcW w:w="280" w:type="dxa"/>
            <w:tcBorders>
              <w:top w:val="nil"/>
              <w:left w:val="single" w:sz="4" w:space="0" w:color="auto"/>
              <w:bottom w:val="nil"/>
              <w:right w:val="nil"/>
            </w:tcBorders>
            <w:shd w:val="clear" w:color="auto" w:fill="auto"/>
            <w:noWrap/>
            <w:vAlign w:val="bottom"/>
            <w:hideMark/>
          </w:tcPr>
          <w:p w:rsidR="008F546E" w:rsidRDefault="008F546E">
            <w:pPr>
              <w:jc w:val="center"/>
              <w:rPr>
                <w:color w:val="000000"/>
              </w:rPr>
            </w:pPr>
            <w:r>
              <w:rPr>
                <w:color w:val="000000"/>
              </w:rPr>
              <w:t> </w:t>
            </w:r>
          </w:p>
        </w:tc>
        <w:tc>
          <w:tcPr>
            <w:tcW w:w="5080" w:type="dxa"/>
            <w:tcBorders>
              <w:top w:val="nil"/>
              <w:left w:val="nil"/>
              <w:bottom w:val="nil"/>
              <w:right w:val="nil"/>
            </w:tcBorders>
            <w:shd w:val="clear" w:color="auto" w:fill="auto"/>
            <w:noWrap/>
            <w:vAlign w:val="bottom"/>
            <w:hideMark/>
          </w:tcPr>
          <w:p w:rsidR="008F546E" w:rsidRDefault="008F546E">
            <w:pPr>
              <w:rPr>
                <w:color w:val="000000"/>
              </w:rPr>
            </w:pPr>
          </w:p>
        </w:tc>
        <w:tc>
          <w:tcPr>
            <w:tcW w:w="1642" w:type="dxa"/>
            <w:tcBorders>
              <w:top w:val="nil"/>
              <w:left w:val="nil"/>
              <w:bottom w:val="nil"/>
              <w:right w:val="nil"/>
            </w:tcBorders>
            <w:shd w:val="clear" w:color="auto" w:fill="auto"/>
            <w:noWrap/>
            <w:vAlign w:val="bottom"/>
            <w:hideMark/>
          </w:tcPr>
          <w:p w:rsidR="008F546E" w:rsidRDefault="008F546E">
            <w:pPr>
              <w:rPr>
                <w:color w:val="000000"/>
              </w:rPr>
            </w:pPr>
          </w:p>
        </w:tc>
        <w:tc>
          <w:tcPr>
            <w:tcW w:w="1396" w:type="dxa"/>
            <w:tcBorders>
              <w:top w:val="nil"/>
              <w:left w:val="nil"/>
              <w:bottom w:val="nil"/>
              <w:right w:val="nil"/>
            </w:tcBorders>
            <w:shd w:val="clear" w:color="auto" w:fill="auto"/>
            <w:noWrap/>
            <w:vAlign w:val="bottom"/>
            <w:hideMark/>
          </w:tcPr>
          <w:p w:rsidR="008F546E" w:rsidRDefault="008F546E">
            <w:pPr>
              <w:rPr>
                <w:color w:val="000000"/>
              </w:rPr>
            </w:pPr>
          </w:p>
        </w:tc>
        <w:tc>
          <w:tcPr>
            <w:tcW w:w="1642" w:type="dxa"/>
            <w:tcBorders>
              <w:top w:val="nil"/>
              <w:left w:val="nil"/>
              <w:bottom w:val="nil"/>
              <w:right w:val="single" w:sz="4" w:space="0" w:color="auto"/>
            </w:tcBorders>
            <w:shd w:val="clear" w:color="auto" w:fill="auto"/>
            <w:noWrap/>
            <w:vAlign w:val="bottom"/>
            <w:hideMark/>
          </w:tcPr>
          <w:p w:rsidR="008F546E" w:rsidRDefault="008F546E">
            <w:pPr>
              <w:rPr>
                <w:color w:val="000000"/>
              </w:rPr>
            </w:pPr>
            <w:r>
              <w:rPr>
                <w:color w:val="000000"/>
              </w:rPr>
              <w:t> </w:t>
            </w:r>
          </w:p>
        </w:tc>
      </w:tr>
      <w:tr w:rsidR="008F546E" w:rsidTr="008F546E">
        <w:trPr>
          <w:trHeight w:val="315"/>
        </w:trPr>
        <w:tc>
          <w:tcPr>
            <w:tcW w:w="280" w:type="dxa"/>
            <w:tcBorders>
              <w:top w:val="nil"/>
              <w:left w:val="single" w:sz="4" w:space="0" w:color="auto"/>
              <w:bottom w:val="nil"/>
              <w:right w:val="nil"/>
            </w:tcBorders>
            <w:shd w:val="clear" w:color="auto" w:fill="auto"/>
            <w:noWrap/>
            <w:vAlign w:val="bottom"/>
            <w:hideMark/>
          </w:tcPr>
          <w:p w:rsidR="008F546E" w:rsidRDefault="008F546E">
            <w:pPr>
              <w:jc w:val="center"/>
              <w:rPr>
                <w:color w:val="000000"/>
              </w:rPr>
            </w:pPr>
            <w:r>
              <w:rPr>
                <w:color w:val="000000"/>
              </w:rPr>
              <w:t>7.</w:t>
            </w:r>
          </w:p>
        </w:tc>
        <w:tc>
          <w:tcPr>
            <w:tcW w:w="5080" w:type="dxa"/>
            <w:tcBorders>
              <w:top w:val="nil"/>
              <w:left w:val="nil"/>
              <w:bottom w:val="nil"/>
              <w:right w:val="nil"/>
            </w:tcBorders>
            <w:shd w:val="clear" w:color="auto" w:fill="auto"/>
            <w:noWrap/>
            <w:vAlign w:val="bottom"/>
            <w:hideMark/>
          </w:tcPr>
          <w:p w:rsidR="008F546E" w:rsidRDefault="008F546E">
            <w:pPr>
              <w:rPr>
                <w:color w:val="000000"/>
              </w:rPr>
            </w:pPr>
            <w:proofErr w:type="spellStart"/>
            <w:r>
              <w:rPr>
                <w:color w:val="000000"/>
              </w:rPr>
              <w:t>ACCUM</w:t>
            </w:r>
            <w:proofErr w:type="spellEnd"/>
            <w:r>
              <w:rPr>
                <w:color w:val="000000"/>
              </w:rPr>
              <w:t xml:space="preserve"> AMORT </w:t>
            </w:r>
            <w:proofErr w:type="spellStart"/>
            <w:r>
              <w:rPr>
                <w:color w:val="000000"/>
              </w:rPr>
              <w:t>ACQ</w:t>
            </w:r>
            <w:proofErr w:type="spellEnd"/>
            <w:r>
              <w:rPr>
                <w:color w:val="000000"/>
              </w:rPr>
              <w:t xml:space="preserve"> </w:t>
            </w:r>
            <w:proofErr w:type="spellStart"/>
            <w:r>
              <w:rPr>
                <w:color w:val="000000"/>
              </w:rPr>
              <w:t>ADJ</w:t>
            </w:r>
            <w:proofErr w:type="spellEnd"/>
          </w:p>
        </w:tc>
        <w:tc>
          <w:tcPr>
            <w:tcW w:w="1642" w:type="dxa"/>
            <w:tcBorders>
              <w:top w:val="nil"/>
              <w:left w:val="nil"/>
              <w:bottom w:val="nil"/>
              <w:right w:val="nil"/>
            </w:tcBorders>
            <w:shd w:val="clear" w:color="auto" w:fill="auto"/>
            <w:noWrap/>
            <w:vAlign w:val="bottom"/>
            <w:hideMark/>
          </w:tcPr>
          <w:p w:rsidR="008F546E" w:rsidRDefault="008F546E">
            <w:pPr>
              <w:jc w:val="right"/>
              <w:rPr>
                <w:color w:val="000000"/>
              </w:rPr>
            </w:pPr>
            <w:r>
              <w:rPr>
                <w:color w:val="000000"/>
              </w:rPr>
              <w:t xml:space="preserve">142,544 </w:t>
            </w:r>
          </w:p>
        </w:tc>
        <w:tc>
          <w:tcPr>
            <w:tcW w:w="1396" w:type="dxa"/>
            <w:tcBorders>
              <w:top w:val="nil"/>
              <w:left w:val="nil"/>
              <w:bottom w:val="nil"/>
              <w:right w:val="nil"/>
            </w:tcBorders>
            <w:shd w:val="clear" w:color="auto" w:fill="auto"/>
            <w:noWrap/>
            <w:vAlign w:val="bottom"/>
            <w:hideMark/>
          </w:tcPr>
          <w:p w:rsidR="008F546E" w:rsidRDefault="008F546E">
            <w:pPr>
              <w:jc w:val="right"/>
              <w:rPr>
                <w:color w:val="000000"/>
              </w:rPr>
            </w:pPr>
            <w:r>
              <w:rPr>
                <w:color w:val="000000"/>
              </w:rPr>
              <w:t>(37,059)</w:t>
            </w:r>
          </w:p>
        </w:tc>
        <w:tc>
          <w:tcPr>
            <w:tcW w:w="1642" w:type="dxa"/>
            <w:tcBorders>
              <w:top w:val="nil"/>
              <w:left w:val="nil"/>
              <w:bottom w:val="nil"/>
              <w:right w:val="single" w:sz="4" w:space="0" w:color="auto"/>
            </w:tcBorders>
            <w:shd w:val="clear" w:color="auto" w:fill="auto"/>
            <w:noWrap/>
            <w:vAlign w:val="bottom"/>
            <w:hideMark/>
          </w:tcPr>
          <w:p w:rsidR="008F546E" w:rsidRDefault="008F546E">
            <w:pPr>
              <w:jc w:val="right"/>
              <w:rPr>
                <w:color w:val="000000"/>
              </w:rPr>
            </w:pPr>
            <w:r>
              <w:rPr>
                <w:color w:val="000000"/>
              </w:rPr>
              <w:t xml:space="preserve">105,485 </w:t>
            </w:r>
          </w:p>
        </w:tc>
      </w:tr>
      <w:tr w:rsidR="008F546E" w:rsidTr="008F546E">
        <w:trPr>
          <w:trHeight w:val="315"/>
        </w:trPr>
        <w:tc>
          <w:tcPr>
            <w:tcW w:w="280" w:type="dxa"/>
            <w:tcBorders>
              <w:top w:val="nil"/>
              <w:left w:val="single" w:sz="4" w:space="0" w:color="auto"/>
              <w:bottom w:val="nil"/>
              <w:right w:val="nil"/>
            </w:tcBorders>
            <w:shd w:val="clear" w:color="auto" w:fill="auto"/>
            <w:noWrap/>
            <w:vAlign w:val="bottom"/>
            <w:hideMark/>
          </w:tcPr>
          <w:p w:rsidR="008F546E" w:rsidRDefault="008F546E">
            <w:pPr>
              <w:jc w:val="center"/>
              <w:rPr>
                <w:color w:val="000000"/>
              </w:rPr>
            </w:pPr>
            <w:r>
              <w:rPr>
                <w:color w:val="000000"/>
              </w:rPr>
              <w:t> </w:t>
            </w:r>
          </w:p>
        </w:tc>
        <w:tc>
          <w:tcPr>
            <w:tcW w:w="5080" w:type="dxa"/>
            <w:tcBorders>
              <w:top w:val="nil"/>
              <w:left w:val="nil"/>
              <w:bottom w:val="nil"/>
              <w:right w:val="nil"/>
            </w:tcBorders>
            <w:shd w:val="clear" w:color="auto" w:fill="auto"/>
            <w:noWrap/>
            <w:vAlign w:val="bottom"/>
            <w:hideMark/>
          </w:tcPr>
          <w:p w:rsidR="008F546E" w:rsidRDefault="008F546E">
            <w:pPr>
              <w:rPr>
                <w:color w:val="000000"/>
              </w:rPr>
            </w:pPr>
          </w:p>
        </w:tc>
        <w:tc>
          <w:tcPr>
            <w:tcW w:w="1642" w:type="dxa"/>
            <w:tcBorders>
              <w:top w:val="nil"/>
              <w:left w:val="nil"/>
              <w:bottom w:val="nil"/>
              <w:right w:val="nil"/>
            </w:tcBorders>
            <w:shd w:val="clear" w:color="auto" w:fill="auto"/>
            <w:noWrap/>
            <w:vAlign w:val="bottom"/>
            <w:hideMark/>
          </w:tcPr>
          <w:p w:rsidR="008F546E" w:rsidRDefault="008F546E">
            <w:pPr>
              <w:rPr>
                <w:color w:val="000000"/>
              </w:rPr>
            </w:pPr>
          </w:p>
        </w:tc>
        <w:tc>
          <w:tcPr>
            <w:tcW w:w="1396" w:type="dxa"/>
            <w:tcBorders>
              <w:top w:val="nil"/>
              <w:left w:val="nil"/>
              <w:bottom w:val="nil"/>
              <w:right w:val="nil"/>
            </w:tcBorders>
            <w:shd w:val="clear" w:color="auto" w:fill="auto"/>
            <w:noWrap/>
            <w:vAlign w:val="bottom"/>
            <w:hideMark/>
          </w:tcPr>
          <w:p w:rsidR="008F546E" w:rsidRDefault="008F546E">
            <w:pPr>
              <w:rPr>
                <w:color w:val="000000"/>
              </w:rPr>
            </w:pPr>
          </w:p>
        </w:tc>
        <w:tc>
          <w:tcPr>
            <w:tcW w:w="1642" w:type="dxa"/>
            <w:tcBorders>
              <w:top w:val="nil"/>
              <w:left w:val="nil"/>
              <w:bottom w:val="nil"/>
              <w:right w:val="single" w:sz="4" w:space="0" w:color="auto"/>
            </w:tcBorders>
            <w:shd w:val="clear" w:color="auto" w:fill="auto"/>
            <w:noWrap/>
            <w:vAlign w:val="bottom"/>
            <w:hideMark/>
          </w:tcPr>
          <w:p w:rsidR="008F546E" w:rsidRDefault="008F546E">
            <w:pPr>
              <w:rPr>
                <w:color w:val="000000"/>
              </w:rPr>
            </w:pPr>
            <w:r>
              <w:rPr>
                <w:color w:val="000000"/>
              </w:rPr>
              <w:t> </w:t>
            </w:r>
          </w:p>
        </w:tc>
      </w:tr>
      <w:tr w:rsidR="008F546E" w:rsidTr="008F546E">
        <w:trPr>
          <w:trHeight w:val="315"/>
        </w:trPr>
        <w:tc>
          <w:tcPr>
            <w:tcW w:w="280" w:type="dxa"/>
            <w:tcBorders>
              <w:top w:val="nil"/>
              <w:left w:val="single" w:sz="4" w:space="0" w:color="auto"/>
              <w:bottom w:val="nil"/>
              <w:right w:val="nil"/>
            </w:tcBorders>
            <w:shd w:val="clear" w:color="auto" w:fill="auto"/>
            <w:noWrap/>
            <w:vAlign w:val="bottom"/>
            <w:hideMark/>
          </w:tcPr>
          <w:p w:rsidR="008F546E" w:rsidRDefault="008F546E">
            <w:pPr>
              <w:jc w:val="center"/>
              <w:rPr>
                <w:color w:val="000000"/>
              </w:rPr>
            </w:pPr>
            <w:r>
              <w:rPr>
                <w:color w:val="000000"/>
              </w:rPr>
              <w:t>8.</w:t>
            </w:r>
          </w:p>
        </w:tc>
        <w:tc>
          <w:tcPr>
            <w:tcW w:w="5080" w:type="dxa"/>
            <w:tcBorders>
              <w:top w:val="nil"/>
              <w:left w:val="nil"/>
              <w:bottom w:val="nil"/>
              <w:right w:val="nil"/>
            </w:tcBorders>
            <w:shd w:val="clear" w:color="auto" w:fill="auto"/>
            <w:noWrap/>
            <w:vAlign w:val="bottom"/>
            <w:hideMark/>
          </w:tcPr>
          <w:p w:rsidR="008F546E" w:rsidRDefault="008F546E">
            <w:pPr>
              <w:rPr>
                <w:color w:val="000000"/>
              </w:rPr>
            </w:pPr>
            <w:r>
              <w:rPr>
                <w:color w:val="000000"/>
              </w:rPr>
              <w:t xml:space="preserve">WORKING CAPITAL </w:t>
            </w:r>
            <w:proofErr w:type="spellStart"/>
            <w:r>
              <w:rPr>
                <w:color w:val="000000"/>
              </w:rPr>
              <w:t>ALLOWNACE</w:t>
            </w:r>
            <w:proofErr w:type="spellEnd"/>
          </w:p>
        </w:tc>
        <w:tc>
          <w:tcPr>
            <w:tcW w:w="1642" w:type="dxa"/>
            <w:tcBorders>
              <w:top w:val="nil"/>
              <w:left w:val="nil"/>
              <w:bottom w:val="nil"/>
              <w:right w:val="nil"/>
            </w:tcBorders>
            <w:shd w:val="clear" w:color="auto" w:fill="auto"/>
            <w:noWrap/>
            <w:vAlign w:val="bottom"/>
            <w:hideMark/>
          </w:tcPr>
          <w:p w:rsidR="008F546E" w:rsidRDefault="008F546E">
            <w:pPr>
              <w:jc w:val="right"/>
              <w:rPr>
                <w:color w:val="000000"/>
                <w:u w:val="single"/>
              </w:rPr>
            </w:pPr>
            <w:r>
              <w:rPr>
                <w:color w:val="000000"/>
                <w:u w:val="single"/>
              </w:rPr>
              <w:t xml:space="preserve">0 </w:t>
            </w:r>
          </w:p>
        </w:tc>
        <w:tc>
          <w:tcPr>
            <w:tcW w:w="1396" w:type="dxa"/>
            <w:tcBorders>
              <w:top w:val="nil"/>
              <w:left w:val="nil"/>
              <w:bottom w:val="nil"/>
              <w:right w:val="nil"/>
            </w:tcBorders>
            <w:shd w:val="clear" w:color="auto" w:fill="auto"/>
            <w:noWrap/>
            <w:vAlign w:val="bottom"/>
            <w:hideMark/>
          </w:tcPr>
          <w:p w:rsidR="008F546E" w:rsidRDefault="008F546E">
            <w:pPr>
              <w:jc w:val="right"/>
              <w:rPr>
                <w:color w:val="000000"/>
                <w:u w:val="single"/>
              </w:rPr>
            </w:pPr>
            <w:r>
              <w:rPr>
                <w:color w:val="000000"/>
                <w:u w:val="single"/>
              </w:rPr>
              <w:t xml:space="preserve">3,767 </w:t>
            </w:r>
          </w:p>
        </w:tc>
        <w:tc>
          <w:tcPr>
            <w:tcW w:w="1642" w:type="dxa"/>
            <w:tcBorders>
              <w:top w:val="nil"/>
              <w:left w:val="nil"/>
              <w:bottom w:val="nil"/>
              <w:right w:val="single" w:sz="4" w:space="0" w:color="auto"/>
            </w:tcBorders>
            <w:shd w:val="clear" w:color="auto" w:fill="auto"/>
            <w:noWrap/>
            <w:vAlign w:val="bottom"/>
            <w:hideMark/>
          </w:tcPr>
          <w:p w:rsidR="008F546E" w:rsidRDefault="008F546E">
            <w:pPr>
              <w:jc w:val="right"/>
              <w:rPr>
                <w:color w:val="000000"/>
                <w:u w:val="single"/>
              </w:rPr>
            </w:pPr>
            <w:r>
              <w:rPr>
                <w:color w:val="000000"/>
                <w:u w:val="single"/>
              </w:rPr>
              <w:t xml:space="preserve">3,767 </w:t>
            </w:r>
          </w:p>
        </w:tc>
      </w:tr>
      <w:tr w:rsidR="008F546E" w:rsidTr="008F546E">
        <w:trPr>
          <w:trHeight w:val="315"/>
        </w:trPr>
        <w:tc>
          <w:tcPr>
            <w:tcW w:w="280" w:type="dxa"/>
            <w:tcBorders>
              <w:top w:val="nil"/>
              <w:left w:val="single" w:sz="4" w:space="0" w:color="auto"/>
              <w:bottom w:val="nil"/>
              <w:right w:val="nil"/>
            </w:tcBorders>
            <w:shd w:val="clear" w:color="auto" w:fill="auto"/>
            <w:noWrap/>
            <w:vAlign w:val="bottom"/>
            <w:hideMark/>
          </w:tcPr>
          <w:p w:rsidR="008F546E" w:rsidRDefault="008F546E">
            <w:pPr>
              <w:jc w:val="center"/>
              <w:rPr>
                <w:color w:val="000000"/>
              </w:rPr>
            </w:pPr>
            <w:r>
              <w:rPr>
                <w:color w:val="000000"/>
              </w:rPr>
              <w:t> </w:t>
            </w:r>
          </w:p>
        </w:tc>
        <w:tc>
          <w:tcPr>
            <w:tcW w:w="5080" w:type="dxa"/>
            <w:tcBorders>
              <w:top w:val="nil"/>
              <w:left w:val="nil"/>
              <w:bottom w:val="nil"/>
              <w:right w:val="nil"/>
            </w:tcBorders>
            <w:shd w:val="clear" w:color="auto" w:fill="auto"/>
            <w:noWrap/>
            <w:vAlign w:val="bottom"/>
            <w:hideMark/>
          </w:tcPr>
          <w:p w:rsidR="008F546E" w:rsidRDefault="008F546E">
            <w:pPr>
              <w:rPr>
                <w:color w:val="000000"/>
              </w:rPr>
            </w:pPr>
          </w:p>
        </w:tc>
        <w:tc>
          <w:tcPr>
            <w:tcW w:w="1642" w:type="dxa"/>
            <w:tcBorders>
              <w:top w:val="nil"/>
              <w:left w:val="nil"/>
              <w:bottom w:val="nil"/>
              <w:right w:val="nil"/>
            </w:tcBorders>
            <w:shd w:val="clear" w:color="auto" w:fill="auto"/>
            <w:noWrap/>
            <w:vAlign w:val="bottom"/>
            <w:hideMark/>
          </w:tcPr>
          <w:p w:rsidR="008F546E" w:rsidRDefault="008F546E">
            <w:pPr>
              <w:rPr>
                <w:color w:val="000000"/>
              </w:rPr>
            </w:pPr>
          </w:p>
        </w:tc>
        <w:tc>
          <w:tcPr>
            <w:tcW w:w="1396" w:type="dxa"/>
            <w:tcBorders>
              <w:top w:val="nil"/>
              <w:left w:val="nil"/>
              <w:bottom w:val="nil"/>
              <w:right w:val="nil"/>
            </w:tcBorders>
            <w:shd w:val="clear" w:color="auto" w:fill="auto"/>
            <w:noWrap/>
            <w:vAlign w:val="bottom"/>
            <w:hideMark/>
          </w:tcPr>
          <w:p w:rsidR="008F546E" w:rsidRDefault="008F546E">
            <w:pPr>
              <w:rPr>
                <w:color w:val="000000"/>
              </w:rPr>
            </w:pPr>
          </w:p>
        </w:tc>
        <w:tc>
          <w:tcPr>
            <w:tcW w:w="1642" w:type="dxa"/>
            <w:tcBorders>
              <w:top w:val="nil"/>
              <w:left w:val="nil"/>
              <w:bottom w:val="nil"/>
              <w:right w:val="single" w:sz="4" w:space="0" w:color="auto"/>
            </w:tcBorders>
            <w:shd w:val="clear" w:color="auto" w:fill="auto"/>
            <w:noWrap/>
            <w:vAlign w:val="bottom"/>
            <w:hideMark/>
          </w:tcPr>
          <w:p w:rsidR="008F546E" w:rsidRDefault="008F546E">
            <w:pPr>
              <w:rPr>
                <w:color w:val="000000"/>
              </w:rPr>
            </w:pPr>
            <w:r>
              <w:rPr>
                <w:color w:val="000000"/>
              </w:rPr>
              <w:t> </w:t>
            </w:r>
          </w:p>
        </w:tc>
      </w:tr>
      <w:tr w:rsidR="008F546E" w:rsidTr="008F546E">
        <w:trPr>
          <w:trHeight w:val="315"/>
        </w:trPr>
        <w:tc>
          <w:tcPr>
            <w:tcW w:w="280" w:type="dxa"/>
            <w:tcBorders>
              <w:top w:val="nil"/>
              <w:left w:val="single" w:sz="4" w:space="0" w:color="auto"/>
              <w:bottom w:val="nil"/>
              <w:right w:val="nil"/>
            </w:tcBorders>
            <w:shd w:val="clear" w:color="auto" w:fill="auto"/>
            <w:noWrap/>
            <w:vAlign w:val="bottom"/>
            <w:hideMark/>
          </w:tcPr>
          <w:p w:rsidR="008F546E" w:rsidRDefault="008F546E">
            <w:pPr>
              <w:jc w:val="center"/>
              <w:rPr>
                <w:color w:val="000000"/>
              </w:rPr>
            </w:pPr>
            <w:r>
              <w:rPr>
                <w:color w:val="000000"/>
              </w:rPr>
              <w:t>9.</w:t>
            </w:r>
          </w:p>
        </w:tc>
        <w:tc>
          <w:tcPr>
            <w:tcW w:w="5080" w:type="dxa"/>
            <w:tcBorders>
              <w:top w:val="nil"/>
              <w:left w:val="nil"/>
              <w:bottom w:val="nil"/>
              <w:right w:val="nil"/>
            </w:tcBorders>
            <w:shd w:val="clear" w:color="auto" w:fill="auto"/>
            <w:noWrap/>
            <w:vAlign w:val="bottom"/>
            <w:hideMark/>
          </w:tcPr>
          <w:p w:rsidR="008F546E" w:rsidRDefault="008F546E">
            <w:pPr>
              <w:rPr>
                <w:color w:val="000000"/>
              </w:rPr>
            </w:pPr>
            <w:r>
              <w:rPr>
                <w:color w:val="000000"/>
              </w:rPr>
              <w:t>WATER RATE BASE</w:t>
            </w:r>
          </w:p>
        </w:tc>
        <w:tc>
          <w:tcPr>
            <w:tcW w:w="1642" w:type="dxa"/>
            <w:tcBorders>
              <w:top w:val="nil"/>
              <w:left w:val="nil"/>
              <w:bottom w:val="nil"/>
              <w:right w:val="nil"/>
            </w:tcBorders>
            <w:shd w:val="clear" w:color="auto" w:fill="auto"/>
            <w:noWrap/>
            <w:vAlign w:val="bottom"/>
            <w:hideMark/>
          </w:tcPr>
          <w:p w:rsidR="008F546E" w:rsidRDefault="008F546E">
            <w:pPr>
              <w:jc w:val="right"/>
              <w:rPr>
                <w:color w:val="000000"/>
                <w:u w:val="double"/>
              </w:rPr>
            </w:pPr>
            <w:r>
              <w:rPr>
                <w:color w:val="000000"/>
                <w:u w:val="double"/>
              </w:rPr>
              <w:t xml:space="preserve">$135,627 </w:t>
            </w:r>
          </w:p>
        </w:tc>
        <w:tc>
          <w:tcPr>
            <w:tcW w:w="1396" w:type="dxa"/>
            <w:tcBorders>
              <w:top w:val="nil"/>
              <w:left w:val="nil"/>
              <w:bottom w:val="nil"/>
              <w:right w:val="nil"/>
            </w:tcBorders>
            <w:shd w:val="clear" w:color="auto" w:fill="auto"/>
            <w:noWrap/>
            <w:vAlign w:val="bottom"/>
            <w:hideMark/>
          </w:tcPr>
          <w:p w:rsidR="008F546E" w:rsidRDefault="008F546E">
            <w:pPr>
              <w:jc w:val="right"/>
              <w:rPr>
                <w:color w:val="000000"/>
                <w:u w:val="double"/>
              </w:rPr>
            </w:pPr>
            <w:r>
              <w:rPr>
                <w:color w:val="000000"/>
                <w:u w:val="double"/>
              </w:rPr>
              <w:t xml:space="preserve">$30,051 </w:t>
            </w:r>
          </w:p>
        </w:tc>
        <w:tc>
          <w:tcPr>
            <w:tcW w:w="1642" w:type="dxa"/>
            <w:tcBorders>
              <w:top w:val="nil"/>
              <w:left w:val="nil"/>
              <w:bottom w:val="nil"/>
              <w:right w:val="single" w:sz="4" w:space="0" w:color="auto"/>
            </w:tcBorders>
            <w:shd w:val="clear" w:color="auto" w:fill="auto"/>
            <w:noWrap/>
            <w:vAlign w:val="bottom"/>
            <w:hideMark/>
          </w:tcPr>
          <w:p w:rsidR="008F546E" w:rsidRDefault="008F546E">
            <w:pPr>
              <w:jc w:val="right"/>
              <w:rPr>
                <w:color w:val="000000"/>
                <w:u w:val="double"/>
              </w:rPr>
            </w:pPr>
            <w:r>
              <w:rPr>
                <w:color w:val="000000"/>
                <w:u w:val="double"/>
              </w:rPr>
              <w:t xml:space="preserve">$165,678 </w:t>
            </w:r>
          </w:p>
        </w:tc>
      </w:tr>
      <w:tr w:rsidR="008F546E" w:rsidTr="008F546E">
        <w:trPr>
          <w:trHeight w:val="315"/>
        </w:trPr>
        <w:tc>
          <w:tcPr>
            <w:tcW w:w="280" w:type="dxa"/>
            <w:tcBorders>
              <w:top w:val="nil"/>
              <w:left w:val="single" w:sz="4" w:space="0" w:color="auto"/>
              <w:bottom w:val="single" w:sz="4" w:space="0" w:color="auto"/>
              <w:right w:val="nil"/>
            </w:tcBorders>
            <w:shd w:val="clear" w:color="auto" w:fill="auto"/>
            <w:noWrap/>
            <w:vAlign w:val="bottom"/>
            <w:hideMark/>
          </w:tcPr>
          <w:p w:rsidR="008F546E" w:rsidRDefault="008F546E">
            <w:pPr>
              <w:jc w:val="center"/>
              <w:rPr>
                <w:color w:val="000000"/>
              </w:rPr>
            </w:pPr>
            <w:r>
              <w:rPr>
                <w:color w:val="000000"/>
              </w:rPr>
              <w:t> </w:t>
            </w:r>
          </w:p>
        </w:tc>
        <w:tc>
          <w:tcPr>
            <w:tcW w:w="5080" w:type="dxa"/>
            <w:tcBorders>
              <w:top w:val="nil"/>
              <w:left w:val="nil"/>
              <w:bottom w:val="single" w:sz="4" w:space="0" w:color="auto"/>
              <w:right w:val="nil"/>
            </w:tcBorders>
            <w:shd w:val="clear" w:color="auto" w:fill="auto"/>
            <w:noWrap/>
            <w:vAlign w:val="bottom"/>
            <w:hideMark/>
          </w:tcPr>
          <w:p w:rsidR="008F546E" w:rsidRDefault="008F546E">
            <w:pPr>
              <w:rPr>
                <w:color w:val="000000"/>
              </w:rPr>
            </w:pPr>
            <w:r>
              <w:rPr>
                <w:color w:val="000000"/>
              </w:rPr>
              <w:t> </w:t>
            </w:r>
          </w:p>
        </w:tc>
        <w:tc>
          <w:tcPr>
            <w:tcW w:w="1642" w:type="dxa"/>
            <w:tcBorders>
              <w:top w:val="nil"/>
              <w:left w:val="nil"/>
              <w:bottom w:val="single" w:sz="4" w:space="0" w:color="auto"/>
              <w:right w:val="nil"/>
            </w:tcBorders>
            <w:shd w:val="clear" w:color="auto" w:fill="auto"/>
            <w:noWrap/>
            <w:vAlign w:val="bottom"/>
            <w:hideMark/>
          </w:tcPr>
          <w:p w:rsidR="008F546E" w:rsidRDefault="008F546E">
            <w:pPr>
              <w:rPr>
                <w:color w:val="000000"/>
              </w:rPr>
            </w:pPr>
            <w:r>
              <w:rPr>
                <w:color w:val="000000"/>
              </w:rPr>
              <w:t> </w:t>
            </w:r>
          </w:p>
        </w:tc>
        <w:tc>
          <w:tcPr>
            <w:tcW w:w="1396" w:type="dxa"/>
            <w:tcBorders>
              <w:top w:val="nil"/>
              <w:left w:val="nil"/>
              <w:bottom w:val="single" w:sz="4" w:space="0" w:color="auto"/>
              <w:right w:val="nil"/>
            </w:tcBorders>
            <w:shd w:val="clear" w:color="auto" w:fill="auto"/>
            <w:noWrap/>
            <w:vAlign w:val="bottom"/>
            <w:hideMark/>
          </w:tcPr>
          <w:p w:rsidR="008F546E" w:rsidRDefault="008F546E">
            <w:pPr>
              <w:rPr>
                <w:color w:val="000000"/>
              </w:rPr>
            </w:pPr>
            <w:r>
              <w:rPr>
                <w:color w:val="000000"/>
              </w:rPr>
              <w:t> </w:t>
            </w:r>
          </w:p>
        </w:tc>
        <w:tc>
          <w:tcPr>
            <w:tcW w:w="1642" w:type="dxa"/>
            <w:tcBorders>
              <w:top w:val="nil"/>
              <w:left w:val="nil"/>
              <w:bottom w:val="single" w:sz="4" w:space="0" w:color="auto"/>
              <w:right w:val="single" w:sz="4" w:space="0" w:color="auto"/>
            </w:tcBorders>
            <w:shd w:val="clear" w:color="auto" w:fill="auto"/>
            <w:noWrap/>
            <w:vAlign w:val="bottom"/>
            <w:hideMark/>
          </w:tcPr>
          <w:p w:rsidR="008F546E" w:rsidRDefault="008F546E">
            <w:pPr>
              <w:rPr>
                <w:color w:val="000000"/>
              </w:rPr>
            </w:pPr>
            <w:r>
              <w:rPr>
                <w:color w:val="000000"/>
              </w:rPr>
              <w:t> </w:t>
            </w:r>
          </w:p>
        </w:tc>
      </w:tr>
    </w:tbl>
    <w:p w:rsidR="00736D91" w:rsidRDefault="00736D91">
      <w:pPr>
        <w:pStyle w:val="BodyText"/>
        <w:sectPr w:rsidR="00736D91" w:rsidSect="009B1FE5">
          <w:headerReference w:type="default" r:id="rId29"/>
          <w:pgSz w:w="12240" w:h="15840" w:code="1"/>
          <w:pgMar w:top="1584" w:right="1440" w:bottom="1440" w:left="1440" w:header="720" w:footer="720" w:gutter="0"/>
          <w:cols w:space="720"/>
          <w:formProt w:val="0"/>
          <w:docGrid w:linePitch="360"/>
        </w:sectPr>
      </w:pPr>
    </w:p>
    <w:p w:rsidR="00736D91" w:rsidRDefault="00B85519" w:rsidP="00736D91">
      <w:r>
        <w:lastRenderedPageBreak/>
        <w:fldChar w:fldCharType="begin"/>
      </w:r>
      <w:r>
        <w:instrText xml:space="preserve"> TC  "</w:instrText>
      </w:r>
      <w:bookmarkStart w:id="44" w:name="_Toc32829972"/>
      <w:r>
        <w:tab/>
        <w:instrText>Schedule No. 1-</w:instrText>
      </w:r>
      <w:r w:rsidR="00B25DD9">
        <w:instrText>B</w:instrText>
      </w:r>
      <w:bookmarkEnd w:id="44"/>
      <w:r>
        <w:instrText xml:space="preserve">" \l 1 </w:instrText>
      </w:r>
      <w:r w:rsidR="00BA2469" w:rsidRPr="00BA2469">
        <w:instrText xml:space="preserve"> </w:instrText>
      </w:r>
      <w:r>
        <w:fldChar w:fldCharType="end"/>
      </w:r>
      <w:r w:rsidR="00646F03" w:rsidRPr="00646F03">
        <w:t xml:space="preserve"> </w:t>
      </w:r>
      <w:r w:rsidR="00F0503B" w:rsidRPr="00F0503B">
        <w:rPr>
          <w:noProof/>
        </w:rPr>
        <w:drawing>
          <wp:inline distT="0" distB="0" distL="0" distR="0" wp14:anchorId="647C5722" wp14:editId="11278D0B">
            <wp:extent cx="5943600" cy="7941029"/>
            <wp:effectExtent l="0" t="0" r="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7941029"/>
                    </a:xfrm>
                    <a:prstGeom prst="rect">
                      <a:avLst/>
                    </a:prstGeom>
                    <a:noFill/>
                    <a:ln>
                      <a:noFill/>
                    </a:ln>
                  </pic:spPr>
                </pic:pic>
              </a:graphicData>
            </a:graphic>
          </wp:inline>
        </w:drawing>
      </w:r>
    </w:p>
    <w:p w:rsidR="00736D91" w:rsidRPr="00736D91" w:rsidRDefault="00736D91" w:rsidP="00736D91">
      <w:pPr>
        <w:sectPr w:rsidR="00736D91" w:rsidRPr="00736D91" w:rsidSect="009B1FE5">
          <w:headerReference w:type="default" r:id="rId31"/>
          <w:pgSz w:w="12240" w:h="15840" w:code="1"/>
          <w:pgMar w:top="1584" w:right="1440" w:bottom="1440" w:left="1440" w:header="720" w:footer="720" w:gutter="0"/>
          <w:cols w:space="720"/>
          <w:formProt w:val="0"/>
          <w:docGrid w:linePitch="360"/>
        </w:sectPr>
      </w:pPr>
    </w:p>
    <w:p w:rsidR="00736D91" w:rsidRPr="00BE61E1" w:rsidRDefault="00AD265C" w:rsidP="003F7100">
      <w:pPr>
        <w:pStyle w:val="BodyText"/>
        <w:sectPr w:rsidR="00736D91" w:rsidRPr="00BE61E1" w:rsidSect="00736D91">
          <w:headerReference w:type="default" r:id="rId32"/>
          <w:pgSz w:w="15840" w:h="12240" w:orient="landscape" w:code="1"/>
          <w:pgMar w:top="1440" w:right="1584" w:bottom="1440" w:left="1440" w:header="720" w:footer="720" w:gutter="0"/>
          <w:cols w:space="720"/>
          <w:formProt w:val="0"/>
          <w:docGrid w:linePitch="360"/>
        </w:sectPr>
      </w:pPr>
      <w:r w:rsidRPr="00AD265C">
        <w:lastRenderedPageBreak/>
        <w:t xml:space="preserve"> </w:t>
      </w:r>
      <w:r w:rsidR="00B85519">
        <w:fldChar w:fldCharType="begin"/>
      </w:r>
      <w:r w:rsidR="00B85519">
        <w:instrText xml:space="preserve"> TC  "</w:instrText>
      </w:r>
      <w:bookmarkStart w:id="45" w:name="_Toc32829973"/>
      <w:r w:rsidR="00B85519">
        <w:tab/>
        <w:instrText>Schedule No. 2</w:instrText>
      </w:r>
      <w:bookmarkEnd w:id="45"/>
      <w:r w:rsidR="00B85519">
        <w:instrText xml:space="preserve">" \l 1 </w:instrText>
      </w:r>
      <w:r w:rsidR="003F7100" w:rsidRPr="003F7100">
        <w:instrText xml:space="preserve"> </w:instrText>
      </w:r>
      <w:r w:rsidR="00B85519">
        <w:fldChar w:fldCharType="end"/>
      </w:r>
      <w:r w:rsidR="001A1A7C" w:rsidRPr="001A1A7C">
        <w:t xml:space="preserve"> </w:t>
      </w:r>
      <w:r w:rsidR="001A1A7C" w:rsidRPr="001A1A7C">
        <w:rPr>
          <w:noProof/>
        </w:rPr>
        <w:drawing>
          <wp:inline distT="0" distB="0" distL="0" distR="0">
            <wp:extent cx="8242300" cy="5634487"/>
            <wp:effectExtent l="0" t="0" r="635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42300" cy="5634487"/>
                    </a:xfrm>
                    <a:prstGeom prst="rect">
                      <a:avLst/>
                    </a:prstGeom>
                    <a:noFill/>
                    <a:ln>
                      <a:noFill/>
                    </a:ln>
                  </pic:spPr>
                </pic:pic>
              </a:graphicData>
            </a:graphic>
          </wp:inline>
        </w:drawing>
      </w:r>
    </w:p>
    <w:p w:rsidR="0029604B" w:rsidRDefault="000152FA">
      <w:pPr>
        <w:pStyle w:val="BodyText"/>
      </w:pPr>
      <w:r>
        <w:lastRenderedPageBreak/>
        <w:fldChar w:fldCharType="begin"/>
      </w:r>
      <w:r>
        <w:instrText xml:space="preserve"> TC  "</w:instrText>
      </w:r>
      <w:bookmarkStart w:id="46" w:name="_Toc32829974"/>
      <w:r>
        <w:tab/>
        <w:instrText>Schedule No. 3-A</w:instrText>
      </w:r>
      <w:bookmarkEnd w:id="46"/>
      <w:r>
        <w:instrText xml:space="preserve">" \l 1 </w:instrText>
      </w:r>
      <w:r>
        <w:fldChar w:fldCharType="end"/>
      </w:r>
      <w:r w:rsidR="00BA2469" w:rsidRPr="00BA2469">
        <w:t xml:space="preserve"> </w:t>
      </w:r>
      <w:r w:rsidR="001A76D7" w:rsidRPr="001A76D7">
        <w:rPr>
          <w:noProof/>
        </w:rPr>
        <w:drawing>
          <wp:inline distT="0" distB="0" distL="0" distR="0">
            <wp:extent cx="7112000" cy="46355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112000" cy="4635500"/>
                    </a:xfrm>
                    <a:prstGeom prst="rect">
                      <a:avLst/>
                    </a:prstGeom>
                    <a:noFill/>
                    <a:ln>
                      <a:noFill/>
                    </a:ln>
                  </pic:spPr>
                </pic:pic>
              </a:graphicData>
            </a:graphic>
          </wp:inline>
        </w:drawing>
      </w:r>
    </w:p>
    <w:p w:rsidR="0029604B" w:rsidRDefault="0029604B">
      <w:pPr>
        <w:pStyle w:val="BodyText"/>
      </w:pPr>
    </w:p>
    <w:p w:rsidR="00BE61E1" w:rsidRDefault="00BE61E1">
      <w:pPr>
        <w:pStyle w:val="BodyText"/>
        <w:sectPr w:rsidR="00BE61E1" w:rsidSect="00736D91">
          <w:headerReference w:type="default" r:id="rId35"/>
          <w:pgSz w:w="15840" w:h="12240" w:orient="landscape" w:code="1"/>
          <w:pgMar w:top="1440" w:right="1584" w:bottom="1440" w:left="1440" w:header="720" w:footer="720" w:gutter="0"/>
          <w:cols w:space="720"/>
          <w:formProt w:val="0"/>
          <w:docGrid w:linePitch="360"/>
        </w:sectPr>
      </w:pPr>
    </w:p>
    <w:p w:rsidR="00914922" w:rsidRDefault="00A24682" w:rsidP="00B87604">
      <w:r w:rsidRPr="00A24682">
        <w:lastRenderedPageBreak/>
        <w:t xml:space="preserve"> </w:t>
      </w:r>
      <w:r w:rsidR="001A76D7" w:rsidRPr="001A76D7">
        <w:t xml:space="preserve">  </w:t>
      </w:r>
      <w:r w:rsidR="000632B0" w:rsidRPr="000632B0">
        <w:rPr>
          <w:noProof/>
        </w:rPr>
        <w:drawing>
          <wp:inline distT="0" distB="0" distL="0" distR="0" wp14:anchorId="012F6322" wp14:editId="11FACF6B">
            <wp:extent cx="5943600" cy="5876059"/>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5876059"/>
                    </a:xfrm>
                    <a:prstGeom prst="rect">
                      <a:avLst/>
                    </a:prstGeom>
                    <a:noFill/>
                    <a:ln>
                      <a:noFill/>
                    </a:ln>
                  </pic:spPr>
                </pic:pic>
              </a:graphicData>
            </a:graphic>
          </wp:inline>
        </w:drawing>
      </w:r>
      <w:r w:rsidR="001A76D7" w:rsidRPr="001A76D7">
        <w:t xml:space="preserve"> </w:t>
      </w:r>
      <w:r w:rsidR="000152FA" w:rsidRPr="000152FA">
        <w:fldChar w:fldCharType="begin"/>
      </w:r>
      <w:r w:rsidR="000152FA" w:rsidRPr="000152FA">
        <w:instrText xml:space="preserve"> TC  "</w:instrText>
      </w:r>
      <w:bookmarkStart w:id="47" w:name="_Toc32829975"/>
      <w:r w:rsidR="000152FA" w:rsidRPr="000152FA">
        <w:tab/>
        <w:instrText>Schedule No. 3-</w:instrText>
      </w:r>
      <w:r w:rsidR="00D05088">
        <w:instrText>B</w:instrText>
      </w:r>
      <w:bookmarkEnd w:id="47"/>
      <w:r w:rsidR="000152FA" w:rsidRPr="000152FA">
        <w:instrText xml:space="preserve">" \l 1 </w:instrText>
      </w:r>
      <w:r w:rsidR="000152FA" w:rsidRPr="000152FA">
        <w:fldChar w:fldCharType="end"/>
      </w:r>
      <w:r w:rsidR="00BD0142" w:rsidRPr="00BD0142">
        <w:t xml:space="preserve"> </w:t>
      </w:r>
    </w:p>
    <w:p w:rsidR="00914922" w:rsidRDefault="000632B0" w:rsidP="00B87604">
      <w:r w:rsidRPr="000632B0">
        <w:rPr>
          <w:noProof/>
        </w:rPr>
        <w:lastRenderedPageBreak/>
        <w:drawing>
          <wp:inline distT="0" distB="0" distL="0" distR="0" wp14:anchorId="350C8E33" wp14:editId="3DB7FA24">
            <wp:extent cx="5943600" cy="5155623"/>
            <wp:effectExtent l="0" t="0" r="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5155623"/>
                    </a:xfrm>
                    <a:prstGeom prst="rect">
                      <a:avLst/>
                    </a:prstGeom>
                    <a:noFill/>
                    <a:ln>
                      <a:noFill/>
                    </a:ln>
                  </pic:spPr>
                </pic:pic>
              </a:graphicData>
            </a:graphic>
          </wp:inline>
        </w:drawing>
      </w:r>
    </w:p>
    <w:p w:rsidR="00914922" w:rsidRDefault="00914922" w:rsidP="00B87604"/>
    <w:p w:rsidR="00914922" w:rsidRDefault="00914922" w:rsidP="00B87604"/>
    <w:p w:rsidR="000152FA" w:rsidRDefault="00BD0142" w:rsidP="00B87604">
      <w:pPr>
        <w:sectPr w:rsidR="000152FA" w:rsidSect="001A76D7">
          <w:headerReference w:type="default" r:id="rId38"/>
          <w:pgSz w:w="12240" w:h="15840" w:code="1"/>
          <w:pgMar w:top="1584" w:right="1440" w:bottom="1440" w:left="1440" w:header="720" w:footer="720" w:gutter="0"/>
          <w:cols w:space="720"/>
          <w:formProt w:val="0"/>
          <w:docGrid w:linePitch="360"/>
        </w:sectPr>
      </w:pPr>
      <w:r w:rsidRPr="00BD0142">
        <w:t xml:space="preserve"> </w:t>
      </w:r>
    </w:p>
    <w:p w:rsidR="00914922" w:rsidRDefault="00906911" w:rsidP="00914922">
      <w:pPr>
        <w:rPr>
          <w:sz w:val="20"/>
          <w:szCs w:val="20"/>
        </w:rPr>
        <w:sectPr w:rsidR="00914922" w:rsidSect="009B1FE5">
          <w:headerReference w:type="default" r:id="rId39"/>
          <w:pgSz w:w="12240" w:h="15840" w:code="1"/>
          <w:pgMar w:top="1584" w:right="1440" w:bottom="1440" w:left="1440" w:header="720" w:footer="720" w:gutter="0"/>
          <w:cols w:space="720"/>
          <w:formProt w:val="0"/>
          <w:docGrid w:linePitch="360"/>
        </w:sectPr>
      </w:pPr>
      <w:r w:rsidRPr="00906911">
        <w:rPr>
          <w:sz w:val="20"/>
          <w:szCs w:val="20"/>
        </w:rPr>
        <w:lastRenderedPageBreak/>
        <w:fldChar w:fldCharType="begin"/>
      </w:r>
      <w:r w:rsidRPr="00906911">
        <w:rPr>
          <w:sz w:val="20"/>
          <w:szCs w:val="20"/>
        </w:rPr>
        <w:instrText xml:space="preserve"> TC  "</w:instrText>
      </w:r>
      <w:bookmarkStart w:id="48" w:name="_Toc32829976"/>
      <w:r w:rsidRPr="00906911">
        <w:rPr>
          <w:sz w:val="20"/>
          <w:szCs w:val="20"/>
        </w:rPr>
        <w:tab/>
        <w:instrText>Schedule No. 3-</w:instrText>
      </w:r>
      <w:r w:rsidR="00D05088">
        <w:rPr>
          <w:sz w:val="20"/>
          <w:szCs w:val="20"/>
        </w:rPr>
        <w:instrText>C</w:instrText>
      </w:r>
      <w:bookmarkEnd w:id="48"/>
      <w:r w:rsidRPr="00906911">
        <w:rPr>
          <w:sz w:val="20"/>
          <w:szCs w:val="20"/>
        </w:rPr>
        <w:instrText xml:space="preserve">" \l 1 </w:instrText>
      </w:r>
      <w:r w:rsidRPr="00906911">
        <w:rPr>
          <w:sz w:val="20"/>
          <w:szCs w:val="20"/>
        </w:rPr>
        <w:fldChar w:fldCharType="end"/>
      </w:r>
      <w:r w:rsidR="00C40A33" w:rsidRPr="00C40A33">
        <w:rPr>
          <w:sz w:val="20"/>
          <w:szCs w:val="20"/>
        </w:rPr>
        <w:t xml:space="preserve"> </w:t>
      </w:r>
      <w:r w:rsidR="00D05088" w:rsidRPr="00D05088">
        <w:t xml:space="preserve"> </w:t>
      </w:r>
      <w:r w:rsidR="000632B0" w:rsidRPr="000632B0">
        <w:rPr>
          <w:noProof/>
        </w:rPr>
        <w:drawing>
          <wp:inline distT="0" distB="0" distL="0" distR="0" wp14:anchorId="3F807BE0" wp14:editId="3F1D199D">
            <wp:extent cx="5943600" cy="452311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4523117"/>
                    </a:xfrm>
                    <a:prstGeom prst="rect">
                      <a:avLst/>
                    </a:prstGeom>
                    <a:noFill/>
                    <a:ln>
                      <a:noFill/>
                    </a:ln>
                  </pic:spPr>
                </pic:pic>
              </a:graphicData>
            </a:graphic>
          </wp:inline>
        </w:drawing>
      </w:r>
    </w:p>
    <w:p w:rsidR="00914922" w:rsidRDefault="00914922" w:rsidP="00914922">
      <w:pPr>
        <w:rPr>
          <w:sz w:val="20"/>
          <w:szCs w:val="20"/>
        </w:rPr>
      </w:pPr>
      <w:r w:rsidRPr="00906911">
        <w:rPr>
          <w:sz w:val="20"/>
          <w:szCs w:val="20"/>
        </w:rPr>
        <w:lastRenderedPageBreak/>
        <w:fldChar w:fldCharType="begin"/>
      </w:r>
      <w:r w:rsidRPr="00906911">
        <w:rPr>
          <w:sz w:val="20"/>
          <w:szCs w:val="20"/>
        </w:rPr>
        <w:instrText xml:space="preserve"> TC  "</w:instrText>
      </w:r>
      <w:bookmarkStart w:id="49" w:name="_Toc32829977"/>
      <w:r w:rsidRPr="00906911">
        <w:rPr>
          <w:sz w:val="20"/>
          <w:szCs w:val="20"/>
        </w:rPr>
        <w:tab/>
        <w:instrText xml:space="preserve">Schedule No. </w:instrText>
      </w:r>
      <w:r>
        <w:rPr>
          <w:sz w:val="20"/>
          <w:szCs w:val="20"/>
        </w:rPr>
        <w:instrText>4</w:instrText>
      </w:r>
      <w:bookmarkEnd w:id="49"/>
      <w:r w:rsidRPr="00906911">
        <w:rPr>
          <w:sz w:val="20"/>
          <w:szCs w:val="20"/>
        </w:rPr>
        <w:instrText xml:space="preserve">" \l 1 </w:instrText>
      </w:r>
      <w:r w:rsidRPr="00906911">
        <w:rPr>
          <w:sz w:val="20"/>
          <w:szCs w:val="20"/>
        </w:rPr>
        <w:fldChar w:fldCharType="end"/>
      </w:r>
      <w:r>
        <w:rPr>
          <w:noProof/>
          <w:sz w:val="20"/>
          <w:szCs w:val="20"/>
        </w:rPr>
        <w:drawing>
          <wp:inline distT="0" distB="0" distL="0" distR="0" wp14:anchorId="20BB1344" wp14:editId="43DEE208">
            <wp:extent cx="6375862" cy="7813964"/>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74741" cy="7812590"/>
                    </a:xfrm>
                    <a:prstGeom prst="rect">
                      <a:avLst/>
                    </a:prstGeom>
                    <a:noFill/>
                  </pic:spPr>
                </pic:pic>
              </a:graphicData>
            </a:graphic>
          </wp:inline>
        </w:drawing>
      </w:r>
    </w:p>
    <w:sectPr w:rsidR="00914922" w:rsidSect="009B1FE5">
      <w:headerReference w:type="default" r:id="rId4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F17" w:rsidRDefault="00B56F17">
      <w:r>
        <w:separator/>
      </w:r>
    </w:p>
  </w:endnote>
  <w:endnote w:type="continuationSeparator" w:id="0">
    <w:p w:rsidR="00B56F17" w:rsidRDefault="00B5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17" w:rsidRDefault="00B56F17" w:rsidP="003E33BF">
    <w:pPr>
      <w:pStyle w:val="Footer"/>
      <w:tabs>
        <w:tab w:val="clear" w:pos="4320"/>
        <w:tab w:val="clear" w:pos="8640"/>
        <w:tab w:val="center" w:pos="4674"/>
        <w:tab w:val="right" w:pos="9360"/>
      </w:tabs>
    </w:pPr>
  </w:p>
  <w:p w:rsidR="00B56F17" w:rsidRPr="007500F6" w:rsidRDefault="00B56F17" w:rsidP="007500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17" w:rsidRDefault="00B56F17" w:rsidP="007500F6">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3B4D1C">
      <w:rPr>
        <w:rStyle w:val="PageNumber"/>
        <w:noProof/>
      </w:rPr>
      <w:t>3</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17" w:rsidRDefault="00B56F17" w:rsidP="003E33BF">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3B4D1C">
      <w:rPr>
        <w:rStyle w:val="PageNumber"/>
        <w:noProof/>
      </w:rPr>
      <w:t>4</w:t>
    </w:r>
    <w:r>
      <w:rPr>
        <w:rStyle w:val="PageNumber"/>
      </w:rPr>
      <w:fldChar w:fldCharType="end"/>
    </w:r>
    <w:r>
      <w:rPr>
        <w:rStyle w:val="PageNumber"/>
      </w:rPr>
      <w:t xml:space="preserve"> -</w:t>
    </w:r>
  </w:p>
  <w:p w:rsidR="00B56F17" w:rsidRDefault="00B56F17" w:rsidP="003E33BF">
    <w:pPr>
      <w:pStyle w:val="Footer"/>
      <w:tabs>
        <w:tab w:val="clear" w:pos="4320"/>
        <w:tab w:val="clear" w:pos="8640"/>
        <w:tab w:val="center" w:pos="4674"/>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F17" w:rsidRDefault="00B56F17">
      <w:r>
        <w:separator/>
      </w:r>
    </w:p>
  </w:footnote>
  <w:footnote w:type="continuationSeparator" w:id="0">
    <w:p w:rsidR="00B56F17" w:rsidRDefault="00B56F17">
      <w:r>
        <w:continuationSeparator/>
      </w:r>
    </w:p>
  </w:footnote>
  <w:footnote w:id="1">
    <w:p w:rsidR="00B56F17" w:rsidRDefault="00B56F17" w:rsidP="004A2C99">
      <w:pPr>
        <w:pStyle w:val="FootnoteText"/>
      </w:pPr>
      <w:r>
        <w:rPr>
          <w:rStyle w:val="FootnoteReference"/>
        </w:rPr>
        <w:footnoteRef/>
      </w:r>
      <w:proofErr w:type="gramStart"/>
      <w:r w:rsidRPr="00CC079E">
        <w:rPr>
          <w:spacing w:val="1"/>
        </w:rPr>
        <w:t>O</w:t>
      </w:r>
      <w:r w:rsidRPr="00CC079E">
        <w:rPr>
          <w:spacing w:val="-1"/>
        </w:rPr>
        <w:t>r</w:t>
      </w:r>
      <w:r w:rsidRPr="00CC079E">
        <w:rPr>
          <w:spacing w:val="1"/>
        </w:rPr>
        <w:t>d</w:t>
      </w:r>
      <w:r w:rsidRPr="00CC079E">
        <w:t>er No.</w:t>
      </w:r>
      <w:proofErr w:type="gramEnd"/>
      <w:r w:rsidRPr="00CC079E">
        <w:t xml:space="preserve"> PSC-</w:t>
      </w:r>
      <w:r>
        <w:t>2014-0300-</w:t>
      </w:r>
      <w:proofErr w:type="spellStart"/>
      <w:r>
        <w:t>PAA</w:t>
      </w:r>
      <w:proofErr w:type="spellEnd"/>
      <w:r>
        <w:t>-WS</w:t>
      </w:r>
      <w:r w:rsidRPr="00CC079E">
        <w:t>,</w:t>
      </w:r>
      <w:r w:rsidRPr="00CC079E">
        <w:rPr>
          <w:spacing w:val="2"/>
        </w:rPr>
        <w:t xml:space="preserve"> </w:t>
      </w:r>
      <w:r w:rsidRPr="00CC079E">
        <w:t>iss</w:t>
      </w:r>
      <w:r w:rsidRPr="00CC079E">
        <w:rPr>
          <w:spacing w:val="1"/>
        </w:rPr>
        <w:t>u</w:t>
      </w:r>
      <w:r w:rsidRPr="00CC079E">
        <w:t>ed</w:t>
      </w:r>
      <w:r w:rsidRPr="00CC079E">
        <w:rPr>
          <w:spacing w:val="1"/>
        </w:rPr>
        <w:t xml:space="preserve"> </w:t>
      </w:r>
      <w:r>
        <w:rPr>
          <w:spacing w:val="1"/>
        </w:rPr>
        <w:t>June 11, 2014</w:t>
      </w:r>
      <w:r w:rsidRPr="00CC079E">
        <w:t>,</w:t>
      </w:r>
      <w:r w:rsidRPr="00CC079E">
        <w:rPr>
          <w:spacing w:val="2"/>
        </w:rPr>
        <w:t xml:space="preserve"> </w:t>
      </w:r>
      <w:r w:rsidRPr="00CC079E">
        <w:t>in</w:t>
      </w:r>
      <w:r w:rsidRPr="00CC079E">
        <w:rPr>
          <w:spacing w:val="1"/>
        </w:rPr>
        <w:t xml:space="preserve"> Do</w:t>
      </w:r>
      <w:r w:rsidRPr="00CC079E">
        <w:t>c</w:t>
      </w:r>
      <w:r w:rsidRPr="00CC079E">
        <w:rPr>
          <w:spacing w:val="1"/>
        </w:rPr>
        <w:t>k</w:t>
      </w:r>
      <w:r w:rsidRPr="00CC079E">
        <w:t>et</w:t>
      </w:r>
      <w:r w:rsidRPr="00CC079E">
        <w:rPr>
          <w:spacing w:val="2"/>
        </w:rPr>
        <w:t xml:space="preserve"> </w:t>
      </w:r>
      <w:r w:rsidRPr="00CC079E">
        <w:t>N</w:t>
      </w:r>
      <w:r w:rsidRPr="00CC079E">
        <w:rPr>
          <w:spacing w:val="1"/>
        </w:rPr>
        <w:t>o</w:t>
      </w:r>
      <w:r w:rsidRPr="00CC079E">
        <w:t>. 20</w:t>
      </w:r>
      <w:r>
        <w:t>130171-WS</w:t>
      </w:r>
      <w:r w:rsidRPr="00CC079E">
        <w:t>,</w:t>
      </w:r>
      <w:r w:rsidRPr="00CC079E">
        <w:rPr>
          <w:spacing w:val="4"/>
        </w:rPr>
        <w:t xml:space="preserve"> </w:t>
      </w:r>
      <w:r w:rsidRPr="00801688">
        <w:rPr>
          <w:i/>
          <w:spacing w:val="4"/>
        </w:rPr>
        <w:t xml:space="preserve">In re: </w:t>
      </w:r>
      <w:r w:rsidRPr="00521943">
        <w:rPr>
          <w:i/>
        </w:rPr>
        <w:t>Application for approval of transfer of certain water and wastewater facilities and Certificate Nos. 507-W and 441-S of Aqua Utilities Florida, Inc. to The Woods Utility Company in Sumter County.</w:t>
      </w:r>
    </w:p>
  </w:footnote>
  <w:footnote w:id="2">
    <w:p w:rsidR="00B56F17" w:rsidRDefault="00B56F17" w:rsidP="004A2C99">
      <w:pPr>
        <w:pStyle w:val="FootnoteText"/>
      </w:pPr>
      <w:r>
        <w:rPr>
          <w:rStyle w:val="FootnoteReference"/>
        </w:rPr>
        <w:footnoteRef/>
      </w:r>
      <w:r>
        <w:t xml:space="preserve">Document No. </w:t>
      </w:r>
      <w:r w:rsidRPr="00801688">
        <w:t>01005-2016</w:t>
      </w:r>
      <w:r>
        <w:t>, filed February 24, 2016, in Docket No. 20150209-WS</w:t>
      </w:r>
      <w:proofErr w:type="gramStart"/>
      <w:r>
        <w:t xml:space="preserve">, </w:t>
      </w:r>
      <w:r w:rsidRPr="00801688">
        <w:rPr>
          <w:i/>
        </w:rPr>
        <w:t xml:space="preserve"> In</w:t>
      </w:r>
      <w:proofErr w:type="gramEnd"/>
      <w:r w:rsidRPr="00801688">
        <w:rPr>
          <w:i/>
        </w:rPr>
        <w:t xml:space="preserve"> re: Application for staff-assisted rate case in Sumter County by The Woods Utility Company</w:t>
      </w:r>
      <w:r w:rsidRPr="00801688">
        <w:t>.</w:t>
      </w:r>
    </w:p>
  </w:footnote>
  <w:footnote w:id="3">
    <w:p w:rsidR="00B56F17" w:rsidRDefault="00B56F17" w:rsidP="004A2C99">
      <w:pPr>
        <w:pStyle w:val="FootnoteText"/>
      </w:pPr>
      <w:r>
        <w:rPr>
          <w:rStyle w:val="FootnoteReference"/>
        </w:rPr>
        <w:footnoteRef/>
      </w:r>
      <w:r>
        <w:t>Document No. 00709-2016, filed February 4, 2016, in Docket No. 20150209-WS</w:t>
      </w:r>
      <w:proofErr w:type="gramStart"/>
      <w:r>
        <w:t xml:space="preserve">, </w:t>
      </w:r>
      <w:r w:rsidRPr="00801688">
        <w:rPr>
          <w:i/>
        </w:rPr>
        <w:t xml:space="preserve"> In</w:t>
      </w:r>
      <w:proofErr w:type="gramEnd"/>
      <w:r w:rsidRPr="00801688">
        <w:rPr>
          <w:i/>
        </w:rPr>
        <w:t xml:space="preserve"> re: Application for staff-assisted rate case in Sumter County by The Woods Utility Company</w:t>
      </w:r>
      <w:r w:rsidRPr="00801688">
        <w:t>.</w:t>
      </w:r>
    </w:p>
  </w:footnote>
  <w:footnote w:id="4">
    <w:p w:rsidR="00B56F17" w:rsidRPr="00471A2F" w:rsidRDefault="00B56F17" w:rsidP="00AD5C79">
      <w:pPr>
        <w:pStyle w:val="FootnoteText"/>
        <w:rPr>
          <w:i/>
        </w:rPr>
      </w:pPr>
      <w:r>
        <w:rPr>
          <w:rStyle w:val="FootnoteReference"/>
        </w:rPr>
        <w:footnoteRef/>
      </w:r>
      <w:r>
        <w:t xml:space="preserve">Document No. 00561-2020, filed January 27, 2020, in </w:t>
      </w:r>
      <w:r w:rsidRPr="00471A2F">
        <w:t xml:space="preserve">Docket No. 20190125-WS, </w:t>
      </w:r>
      <w:r w:rsidRPr="00471A2F">
        <w:rPr>
          <w:i/>
        </w:rPr>
        <w:t>In re: Application for staff-assisted rate case in Sumter County by The Woods Utility Company.</w:t>
      </w:r>
    </w:p>
  </w:footnote>
  <w:footnote w:id="5">
    <w:p w:rsidR="00B56F17" w:rsidRPr="00B45901" w:rsidRDefault="00B56F17" w:rsidP="002B0C01">
      <w:pPr>
        <w:rPr>
          <w:sz w:val="20"/>
          <w:szCs w:val="20"/>
        </w:rPr>
      </w:pPr>
      <w:r w:rsidRPr="00B45901">
        <w:rPr>
          <w:rStyle w:val="FootnoteReference"/>
          <w:sz w:val="20"/>
          <w:szCs w:val="20"/>
        </w:rPr>
        <w:footnoteRef/>
      </w:r>
      <w:r w:rsidRPr="00B45901">
        <w:rPr>
          <w:sz w:val="20"/>
          <w:szCs w:val="20"/>
        </w:rPr>
        <w:t xml:space="preserve">Document No. 04753-2019, filed June 6, 2019, in Docket No. 20190125-WS, </w:t>
      </w:r>
      <w:r w:rsidRPr="00B45901">
        <w:rPr>
          <w:i/>
          <w:sz w:val="20"/>
          <w:szCs w:val="20"/>
        </w:rPr>
        <w:t>In re: Application for staff-assisted rate case in Sumter County by The Woods Utility Company.</w:t>
      </w:r>
    </w:p>
    <w:p w:rsidR="00B56F17" w:rsidRDefault="00B56F17" w:rsidP="002B0C01">
      <w:pPr>
        <w:pStyle w:val="FootnoteText"/>
      </w:pPr>
    </w:p>
  </w:footnote>
  <w:footnote w:id="6">
    <w:p w:rsidR="00B56F17" w:rsidRDefault="00B56F17" w:rsidP="002B0C01">
      <w:pPr>
        <w:pStyle w:val="FootnoteText"/>
      </w:pPr>
      <w:r>
        <w:rPr>
          <w:rStyle w:val="FootnoteReference"/>
        </w:rPr>
        <w:footnoteRef/>
      </w:r>
      <w:proofErr w:type="gramStart"/>
      <w:r>
        <w:t>Order No.</w:t>
      </w:r>
      <w:proofErr w:type="gramEnd"/>
      <w:r>
        <w:t xml:space="preserve"> PSC-2012-0102-</w:t>
      </w:r>
      <w:proofErr w:type="spellStart"/>
      <w:r>
        <w:t>FOF</w:t>
      </w:r>
      <w:proofErr w:type="spellEnd"/>
      <w:r>
        <w:t xml:space="preserve">-WS, issued March 5, 2012, in Docket No. 20100330-WS, </w:t>
      </w:r>
      <w:r>
        <w:rPr>
          <w:i/>
        </w:rPr>
        <w:t xml:space="preserve">In re: Application for increase in water/wastewater rates in Alachua, Brevard, </w:t>
      </w:r>
      <w:proofErr w:type="spellStart"/>
      <w:r>
        <w:rPr>
          <w:i/>
        </w:rPr>
        <w:t>DeSoto</w:t>
      </w:r>
      <w:proofErr w:type="spellEnd"/>
      <w:r>
        <w:rPr>
          <w:i/>
        </w:rPr>
        <w:t>, Hardee, Highlands, Lake, Lee, Marion, Orange, Palm Beach, Pasco, Polk, Putnam, Seminole, Sumter, Volusia, and Washington Counties by Aqua Utilities Florida, Inc</w:t>
      </w:r>
      <w:r>
        <w:t xml:space="preserve">. </w:t>
      </w:r>
    </w:p>
  </w:footnote>
  <w:footnote w:id="7">
    <w:p w:rsidR="00B56F17" w:rsidRDefault="00B56F17" w:rsidP="00C17C77">
      <w:pPr>
        <w:pStyle w:val="FootnoteText"/>
      </w:pPr>
      <w:r>
        <w:rPr>
          <w:rStyle w:val="FootnoteReference"/>
        </w:rPr>
        <w:footnoteRef/>
      </w:r>
      <w:r>
        <w:t xml:space="preserve">Docket No. 20100330-WS, </w:t>
      </w:r>
      <w:r w:rsidRPr="000D79A1">
        <w:rPr>
          <w:i/>
        </w:rPr>
        <w:t xml:space="preserve"> In re: Application for increase in water/wastewater rates in Alachua, Brevard, </w:t>
      </w:r>
      <w:proofErr w:type="spellStart"/>
      <w:r w:rsidRPr="000D79A1">
        <w:rPr>
          <w:i/>
        </w:rPr>
        <w:t>DeSoto</w:t>
      </w:r>
      <w:proofErr w:type="spellEnd"/>
      <w:r w:rsidRPr="000D79A1">
        <w:rPr>
          <w:i/>
        </w:rPr>
        <w:t>, Hardee, Highlands, Lake, Lee, Marion, Orange, Palm Beach, Pasco, Polk, Putnam, Seminole, Sumter, Volusia, and Washington Counties by Aqua Utilities Florida, Inc</w:t>
      </w:r>
      <w:r w:rsidRPr="000D79A1">
        <w:t>.</w:t>
      </w:r>
    </w:p>
  </w:footnote>
  <w:footnote w:id="8">
    <w:p w:rsidR="00B56F17" w:rsidRPr="00370305" w:rsidRDefault="00B56F17">
      <w:pPr>
        <w:pStyle w:val="FootnoteText"/>
        <w:rPr>
          <w:i/>
        </w:rPr>
      </w:pPr>
      <w:r>
        <w:rPr>
          <w:rStyle w:val="FootnoteReference"/>
        </w:rPr>
        <w:footnoteRef/>
      </w:r>
      <w:proofErr w:type="gramStart"/>
      <w:r>
        <w:t>Order No.</w:t>
      </w:r>
      <w:proofErr w:type="gramEnd"/>
      <w:r>
        <w:t xml:space="preserve"> PSC-2014-0300-</w:t>
      </w:r>
      <w:proofErr w:type="spellStart"/>
      <w:r>
        <w:t>PAA</w:t>
      </w:r>
      <w:proofErr w:type="spellEnd"/>
      <w:r>
        <w:t xml:space="preserve">-WS, issued June 11, 2014, in Docket No. 20130171-WS, </w:t>
      </w:r>
      <w:r>
        <w:rPr>
          <w:i/>
        </w:rPr>
        <w:t xml:space="preserve">In re: </w:t>
      </w:r>
      <w:r w:rsidRPr="009F7FD4">
        <w:rPr>
          <w:i/>
        </w:rPr>
        <w:t>Application for approval of transfer of certain water and wastewater facilities and Certificate Nos. 507-W and 441-S of Aqua Utilities Florida, Inc. to The Woods Utility Company in Sumter County.</w:t>
      </w:r>
    </w:p>
  </w:footnote>
  <w:footnote w:id="9">
    <w:p w:rsidR="00B56F17" w:rsidRDefault="00B56F17" w:rsidP="00C17C77">
      <w:pPr>
        <w:pStyle w:val="FootnoteText"/>
      </w:pPr>
      <w:r>
        <w:rPr>
          <w:rStyle w:val="FootnoteReference"/>
        </w:rPr>
        <w:footnoteRef/>
      </w:r>
      <w:proofErr w:type="gramStart"/>
      <w:r>
        <w:t>Order No.</w:t>
      </w:r>
      <w:proofErr w:type="gramEnd"/>
      <w:r>
        <w:t xml:space="preserve"> PSC-</w:t>
      </w:r>
      <w:r w:rsidRPr="004A25FB">
        <w:t>2019-0267-</w:t>
      </w:r>
      <w:proofErr w:type="spellStart"/>
      <w:r w:rsidRPr="004A25FB">
        <w:t>PAA</w:t>
      </w:r>
      <w:proofErr w:type="spellEnd"/>
      <w:r w:rsidRPr="004A25FB">
        <w:t>-WS</w:t>
      </w:r>
      <w:r>
        <w:t xml:space="preserve">, issued July 1, 2019, in Docket No. 20190006-WS, </w:t>
      </w:r>
      <w:r w:rsidRPr="004A25FB">
        <w:rPr>
          <w:i/>
        </w:rPr>
        <w:t>In re: Water and wastewater industry annual reestablishment of authorized range of return on common equity for water and wastewater utilities</w:t>
      </w:r>
      <w:r>
        <w:rPr>
          <w:i/>
        </w:rPr>
        <w:t xml:space="preserve"> pursuant to Section 367.081(4</w:t>
      </w:r>
      <w:proofErr w:type="gramStart"/>
      <w:r>
        <w:rPr>
          <w:i/>
        </w:rPr>
        <w:t>)</w:t>
      </w:r>
      <w:r w:rsidRPr="004A25FB">
        <w:rPr>
          <w:i/>
        </w:rPr>
        <w:t>(</w:t>
      </w:r>
      <w:proofErr w:type="gramEnd"/>
      <w:r w:rsidRPr="004A25FB">
        <w:rPr>
          <w:i/>
        </w:rPr>
        <w:t xml:space="preserve">f), </w:t>
      </w:r>
      <w:proofErr w:type="spellStart"/>
      <w:r w:rsidRPr="004A25FB">
        <w:rPr>
          <w:i/>
        </w:rPr>
        <w:t>F.S</w:t>
      </w:r>
      <w:proofErr w:type="spellEnd"/>
      <w:r w:rsidRPr="004A25FB">
        <w:rPr>
          <w:i/>
        </w:rPr>
        <w:t>.</w:t>
      </w:r>
    </w:p>
  </w:footnote>
  <w:footnote w:id="10">
    <w:p w:rsidR="00B56F17" w:rsidRDefault="00B56F17" w:rsidP="00AD6D0C">
      <w:pPr>
        <w:pStyle w:val="FootnoteText"/>
      </w:pPr>
      <w:r>
        <w:rPr>
          <w:rStyle w:val="FootnoteReference"/>
        </w:rPr>
        <w:footnoteRef/>
      </w:r>
      <w:r>
        <w:t xml:space="preserve"> The utility filed a 2019</w:t>
      </w:r>
      <w:r w:rsidRPr="00FD3774">
        <w:t xml:space="preserve"> In</w:t>
      </w:r>
      <w:r>
        <w:t>dex that became effective on June 17, 2019.</w:t>
      </w:r>
    </w:p>
  </w:footnote>
  <w:footnote w:id="11">
    <w:p w:rsidR="00B56F17" w:rsidRDefault="00B56F17" w:rsidP="00AD6D0C">
      <w:pPr>
        <w:pStyle w:val="FootnoteText"/>
      </w:pPr>
      <w:r>
        <w:rPr>
          <w:rStyle w:val="FootnoteReference"/>
        </w:rPr>
        <w:footnoteRef/>
      </w:r>
      <w:r>
        <w:t xml:space="preserve"> The general service customer was not being billed for all the water usage due to an error in the billing system.</w:t>
      </w:r>
    </w:p>
  </w:footnote>
  <w:footnote w:id="12">
    <w:p w:rsidR="00B56F17" w:rsidRDefault="00B56F17" w:rsidP="00350FDE">
      <w:pPr>
        <w:pStyle w:val="FootnoteText"/>
      </w:pPr>
      <w:r>
        <w:rPr>
          <w:rStyle w:val="FootnoteReference"/>
        </w:rPr>
        <w:footnoteRef/>
      </w:r>
      <w:r>
        <w:t>Document No. 07319-2019, filed on August 9, 2019, in Docket No. 20190125-WS, at pg. 7.</w:t>
      </w:r>
    </w:p>
  </w:footnote>
  <w:footnote w:id="13">
    <w:p w:rsidR="00B56F17" w:rsidRDefault="00B56F17">
      <w:pPr>
        <w:pStyle w:val="FootnoteText"/>
      </w:pPr>
      <w:r>
        <w:rPr>
          <w:rStyle w:val="FootnoteReference"/>
        </w:rPr>
        <w:footnoteRef/>
      </w:r>
      <w:r w:rsidRPr="00AE44D1">
        <w:t>Document No. 07319-2019, filed on August 9, 2019, in Docket No. 20190125-WS, at pg. 1.</w:t>
      </w:r>
    </w:p>
  </w:footnote>
  <w:footnote w:id="14">
    <w:p w:rsidR="00B56F17" w:rsidRDefault="00B56F17" w:rsidP="00406524">
      <w:pPr>
        <w:pStyle w:val="FootnoteText"/>
      </w:pPr>
      <w:r>
        <w:rPr>
          <w:rStyle w:val="FootnoteReference"/>
        </w:rPr>
        <w:footnoteRef/>
      </w:r>
      <w:r>
        <w:t xml:space="preserve">Document No. 07319-2019, filed August 9, 2019, in Docket No. 20190125-WS. </w:t>
      </w:r>
    </w:p>
  </w:footnote>
  <w:footnote w:id="15">
    <w:p w:rsidR="00B56F17" w:rsidRDefault="00B56F17" w:rsidP="00406524">
      <w:pPr>
        <w:pStyle w:val="FootnoteText"/>
      </w:pPr>
      <w:r>
        <w:rPr>
          <w:rStyle w:val="FootnoteReference"/>
        </w:rPr>
        <w:footnoteRef/>
      </w:r>
      <w:r>
        <w:t xml:space="preserve">Document No. 07319-2019, </w:t>
      </w:r>
      <w:r w:rsidRPr="003E33BF">
        <w:t xml:space="preserve">filed August 9, </w:t>
      </w:r>
      <w:r>
        <w:t xml:space="preserve">2019, in Docket No. 20190125-WS, at </w:t>
      </w:r>
      <w:r w:rsidRPr="009151F1">
        <w:t>pg. 7.</w:t>
      </w:r>
    </w:p>
  </w:footnote>
  <w:footnote w:id="16">
    <w:p w:rsidR="00B56F17" w:rsidRDefault="00B56F17" w:rsidP="00406524">
      <w:pPr>
        <w:pStyle w:val="FootnoteText"/>
      </w:pPr>
      <w:r>
        <w:rPr>
          <w:rStyle w:val="FootnoteReference"/>
        </w:rPr>
        <w:footnoteRef/>
      </w:r>
      <w:proofErr w:type="spellStart"/>
      <w:r>
        <w:t>Tradewinds</w:t>
      </w:r>
      <w:proofErr w:type="spellEnd"/>
      <w:r>
        <w:t xml:space="preserve"> is a Class B utility.</w:t>
      </w:r>
    </w:p>
  </w:footnote>
  <w:footnote w:id="17">
    <w:p w:rsidR="00B56F17" w:rsidRDefault="00B56F17" w:rsidP="00406524">
      <w:pPr>
        <w:pStyle w:val="FootnoteText"/>
      </w:pPr>
      <w:r>
        <w:rPr>
          <w:rStyle w:val="FootnoteReference"/>
        </w:rPr>
        <w:footnoteRef/>
      </w:r>
      <w:r>
        <w:t>Document No. 07319-2019 filed on August 9, 2019, in Docket No. 20190125-WS, at pg. 36.</w:t>
      </w:r>
    </w:p>
  </w:footnote>
  <w:footnote w:id="18">
    <w:p w:rsidR="00B56F17" w:rsidRPr="005E50FD" w:rsidRDefault="00B56F17" w:rsidP="00406524">
      <w:pPr>
        <w:pStyle w:val="FootnoteText"/>
      </w:pPr>
      <w:r w:rsidRPr="005E50FD">
        <w:rPr>
          <w:rStyle w:val="FootnoteReference"/>
        </w:rPr>
        <w:footnoteRef/>
      </w:r>
      <w:r w:rsidRPr="005E50FD">
        <w:t>Gator Waterworks, Inc. and</w:t>
      </w:r>
      <w:r w:rsidRPr="005E50FD">
        <w:rPr>
          <w:i/>
        </w:rPr>
        <w:t xml:space="preserve"> </w:t>
      </w:r>
      <w:r w:rsidRPr="005E50FD">
        <w:t xml:space="preserve">Pine </w:t>
      </w:r>
      <w:proofErr w:type="spellStart"/>
      <w:r w:rsidRPr="005E50FD">
        <w:t>Harbour</w:t>
      </w:r>
      <w:proofErr w:type="spellEnd"/>
      <w:r w:rsidRPr="005E50FD">
        <w:t xml:space="preserve"> Waterworks, Inc. were not included in staff’s calculations </w:t>
      </w:r>
      <w:r>
        <w:t>due to</w:t>
      </w:r>
      <w:r w:rsidRPr="005E50FD">
        <w:t xml:space="preserve"> three years of annual reports not</w:t>
      </w:r>
      <w:r>
        <w:t xml:space="preserve"> being</w:t>
      </w:r>
      <w:r w:rsidRPr="005E50FD">
        <w:t xml:space="preserve"> available for </w:t>
      </w:r>
      <w:r>
        <w:t>either of the utilit</w:t>
      </w:r>
      <w:r w:rsidRPr="005E50FD">
        <w:t>ies.</w:t>
      </w:r>
    </w:p>
  </w:footnote>
  <w:footnote w:id="19">
    <w:p w:rsidR="00B56F17" w:rsidRPr="00D74EDB" w:rsidRDefault="00B56F17" w:rsidP="00406524">
      <w:pPr>
        <w:pStyle w:val="FootnoteText"/>
      </w:pPr>
      <w:r w:rsidRPr="00B12999">
        <w:rPr>
          <w:rStyle w:val="FootnoteReference"/>
        </w:rPr>
        <w:footnoteRef/>
      </w:r>
      <w:r w:rsidRPr="00B12999">
        <w:t xml:space="preserve">Staff did not include </w:t>
      </w:r>
      <w:r w:rsidRPr="00B12999">
        <w:rPr>
          <w:color w:val="000000"/>
        </w:rPr>
        <w:t xml:space="preserve">West Lakeland Wastewater, LLC </w:t>
      </w:r>
      <w:r>
        <w:rPr>
          <w:color w:val="000000"/>
        </w:rPr>
        <w:t>due to</w:t>
      </w:r>
      <w:r w:rsidRPr="00B12999">
        <w:rPr>
          <w:color w:val="000000"/>
        </w:rPr>
        <w:t xml:space="preserve"> three years of annual reports not </w:t>
      </w:r>
      <w:r>
        <w:rPr>
          <w:color w:val="000000"/>
        </w:rPr>
        <w:t xml:space="preserve">being </w:t>
      </w:r>
      <w:r w:rsidRPr="00B12999">
        <w:rPr>
          <w:color w:val="000000"/>
        </w:rPr>
        <w:t>available.</w:t>
      </w:r>
    </w:p>
  </w:footnote>
  <w:footnote w:id="20">
    <w:p w:rsidR="00B56F17" w:rsidRPr="00C46C7E" w:rsidRDefault="00B56F17" w:rsidP="00406524">
      <w:pPr>
        <w:autoSpaceDE w:val="0"/>
        <w:autoSpaceDN w:val="0"/>
        <w:adjustRightInd w:val="0"/>
        <w:rPr>
          <w:i/>
          <w:sz w:val="20"/>
          <w:szCs w:val="20"/>
        </w:rPr>
      </w:pPr>
      <w:r>
        <w:rPr>
          <w:rStyle w:val="FootnoteReference"/>
        </w:rPr>
        <w:footnoteRef/>
      </w:r>
      <w:proofErr w:type="gramStart"/>
      <w:r>
        <w:rPr>
          <w:sz w:val="20"/>
          <w:szCs w:val="20"/>
        </w:rPr>
        <w:t>Order No.</w:t>
      </w:r>
      <w:proofErr w:type="gramEnd"/>
      <w:r>
        <w:rPr>
          <w:sz w:val="20"/>
          <w:szCs w:val="20"/>
        </w:rPr>
        <w:t xml:space="preserve"> PSC-14-0413-</w:t>
      </w:r>
      <w:proofErr w:type="spellStart"/>
      <w:r>
        <w:rPr>
          <w:sz w:val="20"/>
          <w:szCs w:val="20"/>
        </w:rPr>
        <w:t>PAA</w:t>
      </w:r>
      <w:proofErr w:type="spellEnd"/>
      <w:r>
        <w:rPr>
          <w:sz w:val="20"/>
          <w:szCs w:val="20"/>
        </w:rPr>
        <w:t xml:space="preserve">-WS, issued August 14, 2014, in Docket No. 20130153-WS, </w:t>
      </w:r>
      <w:r>
        <w:rPr>
          <w:i/>
          <w:iCs/>
          <w:sz w:val="20"/>
          <w:szCs w:val="20"/>
        </w:rPr>
        <w:t>In re: Application for staff-assisted rate case in Highlands County, by L.P. Utilities Corporation c/o LP Waterworks, Inc.</w:t>
      </w:r>
      <w:r>
        <w:rPr>
          <w:sz w:val="20"/>
          <w:szCs w:val="20"/>
        </w:rPr>
        <w:t>; Order No. PSC-</w:t>
      </w:r>
      <w:r w:rsidRPr="00C46C7E">
        <w:rPr>
          <w:sz w:val="20"/>
          <w:szCs w:val="20"/>
        </w:rPr>
        <w:t>15-0013-</w:t>
      </w:r>
      <w:proofErr w:type="spellStart"/>
      <w:r w:rsidRPr="00C46C7E">
        <w:rPr>
          <w:sz w:val="20"/>
          <w:szCs w:val="20"/>
        </w:rPr>
        <w:t>PAA</w:t>
      </w:r>
      <w:proofErr w:type="spellEnd"/>
      <w:r w:rsidRPr="00C46C7E">
        <w:rPr>
          <w:sz w:val="20"/>
          <w:szCs w:val="20"/>
        </w:rPr>
        <w:t xml:space="preserve">-WS, issued January 2, 2015, in Docket No. 20130194-WS, </w:t>
      </w:r>
      <w:r w:rsidRPr="00C46C7E">
        <w:rPr>
          <w:i/>
          <w:iCs/>
          <w:sz w:val="20"/>
          <w:szCs w:val="20"/>
        </w:rPr>
        <w:t>In re: Application for staff-assisted rate</w:t>
      </w:r>
      <w:r>
        <w:rPr>
          <w:i/>
          <w:iCs/>
          <w:sz w:val="20"/>
          <w:szCs w:val="20"/>
        </w:rPr>
        <w:t xml:space="preserve"> </w:t>
      </w:r>
      <w:r w:rsidRPr="00C46C7E">
        <w:rPr>
          <w:i/>
          <w:iCs/>
          <w:sz w:val="20"/>
          <w:szCs w:val="20"/>
        </w:rPr>
        <w:t>case in Lake County by Lakeside Waterworks, Inc.</w:t>
      </w:r>
      <w:r w:rsidRPr="00C46C7E">
        <w:rPr>
          <w:sz w:val="20"/>
          <w:szCs w:val="20"/>
        </w:rPr>
        <w:t>; Order No. PSC-15-0282-</w:t>
      </w:r>
      <w:proofErr w:type="spellStart"/>
      <w:r w:rsidRPr="00C46C7E">
        <w:rPr>
          <w:sz w:val="20"/>
          <w:szCs w:val="20"/>
        </w:rPr>
        <w:t>PAA</w:t>
      </w:r>
      <w:proofErr w:type="spellEnd"/>
      <w:r w:rsidRPr="00C46C7E">
        <w:rPr>
          <w:sz w:val="20"/>
          <w:szCs w:val="20"/>
        </w:rPr>
        <w:t>-WS, issued July 8, 2015, in</w:t>
      </w:r>
      <w:r>
        <w:rPr>
          <w:sz w:val="20"/>
          <w:szCs w:val="20"/>
        </w:rPr>
        <w:t xml:space="preserve"> </w:t>
      </w:r>
      <w:r w:rsidRPr="00C46C7E">
        <w:rPr>
          <w:sz w:val="20"/>
          <w:szCs w:val="20"/>
        </w:rPr>
        <w:t xml:space="preserve">Docket No. 20140158-WS, </w:t>
      </w:r>
      <w:r w:rsidRPr="00C46C7E">
        <w:rPr>
          <w:i/>
          <w:iCs/>
          <w:sz w:val="20"/>
          <w:szCs w:val="20"/>
        </w:rPr>
        <w:t>In re: Application for increase in water/wastewater rates in Highlands County by HC</w:t>
      </w:r>
      <w:r>
        <w:rPr>
          <w:i/>
          <w:iCs/>
          <w:sz w:val="20"/>
          <w:szCs w:val="20"/>
        </w:rPr>
        <w:t xml:space="preserve"> </w:t>
      </w:r>
      <w:r w:rsidRPr="00C46C7E">
        <w:rPr>
          <w:i/>
          <w:iCs/>
          <w:sz w:val="20"/>
          <w:szCs w:val="20"/>
        </w:rPr>
        <w:t>Waterworks, Inc.</w:t>
      </w:r>
      <w:r w:rsidRPr="00C46C7E">
        <w:rPr>
          <w:sz w:val="20"/>
          <w:szCs w:val="20"/>
        </w:rPr>
        <w:t>; Order No. PSC-15-0329-</w:t>
      </w:r>
      <w:proofErr w:type="spellStart"/>
      <w:r w:rsidRPr="00C46C7E">
        <w:rPr>
          <w:sz w:val="20"/>
          <w:szCs w:val="20"/>
        </w:rPr>
        <w:t>PAA</w:t>
      </w:r>
      <w:proofErr w:type="spellEnd"/>
      <w:r w:rsidRPr="00C46C7E">
        <w:rPr>
          <w:sz w:val="20"/>
          <w:szCs w:val="20"/>
        </w:rPr>
        <w:t xml:space="preserve">-WU, issued August 14, 2015, in Docket </w:t>
      </w:r>
      <w:proofErr w:type="gramStart"/>
      <w:r w:rsidRPr="00C46C7E">
        <w:rPr>
          <w:sz w:val="20"/>
          <w:szCs w:val="20"/>
        </w:rPr>
        <w:t>No</w:t>
      </w:r>
      <w:proofErr w:type="gramEnd"/>
      <w:r w:rsidRPr="00C46C7E">
        <w:rPr>
          <w:sz w:val="20"/>
          <w:szCs w:val="20"/>
        </w:rPr>
        <w:t xml:space="preserve">. 20140186-WU, </w:t>
      </w:r>
      <w:r w:rsidRPr="00C46C7E">
        <w:rPr>
          <w:i/>
          <w:iCs/>
          <w:sz w:val="20"/>
          <w:szCs w:val="20"/>
        </w:rPr>
        <w:t>In re:</w:t>
      </w:r>
      <w:r>
        <w:rPr>
          <w:i/>
          <w:iCs/>
          <w:sz w:val="20"/>
          <w:szCs w:val="20"/>
        </w:rPr>
        <w:t xml:space="preserve"> </w:t>
      </w:r>
      <w:r w:rsidRPr="00C46C7E">
        <w:rPr>
          <w:i/>
          <w:iCs/>
          <w:sz w:val="20"/>
          <w:szCs w:val="20"/>
        </w:rPr>
        <w:t>Application for staff-assisted rate case in Brevard County by Brevard Waterworks, Inc.</w:t>
      </w:r>
      <w:r w:rsidRPr="00C46C7E">
        <w:rPr>
          <w:sz w:val="20"/>
          <w:szCs w:val="20"/>
        </w:rPr>
        <w:t>; Order No. PSC-15-0335-</w:t>
      </w:r>
      <w:r>
        <w:rPr>
          <w:sz w:val="20"/>
          <w:szCs w:val="20"/>
        </w:rPr>
        <w:t xml:space="preserve"> </w:t>
      </w:r>
      <w:proofErr w:type="spellStart"/>
      <w:r w:rsidRPr="00C46C7E">
        <w:rPr>
          <w:sz w:val="20"/>
          <w:szCs w:val="20"/>
        </w:rPr>
        <w:t>PAA</w:t>
      </w:r>
      <w:proofErr w:type="spellEnd"/>
      <w:r w:rsidRPr="00C46C7E">
        <w:rPr>
          <w:sz w:val="20"/>
          <w:szCs w:val="20"/>
        </w:rPr>
        <w:t xml:space="preserve">-WS, issued August 20, 2015, in Docket No. 20140147-WS, </w:t>
      </w:r>
      <w:r w:rsidRPr="00C46C7E">
        <w:rPr>
          <w:i/>
          <w:iCs/>
          <w:sz w:val="20"/>
          <w:szCs w:val="20"/>
        </w:rPr>
        <w:t>In re: Application for staff-assisted rate case in</w:t>
      </w:r>
      <w:r>
        <w:rPr>
          <w:i/>
          <w:iCs/>
          <w:sz w:val="20"/>
          <w:szCs w:val="20"/>
        </w:rPr>
        <w:t xml:space="preserve"> </w:t>
      </w:r>
      <w:r w:rsidRPr="00C46C7E">
        <w:rPr>
          <w:i/>
          <w:iCs/>
          <w:sz w:val="20"/>
          <w:szCs w:val="20"/>
        </w:rPr>
        <w:t xml:space="preserve">Sumter County by Jumper Creek Utility Company.; </w:t>
      </w:r>
      <w:r w:rsidRPr="00C46C7E">
        <w:rPr>
          <w:sz w:val="20"/>
          <w:szCs w:val="20"/>
        </w:rPr>
        <w:t>Order No. PSC-16-0256-</w:t>
      </w:r>
      <w:proofErr w:type="spellStart"/>
      <w:r w:rsidRPr="00C46C7E">
        <w:rPr>
          <w:sz w:val="20"/>
          <w:szCs w:val="20"/>
        </w:rPr>
        <w:t>PAA</w:t>
      </w:r>
      <w:proofErr w:type="spellEnd"/>
      <w:r w:rsidRPr="00C46C7E">
        <w:rPr>
          <w:sz w:val="20"/>
          <w:szCs w:val="20"/>
        </w:rPr>
        <w:t>-WU, issued June 30, 2016, in</w:t>
      </w:r>
      <w:r>
        <w:rPr>
          <w:sz w:val="20"/>
          <w:szCs w:val="20"/>
        </w:rPr>
        <w:t xml:space="preserve"> </w:t>
      </w:r>
      <w:r w:rsidRPr="00C46C7E">
        <w:rPr>
          <w:sz w:val="20"/>
          <w:szCs w:val="20"/>
        </w:rPr>
        <w:t xml:space="preserve">Docket </w:t>
      </w:r>
      <w:proofErr w:type="gramStart"/>
      <w:r w:rsidRPr="00C46C7E">
        <w:rPr>
          <w:sz w:val="20"/>
          <w:szCs w:val="20"/>
        </w:rPr>
        <w:t>No</w:t>
      </w:r>
      <w:proofErr w:type="gramEnd"/>
      <w:r w:rsidRPr="00C46C7E">
        <w:rPr>
          <w:sz w:val="20"/>
          <w:szCs w:val="20"/>
        </w:rPr>
        <w:t xml:space="preserve">. 20150199-WU, </w:t>
      </w:r>
      <w:r w:rsidRPr="00C46C7E">
        <w:rPr>
          <w:i/>
          <w:iCs/>
          <w:sz w:val="20"/>
          <w:szCs w:val="20"/>
        </w:rPr>
        <w:t>In re: Application for staff-assisted rate case in Lake County by Raintree Waterworks,</w:t>
      </w:r>
      <w:r>
        <w:rPr>
          <w:i/>
          <w:iCs/>
          <w:sz w:val="20"/>
          <w:szCs w:val="20"/>
        </w:rPr>
        <w:t xml:space="preserve"> </w:t>
      </w:r>
      <w:r w:rsidRPr="00C46C7E">
        <w:rPr>
          <w:i/>
          <w:iCs/>
          <w:sz w:val="20"/>
          <w:szCs w:val="20"/>
        </w:rPr>
        <w:t>Inc.</w:t>
      </w:r>
      <w:r w:rsidRPr="00C46C7E">
        <w:rPr>
          <w:sz w:val="20"/>
          <w:szCs w:val="20"/>
        </w:rPr>
        <w:t>; Order No. PSC-16-0305-</w:t>
      </w:r>
      <w:proofErr w:type="spellStart"/>
      <w:r w:rsidRPr="00C46C7E">
        <w:rPr>
          <w:sz w:val="20"/>
          <w:szCs w:val="20"/>
        </w:rPr>
        <w:t>PAA</w:t>
      </w:r>
      <w:proofErr w:type="spellEnd"/>
      <w:r w:rsidRPr="00C46C7E">
        <w:rPr>
          <w:sz w:val="20"/>
          <w:szCs w:val="20"/>
        </w:rPr>
        <w:t xml:space="preserve">-WU, issued July 28, 2016, in Docket </w:t>
      </w:r>
      <w:proofErr w:type="gramStart"/>
      <w:r w:rsidRPr="00C46C7E">
        <w:rPr>
          <w:sz w:val="20"/>
          <w:szCs w:val="20"/>
        </w:rPr>
        <w:t>No</w:t>
      </w:r>
      <w:proofErr w:type="gramEnd"/>
      <w:r w:rsidRPr="00C46C7E">
        <w:rPr>
          <w:sz w:val="20"/>
          <w:szCs w:val="20"/>
        </w:rPr>
        <w:t xml:space="preserve">. 20150236-WU, </w:t>
      </w:r>
      <w:r w:rsidRPr="00C46C7E">
        <w:rPr>
          <w:i/>
          <w:iCs/>
          <w:sz w:val="20"/>
          <w:szCs w:val="20"/>
        </w:rPr>
        <w:t>In re: Application for</w:t>
      </w:r>
      <w:r>
        <w:rPr>
          <w:i/>
          <w:iCs/>
          <w:sz w:val="20"/>
          <w:szCs w:val="20"/>
        </w:rPr>
        <w:t xml:space="preserve"> </w:t>
      </w:r>
      <w:r w:rsidRPr="00C46C7E">
        <w:rPr>
          <w:i/>
          <w:iCs/>
          <w:sz w:val="20"/>
          <w:szCs w:val="20"/>
        </w:rPr>
        <w:t>staff-assisted rate case in Lake County, by Lake Idlewild Utility Company.</w:t>
      </w:r>
      <w:r w:rsidRPr="00C46C7E">
        <w:rPr>
          <w:sz w:val="20"/>
          <w:szCs w:val="20"/>
        </w:rPr>
        <w:t>; Order No. PSC-2017-0334-</w:t>
      </w:r>
      <w:proofErr w:type="spellStart"/>
      <w:r w:rsidRPr="00C46C7E">
        <w:rPr>
          <w:sz w:val="20"/>
          <w:szCs w:val="20"/>
        </w:rPr>
        <w:t>PAA</w:t>
      </w:r>
      <w:proofErr w:type="spellEnd"/>
      <w:r w:rsidRPr="00C46C7E">
        <w:rPr>
          <w:sz w:val="20"/>
          <w:szCs w:val="20"/>
        </w:rPr>
        <w:t>-WS,</w:t>
      </w:r>
      <w:r>
        <w:rPr>
          <w:sz w:val="20"/>
          <w:szCs w:val="20"/>
        </w:rPr>
        <w:t xml:space="preserve"> </w:t>
      </w:r>
      <w:r w:rsidRPr="00C46C7E">
        <w:rPr>
          <w:sz w:val="20"/>
          <w:szCs w:val="20"/>
        </w:rPr>
        <w:t xml:space="preserve">issued August 23, 2017, in Docket No. 20160222-WS, </w:t>
      </w:r>
      <w:r w:rsidRPr="00C46C7E">
        <w:rPr>
          <w:i/>
          <w:iCs/>
          <w:sz w:val="20"/>
          <w:szCs w:val="20"/>
        </w:rPr>
        <w:t>In re: Application for staff-assisted rate case in Highlands</w:t>
      </w:r>
      <w:r>
        <w:rPr>
          <w:i/>
          <w:iCs/>
          <w:sz w:val="20"/>
          <w:szCs w:val="20"/>
        </w:rPr>
        <w:t xml:space="preserve"> </w:t>
      </w:r>
      <w:r w:rsidRPr="00C46C7E">
        <w:rPr>
          <w:i/>
          <w:iCs/>
          <w:sz w:val="20"/>
          <w:szCs w:val="20"/>
        </w:rPr>
        <w:t xml:space="preserve">County by LP Waterworks, Inc.; </w:t>
      </w:r>
      <w:r w:rsidRPr="00C46C7E">
        <w:rPr>
          <w:sz w:val="20"/>
          <w:szCs w:val="20"/>
        </w:rPr>
        <w:t>Order No. PSC-2017-0428-</w:t>
      </w:r>
      <w:proofErr w:type="spellStart"/>
      <w:r w:rsidRPr="00C46C7E">
        <w:rPr>
          <w:sz w:val="20"/>
          <w:szCs w:val="20"/>
        </w:rPr>
        <w:t>PAA</w:t>
      </w:r>
      <w:proofErr w:type="spellEnd"/>
      <w:r w:rsidRPr="00C46C7E">
        <w:rPr>
          <w:sz w:val="20"/>
          <w:szCs w:val="20"/>
        </w:rPr>
        <w:t>-WS, issued November 7, 2017, in Docket No.</w:t>
      </w:r>
      <w:r>
        <w:rPr>
          <w:sz w:val="20"/>
          <w:szCs w:val="20"/>
        </w:rPr>
        <w:t xml:space="preserve"> </w:t>
      </w:r>
      <w:r w:rsidRPr="00C46C7E">
        <w:rPr>
          <w:sz w:val="20"/>
          <w:szCs w:val="20"/>
        </w:rPr>
        <w:t xml:space="preserve">20160195-WS, </w:t>
      </w:r>
      <w:r w:rsidRPr="00C46C7E">
        <w:rPr>
          <w:i/>
          <w:iCs/>
          <w:sz w:val="20"/>
          <w:szCs w:val="20"/>
        </w:rPr>
        <w:t xml:space="preserve">In re: Application for staff-assisted rate case in Lake County by Lakeside Waterworks, Inc.; </w:t>
      </w:r>
      <w:r w:rsidRPr="00C46C7E">
        <w:rPr>
          <w:sz w:val="20"/>
          <w:szCs w:val="20"/>
        </w:rPr>
        <w:t>Order No. PSC-2018-0552-</w:t>
      </w:r>
      <w:proofErr w:type="spellStart"/>
      <w:r w:rsidRPr="00C46C7E">
        <w:rPr>
          <w:sz w:val="20"/>
          <w:szCs w:val="20"/>
        </w:rPr>
        <w:t>PAA</w:t>
      </w:r>
      <w:proofErr w:type="spellEnd"/>
      <w:r w:rsidRPr="00C46C7E">
        <w:rPr>
          <w:sz w:val="20"/>
          <w:szCs w:val="20"/>
        </w:rPr>
        <w:t xml:space="preserve">-WU, issued November 19, 2018, in Docket No. 20180022-WU, </w:t>
      </w:r>
      <w:r w:rsidRPr="00C46C7E">
        <w:rPr>
          <w:i/>
          <w:sz w:val="20"/>
          <w:szCs w:val="20"/>
        </w:rPr>
        <w:t xml:space="preserve">In re: Application for staff-assisted rate case in Lake County by Pine </w:t>
      </w:r>
      <w:proofErr w:type="spellStart"/>
      <w:r w:rsidRPr="00C46C7E">
        <w:rPr>
          <w:i/>
          <w:sz w:val="20"/>
          <w:szCs w:val="20"/>
        </w:rPr>
        <w:t>Harbour</w:t>
      </w:r>
      <w:proofErr w:type="spellEnd"/>
      <w:r w:rsidRPr="00C46C7E">
        <w:rPr>
          <w:i/>
          <w:sz w:val="20"/>
          <w:szCs w:val="20"/>
        </w:rPr>
        <w:t xml:space="preserve"> Waterworks,</w:t>
      </w:r>
      <w:r>
        <w:rPr>
          <w:i/>
          <w:sz w:val="20"/>
          <w:szCs w:val="20"/>
        </w:rPr>
        <w:t xml:space="preserve"> </w:t>
      </w:r>
      <w:r w:rsidRPr="00C46C7E">
        <w:rPr>
          <w:i/>
          <w:sz w:val="20"/>
          <w:szCs w:val="20"/>
        </w:rPr>
        <w:t xml:space="preserve">Inc.; </w:t>
      </w:r>
      <w:r w:rsidRPr="0017668A">
        <w:rPr>
          <w:sz w:val="20"/>
          <w:szCs w:val="20"/>
        </w:rPr>
        <w:t>and</w:t>
      </w:r>
      <w:r w:rsidRPr="00C46C7E">
        <w:rPr>
          <w:i/>
          <w:sz w:val="20"/>
          <w:szCs w:val="20"/>
        </w:rPr>
        <w:t xml:space="preserve"> </w:t>
      </w:r>
      <w:r w:rsidRPr="00C46C7E">
        <w:rPr>
          <w:sz w:val="20"/>
          <w:szCs w:val="20"/>
        </w:rPr>
        <w:t>O</w:t>
      </w:r>
      <w:r>
        <w:rPr>
          <w:sz w:val="20"/>
          <w:szCs w:val="20"/>
        </w:rPr>
        <w:t>rder</w:t>
      </w:r>
      <w:r w:rsidRPr="00C46C7E">
        <w:rPr>
          <w:sz w:val="20"/>
          <w:szCs w:val="20"/>
        </w:rPr>
        <w:t xml:space="preserve"> N</w:t>
      </w:r>
      <w:r>
        <w:rPr>
          <w:sz w:val="20"/>
          <w:szCs w:val="20"/>
        </w:rPr>
        <w:t>o</w:t>
      </w:r>
      <w:r w:rsidRPr="00C46C7E">
        <w:rPr>
          <w:sz w:val="20"/>
          <w:szCs w:val="20"/>
        </w:rPr>
        <w:t xml:space="preserve">. </w:t>
      </w:r>
      <w:bookmarkStart w:id="28" w:name="OrderNo0553"/>
      <w:r w:rsidRPr="00C46C7E">
        <w:rPr>
          <w:sz w:val="20"/>
          <w:szCs w:val="20"/>
        </w:rPr>
        <w:t>PSC-2018-0553-</w:t>
      </w:r>
      <w:proofErr w:type="spellStart"/>
      <w:r w:rsidRPr="00C46C7E">
        <w:rPr>
          <w:sz w:val="20"/>
          <w:szCs w:val="20"/>
        </w:rPr>
        <w:t>PAA</w:t>
      </w:r>
      <w:proofErr w:type="spellEnd"/>
      <w:r w:rsidRPr="00C46C7E">
        <w:rPr>
          <w:sz w:val="20"/>
          <w:szCs w:val="20"/>
        </w:rPr>
        <w:t>-WU</w:t>
      </w:r>
      <w:bookmarkEnd w:id="28"/>
      <w:r w:rsidRPr="00C46C7E">
        <w:rPr>
          <w:sz w:val="20"/>
          <w:szCs w:val="20"/>
        </w:rPr>
        <w:t xml:space="preserve">, issued November 19, 2018, in Docket No. </w:t>
      </w:r>
      <w:bookmarkStart w:id="29" w:name="SSDocketNo"/>
      <w:bookmarkEnd w:id="29"/>
      <w:r w:rsidRPr="00C46C7E">
        <w:rPr>
          <w:sz w:val="20"/>
          <w:szCs w:val="20"/>
        </w:rPr>
        <w:t xml:space="preserve">20180021-WU, </w:t>
      </w:r>
      <w:r w:rsidRPr="00C46C7E">
        <w:rPr>
          <w:i/>
          <w:sz w:val="20"/>
          <w:szCs w:val="20"/>
        </w:rPr>
        <w:t xml:space="preserve">In re: </w:t>
      </w:r>
      <w:bookmarkStart w:id="30" w:name="SSInRe"/>
      <w:bookmarkEnd w:id="30"/>
      <w:r w:rsidRPr="00C46C7E">
        <w:rPr>
          <w:i/>
          <w:sz w:val="20"/>
          <w:szCs w:val="20"/>
        </w:rPr>
        <w:t>Application for staff-assisted rate case in Highlands County by Country Walk Utilities, Inc.</w:t>
      </w:r>
    </w:p>
  </w:footnote>
  <w:footnote w:id="21">
    <w:p w:rsidR="00B56F17" w:rsidRPr="00B42954" w:rsidRDefault="00B56F17" w:rsidP="00406524">
      <w:pPr>
        <w:pStyle w:val="FootnoteText"/>
      </w:pPr>
      <w:r>
        <w:rPr>
          <w:rStyle w:val="FootnoteReference"/>
        </w:rPr>
        <w:footnoteRef/>
      </w:r>
      <w:r w:rsidRPr="00B42954">
        <w:t xml:space="preserve">Docket No. 20190114-WU, </w:t>
      </w:r>
      <w:r w:rsidRPr="00B42954">
        <w:rPr>
          <w:i/>
        </w:rPr>
        <w:t>In re: Application for staff-assisted rate case in Alachua County, and request for interim rate increase by Gator Waterworks, Inc.</w:t>
      </w:r>
      <w:r w:rsidRPr="00B42954">
        <w:t>; and</w:t>
      </w:r>
      <w:r w:rsidRPr="00B42954">
        <w:rPr>
          <w:color w:val="FF0000"/>
        </w:rPr>
        <w:t xml:space="preserve"> </w:t>
      </w:r>
      <w:r w:rsidRPr="00B42954">
        <w:t xml:space="preserve">Docket No. 20190116-SU, </w:t>
      </w:r>
      <w:r w:rsidRPr="00B42954">
        <w:rPr>
          <w:i/>
        </w:rPr>
        <w:t>In re: Application for staff-assisted rate case in Brevard County, and request for interim rate increase by Merritt Island Utility Company.</w:t>
      </w:r>
    </w:p>
  </w:footnote>
  <w:footnote w:id="22">
    <w:p w:rsidR="00B56F17" w:rsidRDefault="00B56F17" w:rsidP="00406524">
      <w:pPr>
        <w:pStyle w:val="FootnoteText"/>
      </w:pPr>
      <w:r>
        <w:rPr>
          <w:rStyle w:val="FootnoteReference"/>
        </w:rPr>
        <w:footnoteRef/>
      </w:r>
      <w:r>
        <w:t xml:space="preserve">Docket No. 20190166-WS, </w:t>
      </w:r>
      <w:r w:rsidRPr="00CD3096">
        <w:rPr>
          <w:i/>
        </w:rPr>
        <w:t>In re: Application for increase in water rates in Highlands County by HC Waterworks, Inc.</w:t>
      </w:r>
    </w:p>
  </w:footnote>
  <w:footnote w:id="23">
    <w:p w:rsidR="00B56F17" w:rsidRDefault="00B56F17">
      <w:pPr>
        <w:pStyle w:val="FootnoteText"/>
      </w:pPr>
      <w:r>
        <w:rPr>
          <w:rStyle w:val="FootnoteReference"/>
        </w:rPr>
        <w:footnoteRef/>
      </w:r>
      <w:r>
        <w:t>Average person per household was obtained from www.census.gov/quickfacts/sumtercountyflorida</w:t>
      </w:r>
    </w:p>
  </w:footnote>
  <w:footnote w:id="24">
    <w:p w:rsidR="00B56F17" w:rsidRPr="00DB010A" w:rsidRDefault="00B56F17" w:rsidP="0043068D">
      <w:pPr>
        <w:autoSpaceDE w:val="0"/>
        <w:autoSpaceDN w:val="0"/>
        <w:adjustRightInd w:val="0"/>
        <w:rPr>
          <w:i/>
          <w:iCs/>
          <w:sz w:val="20"/>
          <w:szCs w:val="20"/>
        </w:rPr>
      </w:pPr>
      <w:r>
        <w:rPr>
          <w:rStyle w:val="FootnoteReference"/>
        </w:rPr>
        <w:footnoteRef/>
      </w:r>
      <w:proofErr w:type="gramStart"/>
      <w:r w:rsidRPr="00DB010A">
        <w:rPr>
          <w:sz w:val="20"/>
          <w:szCs w:val="20"/>
        </w:rPr>
        <w:t>Order No.</w:t>
      </w:r>
      <w:proofErr w:type="gramEnd"/>
      <w:r w:rsidRPr="00DB010A">
        <w:rPr>
          <w:sz w:val="20"/>
          <w:szCs w:val="20"/>
        </w:rPr>
        <w:t xml:space="preserve"> PSC-15-0142-</w:t>
      </w:r>
      <w:proofErr w:type="spellStart"/>
      <w:r w:rsidRPr="00DB010A">
        <w:rPr>
          <w:sz w:val="20"/>
          <w:szCs w:val="20"/>
        </w:rPr>
        <w:t>PAA</w:t>
      </w:r>
      <w:proofErr w:type="spellEnd"/>
      <w:r w:rsidRPr="00DB010A">
        <w:rPr>
          <w:sz w:val="20"/>
          <w:szCs w:val="20"/>
        </w:rPr>
        <w:t>-SU, issued March 26,</w:t>
      </w:r>
      <w:r>
        <w:rPr>
          <w:sz w:val="20"/>
          <w:szCs w:val="20"/>
        </w:rPr>
        <w:t xml:space="preserve"> </w:t>
      </w:r>
      <w:r w:rsidRPr="00DB010A">
        <w:rPr>
          <w:sz w:val="20"/>
          <w:szCs w:val="20"/>
        </w:rPr>
        <w:t xml:space="preserve">2015, in Docket No. 130178-SU, </w:t>
      </w:r>
      <w:r w:rsidRPr="00DB010A">
        <w:rPr>
          <w:i/>
          <w:iCs/>
          <w:sz w:val="20"/>
          <w:szCs w:val="20"/>
        </w:rPr>
        <w:t>In re</w:t>
      </w:r>
      <w:r>
        <w:rPr>
          <w:i/>
          <w:iCs/>
          <w:sz w:val="20"/>
          <w:szCs w:val="20"/>
        </w:rPr>
        <w:t xml:space="preserve">: Application for staff assisted </w:t>
      </w:r>
      <w:r w:rsidRPr="00DB010A">
        <w:rPr>
          <w:i/>
          <w:iCs/>
          <w:sz w:val="20"/>
          <w:szCs w:val="20"/>
        </w:rPr>
        <w:t>rate case in Polk County by Crooked Lake Park Sewerage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17" w:rsidRDefault="00B56F17" w:rsidP="00420079">
    <w:pPr>
      <w:pStyle w:val="Header"/>
    </w:pPr>
    <w:r>
      <w:t xml:space="preserve">Docket No. 20190125-WS </w:t>
    </w:r>
  </w:p>
  <w:p w:rsidR="00B56F17" w:rsidRDefault="00B56F17" w:rsidP="00420079">
    <w:pPr>
      <w:pStyle w:val="Header"/>
    </w:pPr>
    <w:r>
      <w:t>Date: February 20, 2020</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17" w:rsidRPr="00E13B68" w:rsidRDefault="00B56F17" w:rsidP="00E13B68">
    <w:pPr>
      <w:pStyle w:val="Header"/>
      <w:tabs>
        <w:tab w:val="right" w:pos="9360"/>
      </w:tabs>
      <w:rPr>
        <w:bCs/>
      </w:rPr>
    </w:pPr>
    <w:r w:rsidRPr="00420079">
      <w:t>Docket No. 20190125-WS</w:t>
    </w:r>
    <w:r>
      <w:tab/>
    </w:r>
    <w:r>
      <w:tab/>
    </w:r>
    <w:r>
      <w:tab/>
    </w:r>
    <w:r>
      <w:rPr>
        <w:bCs/>
      </w:rPr>
      <w:t>Issue 9</w:t>
    </w:r>
  </w:p>
  <w:p w:rsidR="00B56F17" w:rsidRDefault="00B56F17">
    <w:pPr>
      <w:pStyle w:val="Header"/>
    </w:pPr>
    <w:r>
      <w:t xml:space="preserve">Date: </w:t>
    </w:r>
    <w:fldSimple w:instr=" REF FilingDate ">
      <w:r w:rsidR="00B51302">
        <w:t>February 20, 2020</w:t>
      </w:r>
    </w:fldSimple>
    <w: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17" w:rsidRPr="00E13B68" w:rsidRDefault="00B56F17" w:rsidP="00E13B68">
    <w:pPr>
      <w:pStyle w:val="Header"/>
      <w:tabs>
        <w:tab w:val="right" w:pos="9360"/>
      </w:tabs>
      <w:rPr>
        <w:bCs/>
      </w:rPr>
    </w:pPr>
    <w:r w:rsidRPr="00420079">
      <w:t>Docket No. 20190125-WS</w:t>
    </w:r>
    <w:r>
      <w:tab/>
    </w:r>
    <w:r>
      <w:tab/>
    </w:r>
    <w:r>
      <w:tab/>
    </w:r>
    <w:r>
      <w:rPr>
        <w:bCs/>
      </w:rPr>
      <w:t>Issue 10</w:t>
    </w:r>
  </w:p>
  <w:p w:rsidR="00B56F17" w:rsidRDefault="00B56F17">
    <w:pPr>
      <w:pStyle w:val="Header"/>
    </w:pPr>
    <w:r>
      <w:t xml:space="preserve">Date: </w:t>
    </w:r>
    <w:fldSimple w:instr=" REF FilingDate ">
      <w:r w:rsidR="00B51302">
        <w:t>February 20, 2020</w:t>
      </w:r>
    </w:fldSimple>
    <w: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17" w:rsidRPr="00E13B68" w:rsidRDefault="00B56F17" w:rsidP="00E13B68">
    <w:pPr>
      <w:pStyle w:val="Header"/>
      <w:tabs>
        <w:tab w:val="right" w:pos="9360"/>
      </w:tabs>
      <w:rPr>
        <w:bCs/>
      </w:rPr>
    </w:pPr>
    <w:r w:rsidRPr="00420079">
      <w:t>Docket No. 20190125-WS</w:t>
    </w:r>
    <w:r>
      <w:tab/>
    </w:r>
    <w:r>
      <w:tab/>
    </w:r>
    <w:r>
      <w:tab/>
    </w:r>
    <w:r>
      <w:rPr>
        <w:bCs/>
      </w:rPr>
      <w:t>Issue 11</w:t>
    </w:r>
  </w:p>
  <w:p w:rsidR="00B56F17" w:rsidRDefault="00B56F17">
    <w:pPr>
      <w:pStyle w:val="Header"/>
    </w:pPr>
    <w:r>
      <w:t xml:space="preserve">Date: </w:t>
    </w:r>
    <w:fldSimple w:instr=" REF FilingDate ">
      <w:r w:rsidR="00B51302">
        <w:t>February 20, 2020</w:t>
      </w:r>
    </w:fldSimple>
    <w: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17" w:rsidRPr="00E13B68" w:rsidRDefault="00B56F17" w:rsidP="00E13B68">
    <w:pPr>
      <w:pStyle w:val="Header"/>
      <w:tabs>
        <w:tab w:val="right" w:pos="9360"/>
      </w:tabs>
      <w:rPr>
        <w:bCs/>
      </w:rPr>
    </w:pPr>
    <w:r w:rsidRPr="00420079">
      <w:t>Docket No. 20190125-WS</w:t>
    </w:r>
    <w:r>
      <w:tab/>
    </w:r>
    <w:r>
      <w:tab/>
    </w:r>
    <w:r>
      <w:tab/>
    </w:r>
    <w:r>
      <w:rPr>
        <w:bCs/>
      </w:rPr>
      <w:t>Issue 12</w:t>
    </w:r>
  </w:p>
  <w:p w:rsidR="00B56F17" w:rsidRDefault="00B56F17">
    <w:pPr>
      <w:pStyle w:val="Header"/>
    </w:pPr>
    <w:r>
      <w:t xml:space="preserve">Date: </w:t>
    </w:r>
    <w:fldSimple w:instr=" REF FilingDate ">
      <w:r w:rsidR="00B51302">
        <w:t>February 20, 2020</w:t>
      </w:r>
    </w:fldSimple>
    <w: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17" w:rsidRPr="00E13B68" w:rsidRDefault="00B56F17" w:rsidP="00E13B68">
    <w:pPr>
      <w:pStyle w:val="Header"/>
      <w:tabs>
        <w:tab w:val="right" w:pos="9360"/>
      </w:tabs>
      <w:rPr>
        <w:bCs/>
      </w:rPr>
    </w:pPr>
    <w:r w:rsidRPr="00420079">
      <w:t>Docket No. 20190125-WS</w:t>
    </w:r>
    <w:r>
      <w:tab/>
    </w:r>
    <w:r>
      <w:tab/>
    </w:r>
    <w:r>
      <w:tab/>
    </w:r>
    <w:r>
      <w:rPr>
        <w:bCs/>
      </w:rPr>
      <w:t>Issue 13</w:t>
    </w:r>
  </w:p>
  <w:p w:rsidR="00B56F17" w:rsidRDefault="00B56F17">
    <w:pPr>
      <w:pStyle w:val="Header"/>
    </w:pPr>
    <w:r>
      <w:t xml:space="preserve">Date: </w:t>
    </w:r>
    <w:fldSimple w:instr=" REF FilingDate ">
      <w:r w:rsidR="00B51302">
        <w:t>February 20, 2020</w:t>
      </w:r>
    </w:fldSimple>
    <w: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17" w:rsidRPr="00E13B68" w:rsidRDefault="00B56F17" w:rsidP="00E13B68">
    <w:pPr>
      <w:pStyle w:val="Header"/>
      <w:tabs>
        <w:tab w:val="right" w:pos="9360"/>
      </w:tabs>
      <w:rPr>
        <w:bCs/>
      </w:rPr>
    </w:pPr>
    <w:r w:rsidRPr="00420079">
      <w:t>Docket No. 20190125-WS</w:t>
    </w:r>
    <w:r>
      <w:tab/>
    </w:r>
    <w:r>
      <w:tab/>
    </w:r>
    <w:r>
      <w:tab/>
    </w:r>
    <w:r>
      <w:rPr>
        <w:bCs/>
      </w:rPr>
      <w:t>Issue 14</w:t>
    </w:r>
  </w:p>
  <w:p w:rsidR="00B56F17" w:rsidRDefault="00B56F17">
    <w:pPr>
      <w:pStyle w:val="Header"/>
    </w:pPr>
    <w:r>
      <w:t xml:space="preserve">Date: </w:t>
    </w:r>
    <w:fldSimple w:instr=" REF FilingDate ">
      <w:r w:rsidR="00B51302">
        <w:t>February 20, 2020</w:t>
      </w:r>
    </w:fldSimple>
    <w: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17" w:rsidRPr="00E13B68" w:rsidRDefault="00B56F17" w:rsidP="00E13B68">
    <w:pPr>
      <w:pStyle w:val="Header"/>
      <w:tabs>
        <w:tab w:val="right" w:pos="9360"/>
      </w:tabs>
      <w:rPr>
        <w:bCs/>
      </w:rPr>
    </w:pPr>
    <w:r w:rsidRPr="00420079">
      <w:t>Docket No. 20190125-WS</w:t>
    </w:r>
    <w:r>
      <w:tab/>
    </w:r>
    <w:r>
      <w:tab/>
    </w:r>
    <w:r>
      <w:rPr>
        <w:bCs/>
      </w:rPr>
      <w:t>Schedule No. 1-A</w:t>
    </w:r>
  </w:p>
  <w:p w:rsidR="00B56F17" w:rsidRDefault="00B56F17">
    <w:pPr>
      <w:pStyle w:val="Header"/>
    </w:pPr>
    <w:r>
      <w:t xml:space="preserve">Date: </w:t>
    </w:r>
    <w:fldSimple w:instr=" REF FilingDate ">
      <w:r w:rsidR="00B51302">
        <w:t>February 20, 2020</w:t>
      </w:r>
    </w:fldSimple>
    <w:r>
      <w:t>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17" w:rsidRPr="00E13B68" w:rsidRDefault="00B56F17" w:rsidP="00E13B68">
    <w:pPr>
      <w:pStyle w:val="Header"/>
      <w:tabs>
        <w:tab w:val="right" w:pos="9360"/>
      </w:tabs>
      <w:rPr>
        <w:bCs/>
      </w:rPr>
    </w:pPr>
    <w:r w:rsidRPr="00420079">
      <w:t>Docket No. 20190125-WS</w:t>
    </w:r>
    <w:r>
      <w:tab/>
    </w:r>
    <w:r>
      <w:tab/>
      <w:t xml:space="preserve">                         </w:t>
    </w:r>
    <w:r>
      <w:rPr>
        <w:bCs/>
      </w:rPr>
      <w:t>Schedule No. 1-B</w:t>
    </w:r>
  </w:p>
  <w:p w:rsidR="00B56F17" w:rsidRDefault="00B56F17" w:rsidP="00B85519">
    <w:pPr>
      <w:pStyle w:val="BodyText"/>
    </w:pPr>
    <w:r>
      <w:t xml:space="preserve">Date: </w:t>
    </w:r>
    <w:fldSimple w:instr=" REF FilingDate ">
      <w:r w:rsidR="00B51302">
        <w:t>February 20, 2020</w:t>
      </w:r>
    </w:fldSimple>
    <w: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17" w:rsidRPr="00E13B68" w:rsidRDefault="00B56F17" w:rsidP="00E13B68">
    <w:pPr>
      <w:pStyle w:val="Header"/>
      <w:tabs>
        <w:tab w:val="right" w:pos="9360"/>
      </w:tabs>
      <w:rPr>
        <w:bCs/>
      </w:rPr>
    </w:pPr>
    <w:r w:rsidRPr="00420079">
      <w:t>Docket No. 20190125-WS</w:t>
    </w:r>
    <w:r>
      <w:tab/>
    </w:r>
    <w:r>
      <w:tab/>
      <w:t xml:space="preserve"> </w:t>
    </w:r>
    <w:r>
      <w:tab/>
    </w:r>
    <w:r>
      <w:tab/>
    </w:r>
    <w:r>
      <w:tab/>
    </w:r>
    <w:r>
      <w:rPr>
        <w:bCs/>
      </w:rPr>
      <w:t>Schedule No. 2</w:t>
    </w:r>
  </w:p>
  <w:p w:rsidR="00B56F17" w:rsidRDefault="00B56F17" w:rsidP="00B85519">
    <w:pPr>
      <w:pStyle w:val="BodyText"/>
    </w:pPr>
    <w:r>
      <w:t xml:space="preserve">Date: </w:t>
    </w:r>
    <w:fldSimple w:instr=" REF FilingDate ">
      <w:r w:rsidR="00B51302">
        <w:t>February 20, 2020</w:t>
      </w:r>
    </w:fldSimple>
    <w: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17" w:rsidRPr="00E13B68" w:rsidRDefault="00B56F17" w:rsidP="00E13B68">
    <w:pPr>
      <w:pStyle w:val="Header"/>
      <w:tabs>
        <w:tab w:val="right" w:pos="9360"/>
      </w:tabs>
      <w:rPr>
        <w:bCs/>
      </w:rPr>
    </w:pPr>
    <w:r w:rsidRPr="00420079">
      <w:t>Docket No. 20190125-WS</w:t>
    </w:r>
    <w:r>
      <w:tab/>
    </w:r>
    <w:r>
      <w:tab/>
    </w:r>
    <w:r>
      <w:tab/>
    </w:r>
    <w:r>
      <w:tab/>
    </w:r>
    <w:r>
      <w:tab/>
    </w:r>
    <w:r>
      <w:rPr>
        <w:bCs/>
      </w:rPr>
      <w:t>Schedule No. 3-A</w:t>
    </w:r>
  </w:p>
  <w:p w:rsidR="00B56F17" w:rsidRDefault="00B56F17" w:rsidP="00B85519">
    <w:pPr>
      <w:pStyle w:val="BodyText"/>
    </w:pPr>
    <w:r>
      <w:t xml:space="preserve">Date: </w:t>
    </w:r>
    <w:fldSimple w:instr=" REF FilingDate ">
      <w:r w:rsidR="00B51302">
        <w:t>February 20, 2020</w:t>
      </w:r>
    </w:fldSimple>
    <w:r>
      <w: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17" w:rsidRPr="00E13B68" w:rsidRDefault="00B56F17" w:rsidP="00E13B68">
    <w:pPr>
      <w:pStyle w:val="Header"/>
      <w:tabs>
        <w:tab w:val="right" w:pos="9360"/>
      </w:tabs>
      <w:rPr>
        <w:bCs/>
      </w:rPr>
    </w:pPr>
    <w:r>
      <w:t xml:space="preserve">Docket No. 20190125-WS </w:t>
    </w:r>
    <w:r>
      <w:tab/>
    </w:r>
    <w:r>
      <w:tab/>
    </w:r>
    <w:r>
      <w:tab/>
      <w:t>Issue 1</w:t>
    </w:r>
  </w:p>
  <w:p w:rsidR="00B56F17" w:rsidRDefault="00B56F17">
    <w:pPr>
      <w:pStyle w:val="Header"/>
    </w:pPr>
    <w:r>
      <w:t xml:space="preserve">Date: </w:t>
    </w:r>
    <w:fldSimple w:instr=" REF FilingDate ">
      <w:r w:rsidR="00B51302">
        <w:t>February 20, 2020</w:t>
      </w:r>
    </w:fldSimple>
    <w: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17" w:rsidRPr="00E13B68" w:rsidRDefault="00B56F17" w:rsidP="00E13B68">
    <w:pPr>
      <w:pStyle w:val="Header"/>
      <w:tabs>
        <w:tab w:val="right" w:pos="9360"/>
      </w:tabs>
      <w:rPr>
        <w:bCs/>
      </w:rPr>
    </w:pPr>
    <w:r w:rsidRPr="00420079">
      <w:t>Docket No. 20190125-WS</w:t>
    </w:r>
    <w:r>
      <w:tab/>
    </w:r>
    <w:r>
      <w:tab/>
      <w:t xml:space="preserve">                                                       </w:t>
    </w:r>
    <w:r>
      <w:rPr>
        <w:bCs/>
      </w:rPr>
      <w:t>Schedule No. 3-B</w:t>
    </w:r>
  </w:p>
  <w:p w:rsidR="00B56F17" w:rsidRDefault="00B56F17" w:rsidP="00B85519">
    <w:pPr>
      <w:pStyle w:val="BodyText"/>
    </w:pPr>
    <w:r>
      <w:t xml:space="preserve">Date: </w:t>
    </w:r>
    <w:fldSimple w:instr=" REF FilingDate ">
      <w:r w:rsidR="00B51302">
        <w:t>February 20, 2020</w:t>
      </w:r>
    </w:fldSimple>
    <w:r>
      <w:t>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17" w:rsidRPr="00E13B68" w:rsidRDefault="00B56F17" w:rsidP="00E13B68">
    <w:pPr>
      <w:pStyle w:val="Header"/>
      <w:tabs>
        <w:tab w:val="right" w:pos="9360"/>
      </w:tabs>
      <w:rPr>
        <w:bCs/>
      </w:rPr>
    </w:pPr>
    <w:r w:rsidRPr="00420079">
      <w:t>Docket No. 20190125-WS</w:t>
    </w:r>
    <w:r>
      <w:tab/>
    </w:r>
    <w:r>
      <w:tab/>
      <w:t xml:space="preserve">                                          </w:t>
    </w:r>
    <w:r>
      <w:rPr>
        <w:bCs/>
      </w:rPr>
      <w:t>Schedule No. 3-C</w:t>
    </w:r>
  </w:p>
  <w:p w:rsidR="00B56F17" w:rsidRDefault="00B56F17" w:rsidP="00B85519">
    <w:pPr>
      <w:pStyle w:val="BodyText"/>
    </w:pPr>
    <w:r>
      <w:t xml:space="preserve">Date: </w:t>
    </w:r>
    <w:fldSimple w:instr=" REF FilingDate ">
      <w:r w:rsidR="00B51302">
        <w:t>February 20, 2020</w:t>
      </w:r>
    </w:fldSimple>
    <w: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17" w:rsidRPr="00E13B68" w:rsidRDefault="00B56F17" w:rsidP="00E13B68">
    <w:pPr>
      <w:pStyle w:val="Header"/>
      <w:tabs>
        <w:tab w:val="right" w:pos="9360"/>
      </w:tabs>
      <w:rPr>
        <w:bCs/>
      </w:rPr>
    </w:pPr>
    <w:r w:rsidRPr="00420079">
      <w:t>Docket No. 20190125-WS</w:t>
    </w:r>
    <w:r>
      <w:tab/>
    </w:r>
    <w:r>
      <w:tab/>
    </w:r>
    <w:r>
      <w:tab/>
    </w:r>
    <w:r>
      <w:rPr>
        <w:bCs/>
      </w:rPr>
      <w:t>Schedule No. 4</w:t>
    </w:r>
  </w:p>
  <w:p w:rsidR="00B56F17" w:rsidRDefault="00B56F17" w:rsidP="00B85519">
    <w:pPr>
      <w:pStyle w:val="BodyText"/>
    </w:pPr>
    <w:r>
      <w:t xml:space="preserve">Date: </w:t>
    </w:r>
    <w:fldSimple w:instr=" REF FilingDate ">
      <w:r w:rsidR="00B51302">
        <w:t>February 20, 2020</w:t>
      </w:r>
    </w:fldSimple>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17" w:rsidRPr="00E13B68" w:rsidRDefault="00B56F17" w:rsidP="00E13B68">
    <w:pPr>
      <w:pStyle w:val="Header"/>
      <w:tabs>
        <w:tab w:val="right" w:pos="9360"/>
      </w:tabs>
      <w:rPr>
        <w:bCs/>
      </w:rPr>
    </w:pPr>
    <w:r w:rsidRPr="00420079">
      <w:t>Docket No. 20190125-WS</w:t>
    </w:r>
    <w:r>
      <w:tab/>
    </w:r>
    <w:r>
      <w:tab/>
    </w:r>
    <w:r>
      <w:tab/>
    </w:r>
    <w:r>
      <w:rPr>
        <w:bCs/>
      </w:rPr>
      <w:t>Issue 2</w:t>
    </w:r>
  </w:p>
  <w:p w:rsidR="00B56F17" w:rsidRDefault="00B56F17">
    <w:pPr>
      <w:pStyle w:val="Header"/>
    </w:pPr>
    <w:r>
      <w:t xml:space="preserve">Date: </w:t>
    </w:r>
    <w:fldSimple w:instr=" REF FilingDate ">
      <w:r w:rsidR="00B51302">
        <w:t>February 20, 2020</w:t>
      </w:r>
    </w:fldSimple>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17" w:rsidRPr="00E13B68" w:rsidRDefault="00B56F17" w:rsidP="00E13B68">
    <w:pPr>
      <w:pStyle w:val="Header"/>
      <w:tabs>
        <w:tab w:val="right" w:pos="9360"/>
      </w:tabs>
      <w:rPr>
        <w:bCs/>
      </w:rPr>
    </w:pPr>
    <w:r w:rsidRPr="00420079">
      <w:t>Docket No. 20190125-WS</w:t>
    </w:r>
    <w:r>
      <w:tab/>
    </w:r>
    <w:r>
      <w:tab/>
    </w:r>
    <w:r>
      <w:tab/>
    </w:r>
    <w:r>
      <w:rPr>
        <w:bCs/>
      </w:rPr>
      <w:t>Issue 3</w:t>
    </w:r>
  </w:p>
  <w:p w:rsidR="00B56F17" w:rsidRDefault="00B56F17">
    <w:pPr>
      <w:pStyle w:val="Header"/>
    </w:pPr>
    <w:r>
      <w:t xml:space="preserve">Date: </w:t>
    </w:r>
    <w:fldSimple w:instr=" REF FilingDate ">
      <w:r w:rsidR="00B51302">
        <w:t>February 20, 2020</w:t>
      </w:r>
    </w:fldSimple>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17" w:rsidRPr="00E13B68" w:rsidRDefault="00B56F17" w:rsidP="00E13B68">
    <w:pPr>
      <w:pStyle w:val="Header"/>
      <w:tabs>
        <w:tab w:val="right" w:pos="9360"/>
      </w:tabs>
      <w:rPr>
        <w:bCs/>
      </w:rPr>
    </w:pPr>
    <w:r w:rsidRPr="00420079">
      <w:t>Docket No. 20190125-WS</w:t>
    </w:r>
    <w:r>
      <w:tab/>
    </w:r>
    <w:r>
      <w:tab/>
    </w:r>
    <w:r>
      <w:tab/>
    </w:r>
    <w:r>
      <w:rPr>
        <w:bCs/>
      </w:rPr>
      <w:t>Issue 4</w:t>
    </w:r>
  </w:p>
  <w:p w:rsidR="00B56F17" w:rsidRDefault="00B56F17">
    <w:pPr>
      <w:pStyle w:val="Header"/>
    </w:pPr>
    <w:r>
      <w:t xml:space="preserve">Date: </w:t>
    </w:r>
    <w:fldSimple w:instr=" REF FilingDate ">
      <w:r w:rsidR="00B51302">
        <w:t>February 20, 2020</w:t>
      </w:r>
    </w:fldSimple>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17" w:rsidRPr="00E13B68" w:rsidRDefault="00B56F17" w:rsidP="00E13B68">
    <w:pPr>
      <w:pStyle w:val="Header"/>
      <w:tabs>
        <w:tab w:val="right" w:pos="9360"/>
      </w:tabs>
      <w:rPr>
        <w:bCs/>
      </w:rPr>
    </w:pPr>
    <w:r w:rsidRPr="00420079">
      <w:t>Docket No. 20190125-WS</w:t>
    </w:r>
    <w:r>
      <w:tab/>
    </w:r>
    <w:r>
      <w:tab/>
    </w:r>
    <w:r>
      <w:tab/>
    </w:r>
    <w:r>
      <w:rPr>
        <w:bCs/>
      </w:rPr>
      <w:t>Issue 5</w:t>
    </w:r>
  </w:p>
  <w:p w:rsidR="00B56F17" w:rsidRDefault="00B56F17">
    <w:pPr>
      <w:pStyle w:val="Header"/>
    </w:pPr>
    <w:r>
      <w:t xml:space="preserve">Date: </w:t>
    </w:r>
    <w:fldSimple w:instr=" REF FilingDate ">
      <w:r w:rsidR="00B51302">
        <w:t>February 20, 2020</w:t>
      </w:r>
    </w:fldSimple>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17" w:rsidRPr="00E13B68" w:rsidRDefault="00B56F17" w:rsidP="00E13B68">
    <w:pPr>
      <w:pStyle w:val="Header"/>
      <w:tabs>
        <w:tab w:val="right" w:pos="9360"/>
      </w:tabs>
      <w:rPr>
        <w:bCs/>
      </w:rPr>
    </w:pPr>
    <w:r w:rsidRPr="00420079">
      <w:t>Docket No. 20190125-WS</w:t>
    </w:r>
    <w:r>
      <w:tab/>
    </w:r>
    <w:r>
      <w:tab/>
    </w:r>
    <w:r>
      <w:tab/>
    </w:r>
    <w:r>
      <w:rPr>
        <w:bCs/>
      </w:rPr>
      <w:t>Issue 6</w:t>
    </w:r>
  </w:p>
  <w:p w:rsidR="00B56F17" w:rsidRDefault="00B56F17">
    <w:pPr>
      <w:pStyle w:val="Header"/>
    </w:pPr>
    <w:r>
      <w:t xml:space="preserve">Date: </w:t>
    </w:r>
    <w:fldSimple w:instr=" REF FilingDate ">
      <w:r w:rsidR="00B51302">
        <w:t>February 20, 2020</w:t>
      </w:r>
    </w:fldSimple>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17" w:rsidRPr="00E13B68" w:rsidRDefault="00B56F17" w:rsidP="00E13B68">
    <w:pPr>
      <w:pStyle w:val="Header"/>
      <w:tabs>
        <w:tab w:val="right" w:pos="9360"/>
      </w:tabs>
      <w:rPr>
        <w:bCs/>
      </w:rPr>
    </w:pPr>
    <w:r w:rsidRPr="00420079">
      <w:t>Docket No. 20190125-WS</w:t>
    </w:r>
    <w:r>
      <w:tab/>
    </w:r>
    <w:r>
      <w:tab/>
    </w:r>
    <w:r>
      <w:tab/>
    </w:r>
    <w:r>
      <w:rPr>
        <w:bCs/>
      </w:rPr>
      <w:t>Issue 7</w:t>
    </w:r>
  </w:p>
  <w:p w:rsidR="00B56F17" w:rsidRDefault="00B56F17">
    <w:pPr>
      <w:pStyle w:val="Header"/>
    </w:pPr>
    <w:r>
      <w:t xml:space="preserve">Date: </w:t>
    </w:r>
    <w:fldSimple w:instr=" REF FilingDate ">
      <w:r w:rsidR="00B51302">
        <w:t>February 20, 2020</w:t>
      </w:r>
    </w:fldSimple>
    <w: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17" w:rsidRPr="00E13B68" w:rsidRDefault="00B56F17" w:rsidP="00E13B68">
    <w:pPr>
      <w:pStyle w:val="Header"/>
      <w:tabs>
        <w:tab w:val="right" w:pos="9360"/>
      </w:tabs>
      <w:rPr>
        <w:bCs/>
      </w:rPr>
    </w:pPr>
    <w:r w:rsidRPr="00420079">
      <w:t>Docket No. 20190125-WS</w:t>
    </w:r>
    <w:r>
      <w:tab/>
    </w:r>
    <w:r>
      <w:tab/>
    </w:r>
    <w:r>
      <w:tab/>
    </w:r>
    <w:r>
      <w:rPr>
        <w:bCs/>
      </w:rPr>
      <w:t>Issue 8</w:t>
    </w:r>
  </w:p>
  <w:p w:rsidR="00B56F17" w:rsidRDefault="00B56F17">
    <w:pPr>
      <w:pStyle w:val="Header"/>
    </w:pPr>
    <w:r>
      <w:t xml:space="preserve">Date: </w:t>
    </w:r>
    <w:fldSimple w:instr=" REF FilingDate ">
      <w:r w:rsidR="00B51302">
        <w:t>February 20, 2020</w:t>
      </w:r>
    </w:fldSimple>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1BA3985"/>
    <w:multiLevelType w:val="hybridMultilevel"/>
    <w:tmpl w:val="6B2288B4"/>
    <w:lvl w:ilvl="0" w:tplc="AC0CE4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8827E4"/>
    <w:multiLevelType w:val="hybridMultilevel"/>
    <w:tmpl w:val="287EB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81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4A2C99"/>
    <w:rsid w:val="000043D5"/>
    <w:rsid w:val="00006170"/>
    <w:rsid w:val="00010E37"/>
    <w:rsid w:val="000152FA"/>
    <w:rsid w:val="00016C62"/>
    <w:rsid w:val="000172DA"/>
    <w:rsid w:val="000247C5"/>
    <w:rsid w:val="000277C2"/>
    <w:rsid w:val="00031055"/>
    <w:rsid w:val="00032124"/>
    <w:rsid w:val="00035B48"/>
    <w:rsid w:val="00036CE2"/>
    <w:rsid w:val="00036DF0"/>
    <w:rsid w:val="00041BD6"/>
    <w:rsid w:val="000424EE"/>
    <w:rsid w:val="000437FE"/>
    <w:rsid w:val="000513BE"/>
    <w:rsid w:val="00061CB5"/>
    <w:rsid w:val="000632B0"/>
    <w:rsid w:val="00065A06"/>
    <w:rsid w:val="000666F3"/>
    <w:rsid w:val="00070DCB"/>
    <w:rsid w:val="000720A0"/>
    <w:rsid w:val="00072CCA"/>
    <w:rsid w:val="00073120"/>
    <w:rsid w:val="000764D0"/>
    <w:rsid w:val="000828D3"/>
    <w:rsid w:val="000A125E"/>
    <w:rsid w:val="000A2B57"/>
    <w:rsid w:val="000A418B"/>
    <w:rsid w:val="000C4431"/>
    <w:rsid w:val="000D1C06"/>
    <w:rsid w:val="000D4319"/>
    <w:rsid w:val="000E24BE"/>
    <w:rsid w:val="000F374A"/>
    <w:rsid w:val="000F60B6"/>
    <w:rsid w:val="00102033"/>
    <w:rsid w:val="00106876"/>
    <w:rsid w:val="00106FEF"/>
    <w:rsid w:val="001076AF"/>
    <w:rsid w:val="0010794B"/>
    <w:rsid w:val="00117C8C"/>
    <w:rsid w:val="00122356"/>
    <w:rsid w:val="00124C38"/>
    <w:rsid w:val="00124E2E"/>
    <w:rsid w:val="00125ED4"/>
    <w:rsid w:val="001305E9"/>
    <w:rsid w:val="001307AF"/>
    <w:rsid w:val="00135687"/>
    <w:rsid w:val="00136121"/>
    <w:rsid w:val="00142202"/>
    <w:rsid w:val="001430F6"/>
    <w:rsid w:val="00144B8B"/>
    <w:rsid w:val="0015506E"/>
    <w:rsid w:val="00162E17"/>
    <w:rsid w:val="00163031"/>
    <w:rsid w:val="00163ABE"/>
    <w:rsid w:val="00171A90"/>
    <w:rsid w:val="00172B3D"/>
    <w:rsid w:val="0017668A"/>
    <w:rsid w:val="00180254"/>
    <w:rsid w:val="00185EA4"/>
    <w:rsid w:val="00186FA8"/>
    <w:rsid w:val="00190BAE"/>
    <w:rsid w:val="00191E1F"/>
    <w:rsid w:val="00192943"/>
    <w:rsid w:val="0019642A"/>
    <w:rsid w:val="001A1A7C"/>
    <w:rsid w:val="001A7406"/>
    <w:rsid w:val="001A76D7"/>
    <w:rsid w:val="001B13D4"/>
    <w:rsid w:val="001B3B59"/>
    <w:rsid w:val="001B4FEE"/>
    <w:rsid w:val="001B51C5"/>
    <w:rsid w:val="001B6F3F"/>
    <w:rsid w:val="001C242D"/>
    <w:rsid w:val="001C52B5"/>
    <w:rsid w:val="001D0D3E"/>
    <w:rsid w:val="001D693E"/>
    <w:rsid w:val="001E5741"/>
    <w:rsid w:val="001F2245"/>
    <w:rsid w:val="001F2C63"/>
    <w:rsid w:val="001F48C7"/>
    <w:rsid w:val="001F6DA1"/>
    <w:rsid w:val="002044E6"/>
    <w:rsid w:val="00205C82"/>
    <w:rsid w:val="00205DC2"/>
    <w:rsid w:val="00212B17"/>
    <w:rsid w:val="002163B6"/>
    <w:rsid w:val="00220732"/>
    <w:rsid w:val="00221D32"/>
    <w:rsid w:val="00222128"/>
    <w:rsid w:val="00225C3F"/>
    <w:rsid w:val="00250325"/>
    <w:rsid w:val="00252407"/>
    <w:rsid w:val="00255B41"/>
    <w:rsid w:val="00260520"/>
    <w:rsid w:val="00260E60"/>
    <w:rsid w:val="00263D44"/>
    <w:rsid w:val="00267707"/>
    <w:rsid w:val="002702AD"/>
    <w:rsid w:val="00270E39"/>
    <w:rsid w:val="00292D82"/>
    <w:rsid w:val="00293DDB"/>
    <w:rsid w:val="0029604B"/>
    <w:rsid w:val="002963CB"/>
    <w:rsid w:val="002B0C01"/>
    <w:rsid w:val="002B4A01"/>
    <w:rsid w:val="002B7DE8"/>
    <w:rsid w:val="002C67E4"/>
    <w:rsid w:val="002D02CB"/>
    <w:rsid w:val="002D226D"/>
    <w:rsid w:val="002D411A"/>
    <w:rsid w:val="002E0678"/>
    <w:rsid w:val="002F6030"/>
    <w:rsid w:val="003037E1"/>
    <w:rsid w:val="00307E51"/>
    <w:rsid w:val="003103EC"/>
    <w:rsid w:val="003144EF"/>
    <w:rsid w:val="00322F74"/>
    <w:rsid w:val="003348B4"/>
    <w:rsid w:val="00340073"/>
    <w:rsid w:val="00350FDE"/>
    <w:rsid w:val="003632FD"/>
    <w:rsid w:val="00370305"/>
    <w:rsid w:val="00372805"/>
    <w:rsid w:val="00373180"/>
    <w:rsid w:val="00375AB9"/>
    <w:rsid w:val="00376C9E"/>
    <w:rsid w:val="003821A0"/>
    <w:rsid w:val="00385B04"/>
    <w:rsid w:val="003864CF"/>
    <w:rsid w:val="003948AE"/>
    <w:rsid w:val="003961FD"/>
    <w:rsid w:val="003978C1"/>
    <w:rsid w:val="003A22A6"/>
    <w:rsid w:val="003A2887"/>
    <w:rsid w:val="003A5494"/>
    <w:rsid w:val="003B2510"/>
    <w:rsid w:val="003B4D1C"/>
    <w:rsid w:val="003C2CC4"/>
    <w:rsid w:val="003C3710"/>
    <w:rsid w:val="003E0EFC"/>
    <w:rsid w:val="003E33BF"/>
    <w:rsid w:val="003E43F1"/>
    <w:rsid w:val="003E4A2B"/>
    <w:rsid w:val="003E58EF"/>
    <w:rsid w:val="003E76C2"/>
    <w:rsid w:val="003F12EA"/>
    <w:rsid w:val="003F1679"/>
    <w:rsid w:val="003F21EB"/>
    <w:rsid w:val="003F4A35"/>
    <w:rsid w:val="003F6E12"/>
    <w:rsid w:val="003F7100"/>
    <w:rsid w:val="003F7FDD"/>
    <w:rsid w:val="00402481"/>
    <w:rsid w:val="00402887"/>
    <w:rsid w:val="004042B4"/>
    <w:rsid w:val="004055F1"/>
    <w:rsid w:val="00406524"/>
    <w:rsid w:val="00410DC4"/>
    <w:rsid w:val="00411198"/>
    <w:rsid w:val="00412DAE"/>
    <w:rsid w:val="00415D47"/>
    <w:rsid w:val="004168F9"/>
    <w:rsid w:val="00420079"/>
    <w:rsid w:val="0042376A"/>
    <w:rsid w:val="004242E6"/>
    <w:rsid w:val="0043068D"/>
    <w:rsid w:val="00431598"/>
    <w:rsid w:val="004319AD"/>
    <w:rsid w:val="00440832"/>
    <w:rsid w:val="004426B8"/>
    <w:rsid w:val="00444432"/>
    <w:rsid w:val="00444583"/>
    <w:rsid w:val="00444C9B"/>
    <w:rsid w:val="0044606B"/>
    <w:rsid w:val="00455126"/>
    <w:rsid w:val="004566A3"/>
    <w:rsid w:val="004645B8"/>
    <w:rsid w:val="00467D4E"/>
    <w:rsid w:val="00471860"/>
    <w:rsid w:val="00471A2F"/>
    <w:rsid w:val="00477026"/>
    <w:rsid w:val="00482EE9"/>
    <w:rsid w:val="004A2C99"/>
    <w:rsid w:val="004A744D"/>
    <w:rsid w:val="004B1A35"/>
    <w:rsid w:val="004B54B1"/>
    <w:rsid w:val="004B60BD"/>
    <w:rsid w:val="004B6773"/>
    <w:rsid w:val="004C16AC"/>
    <w:rsid w:val="004C3150"/>
    <w:rsid w:val="004C3641"/>
    <w:rsid w:val="004C4390"/>
    <w:rsid w:val="004C4AF7"/>
    <w:rsid w:val="004C79BA"/>
    <w:rsid w:val="004D2881"/>
    <w:rsid w:val="004D385F"/>
    <w:rsid w:val="004D5B39"/>
    <w:rsid w:val="004E330D"/>
    <w:rsid w:val="004E5147"/>
    <w:rsid w:val="004E69B5"/>
    <w:rsid w:val="004F3329"/>
    <w:rsid w:val="004F5C43"/>
    <w:rsid w:val="00503C1D"/>
    <w:rsid w:val="005063CE"/>
    <w:rsid w:val="0050652D"/>
    <w:rsid w:val="00506C03"/>
    <w:rsid w:val="00510AC3"/>
    <w:rsid w:val="00511A11"/>
    <w:rsid w:val="00516496"/>
    <w:rsid w:val="00523B11"/>
    <w:rsid w:val="0052572A"/>
    <w:rsid w:val="00532DFB"/>
    <w:rsid w:val="00536569"/>
    <w:rsid w:val="00543CB3"/>
    <w:rsid w:val="005442E4"/>
    <w:rsid w:val="00551656"/>
    <w:rsid w:val="00554C10"/>
    <w:rsid w:val="0055529B"/>
    <w:rsid w:val="00560FF0"/>
    <w:rsid w:val="005614BD"/>
    <w:rsid w:val="00561883"/>
    <w:rsid w:val="00567BEC"/>
    <w:rsid w:val="00570B1E"/>
    <w:rsid w:val="0057154F"/>
    <w:rsid w:val="00572820"/>
    <w:rsid w:val="00580946"/>
    <w:rsid w:val="00580F69"/>
    <w:rsid w:val="00581CA3"/>
    <w:rsid w:val="00583026"/>
    <w:rsid w:val="0058708C"/>
    <w:rsid w:val="00587A44"/>
    <w:rsid w:val="0059004A"/>
    <w:rsid w:val="00597730"/>
    <w:rsid w:val="005977EC"/>
    <w:rsid w:val="00597DE7"/>
    <w:rsid w:val="005A052E"/>
    <w:rsid w:val="005A4AA2"/>
    <w:rsid w:val="005B34B6"/>
    <w:rsid w:val="005B56C9"/>
    <w:rsid w:val="005B6C8F"/>
    <w:rsid w:val="005B6EC3"/>
    <w:rsid w:val="005D0F74"/>
    <w:rsid w:val="005D2E7D"/>
    <w:rsid w:val="005D3EF9"/>
    <w:rsid w:val="005D4A8F"/>
    <w:rsid w:val="005D561B"/>
    <w:rsid w:val="005D5ECF"/>
    <w:rsid w:val="005D61D0"/>
    <w:rsid w:val="005F468D"/>
    <w:rsid w:val="005F69A3"/>
    <w:rsid w:val="005F7E92"/>
    <w:rsid w:val="00604452"/>
    <w:rsid w:val="00604CC7"/>
    <w:rsid w:val="00610E9F"/>
    <w:rsid w:val="00615423"/>
    <w:rsid w:val="00616052"/>
    <w:rsid w:val="006165B2"/>
    <w:rsid w:val="00617276"/>
    <w:rsid w:val="0062527B"/>
    <w:rsid w:val="00625D97"/>
    <w:rsid w:val="00625F1C"/>
    <w:rsid w:val="006279E1"/>
    <w:rsid w:val="00630CEB"/>
    <w:rsid w:val="00632264"/>
    <w:rsid w:val="00636951"/>
    <w:rsid w:val="006401B5"/>
    <w:rsid w:val="006416FB"/>
    <w:rsid w:val="006441B0"/>
    <w:rsid w:val="00646F03"/>
    <w:rsid w:val="006470BC"/>
    <w:rsid w:val="0065102A"/>
    <w:rsid w:val="006554D3"/>
    <w:rsid w:val="006554D7"/>
    <w:rsid w:val="00657497"/>
    <w:rsid w:val="00667036"/>
    <w:rsid w:val="00672EEE"/>
    <w:rsid w:val="00673BDB"/>
    <w:rsid w:val="00674341"/>
    <w:rsid w:val="006771B8"/>
    <w:rsid w:val="006776FB"/>
    <w:rsid w:val="006834CB"/>
    <w:rsid w:val="006843B6"/>
    <w:rsid w:val="0068481F"/>
    <w:rsid w:val="00691062"/>
    <w:rsid w:val="00696F5D"/>
    <w:rsid w:val="00697249"/>
    <w:rsid w:val="00697333"/>
    <w:rsid w:val="006A056B"/>
    <w:rsid w:val="006A1056"/>
    <w:rsid w:val="006A5853"/>
    <w:rsid w:val="006B3947"/>
    <w:rsid w:val="006B4293"/>
    <w:rsid w:val="006B624F"/>
    <w:rsid w:val="006C0C95"/>
    <w:rsid w:val="006C31E3"/>
    <w:rsid w:val="006D18D3"/>
    <w:rsid w:val="006E071B"/>
    <w:rsid w:val="006E08CB"/>
    <w:rsid w:val="006E08D0"/>
    <w:rsid w:val="006E598D"/>
    <w:rsid w:val="0070437D"/>
    <w:rsid w:val="00704CF1"/>
    <w:rsid w:val="00705B04"/>
    <w:rsid w:val="0071070E"/>
    <w:rsid w:val="00724992"/>
    <w:rsid w:val="00734820"/>
    <w:rsid w:val="007349DC"/>
    <w:rsid w:val="0073672E"/>
    <w:rsid w:val="00736D91"/>
    <w:rsid w:val="0074365E"/>
    <w:rsid w:val="00744B55"/>
    <w:rsid w:val="007500F6"/>
    <w:rsid w:val="007515FD"/>
    <w:rsid w:val="00760D80"/>
    <w:rsid w:val="007650D6"/>
    <w:rsid w:val="0077465B"/>
    <w:rsid w:val="00780C09"/>
    <w:rsid w:val="00780DDF"/>
    <w:rsid w:val="0078288E"/>
    <w:rsid w:val="007834E9"/>
    <w:rsid w:val="007852B7"/>
    <w:rsid w:val="007854C5"/>
    <w:rsid w:val="00787DBC"/>
    <w:rsid w:val="0079019A"/>
    <w:rsid w:val="00792935"/>
    <w:rsid w:val="00796889"/>
    <w:rsid w:val="007A04A1"/>
    <w:rsid w:val="007A1840"/>
    <w:rsid w:val="007C0528"/>
    <w:rsid w:val="007C2F25"/>
    <w:rsid w:val="007C3D38"/>
    <w:rsid w:val="007C4B55"/>
    <w:rsid w:val="007C5A66"/>
    <w:rsid w:val="007D0F35"/>
    <w:rsid w:val="007D4FEB"/>
    <w:rsid w:val="007D6146"/>
    <w:rsid w:val="007D6CC0"/>
    <w:rsid w:val="007E0CE7"/>
    <w:rsid w:val="007E1627"/>
    <w:rsid w:val="007E3FAE"/>
    <w:rsid w:val="007E666D"/>
    <w:rsid w:val="007F1193"/>
    <w:rsid w:val="007F417F"/>
    <w:rsid w:val="007F7644"/>
    <w:rsid w:val="00802311"/>
    <w:rsid w:val="008042BD"/>
    <w:rsid w:val="008153D3"/>
    <w:rsid w:val="00816624"/>
    <w:rsid w:val="00822427"/>
    <w:rsid w:val="00822562"/>
    <w:rsid w:val="00823663"/>
    <w:rsid w:val="00832DDC"/>
    <w:rsid w:val="00850BAC"/>
    <w:rsid w:val="00854A3E"/>
    <w:rsid w:val="00855D08"/>
    <w:rsid w:val="008656B8"/>
    <w:rsid w:val="00874344"/>
    <w:rsid w:val="0087765A"/>
    <w:rsid w:val="00880F23"/>
    <w:rsid w:val="00882155"/>
    <w:rsid w:val="0088233B"/>
    <w:rsid w:val="0088599E"/>
    <w:rsid w:val="00886C37"/>
    <w:rsid w:val="00892D99"/>
    <w:rsid w:val="00893315"/>
    <w:rsid w:val="00893627"/>
    <w:rsid w:val="008A6B93"/>
    <w:rsid w:val="008B29EA"/>
    <w:rsid w:val="008B3E98"/>
    <w:rsid w:val="008B62AE"/>
    <w:rsid w:val="008C04B5"/>
    <w:rsid w:val="008C14FA"/>
    <w:rsid w:val="008C3C8C"/>
    <w:rsid w:val="008C7B0B"/>
    <w:rsid w:val="008D4057"/>
    <w:rsid w:val="008D6FDE"/>
    <w:rsid w:val="008D7124"/>
    <w:rsid w:val="008E1F19"/>
    <w:rsid w:val="008F1D71"/>
    <w:rsid w:val="008F2262"/>
    <w:rsid w:val="008F4813"/>
    <w:rsid w:val="008F4D2B"/>
    <w:rsid w:val="008F546E"/>
    <w:rsid w:val="008F7736"/>
    <w:rsid w:val="0090019E"/>
    <w:rsid w:val="00901086"/>
    <w:rsid w:val="00901C8A"/>
    <w:rsid w:val="00905886"/>
    <w:rsid w:val="00906911"/>
    <w:rsid w:val="009070D6"/>
    <w:rsid w:val="009076C6"/>
    <w:rsid w:val="0091019E"/>
    <w:rsid w:val="009106F1"/>
    <w:rsid w:val="00912404"/>
    <w:rsid w:val="009145D6"/>
    <w:rsid w:val="00914922"/>
    <w:rsid w:val="00920E64"/>
    <w:rsid w:val="00922002"/>
    <w:rsid w:val="00924020"/>
    <w:rsid w:val="009249CB"/>
    <w:rsid w:val="009271A7"/>
    <w:rsid w:val="0093658B"/>
    <w:rsid w:val="009429FF"/>
    <w:rsid w:val="00943843"/>
    <w:rsid w:val="009440E5"/>
    <w:rsid w:val="00945211"/>
    <w:rsid w:val="00945BD6"/>
    <w:rsid w:val="0094617A"/>
    <w:rsid w:val="009479FB"/>
    <w:rsid w:val="00951C45"/>
    <w:rsid w:val="00953C45"/>
    <w:rsid w:val="0095434E"/>
    <w:rsid w:val="009656F2"/>
    <w:rsid w:val="00966A08"/>
    <w:rsid w:val="0097096D"/>
    <w:rsid w:val="00971207"/>
    <w:rsid w:val="00975CB4"/>
    <w:rsid w:val="0098213D"/>
    <w:rsid w:val="009822CC"/>
    <w:rsid w:val="0098605C"/>
    <w:rsid w:val="009863B0"/>
    <w:rsid w:val="00987DE1"/>
    <w:rsid w:val="00990571"/>
    <w:rsid w:val="00991246"/>
    <w:rsid w:val="0099673A"/>
    <w:rsid w:val="009A0F3C"/>
    <w:rsid w:val="009A3330"/>
    <w:rsid w:val="009A7C96"/>
    <w:rsid w:val="009A7D50"/>
    <w:rsid w:val="009B1FE5"/>
    <w:rsid w:val="009B7A1B"/>
    <w:rsid w:val="009C3DB9"/>
    <w:rsid w:val="009D2A58"/>
    <w:rsid w:val="009D46E5"/>
    <w:rsid w:val="009D568A"/>
    <w:rsid w:val="009D5B7E"/>
    <w:rsid w:val="009D7D77"/>
    <w:rsid w:val="009E2533"/>
    <w:rsid w:val="009F04EC"/>
    <w:rsid w:val="009F2A7C"/>
    <w:rsid w:val="009F3B36"/>
    <w:rsid w:val="009F57BD"/>
    <w:rsid w:val="009F7FD4"/>
    <w:rsid w:val="00A00C9E"/>
    <w:rsid w:val="00A019B9"/>
    <w:rsid w:val="00A07B54"/>
    <w:rsid w:val="00A12508"/>
    <w:rsid w:val="00A1282B"/>
    <w:rsid w:val="00A13A27"/>
    <w:rsid w:val="00A175B6"/>
    <w:rsid w:val="00A21835"/>
    <w:rsid w:val="00A224E9"/>
    <w:rsid w:val="00A2374B"/>
    <w:rsid w:val="00A24682"/>
    <w:rsid w:val="00A2590D"/>
    <w:rsid w:val="00A27D6E"/>
    <w:rsid w:val="00A30A2A"/>
    <w:rsid w:val="00A328EC"/>
    <w:rsid w:val="00A33A51"/>
    <w:rsid w:val="00A41CA6"/>
    <w:rsid w:val="00A43850"/>
    <w:rsid w:val="00A45B1B"/>
    <w:rsid w:val="00A47927"/>
    <w:rsid w:val="00A47FFC"/>
    <w:rsid w:val="00A533CE"/>
    <w:rsid w:val="00A53B3F"/>
    <w:rsid w:val="00A5442F"/>
    <w:rsid w:val="00A54FF9"/>
    <w:rsid w:val="00A56765"/>
    <w:rsid w:val="00A675AC"/>
    <w:rsid w:val="00A72E3F"/>
    <w:rsid w:val="00A73595"/>
    <w:rsid w:val="00A74425"/>
    <w:rsid w:val="00A7581F"/>
    <w:rsid w:val="00A92FB1"/>
    <w:rsid w:val="00A95A0C"/>
    <w:rsid w:val="00A975D3"/>
    <w:rsid w:val="00AA12E3"/>
    <w:rsid w:val="00AA2765"/>
    <w:rsid w:val="00AA5939"/>
    <w:rsid w:val="00AA77B5"/>
    <w:rsid w:val="00AB6C5D"/>
    <w:rsid w:val="00AC0076"/>
    <w:rsid w:val="00AC3401"/>
    <w:rsid w:val="00AC51A7"/>
    <w:rsid w:val="00AD265C"/>
    <w:rsid w:val="00AD444B"/>
    <w:rsid w:val="00AD45B3"/>
    <w:rsid w:val="00AD5614"/>
    <w:rsid w:val="00AD5C79"/>
    <w:rsid w:val="00AD6C78"/>
    <w:rsid w:val="00AD6D0C"/>
    <w:rsid w:val="00AE2EAB"/>
    <w:rsid w:val="00AE44D1"/>
    <w:rsid w:val="00AE54E8"/>
    <w:rsid w:val="00AF5F89"/>
    <w:rsid w:val="00AF73CB"/>
    <w:rsid w:val="00B002D6"/>
    <w:rsid w:val="00B03379"/>
    <w:rsid w:val="00B05B51"/>
    <w:rsid w:val="00B13B66"/>
    <w:rsid w:val="00B14E5A"/>
    <w:rsid w:val="00B15370"/>
    <w:rsid w:val="00B16172"/>
    <w:rsid w:val="00B16DA4"/>
    <w:rsid w:val="00B17BEB"/>
    <w:rsid w:val="00B21A3C"/>
    <w:rsid w:val="00B223C0"/>
    <w:rsid w:val="00B234ED"/>
    <w:rsid w:val="00B2462A"/>
    <w:rsid w:val="00B249B2"/>
    <w:rsid w:val="00B25CA3"/>
    <w:rsid w:val="00B25DD9"/>
    <w:rsid w:val="00B2765A"/>
    <w:rsid w:val="00B3109A"/>
    <w:rsid w:val="00B44DCA"/>
    <w:rsid w:val="00B50336"/>
    <w:rsid w:val="00B51302"/>
    <w:rsid w:val="00B516ED"/>
    <w:rsid w:val="00B56F17"/>
    <w:rsid w:val="00B57A6A"/>
    <w:rsid w:val="00B64077"/>
    <w:rsid w:val="00B679A5"/>
    <w:rsid w:val="00B67F0D"/>
    <w:rsid w:val="00B760F1"/>
    <w:rsid w:val="00B7669E"/>
    <w:rsid w:val="00B76D55"/>
    <w:rsid w:val="00B77DA1"/>
    <w:rsid w:val="00B822A0"/>
    <w:rsid w:val="00B82D5F"/>
    <w:rsid w:val="00B85519"/>
    <w:rsid w:val="00B858AE"/>
    <w:rsid w:val="00B85964"/>
    <w:rsid w:val="00B87604"/>
    <w:rsid w:val="00B96250"/>
    <w:rsid w:val="00BA0D55"/>
    <w:rsid w:val="00BA2469"/>
    <w:rsid w:val="00BA37B3"/>
    <w:rsid w:val="00BA4CC6"/>
    <w:rsid w:val="00BB3493"/>
    <w:rsid w:val="00BB498E"/>
    <w:rsid w:val="00BB7468"/>
    <w:rsid w:val="00BB7A53"/>
    <w:rsid w:val="00BC188A"/>
    <w:rsid w:val="00BC402E"/>
    <w:rsid w:val="00BD0142"/>
    <w:rsid w:val="00BD0F48"/>
    <w:rsid w:val="00BE17E6"/>
    <w:rsid w:val="00BE61E1"/>
    <w:rsid w:val="00BE6DDB"/>
    <w:rsid w:val="00BF1A7D"/>
    <w:rsid w:val="00BF3A68"/>
    <w:rsid w:val="00BF5010"/>
    <w:rsid w:val="00C02688"/>
    <w:rsid w:val="00C03D5F"/>
    <w:rsid w:val="00C07602"/>
    <w:rsid w:val="00C117E3"/>
    <w:rsid w:val="00C13791"/>
    <w:rsid w:val="00C17C77"/>
    <w:rsid w:val="00C30D00"/>
    <w:rsid w:val="00C31BB3"/>
    <w:rsid w:val="00C32055"/>
    <w:rsid w:val="00C35426"/>
    <w:rsid w:val="00C36977"/>
    <w:rsid w:val="00C40A33"/>
    <w:rsid w:val="00C43B8B"/>
    <w:rsid w:val="00C467DA"/>
    <w:rsid w:val="00C477D9"/>
    <w:rsid w:val="00C60BA3"/>
    <w:rsid w:val="00C623F7"/>
    <w:rsid w:val="00C62A81"/>
    <w:rsid w:val="00C7001E"/>
    <w:rsid w:val="00C709D2"/>
    <w:rsid w:val="00C728A9"/>
    <w:rsid w:val="00C75BC5"/>
    <w:rsid w:val="00C802D6"/>
    <w:rsid w:val="00C81670"/>
    <w:rsid w:val="00C81773"/>
    <w:rsid w:val="00C82861"/>
    <w:rsid w:val="00C8560F"/>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D47D4"/>
    <w:rsid w:val="00CE2BF8"/>
    <w:rsid w:val="00CE2CC9"/>
    <w:rsid w:val="00CE484E"/>
    <w:rsid w:val="00CE656F"/>
    <w:rsid w:val="00CF0DA8"/>
    <w:rsid w:val="00CF2E25"/>
    <w:rsid w:val="00CF4453"/>
    <w:rsid w:val="00CF5D94"/>
    <w:rsid w:val="00CF7E0F"/>
    <w:rsid w:val="00D034D7"/>
    <w:rsid w:val="00D04BE4"/>
    <w:rsid w:val="00D04D3C"/>
    <w:rsid w:val="00D05088"/>
    <w:rsid w:val="00D063BA"/>
    <w:rsid w:val="00D067B3"/>
    <w:rsid w:val="00D06FC7"/>
    <w:rsid w:val="00D12565"/>
    <w:rsid w:val="00D14127"/>
    <w:rsid w:val="00D40DEC"/>
    <w:rsid w:val="00D43A4C"/>
    <w:rsid w:val="00D4521A"/>
    <w:rsid w:val="00D47ABA"/>
    <w:rsid w:val="00D60B16"/>
    <w:rsid w:val="00D60F02"/>
    <w:rsid w:val="00D66649"/>
    <w:rsid w:val="00D66E49"/>
    <w:rsid w:val="00D70D71"/>
    <w:rsid w:val="00D71C91"/>
    <w:rsid w:val="00D72F74"/>
    <w:rsid w:val="00D81563"/>
    <w:rsid w:val="00D85907"/>
    <w:rsid w:val="00D879AE"/>
    <w:rsid w:val="00D9073E"/>
    <w:rsid w:val="00D90808"/>
    <w:rsid w:val="00D9221D"/>
    <w:rsid w:val="00D958DF"/>
    <w:rsid w:val="00D96DA1"/>
    <w:rsid w:val="00DA08B4"/>
    <w:rsid w:val="00DA51E7"/>
    <w:rsid w:val="00DB0260"/>
    <w:rsid w:val="00DB1C78"/>
    <w:rsid w:val="00DB7D96"/>
    <w:rsid w:val="00DC23FE"/>
    <w:rsid w:val="00DC2D9E"/>
    <w:rsid w:val="00DC59E6"/>
    <w:rsid w:val="00DD150B"/>
    <w:rsid w:val="00DD5025"/>
    <w:rsid w:val="00DD69FE"/>
    <w:rsid w:val="00DE7B20"/>
    <w:rsid w:val="00DF1510"/>
    <w:rsid w:val="00E02F1F"/>
    <w:rsid w:val="00E06484"/>
    <w:rsid w:val="00E07804"/>
    <w:rsid w:val="00E13B68"/>
    <w:rsid w:val="00E166A3"/>
    <w:rsid w:val="00E20A7D"/>
    <w:rsid w:val="00E275D8"/>
    <w:rsid w:val="00E30F6A"/>
    <w:rsid w:val="00E3117C"/>
    <w:rsid w:val="00E365FD"/>
    <w:rsid w:val="00E375CA"/>
    <w:rsid w:val="00E40315"/>
    <w:rsid w:val="00E5364F"/>
    <w:rsid w:val="00E549F5"/>
    <w:rsid w:val="00E567E8"/>
    <w:rsid w:val="00E57CED"/>
    <w:rsid w:val="00E64679"/>
    <w:rsid w:val="00E65EBC"/>
    <w:rsid w:val="00E677FE"/>
    <w:rsid w:val="00E73432"/>
    <w:rsid w:val="00E77B0C"/>
    <w:rsid w:val="00E77FB8"/>
    <w:rsid w:val="00E838B0"/>
    <w:rsid w:val="00E86A7C"/>
    <w:rsid w:val="00E878E1"/>
    <w:rsid w:val="00E87F2C"/>
    <w:rsid w:val="00E90B71"/>
    <w:rsid w:val="00E95278"/>
    <w:rsid w:val="00E9534C"/>
    <w:rsid w:val="00EA2273"/>
    <w:rsid w:val="00EA7C3C"/>
    <w:rsid w:val="00EB2DB3"/>
    <w:rsid w:val="00EB31E1"/>
    <w:rsid w:val="00EC2F42"/>
    <w:rsid w:val="00EC3FBB"/>
    <w:rsid w:val="00EC64D5"/>
    <w:rsid w:val="00EC6B7A"/>
    <w:rsid w:val="00ED3A87"/>
    <w:rsid w:val="00ED5B67"/>
    <w:rsid w:val="00EE6D84"/>
    <w:rsid w:val="00EF264C"/>
    <w:rsid w:val="00EF3FEE"/>
    <w:rsid w:val="00F02B62"/>
    <w:rsid w:val="00F039E3"/>
    <w:rsid w:val="00F04B59"/>
    <w:rsid w:val="00F0503B"/>
    <w:rsid w:val="00F11741"/>
    <w:rsid w:val="00F12B1C"/>
    <w:rsid w:val="00F1345A"/>
    <w:rsid w:val="00F13CF8"/>
    <w:rsid w:val="00F15855"/>
    <w:rsid w:val="00F200B2"/>
    <w:rsid w:val="00F227DC"/>
    <w:rsid w:val="00F3254D"/>
    <w:rsid w:val="00F32978"/>
    <w:rsid w:val="00F3568D"/>
    <w:rsid w:val="00F40A7D"/>
    <w:rsid w:val="00F43A90"/>
    <w:rsid w:val="00F45CB2"/>
    <w:rsid w:val="00F52E78"/>
    <w:rsid w:val="00F542CF"/>
    <w:rsid w:val="00F544C0"/>
    <w:rsid w:val="00F55332"/>
    <w:rsid w:val="00F611EB"/>
    <w:rsid w:val="00F6504A"/>
    <w:rsid w:val="00F65519"/>
    <w:rsid w:val="00F711F5"/>
    <w:rsid w:val="00F713C0"/>
    <w:rsid w:val="00F75DDC"/>
    <w:rsid w:val="00F7792F"/>
    <w:rsid w:val="00F842AA"/>
    <w:rsid w:val="00F8476F"/>
    <w:rsid w:val="00F85390"/>
    <w:rsid w:val="00F853E1"/>
    <w:rsid w:val="00F85604"/>
    <w:rsid w:val="00F87C39"/>
    <w:rsid w:val="00F94B7A"/>
    <w:rsid w:val="00FA17AC"/>
    <w:rsid w:val="00FA32DE"/>
    <w:rsid w:val="00FA3382"/>
    <w:rsid w:val="00FA59CD"/>
    <w:rsid w:val="00FB0118"/>
    <w:rsid w:val="00FB1740"/>
    <w:rsid w:val="00FC5469"/>
    <w:rsid w:val="00FC6D7D"/>
    <w:rsid w:val="00FD16B0"/>
    <w:rsid w:val="00FD4FED"/>
    <w:rsid w:val="00FD786C"/>
    <w:rsid w:val="00FE0577"/>
    <w:rsid w:val="00FE59EC"/>
    <w:rsid w:val="00FE5B67"/>
    <w:rsid w:val="00FE60D6"/>
    <w:rsid w:val="00FE79BB"/>
    <w:rsid w:val="00FF08B9"/>
    <w:rsid w:val="00FF6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4A2C99"/>
    <w:rPr>
      <w:vertAlign w:val="superscript"/>
    </w:rPr>
  </w:style>
  <w:style w:type="character" w:customStyle="1" w:styleId="FootnoteTextChar">
    <w:name w:val="Footnote Text Char"/>
    <w:basedOn w:val="DefaultParagraphFont"/>
    <w:link w:val="FootnoteText"/>
    <w:rsid w:val="004A2C99"/>
  </w:style>
  <w:style w:type="table" w:customStyle="1" w:styleId="TableGrid1">
    <w:name w:val="Table Grid1"/>
    <w:basedOn w:val="TableNormal"/>
    <w:next w:val="TableGrid"/>
    <w:uiPriority w:val="59"/>
    <w:rsid w:val="00C802D6"/>
    <w:pPr>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06524"/>
    <w:pPr>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7854C5"/>
    <w:rPr>
      <w:vertAlign w:val="superscript"/>
    </w:rPr>
  </w:style>
  <w:style w:type="table" w:customStyle="1" w:styleId="TableGrid11">
    <w:name w:val="Table Grid11"/>
    <w:basedOn w:val="TableNormal"/>
    <w:next w:val="TableGrid"/>
    <w:uiPriority w:val="59"/>
    <w:rsid w:val="008D6FD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F1D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3068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500F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4A2C99"/>
    <w:rPr>
      <w:vertAlign w:val="superscript"/>
    </w:rPr>
  </w:style>
  <w:style w:type="character" w:customStyle="1" w:styleId="FootnoteTextChar">
    <w:name w:val="Footnote Text Char"/>
    <w:basedOn w:val="DefaultParagraphFont"/>
    <w:link w:val="FootnoteText"/>
    <w:rsid w:val="004A2C99"/>
  </w:style>
  <w:style w:type="table" w:customStyle="1" w:styleId="TableGrid1">
    <w:name w:val="Table Grid1"/>
    <w:basedOn w:val="TableNormal"/>
    <w:next w:val="TableGrid"/>
    <w:uiPriority w:val="59"/>
    <w:rsid w:val="00C802D6"/>
    <w:pPr>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06524"/>
    <w:pPr>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7854C5"/>
    <w:rPr>
      <w:vertAlign w:val="superscript"/>
    </w:rPr>
  </w:style>
  <w:style w:type="table" w:customStyle="1" w:styleId="TableGrid11">
    <w:name w:val="Table Grid11"/>
    <w:basedOn w:val="TableNormal"/>
    <w:next w:val="TableGrid"/>
    <w:uiPriority w:val="59"/>
    <w:rsid w:val="008D6FD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F1D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3068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500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356">
      <w:bodyDiv w:val="1"/>
      <w:marLeft w:val="0"/>
      <w:marRight w:val="0"/>
      <w:marTop w:val="0"/>
      <w:marBottom w:val="0"/>
      <w:divBdr>
        <w:top w:val="none" w:sz="0" w:space="0" w:color="auto"/>
        <w:left w:val="none" w:sz="0" w:space="0" w:color="auto"/>
        <w:bottom w:val="none" w:sz="0" w:space="0" w:color="auto"/>
        <w:right w:val="none" w:sz="0" w:space="0" w:color="auto"/>
      </w:divBdr>
    </w:div>
    <w:div w:id="10036672">
      <w:bodyDiv w:val="1"/>
      <w:marLeft w:val="0"/>
      <w:marRight w:val="0"/>
      <w:marTop w:val="0"/>
      <w:marBottom w:val="0"/>
      <w:divBdr>
        <w:top w:val="none" w:sz="0" w:space="0" w:color="auto"/>
        <w:left w:val="none" w:sz="0" w:space="0" w:color="auto"/>
        <w:bottom w:val="none" w:sz="0" w:space="0" w:color="auto"/>
        <w:right w:val="none" w:sz="0" w:space="0" w:color="auto"/>
      </w:divBdr>
    </w:div>
    <w:div w:id="245457739">
      <w:bodyDiv w:val="1"/>
      <w:marLeft w:val="0"/>
      <w:marRight w:val="0"/>
      <w:marTop w:val="0"/>
      <w:marBottom w:val="0"/>
      <w:divBdr>
        <w:top w:val="none" w:sz="0" w:space="0" w:color="auto"/>
        <w:left w:val="none" w:sz="0" w:space="0" w:color="auto"/>
        <w:bottom w:val="none" w:sz="0" w:space="0" w:color="auto"/>
        <w:right w:val="none" w:sz="0" w:space="0" w:color="auto"/>
      </w:divBdr>
    </w:div>
    <w:div w:id="385299096">
      <w:bodyDiv w:val="1"/>
      <w:marLeft w:val="0"/>
      <w:marRight w:val="0"/>
      <w:marTop w:val="0"/>
      <w:marBottom w:val="0"/>
      <w:divBdr>
        <w:top w:val="none" w:sz="0" w:space="0" w:color="auto"/>
        <w:left w:val="none" w:sz="0" w:space="0" w:color="auto"/>
        <w:bottom w:val="none" w:sz="0" w:space="0" w:color="auto"/>
        <w:right w:val="none" w:sz="0" w:space="0" w:color="auto"/>
      </w:divBdr>
    </w:div>
    <w:div w:id="667253622">
      <w:bodyDiv w:val="1"/>
      <w:marLeft w:val="0"/>
      <w:marRight w:val="0"/>
      <w:marTop w:val="0"/>
      <w:marBottom w:val="0"/>
      <w:divBdr>
        <w:top w:val="none" w:sz="0" w:space="0" w:color="auto"/>
        <w:left w:val="none" w:sz="0" w:space="0" w:color="auto"/>
        <w:bottom w:val="none" w:sz="0" w:space="0" w:color="auto"/>
        <w:right w:val="none" w:sz="0" w:space="0" w:color="auto"/>
      </w:divBdr>
    </w:div>
    <w:div w:id="747993782">
      <w:bodyDiv w:val="1"/>
      <w:marLeft w:val="0"/>
      <w:marRight w:val="0"/>
      <w:marTop w:val="0"/>
      <w:marBottom w:val="0"/>
      <w:divBdr>
        <w:top w:val="none" w:sz="0" w:space="0" w:color="auto"/>
        <w:left w:val="none" w:sz="0" w:space="0" w:color="auto"/>
        <w:bottom w:val="none" w:sz="0" w:space="0" w:color="auto"/>
        <w:right w:val="none" w:sz="0" w:space="0" w:color="auto"/>
      </w:divBdr>
    </w:div>
    <w:div w:id="983580851">
      <w:bodyDiv w:val="1"/>
      <w:marLeft w:val="0"/>
      <w:marRight w:val="0"/>
      <w:marTop w:val="0"/>
      <w:marBottom w:val="0"/>
      <w:divBdr>
        <w:top w:val="none" w:sz="0" w:space="0" w:color="auto"/>
        <w:left w:val="none" w:sz="0" w:space="0" w:color="auto"/>
        <w:bottom w:val="none" w:sz="0" w:space="0" w:color="auto"/>
        <w:right w:val="none" w:sz="0" w:space="0" w:color="auto"/>
      </w:divBdr>
    </w:div>
    <w:div w:id="1060665071">
      <w:bodyDiv w:val="1"/>
      <w:marLeft w:val="0"/>
      <w:marRight w:val="0"/>
      <w:marTop w:val="0"/>
      <w:marBottom w:val="0"/>
      <w:divBdr>
        <w:top w:val="none" w:sz="0" w:space="0" w:color="auto"/>
        <w:left w:val="none" w:sz="0" w:space="0" w:color="auto"/>
        <w:bottom w:val="none" w:sz="0" w:space="0" w:color="auto"/>
        <w:right w:val="none" w:sz="0" w:space="0" w:color="auto"/>
      </w:divBdr>
    </w:div>
    <w:div w:id="1212960080">
      <w:bodyDiv w:val="1"/>
      <w:marLeft w:val="0"/>
      <w:marRight w:val="0"/>
      <w:marTop w:val="0"/>
      <w:marBottom w:val="0"/>
      <w:divBdr>
        <w:top w:val="none" w:sz="0" w:space="0" w:color="auto"/>
        <w:left w:val="none" w:sz="0" w:space="0" w:color="auto"/>
        <w:bottom w:val="none" w:sz="0" w:space="0" w:color="auto"/>
        <w:right w:val="none" w:sz="0" w:space="0" w:color="auto"/>
      </w:divBdr>
    </w:div>
    <w:div w:id="1265725078">
      <w:bodyDiv w:val="1"/>
      <w:marLeft w:val="0"/>
      <w:marRight w:val="0"/>
      <w:marTop w:val="0"/>
      <w:marBottom w:val="0"/>
      <w:divBdr>
        <w:top w:val="none" w:sz="0" w:space="0" w:color="auto"/>
        <w:left w:val="none" w:sz="0" w:space="0" w:color="auto"/>
        <w:bottom w:val="none" w:sz="0" w:space="0" w:color="auto"/>
        <w:right w:val="none" w:sz="0" w:space="0" w:color="auto"/>
      </w:divBdr>
    </w:div>
    <w:div w:id="1275598254">
      <w:bodyDiv w:val="1"/>
      <w:marLeft w:val="0"/>
      <w:marRight w:val="0"/>
      <w:marTop w:val="0"/>
      <w:marBottom w:val="0"/>
      <w:divBdr>
        <w:top w:val="none" w:sz="0" w:space="0" w:color="auto"/>
        <w:left w:val="none" w:sz="0" w:space="0" w:color="auto"/>
        <w:bottom w:val="none" w:sz="0" w:space="0" w:color="auto"/>
        <w:right w:val="none" w:sz="0" w:space="0" w:color="auto"/>
      </w:divBdr>
    </w:div>
    <w:div w:id="1294019442">
      <w:bodyDiv w:val="1"/>
      <w:marLeft w:val="0"/>
      <w:marRight w:val="0"/>
      <w:marTop w:val="0"/>
      <w:marBottom w:val="0"/>
      <w:divBdr>
        <w:top w:val="none" w:sz="0" w:space="0" w:color="auto"/>
        <w:left w:val="none" w:sz="0" w:space="0" w:color="auto"/>
        <w:bottom w:val="none" w:sz="0" w:space="0" w:color="auto"/>
        <w:right w:val="none" w:sz="0" w:space="0" w:color="auto"/>
      </w:divBdr>
    </w:div>
    <w:div w:id="1520309663">
      <w:bodyDiv w:val="1"/>
      <w:marLeft w:val="0"/>
      <w:marRight w:val="0"/>
      <w:marTop w:val="0"/>
      <w:marBottom w:val="0"/>
      <w:divBdr>
        <w:top w:val="none" w:sz="0" w:space="0" w:color="auto"/>
        <w:left w:val="none" w:sz="0" w:space="0" w:color="auto"/>
        <w:bottom w:val="none" w:sz="0" w:space="0" w:color="auto"/>
        <w:right w:val="none" w:sz="0" w:space="0" w:color="auto"/>
      </w:divBdr>
    </w:div>
    <w:div w:id="1551265157">
      <w:bodyDiv w:val="1"/>
      <w:marLeft w:val="0"/>
      <w:marRight w:val="0"/>
      <w:marTop w:val="0"/>
      <w:marBottom w:val="0"/>
      <w:divBdr>
        <w:top w:val="none" w:sz="0" w:space="0" w:color="auto"/>
        <w:left w:val="none" w:sz="0" w:space="0" w:color="auto"/>
        <w:bottom w:val="none" w:sz="0" w:space="0" w:color="auto"/>
        <w:right w:val="none" w:sz="0" w:space="0" w:color="auto"/>
      </w:divBdr>
    </w:div>
    <w:div w:id="1588735431">
      <w:bodyDiv w:val="1"/>
      <w:marLeft w:val="0"/>
      <w:marRight w:val="0"/>
      <w:marTop w:val="0"/>
      <w:marBottom w:val="0"/>
      <w:divBdr>
        <w:top w:val="none" w:sz="0" w:space="0" w:color="auto"/>
        <w:left w:val="none" w:sz="0" w:space="0" w:color="auto"/>
        <w:bottom w:val="none" w:sz="0" w:space="0" w:color="auto"/>
        <w:right w:val="none" w:sz="0" w:space="0" w:color="auto"/>
      </w:divBdr>
    </w:div>
    <w:div w:id="1596203479">
      <w:bodyDiv w:val="1"/>
      <w:marLeft w:val="0"/>
      <w:marRight w:val="0"/>
      <w:marTop w:val="0"/>
      <w:marBottom w:val="0"/>
      <w:divBdr>
        <w:top w:val="none" w:sz="0" w:space="0" w:color="auto"/>
        <w:left w:val="none" w:sz="0" w:space="0" w:color="auto"/>
        <w:bottom w:val="none" w:sz="0" w:space="0" w:color="auto"/>
        <w:right w:val="none" w:sz="0" w:space="0" w:color="auto"/>
      </w:divBdr>
    </w:div>
    <w:div w:id="1892881093">
      <w:bodyDiv w:val="1"/>
      <w:marLeft w:val="0"/>
      <w:marRight w:val="0"/>
      <w:marTop w:val="0"/>
      <w:marBottom w:val="0"/>
      <w:divBdr>
        <w:top w:val="none" w:sz="0" w:space="0" w:color="auto"/>
        <w:left w:val="none" w:sz="0" w:space="0" w:color="auto"/>
        <w:bottom w:val="none" w:sz="0" w:space="0" w:color="auto"/>
        <w:right w:val="none" w:sz="0" w:space="0" w:color="auto"/>
      </w:divBdr>
    </w:div>
    <w:div w:id="203988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image" Target="media/image5.emf"/><Relationship Id="rId42" Type="http://schemas.openxmlformats.org/officeDocument/2006/relationships/header" Target="header2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image" Target="media/image4.emf"/><Relationship Id="rId38"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8.xml"/><Relationship Id="rId37" Type="http://schemas.openxmlformats.org/officeDocument/2006/relationships/image" Target="media/image7.emf"/><Relationship Id="rId40" Type="http://schemas.openxmlformats.org/officeDocument/2006/relationships/image" Target="media/image8.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image" Target="media/image6.emf"/><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7.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image" Target="media/image3.emf"/><Relationship Id="rId35" Type="http://schemas.openxmlformats.org/officeDocument/2006/relationships/header" Target="header19.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29DE7-E2A4-47F0-A6CF-E3CAB91FE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40</Pages>
  <Words>10968</Words>
  <Characters>63512</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John Hightower</dc:creator>
  <cp:lastModifiedBy>Sara Boyer</cp:lastModifiedBy>
  <cp:revision>2</cp:revision>
  <cp:lastPrinted>2020-02-20T16:09:00Z</cp:lastPrinted>
  <dcterms:created xsi:type="dcterms:W3CDTF">2020-02-20T16:14:00Z</dcterms:created>
  <dcterms:modified xsi:type="dcterms:W3CDTF">2020-02-20T16:14:00Z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20190125-WS</vt:lpwstr>
  </property>
  <property fmtid="{D5CDD505-2E9C-101B-9397-08002B2CF9AE}" pid="3" name="MasterDocument">
    <vt:bool>false</vt:bool>
  </property>
</Properties>
</file>