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6519" w:rsidP="00466519">
      <w:pPr>
        <w:pStyle w:val="OrderHeading"/>
      </w:pPr>
      <w:r>
        <w:t>BEFORE THE FLORIDA PUBLIC SERVICE COMMISSION</w:t>
      </w:r>
    </w:p>
    <w:p w:rsidR="00466519" w:rsidRDefault="00466519" w:rsidP="00466519">
      <w:pPr>
        <w:pStyle w:val="OrderBody"/>
      </w:pPr>
    </w:p>
    <w:p w:rsidR="00466519" w:rsidRDefault="00466519" w:rsidP="004665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6519" w:rsidRPr="00C63FCF" w:rsidTr="004D51E9">
        <w:trPr>
          <w:trHeight w:val="828"/>
        </w:trPr>
        <w:tc>
          <w:tcPr>
            <w:tcW w:w="4788" w:type="dxa"/>
            <w:tcBorders>
              <w:bottom w:val="single" w:sz="8" w:space="0" w:color="auto"/>
              <w:right w:val="double" w:sz="6" w:space="0" w:color="auto"/>
            </w:tcBorders>
            <w:shd w:val="clear" w:color="auto" w:fill="auto"/>
          </w:tcPr>
          <w:p w:rsidR="00466519" w:rsidRDefault="00466519" w:rsidP="004D51E9">
            <w:pPr>
              <w:pStyle w:val="OrderBody"/>
              <w:tabs>
                <w:tab w:val="center" w:pos="4320"/>
                <w:tab w:val="right" w:pos="8640"/>
              </w:tabs>
              <w:jc w:val="left"/>
            </w:pPr>
            <w:r>
              <w:t xml:space="preserve">In re: </w:t>
            </w:r>
            <w:bookmarkStart w:id="0" w:name="SSInRe"/>
            <w:bookmarkEnd w:id="0"/>
            <w:r>
              <w:t>Application for staff-assisted rate case in Alachua County, and request for interim rate increase by Gator Waterworks, Inc.</w:t>
            </w:r>
          </w:p>
        </w:tc>
        <w:tc>
          <w:tcPr>
            <w:tcW w:w="4788" w:type="dxa"/>
            <w:tcBorders>
              <w:left w:val="double" w:sz="6" w:space="0" w:color="auto"/>
            </w:tcBorders>
            <w:shd w:val="clear" w:color="auto" w:fill="auto"/>
          </w:tcPr>
          <w:p w:rsidR="00466519" w:rsidRDefault="00466519" w:rsidP="00466519">
            <w:pPr>
              <w:pStyle w:val="OrderBody"/>
            </w:pPr>
            <w:r>
              <w:t xml:space="preserve">DOCKET NO. </w:t>
            </w:r>
            <w:bookmarkStart w:id="1" w:name="SSDocketNo"/>
            <w:bookmarkEnd w:id="1"/>
            <w:r>
              <w:t>20190114-WU</w:t>
            </w:r>
          </w:p>
          <w:p w:rsidR="00466519" w:rsidRDefault="00466519" w:rsidP="004D51E9">
            <w:pPr>
              <w:pStyle w:val="OrderBody"/>
              <w:tabs>
                <w:tab w:val="center" w:pos="4320"/>
                <w:tab w:val="right" w:pos="8640"/>
              </w:tabs>
              <w:jc w:val="left"/>
            </w:pPr>
            <w:r>
              <w:t xml:space="preserve">ORDER NO. </w:t>
            </w:r>
            <w:bookmarkStart w:id="2" w:name="OrderNo0086"/>
            <w:r w:rsidR="00236988">
              <w:t>PSC-2020-0086-PAA-WU</w:t>
            </w:r>
            <w:bookmarkEnd w:id="2"/>
          </w:p>
          <w:p w:rsidR="00466519" w:rsidRDefault="00466519" w:rsidP="004D51E9">
            <w:pPr>
              <w:pStyle w:val="OrderBody"/>
              <w:tabs>
                <w:tab w:val="center" w:pos="4320"/>
                <w:tab w:val="right" w:pos="8640"/>
              </w:tabs>
              <w:jc w:val="left"/>
            </w:pPr>
            <w:r>
              <w:t xml:space="preserve">ISSUED: </w:t>
            </w:r>
            <w:r w:rsidR="00236988">
              <w:t>March 24, 2020</w:t>
            </w:r>
          </w:p>
        </w:tc>
      </w:tr>
    </w:tbl>
    <w:p w:rsidR="00466519" w:rsidRDefault="00466519" w:rsidP="00466519"/>
    <w:p w:rsidR="00466519" w:rsidRDefault="00466519" w:rsidP="00466519"/>
    <w:p w:rsidR="00466519" w:rsidRDefault="00466519" w:rsidP="00B67A43">
      <w:pPr>
        <w:ind w:firstLine="720"/>
        <w:jc w:val="both"/>
      </w:pPr>
      <w:bookmarkStart w:id="3" w:name="Commissioners"/>
      <w:bookmarkEnd w:id="3"/>
      <w:r>
        <w:t>The following Commissioners participated in the disposition of this matter:</w:t>
      </w:r>
    </w:p>
    <w:p w:rsidR="00466519" w:rsidRDefault="00466519" w:rsidP="00B67A43"/>
    <w:p w:rsidR="00466519" w:rsidRDefault="00466519" w:rsidP="00B67A43">
      <w:pPr>
        <w:jc w:val="center"/>
      </w:pPr>
      <w:r>
        <w:t>GARY F. CLARK, Chairman</w:t>
      </w:r>
    </w:p>
    <w:p w:rsidR="00466519" w:rsidRDefault="00466519" w:rsidP="00B67A43">
      <w:pPr>
        <w:jc w:val="center"/>
      </w:pPr>
      <w:r>
        <w:t>ART GRAHAM</w:t>
      </w:r>
    </w:p>
    <w:p w:rsidR="00466519" w:rsidRDefault="00466519" w:rsidP="00B67A43">
      <w:pPr>
        <w:jc w:val="center"/>
      </w:pPr>
      <w:r>
        <w:t>JULIE I. BROWN</w:t>
      </w:r>
    </w:p>
    <w:p w:rsidR="00466519" w:rsidRDefault="00466519" w:rsidP="00B67A43">
      <w:pPr>
        <w:jc w:val="center"/>
      </w:pPr>
      <w:r>
        <w:t>DONALD J. POLMANN</w:t>
      </w:r>
    </w:p>
    <w:p w:rsidR="00466519" w:rsidRDefault="00466519" w:rsidP="00B67A43">
      <w:pPr>
        <w:jc w:val="center"/>
      </w:pPr>
      <w:r>
        <w:t>ANDREW GILES FAY</w:t>
      </w:r>
    </w:p>
    <w:p w:rsidR="00466519" w:rsidRDefault="00466519" w:rsidP="00B67A43"/>
    <w:bookmarkStart w:id="4" w:name="OrderText"/>
    <w:bookmarkEnd w:id="4"/>
    <w:p w:rsidR="00466519" w:rsidRPr="003E4B2D" w:rsidRDefault="0046651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03CB2" w:rsidRDefault="00466519">
      <w:pPr>
        <w:pStyle w:val="OrderBody"/>
        <w:jc w:val="center"/>
        <w:rPr>
          <w:u w:val="single"/>
        </w:rPr>
      </w:pPr>
      <w:r w:rsidRPr="003E4B2D">
        <w:rPr>
          <w:u w:val="single"/>
        </w:rPr>
        <w:t>ORDER</w:t>
      </w:r>
      <w:bookmarkStart w:id="5" w:name="OrderTitle"/>
      <w:r w:rsidR="00803CB2">
        <w:rPr>
          <w:u w:val="single"/>
        </w:rPr>
        <w:t xml:space="preserve"> APPROVING RATE INCREASE FOR GATOR WATERWORKS, INC.</w:t>
      </w:r>
    </w:p>
    <w:p w:rsidR="00803CB2" w:rsidRDefault="00803CB2">
      <w:pPr>
        <w:pStyle w:val="OrderBody"/>
        <w:jc w:val="center"/>
        <w:rPr>
          <w:u w:val="single"/>
        </w:rPr>
      </w:pPr>
      <w:r>
        <w:rPr>
          <w:u w:val="single"/>
        </w:rPr>
        <w:t>AND ORDER ON RECOVERY OF RATE CASE EXPENSES, TEMPORARY RATES,</w:t>
      </w:r>
    </w:p>
    <w:p w:rsidR="00466519" w:rsidRPr="003E4B2D" w:rsidRDefault="00803CB2">
      <w:pPr>
        <w:pStyle w:val="OrderBody"/>
        <w:jc w:val="center"/>
        <w:rPr>
          <w:u w:val="single"/>
        </w:rPr>
      </w:pPr>
      <w:r>
        <w:rPr>
          <w:u w:val="single"/>
        </w:rPr>
        <w:t>AND ACCOUNTING ADJUSTMENTS</w:t>
      </w:r>
      <w:r w:rsidR="00466519">
        <w:rPr>
          <w:u w:val="single"/>
        </w:rPr>
        <w:t xml:space="preserve"> </w:t>
      </w:r>
      <w:bookmarkEnd w:id="5"/>
    </w:p>
    <w:p w:rsidR="00466519" w:rsidRPr="003E4B2D" w:rsidRDefault="00466519">
      <w:pPr>
        <w:pStyle w:val="OrderBody"/>
      </w:pPr>
    </w:p>
    <w:p w:rsidR="00466519" w:rsidRPr="003E4B2D" w:rsidRDefault="00466519">
      <w:pPr>
        <w:pStyle w:val="OrderBody"/>
      </w:pPr>
      <w:r w:rsidRPr="003E4B2D">
        <w:t>BY THE COMMISSION:</w:t>
      </w:r>
    </w:p>
    <w:p w:rsidR="00466519" w:rsidRPr="003E4B2D" w:rsidRDefault="00466519">
      <w:pPr>
        <w:pStyle w:val="OrderBody"/>
      </w:pPr>
    </w:p>
    <w:p w:rsidR="00466519" w:rsidRDefault="00466519">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rsidRPr="008B0ED2">
        <w:t>procedural</w:t>
      </w:r>
      <w:r w:rsidRPr="00351E1C">
        <w:t xml:space="preserve"> agency actions and subject to reconsideration and appeal as described below under the heading, “NOTICE OF FURTHER PROCEEDINGS OR JUDICIAL REVIEW</w:t>
      </w:r>
      <w:r>
        <w:t>.”</w:t>
      </w:r>
    </w:p>
    <w:p w:rsidR="00CB5276" w:rsidRDefault="00CB5276" w:rsidP="00466519"/>
    <w:p w:rsidR="00466519" w:rsidRPr="00803CB2" w:rsidRDefault="00466519" w:rsidP="00466519">
      <w:pPr>
        <w:pStyle w:val="RecommendationMajorSectionHeading"/>
        <w:rPr>
          <w:rFonts w:ascii="Times New Roman" w:hAnsi="Times New Roman" w:cs="Times New Roman"/>
        </w:rPr>
      </w:pPr>
      <w:r w:rsidRPr="00803CB2">
        <w:rPr>
          <w:rFonts w:ascii="Times New Roman" w:hAnsi="Times New Roman" w:cs="Times New Roman"/>
        </w:rPr>
        <w:t>Background</w:t>
      </w:r>
    </w:p>
    <w:p w:rsidR="00466519" w:rsidRPr="00C00C95" w:rsidRDefault="00466519" w:rsidP="00466519">
      <w:pPr>
        <w:jc w:val="both"/>
      </w:pPr>
      <w:r>
        <w:tab/>
      </w:r>
      <w:r w:rsidRPr="00C00C95">
        <w:t>Gator Waterworks, Inc. (Gator or utility) is a Class C utility serving approximately 331 residential water customers and 4 general service customers in Alachua County. The utility has never had a staff-assisted rate case</w:t>
      </w:r>
      <w:r w:rsidR="00803CB2">
        <w:t xml:space="preserve"> (SARC) before this</w:t>
      </w:r>
      <w:r w:rsidRPr="00C00C95">
        <w:t xml:space="preserve"> Commission. According to Gator</w:t>
      </w:r>
      <w:r>
        <w:t>’s</w:t>
      </w:r>
      <w:r w:rsidRPr="00C00C95">
        <w:t xml:space="preserve"> 2018 annual report, total gross revenue was $47,041 and total operating expense was $80,178.</w:t>
      </w:r>
    </w:p>
    <w:p w:rsidR="00466519" w:rsidRPr="00C00C95" w:rsidRDefault="00466519" w:rsidP="00466519">
      <w:pPr>
        <w:jc w:val="both"/>
      </w:pPr>
    </w:p>
    <w:p w:rsidR="00466519" w:rsidRPr="00C00C95" w:rsidRDefault="00466519" w:rsidP="00466519">
      <w:pPr>
        <w:jc w:val="both"/>
      </w:pPr>
      <w:r>
        <w:tab/>
      </w:r>
      <w:r w:rsidRPr="00C00C95">
        <w:t xml:space="preserve">The utility began providing water service in 1965 under the name Kincaid Hills Water Company. On June 30, 1992, the Alachua County Board of County Commissioners adopted a resolution, which gave jurisdiction over the regulation of privately-owned water and wastewater utilities to this Commission. On November 18, 1992, Kincaid filed its application for an original certificate to provide water service in Alachua </w:t>
      </w:r>
      <w:r>
        <w:t>County under grandfather rights</w:t>
      </w:r>
      <w:r w:rsidRPr="00C00C95">
        <w:t xml:space="preserve"> and Certificate </w:t>
      </w:r>
      <w:r w:rsidRPr="00C00C95">
        <w:lastRenderedPageBreak/>
        <w:t>No. 555-W w</w:t>
      </w:r>
      <w:r>
        <w:t>as granted by Order No. PSC-93</w:t>
      </w:r>
      <w:r w:rsidRPr="00C00C95">
        <w:t>-1027-FOF-WU.</w:t>
      </w:r>
      <w:r w:rsidRPr="00C00C95">
        <w:rPr>
          <w:vertAlign w:val="superscript"/>
        </w:rPr>
        <w:footnoteReference w:id="1"/>
      </w:r>
      <w:r w:rsidRPr="00C00C95">
        <w:t xml:space="preserve"> The utility’s rates and charges were last approved in the grandfather certificate proceeding. However, the utility’s rates have been amended through three price index increases.</w:t>
      </w:r>
    </w:p>
    <w:p w:rsidR="00466519" w:rsidRPr="00C00C95" w:rsidRDefault="00466519" w:rsidP="00466519">
      <w:pPr>
        <w:jc w:val="both"/>
      </w:pPr>
    </w:p>
    <w:p w:rsidR="00466519" w:rsidRDefault="00466519" w:rsidP="00466519">
      <w:pPr>
        <w:jc w:val="both"/>
      </w:pPr>
      <w:r>
        <w:tab/>
      </w:r>
      <w:r w:rsidRPr="00C00C95">
        <w:t>Gator purchased Kincaid Hills Water Company on February 23, 2018, and filed an application for Transfer of</w:t>
      </w:r>
      <w:r>
        <w:t xml:space="preserve"> Facilities and</w:t>
      </w:r>
      <w:r w:rsidRPr="00C00C95">
        <w:t xml:space="preserve"> Certificate on March 12, 2018. </w:t>
      </w:r>
      <w:r w:rsidR="00926FE7">
        <w:t>We</w:t>
      </w:r>
      <w:r w:rsidRPr="00C00C95">
        <w:t xml:space="preserve"> approved the transfer</w:t>
      </w:r>
      <w:r w:rsidR="00926FE7">
        <w:t xml:space="preserve"> b</w:t>
      </w:r>
      <w:r w:rsidR="00926FE7" w:rsidRPr="00C00C95">
        <w:t>y</w:t>
      </w:r>
      <w:r w:rsidR="00926FE7">
        <w:t xml:space="preserve"> Order No. PSC-2018-0587-PAA-WU (transfer order)</w:t>
      </w:r>
      <w:r w:rsidRPr="00C00C95">
        <w:t>.</w:t>
      </w:r>
      <w:r>
        <w:rPr>
          <w:rStyle w:val="FootnoteReference"/>
        </w:rPr>
        <w:footnoteReference w:id="2"/>
      </w:r>
      <w:r w:rsidRPr="00C00C95">
        <w:t xml:space="preserve"> On May 13, 2019, Gator filed its application for a </w:t>
      </w:r>
      <w:r>
        <w:t>SARC</w:t>
      </w:r>
      <w:r w:rsidRPr="00C00C95">
        <w:t>. In its application, the utility requested a test year ended March 31, 2019, for interim and final rate purposes.</w:t>
      </w:r>
      <w:r>
        <w:t xml:space="preserve"> </w:t>
      </w:r>
      <w:r w:rsidR="00926FE7">
        <w:t>We</w:t>
      </w:r>
      <w:r>
        <w:t xml:space="preserve"> approved interim rates designed to generate a revenue increase of 37.42 percent.</w:t>
      </w:r>
      <w:r>
        <w:rPr>
          <w:rStyle w:val="FootnoteReference"/>
        </w:rPr>
        <w:footnoteReference w:id="3"/>
      </w:r>
    </w:p>
    <w:p w:rsidR="00466519" w:rsidRDefault="00466519" w:rsidP="00466519">
      <w:pPr>
        <w:jc w:val="both"/>
      </w:pPr>
    </w:p>
    <w:p w:rsidR="00D57E57" w:rsidRDefault="00466519" w:rsidP="00926FE7">
      <w:pPr>
        <w:jc w:val="both"/>
      </w:pPr>
      <w:r>
        <w:tab/>
      </w:r>
      <w:r w:rsidR="00926FE7">
        <w:t>We have</w:t>
      </w:r>
      <w:r w:rsidRPr="00C00C95">
        <w:t xml:space="preserve"> jurisdiction pursuant to </w:t>
      </w:r>
      <w:r>
        <w:t>Sections 367.011, 367.081</w:t>
      </w:r>
      <w:r w:rsidRPr="00C00C95">
        <w:t>,</w:t>
      </w:r>
      <w:r>
        <w:t xml:space="preserve"> 367.0812, 367.0814, 367.091 and 367.121, </w:t>
      </w:r>
      <w:r w:rsidRPr="00C00C95">
        <w:t>Florida Statutes (F.S</w:t>
      </w:r>
      <w:r>
        <w:t>.).</w:t>
      </w:r>
    </w:p>
    <w:p w:rsidR="00466519" w:rsidRDefault="00466519" w:rsidP="00466519"/>
    <w:p w:rsidR="00466519" w:rsidRPr="00803CB2" w:rsidRDefault="00803CB2" w:rsidP="00466519">
      <w:pPr>
        <w:keepNext/>
        <w:spacing w:after="240"/>
        <w:jc w:val="center"/>
        <w:outlineLvl w:val="0"/>
        <w:rPr>
          <w:b/>
          <w:bCs/>
          <w:kern w:val="32"/>
          <w:szCs w:val="32"/>
        </w:rPr>
      </w:pPr>
      <w:bookmarkStart w:id="6" w:name="DiscussionOfIssues"/>
      <w:r>
        <w:rPr>
          <w:b/>
          <w:bCs/>
          <w:kern w:val="32"/>
          <w:szCs w:val="32"/>
        </w:rPr>
        <w:t>Review and Decision</w:t>
      </w:r>
    </w:p>
    <w:bookmarkEnd w:id="6"/>
    <w:p w:rsidR="00803CB2" w:rsidRPr="00803CB2" w:rsidRDefault="00803CB2" w:rsidP="00466519">
      <w:pPr>
        <w:jc w:val="both"/>
        <w:rPr>
          <w:rFonts w:eastAsiaTheme="minorHAnsi"/>
          <w:szCs w:val="22"/>
          <w:u w:val="single"/>
        </w:rPr>
      </w:pPr>
      <w:r>
        <w:rPr>
          <w:rFonts w:eastAsiaTheme="minorHAnsi"/>
          <w:szCs w:val="22"/>
          <w:u w:val="single"/>
        </w:rPr>
        <w:t>1. Quality of Service</w:t>
      </w:r>
    </w:p>
    <w:p w:rsidR="00803CB2" w:rsidRDefault="00803CB2" w:rsidP="00466519">
      <w:pPr>
        <w:jc w:val="both"/>
        <w:rPr>
          <w:rFonts w:eastAsiaTheme="minorHAnsi"/>
          <w:szCs w:val="22"/>
        </w:rPr>
      </w:pPr>
    </w:p>
    <w:p w:rsidR="00466519" w:rsidRPr="00466519" w:rsidRDefault="00466519" w:rsidP="00803CB2">
      <w:pPr>
        <w:ind w:firstLine="720"/>
        <w:jc w:val="both"/>
        <w:rPr>
          <w:rFonts w:eastAsiaTheme="minorHAnsi"/>
          <w:szCs w:val="22"/>
        </w:rPr>
      </w:pPr>
      <w:r w:rsidRPr="00466519">
        <w:rPr>
          <w:rFonts w:eastAsiaTheme="minorHAnsi"/>
          <w:szCs w:val="22"/>
        </w:rPr>
        <w:t>Pursuant to Rule 25-30.433(1), F.A.C.</w:t>
      </w:r>
      <w:r w:rsidR="00926FE7">
        <w:rPr>
          <w:rFonts w:eastAsiaTheme="minorHAnsi"/>
          <w:szCs w:val="22"/>
        </w:rPr>
        <w:t>, we</w:t>
      </w:r>
      <w:r w:rsidRPr="00466519">
        <w:rPr>
          <w:rFonts w:eastAsiaTheme="minorHAnsi"/>
          <w:szCs w:val="22"/>
        </w:rPr>
        <w:t xml:space="preserve"> </w:t>
      </w:r>
      <w:r w:rsidR="00926FE7">
        <w:rPr>
          <w:rFonts w:eastAsiaTheme="minorHAnsi"/>
          <w:szCs w:val="22"/>
        </w:rPr>
        <w:t>must</w:t>
      </w:r>
      <w:r w:rsidRPr="00466519">
        <w:rPr>
          <w:rFonts w:eastAsiaTheme="minorHAnsi"/>
          <w:szCs w:val="22"/>
        </w:rPr>
        <w:t xml:space="preserve"> make a determination of the quality of service provided by the utility</w:t>
      </w:r>
      <w:r w:rsidR="00926FE7" w:rsidRPr="00926FE7">
        <w:rPr>
          <w:rFonts w:eastAsiaTheme="minorHAnsi"/>
          <w:szCs w:val="22"/>
        </w:rPr>
        <w:t xml:space="preserve"> </w:t>
      </w:r>
      <w:r w:rsidR="00926FE7" w:rsidRPr="00466519">
        <w:rPr>
          <w:rFonts w:eastAsiaTheme="minorHAnsi"/>
          <w:szCs w:val="22"/>
        </w:rPr>
        <w:t>in every rate case</w:t>
      </w:r>
      <w:r w:rsidRPr="00466519">
        <w:rPr>
          <w:rFonts w:eastAsiaTheme="minorHAnsi"/>
          <w:szCs w:val="22"/>
        </w:rPr>
        <w:t xml:space="preserve"> by evaluating the quality of utility’s product (water) and the utility’s attempt to address customer satisfaction (water and wastewater). The Rule states that the most recent chemical analyses, outstanding citations, violations, and consent orders on file with the </w:t>
      </w:r>
      <w:r w:rsidR="00926FE7">
        <w:rPr>
          <w:rFonts w:eastAsiaTheme="minorHAnsi"/>
          <w:szCs w:val="22"/>
        </w:rPr>
        <w:t>Department of Environmental Protection (</w:t>
      </w:r>
      <w:r w:rsidRPr="00466519">
        <w:rPr>
          <w:rFonts w:eastAsiaTheme="minorHAnsi"/>
          <w:szCs w:val="22"/>
        </w:rPr>
        <w:t>DEP</w:t>
      </w:r>
      <w:r w:rsidR="00926FE7">
        <w:rPr>
          <w:rFonts w:eastAsiaTheme="minorHAnsi"/>
          <w:szCs w:val="22"/>
        </w:rPr>
        <w:t>)</w:t>
      </w:r>
      <w:r w:rsidRPr="00466519">
        <w:rPr>
          <w:rFonts w:eastAsiaTheme="minorHAnsi"/>
          <w:szCs w:val="22"/>
        </w:rPr>
        <w:t xml:space="preserve"> and the county health department, along with any DEP and county health department officials’ testimony concerning quality of service shall be considered. In addition, </w:t>
      </w:r>
      <w:r w:rsidR="00926FE7">
        <w:rPr>
          <w:rFonts w:eastAsiaTheme="minorHAnsi"/>
          <w:szCs w:val="22"/>
        </w:rPr>
        <w:t xml:space="preserve">we must also consider </w:t>
      </w:r>
      <w:r w:rsidRPr="00466519">
        <w:rPr>
          <w:rFonts w:eastAsiaTheme="minorHAnsi"/>
          <w:szCs w:val="22"/>
        </w:rPr>
        <w:t>any customer testimony, comments, or complaints</w:t>
      </w:r>
      <w:r w:rsidR="00926FE7">
        <w:rPr>
          <w:rFonts w:eastAsiaTheme="minorHAnsi"/>
          <w:szCs w:val="22"/>
        </w:rPr>
        <w:t>.</w:t>
      </w:r>
    </w:p>
    <w:p w:rsidR="00466519" w:rsidRDefault="00466519" w:rsidP="00466519">
      <w:pPr>
        <w:jc w:val="both"/>
        <w:rPr>
          <w:rFonts w:asciiTheme="minorHAnsi" w:eastAsiaTheme="minorHAnsi" w:hAnsiTheme="minorHAnsi" w:cstheme="minorBidi"/>
          <w:szCs w:val="22"/>
        </w:rPr>
      </w:pPr>
    </w:p>
    <w:p w:rsidR="00466519" w:rsidRPr="00803CB2" w:rsidRDefault="00803CB2" w:rsidP="00466519">
      <w:pPr>
        <w:keepNext/>
        <w:spacing w:line="276" w:lineRule="auto"/>
        <w:jc w:val="both"/>
        <w:rPr>
          <w:rFonts w:eastAsiaTheme="minorHAnsi"/>
          <w:i/>
          <w:szCs w:val="22"/>
        </w:rPr>
      </w:pPr>
      <w:r w:rsidRPr="00803CB2">
        <w:rPr>
          <w:rFonts w:eastAsiaTheme="minorHAnsi"/>
          <w:i/>
          <w:szCs w:val="22"/>
        </w:rPr>
        <w:t xml:space="preserve">A. </w:t>
      </w:r>
      <w:r w:rsidR="00466519" w:rsidRPr="00803CB2">
        <w:rPr>
          <w:rFonts w:eastAsiaTheme="minorHAnsi"/>
          <w:i/>
          <w:szCs w:val="22"/>
        </w:rPr>
        <w:t>Quality of Utility's Product</w:t>
      </w:r>
    </w:p>
    <w:p w:rsidR="00466519" w:rsidRPr="00803CB2" w:rsidRDefault="00466519" w:rsidP="00466519">
      <w:pPr>
        <w:keepNext/>
        <w:spacing w:line="276" w:lineRule="auto"/>
        <w:jc w:val="both"/>
        <w:rPr>
          <w:rFonts w:eastAsiaTheme="minorHAnsi"/>
          <w:b/>
          <w:szCs w:val="22"/>
        </w:rPr>
      </w:pPr>
    </w:p>
    <w:p w:rsidR="00466519" w:rsidRPr="00466519" w:rsidRDefault="00466519" w:rsidP="00466519">
      <w:pPr>
        <w:jc w:val="both"/>
        <w:rPr>
          <w:rFonts w:eastAsiaTheme="minorHAnsi"/>
          <w:szCs w:val="22"/>
        </w:rPr>
      </w:pPr>
      <w:r>
        <w:rPr>
          <w:rFonts w:eastAsiaTheme="minorHAnsi"/>
          <w:szCs w:val="22"/>
        </w:rPr>
        <w:tab/>
      </w:r>
      <w:r w:rsidRPr="00466519">
        <w:rPr>
          <w:rFonts w:eastAsiaTheme="minorHAnsi"/>
          <w:szCs w:val="22"/>
        </w:rPr>
        <w:t xml:space="preserve">In evaluation of Gator's product quality, </w:t>
      </w:r>
      <w:r w:rsidR="00926FE7">
        <w:rPr>
          <w:rFonts w:eastAsiaTheme="minorHAnsi"/>
          <w:szCs w:val="22"/>
        </w:rPr>
        <w:t>we</w:t>
      </w:r>
      <w:r w:rsidRPr="00466519">
        <w:rPr>
          <w:rFonts w:eastAsiaTheme="minorHAnsi"/>
          <w:szCs w:val="22"/>
        </w:rPr>
        <w:t xml:space="preserve"> reviewed the utility's compliance with the DEP primary and secondary drinking water standards. Primary standards protect public health, while secondary standards regulate contaminants that may impact the taste, odor, and color of drinking water. The most recent chemical analyses were performed on October 3, 2018, and the results were in-compliance with the DEP’s standards. These chemical analyses are performed every three years; there</w:t>
      </w:r>
      <w:r w:rsidR="00926FE7">
        <w:rPr>
          <w:rFonts w:eastAsiaTheme="minorHAnsi"/>
          <w:szCs w:val="22"/>
        </w:rPr>
        <w:t>fore, the next scheduled analyse</w:t>
      </w:r>
      <w:r w:rsidRPr="00466519">
        <w:rPr>
          <w:rFonts w:eastAsiaTheme="minorHAnsi"/>
          <w:szCs w:val="22"/>
        </w:rPr>
        <w:t>s should be completed in 2021.</w:t>
      </w:r>
    </w:p>
    <w:p w:rsidR="00466519" w:rsidRDefault="00466519" w:rsidP="00466519">
      <w:pPr>
        <w:jc w:val="both"/>
        <w:rPr>
          <w:rFonts w:eastAsiaTheme="minorHAnsi"/>
          <w:szCs w:val="22"/>
        </w:rPr>
      </w:pPr>
    </w:p>
    <w:p w:rsidR="00926FE7" w:rsidRDefault="00926FE7" w:rsidP="00803CB2">
      <w:pPr>
        <w:jc w:val="both"/>
        <w:rPr>
          <w:rFonts w:eastAsiaTheme="minorHAnsi"/>
          <w:i/>
          <w:szCs w:val="22"/>
        </w:rPr>
      </w:pPr>
    </w:p>
    <w:p w:rsidR="00926FE7" w:rsidRDefault="00926FE7" w:rsidP="00803CB2">
      <w:pPr>
        <w:jc w:val="both"/>
        <w:rPr>
          <w:rFonts w:eastAsiaTheme="minorHAnsi"/>
          <w:i/>
          <w:szCs w:val="22"/>
        </w:rPr>
      </w:pPr>
    </w:p>
    <w:p w:rsidR="00803CB2" w:rsidRDefault="00803CB2" w:rsidP="00803CB2">
      <w:pPr>
        <w:jc w:val="both"/>
        <w:rPr>
          <w:rFonts w:eastAsiaTheme="minorHAnsi"/>
          <w:i/>
          <w:szCs w:val="22"/>
        </w:rPr>
      </w:pPr>
      <w:r w:rsidRPr="00803CB2">
        <w:rPr>
          <w:rFonts w:eastAsiaTheme="minorHAnsi"/>
          <w:i/>
          <w:szCs w:val="22"/>
        </w:rPr>
        <w:t xml:space="preserve">B. </w:t>
      </w:r>
      <w:r w:rsidR="00466519" w:rsidRPr="00803CB2">
        <w:rPr>
          <w:rFonts w:eastAsiaTheme="minorHAnsi"/>
          <w:i/>
          <w:szCs w:val="22"/>
        </w:rPr>
        <w:t>The Utility's Attempt to Address Customer Satisfaction</w:t>
      </w:r>
    </w:p>
    <w:p w:rsidR="00803CB2" w:rsidRDefault="00803CB2" w:rsidP="00803CB2">
      <w:pPr>
        <w:jc w:val="both"/>
        <w:rPr>
          <w:rFonts w:eastAsiaTheme="minorHAnsi"/>
          <w:i/>
          <w:szCs w:val="22"/>
        </w:rPr>
      </w:pPr>
    </w:p>
    <w:p w:rsidR="00803CB2" w:rsidRDefault="00926FE7" w:rsidP="001C047F">
      <w:pPr>
        <w:ind w:firstLine="720"/>
        <w:jc w:val="both"/>
        <w:rPr>
          <w:rFonts w:eastAsiaTheme="minorHAnsi"/>
          <w:szCs w:val="22"/>
        </w:rPr>
      </w:pPr>
      <w:r>
        <w:rPr>
          <w:rFonts w:eastAsiaTheme="minorHAnsi"/>
          <w:szCs w:val="22"/>
        </w:rPr>
        <w:t>We</w:t>
      </w:r>
      <w:r w:rsidR="00466519" w:rsidRPr="00466519">
        <w:rPr>
          <w:rFonts w:eastAsiaTheme="minorHAnsi"/>
          <w:szCs w:val="22"/>
        </w:rPr>
        <w:t xml:space="preserve"> reviewed the Commission’s complaint records from January 2014 through January 2020. </w:t>
      </w:r>
      <w:r>
        <w:rPr>
          <w:rFonts w:eastAsiaTheme="minorHAnsi"/>
          <w:szCs w:val="22"/>
        </w:rPr>
        <w:t>We</w:t>
      </w:r>
      <w:r w:rsidR="00466519" w:rsidRPr="00466519">
        <w:rPr>
          <w:rFonts w:eastAsiaTheme="minorHAnsi"/>
          <w:szCs w:val="22"/>
        </w:rPr>
        <w:t xml:space="preserve"> received six complaints from 2014 to 2017 while the utility was known as Kincaid Hills Water Company. During this time, </w:t>
      </w:r>
      <w:r>
        <w:rPr>
          <w:rFonts w:eastAsiaTheme="minorHAnsi"/>
          <w:szCs w:val="22"/>
        </w:rPr>
        <w:t xml:space="preserve">the </w:t>
      </w:r>
      <w:r w:rsidR="00466519" w:rsidRPr="00466519">
        <w:rPr>
          <w:rFonts w:eastAsiaTheme="minorHAnsi"/>
          <w:szCs w:val="22"/>
        </w:rPr>
        <w:t>DEP also received a total of four complaints with two occurring in 2014 and two occurring in 2017. In July 2014, the DEP received two complaints regarding low wat</w:t>
      </w:r>
      <w:r w:rsidR="00D737E1">
        <w:rPr>
          <w:rFonts w:eastAsiaTheme="minorHAnsi"/>
          <w:szCs w:val="22"/>
        </w:rPr>
        <w:t>er pressure and chlorine residual</w:t>
      </w:r>
      <w:r w:rsidR="00466519" w:rsidRPr="00466519">
        <w:rPr>
          <w:rFonts w:eastAsiaTheme="minorHAnsi"/>
          <w:szCs w:val="22"/>
        </w:rPr>
        <w:t>. Both complaints were investigated and closed with no further action. One of the DEP complaints received in 2017 concerned lawn maintenance at the water treatment plant</w:t>
      </w:r>
      <w:r>
        <w:rPr>
          <w:rFonts w:eastAsiaTheme="minorHAnsi"/>
          <w:szCs w:val="22"/>
        </w:rPr>
        <w:t xml:space="preserve"> (WTP)</w:t>
      </w:r>
      <w:r w:rsidR="00466519" w:rsidRPr="00466519">
        <w:rPr>
          <w:rFonts w:eastAsiaTheme="minorHAnsi"/>
          <w:szCs w:val="22"/>
        </w:rPr>
        <w:t xml:space="preserve"> wh</w:t>
      </w:r>
      <w:r>
        <w:rPr>
          <w:rFonts w:eastAsiaTheme="minorHAnsi"/>
          <w:szCs w:val="22"/>
        </w:rPr>
        <w:t>ile the other concerned</w:t>
      </w:r>
      <w:r w:rsidR="00466519" w:rsidRPr="00466519">
        <w:rPr>
          <w:rFonts w:eastAsiaTheme="minorHAnsi"/>
          <w:szCs w:val="22"/>
        </w:rPr>
        <w:t xml:space="preserve"> the placement of a meter on customer property. All of these complaints were received prior to the utility’s transfer to Gator in December 2018. There have been no customer complaints received against the utility from 2018 through January 2020.</w:t>
      </w:r>
    </w:p>
    <w:p w:rsidR="001C047F" w:rsidRPr="001C047F" w:rsidRDefault="001C047F" w:rsidP="001C047F">
      <w:pPr>
        <w:ind w:firstLine="720"/>
        <w:jc w:val="both"/>
        <w:rPr>
          <w:rFonts w:eastAsiaTheme="minorHAnsi"/>
          <w:szCs w:val="22"/>
        </w:rPr>
      </w:pPr>
    </w:p>
    <w:p w:rsidR="00466519" w:rsidRDefault="00466519" w:rsidP="001C047F">
      <w:pPr>
        <w:jc w:val="both"/>
        <w:rPr>
          <w:rFonts w:eastAsiaTheme="minorHAnsi"/>
          <w:szCs w:val="22"/>
        </w:rPr>
      </w:pPr>
      <w:r>
        <w:rPr>
          <w:rFonts w:eastAsiaTheme="minorHAnsi"/>
          <w:szCs w:val="22"/>
        </w:rPr>
        <w:tab/>
      </w:r>
      <w:r w:rsidRPr="00466519">
        <w:rPr>
          <w:rFonts w:eastAsiaTheme="minorHAnsi"/>
          <w:szCs w:val="22"/>
        </w:rPr>
        <w:t xml:space="preserve">Gator reported that </w:t>
      </w:r>
      <w:r w:rsidR="00926FE7">
        <w:rPr>
          <w:rFonts w:eastAsiaTheme="minorHAnsi"/>
          <w:szCs w:val="22"/>
        </w:rPr>
        <w:t>the utility</w:t>
      </w:r>
      <w:r w:rsidRPr="00466519">
        <w:rPr>
          <w:rFonts w:eastAsiaTheme="minorHAnsi"/>
          <w:szCs w:val="22"/>
        </w:rPr>
        <w:t xml:space="preserve"> received 89 customer complaints from 2014 through 2019. The utility stated that the majority of the calls were concerning low pressure or no water due to line breaks. The low pressure calls were prior to the completion of the water plant rehabilitation projects. The </w:t>
      </w:r>
      <w:r w:rsidR="00926FE7">
        <w:rPr>
          <w:rFonts w:eastAsiaTheme="minorHAnsi"/>
          <w:szCs w:val="22"/>
        </w:rPr>
        <w:t>WTP</w:t>
      </w:r>
      <w:r w:rsidRPr="00466519">
        <w:rPr>
          <w:rFonts w:eastAsiaTheme="minorHAnsi"/>
          <w:szCs w:val="22"/>
        </w:rPr>
        <w:t>, wells, and tanks were deteriorated and needed to be replaced. In addition, numerous complaints concerned line breaks, which have been repaired. As a result of these repairs, the utility states that the water pressure issues have subsided.</w:t>
      </w:r>
    </w:p>
    <w:p w:rsidR="001C047F" w:rsidRPr="00466519" w:rsidRDefault="001C047F" w:rsidP="001C047F">
      <w:pPr>
        <w:jc w:val="both"/>
        <w:rPr>
          <w:rFonts w:eastAsiaTheme="minorHAnsi"/>
          <w:szCs w:val="22"/>
        </w:rPr>
      </w:pPr>
    </w:p>
    <w:p w:rsidR="00466519" w:rsidRDefault="00466519" w:rsidP="00466519">
      <w:pPr>
        <w:jc w:val="both"/>
        <w:rPr>
          <w:rFonts w:eastAsiaTheme="minorHAnsi"/>
          <w:szCs w:val="22"/>
        </w:rPr>
      </w:pPr>
      <w:r>
        <w:rPr>
          <w:rFonts w:eastAsiaTheme="minorHAnsi"/>
          <w:szCs w:val="22"/>
        </w:rPr>
        <w:tab/>
      </w:r>
      <w:r w:rsidR="00926FE7">
        <w:rPr>
          <w:rFonts w:eastAsiaTheme="minorHAnsi"/>
          <w:szCs w:val="22"/>
        </w:rPr>
        <w:t>Our s</w:t>
      </w:r>
      <w:r w:rsidRPr="00466519">
        <w:rPr>
          <w:rFonts w:eastAsiaTheme="minorHAnsi"/>
          <w:szCs w:val="22"/>
        </w:rPr>
        <w:t xml:space="preserve">taff held a customer meeting on November 13, 2019 at the Headquarters Branch Library. Four customers attended and three spoke. One customer acknowledged his satisfaction with the decrease in service outages while two customers were dissatisfied with the proposed increase in the water rates. </w:t>
      </w:r>
      <w:r w:rsidR="00926FE7">
        <w:rPr>
          <w:rFonts w:eastAsiaTheme="minorHAnsi"/>
          <w:szCs w:val="22"/>
        </w:rPr>
        <w:t>We have</w:t>
      </w:r>
      <w:r w:rsidRPr="00466519">
        <w:rPr>
          <w:rFonts w:eastAsiaTheme="minorHAnsi"/>
          <w:szCs w:val="22"/>
        </w:rPr>
        <w:t xml:space="preserve"> not received any additional customer complaints or concerns through January 31, 2020.</w:t>
      </w:r>
    </w:p>
    <w:p w:rsidR="00466519" w:rsidRPr="00466519" w:rsidRDefault="00466519" w:rsidP="00466519">
      <w:pPr>
        <w:jc w:val="both"/>
        <w:rPr>
          <w:rFonts w:eastAsiaTheme="minorHAnsi"/>
          <w:szCs w:val="22"/>
        </w:rPr>
      </w:pPr>
    </w:p>
    <w:p w:rsidR="00466519" w:rsidRPr="00803CB2" w:rsidRDefault="00803CB2" w:rsidP="00803CB2">
      <w:pPr>
        <w:jc w:val="both"/>
        <w:rPr>
          <w:rFonts w:eastAsiaTheme="minorHAnsi"/>
          <w:i/>
          <w:szCs w:val="22"/>
        </w:rPr>
      </w:pPr>
      <w:r w:rsidRPr="00803CB2">
        <w:rPr>
          <w:rFonts w:eastAsiaTheme="minorHAnsi"/>
          <w:i/>
          <w:szCs w:val="22"/>
        </w:rPr>
        <w:t>C. Conclusion</w:t>
      </w:r>
    </w:p>
    <w:p w:rsidR="00466519" w:rsidRPr="00803CB2" w:rsidRDefault="00466519" w:rsidP="00803CB2">
      <w:pPr>
        <w:jc w:val="both"/>
        <w:rPr>
          <w:rFonts w:eastAsiaTheme="minorHAnsi"/>
          <w:i/>
          <w:szCs w:val="22"/>
        </w:rPr>
      </w:pPr>
    </w:p>
    <w:p w:rsidR="00466519" w:rsidRDefault="00466519" w:rsidP="00803CB2">
      <w:pPr>
        <w:jc w:val="both"/>
        <w:rPr>
          <w:rFonts w:eastAsiaTheme="minorHAnsi"/>
          <w:szCs w:val="22"/>
        </w:rPr>
      </w:pPr>
      <w:r>
        <w:rPr>
          <w:rFonts w:eastAsiaTheme="minorHAnsi"/>
          <w:szCs w:val="22"/>
        </w:rPr>
        <w:tab/>
      </w:r>
      <w:r w:rsidRPr="00466519">
        <w:rPr>
          <w:rFonts w:eastAsiaTheme="minorHAnsi"/>
          <w:szCs w:val="22"/>
        </w:rPr>
        <w:t xml:space="preserve">The utility is in-compliance with </w:t>
      </w:r>
      <w:r w:rsidR="00926FE7">
        <w:rPr>
          <w:rFonts w:eastAsiaTheme="minorHAnsi"/>
          <w:szCs w:val="22"/>
        </w:rPr>
        <w:t xml:space="preserve">the </w:t>
      </w:r>
      <w:r w:rsidRPr="00466519">
        <w:rPr>
          <w:rFonts w:eastAsiaTheme="minorHAnsi"/>
          <w:szCs w:val="22"/>
        </w:rPr>
        <w:t>DEP and has been responsive to its customer complaints. Therefore, the quality of service provided by Gator sh</w:t>
      </w:r>
      <w:r w:rsidR="00926FE7">
        <w:rPr>
          <w:rFonts w:eastAsiaTheme="minorHAnsi"/>
          <w:szCs w:val="22"/>
        </w:rPr>
        <w:t>all</w:t>
      </w:r>
      <w:r w:rsidRPr="00466519">
        <w:rPr>
          <w:rFonts w:eastAsiaTheme="minorHAnsi"/>
          <w:szCs w:val="22"/>
        </w:rPr>
        <w:t xml:space="preserve"> be considered satisfactory.</w:t>
      </w:r>
    </w:p>
    <w:p w:rsidR="00466519" w:rsidRDefault="00466519" w:rsidP="00466519">
      <w:pPr>
        <w:rPr>
          <w:rFonts w:eastAsiaTheme="minorHAnsi"/>
          <w:szCs w:val="22"/>
        </w:rPr>
      </w:pPr>
    </w:p>
    <w:p w:rsidR="00DC5829" w:rsidRPr="00DC5829" w:rsidRDefault="00DC5829" w:rsidP="00466519">
      <w:pPr>
        <w:spacing w:after="240"/>
        <w:jc w:val="both"/>
        <w:rPr>
          <w:u w:val="single"/>
        </w:rPr>
      </w:pPr>
      <w:r>
        <w:rPr>
          <w:u w:val="single"/>
        </w:rPr>
        <w:t>2. Infrastructure and Operational Conditions</w:t>
      </w:r>
    </w:p>
    <w:p w:rsidR="00466519" w:rsidRPr="00466519" w:rsidRDefault="00466519" w:rsidP="00DC5829">
      <w:pPr>
        <w:spacing w:after="240"/>
        <w:ind w:firstLine="720"/>
        <w:jc w:val="both"/>
      </w:pPr>
      <w:r w:rsidRPr="00466519">
        <w:t>Rule 25-30.225(2), F.A.C., requires each water utility to maintain and operate its plant and facilities by employing qualified operators in accordance with the DEP</w:t>
      </w:r>
      <w:r w:rsidR="001C047F">
        <w:t>’s rules</w:t>
      </w:r>
      <w:r w:rsidRPr="00466519">
        <w:t>. Rule 25-30.433(2), F.A.C., requires consideration of whether the infrastructure and operati</w:t>
      </w:r>
      <w:r w:rsidR="00926FE7">
        <w:t>onal</w:t>
      </w:r>
      <w:r w:rsidRPr="00466519">
        <w:t xml:space="preserve"> conditions of the plant and facilities are in compliance with Rule 25-30.225, F.A.C. In making this determination, </w:t>
      </w:r>
      <w:r w:rsidR="00926FE7">
        <w:t>we</w:t>
      </w:r>
      <w:r w:rsidRPr="00466519">
        <w:t xml:space="preserve"> must consider any testimony of the DEP and county health department officials, sanitary surveys, citations, violations, and consent orders issued to the utility, customer testimony, comments, and complaints, and utility testimony and responses to the aforementioned items.</w:t>
      </w:r>
    </w:p>
    <w:p w:rsidR="00466519" w:rsidRPr="00466519" w:rsidRDefault="00466519" w:rsidP="00DC5829">
      <w:pPr>
        <w:spacing w:after="240"/>
        <w:ind w:firstLine="720"/>
        <w:jc w:val="both"/>
      </w:pPr>
      <w:r w:rsidRPr="00466519">
        <w:t xml:space="preserve">Gator’s water system has a design capacity of 236,400 gallons per day (gpd). The utility’s water system has two wells with a combined pumping capacity of 400 gallons per minute (gpm). On October 3, 2018, the utility was issued a permit from the DEP for removal of the existing storage and hydro-pneumatic tanks, and installation of a new 5,000 gallon capacity hydro-pneumatic tank. Additionally, the site piping and appurtenances were replaced, along with the utility’s emergency generator. </w:t>
      </w:r>
      <w:r w:rsidR="00926FE7">
        <w:t>We</w:t>
      </w:r>
      <w:r w:rsidRPr="00466519">
        <w:t xml:space="preserve"> reviewed Gator’s sanitary surveys conducted by the DEP to determine the utility’s overall water facility compliance. A review of the inspection conducted on July 24, 2019, indicated that Gator’s water treatment facility was in compliance with the DEP’s rules and regulations.</w:t>
      </w:r>
    </w:p>
    <w:p w:rsidR="00466519" w:rsidRDefault="00466519" w:rsidP="00DC5829">
      <w:pPr>
        <w:jc w:val="both"/>
      </w:pPr>
      <w:r>
        <w:tab/>
      </w:r>
      <w:r w:rsidR="00926FE7">
        <w:t xml:space="preserve">Based on the foregoing, we find that </w:t>
      </w:r>
      <w:r w:rsidRPr="00466519">
        <w:t>Gator’s water treatment facility is currently in compliance with DEP regulations.</w:t>
      </w:r>
    </w:p>
    <w:p w:rsidR="00466519" w:rsidRDefault="00466519" w:rsidP="00466519"/>
    <w:p w:rsidR="00DC5829" w:rsidRPr="00DC5829" w:rsidRDefault="00DC5829" w:rsidP="00466519">
      <w:pPr>
        <w:spacing w:after="240"/>
        <w:jc w:val="both"/>
        <w:rPr>
          <w:bCs/>
          <w:kern w:val="32"/>
          <w:szCs w:val="32"/>
          <w:u w:val="single"/>
        </w:rPr>
      </w:pPr>
      <w:r>
        <w:rPr>
          <w:bCs/>
          <w:kern w:val="32"/>
          <w:szCs w:val="32"/>
          <w:u w:val="single"/>
        </w:rPr>
        <w:t>3. Used and Useful (U&amp;U)</w:t>
      </w:r>
    </w:p>
    <w:p w:rsidR="00466519" w:rsidRPr="00466519" w:rsidRDefault="00466519" w:rsidP="00DC5829">
      <w:pPr>
        <w:spacing w:after="240"/>
        <w:ind w:firstLine="720"/>
        <w:jc w:val="both"/>
      </w:pPr>
      <w:r w:rsidRPr="00466519">
        <w:t xml:space="preserve">Gator’s WTP has two wells rated at a combined 400 gpm. The utility’s water system does not have a storage tank, but has one hydro-pneumatic tank totaling 5,000 gallons in capacity. The distribution system is composed of varying sizes, from 2 to 6 inch, polyvinyl chloride (PVC) and asbestos cement (AC) pipes. </w:t>
      </w:r>
    </w:p>
    <w:p w:rsidR="00466519" w:rsidRPr="00DC5829" w:rsidRDefault="00DC5829" w:rsidP="00DC5829">
      <w:pPr>
        <w:jc w:val="both"/>
        <w:outlineLvl w:val="2"/>
        <w:rPr>
          <w:bCs/>
          <w:i/>
          <w:iCs/>
          <w:szCs w:val="28"/>
        </w:rPr>
      </w:pPr>
      <w:r w:rsidRPr="00DC5829">
        <w:rPr>
          <w:bCs/>
          <w:i/>
          <w:iCs/>
          <w:szCs w:val="28"/>
        </w:rPr>
        <w:t xml:space="preserve">A. </w:t>
      </w:r>
      <w:r w:rsidR="00466519" w:rsidRPr="00DC5829">
        <w:rPr>
          <w:bCs/>
          <w:i/>
          <w:iCs/>
          <w:szCs w:val="28"/>
        </w:rPr>
        <w:t>Water Treatment Plant Used and Useful</w:t>
      </w:r>
    </w:p>
    <w:p w:rsidR="00466519" w:rsidRPr="00DC5829" w:rsidRDefault="00466519" w:rsidP="00DC5829">
      <w:pPr>
        <w:jc w:val="both"/>
        <w:outlineLvl w:val="2"/>
        <w:rPr>
          <w:bCs/>
          <w:i/>
          <w:iCs/>
          <w:szCs w:val="28"/>
        </w:rPr>
      </w:pPr>
    </w:p>
    <w:p w:rsidR="00466519" w:rsidRDefault="00466519" w:rsidP="00DC5829">
      <w:pPr>
        <w:jc w:val="both"/>
      </w:pPr>
      <w:r>
        <w:tab/>
      </w:r>
      <w:r w:rsidRPr="00466519">
        <w:t>This is the utility’s first staff-assisted rate case since receiving its grandfather certificate in 1993.</w:t>
      </w:r>
      <w:r w:rsidRPr="00466519">
        <w:rPr>
          <w:vertAlign w:val="superscript"/>
        </w:rPr>
        <w:footnoteReference w:id="4"/>
      </w:r>
      <w:r w:rsidRPr="00466519">
        <w:t xml:space="preserve"> Therefore, this is the first determination of us</w:t>
      </w:r>
      <w:r w:rsidR="00926FE7">
        <w:t>ed and useful percentages by this</w:t>
      </w:r>
      <w:r w:rsidRPr="00466519">
        <w:t xml:space="preserve"> Commission.</w:t>
      </w:r>
    </w:p>
    <w:p w:rsidR="00DC5829" w:rsidRPr="00466519" w:rsidRDefault="00DC5829" w:rsidP="00DC5829">
      <w:pPr>
        <w:jc w:val="both"/>
      </w:pPr>
    </w:p>
    <w:p w:rsidR="00466519" w:rsidRPr="00466519" w:rsidRDefault="00466519" w:rsidP="00466519">
      <w:pPr>
        <w:jc w:val="both"/>
      </w:pPr>
      <w:r>
        <w:tab/>
      </w:r>
      <w:r w:rsidRPr="00466519">
        <w:t>Rule 25-30.4325, F.A.C., addresses the method by which the U&amp;U of a water system is determined. The formula for calculating U&amp;U for the WTP is given by [2 x (Maximum Day Peak Demand – E</w:t>
      </w:r>
      <w:r w:rsidR="00926FE7">
        <w:t>xcessive Unaccounted for Water</w:t>
      </w:r>
      <w:r w:rsidRPr="00466519">
        <w:t>)/1,440 + Fire Flow + Growth] / Firm Reliable Capacity. Peak demand is based on a peak hour for a water treatment system with no storage capacity. The formula for calculating peak hour demand is given by [((SMD</w:t>
      </w:r>
      <w:r w:rsidR="00D737E1">
        <w:t xml:space="preserve"> – </w:t>
      </w:r>
      <w:r w:rsidR="00926FE7" w:rsidRPr="00466519">
        <w:t>E</w:t>
      </w:r>
      <w:r w:rsidR="00926FE7">
        <w:t>xcessive Unaccounted for Water</w:t>
      </w:r>
      <w:r w:rsidRPr="00466519">
        <w:t xml:space="preserve">)/1,440) x 2], where SMD is the single maximum day in the test year where there is no unusual occurrence on that day, such as a fire or line break. Based on the Monthly Operating Reports that the utility files with the DEP, the SMD in the test year was 191,150 gpd. As discussed below, there appears to be no </w:t>
      </w:r>
      <w:r w:rsidR="00926FE7" w:rsidRPr="00466519">
        <w:t>E</w:t>
      </w:r>
      <w:r w:rsidR="00926FE7">
        <w:t>xcessive Unaccounted for Water (</w:t>
      </w:r>
      <w:r w:rsidRPr="00466519">
        <w:t>EUW</w:t>
      </w:r>
      <w:r w:rsidR="00926FE7">
        <w:t>)</w:t>
      </w:r>
      <w:r w:rsidRPr="00466519">
        <w:t>. Therefore,</w:t>
      </w:r>
      <w:r w:rsidR="00926FE7">
        <w:t xml:space="preserve"> </w:t>
      </w:r>
      <w:r w:rsidRPr="00466519">
        <w:t xml:space="preserve">the peak hour demand is calculated to be 265 gpm [((191,150 gpd – 0)/1,440) x 2]. </w:t>
      </w:r>
    </w:p>
    <w:p w:rsidR="00466519" w:rsidRPr="00466519" w:rsidRDefault="00466519" w:rsidP="00466519">
      <w:pPr>
        <w:jc w:val="both"/>
      </w:pPr>
    </w:p>
    <w:p w:rsidR="00466519" w:rsidRDefault="00466519" w:rsidP="00466519">
      <w:pPr>
        <w:jc w:val="both"/>
      </w:pPr>
      <w:r>
        <w:tab/>
      </w:r>
      <w:r w:rsidRPr="00466519">
        <w:t>The utility does not currently own any fire hydrants; consequently, there is no Fire Flow.</w:t>
      </w:r>
      <w:r w:rsidRPr="00466519">
        <w:rPr>
          <w:vertAlign w:val="superscript"/>
        </w:rPr>
        <w:footnoteReference w:id="5"/>
      </w:r>
      <w:r w:rsidRPr="00466519">
        <w:t xml:space="preserve"> Growth allowance is based on the requirements outlined in Rule 25-30.431, F.A.C., which states that a linear regression analysis using average equivalent residential connections (ERCs) for the last 5 years shoul</w:t>
      </w:r>
      <w:r w:rsidR="00926FE7">
        <w:t>d be used to determine growth. Our s</w:t>
      </w:r>
      <w:r w:rsidRPr="00466519">
        <w:t xml:space="preserve">taff attempted to obtain ERC data for the period of 2014-2018; however, no data was available for 2017. Instead, </w:t>
      </w:r>
      <w:r w:rsidR="00926FE7">
        <w:t>we</w:t>
      </w:r>
      <w:r w:rsidRPr="00466519">
        <w:t xml:space="preserve"> utilized data from 2013-2016 and 2018 to perform a linear regression over 5 years, and the growth was calculated to be 14 gpm. Firm Reliable Capacity assumes loss of the largest capacity well (250 gpm) and is therefore 150 gpm. This calculation results in</w:t>
      </w:r>
      <w:r w:rsidR="00926FE7">
        <w:t xml:space="preserve"> a U&amp;U greater than 100 percent. A</w:t>
      </w:r>
      <w:r w:rsidRPr="00466519">
        <w:t xml:space="preserve">s such, </w:t>
      </w:r>
      <w:r w:rsidR="00926FE7">
        <w:t>we find that Gator’s</w:t>
      </w:r>
      <w:r w:rsidRPr="00466519">
        <w:t xml:space="preserve"> WTP </w:t>
      </w:r>
      <w:r w:rsidR="00926FE7">
        <w:t xml:space="preserve">shall </w:t>
      </w:r>
      <w:r w:rsidRPr="00466519">
        <w:t>be considered 100 percent U&amp;U.</w:t>
      </w:r>
    </w:p>
    <w:p w:rsidR="007975D2" w:rsidRPr="00466519" w:rsidRDefault="007975D2" w:rsidP="00466519">
      <w:pPr>
        <w:jc w:val="both"/>
      </w:pPr>
    </w:p>
    <w:p w:rsidR="00466519" w:rsidRPr="00DC5829" w:rsidRDefault="00466519" w:rsidP="00DC5829">
      <w:pPr>
        <w:jc w:val="both"/>
        <w:outlineLvl w:val="3"/>
        <w:rPr>
          <w:b/>
          <w:bCs/>
          <w:iCs/>
          <w:szCs w:val="28"/>
        </w:rPr>
      </w:pPr>
      <w:r w:rsidRPr="00DC5829">
        <w:rPr>
          <w:b/>
          <w:bCs/>
          <w:iCs/>
          <w:szCs w:val="28"/>
        </w:rPr>
        <w:t>E</w:t>
      </w:r>
      <w:r w:rsidR="007975D2">
        <w:rPr>
          <w:b/>
          <w:bCs/>
          <w:iCs/>
          <w:szCs w:val="28"/>
        </w:rPr>
        <w:t>UW</w:t>
      </w:r>
    </w:p>
    <w:p w:rsidR="00466519" w:rsidRPr="00DC5829" w:rsidRDefault="00466519" w:rsidP="00DC5829">
      <w:pPr>
        <w:jc w:val="both"/>
        <w:outlineLvl w:val="3"/>
        <w:rPr>
          <w:bCs/>
          <w:iCs/>
          <w:szCs w:val="28"/>
        </w:rPr>
      </w:pPr>
    </w:p>
    <w:p w:rsidR="00466519" w:rsidRPr="00466519" w:rsidRDefault="00466519" w:rsidP="00466519">
      <w:pPr>
        <w:spacing w:after="240"/>
        <w:jc w:val="both"/>
      </w:pPr>
      <w:r>
        <w:tab/>
      </w:r>
      <w:r w:rsidRPr="00466519">
        <w:t xml:space="preserve">Rule 25-30.4325, F.A.C., defines EUW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w:t>
      </w:r>
      <w:r w:rsidR="007975D2">
        <w:t>we consider</w:t>
      </w:r>
      <w:r w:rsidRPr="00466519">
        <w:t xml:space="preserve"> several factors. These include (1) the causes of EUW, (2) any corrective action taken, or (3) the economical feasibility of a proposed solution. EUW is calculated by subtracting both the gallons sold to customers and the gallons used for other services, such as flushing, from the total gallons pumped for the test year.</w:t>
      </w:r>
    </w:p>
    <w:p w:rsidR="00466519" w:rsidRPr="00466519" w:rsidRDefault="00466519" w:rsidP="00466519">
      <w:pPr>
        <w:spacing w:after="240"/>
        <w:jc w:val="both"/>
      </w:pPr>
      <w:r>
        <w:tab/>
      </w:r>
      <w:r w:rsidRPr="00466519">
        <w:t xml:space="preserve">The Monthly Operating Reports indicate that the utility pumped 39,264,456 gallons during the test year. In response to </w:t>
      </w:r>
      <w:r w:rsidR="007975D2">
        <w:t xml:space="preserve">a </w:t>
      </w:r>
      <w:r w:rsidRPr="00466519">
        <w:t>data request</w:t>
      </w:r>
      <w:r w:rsidR="007975D2">
        <w:t xml:space="preserve"> issued by our staff</w:t>
      </w:r>
      <w:r w:rsidRPr="00466519">
        <w:t xml:space="preserve">, the utility indicated that it purchased no water and estimated 9,637,134 gallons for other uses, such as flushing or water line breaks, during the test year. According to the billing data, the utility sold 25,735,000 gallons of water for the test year. When both the gallons sold and water used for other uses is subtracted from the total gallons pumped, 3,892,322 gallons are unaccounted for. The </w:t>
      </w:r>
      <w:r w:rsidR="00D737E1">
        <w:t>percentage of</w:t>
      </w:r>
      <w:r w:rsidRPr="00466519">
        <w:t xml:space="preserve"> unaccounted for water is given by [gallons of unaccounted for water / (total gallons pumped + gallons purchased)]. The resulting unaccounted for water is 9.9 percent; therefore, there is no excessive unaccounted for water. Accordingly, </w:t>
      </w:r>
      <w:r w:rsidR="007975D2">
        <w:t>we find that</w:t>
      </w:r>
      <w:r w:rsidRPr="00466519">
        <w:t xml:space="preserve"> no adjustment</w:t>
      </w:r>
      <w:r w:rsidR="007975D2">
        <w:t>s</w:t>
      </w:r>
      <w:r w:rsidRPr="00466519">
        <w:t xml:space="preserve"> to purchased power a</w:t>
      </w:r>
      <w:r w:rsidR="007975D2">
        <w:t>nd chemical expenses are necessary.</w:t>
      </w:r>
    </w:p>
    <w:p w:rsidR="00466519" w:rsidRPr="00DC5829" w:rsidRDefault="00DC5829" w:rsidP="00DC5829">
      <w:pPr>
        <w:jc w:val="both"/>
        <w:outlineLvl w:val="2"/>
        <w:rPr>
          <w:bCs/>
          <w:i/>
          <w:iCs/>
          <w:szCs w:val="28"/>
        </w:rPr>
      </w:pPr>
      <w:r w:rsidRPr="00DC5829">
        <w:rPr>
          <w:bCs/>
          <w:i/>
          <w:iCs/>
          <w:szCs w:val="28"/>
        </w:rPr>
        <w:t xml:space="preserve">B. </w:t>
      </w:r>
      <w:r w:rsidR="00466519" w:rsidRPr="00DC5829">
        <w:rPr>
          <w:bCs/>
          <w:i/>
          <w:iCs/>
          <w:szCs w:val="28"/>
        </w:rPr>
        <w:t>Water Distribution System Used and Useful</w:t>
      </w:r>
    </w:p>
    <w:p w:rsidR="00466519" w:rsidRPr="00DC5829" w:rsidRDefault="00466519" w:rsidP="00DC5829">
      <w:pPr>
        <w:jc w:val="both"/>
        <w:outlineLvl w:val="2"/>
        <w:rPr>
          <w:bCs/>
          <w:i/>
          <w:iCs/>
          <w:szCs w:val="28"/>
        </w:rPr>
      </w:pPr>
    </w:p>
    <w:p w:rsidR="00466519" w:rsidRDefault="00466519" w:rsidP="00DC5829">
      <w:pPr>
        <w:jc w:val="both"/>
      </w:pPr>
      <w:r>
        <w:tab/>
      </w:r>
      <w:r w:rsidRPr="00466519">
        <w:t xml:space="preserve">The water distribution system is evaluated based on ERCs consisting of growth, customer demand, and system capacity. The customer demand is 335 ERCs for the test year and the system capacity is 365 ERCs, resulting in a U&amp;U percentage of 92 percent for the distribution system. However, the utility provided that there are only four vacant lots in the service territory; thus, the system is virtually built out. Considering all of the water mains are required to adequately serve the existing customers, and consistent with </w:t>
      </w:r>
      <w:r w:rsidR="00535508">
        <w:t>our prior decisions</w:t>
      </w:r>
      <w:r w:rsidRPr="00466519">
        <w:t xml:space="preserve">, </w:t>
      </w:r>
      <w:r w:rsidR="00535508">
        <w:t>we find that</w:t>
      </w:r>
      <w:r w:rsidRPr="00466519">
        <w:t xml:space="preserve"> the distribution system</w:t>
      </w:r>
      <w:r w:rsidR="00535508">
        <w:t xml:space="preserve"> shall</w:t>
      </w:r>
      <w:r w:rsidRPr="00466519">
        <w:t xml:space="preserve"> be considered 100 percent U&amp;U.</w:t>
      </w:r>
      <w:r w:rsidRPr="00466519">
        <w:rPr>
          <w:vertAlign w:val="superscript"/>
        </w:rPr>
        <w:footnoteReference w:id="6"/>
      </w:r>
    </w:p>
    <w:p w:rsidR="00DC5829" w:rsidRPr="00466519" w:rsidRDefault="00DC5829" w:rsidP="00DC5829">
      <w:pPr>
        <w:jc w:val="both"/>
      </w:pPr>
    </w:p>
    <w:p w:rsidR="00466519" w:rsidRPr="00DC5829" w:rsidRDefault="00DC5829" w:rsidP="00466519">
      <w:pPr>
        <w:jc w:val="both"/>
        <w:outlineLvl w:val="2"/>
        <w:rPr>
          <w:bCs/>
          <w:i/>
          <w:iCs/>
          <w:szCs w:val="28"/>
        </w:rPr>
      </w:pPr>
      <w:r w:rsidRPr="00DC5829">
        <w:rPr>
          <w:bCs/>
          <w:i/>
          <w:iCs/>
          <w:szCs w:val="28"/>
        </w:rPr>
        <w:t xml:space="preserve">C. </w:t>
      </w:r>
      <w:r w:rsidR="00466519" w:rsidRPr="00DC5829">
        <w:rPr>
          <w:bCs/>
          <w:i/>
          <w:iCs/>
          <w:szCs w:val="28"/>
        </w:rPr>
        <w:t>Conclusion</w:t>
      </w:r>
    </w:p>
    <w:p w:rsidR="00466519" w:rsidRPr="00DC5829" w:rsidRDefault="00466519" w:rsidP="00466519">
      <w:pPr>
        <w:jc w:val="both"/>
        <w:outlineLvl w:val="2"/>
        <w:rPr>
          <w:bCs/>
          <w:i/>
          <w:iCs/>
          <w:szCs w:val="28"/>
        </w:rPr>
      </w:pPr>
    </w:p>
    <w:p w:rsidR="00466519" w:rsidRDefault="00466519" w:rsidP="00DC5829">
      <w:pPr>
        <w:jc w:val="both"/>
      </w:pPr>
      <w:r>
        <w:tab/>
      </w:r>
      <w:r w:rsidR="0002289A">
        <w:t>We find</w:t>
      </w:r>
      <w:r w:rsidRPr="00466519">
        <w:t xml:space="preserve"> that Gator’s WTP and water distribution system </w:t>
      </w:r>
      <w:r w:rsidR="0002289A">
        <w:t>shall be considered 100 percent U&amp;U. Additionally, t</w:t>
      </w:r>
      <w:r w:rsidRPr="00466519">
        <w:t xml:space="preserve">here appears to be no EUW; therefore, </w:t>
      </w:r>
      <w:r w:rsidR="0002289A">
        <w:t>we find that</w:t>
      </w:r>
      <w:r w:rsidRPr="00466519">
        <w:t xml:space="preserve"> that no adjustment</w:t>
      </w:r>
      <w:r w:rsidR="0002289A">
        <w:t>s shall</w:t>
      </w:r>
      <w:r w:rsidRPr="00466519">
        <w:t xml:space="preserve"> be made to operating expenses for chemicals and purchased power.</w:t>
      </w:r>
    </w:p>
    <w:p w:rsidR="00DC5829" w:rsidRDefault="00DC5829" w:rsidP="00466519">
      <w:pPr>
        <w:jc w:val="both"/>
        <w:rPr>
          <w:rFonts w:eastAsiaTheme="minorHAnsi"/>
          <w:u w:val="single"/>
        </w:rPr>
      </w:pPr>
      <w:r>
        <w:rPr>
          <w:rFonts w:eastAsiaTheme="minorHAnsi"/>
          <w:u w:val="single"/>
        </w:rPr>
        <w:t>4. Rate Base</w:t>
      </w:r>
    </w:p>
    <w:p w:rsidR="00DC5829" w:rsidRPr="00DC5829" w:rsidRDefault="00DC5829" w:rsidP="00466519">
      <w:pPr>
        <w:jc w:val="both"/>
        <w:rPr>
          <w:rFonts w:eastAsiaTheme="minorHAnsi"/>
          <w:u w:val="single"/>
        </w:rPr>
      </w:pPr>
    </w:p>
    <w:p w:rsidR="00466519" w:rsidRPr="00466519" w:rsidRDefault="00466519" w:rsidP="00DC5829">
      <w:pPr>
        <w:ind w:firstLine="720"/>
        <w:jc w:val="both"/>
        <w:rPr>
          <w:rFonts w:eastAsiaTheme="minorHAnsi"/>
        </w:rPr>
      </w:pPr>
      <w:r w:rsidRPr="00466519">
        <w:rPr>
          <w:rFonts w:eastAsiaTheme="minorHAnsi"/>
        </w:rPr>
        <w:t>The appropriate components of a utility’s rate base include utility plant in service, contributions in aid of construction (CIAC), accumulated depreciation, amortization of CIAC, and working capital. This utility</w:t>
      </w:r>
      <w:r w:rsidR="0002289A">
        <w:rPr>
          <w:rFonts w:eastAsiaTheme="minorHAnsi"/>
        </w:rPr>
        <w:t xml:space="preserve"> has never had a SARC before this</w:t>
      </w:r>
      <w:r w:rsidRPr="00466519">
        <w:rPr>
          <w:rFonts w:eastAsiaTheme="minorHAnsi"/>
        </w:rPr>
        <w:t xml:space="preserve"> Commission. The utility's rates, charges, and customer deposits were approved in the original grandfather certificate in 1993.</w:t>
      </w:r>
      <w:r w:rsidRPr="00466519">
        <w:rPr>
          <w:rFonts w:eastAsiaTheme="minorHAnsi"/>
          <w:vertAlign w:val="superscript"/>
        </w:rPr>
        <w:footnoteReference w:id="7"/>
      </w:r>
      <w:r w:rsidRPr="00466519">
        <w:rPr>
          <w:rFonts w:eastAsiaTheme="minorHAnsi"/>
        </w:rPr>
        <w:t xml:space="preserve"> The rates were subsequently amended through three price index increases. The utility requested the test year ended March 31, 2019, for the instant case. </w:t>
      </w:r>
      <w:r w:rsidR="0002289A">
        <w:rPr>
          <w:rFonts w:eastAsiaTheme="minorHAnsi"/>
        </w:rPr>
        <w:t>Our</w:t>
      </w:r>
      <w:r w:rsidRPr="00466519">
        <w:rPr>
          <w:rFonts w:eastAsiaTheme="minorHAnsi"/>
        </w:rPr>
        <w:t xml:space="preserve"> audit staff determined that the utility’s books and records are in compliance with the National Association of Regulatory Utility Commissioners’ Uniform System of Accounts (NARUC USOA). A summary of each component of rate base and </w:t>
      </w:r>
      <w:r w:rsidR="0002289A">
        <w:rPr>
          <w:rFonts w:eastAsiaTheme="minorHAnsi"/>
        </w:rPr>
        <w:t>our</w:t>
      </w:r>
      <w:r w:rsidRPr="00466519">
        <w:rPr>
          <w:rFonts w:eastAsiaTheme="minorHAnsi"/>
        </w:rPr>
        <w:t xml:space="preserve"> adjustments are discussed below.</w:t>
      </w:r>
    </w:p>
    <w:p w:rsidR="00466519" w:rsidRPr="00466519" w:rsidRDefault="00466519" w:rsidP="00466519">
      <w:pPr>
        <w:jc w:val="both"/>
      </w:pPr>
    </w:p>
    <w:p w:rsidR="00466519" w:rsidRPr="003F2238" w:rsidRDefault="003F2238" w:rsidP="00466519">
      <w:pPr>
        <w:autoSpaceDE w:val="0"/>
        <w:autoSpaceDN w:val="0"/>
        <w:adjustRightInd w:val="0"/>
        <w:rPr>
          <w:rFonts w:eastAsiaTheme="minorHAnsi"/>
          <w:bCs/>
          <w:i/>
        </w:rPr>
      </w:pPr>
      <w:r w:rsidRPr="003F2238">
        <w:rPr>
          <w:rFonts w:eastAsiaTheme="minorHAnsi"/>
          <w:bCs/>
          <w:i/>
        </w:rPr>
        <w:t xml:space="preserve">A. </w:t>
      </w:r>
      <w:r w:rsidR="00466519" w:rsidRPr="003F2238">
        <w:rPr>
          <w:rFonts w:eastAsiaTheme="minorHAnsi"/>
          <w:bCs/>
          <w:i/>
        </w:rPr>
        <w:t>Year-End Rate Base</w:t>
      </w:r>
    </w:p>
    <w:p w:rsidR="004D51E9" w:rsidRPr="003F2238" w:rsidRDefault="004D51E9" w:rsidP="00466519">
      <w:pPr>
        <w:autoSpaceDE w:val="0"/>
        <w:autoSpaceDN w:val="0"/>
        <w:adjustRightInd w:val="0"/>
        <w:rPr>
          <w:rFonts w:eastAsiaTheme="minorHAnsi"/>
          <w:bCs/>
        </w:rPr>
      </w:pPr>
    </w:p>
    <w:p w:rsidR="00466519" w:rsidRPr="00466519" w:rsidRDefault="004D51E9" w:rsidP="00466519">
      <w:pPr>
        <w:spacing w:after="240"/>
        <w:jc w:val="both"/>
      </w:pPr>
      <w:r>
        <w:rPr>
          <w:rFonts w:eastAsiaTheme="minorHAnsi"/>
        </w:rPr>
        <w:tab/>
      </w:r>
      <w:r w:rsidR="00466519" w:rsidRPr="00466519">
        <w:rPr>
          <w:rFonts w:eastAsiaTheme="minorHAnsi"/>
        </w:rPr>
        <w:t xml:space="preserve">In its application, the utility requested a year-end rate base for its water system in order to have an opportunity to recover its allowed rate of return on the significant capital improvements that were made during the test year to install a new well and make additional plant improvements to address water quality concerns. In the transfer order, </w:t>
      </w:r>
      <w:r w:rsidR="0002289A">
        <w:rPr>
          <w:rFonts w:eastAsiaTheme="minorHAnsi"/>
        </w:rPr>
        <w:t>we</w:t>
      </w:r>
      <w:r w:rsidR="00466519" w:rsidRPr="00466519">
        <w:rPr>
          <w:rFonts w:eastAsiaTheme="minorHAnsi"/>
        </w:rPr>
        <w:t xml:space="preserve"> approved net utility plant in service in the amount of $92,804, and total rate base of $63,321. In the utility’s 2018 annual report, Gator reported total plant in service of $466,889 and net plant of $205,755. This represents an increase in net plant in service of more than 120 percent. </w:t>
      </w:r>
      <w:r w:rsidR="00466519" w:rsidRPr="00466519">
        <w:t>S</w:t>
      </w:r>
      <w:r w:rsidR="00466519" w:rsidRPr="00466519">
        <w:rPr>
          <w:rFonts w:eastAsiaTheme="minorHAnsi"/>
        </w:rPr>
        <w:t>ubsequent to the acquisition of the utility, Gator made substantial improvements to the water system. The utility repaired numerous water main breaks over the past year totaling over $67,000 to date. In addition, during 2018, Gator replaced over 250 meters that were inoperable at a cost of over $40,000. If an average rate base is used, the utility will not be afforded the opportunity to recover its allowed rate of return on the new investment and will be put in the position of requesting a subsequent SARC at a later date.</w:t>
      </w:r>
      <w:r w:rsidR="00466519" w:rsidRPr="00466519">
        <w:t xml:space="preserve"> </w:t>
      </w:r>
    </w:p>
    <w:p w:rsidR="00466519" w:rsidRPr="00466519" w:rsidRDefault="004D51E9" w:rsidP="00466519">
      <w:pPr>
        <w:spacing w:after="240"/>
        <w:jc w:val="both"/>
      </w:pPr>
      <w:r>
        <w:rPr>
          <w:rFonts w:eastAsiaTheme="minorHAnsi"/>
        </w:rPr>
        <w:tab/>
      </w:r>
      <w:r w:rsidR="0002289A">
        <w:rPr>
          <w:rFonts w:eastAsiaTheme="minorHAnsi"/>
        </w:rPr>
        <w:t>We have</w:t>
      </w:r>
      <w:r w:rsidR="00466519" w:rsidRPr="00466519">
        <w:rPr>
          <w:rFonts w:eastAsiaTheme="minorHAnsi"/>
        </w:rPr>
        <w:t xml:space="preserve"> the authority to apply a year-end rate base, but should only apply a year-end rate base in extraordinary circumstances.</w:t>
      </w:r>
      <w:r w:rsidR="00466519" w:rsidRPr="00466519">
        <w:rPr>
          <w:vertAlign w:val="superscript"/>
        </w:rPr>
        <w:footnoteReference w:id="8"/>
      </w:r>
      <w:r w:rsidR="00466519" w:rsidRPr="00466519">
        <w:rPr>
          <w:rFonts w:eastAsiaTheme="minorHAnsi"/>
        </w:rPr>
        <w:t xml:space="preserve"> </w:t>
      </w:r>
      <w:r w:rsidR="00466519" w:rsidRPr="00466519">
        <w:rPr>
          <w:rFonts w:eastAsiaTheme="minorHAnsi"/>
          <w:sz w:val="16"/>
          <w:szCs w:val="16"/>
        </w:rPr>
        <w:t xml:space="preserve"> </w:t>
      </w:r>
      <w:r w:rsidR="0002289A">
        <w:rPr>
          <w:rFonts w:eastAsiaTheme="minorHAnsi"/>
        </w:rPr>
        <w:t>We believe</w:t>
      </w:r>
      <w:r w:rsidR="00466519" w:rsidRPr="00466519">
        <w:rPr>
          <w:rFonts w:eastAsiaTheme="minorHAnsi"/>
        </w:rPr>
        <w:t xml:space="preserve"> extraordinary circumstances exist in the instant case. </w:t>
      </w:r>
      <w:r w:rsidR="00466519" w:rsidRPr="00466519">
        <w:t xml:space="preserve">Following the recent transfer of the utility, Gator stated that the water system was in immediate need of repairs. A complete rehabilitation of the existing WTP was completed, which included a new hydro-pneumatic tank, generator, well pump, disinfection system, disinfection shed, storage unit, and supply mains. </w:t>
      </w:r>
      <w:r w:rsidR="00466519" w:rsidRPr="00466519">
        <w:rPr>
          <w:rFonts w:eastAsiaTheme="minorHAnsi"/>
        </w:rPr>
        <w:t xml:space="preserve">The year-end rate base will provide the utility with an opportunity to recover the investment made to improve water quality and provide for compensatory rates for this utility in this rate case. </w:t>
      </w:r>
      <w:r w:rsidR="0002289A">
        <w:rPr>
          <w:rFonts w:eastAsiaTheme="minorHAnsi"/>
        </w:rPr>
        <w:t>We have</w:t>
      </w:r>
      <w:r w:rsidR="00466519" w:rsidRPr="00466519">
        <w:rPr>
          <w:rFonts w:eastAsiaTheme="minorHAnsi"/>
        </w:rPr>
        <w:t xml:space="preserve"> previously authorized the use of a year-end rate base in other cases involving significant test year improvements.</w:t>
      </w:r>
      <w:r w:rsidR="00466519" w:rsidRPr="00466519">
        <w:rPr>
          <w:vertAlign w:val="superscript"/>
        </w:rPr>
        <w:footnoteReference w:id="9"/>
      </w:r>
      <w:r w:rsidR="00466519" w:rsidRPr="00466519">
        <w:rPr>
          <w:rFonts w:eastAsiaTheme="minorHAnsi"/>
        </w:rPr>
        <w:t xml:space="preserve"> Therefore, </w:t>
      </w:r>
      <w:r w:rsidR="0002289A">
        <w:rPr>
          <w:rFonts w:eastAsiaTheme="minorHAnsi"/>
        </w:rPr>
        <w:t>we hereby</w:t>
      </w:r>
      <w:r w:rsidR="00466519" w:rsidRPr="00466519">
        <w:rPr>
          <w:rFonts w:eastAsiaTheme="minorHAnsi"/>
        </w:rPr>
        <w:t xml:space="preserve"> approve a year-end rate base for Gator</w:t>
      </w:r>
      <w:r w:rsidR="00466519" w:rsidRPr="00466519">
        <w:t>.</w:t>
      </w:r>
    </w:p>
    <w:p w:rsidR="00466519" w:rsidRPr="003F2238" w:rsidRDefault="003F2238" w:rsidP="00466519">
      <w:pPr>
        <w:jc w:val="both"/>
        <w:outlineLvl w:val="2"/>
        <w:rPr>
          <w:bCs/>
          <w:i/>
          <w:iCs/>
          <w:szCs w:val="28"/>
        </w:rPr>
      </w:pPr>
      <w:r w:rsidRPr="003F2238">
        <w:rPr>
          <w:bCs/>
          <w:i/>
          <w:iCs/>
          <w:szCs w:val="28"/>
        </w:rPr>
        <w:t xml:space="preserve">B. </w:t>
      </w:r>
      <w:r w:rsidR="00466519" w:rsidRPr="003F2238">
        <w:rPr>
          <w:bCs/>
          <w:i/>
          <w:iCs/>
          <w:szCs w:val="28"/>
        </w:rPr>
        <w:t>Utility Plant in Service (UPIS)</w:t>
      </w:r>
    </w:p>
    <w:p w:rsidR="004D51E9" w:rsidRPr="003F2238" w:rsidRDefault="004D51E9" w:rsidP="00466519">
      <w:pPr>
        <w:jc w:val="both"/>
        <w:outlineLvl w:val="2"/>
        <w:rPr>
          <w:bCs/>
          <w:i/>
          <w:iCs/>
          <w:szCs w:val="28"/>
        </w:rPr>
      </w:pPr>
    </w:p>
    <w:p w:rsidR="00466519" w:rsidRPr="00466519" w:rsidRDefault="004D51E9" w:rsidP="00466519">
      <w:pPr>
        <w:spacing w:after="240"/>
        <w:jc w:val="both"/>
      </w:pPr>
      <w:r>
        <w:tab/>
      </w:r>
      <w:r w:rsidR="00466519" w:rsidRPr="00466519">
        <w:t xml:space="preserve">The utility recorded a test year UPIS balance of $468,703. Based on </w:t>
      </w:r>
      <w:r w:rsidR="0002289A">
        <w:t xml:space="preserve">our </w:t>
      </w:r>
      <w:r w:rsidR="00466519" w:rsidRPr="00466519">
        <w:t xml:space="preserve">audit staff’s review of the utility’s books and records, no adjustments were necessary to reflect the appropriate UPIS test year balances. However, the utility also filed three separate requests for consideration of pro forma plant in this docket. The first project, included with the utility’s initial filing, totaled $158,790 for a rehabilitation and replacement project of the water treatment plant. The utility provided </w:t>
      </w:r>
      <w:r w:rsidR="0002289A">
        <w:t>us</w:t>
      </w:r>
      <w:r w:rsidR="00466519" w:rsidRPr="00466519">
        <w:t xml:space="preserve"> with invoices. The second, filed on July 29, 2019, was for the replacement of water mains on two of the streets in the service territory that have experienced a high number of leaks and the addition of three new fire hydrants for added fire protection for the customers. The utility received three bid proposals for the project, and the bid with the lowest cost of $204,650 was selected. The third request, dated September 23, 2019, was for $13,204 related to emergency repairs. The utility provided </w:t>
      </w:r>
      <w:r w:rsidR="0002289A">
        <w:t>us</w:t>
      </w:r>
      <w:r w:rsidR="00466519" w:rsidRPr="00466519">
        <w:t xml:space="preserve"> with invoices for the repairs. In total, Gator has requested recovery of $376,644 ($158,790 + $204,650 + $13,204) in pro forma plant in this docket. </w:t>
      </w:r>
    </w:p>
    <w:p w:rsidR="00466519" w:rsidRDefault="004D51E9" w:rsidP="0002289A">
      <w:pPr>
        <w:jc w:val="both"/>
      </w:pPr>
      <w:r>
        <w:tab/>
      </w:r>
      <w:r w:rsidR="0002289A">
        <w:t>We</w:t>
      </w:r>
      <w:r w:rsidR="00466519" w:rsidRPr="00466519">
        <w:t xml:space="preserve"> calculated pro forma plant retirements based on </w:t>
      </w:r>
      <w:r w:rsidR="0002289A">
        <w:t>our</w:t>
      </w:r>
      <w:r w:rsidR="00466519" w:rsidRPr="00466519">
        <w:t xml:space="preserve"> practice that a factor of 75 percent of replacement cost be used</w:t>
      </w:r>
      <w:r w:rsidR="0002289A">
        <w:t xml:space="preserve"> for retirements. We believe</w:t>
      </w:r>
      <w:r w:rsidR="00466519" w:rsidRPr="00466519">
        <w:t xml:space="preserve"> the amount of retirement to plant in service and accumulated depreciation reflected in the adjusted test year should be calculated based on either the 75 percent methodology or on the actual balance in the impacted plant in service account as of March 31, 2019, if that balance would be negative as a result of the 75 percent methodology. Therefore, when a retirement results in a negative plant balance, </w:t>
      </w:r>
      <w:r w:rsidR="0002289A">
        <w:t>we</w:t>
      </w:r>
      <w:r w:rsidR="00466519" w:rsidRPr="00466519">
        <w:t xml:space="preserve"> limited the retirement amount to the test year plant balance so there would be no negative plant. This situation occurred in five plant accounts in this docket, as reflected in Table 1</w:t>
      </w:r>
      <w:r w:rsidR="0002289A">
        <w:t>.</w:t>
      </w:r>
    </w:p>
    <w:p w:rsidR="004D51E9" w:rsidRDefault="004D51E9" w:rsidP="00466519"/>
    <w:p w:rsidR="004D51E9" w:rsidRPr="0002289A" w:rsidRDefault="004D51E9" w:rsidP="004D51E9">
      <w:pPr>
        <w:jc w:val="center"/>
        <w:rPr>
          <w:b/>
        </w:rPr>
      </w:pPr>
      <w:r w:rsidRPr="0002289A">
        <w:rPr>
          <w:b/>
        </w:rPr>
        <w:t>Table 1</w:t>
      </w:r>
      <w:r w:rsidRPr="0002289A">
        <w:rPr>
          <w:b/>
        </w:rPr>
        <w:br/>
        <w:t>Capped Pro Forma Plant Retirements</w:t>
      </w:r>
    </w:p>
    <w:tbl>
      <w:tblPr>
        <w:tblW w:w="4500" w:type="dxa"/>
        <w:jc w:val="center"/>
        <w:tblLook w:val="04A0" w:firstRow="1" w:lastRow="0" w:firstColumn="1" w:lastColumn="0" w:noHBand="0" w:noVBand="1"/>
      </w:tblPr>
      <w:tblGrid>
        <w:gridCol w:w="1030"/>
        <w:gridCol w:w="1430"/>
        <w:gridCol w:w="1100"/>
        <w:gridCol w:w="1242"/>
      </w:tblGrid>
      <w:tr w:rsidR="004D51E9" w:rsidRPr="004D51E9" w:rsidTr="004D51E9">
        <w:trPr>
          <w:trHeight w:val="312"/>
          <w:jc w:val="center"/>
        </w:trPr>
        <w:tc>
          <w:tcPr>
            <w:tcW w:w="980" w:type="dxa"/>
            <w:tcBorders>
              <w:top w:val="single" w:sz="4" w:space="0" w:color="auto"/>
              <w:left w:val="single" w:sz="4" w:space="0" w:color="auto"/>
              <w:bottom w:val="nil"/>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4D51E9" w:rsidRPr="004D51E9" w:rsidRDefault="0002289A" w:rsidP="004D51E9">
            <w:pPr>
              <w:jc w:val="center"/>
              <w:rPr>
                <w:color w:val="000000"/>
              </w:rPr>
            </w:pPr>
            <w:r>
              <w:rPr>
                <w:color w:val="000000"/>
              </w:rPr>
              <w:t>Commission</w:t>
            </w:r>
          </w:p>
        </w:tc>
        <w:tc>
          <w:tcPr>
            <w:tcW w:w="1100" w:type="dxa"/>
            <w:tcBorders>
              <w:top w:val="single" w:sz="4" w:space="0" w:color="auto"/>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xml:space="preserve">TY </w:t>
            </w:r>
          </w:p>
        </w:tc>
        <w:tc>
          <w:tcPr>
            <w:tcW w:w="1200" w:type="dxa"/>
            <w:tcBorders>
              <w:top w:val="single" w:sz="4" w:space="0" w:color="auto"/>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r>
      <w:tr w:rsidR="004D51E9" w:rsidRPr="004D51E9" w:rsidTr="004D51E9">
        <w:trPr>
          <w:trHeight w:val="312"/>
          <w:jc w:val="center"/>
        </w:trPr>
        <w:tc>
          <w:tcPr>
            <w:tcW w:w="980" w:type="dxa"/>
            <w:tcBorders>
              <w:top w:val="nil"/>
              <w:left w:val="single" w:sz="4" w:space="0" w:color="auto"/>
              <w:bottom w:val="nil"/>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Plant</w:t>
            </w:r>
          </w:p>
        </w:tc>
        <w:tc>
          <w:tcPr>
            <w:tcW w:w="1220" w:type="dxa"/>
            <w:tcBorders>
              <w:top w:val="nil"/>
              <w:left w:val="single" w:sz="4" w:space="0" w:color="auto"/>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Calculated</w:t>
            </w:r>
          </w:p>
        </w:tc>
        <w:tc>
          <w:tcPr>
            <w:tcW w:w="1100" w:type="dxa"/>
            <w:tcBorders>
              <w:top w:val="nil"/>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Plant</w:t>
            </w:r>
          </w:p>
        </w:tc>
        <w:tc>
          <w:tcPr>
            <w:tcW w:w="1200" w:type="dxa"/>
            <w:tcBorders>
              <w:top w:val="nil"/>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Account</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Retirement</w:t>
            </w:r>
          </w:p>
        </w:tc>
        <w:tc>
          <w:tcPr>
            <w:tcW w:w="1100"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Balance</w:t>
            </w:r>
          </w:p>
        </w:tc>
        <w:tc>
          <w:tcPr>
            <w:tcW w:w="1200"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Difference</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$35,566 </w:t>
            </w:r>
          </w:p>
        </w:tc>
        <w:tc>
          <w:tcPr>
            <w:tcW w:w="11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$12,500 </w:t>
            </w:r>
          </w:p>
        </w:tc>
        <w:tc>
          <w:tcPr>
            <w:tcW w:w="12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($23,066)</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$28,325 </w:t>
            </w:r>
          </w:p>
        </w:tc>
        <w:tc>
          <w:tcPr>
            <w:tcW w:w="11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$1,500 </w:t>
            </w:r>
          </w:p>
        </w:tc>
        <w:tc>
          <w:tcPr>
            <w:tcW w:w="12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($26,825)</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$27,427 </w:t>
            </w:r>
          </w:p>
        </w:tc>
        <w:tc>
          <w:tcPr>
            <w:tcW w:w="11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$18,300 </w:t>
            </w:r>
          </w:p>
        </w:tc>
        <w:tc>
          <w:tcPr>
            <w:tcW w:w="12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($9,127)</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$25,990 </w:t>
            </w:r>
          </w:p>
        </w:tc>
        <w:tc>
          <w:tcPr>
            <w:tcW w:w="11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$24,905 </w:t>
            </w:r>
          </w:p>
        </w:tc>
        <w:tc>
          <w:tcPr>
            <w:tcW w:w="12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($1,085)</w:t>
            </w:r>
          </w:p>
        </w:tc>
      </w:tr>
      <w:tr w:rsidR="004D51E9" w:rsidRPr="004D51E9" w:rsidTr="004D51E9">
        <w:trPr>
          <w:trHeight w:val="312"/>
          <w:jc w:val="center"/>
        </w:trPr>
        <w:tc>
          <w:tcPr>
            <w:tcW w:w="98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333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$62,187 </w:t>
            </w:r>
          </w:p>
        </w:tc>
        <w:tc>
          <w:tcPr>
            <w:tcW w:w="11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$5,716 </w:t>
            </w:r>
          </w:p>
        </w:tc>
        <w:tc>
          <w:tcPr>
            <w:tcW w:w="120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($56,471)</w:t>
            </w:r>
          </w:p>
        </w:tc>
      </w:tr>
    </w:tbl>
    <w:p w:rsidR="004D51E9" w:rsidRPr="004D51E9" w:rsidRDefault="004D51E9" w:rsidP="004D51E9">
      <w:pPr>
        <w:spacing w:after="240"/>
        <w:ind w:left="1440" w:firstLine="720"/>
        <w:jc w:val="both"/>
        <w:rPr>
          <w:sz w:val="22"/>
          <w:szCs w:val="22"/>
        </w:rPr>
      </w:pPr>
      <w:r w:rsidRPr="004D51E9">
        <w:t xml:space="preserve">   </w:t>
      </w:r>
      <w:r w:rsidRPr="004D51E9">
        <w:rPr>
          <w:sz w:val="22"/>
          <w:szCs w:val="22"/>
        </w:rPr>
        <w:t xml:space="preserve">Source: Audit Report and </w:t>
      </w:r>
      <w:r w:rsidR="0002289A">
        <w:rPr>
          <w:sz w:val="22"/>
          <w:szCs w:val="22"/>
        </w:rPr>
        <w:t>Commission</w:t>
      </w:r>
      <w:r w:rsidRPr="004D51E9">
        <w:rPr>
          <w:sz w:val="22"/>
          <w:szCs w:val="22"/>
        </w:rPr>
        <w:t xml:space="preserve"> calculations.</w:t>
      </w:r>
    </w:p>
    <w:p w:rsidR="004D51E9" w:rsidRPr="004D51E9" w:rsidRDefault="004D51E9" w:rsidP="004D51E9">
      <w:pPr>
        <w:spacing w:after="240"/>
        <w:jc w:val="both"/>
      </w:pPr>
      <w:r>
        <w:tab/>
      </w:r>
      <w:r w:rsidRPr="004D51E9">
        <w:t xml:space="preserve">Table 2 reflects </w:t>
      </w:r>
      <w:r w:rsidR="0002289A">
        <w:t xml:space="preserve">our </w:t>
      </w:r>
      <w:r w:rsidRPr="004D51E9">
        <w:t>UPIS adjustments, by account.</w:t>
      </w:r>
    </w:p>
    <w:p w:rsidR="004D51E9" w:rsidRPr="0002289A" w:rsidRDefault="004D51E9" w:rsidP="004D51E9">
      <w:pPr>
        <w:jc w:val="center"/>
        <w:rPr>
          <w:b/>
        </w:rPr>
      </w:pPr>
      <w:r w:rsidRPr="0002289A">
        <w:rPr>
          <w:b/>
        </w:rPr>
        <w:t>Table 2</w:t>
      </w:r>
      <w:r w:rsidRPr="0002289A">
        <w:rPr>
          <w:b/>
        </w:rPr>
        <w:br/>
        <w:t>Pro Forma UPIS Adjustments</w:t>
      </w:r>
    </w:p>
    <w:tbl>
      <w:tblPr>
        <w:tblW w:w="4310" w:type="dxa"/>
        <w:jc w:val="center"/>
        <w:tblLook w:val="04A0" w:firstRow="1" w:lastRow="0" w:firstColumn="1" w:lastColumn="0" w:noHBand="0" w:noVBand="1"/>
      </w:tblPr>
      <w:tblGrid>
        <w:gridCol w:w="1030"/>
        <w:gridCol w:w="1820"/>
        <w:gridCol w:w="1460"/>
      </w:tblGrid>
      <w:tr w:rsidR="004D51E9" w:rsidRPr="004D51E9" w:rsidTr="004D51E9">
        <w:trPr>
          <w:trHeight w:val="312"/>
          <w:jc w:val="center"/>
        </w:trPr>
        <w:tc>
          <w:tcPr>
            <w:tcW w:w="1030" w:type="dxa"/>
            <w:tcBorders>
              <w:top w:val="single" w:sz="4" w:space="0" w:color="auto"/>
              <w:left w:val="single" w:sz="4" w:space="0" w:color="auto"/>
              <w:bottom w:val="nil"/>
              <w:right w:val="single" w:sz="4" w:space="0" w:color="auto"/>
            </w:tcBorders>
            <w:shd w:val="clear" w:color="auto" w:fill="auto"/>
            <w:noWrap/>
            <w:vAlign w:val="bottom"/>
            <w:hideMark/>
          </w:tcPr>
          <w:p w:rsidR="004D51E9" w:rsidRPr="004D51E9" w:rsidRDefault="004D51E9" w:rsidP="004D51E9">
            <w:pPr>
              <w:jc w:val="center"/>
              <w:rPr>
                <w:color w:val="000000"/>
              </w:rPr>
            </w:pPr>
            <w:bookmarkStart w:id="8" w:name="RANGE!J4:L17"/>
            <w:r w:rsidRPr="004D51E9">
              <w:rPr>
                <w:color w:val="000000"/>
              </w:rPr>
              <w:t> </w:t>
            </w:r>
            <w:bookmarkEnd w:id="8"/>
          </w:p>
        </w:tc>
        <w:tc>
          <w:tcPr>
            <w:tcW w:w="1820" w:type="dxa"/>
            <w:tcBorders>
              <w:top w:val="single" w:sz="4" w:space="0" w:color="auto"/>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xml:space="preserve">Pro Forma </w:t>
            </w:r>
          </w:p>
        </w:tc>
        <w:tc>
          <w:tcPr>
            <w:tcW w:w="1460" w:type="dxa"/>
            <w:tcBorders>
              <w:top w:val="single" w:sz="4" w:space="0" w:color="auto"/>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Pro Forma</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Account</w:t>
            </w:r>
          </w:p>
        </w:tc>
        <w:tc>
          <w:tcPr>
            <w:tcW w:w="1820"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Plant</w:t>
            </w:r>
          </w:p>
        </w:tc>
        <w:tc>
          <w:tcPr>
            <w:tcW w:w="1460"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Retirement</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304</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$47,422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$12,500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307</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1,980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1,485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309</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37,766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1,500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310</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36,569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18,300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311</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639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479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320</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400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300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330</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34,653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24,905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331</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123,893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92,920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333</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82,916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5,716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334</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656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492 </w:t>
            </w:r>
          </w:p>
        </w:tc>
      </w:tr>
      <w:tr w:rsidR="004D51E9" w:rsidRPr="004D51E9" w:rsidTr="004D51E9">
        <w:trPr>
          <w:trHeight w:val="312"/>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335</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u w:val="single"/>
              </w:rPr>
            </w:pPr>
            <w:r w:rsidRPr="004D51E9">
              <w:rPr>
                <w:color w:val="000000"/>
                <w:u w:val="single"/>
              </w:rPr>
              <w:t xml:space="preserve">9,750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u w:val="single"/>
              </w:rPr>
            </w:pPr>
            <w:r w:rsidRPr="004D51E9">
              <w:rPr>
                <w:color w:val="000000"/>
                <w:u w:val="single"/>
              </w:rPr>
              <w:t xml:space="preserve">0 </w:t>
            </w:r>
          </w:p>
        </w:tc>
      </w:tr>
      <w:tr w:rsidR="004D51E9" w:rsidRPr="004D51E9" w:rsidTr="004D51E9">
        <w:trPr>
          <w:trHeight w:val="360"/>
          <w:jc w:val="center"/>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02289A">
            <w:pPr>
              <w:jc w:val="center"/>
              <w:rPr>
                <w:color w:val="000000"/>
              </w:rPr>
            </w:pPr>
            <w:r w:rsidRPr="004D51E9">
              <w:rPr>
                <w:color w:val="000000"/>
              </w:rPr>
              <w:t>Total</w:t>
            </w:r>
          </w:p>
        </w:tc>
        <w:tc>
          <w:tcPr>
            <w:tcW w:w="182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02289A">
            <w:pPr>
              <w:jc w:val="right"/>
              <w:rPr>
                <w:color w:val="000000"/>
                <w:u w:val="double"/>
              </w:rPr>
            </w:pPr>
            <w:r w:rsidRPr="004D51E9">
              <w:rPr>
                <w:color w:val="000000"/>
                <w:u w:val="double"/>
              </w:rPr>
              <w:t xml:space="preserve">$376,644 </w:t>
            </w:r>
          </w:p>
        </w:tc>
        <w:tc>
          <w:tcPr>
            <w:tcW w:w="146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02289A">
            <w:pPr>
              <w:jc w:val="right"/>
              <w:rPr>
                <w:color w:val="000000"/>
                <w:u w:val="double"/>
              </w:rPr>
            </w:pPr>
            <w:r w:rsidRPr="004D51E9">
              <w:rPr>
                <w:color w:val="000000"/>
                <w:u w:val="double"/>
              </w:rPr>
              <w:t xml:space="preserve">$158,597 </w:t>
            </w:r>
          </w:p>
        </w:tc>
      </w:tr>
    </w:tbl>
    <w:p w:rsidR="0002289A" w:rsidRDefault="0002289A" w:rsidP="0002289A">
      <w:pPr>
        <w:jc w:val="both"/>
      </w:pPr>
    </w:p>
    <w:p w:rsidR="004D51E9" w:rsidRDefault="004D51E9" w:rsidP="0002289A">
      <w:pPr>
        <w:jc w:val="both"/>
      </w:pPr>
      <w:r>
        <w:tab/>
      </w:r>
      <w:r w:rsidR="007321B2">
        <w:t>We</w:t>
      </w:r>
      <w:r w:rsidRPr="004D51E9">
        <w:t xml:space="preserve"> also made corresponding adjustments to accumulated depreciation (elsewhere in this </w:t>
      </w:r>
      <w:r w:rsidR="001C2366">
        <w:t>section</w:t>
      </w:r>
      <w:r w:rsidRPr="004D51E9">
        <w:t>), while depreciation expense and T</w:t>
      </w:r>
      <w:r w:rsidR="001C2366">
        <w:t>axes Other than Income</w:t>
      </w:r>
      <w:r w:rsidRPr="004D51E9">
        <w:t xml:space="preserve"> adjustments for taxes related to pro forma plant are discussed in </w:t>
      </w:r>
      <w:r w:rsidR="001C2366">
        <w:t>Section</w:t>
      </w:r>
      <w:r w:rsidRPr="004D51E9">
        <w:t xml:space="preserve"> 7. </w:t>
      </w:r>
      <w:r w:rsidR="001C2366">
        <w:t>Our</w:t>
      </w:r>
      <w:r w:rsidRPr="004D51E9">
        <w:t xml:space="preserve"> adjustments to UPIS result in a net increase of $218,047 ($376,644 - $158,597). Therefore, </w:t>
      </w:r>
      <w:r w:rsidR="001C2366">
        <w:t>we hereby approve</w:t>
      </w:r>
      <w:r w:rsidRPr="004D51E9">
        <w:t xml:space="preserve"> a UPIS balance of $686,750 ($468,703 + $218,047).</w:t>
      </w:r>
    </w:p>
    <w:p w:rsidR="0002289A" w:rsidRPr="004D51E9" w:rsidRDefault="0002289A" w:rsidP="0002289A">
      <w:pPr>
        <w:jc w:val="both"/>
      </w:pPr>
    </w:p>
    <w:p w:rsidR="004D51E9" w:rsidRPr="003F2238" w:rsidRDefault="003F2238" w:rsidP="004D51E9">
      <w:pPr>
        <w:keepNext/>
        <w:jc w:val="both"/>
        <w:outlineLvl w:val="2"/>
        <w:rPr>
          <w:bCs/>
          <w:i/>
          <w:iCs/>
          <w:szCs w:val="28"/>
        </w:rPr>
      </w:pPr>
      <w:r w:rsidRPr="003F2238">
        <w:rPr>
          <w:bCs/>
          <w:i/>
          <w:iCs/>
          <w:szCs w:val="28"/>
        </w:rPr>
        <w:t xml:space="preserve">C. </w:t>
      </w:r>
      <w:r w:rsidR="004D51E9" w:rsidRPr="003F2238">
        <w:rPr>
          <w:bCs/>
          <w:i/>
          <w:iCs/>
          <w:szCs w:val="28"/>
        </w:rPr>
        <w:t>Land &amp; Land Rights</w:t>
      </w:r>
    </w:p>
    <w:p w:rsidR="004D51E9" w:rsidRPr="003F2238" w:rsidRDefault="004D51E9" w:rsidP="004D51E9">
      <w:pPr>
        <w:keepNext/>
        <w:jc w:val="both"/>
        <w:outlineLvl w:val="2"/>
        <w:rPr>
          <w:bCs/>
          <w:i/>
          <w:iCs/>
          <w:szCs w:val="28"/>
        </w:rPr>
      </w:pPr>
    </w:p>
    <w:p w:rsidR="004D51E9" w:rsidRPr="004D51E9" w:rsidRDefault="004D51E9" w:rsidP="004D51E9">
      <w:pPr>
        <w:spacing w:after="240"/>
        <w:jc w:val="both"/>
      </w:pPr>
      <w:r>
        <w:tab/>
      </w:r>
      <w:r w:rsidRPr="004D51E9">
        <w:t xml:space="preserve">The utility recorded a test year land balance of $8,000. </w:t>
      </w:r>
      <w:r w:rsidR="00590463">
        <w:t>We</w:t>
      </w:r>
      <w:r w:rsidRPr="004D51E9">
        <w:t xml:space="preserve"> approved a land balance of $8,000 in the utility's 2018 transfer docket.</w:t>
      </w:r>
      <w:r w:rsidRPr="004D51E9">
        <w:rPr>
          <w:vertAlign w:val="superscript"/>
        </w:rPr>
        <w:footnoteReference w:id="10"/>
      </w:r>
      <w:r w:rsidRPr="004D51E9">
        <w:t xml:space="preserve"> There have been no additions to land since the transfer; therefore, no adjustments are necessary. </w:t>
      </w:r>
      <w:r w:rsidR="00590463">
        <w:t>Therefore, we find that</w:t>
      </w:r>
      <w:r w:rsidRPr="004D51E9">
        <w:t xml:space="preserve"> a land and land rights balance of</w:t>
      </w:r>
      <w:r w:rsidR="00590463">
        <w:t xml:space="preserve"> $8,000 is appropriate.</w:t>
      </w:r>
    </w:p>
    <w:p w:rsidR="004D51E9" w:rsidRPr="003F2238" w:rsidRDefault="003F2238" w:rsidP="004D51E9">
      <w:pPr>
        <w:jc w:val="both"/>
        <w:outlineLvl w:val="2"/>
        <w:rPr>
          <w:bCs/>
          <w:i/>
          <w:iCs/>
          <w:szCs w:val="28"/>
        </w:rPr>
      </w:pPr>
      <w:r w:rsidRPr="003F2238">
        <w:rPr>
          <w:bCs/>
          <w:i/>
          <w:iCs/>
          <w:szCs w:val="28"/>
        </w:rPr>
        <w:t xml:space="preserve">D. </w:t>
      </w:r>
      <w:r w:rsidR="004D51E9" w:rsidRPr="003F2238">
        <w:rPr>
          <w:bCs/>
          <w:i/>
          <w:iCs/>
          <w:szCs w:val="28"/>
        </w:rPr>
        <w:t>U</w:t>
      </w:r>
      <w:r w:rsidR="005538F1">
        <w:rPr>
          <w:bCs/>
          <w:i/>
          <w:iCs/>
          <w:szCs w:val="28"/>
        </w:rPr>
        <w:t>&amp;U</w:t>
      </w:r>
    </w:p>
    <w:p w:rsidR="004D51E9" w:rsidRPr="003F2238" w:rsidRDefault="004D51E9" w:rsidP="004D51E9">
      <w:pPr>
        <w:jc w:val="both"/>
        <w:outlineLvl w:val="2"/>
        <w:rPr>
          <w:bCs/>
          <w:i/>
          <w:iCs/>
          <w:szCs w:val="28"/>
        </w:rPr>
      </w:pPr>
    </w:p>
    <w:p w:rsidR="004D51E9" w:rsidRPr="004D51E9" w:rsidRDefault="004D51E9" w:rsidP="004D51E9">
      <w:pPr>
        <w:spacing w:after="240"/>
        <w:jc w:val="both"/>
      </w:pPr>
      <w:r>
        <w:tab/>
      </w:r>
      <w:r w:rsidRPr="004D51E9">
        <w:t xml:space="preserve">As discussed in </w:t>
      </w:r>
      <w:r w:rsidR="00590463">
        <w:t>Section</w:t>
      </w:r>
      <w:r w:rsidRPr="004D51E9">
        <w:t xml:space="preserve"> 3, Gator’s WTP and distribution system are considered 100 percent U&amp;U. Therefore, no U&amp;U adjustments are necessary.</w:t>
      </w:r>
    </w:p>
    <w:p w:rsidR="00590463" w:rsidRDefault="00590463" w:rsidP="004D51E9">
      <w:pPr>
        <w:jc w:val="both"/>
        <w:outlineLvl w:val="2"/>
        <w:rPr>
          <w:bCs/>
          <w:i/>
          <w:iCs/>
          <w:szCs w:val="28"/>
        </w:rPr>
      </w:pPr>
    </w:p>
    <w:p w:rsidR="00590463" w:rsidRDefault="00590463" w:rsidP="004D51E9">
      <w:pPr>
        <w:jc w:val="both"/>
        <w:outlineLvl w:val="2"/>
        <w:rPr>
          <w:bCs/>
          <w:i/>
          <w:iCs/>
          <w:szCs w:val="28"/>
        </w:rPr>
      </w:pPr>
    </w:p>
    <w:p w:rsidR="004D51E9" w:rsidRPr="003F2238" w:rsidRDefault="003F2238" w:rsidP="004D51E9">
      <w:pPr>
        <w:jc w:val="both"/>
        <w:outlineLvl w:val="2"/>
        <w:rPr>
          <w:bCs/>
          <w:i/>
          <w:iCs/>
          <w:szCs w:val="28"/>
        </w:rPr>
      </w:pPr>
      <w:r w:rsidRPr="003F2238">
        <w:rPr>
          <w:bCs/>
          <w:i/>
          <w:iCs/>
          <w:szCs w:val="28"/>
        </w:rPr>
        <w:t xml:space="preserve">E. </w:t>
      </w:r>
      <w:r w:rsidR="004D51E9" w:rsidRPr="003F2238">
        <w:rPr>
          <w:bCs/>
          <w:i/>
          <w:iCs/>
          <w:szCs w:val="28"/>
        </w:rPr>
        <w:t>Accumulated Depreciation</w:t>
      </w:r>
    </w:p>
    <w:p w:rsidR="004D51E9" w:rsidRPr="003F2238" w:rsidRDefault="004D51E9" w:rsidP="004D51E9">
      <w:pPr>
        <w:jc w:val="both"/>
        <w:outlineLvl w:val="2"/>
        <w:rPr>
          <w:bCs/>
          <w:i/>
          <w:iCs/>
          <w:szCs w:val="28"/>
        </w:rPr>
      </w:pPr>
    </w:p>
    <w:p w:rsidR="004D51E9" w:rsidRPr="004D51E9" w:rsidRDefault="004D51E9" w:rsidP="004D51E9">
      <w:pPr>
        <w:spacing w:after="240"/>
        <w:jc w:val="both"/>
      </w:pPr>
      <w:r>
        <w:tab/>
      </w:r>
      <w:r w:rsidRPr="004D51E9">
        <w:t xml:space="preserve">Gator recorded a test year accumulated depreciation balance of $265,341. </w:t>
      </w:r>
      <w:r w:rsidR="00590463">
        <w:t>We</w:t>
      </w:r>
      <w:r w:rsidRPr="004D51E9">
        <w:t xml:space="preserve"> increased accumulated depreciation by $167 to reflect depreciation pursuant to Rule 25-30.140, F.A.C.  In addition, </w:t>
      </w:r>
      <w:r w:rsidR="00590463">
        <w:t>we</w:t>
      </w:r>
      <w:r w:rsidRPr="004D51E9">
        <w:t xml:space="preserve"> made adjustments to accumulated depreciation based on the pro forma plant </w:t>
      </w:r>
      <w:r w:rsidR="00BE5390">
        <w:t>approved</w:t>
      </w:r>
      <w:r w:rsidRPr="004D51E9">
        <w:t xml:space="preserve"> in UPIS. Like the capped retirements discussed above, </w:t>
      </w:r>
      <w:r w:rsidR="00590463">
        <w:t>we believe</w:t>
      </w:r>
      <w:r w:rsidRPr="004D51E9">
        <w:t xml:space="preserve"> pro forma accumulated depreciation adjustments should be limited to the actual account balance when the adjustment would exceed the accumulated depreciation balance as of March 31, 2019. This situation impacted the same five accounts discussed above, as reflected in Table 3 below. </w:t>
      </w:r>
    </w:p>
    <w:p w:rsidR="004D51E9" w:rsidRPr="00590463" w:rsidRDefault="004D51E9" w:rsidP="004D51E9">
      <w:pPr>
        <w:jc w:val="center"/>
        <w:rPr>
          <w:b/>
        </w:rPr>
      </w:pPr>
      <w:r w:rsidRPr="00590463">
        <w:rPr>
          <w:b/>
        </w:rPr>
        <w:t>Table 3</w:t>
      </w:r>
      <w:r w:rsidRPr="00590463">
        <w:rPr>
          <w:b/>
        </w:rPr>
        <w:br/>
        <w:t>Capped Pro Forma Acc. Depreciation Adjustments</w:t>
      </w:r>
    </w:p>
    <w:tbl>
      <w:tblPr>
        <w:tblW w:w="4193" w:type="dxa"/>
        <w:jc w:val="center"/>
        <w:tblLook w:val="04A0" w:firstRow="1" w:lastRow="0" w:firstColumn="1" w:lastColumn="0" w:noHBand="0" w:noVBand="1"/>
      </w:tblPr>
      <w:tblGrid>
        <w:gridCol w:w="1030"/>
        <w:gridCol w:w="1723"/>
        <w:gridCol w:w="1440"/>
      </w:tblGrid>
      <w:tr w:rsidR="004D51E9" w:rsidRPr="004D51E9" w:rsidTr="004D51E9">
        <w:trPr>
          <w:trHeight w:val="312"/>
          <w:jc w:val="center"/>
        </w:trPr>
        <w:tc>
          <w:tcPr>
            <w:tcW w:w="1030" w:type="dxa"/>
            <w:tcBorders>
              <w:top w:val="single" w:sz="4" w:space="0" w:color="auto"/>
              <w:left w:val="single" w:sz="4" w:space="0" w:color="auto"/>
              <w:bottom w:val="nil"/>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c>
          <w:tcPr>
            <w:tcW w:w="1723" w:type="dxa"/>
            <w:tcBorders>
              <w:top w:val="single" w:sz="4" w:space="0" w:color="auto"/>
              <w:left w:val="single" w:sz="4" w:space="0" w:color="auto"/>
              <w:bottom w:val="nil"/>
              <w:right w:val="single" w:sz="4" w:space="0" w:color="auto"/>
            </w:tcBorders>
            <w:shd w:val="clear" w:color="auto" w:fill="auto"/>
            <w:noWrap/>
            <w:vAlign w:val="bottom"/>
            <w:hideMark/>
          </w:tcPr>
          <w:p w:rsidR="004D51E9" w:rsidRPr="004D51E9" w:rsidRDefault="00590463" w:rsidP="004D51E9">
            <w:pPr>
              <w:jc w:val="center"/>
              <w:rPr>
                <w:color w:val="000000"/>
              </w:rPr>
            </w:pPr>
            <w:r>
              <w:rPr>
                <w:color w:val="000000"/>
              </w:rPr>
              <w:t>Commission</w:t>
            </w:r>
          </w:p>
        </w:tc>
        <w:tc>
          <w:tcPr>
            <w:tcW w:w="1440" w:type="dxa"/>
            <w:tcBorders>
              <w:top w:val="single" w:sz="4" w:space="0" w:color="auto"/>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xml:space="preserve">TY </w:t>
            </w:r>
          </w:p>
        </w:tc>
      </w:tr>
      <w:tr w:rsidR="004D51E9" w:rsidRPr="004D51E9" w:rsidTr="004D51E9">
        <w:trPr>
          <w:trHeight w:val="312"/>
          <w:jc w:val="center"/>
        </w:trPr>
        <w:tc>
          <w:tcPr>
            <w:tcW w:w="1030" w:type="dxa"/>
            <w:tcBorders>
              <w:top w:val="nil"/>
              <w:left w:val="single" w:sz="4" w:space="0" w:color="auto"/>
              <w:bottom w:val="nil"/>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c>
          <w:tcPr>
            <w:tcW w:w="1723" w:type="dxa"/>
            <w:tcBorders>
              <w:top w:val="nil"/>
              <w:left w:val="single" w:sz="4" w:space="0" w:color="auto"/>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Calculated</w:t>
            </w:r>
          </w:p>
        </w:tc>
        <w:tc>
          <w:tcPr>
            <w:tcW w:w="1440" w:type="dxa"/>
            <w:tcBorders>
              <w:top w:val="nil"/>
              <w:left w:val="nil"/>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Acc. Dep.</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bottom"/>
            <w:hideMark/>
          </w:tcPr>
          <w:p w:rsidR="004D51E9" w:rsidRPr="004D51E9" w:rsidRDefault="004D51E9" w:rsidP="004D51E9">
            <w:pPr>
              <w:jc w:val="center"/>
              <w:rPr>
                <w:color w:val="000000"/>
              </w:rPr>
            </w:pPr>
            <w:r w:rsidRPr="004D51E9">
              <w:rPr>
                <w:color w:val="000000"/>
              </w:rPr>
              <w:t>Account</w:t>
            </w:r>
          </w:p>
        </w:tc>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Acc. Dep. Adj.</w:t>
            </w:r>
          </w:p>
        </w:tc>
        <w:tc>
          <w:tcPr>
            <w:tcW w:w="1440"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Balance</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304</w:t>
            </w:r>
          </w:p>
        </w:tc>
        <w:tc>
          <w:tcPr>
            <w:tcW w:w="1723" w:type="dxa"/>
            <w:tcBorders>
              <w:top w:val="nil"/>
              <w:left w:val="single" w:sz="4" w:space="0" w:color="auto"/>
              <w:bottom w:val="nil"/>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$35,566 </w:t>
            </w:r>
          </w:p>
        </w:tc>
        <w:tc>
          <w:tcPr>
            <w:tcW w:w="1440" w:type="dxa"/>
            <w:tcBorders>
              <w:top w:val="nil"/>
              <w:left w:val="nil"/>
              <w:bottom w:val="nil"/>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$6,497 </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309</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$28,325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$316 </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310</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$27,427 </w:t>
            </w:r>
          </w:p>
        </w:tc>
        <w:tc>
          <w:tcPr>
            <w:tcW w:w="144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$18,300 </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330</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$25,990 </w:t>
            </w:r>
          </w:p>
        </w:tc>
        <w:tc>
          <w:tcPr>
            <w:tcW w:w="144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$20,984 </w:t>
            </w:r>
          </w:p>
        </w:tc>
      </w:tr>
      <w:tr w:rsidR="004D51E9" w:rsidRPr="004D51E9" w:rsidTr="004D51E9">
        <w:trPr>
          <w:trHeight w:val="312"/>
          <w:jc w:val="center"/>
        </w:trPr>
        <w:tc>
          <w:tcPr>
            <w:tcW w:w="1030" w:type="dxa"/>
            <w:tcBorders>
              <w:top w:val="nil"/>
              <w:left w:val="single" w:sz="4" w:space="0" w:color="auto"/>
              <w:bottom w:val="single" w:sz="4" w:space="0" w:color="auto"/>
              <w:right w:val="nil"/>
            </w:tcBorders>
            <w:shd w:val="clear" w:color="auto" w:fill="auto"/>
            <w:noWrap/>
            <w:vAlign w:val="center"/>
            <w:hideMark/>
          </w:tcPr>
          <w:p w:rsidR="004D51E9" w:rsidRPr="004D51E9" w:rsidRDefault="004D51E9" w:rsidP="004D51E9">
            <w:pPr>
              <w:jc w:val="center"/>
              <w:rPr>
                <w:color w:val="000000"/>
              </w:rPr>
            </w:pPr>
            <w:r w:rsidRPr="004D51E9">
              <w:rPr>
                <w:color w:val="000000"/>
              </w:rPr>
              <w:t>333</w:t>
            </w:r>
          </w:p>
        </w:tc>
        <w:tc>
          <w:tcPr>
            <w:tcW w:w="1723"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$62,187 </w:t>
            </w:r>
          </w:p>
        </w:tc>
        <w:tc>
          <w:tcPr>
            <w:tcW w:w="1440"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$82 </w:t>
            </w:r>
          </w:p>
        </w:tc>
      </w:tr>
    </w:tbl>
    <w:p w:rsidR="004D51E9" w:rsidRDefault="004D51E9" w:rsidP="004D51E9">
      <w:pPr>
        <w:spacing w:after="240"/>
        <w:ind w:left="1440"/>
        <w:jc w:val="both"/>
        <w:rPr>
          <w:sz w:val="22"/>
          <w:szCs w:val="22"/>
        </w:rPr>
      </w:pPr>
      <w:r w:rsidRPr="004D51E9">
        <w:rPr>
          <w:sz w:val="22"/>
          <w:szCs w:val="22"/>
        </w:rPr>
        <w:t xml:space="preserve">                   Source: Audit Report and </w:t>
      </w:r>
      <w:r w:rsidR="00590463">
        <w:rPr>
          <w:sz w:val="22"/>
          <w:szCs w:val="22"/>
        </w:rPr>
        <w:t>Commission</w:t>
      </w:r>
      <w:r w:rsidRPr="004D51E9">
        <w:rPr>
          <w:sz w:val="22"/>
          <w:szCs w:val="22"/>
        </w:rPr>
        <w:t xml:space="preserve"> calculations.</w:t>
      </w:r>
    </w:p>
    <w:p w:rsidR="004D51E9" w:rsidRDefault="004D51E9" w:rsidP="00590463">
      <w:pPr>
        <w:jc w:val="both"/>
      </w:pPr>
      <w:r>
        <w:tab/>
      </w:r>
      <w:r w:rsidRPr="004D51E9">
        <w:t xml:space="preserve">Table 4 reflects </w:t>
      </w:r>
      <w:r w:rsidR="00590463">
        <w:t>our</w:t>
      </w:r>
      <w:r w:rsidRPr="004D51E9">
        <w:t xml:space="preserve"> accumulated depreciation adjustments, by account.</w:t>
      </w:r>
    </w:p>
    <w:p w:rsidR="00590463" w:rsidRPr="004D51E9" w:rsidRDefault="00590463" w:rsidP="00590463">
      <w:pPr>
        <w:jc w:val="both"/>
      </w:pPr>
    </w:p>
    <w:p w:rsidR="004D51E9" w:rsidRPr="00590463" w:rsidRDefault="004D51E9" w:rsidP="00590463">
      <w:pPr>
        <w:jc w:val="center"/>
        <w:rPr>
          <w:b/>
        </w:rPr>
      </w:pPr>
      <w:r w:rsidRPr="00590463">
        <w:rPr>
          <w:b/>
        </w:rPr>
        <w:t>Table 4</w:t>
      </w:r>
      <w:r w:rsidRPr="00590463">
        <w:rPr>
          <w:b/>
        </w:rPr>
        <w:br/>
        <w:t>Pro Forma Acc. Depreciation Adjustments</w:t>
      </w:r>
    </w:p>
    <w:tbl>
      <w:tblPr>
        <w:tblW w:w="2876" w:type="dxa"/>
        <w:jc w:val="center"/>
        <w:tblLook w:val="04A0" w:firstRow="1" w:lastRow="0" w:firstColumn="1" w:lastColumn="0" w:noHBand="0" w:noVBand="1"/>
      </w:tblPr>
      <w:tblGrid>
        <w:gridCol w:w="1039"/>
        <w:gridCol w:w="1837"/>
      </w:tblGrid>
      <w:tr w:rsidR="004D51E9" w:rsidRPr="004D51E9" w:rsidTr="004D51E9">
        <w:trPr>
          <w:trHeight w:val="231"/>
          <w:jc w:val="center"/>
        </w:trPr>
        <w:tc>
          <w:tcPr>
            <w:tcW w:w="1039" w:type="dxa"/>
            <w:tcBorders>
              <w:top w:val="single" w:sz="4" w:space="0" w:color="auto"/>
              <w:left w:val="single" w:sz="4" w:space="0" w:color="auto"/>
              <w:bottom w:val="nil"/>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 </w:t>
            </w:r>
          </w:p>
        </w:tc>
        <w:tc>
          <w:tcPr>
            <w:tcW w:w="1837" w:type="dxa"/>
            <w:tcBorders>
              <w:top w:val="single" w:sz="4" w:space="0" w:color="auto"/>
              <w:left w:val="nil"/>
              <w:bottom w:val="nil"/>
              <w:right w:val="single" w:sz="4" w:space="0" w:color="auto"/>
            </w:tcBorders>
            <w:shd w:val="clear" w:color="auto" w:fill="auto"/>
            <w:noWrap/>
            <w:vAlign w:val="bottom"/>
            <w:hideMark/>
          </w:tcPr>
          <w:p w:rsidR="004D51E9" w:rsidRPr="004D51E9" w:rsidRDefault="00590463" w:rsidP="004D51E9">
            <w:pPr>
              <w:jc w:val="center"/>
              <w:rPr>
                <w:color w:val="000000"/>
              </w:rPr>
            </w:pPr>
            <w:r>
              <w:rPr>
                <w:color w:val="000000"/>
              </w:rPr>
              <w:t>Approved</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Account</w:t>
            </w:r>
          </w:p>
        </w:tc>
        <w:tc>
          <w:tcPr>
            <w:tcW w:w="1837" w:type="dxa"/>
            <w:tcBorders>
              <w:top w:val="nil"/>
              <w:left w:val="nil"/>
              <w:bottom w:val="single" w:sz="4" w:space="0" w:color="auto"/>
              <w:right w:val="single" w:sz="4" w:space="0" w:color="auto"/>
            </w:tcBorders>
            <w:shd w:val="clear" w:color="auto" w:fill="auto"/>
            <w:noWrap/>
            <w:vAlign w:val="bottom"/>
            <w:hideMark/>
          </w:tcPr>
          <w:p w:rsidR="004D51E9" w:rsidRPr="004D51E9" w:rsidRDefault="004D51E9" w:rsidP="004D51E9">
            <w:pPr>
              <w:jc w:val="center"/>
              <w:rPr>
                <w:color w:val="000000"/>
              </w:rPr>
            </w:pPr>
            <w:r w:rsidRPr="004D51E9">
              <w:rPr>
                <w:color w:val="000000"/>
              </w:rPr>
              <w:t>Acc. Dep. Adj.</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304</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$6,497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307</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1,485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309</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316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310</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18,300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311</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479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320</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300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330</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20,984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331</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92,920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333</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82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334</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rPr>
            </w:pPr>
            <w:r w:rsidRPr="004D51E9">
              <w:rPr>
                <w:color w:val="000000"/>
              </w:rPr>
              <w:t xml:space="preserve">492 </w:t>
            </w:r>
          </w:p>
        </w:tc>
      </w:tr>
      <w:tr w:rsidR="004D51E9" w:rsidRPr="004D51E9" w:rsidTr="004D51E9">
        <w:trPr>
          <w:trHeight w:val="231"/>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335</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u w:val="single"/>
              </w:rPr>
            </w:pPr>
            <w:r w:rsidRPr="004D51E9">
              <w:rPr>
                <w:color w:val="000000"/>
                <w:u w:val="single"/>
              </w:rPr>
              <w:t>(244)</w:t>
            </w:r>
          </w:p>
        </w:tc>
      </w:tr>
      <w:tr w:rsidR="004D51E9" w:rsidRPr="004D51E9" w:rsidTr="004D51E9">
        <w:trPr>
          <w:trHeight w:val="267"/>
          <w:jc w:val="center"/>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4D51E9" w:rsidRPr="004D51E9" w:rsidRDefault="004D51E9" w:rsidP="004D51E9">
            <w:pPr>
              <w:jc w:val="center"/>
              <w:rPr>
                <w:color w:val="000000"/>
              </w:rPr>
            </w:pPr>
            <w:r w:rsidRPr="004D51E9">
              <w:rPr>
                <w:color w:val="000000"/>
              </w:rPr>
              <w:t>Total</w:t>
            </w:r>
          </w:p>
        </w:tc>
        <w:tc>
          <w:tcPr>
            <w:tcW w:w="1837" w:type="dxa"/>
            <w:tcBorders>
              <w:top w:val="nil"/>
              <w:left w:val="nil"/>
              <w:bottom w:val="single" w:sz="4" w:space="0" w:color="auto"/>
              <w:right w:val="single" w:sz="4" w:space="0" w:color="auto"/>
            </w:tcBorders>
            <w:shd w:val="clear" w:color="auto" w:fill="auto"/>
            <w:noWrap/>
            <w:vAlign w:val="center"/>
            <w:hideMark/>
          </w:tcPr>
          <w:p w:rsidR="004D51E9" w:rsidRPr="004D51E9" w:rsidRDefault="004D51E9" w:rsidP="004D51E9">
            <w:pPr>
              <w:jc w:val="right"/>
              <w:rPr>
                <w:color w:val="000000"/>
                <w:u w:val="double"/>
              </w:rPr>
            </w:pPr>
            <w:r w:rsidRPr="004D51E9">
              <w:rPr>
                <w:color w:val="000000"/>
                <w:u w:val="double"/>
              </w:rPr>
              <w:t xml:space="preserve">$141,611 </w:t>
            </w:r>
          </w:p>
        </w:tc>
      </w:tr>
    </w:tbl>
    <w:p w:rsidR="00590463" w:rsidRDefault="00590463" w:rsidP="00590463">
      <w:pPr>
        <w:jc w:val="both"/>
      </w:pPr>
    </w:p>
    <w:p w:rsidR="004D51E9" w:rsidRPr="004D51E9" w:rsidRDefault="004D51E9" w:rsidP="00590463">
      <w:pPr>
        <w:jc w:val="both"/>
      </w:pPr>
      <w:r>
        <w:tab/>
      </w:r>
      <w:r w:rsidR="00590463">
        <w:t>Our</w:t>
      </w:r>
      <w:r w:rsidRPr="004D51E9">
        <w:t xml:space="preserve"> adjustments to accumulated depreciation result in a net decrease of $141,444 (-$167 + $141,611). Therefore, </w:t>
      </w:r>
      <w:r w:rsidR="00590463">
        <w:t>we find that</w:t>
      </w:r>
      <w:r w:rsidRPr="004D51E9">
        <w:t xml:space="preserve"> an accumulated depreciation balance of</w:t>
      </w:r>
      <w:r w:rsidR="00590463">
        <w:t xml:space="preserve"> $123,897 ($265,341 - $141,444) is appropriate.</w:t>
      </w:r>
    </w:p>
    <w:p w:rsidR="004D51E9" w:rsidRPr="003F2238" w:rsidRDefault="003F2238" w:rsidP="004D51E9">
      <w:pPr>
        <w:jc w:val="both"/>
        <w:outlineLvl w:val="2"/>
        <w:rPr>
          <w:bCs/>
          <w:i/>
          <w:iCs/>
          <w:szCs w:val="28"/>
        </w:rPr>
      </w:pPr>
      <w:r w:rsidRPr="003F2238">
        <w:rPr>
          <w:bCs/>
          <w:i/>
          <w:iCs/>
          <w:szCs w:val="28"/>
        </w:rPr>
        <w:t xml:space="preserve">F. </w:t>
      </w:r>
      <w:r w:rsidR="004D51E9" w:rsidRPr="003F2238">
        <w:rPr>
          <w:bCs/>
          <w:i/>
          <w:iCs/>
          <w:szCs w:val="28"/>
        </w:rPr>
        <w:t>Contribution in Aid of Construction (CIAC)</w:t>
      </w:r>
    </w:p>
    <w:p w:rsidR="004D51E9" w:rsidRPr="003F2238" w:rsidRDefault="004D51E9" w:rsidP="004D51E9">
      <w:pPr>
        <w:jc w:val="both"/>
        <w:outlineLvl w:val="2"/>
        <w:rPr>
          <w:bCs/>
          <w:i/>
          <w:iCs/>
          <w:szCs w:val="28"/>
        </w:rPr>
      </w:pPr>
    </w:p>
    <w:p w:rsidR="004D51E9" w:rsidRPr="004D51E9" w:rsidRDefault="004D51E9" w:rsidP="004D51E9">
      <w:pPr>
        <w:spacing w:after="240"/>
        <w:jc w:val="both"/>
      </w:pPr>
      <w:r>
        <w:tab/>
      </w:r>
      <w:r w:rsidRPr="004D51E9">
        <w:t xml:space="preserve">The utility recorded a test year CIAC balance of $165,685. Based on </w:t>
      </w:r>
      <w:r w:rsidR="00E27CB7">
        <w:t>our</w:t>
      </w:r>
      <w:r w:rsidRPr="004D51E9">
        <w:t xml:space="preserve"> review, no adjustment is necessary. Therefore, </w:t>
      </w:r>
      <w:r w:rsidR="00E27CB7">
        <w:t>we find</w:t>
      </w:r>
      <w:r w:rsidRPr="004D51E9">
        <w:t xml:space="preserve"> that the appropriate balance is $165,685.</w:t>
      </w:r>
    </w:p>
    <w:p w:rsidR="004D51E9" w:rsidRPr="003F2238" w:rsidRDefault="003F2238" w:rsidP="004D51E9">
      <w:pPr>
        <w:jc w:val="both"/>
        <w:outlineLvl w:val="2"/>
        <w:rPr>
          <w:bCs/>
          <w:i/>
          <w:iCs/>
          <w:szCs w:val="28"/>
        </w:rPr>
      </w:pPr>
      <w:r w:rsidRPr="003F2238">
        <w:rPr>
          <w:bCs/>
          <w:i/>
          <w:iCs/>
          <w:szCs w:val="28"/>
        </w:rPr>
        <w:t xml:space="preserve">G. </w:t>
      </w:r>
      <w:r w:rsidR="004D51E9" w:rsidRPr="003F2238">
        <w:rPr>
          <w:bCs/>
          <w:i/>
          <w:iCs/>
          <w:szCs w:val="28"/>
        </w:rPr>
        <w:t>Accumulated Amortization of CIAC</w:t>
      </w:r>
    </w:p>
    <w:p w:rsidR="004D51E9" w:rsidRPr="003F2238" w:rsidRDefault="004D51E9" w:rsidP="004D51E9">
      <w:pPr>
        <w:jc w:val="both"/>
        <w:outlineLvl w:val="2"/>
        <w:rPr>
          <w:bCs/>
          <w:i/>
          <w:iCs/>
          <w:szCs w:val="28"/>
        </w:rPr>
      </w:pPr>
    </w:p>
    <w:p w:rsidR="004D51E9" w:rsidRPr="004D51E9" w:rsidRDefault="004D51E9" w:rsidP="004D51E9">
      <w:pPr>
        <w:spacing w:after="240"/>
        <w:jc w:val="both"/>
      </w:pPr>
      <w:r>
        <w:tab/>
      </w:r>
      <w:r w:rsidRPr="004D51E9">
        <w:t xml:space="preserve">The utility recorded a test year accumulated amortization of CIAC balance of $134,990. Based on </w:t>
      </w:r>
      <w:r w:rsidR="00E27CB7">
        <w:t>our</w:t>
      </w:r>
      <w:r w:rsidRPr="004D51E9">
        <w:t xml:space="preserve"> review, accumulated amortization of CIAC sh</w:t>
      </w:r>
      <w:r w:rsidR="00E27CB7">
        <w:t xml:space="preserve">all </w:t>
      </w:r>
      <w:r w:rsidRPr="004D51E9">
        <w:t xml:space="preserve">be reduced by $686. Therefore, </w:t>
      </w:r>
      <w:r w:rsidR="00E27CB7">
        <w:t>we find</w:t>
      </w:r>
      <w:r w:rsidRPr="004D51E9">
        <w:t xml:space="preserve"> that the appropriate balance is $134,304 ($134,990 - $686).</w:t>
      </w:r>
    </w:p>
    <w:p w:rsidR="004D51E9" w:rsidRPr="003F2238" w:rsidRDefault="003F2238" w:rsidP="004D51E9">
      <w:pPr>
        <w:jc w:val="both"/>
        <w:outlineLvl w:val="2"/>
        <w:rPr>
          <w:bCs/>
          <w:i/>
          <w:iCs/>
          <w:szCs w:val="28"/>
        </w:rPr>
      </w:pPr>
      <w:r w:rsidRPr="003F2238">
        <w:rPr>
          <w:bCs/>
          <w:i/>
          <w:iCs/>
          <w:szCs w:val="28"/>
        </w:rPr>
        <w:t xml:space="preserve">H. </w:t>
      </w:r>
      <w:r w:rsidR="004D51E9" w:rsidRPr="003F2238">
        <w:rPr>
          <w:bCs/>
          <w:i/>
          <w:iCs/>
          <w:szCs w:val="28"/>
        </w:rPr>
        <w:t>Working Capital Allowance</w:t>
      </w:r>
    </w:p>
    <w:p w:rsidR="004D51E9" w:rsidRPr="003F2238" w:rsidRDefault="004D51E9" w:rsidP="004D51E9">
      <w:pPr>
        <w:jc w:val="both"/>
        <w:outlineLvl w:val="2"/>
        <w:rPr>
          <w:bCs/>
          <w:i/>
          <w:iCs/>
          <w:szCs w:val="28"/>
        </w:rPr>
      </w:pPr>
    </w:p>
    <w:p w:rsidR="004D51E9" w:rsidRPr="004D51E9" w:rsidRDefault="004D51E9" w:rsidP="004D51E9">
      <w:pPr>
        <w:spacing w:after="240"/>
        <w:jc w:val="both"/>
      </w:pPr>
      <w:r>
        <w:tab/>
      </w:r>
      <w:r w:rsidRPr="004D51E9">
        <w:t xml:space="preserve">Working capital is defined as the short-term investor-supplied funds that are necessary to meet operating expenses. Consistent with Rule 25-30.433(3), F.A.C., </w:t>
      </w:r>
      <w:r w:rsidR="00E27CB7">
        <w:t>we</w:t>
      </w:r>
      <w:r w:rsidRPr="004D51E9">
        <w:t xml:space="preserve"> used the one-eighth of the operation and maintenance (O&amp;M) expense formula approach for calculating the working capital allowance. Section 367.081(9), F.S., prohibits a utility from earning a return on the unamortized balance of rate case expense. As such, </w:t>
      </w:r>
      <w:r w:rsidR="00E27CB7">
        <w:t>we</w:t>
      </w:r>
      <w:r w:rsidRPr="004D51E9">
        <w:t xml:space="preserve"> removed the rate case expense balance of $661 for this calculation resulting in an adjusted O&amp;M expense balance of $73,997 ($74,658 - $661). Applying this formula approach to the adjusted O&amp;M expense balance, </w:t>
      </w:r>
      <w:r w:rsidR="00E27CB7">
        <w:t>we find that</w:t>
      </w:r>
      <w:r w:rsidRPr="004D51E9">
        <w:t xml:space="preserve"> a working capital </w:t>
      </w:r>
      <w:r w:rsidR="00E27CB7">
        <w:t>allowance of $9,250 ($73,997/8) is appropriate.</w:t>
      </w:r>
    </w:p>
    <w:p w:rsidR="004D51E9" w:rsidRPr="003F2238" w:rsidRDefault="003F2238" w:rsidP="004D51E9">
      <w:pPr>
        <w:jc w:val="both"/>
        <w:outlineLvl w:val="2"/>
        <w:rPr>
          <w:bCs/>
          <w:i/>
          <w:iCs/>
          <w:szCs w:val="28"/>
        </w:rPr>
      </w:pPr>
      <w:r w:rsidRPr="003F2238">
        <w:rPr>
          <w:bCs/>
          <w:i/>
          <w:iCs/>
          <w:szCs w:val="28"/>
        </w:rPr>
        <w:t xml:space="preserve">I. </w:t>
      </w:r>
      <w:r w:rsidR="004D51E9" w:rsidRPr="003F2238">
        <w:rPr>
          <w:bCs/>
          <w:i/>
          <w:iCs/>
          <w:szCs w:val="28"/>
        </w:rPr>
        <w:t>Rate Base Summary</w:t>
      </w:r>
    </w:p>
    <w:p w:rsidR="004D51E9" w:rsidRPr="003F2238" w:rsidRDefault="004D51E9" w:rsidP="004D51E9">
      <w:pPr>
        <w:jc w:val="both"/>
        <w:outlineLvl w:val="2"/>
        <w:rPr>
          <w:bCs/>
          <w:i/>
          <w:iCs/>
          <w:szCs w:val="28"/>
        </w:rPr>
      </w:pPr>
    </w:p>
    <w:p w:rsidR="004D51E9" w:rsidRDefault="004D51E9" w:rsidP="00E27CB7">
      <w:pPr>
        <w:jc w:val="both"/>
      </w:pPr>
      <w:r>
        <w:tab/>
      </w:r>
      <w:r w:rsidRPr="004D51E9">
        <w:t xml:space="preserve">Based on the foregoing, </w:t>
      </w:r>
      <w:r w:rsidR="00E27CB7">
        <w:t>we find</w:t>
      </w:r>
      <w:r w:rsidRPr="004D51E9">
        <w:t xml:space="preserve"> that the appropriate year-end test year rate base is $548,722. Rate base is shown on Schedule No. 1-A. The related adjustments are shown on Schedule No. 1-B.</w:t>
      </w:r>
    </w:p>
    <w:p w:rsidR="007C4AEA" w:rsidRDefault="007C4AEA" w:rsidP="004D51E9"/>
    <w:p w:rsidR="007C4AEA" w:rsidRPr="007C4AEA" w:rsidRDefault="007C4AEA" w:rsidP="004D51E9">
      <w:pPr>
        <w:rPr>
          <w:u w:val="single"/>
        </w:rPr>
      </w:pPr>
      <w:r>
        <w:rPr>
          <w:u w:val="single"/>
        </w:rPr>
        <w:t>5. Return on Equity (ROE)</w:t>
      </w:r>
    </w:p>
    <w:p w:rsidR="007C4AEA" w:rsidRDefault="007C4AEA" w:rsidP="004D51E9"/>
    <w:p w:rsidR="004D51E9" w:rsidRDefault="004D51E9" w:rsidP="00E27CB7">
      <w:pPr>
        <w:ind w:firstLine="720"/>
        <w:jc w:val="both"/>
        <w:rPr>
          <w:rFonts w:eastAsiaTheme="minorHAnsi"/>
        </w:rPr>
      </w:pPr>
      <w:r w:rsidRPr="004D51E9">
        <w:rPr>
          <w:rFonts w:eastAsiaTheme="minorHAnsi"/>
        </w:rPr>
        <w:t xml:space="preserve">Gator’s capital structure consists of $356,836 in common equity. </w:t>
      </w:r>
      <w:r w:rsidRPr="004D51E9">
        <w:t>The utility has no customer deposits.</w:t>
      </w:r>
      <w:r w:rsidR="00E27CB7">
        <w:rPr>
          <w:rFonts w:eastAsiaTheme="minorHAnsi"/>
        </w:rPr>
        <w:t xml:space="preserve"> Our a</w:t>
      </w:r>
      <w:r w:rsidRPr="004D51E9">
        <w:rPr>
          <w:rFonts w:eastAsiaTheme="minorHAnsi"/>
        </w:rPr>
        <w:t xml:space="preserve">udit staff determined that no test year adjustments were necessary. The utility’s capital structure has been reconciled with </w:t>
      </w:r>
      <w:r w:rsidR="00E27CB7">
        <w:rPr>
          <w:rFonts w:eastAsiaTheme="minorHAnsi"/>
        </w:rPr>
        <w:t>the Commission-approved</w:t>
      </w:r>
      <w:r w:rsidRPr="004D51E9">
        <w:rPr>
          <w:rFonts w:eastAsiaTheme="minorHAnsi"/>
        </w:rPr>
        <w:t xml:space="preserve"> rate base. The appropriate ROE is 7.85 percent based upon the Commission-approved leverage formula currently in effect.</w:t>
      </w:r>
      <w:r w:rsidRPr="004D51E9">
        <w:rPr>
          <w:vertAlign w:val="superscript"/>
        </w:rPr>
        <w:footnoteReference w:id="11"/>
      </w:r>
      <w:r w:rsidRPr="004D51E9">
        <w:rPr>
          <w:rFonts w:eastAsiaTheme="minorHAnsi"/>
        </w:rPr>
        <w:t xml:space="preserve"> </w:t>
      </w:r>
      <w:r w:rsidR="00E27CB7">
        <w:rPr>
          <w:rFonts w:eastAsiaTheme="minorHAnsi"/>
        </w:rPr>
        <w:t>Therefore, we hereby approve</w:t>
      </w:r>
      <w:r w:rsidRPr="004D51E9">
        <w:rPr>
          <w:rFonts w:eastAsiaTheme="minorHAnsi"/>
        </w:rPr>
        <w:t xml:space="preserve"> a ROE of 7.85 percent, with a range of 6.85 percent to 8.85 percent, and an overall rate of return of 7.85 percent. The ROE and overall rate of return are shown on Schedule No. 2.</w:t>
      </w:r>
    </w:p>
    <w:p w:rsidR="004D51E9" w:rsidRDefault="004D51E9" w:rsidP="007C4AEA">
      <w:pPr>
        <w:rPr>
          <w:rFonts w:eastAsiaTheme="minorHAnsi"/>
        </w:rPr>
      </w:pPr>
    </w:p>
    <w:p w:rsidR="007C4AEA" w:rsidRPr="007C4AEA" w:rsidRDefault="007C4AEA" w:rsidP="007C4AEA">
      <w:pPr>
        <w:jc w:val="both"/>
      </w:pPr>
      <w:r>
        <w:rPr>
          <w:u w:val="single"/>
        </w:rPr>
        <w:t>6. Test Year Revenues</w:t>
      </w:r>
    </w:p>
    <w:p w:rsidR="007C4AEA" w:rsidRDefault="007C4AEA" w:rsidP="007C4AEA">
      <w:pPr>
        <w:jc w:val="both"/>
      </w:pPr>
    </w:p>
    <w:p w:rsidR="004D51E9" w:rsidRPr="004D51E9" w:rsidRDefault="004D51E9" w:rsidP="007C4AEA">
      <w:pPr>
        <w:ind w:firstLine="720"/>
        <w:jc w:val="both"/>
      </w:pPr>
      <w:r w:rsidRPr="004D51E9">
        <w:t xml:space="preserve">Gator recorded test year revenues of $56,351. The water revenues included $51,833 of service revenues and $4,518 of miscellaneous revenues. In order to determine the appropriate test year revenues, </w:t>
      </w:r>
      <w:r w:rsidR="00E27CB7">
        <w:t xml:space="preserve">we </w:t>
      </w:r>
      <w:r w:rsidRPr="004D51E9">
        <w:t xml:space="preserve">applied the number of billing determinants by the rates in effect as of January 4, 2019. As a result, </w:t>
      </w:r>
      <w:r w:rsidR="00E27CB7">
        <w:t>we</w:t>
      </w:r>
      <w:r w:rsidRPr="004D51E9">
        <w:t xml:space="preserve"> determined that service revenues sh</w:t>
      </w:r>
      <w:r w:rsidR="00E27CB7">
        <w:t>all</w:t>
      </w:r>
      <w:r w:rsidRPr="004D51E9">
        <w:t xml:space="preserve"> be $52,255, which is an increase of $422. </w:t>
      </w:r>
    </w:p>
    <w:p w:rsidR="004D51E9" w:rsidRDefault="004D51E9" w:rsidP="004D51E9"/>
    <w:p w:rsidR="004D51E9" w:rsidRDefault="004D51E9" w:rsidP="00E27CB7">
      <w:pPr>
        <w:jc w:val="both"/>
      </w:pPr>
      <w:r>
        <w:tab/>
      </w:r>
      <w:r w:rsidR="00E27CB7">
        <w:t xml:space="preserve">We </w:t>
      </w:r>
      <w:r w:rsidRPr="004D51E9">
        <w:t xml:space="preserve">also made an adjustment to the miscellaneous revenues. During the test year, the utility incorrectly recorded the number of late payments. Therefore, </w:t>
      </w:r>
      <w:r w:rsidR="00E27CB7">
        <w:t>we</w:t>
      </w:r>
      <w:r w:rsidRPr="004D51E9">
        <w:t xml:space="preserve"> increased miscellaneous revenues by $8 for late payment charges to reflect miscellaneous revenues of $4,526. Based on the above, the appropriate test year revenues for Gator’s water system, including miscellaneous revenues are $56,781 ($52,255 +$4,526).</w:t>
      </w:r>
    </w:p>
    <w:p w:rsidR="004D51E9" w:rsidRDefault="004D51E9" w:rsidP="007C4AEA"/>
    <w:p w:rsidR="007C4AEA" w:rsidRPr="007C4AEA" w:rsidRDefault="007C4AEA" w:rsidP="007C4AEA">
      <w:pPr>
        <w:jc w:val="both"/>
      </w:pPr>
      <w:r>
        <w:rPr>
          <w:u w:val="single"/>
        </w:rPr>
        <w:t>7. Operating Expense</w:t>
      </w:r>
    </w:p>
    <w:p w:rsidR="007C4AEA" w:rsidRDefault="007C4AEA" w:rsidP="007C4AEA">
      <w:pPr>
        <w:jc w:val="both"/>
      </w:pPr>
    </w:p>
    <w:p w:rsidR="004D51E9" w:rsidRDefault="004D51E9" w:rsidP="007C4AEA">
      <w:pPr>
        <w:ind w:firstLine="720"/>
        <w:jc w:val="both"/>
      </w:pPr>
      <w:r w:rsidRPr="004D51E9">
        <w:t xml:space="preserve">Gator recorded operating expense of $89,965 for the test year ended March 31, 2019. The test year O&amp;M expenses have been reviewed, including invoices, canceled checks, and other supporting documentation. </w:t>
      </w:r>
      <w:r w:rsidR="00317A80">
        <w:t>We</w:t>
      </w:r>
      <w:r w:rsidRPr="004D51E9">
        <w:t xml:space="preserve"> made a few adjustments to the utility's operating expenses as summarized below.</w:t>
      </w:r>
    </w:p>
    <w:p w:rsidR="007C4AEA" w:rsidRPr="004D51E9" w:rsidRDefault="007C4AEA" w:rsidP="007C4AEA">
      <w:pPr>
        <w:ind w:firstLine="720"/>
        <w:jc w:val="both"/>
      </w:pPr>
    </w:p>
    <w:p w:rsidR="004D51E9" w:rsidRPr="007C4AEA" w:rsidRDefault="007C4AEA" w:rsidP="004D51E9">
      <w:pPr>
        <w:jc w:val="both"/>
        <w:outlineLvl w:val="2"/>
        <w:rPr>
          <w:bCs/>
          <w:i/>
          <w:iCs/>
        </w:rPr>
      </w:pPr>
      <w:r w:rsidRPr="007C4AEA">
        <w:rPr>
          <w:bCs/>
          <w:i/>
          <w:iCs/>
        </w:rPr>
        <w:t xml:space="preserve">A. </w:t>
      </w:r>
      <w:r w:rsidR="004D51E9" w:rsidRPr="007C4AEA">
        <w:rPr>
          <w:bCs/>
          <w:i/>
          <w:iCs/>
        </w:rPr>
        <w:t>Operation &amp; Maintenance Expense</w:t>
      </w:r>
    </w:p>
    <w:p w:rsidR="004D51E9" w:rsidRPr="007C4AEA" w:rsidRDefault="004D51E9" w:rsidP="004D51E9">
      <w:pPr>
        <w:jc w:val="both"/>
        <w:outlineLvl w:val="2"/>
        <w:rPr>
          <w:bCs/>
          <w:iCs/>
        </w:rPr>
      </w:pPr>
    </w:p>
    <w:p w:rsidR="004D51E9" w:rsidRPr="007C4AEA" w:rsidRDefault="004D51E9" w:rsidP="007C4AEA">
      <w:pPr>
        <w:jc w:val="both"/>
        <w:outlineLvl w:val="3"/>
        <w:rPr>
          <w:b/>
          <w:bCs/>
          <w:iCs/>
        </w:rPr>
      </w:pPr>
      <w:r w:rsidRPr="007C4AEA">
        <w:rPr>
          <w:b/>
          <w:bCs/>
          <w:iCs/>
        </w:rPr>
        <w:t>Salaries and Wages – Officers (603)</w:t>
      </w:r>
    </w:p>
    <w:p w:rsidR="007C4AEA" w:rsidRDefault="007C4AEA" w:rsidP="007C4AEA">
      <w:pPr>
        <w:jc w:val="both"/>
        <w:rPr>
          <w:bCs/>
          <w:iCs/>
        </w:rPr>
      </w:pPr>
    </w:p>
    <w:p w:rsidR="004D51E9" w:rsidRDefault="004D51E9" w:rsidP="007C4AEA">
      <w:pPr>
        <w:jc w:val="both"/>
        <w:rPr>
          <w:rFonts w:eastAsiaTheme="minorHAnsi"/>
        </w:rPr>
      </w:pPr>
      <w:r>
        <w:tab/>
      </w:r>
      <w:r w:rsidRPr="004D51E9">
        <w:t>The utility recorded salaries and wages – officers expense of $5,000 in the test year</w:t>
      </w:r>
      <w:r w:rsidRPr="004D51E9">
        <w:rPr>
          <w:rFonts w:eastAsiaTheme="minorHAnsi"/>
        </w:rPr>
        <w:t xml:space="preserve"> to reflect the president's monthly salary of $417. According to the utility's 2018 annual report, Gator's officers also include an accounting manager who does not receive a salary </w:t>
      </w:r>
      <w:r w:rsidR="00317A80">
        <w:rPr>
          <w:rFonts w:eastAsiaTheme="minorHAnsi"/>
        </w:rPr>
        <w:t>reflected</w:t>
      </w:r>
      <w:r w:rsidRPr="004D51E9">
        <w:rPr>
          <w:rFonts w:eastAsiaTheme="minorHAnsi"/>
        </w:rPr>
        <w:t xml:space="preserve"> in this amount. In addition, the utility indicated in audit work papers that the president only receives compensation through distribution of retained earnings if there are any net operating profits from operations that are not used for continuing operations or capital improvements. </w:t>
      </w:r>
      <w:r w:rsidR="00317A80">
        <w:t>We</w:t>
      </w:r>
      <w:r w:rsidRPr="004D51E9">
        <w:t xml:space="preserve"> made no adjustments to this account. </w:t>
      </w:r>
      <w:r w:rsidRPr="004D51E9">
        <w:rPr>
          <w:rFonts w:eastAsiaTheme="minorHAnsi"/>
        </w:rPr>
        <w:t xml:space="preserve">As such, </w:t>
      </w:r>
      <w:r w:rsidR="00317A80">
        <w:rPr>
          <w:rFonts w:eastAsiaTheme="minorHAnsi"/>
        </w:rPr>
        <w:t>we hereby approve a</w:t>
      </w:r>
      <w:r w:rsidRPr="004D51E9">
        <w:rPr>
          <w:rFonts w:eastAsiaTheme="minorHAnsi"/>
        </w:rPr>
        <w:t xml:space="preserve"> salaries and wages – officers expense</w:t>
      </w:r>
      <w:r w:rsidR="00317A80">
        <w:rPr>
          <w:rFonts w:eastAsiaTheme="minorHAnsi"/>
        </w:rPr>
        <w:t xml:space="preserve"> </w:t>
      </w:r>
      <w:r w:rsidR="00317A80" w:rsidRPr="004D51E9">
        <w:rPr>
          <w:rFonts w:eastAsiaTheme="minorHAnsi"/>
        </w:rPr>
        <w:t>of $5,000</w:t>
      </w:r>
      <w:r w:rsidRPr="004D51E9">
        <w:rPr>
          <w:rFonts w:eastAsiaTheme="minorHAnsi"/>
        </w:rPr>
        <w:t xml:space="preserve"> for the test year.</w:t>
      </w:r>
    </w:p>
    <w:p w:rsidR="007C4AEA" w:rsidRDefault="007C4AEA" w:rsidP="007C4AEA">
      <w:pPr>
        <w:jc w:val="both"/>
        <w:outlineLvl w:val="3"/>
      </w:pPr>
    </w:p>
    <w:p w:rsidR="004D51E9" w:rsidRPr="007C4AEA" w:rsidRDefault="004D51E9" w:rsidP="007C4AEA">
      <w:pPr>
        <w:jc w:val="both"/>
        <w:outlineLvl w:val="3"/>
        <w:rPr>
          <w:b/>
          <w:bCs/>
          <w:iCs/>
          <w:szCs w:val="28"/>
        </w:rPr>
      </w:pPr>
      <w:r w:rsidRPr="007C4AEA">
        <w:rPr>
          <w:b/>
          <w:bCs/>
          <w:iCs/>
          <w:szCs w:val="28"/>
        </w:rPr>
        <w:t>Purchased Power (615)</w:t>
      </w:r>
    </w:p>
    <w:p w:rsidR="004D51E9" w:rsidRPr="007C4AEA" w:rsidRDefault="004D51E9" w:rsidP="007C4AEA">
      <w:pPr>
        <w:jc w:val="both"/>
        <w:outlineLvl w:val="3"/>
        <w:rPr>
          <w:b/>
          <w:bCs/>
          <w:iCs/>
          <w:szCs w:val="28"/>
        </w:rPr>
      </w:pPr>
    </w:p>
    <w:p w:rsidR="004D51E9" w:rsidRDefault="004D51E9" w:rsidP="004D51E9">
      <w:pPr>
        <w:spacing w:after="240"/>
        <w:jc w:val="both"/>
        <w:rPr>
          <w:rFonts w:eastAsiaTheme="minorHAnsi"/>
        </w:rPr>
      </w:pPr>
      <w:r>
        <w:tab/>
      </w:r>
      <w:r w:rsidRPr="004D51E9">
        <w:t>The utility recorded purchased power expense of $12,923 in the test year. S</w:t>
      </w:r>
      <w:r w:rsidRPr="004D51E9">
        <w:rPr>
          <w:rFonts w:eastAsiaTheme="minorHAnsi"/>
        </w:rPr>
        <w:t xml:space="preserve">upporting documentation confirming the purchased power expense was provided. </w:t>
      </w:r>
      <w:r w:rsidR="00BE5390">
        <w:t>We</w:t>
      </w:r>
      <w:r w:rsidRPr="004D51E9">
        <w:t xml:space="preserve"> made no adjustments to this account. </w:t>
      </w:r>
      <w:r w:rsidRPr="004D51E9">
        <w:rPr>
          <w:rFonts w:eastAsiaTheme="minorHAnsi"/>
        </w:rPr>
        <w:t xml:space="preserve">As such, </w:t>
      </w:r>
      <w:r w:rsidR="00317A80">
        <w:rPr>
          <w:rFonts w:eastAsiaTheme="minorHAnsi"/>
        </w:rPr>
        <w:t>we hereby approve a</w:t>
      </w:r>
      <w:r w:rsidRPr="004D51E9">
        <w:rPr>
          <w:rFonts w:eastAsiaTheme="minorHAnsi"/>
        </w:rPr>
        <w:t xml:space="preserve"> purchased power expense</w:t>
      </w:r>
      <w:r w:rsidR="00317A80">
        <w:rPr>
          <w:rFonts w:eastAsiaTheme="minorHAnsi"/>
        </w:rPr>
        <w:t xml:space="preserve"> </w:t>
      </w:r>
      <w:r w:rsidR="00317A80" w:rsidRPr="004D51E9">
        <w:rPr>
          <w:rFonts w:eastAsiaTheme="minorHAnsi"/>
        </w:rPr>
        <w:t>of $12,293</w:t>
      </w:r>
      <w:r w:rsidRPr="004D51E9">
        <w:rPr>
          <w:rFonts w:eastAsiaTheme="minorHAnsi"/>
        </w:rPr>
        <w:t xml:space="preserve"> for the test year.</w:t>
      </w:r>
    </w:p>
    <w:p w:rsidR="004D51E9" w:rsidRPr="007C4AEA" w:rsidRDefault="004D51E9" w:rsidP="007C4AEA">
      <w:pPr>
        <w:jc w:val="both"/>
        <w:outlineLvl w:val="3"/>
        <w:rPr>
          <w:b/>
          <w:bCs/>
          <w:iCs/>
          <w:szCs w:val="28"/>
        </w:rPr>
      </w:pPr>
      <w:r w:rsidRPr="007C4AEA">
        <w:rPr>
          <w:b/>
          <w:bCs/>
          <w:iCs/>
          <w:szCs w:val="28"/>
        </w:rPr>
        <w:t>Chemicals Expense (618)</w:t>
      </w:r>
    </w:p>
    <w:p w:rsidR="004D51E9" w:rsidRPr="007C4AEA" w:rsidRDefault="004D51E9" w:rsidP="007C4AEA">
      <w:pPr>
        <w:jc w:val="both"/>
        <w:outlineLvl w:val="3"/>
        <w:rPr>
          <w:b/>
          <w:bCs/>
          <w:iCs/>
          <w:szCs w:val="28"/>
        </w:rPr>
      </w:pPr>
    </w:p>
    <w:p w:rsidR="004D51E9" w:rsidRDefault="004D51E9" w:rsidP="004D51E9">
      <w:pPr>
        <w:spacing w:after="240"/>
        <w:jc w:val="both"/>
      </w:pPr>
      <w:r>
        <w:tab/>
      </w:r>
      <w:r w:rsidRPr="004D51E9">
        <w:t>The utility recorded chemicals expense of $669 in the test year. S</w:t>
      </w:r>
      <w:r w:rsidRPr="004D51E9">
        <w:rPr>
          <w:rFonts w:eastAsiaTheme="minorHAnsi"/>
        </w:rPr>
        <w:t xml:space="preserve">upporting documentation confirming the chemicals expense was provided. </w:t>
      </w:r>
      <w:r w:rsidR="00317A80">
        <w:t>We</w:t>
      </w:r>
      <w:r w:rsidRPr="004D51E9">
        <w:t xml:space="preserve"> made no adjustments to this account. </w:t>
      </w:r>
      <w:r w:rsidRPr="004D51E9">
        <w:rPr>
          <w:rFonts w:eastAsiaTheme="minorHAnsi"/>
        </w:rPr>
        <w:t xml:space="preserve">As such, </w:t>
      </w:r>
      <w:r w:rsidR="00317A80">
        <w:rPr>
          <w:rFonts w:eastAsiaTheme="minorHAnsi"/>
        </w:rPr>
        <w:t>we hereby approve a</w:t>
      </w:r>
      <w:r w:rsidRPr="004D51E9">
        <w:rPr>
          <w:rFonts w:eastAsiaTheme="minorHAnsi"/>
        </w:rPr>
        <w:t xml:space="preserve"> chemicals expense </w:t>
      </w:r>
      <w:r w:rsidR="00317A80" w:rsidRPr="004D51E9">
        <w:rPr>
          <w:rFonts w:eastAsiaTheme="minorHAnsi"/>
        </w:rPr>
        <w:t>of $669</w:t>
      </w:r>
      <w:r w:rsidR="00317A80">
        <w:rPr>
          <w:rFonts w:eastAsiaTheme="minorHAnsi"/>
        </w:rPr>
        <w:t xml:space="preserve"> </w:t>
      </w:r>
      <w:r w:rsidRPr="004D51E9">
        <w:rPr>
          <w:rFonts w:eastAsiaTheme="minorHAnsi"/>
        </w:rPr>
        <w:t>for the test year.</w:t>
      </w:r>
      <w:r w:rsidRPr="004D51E9">
        <w:t xml:space="preserve"> </w:t>
      </w:r>
    </w:p>
    <w:p w:rsidR="00317A80" w:rsidRPr="004D51E9" w:rsidRDefault="00317A80" w:rsidP="004D51E9">
      <w:pPr>
        <w:spacing w:after="240"/>
        <w:jc w:val="both"/>
      </w:pPr>
    </w:p>
    <w:p w:rsidR="004D51E9" w:rsidRPr="007C4AEA" w:rsidRDefault="004D51E9" w:rsidP="007C4AEA">
      <w:pPr>
        <w:jc w:val="both"/>
        <w:outlineLvl w:val="3"/>
        <w:rPr>
          <w:b/>
          <w:bCs/>
          <w:iCs/>
          <w:szCs w:val="28"/>
        </w:rPr>
      </w:pPr>
      <w:r w:rsidRPr="007C4AEA">
        <w:rPr>
          <w:b/>
          <w:bCs/>
          <w:iCs/>
          <w:szCs w:val="28"/>
        </w:rPr>
        <w:t>Contractual Services – Accounting (632)</w:t>
      </w:r>
    </w:p>
    <w:p w:rsidR="004D51E9" w:rsidRPr="007C4AEA" w:rsidRDefault="004D51E9" w:rsidP="007C4AEA">
      <w:pPr>
        <w:jc w:val="both"/>
        <w:outlineLvl w:val="3"/>
        <w:rPr>
          <w:b/>
          <w:bCs/>
          <w:iCs/>
          <w:szCs w:val="28"/>
        </w:rPr>
      </w:pPr>
    </w:p>
    <w:p w:rsidR="004D51E9" w:rsidRPr="004D51E9" w:rsidRDefault="004D51E9" w:rsidP="004D51E9">
      <w:pPr>
        <w:spacing w:after="240"/>
        <w:jc w:val="both"/>
      </w:pPr>
      <w:r>
        <w:rPr>
          <w:rFonts w:eastAsiaTheme="minorHAnsi"/>
        </w:rPr>
        <w:tab/>
      </w:r>
      <w:r w:rsidRPr="004D51E9">
        <w:rPr>
          <w:rFonts w:eastAsiaTheme="minorHAnsi"/>
        </w:rPr>
        <w:t>The utility recorded contractual services</w:t>
      </w:r>
      <w:r w:rsidR="00317A80">
        <w:rPr>
          <w:rFonts w:eastAsiaTheme="minorHAnsi"/>
        </w:rPr>
        <w:t xml:space="preserve"> – accounting expense of $400. Gator provided s</w:t>
      </w:r>
      <w:r w:rsidRPr="004D51E9">
        <w:rPr>
          <w:rFonts w:eastAsiaTheme="minorHAnsi"/>
        </w:rPr>
        <w:t>upporting documentation confirming the accounting expense wa</w:t>
      </w:r>
      <w:r w:rsidR="00317A80">
        <w:rPr>
          <w:rFonts w:eastAsiaTheme="minorHAnsi"/>
        </w:rPr>
        <w:t xml:space="preserve">s used for preparing and filing </w:t>
      </w:r>
      <w:r w:rsidRPr="004D51E9">
        <w:rPr>
          <w:rFonts w:eastAsiaTheme="minorHAnsi"/>
        </w:rPr>
        <w:t>corporate tax</w:t>
      </w:r>
      <w:r w:rsidR="00317A80">
        <w:rPr>
          <w:rFonts w:eastAsiaTheme="minorHAnsi"/>
        </w:rPr>
        <w:t>es</w:t>
      </w:r>
      <w:r w:rsidRPr="004D51E9">
        <w:rPr>
          <w:rFonts w:eastAsiaTheme="minorHAnsi"/>
        </w:rPr>
        <w:t xml:space="preserve">. </w:t>
      </w:r>
      <w:r w:rsidR="00317A80">
        <w:rPr>
          <w:rFonts w:eastAsiaTheme="minorHAnsi"/>
        </w:rPr>
        <w:t>We</w:t>
      </w:r>
      <w:r w:rsidRPr="004D51E9">
        <w:rPr>
          <w:rFonts w:eastAsiaTheme="minorHAnsi"/>
        </w:rPr>
        <w:t xml:space="preserve"> made no adjustments to accounting expense. Therefore, </w:t>
      </w:r>
      <w:r w:rsidR="00317A80">
        <w:rPr>
          <w:rFonts w:eastAsiaTheme="minorHAnsi"/>
        </w:rPr>
        <w:t>we hereby approve a</w:t>
      </w:r>
      <w:r w:rsidRPr="004D51E9">
        <w:rPr>
          <w:rFonts w:eastAsiaTheme="minorHAnsi"/>
        </w:rPr>
        <w:t xml:space="preserve"> contractual services – accou</w:t>
      </w:r>
      <w:r w:rsidR="00317A80">
        <w:rPr>
          <w:rFonts w:eastAsiaTheme="minorHAnsi"/>
        </w:rPr>
        <w:t xml:space="preserve">nting expense </w:t>
      </w:r>
      <w:r w:rsidR="00317A80" w:rsidRPr="004D51E9">
        <w:rPr>
          <w:rFonts w:eastAsiaTheme="minorHAnsi"/>
        </w:rPr>
        <w:t>of $400</w:t>
      </w:r>
      <w:r w:rsidR="00317A80">
        <w:rPr>
          <w:rFonts w:eastAsiaTheme="minorHAnsi"/>
        </w:rPr>
        <w:t xml:space="preserve"> for the test year</w:t>
      </w:r>
      <w:r w:rsidRPr="004D51E9">
        <w:rPr>
          <w:rFonts w:asciiTheme="minorHAnsi" w:eastAsiaTheme="minorHAnsi" w:hAnsiTheme="minorHAnsi" w:cstheme="minorHAnsi"/>
        </w:rPr>
        <w:t>.</w:t>
      </w:r>
    </w:p>
    <w:p w:rsidR="004D51E9" w:rsidRPr="007C4AEA" w:rsidRDefault="004D51E9" w:rsidP="007C4AEA">
      <w:pPr>
        <w:jc w:val="both"/>
        <w:outlineLvl w:val="3"/>
        <w:rPr>
          <w:b/>
          <w:bCs/>
          <w:iCs/>
          <w:szCs w:val="28"/>
        </w:rPr>
      </w:pPr>
      <w:r w:rsidRPr="007C4AEA">
        <w:rPr>
          <w:b/>
          <w:bCs/>
          <w:iCs/>
          <w:szCs w:val="28"/>
        </w:rPr>
        <w:t>Contractual Services – Legal (633)</w:t>
      </w:r>
    </w:p>
    <w:p w:rsidR="004D51E9" w:rsidRPr="007C4AEA" w:rsidRDefault="004D51E9" w:rsidP="007C4AEA">
      <w:pPr>
        <w:jc w:val="both"/>
        <w:outlineLvl w:val="3"/>
        <w:rPr>
          <w:b/>
          <w:bCs/>
          <w:iCs/>
          <w:szCs w:val="28"/>
        </w:rPr>
      </w:pPr>
    </w:p>
    <w:p w:rsidR="004D51E9" w:rsidRPr="004D51E9" w:rsidRDefault="004D51E9" w:rsidP="004D51E9">
      <w:pPr>
        <w:spacing w:after="240"/>
        <w:jc w:val="both"/>
      </w:pPr>
      <w:r>
        <w:tab/>
      </w:r>
      <w:r w:rsidRPr="004D51E9">
        <w:t>The utility recorded contractual services – legal expense of $300 in the test year. S</w:t>
      </w:r>
      <w:r w:rsidRPr="004D51E9">
        <w:rPr>
          <w:rFonts w:eastAsiaTheme="minorHAnsi"/>
        </w:rPr>
        <w:t>upporting documentation confirming the legal expense was provided.</w:t>
      </w:r>
      <w:r w:rsidRPr="004D51E9">
        <w:t xml:space="preserve"> </w:t>
      </w:r>
      <w:r w:rsidR="00317A80">
        <w:t>We</w:t>
      </w:r>
      <w:r w:rsidRPr="004D51E9">
        <w:t xml:space="preserve"> made no adjustments to this account. </w:t>
      </w:r>
      <w:r w:rsidRPr="004D51E9">
        <w:rPr>
          <w:rFonts w:eastAsiaTheme="minorHAnsi"/>
        </w:rPr>
        <w:t xml:space="preserve">As such, </w:t>
      </w:r>
      <w:r w:rsidR="00317A80">
        <w:rPr>
          <w:rFonts w:eastAsiaTheme="minorHAnsi"/>
        </w:rPr>
        <w:t>we hereby approve a</w:t>
      </w:r>
      <w:r w:rsidRPr="004D51E9">
        <w:rPr>
          <w:rFonts w:eastAsiaTheme="minorHAnsi"/>
        </w:rPr>
        <w:t xml:space="preserve"> </w:t>
      </w:r>
      <w:r w:rsidRPr="004D51E9">
        <w:t>contractual services – legal expense</w:t>
      </w:r>
      <w:r w:rsidR="00317A80">
        <w:t xml:space="preserve"> </w:t>
      </w:r>
      <w:r w:rsidR="00317A80" w:rsidRPr="004D51E9">
        <w:t>of $300</w:t>
      </w:r>
      <w:r w:rsidRPr="004D51E9">
        <w:t xml:space="preserve"> for the test year.</w:t>
      </w:r>
    </w:p>
    <w:p w:rsidR="004D51E9" w:rsidRPr="007C4AEA" w:rsidRDefault="004D51E9" w:rsidP="007C4AEA">
      <w:pPr>
        <w:jc w:val="both"/>
        <w:outlineLvl w:val="3"/>
        <w:rPr>
          <w:b/>
          <w:bCs/>
          <w:iCs/>
          <w:szCs w:val="28"/>
        </w:rPr>
      </w:pPr>
      <w:r w:rsidRPr="007C4AEA">
        <w:rPr>
          <w:b/>
          <w:bCs/>
          <w:iCs/>
          <w:szCs w:val="28"/>
        </w:rPr>
        <w:t>Contractual Services – Testing Expense (635)</w:t>
      </w:r>
    </w:p>
    <w:p w:rsidR="004D51E9" w:rsidRPr="007C4AEA" w:rsidRDefault="004D51E9" w:rsidP="007C4AEA">
      <w:pPr>
        <w:jc w:val="both"/>
        <w:outlineLvl w:val="3"/>
        <w:rPr>
          <w:b/>
          <w:bCs/>
          <w:iCs/>
          <w:szCs w:val="28"/>
        </w:rPr>
      </w:pPr>
    </w:p>
    <w:p w:rsidR="004D51E9" w:rsidRPr="004D51E9" w:rsidRDefault="004D51E9" w:rsidP="004D51E9">
      <w:pPr>
        <w:spacing w:after="240"/>
        <w:jc w:val="both"/>
      </w:pPr>
      <w:r>
        <w:tab/>
      </w:r>
      <w:r w:rsidRPr="004D51E9">
        <w:t xml:space="preserve">The utility recorded contractual services – testing expense of $157 in the test year. This expense only included notices for two boil water notices. Normal testing is included in the operations contract with </w:t>
      </w:r>
      <w:r w:rsidRPr="004D51E9">
        <w:rPr>
          <w:rFonts w:eastAsiaTheme="minorHAnsi"/>
        </w:rPr>
        <w:t>U.S. Water Services Corporation (USWSC or U.S. Water)</w:t>
      </w:r>
      <w:r w:rsidRPr="004D51E9">
        <w:rPr>
          <w:rFonts w:asciiTheme="minorHAnsi" w:eastAsiaTheme="minorHAnsi" w:hAnsiTheme="minorHAnsi" w:cstheme="minorHAnsi"/>
        </w:rPr>
        <w:t xml:space="preserve">. </w:t>
      </w:r>
      <w:r w:rsidRPr="004D51E9">
        <w:t xml:space="preserve">As a result, </w:t>
      </w:r>
      <w:r w:rsidR="00317A80">
        <w:t>we</w:t>
      </w:r>
      <w:r w:rsidRPr="004D51E9">
        <w:t xml:space="preserve"> made no adjustments. </w:t>
      </w:r>
      <w:r w:rsidR="00317A80">
        <w:rPr>
          <w:rFonts w:eastAsiaTheme="minorHAnsi"/>
        </w:rPr>
        <w:t>Therefore, we approve a</w:t>
      </w:r>
      <w:r w:rsidRPr="004D51E9">
        <w:rPr>
          <w:rFonts w:eastAsiaTheme="minorHAnsi"/>
        </w:rPr>
        <w:t xml:space="preserve"> </w:t>
      </w:r>
      <w:r w:rsidRPr="004D51E9">
        <w:t xml:space="preserve">contractual services – testing expense </w:t>
      </w:r>
      <w:r w:rsidR="00317A80" w:rsidRPr="004D51E9">
        <w:t>of $157</w:t>
      </w:r>
      <w:r w:rsidR="00317A80">
        <w:t xml:space="preserve"> </w:t>
      </w:r>
      <w:r w:rsidRPr="004D51E9">
        <w:t>for the test year.</w:t>
      </w:r>
      <w:r w:rsidRPr="004D51E9">
        <w:rPr>
          <w:rFonts w:eastAsiaTheme="minorHAnsi"/>
        </w:rPr>
        <w:t xml:space="preserve"> </w:t>
      </w:r>
    </w:p>
    <w:p w:rsidR="004D51E9" w:rsidRPr="007C4AEA" w:rsidRDefault="004D51E9" w:rsidP="007C4AEA">
      <w:pPr>
        <w:autoSpaceDE w:val="0"/>
        <w:autoSpaceDN w:val="0"/>
        <w:adjustRightInd w:val="0"/>
        <w:rPr>
          <w:rFonts w:eastAsia="Calibri"/>
          <w:b/>
          <w:bCs/>
          <w:iCs/>
        </w:rPr>
      </w:pPr>
      <w:r w:rsidRPr="007C4AEA">
        <w:rPr>
          <w:rFonts w:eastAsia="Calibri"/>
          <w:b/>
          <w:bCs/>
          <w:iCs/>
        </w:rPr>
        <w:t xml:space="preserve">Contractual Services </w:t>
      </w:r>
      <w:r w:rsidRPr="007C4AEA">
        <w:rPr>
          <w:rFonts w:eastAsia="Calibri"/>
          <w:b/>
          <w:bCs/>
        </w:rPr>
        <w:t xml:space="preserve">- </w:t>
      </w:r>
      <w:r w:rsidRPr="007C4AEA">
        <w:rPr>
          <w:rFonts w:eastAsia="Calibri"/>
          <w:b/>
          <w:bCs/>
          <w:iCs/>
        </w:rPr>
        <w:t>Other Expense (636)</w:t>
      </w:r>
    </w:p>
    <w:p w:rsidR="004D51E9" w:rsidRPr="007C4AEA" w:rsidRDefault="004D51E9" w:rsidP="007C4AEA">
      <w:pPr>
        <w:autoSpaceDE w:val="0"/>
        <w:autoSpaceDN w:val="0"/>
        <w:adjustRightInd w:val="0"/>
        <w:rPr>
          <w:rFonts w:eastAsia="Calibri"/>
          <w:b/>
          <w:bCs/>
          <w:iCs/>
        </w:rPr>
      </w:pPr>
    </w:p>
    <w:p w:rsidR="004D51E9" w:rsidRPr="004D51E9" w:rsidRDefault="004D51E9" w:rsidP="004D51E9">
      <w:pPr>
        <w:spacing w:after="200"/>
        <w:jc w:val="both"/>
        <w:rPr>
          <w:rFonts w:eastAsia="Calibri"/>
        </w:rPr>
      </w:pPr>
      <w:r>
        <w:rPr>
          <w:rFonts w:eastAsia="Calibri"/>
        </w:rPr>
        <w:tab/>
      </w:r>
      <w:r w:rsidRPr="004D51E9">
        <w:rPr>
          <w:rFonts w:eastAsia="Calibri"/>
        </w:rPr>
        <w:t>During the test year, the utility recorded contractual services - other expense of $49,732. Gator receives all of its operational and administrative services under a contract with an affiliated company, USWSC. Pursuant to the contract, Gator employed the services of USWSC to perform various functions: administrative management, operations, maintenance, and billing/collection for the utility. These include management and financial oversight, water system operations, maintenance, and customer service. The USWSC contract dated February 24, 2018, was originally in the amount of $49,732. According to the utility, this contract amount has increased to $50,906 as a result of an index increase.</w:t>
      </w:r>
      <w:r w:rsidRPr="004D51E9">
        <w:rPr>
          <w:rFonts w:eastAsia="Calibri"/>
          <w:vertAlign w:val="superscript"/>
        </w:rPr>
        <w:footnoteReference w:id="12"/>
      </w:r>
      <w:r w:rsidRPr="004D51E9">
        <w:rPr>
          <w:rFonts w:eastAsia="Calibri"/>
        </w:rPr>
        <w:t xml:space="preserve"> This represents a known and measurable increase of $1,174 ($50,906 - $49,732) over the amount included in the test year. </w:t>
      </w:r>
    </w:p>
    <w:p w:rsidR="004D51E9" w:rsidRPr="004D51E9" w:rsidRDefault="004D51E9" w:rsidP="004D51E9">
      <w:pPr>
        <w:spacing w:after="200"/>
        <w:jc w:val="both"/>
        <w:rPr>
          <w:rFonts w:eastAsia="Calibri"/>
        </w:rPr>
      </w:pPr>
      <w:r>
        <w:rPr>
          <w:rFonts w:eastAsia="Calibri"/>
        </w:rPr>
        <w:tab/>
      </w:r>
      <w:r w:rsidRPr="004D51E9">
        <w:rPr>
          <w:rFonts w:eastAsia="Calibri"/>
        </w:rPr>
        <w:t>On August 9, 2019, Gator submitted documentation containing additional information related to its outside contractual services agreement with USWSC.</w:t>
      </w:r>
      <w:r w:rsidRPr="004D51E9">
        <w:rPr>
          <w:rFonts w:eastAsia="Calibri"/>
          <w:vertAlign w:val="superscript"/>
        </w:rPr>
        <w:footnoteReference w:id="13"/>
      </w:r>
      <w:r w:rsidRPr="004D51E9">
        <w:rPr>
          <w:rFonts w:eastAsia="Calibri"/>
        </w:rPr>
        <w:t xml:space="preserve"> According to Gator, USWSC currently operates in 60 of Florida’s 67 counties, providing service to over 1,000 utility systems and services to over 1,000,000 customers daily. USWSC’s president and majority shareholder has been in the water and wastewater utility management and operations industry for over 30 years. Gator contracts with USWSC for the following services:</w:t>
      </w:r>
    </w:p>
    <w:p w:rsidR="004D51E9" w:rsidRPr="004D51E9" w:rsidRDefault="004D51E9" w:rsidP="004D51E9">
      <w:pPr>
        <w:numPr>
          <w:ilvl w:val="0"/>
          <w:numId w:val="1"/>
        </w:numPr>
        <w:spacing w:after="200"/>
        <w:contextualSpacing/>
        <w:jc w:val="both"/>
        <w:rPr>
          <w:rFonts w:eastAsia="Calibri"/>
        </w:rPr>
      </w:pPr>
      <w:r w:rsidRPr="004D51E9">
        <w:rPr>
          <w:rFonts w:eastAsia="Calibri"/>
        </w:rPr>
        <w:t>Water Operations</w:t>
      </w:r>
    </w:p>
    <w:p w:rsidR="004D51E9" w:rsidRPr="004D51E9" w:rsidRDefault="004D51E9" w:rsidP="004D51E9">
      <w:pPr>
        <w:numPr>
          <w:ilvl w:val="0"/>
          <w:numId w:val="1"/>
        </w:numPr>
        <w:spacing w:after="200"/>
        <w:contextualSpacing/>
        <w:jc w:val="both"/>
        <w:rPr>
          <w:rFonts w:eastAsia="Calibri"/>
        </w:rPr>
      </w:pPr>
      <w:r w:rsidRPr="004D51E9">
        <w:rPr>
          <w:rFonts w:eastAsia="Calibri"/>
        </w:rPr>
        <w:t>Meter Reading</w:t>
      </w:r>
    </w:p>
    <w:p w:rsidR="004D51E9" w:rsidRPr="004D51E9" w:rsidRDefault="004D51E9" w:rsidP="004D51E9">
      <w:pPr>
        <w:numPr>
          <w:ilvl w:val="0"/>
          <w:numId w:val="1"/>
        </w:numPr>
        <w:spacing w:after="200"/>
        <w:contextualSpacing/>
        <w:jc w:val="both"/>
        <w:rPr>
          <w:rFonts w:eastAsia="Calibri"/>
        </w:rPr>
      </w:pPr>
      <w:r w:rsidRPr="004D51E9">
        <w:rPr>
          <w:rFonts w:eastAsia="Calibri"/>
        </w:rPr>
        <w:t>System Maintenance and Repairs</w:t>
      </w:r>
    </w:p>
    <w:p w:rsidR="004D51E9" w:rsidRPr="004D51E9" w:rsidRDefault="004D51E9" w:rsidP="004D51E9">
      <w:pPr>
        <w:numPr>
          <w:ilvl w:val="0"/>
          <w:numId w:val="1"/>
        </w:numPr>
        <w:spacing w:after="200"/>
        <w:contextualSpacing/>
        <w:jc w:val="both"/>
        <w:rPr>
          <w:rFonts w:eastAsia="Calibri"/>
        </w:rPr>
      </w:pPr>
      <w:r w:rsidRPr="004D51E9">
        <w:rPr>
          <w:rFonts w:eastAsia="Calibri"/>
        </w:rPr>
        <w:t>Billing and Collections</w:t>
      </w:r>
    </w:p>
    <w:p w:rsidR="004D51E9" w:rsidRPr="004D51E9" w:rsidRDefault="004D51E9" w:rsidP="004D51E9">
      <w:pPr>
        <w:numPr>
          <w:ilvl w:val="0"/>
          <w:numId w:val="1"/>
        </w:numPr>
        <w:spacing w:after="200"/>
        <w:contextualSpacing/>
        <w:jc w:val="both"/>
        <w:rPr>
          <w:rFonts w:eastAsia="Calibri"/>
        </w:rPr>
      </w:pPr>
      <w:r w:rsidRPr="004D51E9">
        <w:rPr>
          <w:rFonts w:eastAsia="Calibri"/>
        </w:rPr>
        <w:t>Customer Service</w:t>
      </w:r>
    </w:p>
    <w:p w:rsidR="004D51E9" w:rsidRPr="004D51E9" w:rsidRDefault="004D51E9" w:rsidP="004D51E9">
      <w:pPr>
        <w:numPr>
          <w:ilvl w:val="0"/>
          <w:numId w:val="1"/>
        </w:numPr>
        <w:spacing w:after="200"/>
        <w:contextualSpacing/>
        <w:jc w:val="both"/>
        <w:rPr>
          <w:rFonts w:eastAsia="Calibri"/>
        </w:rPr>
      </w:pPr>
      <w:r w:rsidRPr="004D51E9">
        <w:rPr>
          <w:rFonts w:eastAsia="Calibri"/>
        </w:rPr>
        <w:t>Regulatory Affairs</w:t>
      </w:r>
    </w:p>
    <w:p w:rsidR="004D51E9" w:rsidRPr="004D51E9" w:rsidRDefault="004D51E9" w:rsidP="004D51E9">
      <w:pPr>
        <w:numPr>
          <w:ilvl w:val="0"/>
          <w:numId w:val="1"/>
        </w:numPr>
        <w:spacing w:after="200"/>
        <w:contextualSpacing/>
        <w:jc w:val="both"/>
        <w:rPr>
          <w:rFonts w:eastAsia="Calibri"/>
        </w:rPr>
      </w:pPr>
      <w:r w:rsidRPr="004D51E9">
        <w:rPr>
          <w:rFonts w:eastAsia="Calibri"/>
        </w:rPr>
        <w:t>Testing</w:t>
      </w:r>
    </w:p>
    <w:p w:rsidR="004D51E9" w:rsidRPr="004D51E9" w:rsidRDefault="004D51E9" w:rsidP="004D51E9">
      <w:pPr>
        <w:numPr>
          <w:ilvl w:val="0"/>
          <w:numId w:val="1"/>
        </w:numPr>
        <w:spacing w:after="200"/>
        <w:contextualSpacing/>
        <w:jc w:val="both"/>
        <w:rPr>
          <w:rFonts w:eastAsia="Calibri"/>
        </w:rPr>
      </w:pPr>
      <w:r w:rsidRPr="004D51E9">
        <w:rPr>
          <w:rFonts w:eastAsia="Calibri"/>
        </w:rPr>
        <w:t>Accounting</w:t>
      </w:r>
    </w:p>
    <w:p w:rsidR="004D51E9" w:rsidRPr="004D51E9" w:rsidRDefault="004D51E9" w:rsidP="004D51E9">
      <w:pPr>
        <w:numPr>
          <w:ilvl w:val="0"/>
          <w:numId w:val="1"/>
        </w:numPr>
        <w:spacing w:after="200"/>
        <w:contextualSpacing/>
        <w:jc w:val="both"/>
        <w:rPr>
          <w:rFonts w:eastAsia="Calibri"/>
        </w:rPr>
      </w:pPr>
      <w:r w:rsidRPr="004D51E9">
        <w:rPr>
          <w:rFonts w:eastAsia="Calibri"/>
        </w:rPr>
        <w:t>Office Space and Equipment</w:t>
      </w:r>
    </w:p>
    <w:p w:rsidR="004D51E9" w:rsidRPr="004D51E9" w:rsidRDefault="004D51E9" w:rsidP="004D51E9">
      <w:pPr>
        <w:spacing w:after="200"/>
        <w:ind w:left="720"/>
        <w:contextualSpacing/>
        <w:jc w:val="both"/>
        <w:rPr>
          <w:rFonts w:eastAsia="Calibri"/>
        </w:rPr>
      </w:pPr>
    </w:p>
    <w:p w:rsidR="004D51E9" w:rsidRPr="004D51E9" w:rsidRDefault="004D51E9" w:rsidP="004D51E9">
      <w:pPr>
        <w:spacing w:after="200"/>
        <w:jc w:val="both"/>
        <w:rPr>
          <w:rFonts w:eastAsia="Calibri"/>
        </w:rPr>
      </w:pPr>
      <w:r>
        <w:rPr>
          <w:rFonts w:eastAsia="Calibri"/>
        </w:rPr>
        <w:tab/>
      </w:r>
      <w:r w:rsidRPr="004D51E9">
        <w:rPr>
          <w:rFonts w:eastAsia="Calibri"/>
        </w:rPr>
        <w:t>According to Gator, each of the service contracts that USWSC enters into with a utility “are different and are priced differently depending on numerous factors.”</w:t>
      </w:r>
      <w:r w:rsidRPr="004D51E9">
        <w:rPr>
          <w:rFonts w:eastAsia="Calibri"/>
          <w:vertAlign w:val="superscript"/>
        </w:rPr>
        <w:footnoteReference w:id="14"/>
      </w:r>
      <w:r w:rsidRPr="004D51E9">
        <w:rPr>
          <w:rFonts w:eastAsia="Calibri"/>
        </w:rPr>
        <w:t xml:space="preserve"> These factors include the number of employees needed and the number of hours required per system for successful operation. Additional considerations include whether USWSC provides chemicals, power, offices, vehicles, etc., or if these items are provided by the utility. </w:t>
      </w:r>
    </w:p>
    <w:p w:rsidR="004D51E9" w:rsidRPr="004D51E9" w:rsidRDefault="004D51E9" w:rsidP="004D51E9">
      <w:pPr>
        <w:spacing w:after="200"/>
        <w:jc w:val="both"/>
        <w:rPr>
          <w:rFonts w:eastAsia="Calibri"/>
        </w:rPr>
      </w:pPr>
      <w:r>
        <w:rPr>
          <w:rFonts w:eastAsia="Calibri"/>
        </w:rPr>
        <w:tab/>
      </w:r>
      <w:r w:rsidR="00317A80">
        <w:rPr>
          <w:rFonts w:eastAsia="Calibri"/>
        </w:rPr>
        <w:t>We note</w:t>
      </w:r>
      <w:r w:rsidRPr="004D51E9">
        <w:rPr>
          <w:rFonts w:eastAsia="Calibri"/>
        </w:rPr>
        <w:t xml:space="preserve"> that similar relationships currently exist for three other regulated utilities in Marion County; BFF Corp. (BFF), C.F.A.T. H2O, Inc. (CFAT), and Tradewinds Utilities, Inc. (Tradewinds). All have contractual service agreements with MIRA International, Inc. (MIRA). Their respective agreements cover similar services to those included in the agreement between Gator and USWSC. In addition to a relationship established by their contractual service agreements, the same individuals own the three utilities listed above and MIRA. As such, the relationship is similar to that of Gator and USWSC. </w:t>
      </w:r>
    </w:p>
    <w:p w:rsidR="004D51E9" w:rsidRPr="004D51E9" w:rsidRDefault="004D51E9" w:rsidP="004D51E9">
      <w:pPr>
        <w:spacing w:after="200"/>
        <w:jc w:val="both"/>
        <w:rPr>
          <w:rFonts w:eastAsia="Calibri"/>
        </w:rPr>
      </w:pPr>
      <w:r>
        <w:rPr>
          <w:rFonts w:eastAsia="Calibri"/>
        </w:rPr>
        <w:tab/>
      </w:r>
      <w:r w:rsidRPr="004D51E9">
        <w:rPr>
          <w:rFonts w:eastAsia="Calibri"/>
        </w:rPr>
        <w:t xml:space="preserve">As detailed in Table </w:t>
      </w:r>
      <w:r w:rsidR="00317A80">
        <w:rPr>
          <w:rFonts w:eastAsia="Calibri"/>
        </w:rPr>
        <w:t>5</w:t>
      </w:r>
      <w:r w:rsidRPr="004D51E9">
        <w:rPr>
          <w:rFonts w:eastAsia="Calibri"/>
        </w:rPr>
        <w:t xml:space="preserve"> below, based on the three most recent annual reports, CFAT has an average O&amp;M expense of $267.92 per ERC, and Tradewinds has an average O&amp;M expense of $215.60 per ERC. BFF is a wastewater only utility and is not included in </w:t>
      </w:r>
      <w:r w:rsidR="00317A80">
        <w:rPr>
          <w:rFonts w:eastAsia="Calibri"/>
        </w:rPr>
        <w:t>our</w:t>
      </w:r>
      <w:r w:rsidRPr="004D51E9">
        <w:rPr>
          <w:rFonts w:eastAsia="Calibri"/>
        </w:rPr>
        <w:t xml:space="preserve"> comparison below. Gator was not included in the table because only the 2018 Annual Report was available due to a recent change in ownership.</w:t>
      </w:r>
    </w:p>
    <w:p w:rsidR="004D51E9" w:rsidRPr="00317A80" w:rsidRDefault="004D51E9" w:rsidP="004D51E9">
      <w:pPr>
        <w:jc w:val="center"/>
        <w:rPr>
          <w:b/>
        </w:rPr>
      </w:pPr>
      <w:r w:rsidRPr="00317A80">
        <w:rPr>
          <w:b/>
        </w:rPr>
        <w:t xml:space="preserve">Table </w:t>
      </w:r>
      <w:r w:rsidR="00317A80" w:rsidRPr="00317A80">
        <w:rPr>
          <w:b/>
        </w:rPr>
        <w:t>5</w:t>
      </w:r>
    </w:p>
    <w:p w:rsidR="004D51E9" w:rsidRPr="00317A80" w:rsidRDefault="004D51E9" w:rsidP="004D51E9">
      <w:pPr>
        <w:jc w:val="center"/>
        <w:rPr>
          <w:b/>
        </w:rPr>
      </w:pPr>
      <w:r w:rsidRPr="00317A80">
        <w:rPr>
          <w:b/>
        </w:rPr>
        <w:t>Comparable Water O&amp;M Expense Per ERC</w:t>
      </w:r>
    </w:p>
    <w:tbl>
      <w:tblPr>
        <w:tblStyle w:val="TableGrid"/>
        <w:tblW w:w="3750" w:type="pct"/>
        <w:jc w:val="center"/>
        <w:tblLook w:val="04A0" w:firstRow="1" w:lastRow="0" w:firstColumn="1" w:lastColumn="0" w:noHBand="0" w:noVBand="1"/>
      </w:tblPr>
      <w:tblGrid>
        <w:gridCol w:w="2395"/>
        <w:gridCol w:w="2394"/>
        <w:gridCol w:w="2393"/>
      </w:tblGrid>
      <w:tr w:rsidR="004D51E9" w:rsidRPr="004D51E9" w:rsidTr="004D51E9">
        <w:trPr>
          <w:jc w:val="center"/>
        </w:trPr>
        <w:tc>
          <w:tcPr>
            <w:tcW w:w="1667" w:type="pct"/>
          </w:tcPr>
          <w:p w:rsidR="004D51E9" w:rsidRPr="004D51E9" w:rsidRDefault="004D51E9" w:rsidP="004D51E9">
            <w:pPr>
              <w:jc w:val="center"/>
              <w:rPr>
                <w:b/>
              </w:rPr>
            </w:pPr>
            <w:r w:rsidRPr="004D51E9">
              <w:rPr>
                <w:b/>
              </w:rPr>
              <w:t>Annual Report</w:t>
            </w:r>
          </w:p>
          <w:p w:rsidR="004D51E9" w:rsidRPr="004D51E9" w:rsidRDefault="004D51E9" w:rsidP="004D51E9">
            <w:pPr>
              <w:jc w:val="center"/>
              <w:rPr>
                <w:b/>
                <w:u w:val="single"/>
              </w:rPr>
            </w:pPr>
            <w:r w:rsidRPr="004D51E9">
              <w:rPr>
                <w:b/>
                <w:u w:val="single"/>
              </w:rPr>
              <w:t>Year</w:t>
            </w:r>
          </w:p>
        </w:tc>
        <w:tc>
          <w:tcPr>
            <w:tcW w:w="1667" w:type="pct"/>
          </w:tcPr>
          <w:p w:rsidR="004D51E9" w:rsidRPr="004D51E9" w:rsidRDefault="004D51E9" w:rsidP="004D51E9">
            <w:pPr>
              <w:jc w:val="center"/>
              <w:rPr>
                <w:b/>
              </w:rPr>
            </w:pPr>
            <w:r w:rsidRPr="004D51E9">
              <w:rPr>
                <w:b/>
              </w:rPr>
              <w:t>CFAT</w:t>
            </w:r>
          </w:p>
          <w:p w:rsidR="004D51E9" w:rsidRPr="004D51E9" w:rsidRDefault="004D51E9" w:rsidP="004D51E9">
            <w:pPr>
              <w:jc w:val="center"/>
              <w:rPr>
                <w:b/>
                <w:u w:val="single"/>
              </w:rPr>
            </w:pPr>
            <w:r w:rsidRPr="004D51E9">
              <w:rPr>
                <w:b/>
                <w:u w:val="single"/>
              </w:rPr>
              <w:t>(227 ERCs)</w:t>
            </w:r>
          </w:p>
        </w:tc>
        <w:tc>
          <w:tcPr>
            <w:tcW w:w="1667" w:type="pct"/>
          </w:tcPr>
          <w:p w:rsidR="004D51E9" w:rsidRPr="004D51E9" w:rsidRDefault="004D51E9" w:rsidP="004D51E9">
            <w:pPr>
              <w:jc w:val="center"/>
              <w:rPr>
                <w:b/>
                <w:u w:val="single"/>
              </w:rPr>
            </w:pPr>
            <w:r w:rsidRPr="004D51E9">
              <w:rPr>
                <w:b/>
              </w:rPr>
              <w:t>Tradewinds</w:t>
            </w:r>
            <w:r w:rsidRPr="004D51E9">
              <w:rPr>
                <w:b/>
                <w:vertAlign w:val="superscript"/>
              </w:rPr>
              <w:footnoteReference w:id="15"/>
            </w:r>
          </w:p>
          <w:p w:rsidR="004D51E9" w:rsidRPr="004D51E9" w:rsidRDefault="004D51E9" w:rsidP="004D51E9">
            <w:pPr>
              <w:jc w:val="center"/>
              <w:rPr>
                <w:b/>
                <w:u w:val="single"/>
              </w:rPr>
            </w:pPr>
            <w:r w:rsidRPr="004D51E9">
              <w:rPr>
                <w:b/>
                <w:u w:val="single"/>
              </w:rPr>
              <w:t>(616 ERCs)</w:t>
            </w:r>
          </w:p>
        </w:tc>
      </w:tr>
      <w:tr w:rsidR="004D51E9" w:rsidRPr="004D51E9" w:rsidTr="004D51E9">
        <w:trPr>
          <w:jc w:val="center"/>
        </w:trPr>
        <w:tc>
          <w:tcPr>
            <w:tcW w:w="1667" w:type="pct"/>
          </w:tcPr>
          <w:p w:rsidR="004D51E9" w:rsidRPr="004D51E9" w:rsidRDefault="004D51E9" w:rsidP="004D51E9">
            <w:pPr>
              <w:jc w:val="center"/>
            </w:pPr>
            <w:r w:rsidRPr="004D51E9">
              <w:t>2016</w:t>
            </w:r>
          </w:p>
        </w:tc>
        <w:tc>
          <w:tcPr>
            <w:tcW w:w="1667" w:type="pct"/>
          </w:tcPr>
          <w:p w:rsidR="004D51E9" w:rsidRPr="004D51E9" w:rsidRDefault="004D51E9" w:rsidP="004D51E9">
            <w:pPr>
              <w:jc w:val="right"/>
            </w:pPr>
            <w:r w:rsidRPr="004D51E9">
              <w:t>$222.31</w:t>
            </w:r>
          </w:p>
        </w:tc>
        <w:tc>
          <w:tcPr>
            <w:tcW w:w="1667" w:type="pct"/>
          </w:tcPr>
          <w:p w:rsidR="004D51E9" w:rsidRPr="004D51E9" w:rsidRDefault="004D51E9" w:rsidP="004D51E9">
            <w:pPr>
              <w:jc w:val="right"/>
            </w:pPr>
            <w:r w:rsidRPr="004D51E9">
              <w:t>$197.94</w:t>
            </w:r>
          </w:p>
        </w:tc>
      </w:tr>
      <w:tr w:rsidR="004D51E9" w:rsidRPr="004D51E9" w:rsidTr="004D51E9">
        <w:trPr>
          <w:jc w:val="center"/>
        </w:trPr>
        <w:tc>
          <w:tcPr>
            <w:tcW w:w="1667" w:type="pct"/>
          </w:tcPr>
          <w:p w:rsidR="004D51E9" w:rsidRPr="004D51E9" w:rsidRDefault="004D51E9" w:rsidP="004D51E9">
            <w:pPr>
              <w:jc w:val="center"/>
            </w:pPr>
            <w:r w:rsidRPr="004D51E9">
              <w:t>2017</w:t>
            </w:r>
          </w:p>
        </w:tc>
        <w:tc>
          <w:tcPr>
            <w:tcW w:w="1667" w:type="pct"/>
          </w:tcPr>
          <w:p w:rsidR="004D51E9" w:rsidRPr="004D51E9" w:rsidRDefault="004D51E9" w:rsidP="004D51E9">
            <w:pPr>
              <w:jc w:val="right"/>
            </w:pPr>
            <w:r w:rsidRPr="004D51E9">
              <w:t>$278.85</w:t>
            </w:r>
          </w:p>
        </w:tc>
        <w:tc>
          <w:tcPr>
            <w:tcW w:w="1667" w:type="pct"/>
          </w:tcPr>
          <w:p w:rsidR="004D51E9" w:rsidRPr="004D51E9" w:rsidRDefault="004D51E9" w:rsidP="004D51E9">
            <w:pPr>
              <w:jc w:val="right"/>
            </w:pPr>
            <w:r w:rsidRPr="004D51E9">
              <w:t>$239.02</w:t>
            </w:r>
          </w:p>
        </w:tc>
      </w:tr>
      <w:tr w:rsidR="004D51E9" w:rsidRPr="004D51E9" w:rsidTr="004D51E9">
        <w:trPr>
          <w:jc w:val="center"/>
        </w:trPr>
        <w:tc>
          <w:tcPr>
            <w:tcW w:w="1667" w:type="pct"/>
          </w:tcPr>
          <w:p w:rsidR="004D51E9" w:rsidRPr="004D51E9" w:rsidRDefault="004D51E9" w:rsidP="004D51E9">
            <w:pPr>
              <w:jc w:val="center"/>
            </w:pPr>
            <w:r w:rsidRPr="004D51E9">
              <w:t>2018</w:t>
            </w:r>
          </w:p>
        </w:tc>
        <w:tc>
          <w:tcPr>
            <w:tcW w:w="1667" w:type="pct"/>
          </w:tcPr>
          <w:p w:rsidR="004D51E9" w:rsidRPr="004D51E9" w:rsidRDefault="004D51E9" w:rsidP="004D51E9">
            <w:pPr>
              <w:jc w:val="right"/>
              <w:rPr>
                <w:u w:val="single"/>
              </w:rPr>
            </w:pPr>
            <w:r w:rsidRPr="004D51E9">
              <w:rPr>
                <w:u w:val="single"/>
              </w:rPr>
              <w:t>$302.61</w:t>
            </w:r>
          </w:p>
        </w:tc>
        <w:tc>
          <w:tcPr>
            <w:tcW w:w="1667" w:type="pct"/>
          </w:tcPr>
          <w:p w:rsidR="004D51E9" w:rsidRPr="004D51E9" w:rsidRDefault="004D51E9" w:rsidP="004D51E9">
            <w:pPr>
              <w:jc w:val="right"/>
              <w:rPr>
                <w:u w:val="single"/>
              </w:rPr>
            </w:pPr>
            <w:r w:rsidRPr="004D51E9">
              <w:rPr>
                <w:u w:val="single"/>
              </w:rPr>
              <w:t>$209.84</w:t>
            </w:r>
          </w:p>
        </w:tc>
      </w:tr>
      <w:tr w:rsidR="004D51E9" w:rsidRPr="004D51E9" w:rsidTr="004D51E9">
        <w:trPr>
          <w:jc w:val="center"/>
        </w:trPr>
        <w:tc>
          <w:tcPr>
            <w:tcW w:w="1667" w:type="pct"/>
          </w:tcPr>
          <w:p w:rsidR="004D51E9" w:rsidRPr="004D51E9" w:rsidRDefault="004D51E9" w:rsidP="004D51E9">
            <w:pPr>
              <w:jc w:val="center"/>
            </w:pPr>
            <w:r w:rsidRPr="004D51E9">
              <w:t>3-Year Average</w:t>
            </w:r>
          </w:p>
        </w:tc>
        <w:tc>
          <w:tcPr>
            <w:tcW w:w="1667" w:type="pct"/>
          </w:tcPr>
          <w:p w:rsidR="004D51E9" w:rsidRPr="004D51E9" w:rsidRDefault="004D51E9" w:rsidP="004D51E9">
            <w:pPr>
              <w:jc w:val="right"/>
              <w:rPr>
                <w:u w:val="double"/>
              </w:rPr>
            </w:pPr>
            <w:r w:rsidRPr="004D51E9">
              <w:rPr>
                <w:u w:val="double"/>
              </w:rPr>
              <w:t>$267.92</w:t>
            </w:r>
          </w:p>
        </w:tc>
        <w:tc>
          <w:tcPr>
            <w:tcW w:w="1667" w:type="pct"/>
          </w:tcPr>
          <w:p w:rsidR="004D51E9" w:rsidRPr="004D51E9" w:rsidRDefault="004D51E9" w:rsidP="004D51E9">
            <w:pPr>
              <w:jc w:val="right"/>
              <w:rPr>
                <w:u w:val="double"/>
              </w:rPr>
            </w:pPr>
            <w:r w:rsidRPr="004D51E9">
              <w:rPr>
                <w:u w:val="double"/>
              </w:rPr>
              <w:t>$215.60</w:t>
            </w:r>
          </w:p>
        </w:tc>
      </w:tr>
    </w:tbl>
    <w:p w:rsidR="004D51E9" w:rsidRPr="004D51E9" w:rsidRDefault="004D51E9" w:rsidP="004D51E9">
      <w:pPr>
        <w:spacing w:after="200"/>
        <w:jc w:val="both"/>
        <w:rPr>
          <w:rFonts w:eastAsia="Calibri"/>
        </w:rPr>
      </w:pPr>
      <w:r w:rsidRPr="004D51E9">
        <w:t xml:space="preserve">                  </w:t>
      </w:r>
      <w:r w:rsidRPr="004D51E9">
        <w:rPr>
          <w:sz w:val="22"/>
        </w:rPr>
        <w:t xml:space="preserve">Source: CFAT and Tradewinds 2016-2018 Annual Reports, </w:t>
      </w:r>
      <w:r w:rsidR="00317A80">
        <w:rPr>
          <w:sz w:val="22"/>
        </w:rPr>
        <w:t>Commission</w:t>
      </w:r>
      <w:r w:rsidRPr="004D51E9">
        <w:rPr>
          <w:sz w:val="22"/>
        </w:rPr>
        <w:t xml:space="preserve"> calculations.</w:t>
      </w:r>
    </w:p>
    <w:p w:rsidR="004D51E9" w:rsidRPr="004D51E9" w:rsidRDefault="004D51E9" w:rsidP="004D51E9">
      <w:pPr>
        <w:spacing w:after="200"/>
        <w:jc w:val="both"/>
        <w:rPr>
          <w:rFonts w:eastAsia="Calibri"/>
        </w:rPr>
      </w:pPr>
      <w:r>
        <w:rPr>
          <w:rFonts w:eastAsia="Calibri"/>
        </w:rPr>
        <w:tab/>
      </w:r>
      <w:r w:rsidRPr="004D51E9">
        <w:rPr>
          <w:rFonts w:eastAsia="Calibri"/>
        </w:rPr>
        <w:t xml:space="preserve">Under </w:t>
      </w:r>
      <w:r w:rsidR="00317A80">
        <w:rPr>
          <w:rFonts w:eastAsia="Calibri"/>
        </w:rPr>
        <w:t>the approved</w:t>
      </w:r>
      <w:r w:rsidRPr="004D51E9">
        <w:rPr>
          <w:rFonts w:eastAsia="Calibri"/>
        </w:rPr>
        <w:t xml:space="preserve"> revenue requirement, Gator’s O&amp;M expense is $213.31 per ERC. This expense is 20.38 percent less than that of CFAT and 1.06 percent less than Tradewinds.</w:t>
      </w:r>
    </w:p>
    <w:p w:rsidR="004D51E9" w:rsidRPr="004D51E9" w:rsidRDefault="004D51E9" w:rsidP="004D51E9">
      <w:pPr>
        <w:spacing w:after="200"/>
        <w:jc w:val="both"/>
        <w:rPr>
          <w:rFonts w:eastAsia="Calibri"/>
        </w:rPr>
      </w:pPr>
      <w:r>
        <w:rPr>
          <w:rFonts w:eastAsia="Calibri"/>
        </w:rPr>
        <w:tab/>
      </w:r>
      <w:r w:rsidRPr="004D51E9">
        <w:rPr>
          <w:rFonts w:eastAsia="Calibri"/>
        </w:rPr>
        <w:t>Additional support offered by Gator included the “2016 American Water Works Association Benchmarking Performance Indicators for Water and Wastewater” (AWWA Benchmark)</w:t>
      </w:r>
      <w:r w:rsidR="00317A80">
        <w:rPr>
          <w:rFonts w:eastAsia="Calibri"/>
        </w:rPr>
        <w:t xml:space="preserve">. Gator also provided </w:t>
      </w:r>
      <w:r w:rsidRPr="004D51E9">
        <w:rPr>
          <w:rFonts w:eastAsia="Calibri"/>
        </w:rPr>
        <w:t>an independent third-party contract and benchmarking review commissioned by the Florida Governmental Utility Authority (FGUA), which was issued in 2013. According to the AWWA Benchmark, the median O&amp;M expense per account of the 44 water companies surveyed is $430.71, including customer service costs. This figure is 101.92 percent higher than the</w:t>
      </w:r>
      <w:r w:rsidR="00317A80">
        <w:rPr>
          <w:rFonts w:eastAsia="Calibri"/>
        </w:rPr>
        <w:t xml:space="preserve"> approved</w:t>
      </w:r>
      <w:r w:rsidRPr="004D51E9">
        <w:rPr>
          <w:rFonts w:eastAsia="Calibri"/>
        </w:rPr>
        <w:t xml:space="preserve"> per ERC O&amp;M expense ($213.31) for Gator. </w:t>
      </w:r>
    </w:p>
    <w:p w:rsidR="004D51E9" w:rsidRPr="004D51E9" w:rsidRDefault="004D51E9" w:rsidP="004D51E9">
      <w:pPr>
        <w:spacing w:after="200"/>
        <w:jc w:val="both"/>
        <w:rPr>
          <w:rFonts w:eastAsia="Calibri"/>
          <w:color w:val="121212"/>
        </w:rPr>
      </w:pPr>
      <w:r>
        <w:rPr>
          <w:rFonts w:eastAsia="Calibri"/>
          <w:color w:val="121212"/>
        </w:rPr>
        <w:tab/>
      </w:r>
      <w:r w:rsidRPr="004D51E9">
        <w:rPr>
          <w:rFonts w:eastAsia="Calibri"/>
          <w:color w:val="121212"/>
        </w:rPr>
        <w:t xml:space="preserve">The contract and benchmarking review </w:t>
      </w:r>
      <w:r w:rsidRPr="004D51E9">
        <w:rPr>
          <w:rFonts w:eastAsia="Calibri"/>
        </w:rPr>
        <w:t xml:space="preserve">commissioned by FGUA was undertaken </w:t>
      </w:r>
      <w:r w:rsidRPr="004D51E9">
        <w:rPr>
          <w:rFonts w:eastAsia="Calibri"/>
          <w:color w:val="121212"/>
        </w:rPr>
        <w:t xml:space="preserve">to review charges by USWSC in </w:t>
      </w:r>
      <w:r w:rsidRPr="004D51E9">
        <w:rPr>
          <w:rFonts w:eastAsia="Calibri"/>
          <w:color w:val="232323"/>
        </w:rPr>
        <w:t xml:space="preserve">comparison </w:t>
      </w:r>
      <w:r w:rsidRPr="004D51E9">
        <w:rPr>
          <w:rFonts w:eastAsia="Calibri"/>
          <w:color w:val="121212"/>
        </w:rPr>
        <w:t xml:space="preserve">to </w:t>
      </w:r>
      <w:r w:rsidRPr="004D51E9">
        <w:rPr>
          <w:rFonts w:eastAsia="Calibri"/>
          <w:color w:val="232323"/>
        </w:rPr>
        <w:t xml:space="preserve">similar water and wastewater </w:t>
      </w:r>
      <w:r w:rsidRPr="004D51E9">
        <w:rPr>
          <w:rFonts w:eastAsia="Calibri"/>
          <w:color w:val="121212"/>
        </w:rPr>
        <w:t xml:space="preserve">utilities throughout the United States. </w:t>
      </w:r>
      <w:r w:rsidRPr="004D51E9">
        <w:rPr>
          <w:rFonts w:eastAsia="Calibri"/>
        </w:rPr>
        <w:t>The FGUA study concluded that the USWSC costs on a per account basis fell within the top quartile (lower cost) of other utilities</w:t>
      </w:r>
      <w:r w:rsidRPr="004D51E9">
        <w:rPr>
          <w:rFonts w:eastAsia="Calibri"/>
          <w:color w:val="303030"/>
        </w:rPr>
        <w:t>.</w:t>
      </w:r>
      <w:r w:rsidRPr="004D51E9">
        <w:rPr>
          <w:rFonts w:eastAsia="Calibri"/>
          <w:color w:val="303030"/>
          <w:vertAlign w:val="superscript"/>
        </w:rPr>
        <w:footnoteReference w:id="16"/>
      </w:r>
      <w:r w:rsidRPr="004D51E9">
        <w:rPr>
          <w:rFonts w:eastAsia="Calibri"/>
          <w:color w:val="303030"/>
        </w:rPr>
        <w:t xml:space="preserve"> </w:t>
      </w:r>
      <w:r w:rsidRPr="00D9248D">
        <w:rPr>
          <w:rFonts w:eastAsia="Calibri"/>
        </w:rPr>
        <w:t>These were charges to FG</w:t>
      </w:r>
      <w:r w:rsidRPr="004D51E9">
        <w:rPr>
          <w:rFonts w:eastAsia="Calibri"/>
          <w:color w:val="020202"/>
        </w:rPr>
        <w:t>U</w:t>
      </w:r>
      <w:r w:rsidRPr="004D51E9">
        <w:rPr>
          <w:rFonts w:eastAsia="Calibri"/>
          <w:color w:val="1D1D1D"/>
        </w:rPr>
        <w:t xml:space="preserve">A by </w:t>
      </w:r>
      <w:r w:rsidRPr="004D51E9">
        <w:rPr>
          <w:rFonts w:eastAsia="Calibri"/>
          <w:color w:val="020202"/>
        </w:rPr>
        <w:t>U</w:t>
      </w:r>
      <w:r w:rsidRPr="004D51E9">
        <w:rPr>
          <w:rFonts w:eastAsia="Calibri"/>
          <w:color w:val="1D1D1D"/>
        </w:rPr>
        <w:t xml:space="preserve">SWSC. </w:t>
      </w:r>
      <w:r w:rsidRPr="004D51E9">
        <w:rPr>
          <w:rFonts w:eastAsia="Calibri"/>
          <w:color w:val="121212"/>
        </w:rPr>
        <w:t>While t</w:t>
      </w:r>
      <w:r w:rsidRPr="004D51E9">
        <w:rPr>
          <w:rFonts w:eastAsia="Calibri"/>
        </w:rPr>
        <w:t xml:space="preserve">he utility has represented that there was a flaw in the data presented in the 2013 study, </w:t>
      </w:r>
      <w:r w:rsidR="00D9248D">
        <w:rPr>
          <w:rFonts w:eastAsia="Calibri"/>
        </w:rPr>
        <w:t>our</w:t>
      </w:r>
      <w:r w:rsidRPr="004D51E9">
        <w:rPr>
          <w:rFonts w:eastAsia="Calibri"/>
        </w:rPr>
        <w:t xml:space="preserve"> greater concern is the age of some of the underlying data, which can be tied to </w:t>
      </w:r>
      <w:r w:rsidRPr="004D51E9">
        <w:rPr>
          <w:rFonts w:eastAsia="Calibri"/>
          <w:color w:val="121212"/>
        </w:rPr>
        <w:t xml:space="preserve">AWWA’s </w:t>
      </w:r>
      <w:r w:rsidRPr="004D51E9">
        <w:rPr>
          <w:rFonts w:eastAsia="Calibri"/>
          <w:color w:val="232323"/>
        </w:rPr>
        <w:t xml:space="preserve">2011 </w:t>
      </w:r>
      <w:r w:rsidRPr="004D51E9">
        <w:rPr>
          <w:rFonts w:eastAsia="Calibri"/>
          <w:color w:val="121212"/>
        </w:rPr>
        <w:t>Benchmarking Performance Indicators</w:t>
      </w:r>
      <w:r w:rsidRPr="004D51E9">
        <w:rPr>
          <w:rFonts w:eastAsia="Calibri"/>
          <w:color w:val="383838"/>
        </w:rPr>
        <w:t>.</w:t>
      </w:r>
      <w:r w:rsidRPr="004D51E9">
        <w:rPr>
          <w:rFonts w:eastAsia="Calibri"/>
        </w:rPr>
        <w:t xml:space="preserve"> As such, </w:t>
      </w:r>
      <w:r w:rsidR="00D9248D">
        <w:rPr>
          <w:rFonts w:eastAsia="Calibri"/>
        </w:rPr>
        <w:t>we believe</w:t>
      </w:r>
      <w:r w:rsidRPr="004D51E9">
        <w:rPr>
          <w:rFonts w:eastAsia="Calibri"/>
        </w:rPr>
        <w:t xml:space="preserve"> that the 2016 Benchmarking Performance Indicators are a more appropriate reference point. </w:t>
      </w:r>
    </w:p>
    <w:p w:rsidR="004D51E9" w:rsidRPr="004D51E9" w:rsidRDefault="004D51E9" w:rsidP="004D51E9">
      <w:pPr>
        <w:spacing w:after="200"/>
        <w:jc w:val="both"/>
        <w:rPr>
          <w:rFonts w:eastAsia="Calibri"/>
          <w:szCs w:val="22"/>
        </w:rPr>
      </w:pPr>
      <w:r>
        <w:rPr>
          <w:rFonts w:eastAsia="Calibri"/>
        </w:rPr>
        <w:tab/>
      </w:r>
      <w:r w:rsidRPr="004D51E9">
        <w:rPr>
          <w:rFonts w:eastAsia="Calibri"/>
        </w:rPr>
        <w:t>In its filing, Gator asserted that if it was required to establish a stand-alone utility with personnel for maintenance, customer service, accounting, regulatory compliance, etc., the cost would exceed that of the current USWSC contract.</w:t>
      </w:r>
      <w:r w:rsidRPr="004D51E9">
        <w:rPr>
          <w:rFonts w:eastAsia="Calibri"/>
          <w:vertAlign w:val="superscript"/>
        </w:rPr>
        <w:footnoteReference w:id="17"/>
      </w:r>
      <w:r w:rsidRPr="004D51E9">
        <w:rPr>
          <w:rFonts w:eastAsia="Calibri"/>
        </w:rPr>
        <w:t xml:space="preserve"> As the utility noted in its supplemental filing, O&amp;M expenses would be incurred regardless of the size of the customer base. In regard to the </w:t>
      </w:r>
      <w:r w:rsidRPr="004D51E9">
        <w:rPr>
          <w:rFonts w:eastAsia="Calibri"/>
          <w:szCs w:val="22"/>
        </w:rPr>
        <w:t xml:space="preserve">appropriateness of utility contracts with affiliated companies, the utility cited </w:t>
      </w:r>
      <w:r w:rsidRPr="004D51E9">
        <w:rPr>
          <w:rFonts w:eastAsia="Calibri"/>
          <w:i/>
          <w:szCs w:val="22"/>
        </w:rPr>
        <w:t>GTE v. Deason</w:t>
      </w:r>
      <w:r w:rsidRPr="004D51E9">
        <w:rPr>
          <w:rFonts w:eastAsia="Calibri"/>
          <w:szCs w:val="22"/>
        </w:rPr>
        <w:t>, 642 So. 2d 545 (Fla. 1994), in which the Florida Supreme Court stated:</w:t>
      </w:r>
    </w:p>
    <w:p w:rsidR="004D51E9" w:rsidRPr="004D51E9" w:rsidRDefault="004D51E9" w:rsidP="004D51E9">
      <w:pPr>
        <w:spacing w:after="200"/>
        <w:ind w:left="720" w:right="720"/>
        <w:jc w:val="both"/>
        <w:rPr>
          <w:rFonts w:eastAsia="Calibri"/>
          <w:szCs w:val="22"/>
        </w:rPr>
      </w:pPr>
      <w:r w:rsidRPr="004D51E9">
        <w:rPr>
          <w:rFonts w:eastAsia="Calibri"/>
          <w:szCs w:val="22"/>
        </w:rPr>
        <w:t xml:space="preserve">The mere fact that a utility is doing business with an affiliate does not mean that unfair or excess profits are being generated, without more. Charles F. Phillips, Jr., </w:t>
      </w:r>
      <w:r w:rsidRPr="004D51E9">
        <w:rPr>
          <w:rFonts w:eastAsia="Calibri"/>
          <w:i/>
          <w:szCs w:val="22"/>
        </w:rPr>
        <w:t>The Regulation of Public Utilities</w:t>
      </w:r>
      <w:r w:rsidR="00D9248D">
        <w:rPr>
          <w:rFonts w:eastAsia="Calibri"/>
          <w:szCs w:val="22"/>
        </w:rPr>
        <w:t xml:space="preserve"> 254-</w:t>
      </w:r>
      <w:r w:rsidRPr="004D51E9">
        <w:rPr>
          <w:rFonts w:eastAsia="Calibri"/>
          <w:szCs w:val="22"/>
        </w:rPr>
        <w:t>55 (1988). We believe the standard must be whether the transactions exceed the going market rate or are otherwise inherently unfair . . . [i]f the answer is “no,” then the PSC may not reject the utility’s position.</w:t>
      </w:r>
      <w:r w:rsidRPr="004D51E9">
        <w:rPr>
          <w:rFonts w:eastAsia="Calibri"/>
          <w:szCs w:val="22"/>
          <w:vertAlign w:val="superscript"/>
        </w:rPr>
        <w:footnoteReference w:id="18"/>
      </w:r>
    </w:p>
    <w:p w:rsidR="004D51E9" w:rsidRDefault="004D51E9" w:rsidP="004D51E9">
      <w:pPr>
        <w:spacing w:after="200"/>
        <w:jc w:val="both"/>
        <w:rPr>
          <w:rFonts w:eastAsia="Calibri"/>
        </w:rPr>
      </w:pPr>
      <w:r>
        <w:rPr>
          <w:rFonts w:eastAsia="Calibri"/>
        </w:rPr>
        <w:tab/>
      </w:r>
      <w:r w:rsidR="00D9248D">
        <w:rPr>
          <w:rFonts w:eastAsia="Calibri"/>
        </w:rPr>
        <w:t>We</w:t>
      </w:r>
      <w:r w:rsidRPr="004D51E9">
        <w:rPr>
          <w:rFonts w:eastAsia="Calibri"/>
        </w:rPr>
        <w:t xml:space="preserve"> compared Gator to six “sister” water utilities that had rate cases approved in the last five years, by calculating a three-year average O&amp;M expense per ERC using information contained in each utility’s 2016, 2017, and 2018 Annual Reports.</w:t>
      </w:r>
      <w:r w:rsidRPr="004D51E9">
        <w:rPr>
          <w:rFonts w:eastAsia="Calibri"/>
          <w:vertAlign w:val="superscript"/>
        </w:rPr>
        <w:footnoteReference w:id="19"/>
      </w:r>
      <w:r w:rsidRPr="004D51E9">
        <w:rPr>
          <w:rFonts w:eastAsia="Calibri"/>
        </w:rPr>
        <w:t xml:space="preserve"> </w:t>
      </w:r>
      <w:r w:rsidR="00D9248D">
        <w:rPr>
          <w:rFonts w:eastAsia="Calibri"/>
        </w:rPr>
        <w:t>We</w:t>
      </w:r>
      <w:r w:rsidRPr="004D51E9">
        <w:rPr>
          <w:rFonts w:eastAsia="Calibri"/>
        </w:rPr>
        <w:t xml:space="preserve"> then compared Gator to five non-U.S. Water affiliated water utilities using the same criteria. Based on that criteria, the average O&amp;M expense per ERC of the sister utilities was $331.47. The average O&amp;M expense per ERC for the non-U.S. Water utilities was $486.71. Gator </w:t>
      </w:r>
      <w:r w:rsidR="00D9248D">
        <w:rPr>
          <w:rFonts w:eastAsia="Calibri"/>
        </w:rPr>
        <w:t>will</w:t>
      </w:r>
      <w:r w:rsidRPr="004D51E9">
        <w:rPr>
          <w:rFonts w:eastAsia="Calibri"/>
        </w:rPr>
        <w:t xml:space="preserve"> have O&amp;M expense of $213.31 per ERC under </w:t>
      </w:r>
      <w:r w:rsidR="00D9248D">
        <w:rPr>
          <w:rFonts w:eastAsia="Calibri"/>
        </w:rPr>
        <w:t>the approved</w:t>
      </w:r>
      <w:r w:rsidRPr="004D51E9">
        <w:rPr>
          <w:rFonts w:eastAsia="Calibri"/>
        </w:rPr>
        <w:t xml:space="preserve"> revenue requirement. Table </w:t>
      </w:r>
      <w:r w:rsidR="00D9248D">
        <w:rPr>
          <w:rFonts w:eastAsia="Calibri"/>
        </w:rPr>
        <w:t>6</w:t>
      </w:r>
      <w:r w:rsidRPr="004D51E9">
        <w:rPr>
          <w:rFonts w:eastAsia="Calibri"/>
        </w:rPr>
        <w:t xml:space="preserve"> reflects the O&amp;M expense per ERC for Gator, and the average O&amp;M expense per ERC for its U.S. Water sister utilities, and non-U.S. Water utilities.</w:t>
      </w:r>
    </w:p>
    <w:p w:rsidR="00D9248D" w:rsidRDefault="00D9248D" w:rsidP="004D51E9">
      <w:pPr>
        <w:spacing w:after="200"/>
        <w:jc w:val="both"/>
        <w:rPr>
          <w:rFonts w:eastAsia="Calibri"/>
        </w:rPr>
      </w:pPr>
    </w:p>
    <w:p w:rsidR="00D9248D" w:rsidRPr="004D51E9" w:rsidRDefault="00D9248D" w:rsidP="004D51E9">
      <w:pPr>
        <w:spacing w:after="200"/>
        <w:jc w:val="both"/>
        <w:rPr>
          <w:rFonts w:eastAsia="Calibri"/>
        </w:rPr>
      </w:pPr>
    </w:p>
    <w:p w:rsidR="004D51E9" w:rsidRPr="00D9248D" w:rsidRDefault="004D51E9" w:rsidP="004D51E9">
      <w:pPr>
        <w:jc w:val="center"/>
        <w:rPr>
          <w:b/>
        </w:rPr>
      </w:pPr>
      <w:r w:rsidRPr="00D9248D">
        <w:rPr>
          <w:b/>
        </w:rPr>
        <w:t xml:space="preserve">Table </w:t>
      </w:r>
      <w:r w:rsidR="00D9248D" w:rsidRPr="00D9248D">
        <w:rPr>
          <w:b/>
        </w:rPr>
        <w:t>6</w:t>
      </w:r>
    </w:p>
    <w:p w:rsidR="004D51E9" w:rsidRPr="00D9248D" w:rsidRDefault="004D51E9" w:rsidP="004D51E9">
      <w:pPr>
        <w:jc w:val="center"/>
        <w:rPr>
          <w:b/>
        </w:rPr>
      </w:pPr>
      <w:r w:rsidRPr="00D9248D">
        <w:rPr>
          <w:b/>
        </w:rPr>
        <w:t>Water O&amp;M Expense Per ERC</w:t>
      </w:r>
    </w:p>
    <w:tbl>
      <w:tblPr>
        <w:tblStyle w:val="TableGrid"/>
        <w:tblW w:w="0" w:type="auto"/>
        <w:jc w:val="center"/>
        <w:tblLook w:val="04A0" w:firstRow="1" w:lastRow="0" w:firstColumn="1" w:lastColumn="0" w:noHBand="0" w:noVBand="1"/>
      </w:tblPr>
      <w:tblGrid>
        <w:gridCol w:w="4064"/>
        <w:gridCol w:w="2071"/>
      </w:tblGrid>
      <w:tr w:rsidR="004D51E9" w:rsidRPr="004D51E9" w:rsidTr="004D51E9">
        <w:trPr>
          <w:jc w:val="center"/>
        </w:trPr>
        <w:tc>
          <w:tcPr>
            <w:tcW w:w="4064" w:type="dxa"/>
          </w:tcPr>
          <w:p w:rsidR="004D51E9" w:rsidRPr="004D51E9" w:rsidRDefault="004D51E9" w:rsidP="004D51E9">
            <w:pPr>
              <w:jc w:val="center"/>
              <w:rPr>
                <w:b/>
                <w:u w:val="single"/>
              </w:rPr>
            </w:pPr>
            <w:r w:rsidRPr="004D51E9">
              <w:rPr>
                <w:b/>
                <w:u w:val="single"/>
              </w:rPr>
              <w:t>Utility</w:t>
            </w:r>
          </w:p>
        </w:tc>
        <w:tc>
          <w:tcPr>
            <w:tcW w:w="2071" w:type="dxa"/>
          </w:tcPr>
          <w:p w:rsidR="004D51E9" w:rsidRPr="004D51E9" w:rsidRDefault="004D51E9" w:rsidP="004D51E9">
            <w:pPr>
              <w:jc w:val="center"/>
              <w:rPr>
                <w:b/>
                <w:u w:val="single"/>
              </w:rPr>
            </w:pPr>
            <w:r w:rsidRPr="004D51E9">
              <w:rPr>
                <w:b/>
                <w:u w:val="single"/>
              </w:rPr>
              <w:t>O&amp;M Exp./ERC</w:t>
            </w:r>
          </w:p>
        </w:tc>
      </w:tr>
      <w:tr w:rsidR="004D51E9" w:rsidRPr="004D51E9" w:rsidTr="004D51E9">
        <w:trPr>
          <w:jc w:val="center"/>
        </w:trPr>
        <w:tc>
          <w:tcPr>
            <w:tcW w:w="4064" w:type="dxa"/>
          </w:tcPr>
          <w:p w:rsidR="004D51E9" w:rsidRPr="004D51E9" w:rsidRDefault="004D51E9" w:rsidP="004D51E9">
            <w:r w:rsidRPr="004D51E9">
              <w:t>U.S. Water Sister Utilities (3-Yr. Avg.)</w:t>
            </w:r>
          </w:p>
        </w:tc>
        <w:tc>
          <w:tcPr>
            <w:tcW w:w="2071" w:type="dxa"/>
          </w:tcPr>
          <w:p w:rsidR="004D51E9" w:rsidRPr="004D51E9" w:rsidRDefault="004D51E9" w:rsidP="004D51E9">
            <w:pPr>
              <w:jc w:val="center"/>
            </w:pPr>
            <w:r w:rsidRPr="004D51E9">
              <w:t>$331.47</w:t>
            </w:r>
          </w:p>
        </w:tc>
      </w:tr>
      <w:tr w:rsidR="004D51E9" w:rsidRPr="004D51E9" w:rsidTr="004D51E9">
        <w:trPr>
          <w:jc w:val="center"/>
        </w:trPr>
        <w:tc>
          <w:tcPr>
            <w:tcW w:w="4064" w:type="dxa"/>
          </w:tcPr>
          <w:p w:rsidR="004D51E9" w:rsidRPr="004D51E9" w:rsidRDefault="004D51E9" w:rsidP="004D51E9">
            <w:r w:rsidRPr="004D51E9">
              <w:t>Non-U.S. Water Utilities (3-Yr. Avg.)</w:t>
            </w:r>
          </w:p>
        </w:tc>
        <w:tc>
          <w:tcPr>
            <w:tcW w:w="2071" w:type="dxa"/>
          </w:tcPr>
          <w:p w:rsidR="004D51E9" w:rsidRPr="004D51E9" w:rsidRDefault="004D51E9" w:rsidP="004D51E9">
            <w:pPr>
              <w:jc w:val="center"/>
            </w:pPr>
            <w:r w:rsidRPr="004D51E9">
              <w:t>$486.71</w:t>
            </w:r>
          </w:p>
        </w:tc>
      </w:tr>
      <w:tr w:rsidR="004D51E9" w:rsidRPr="004D51E9" w:rsidTr="004D51E9">
        <w:trPr>
          <w:jc w:val="center"/>
        </w:trPr>
        <w:tc>
          <w:tcPr>
            <w:tcW w:w="4064" w:type="dxa"/>
          </w:tcPr>
          <w:p w:rsidR="004D51E9" w:rsidRPr="004D51E9" w:rsidRDefault="004D51E9" w:rsidP="00D9248D">
            <w:r w:rsidRPr="004D51E9">
              <w:t>Gator (</w:t>
            </w:r>
            <w:r w:rsidR="00D9248D">
              <w:t>Commission-Approved</w:t>
            </w:r>
            <w:r w:rsidRPr="004D51E9">
              <w:t xml:space="preserve">) </w:t>
            </w:r>
          </w:p>
        </w:tc>
        <w:tc>
          <w:tcPr>
            <w:tcW w:w="2071" w:type="dxa"/>
          </w:tcPr>
          <w:p w:rsidR="004D51E9" w:rsidRPr="004D51E9" w:rsidRDefault="004D51E9" w:rsidP="004D51E9">
            <w:pPr>
              <w:jc w:val="center"/>
            </w:pPr>
            <w:r w:rsidRPr="004D51E9">
              <w:t>$213.31</w:t>
            </w:r>
          </w:p>
        </w:tc>
      </w:tr>
    </w:tbl>
    <w:p w:rsidR="004D51E9" w:rsidRPr="004D51E9" w:rsidRDefault="004D51E9" w:rsidP="004D51E9">
      <w:pPr>
        <w:spacing w:after="200"/>
        <w:jc w:val="both"/>
        <w:rPr>
          <w:rFonts w:eastAsia="Calibri"/>
        </w:rPr>
      </w:pPr>
      <w:r w:rsidRPr="004D51E9">
        <w:rPr>
          <w:sz w:val="22"/>
        </w:rPr>
        <w:t xml:space="preserve">                           Source: 2016-2018 Annual Reports and </w:t>
      </w:r>
      <w:r w:rsidR="00D9248D">
        <w:rPr>
          <w:sz w:val="22"/>
        </w:rPr>
        <w:t>Commission</w:t>
      </w:r>
      <w:r w:rsidRPr="004D51E9">
        <w:rPr>
          <w:sz w:val="22"/>
        </w:rPr>
        <w:t xml:space="preserve"> calculations.</w:t>
      </w:r>
    </w:p>
    <w:p w:rsidR="004D51E9" w:rsidRPr="004D51E9" w:rsidRDefault="004D51E9" w:rsidP="004D51E9">
      <w:pPr>
        <w:spacing w:after="200"/>
        <w:jc w:val="both"/>
        <w:rPr>
          <w:rFonts w:eastAsia="Calibri"/>
        </w:rPr>
      </w:pPr>
      <w:r>
        <w:rPr>
          <w:rFonts w:eastAsia="Calibri"/>
        </w:rPr>
        <w:tab/>
      </w:r>
      <w:r w:rsidRPr="004D51E9">
        <w:rPr>
          <w:rFonts w:eastAsia="Calibri"/>
        </w:rPr>
        <w:t xml:space="preserve">Based on </w:t>
      </w:r>
      <w:r w:rsidR="00D9248D">
        <w:rPr>
          <w:rFonts w:eastAsia="Calibri"/>
        </w:rPr>
        <w:t>our</w:t>
      </w:r>
      <w:r w:rsidRPr="004D51E9">
        <w:rPr>
          <w:rFonts w:eastAsia="Calibri"/>
        </w:rPr>
        <w:t xml:space="preserve"> review, Gator’s proposed expense is 35.65 percent less than that of the sister utilities and 56.17 percent less than that of the non-U.S. Water utilities.</w:t>
      </w:r>
    </w:p>
    <w:p w:rsidR="004D51E9" w:rsidRPr="004D51E9" w:rsidRDefault="004D51E9" w:rsidP="004D51E9">
      <w:pPr>
        <w:spacing w:after="200"/>
        <w:jc w:val="both"/>
        <w:rPr>
          <w:rFonts w:eastAsia="Calibri"/>
        </w:rPr>
      </w:pPr>
      <w:r>
        <w:rPr>
          <w:rFonts w:eastAsia="Calibri"/>
        </w:rPr>
        <w:tab/>
      </w:r>
      <w:r w:rsidR="00D9248D">
        <w:rPr>
          <w:rFonts w:eastAsia="Calibri"/>
        </w:rPr>
        <w:t>We note</w:t>
      </w:r>
      <w:r w:rsidRPr="004D51E9">
        <w:rPr>
          <w:rFonts w:eastAsia="Calibri"/>
        </w:rPr>
        <w:t xml:space="preserve"> that </w:t>
      </w:r>
      <w:r w:rsidR="00D9248D">
        <w:rPr>
          <w:rFonts w:eastAsia="Calibri"/>
        </w:rPr>
        <w:t>we have</w:t>
      </w:r>
      <w:r w:rsidRPr="004D51E9">
        <w:rPr>
          <w:rFonts w:eastAsia="Calibri"/>
        </w:rPr>
        <w:t xml:space="preserve"> previously approved similar USWSC agreements and related costs in prior cases involving nine of Gator’s sister utilities during eleven rate case proceedings.</w:t>
      </w:r>
      <w:r w:rsidRPr="004D51E9">
        <w:rPr>
          <w:rFonts w:eastAsia="Calibri"/>
          <w:vertAlign w:val="superscript"/>
        </w:rPr>
        <w:footnoteReference w:id="20"/>
      </w:r>
      <w:r w:rsidRPr="004D51E9">
        <w:rPr>
          <w:rFonts w:eastAsia="Calibri"/>
        </w:rPr>
        <w:t xml:space="preserve"> Two sister utilities, LP Waterworks, Inc. and Lakeside Waterworks, Inc., each had two SARCs in which </w:t>
      </w:r>
      <w:r w:rsidR="00D9248D">
        <w:rPr>
          <w:rFonts w:eastAsia="Calibri"/>
        </w:rPr>
        <w:t>we</w:t>
      </w:r>
      <w:r w:rsidRPr="004D51E9">
        <w:rPr>
          <w:rFonts w:eastAsia="Calibri"/>
        </w:rPr>
        <w:t xml:space="preserve"> reviewed and approved expenses related to USWSC management services contracts. In addition to this docket, </w:t>
      </w:r>
      <w:r w:rsidR="00D9248D">
        <w:rPr>
          <w:rFonts w:eastAsia="Calibri"/>
        </w:rPr>
        <w:t xml:space="preserve">we considered the SARCs of </w:t>
      </w:r>
      <w:r w:rsidRPr="004D51E9">
        <w:rPr>
          <w:rFonts w:eastAsia="Calibri"/>
        </w:rPr>
        <w:t xml:space="preserve">two additional sister utilities with similar contracts </w:t>
      </w:r>
      <w:r w:rsidR="00D9248D">
        <w:rPr>
          <w:rFonts w:eastAsia="Calibri"/>
        </w:rPr>
        <w:t xml:space="preserve">at our March 3, 2020 </w:t>
      </w:r>
      <w:r w:rsidR="00BE5390">
        <w:rPr>
          <w:rFonts w:eastAsia="Calibri"/>
        </w:rPr>
        <w:t>Commission</w:t>
      </w:r>
      <w:r w:rsidR="00D9248D">
        <w:rPr>
          <w:rFonts w:eastAsia="Calibri"/>
        </w:rPr>
        <w:t xml:space="preserve"> Conference</w:t>
      </w:r>
      <w:r w:rsidRPr="004D51E9">
        <w:rPr>
          <w:rFonts w:eastAsia="Calibri"/>
        </w:rPr>
        <w:t>,</w:t>
      </w:r>
      <w:r w:rsidRPr="004D51E9">
        <w:rPr>
          <w:rFonts w:eastAsia="Calibri"/>
          <w:vertAlign w:val="superscript"/>
        </w:rPr>
        <w:footnoteReference w:id="21"/>
      </w:r>
      <w:r w:rsidRPr="004D51E9">
        <w:rPr>
          <w:rFonts w:eastAsia="Calibri"/>
        </w:rPr>
        <w:t xml:space="preserve"> and a third</w:t>
      </w:r>
      <w:r w:rsidR="00D9248D">
        <w:rPr>
          <w:rFonts w:eastAsia="Calibri"/>
        </w:rPr>
        <w:t xml:space="preserve"> </w:t>
      </w:r>
      <w:r w:rsidR="00D47C33">
        <w:rPr>
          <w:rFonts w:eastAsia="Calibri"/>
        </w:rPr>
        <w:t xml:space="preserve">additional sister </w:t>
      </w:r>
      <w:r w:rsidR="00D9248D">
        <w:rPr>
          <w:rFonts w:eastAsia="Calibri"/>
        </w:rPr>
        <w:t>utility</w:t>
      </w:r>
      <w:r w:rsidRPr="004D51E9">
        <w:rPr>
          <w:rFonts w:eastAsia="Calibri"/>
        </w:rPr>
        <w:t xml:space="preserve"> has a file and suspend rate case pending.</w:t>
      </w:r>
      <w:r w:rsidRPr="004D51E9">
        <w:rPr>
          <w:rFonts w:eastAsia="Calibri"/>
          <w:vertAlign w:val="superscript"/>
        </w:rPr>
        <w:footnoteReference w:id="22"/>
      </w:r>
    </w:p>
    <w:p w:rsidR="004D51E9" w:rsidRPr="004D51E9" w:rsidRDefault="004D51E9" w:rsidP="004D51E9">
      <w:pPr>
        <w:spacing w:after="200"/>
        <w:jc w:val="both"/>
        <w:rPr>
          <w:rFonts w:eastAsia="Calibri"/>
        </w:rPr>
      </w:pPr>
      <w:r>
        <w:rPr>
          <w:rFonts w:eastAsia="Calibri"/>
        </w:rPr>
        <w:tab/>
      </w:r>
      <w:r w:rsidRPr="004D51E9">
        <w:rPr>
          <w:rFonts w:eastAsia="Calibri"/>
        </w:rPr>
        <w:t xml:space="preserve">In addition, </w:t>
      </w:r>
      <w:r w:rsidR="00D47C33">
        <w:rPr>
          <w:rFonts w:eastAsia="Calibri"/>
        </w:rPr>
        <w:t>we believe</w:t>
      </w:r>
      <w:r w:rsidRPr="004D51E9">
        <w:rPr>
          <w:rFonts w:eastAsia="Calibri"/>
        </w:rPr>
        <w:t xml:space="preserve"> that USWSC and its employees bring considerable management and operational experience at a comparably reasonable cost. As a result, </w:t>
      </w:r>
      <w:r w:rsidR="00D47C33">
        <w:rPr>
          <w:rFonts w:eastAsia="Calibri"/>
        </w:rPr>
        <w:t>we</w:t>
      </w:r>
      <w:r w:rsidR="00D84D84">
        <w:rPr>
          <w:rFonts w:eastAsia="Calibri"/>
        </w:rPr>
        <w:t xml:space="preserve"> believe</w:t>
      </w:r>
      <w:r w:rsidRPr="004D51E9">
        <w:rPr>
          <w:rFonts w:eastAsia="Calibri"/>
        </w:rPr>
        <w:t xml:space="preserve"> that Gator’s customers are realizing operational and cost benefits that might not be realized if the utility operated on a stand-alone basis. </w:t>
      </w:r>
      <w:r w:rsidR="00D84D84">
        <w:rPr>
          <w:rFonts w:eastAsia="Calibri"/>
        </w:rPr>
        <w:t>We note</w:t>
      </w:r>
      <w:r w:rsidRPr="004D51E9">
        <w:rPr>
          <w:rFonts w:eastAsia="Calibri"/>
        </w:rPr>
        <w:t xml:space="preserve"> that the utility, through its contract with USWSC, has made significant plant improvements that should result in improved quality of service.</w:t>
      </w:r>
    </w:p>
    <w:p w:rsidR="004D51E9" w:rsidRPr="004D51E9" w:rsidRDefault="004D51E9" w:rsidP="004D51E9">
      <w:pPr>
        <w:spacing w:after="200"/>
        <w:jc w:val="both"/>
      </w:pPr>
      <w:r>
        <w:rPr>
          <w:rFonts w:eastAsia="Calibri"/>
        </w:rPr>
        <w:tab/>
      </w:r>
      <w:r w:rsidRPr="004D51E9">
        <w:rPr>
          <w:rFonts w:eastAsia="Calibri"/>
        </w:rPr>
        <w:t xml:space="preserve">Based on the discussion above, </w:t>
      </w:r>
      <w:r w:rsidR="00D84D84">
        <w:rPr>
          <w:rFonts w:eastAsia="Calibri"/>
        </w:rPr>
        <w:t>we believe</w:t>
      </w:r>
      <w:r w:rsidRPr="004D51E9">
        <w:rPr>
          <w:rFonts w:eastAsia="Calibri"/>
        </w:rPr>
        <w:t xml:space="preserve"> Gator’s contractual services agreement with USWSC appears reasonable when compared to other utilities with similar agreements. The agreement also appears reasonable when compared to O&amp;M expenses of industry peers as reflected in the AWWA Benchmark. </w:t>
      </w:r>
      <w:r w:rsidR="00D84D84">
        <w:rPr>
          <w:rFonts w:eastAsia="Calibri"/>
        </w:rPr>
        <w:t>We believe</w:t>
      </w:r>
      <w:r w:rsidRPr="004D51E9">
        <w:rPr>
          <w:rFonts w:eastAsia="Calibri"/>
        </w:rPr>
        <w:t xml:space="preserve"> that Gator’s USWSC contract is appropriate, the adjusted cost is reasonable, and should be included in the utility’s proposed rates because it is known, measurable, and already in effect. Therefore, </w:t>
      </w:r>
      <w:r w:rsidR="00D84D84">
        <w:rPr>
          <w:rFonts w:eastAsia="Calibri"/>
        </w:rPr>
        <w:t>we hereby approve a</w:t>
      </w:r>
      <w:r w:rsidRPr="004D51E9">
        <w:rPr>
          <w:rFonts w:eastAsia="Calibri"/>
        </w:rPr>
        <w:t xml:space="preserve"> contractual services - other expense</w:t>
      </w:r>
      <w:r w:rsidR="00D84D84" w:rsidRPr="00D84D84">
        <w:rPr>
          <w:rFonts w:eastAsia="Calibri"/>
        </w:rPr>
        <w:t xml:space="preserve"> </w:t>
      </w:r>
      <w:r w:rsidR="00D84D84" w:rsidRPr="004D51E9">
        <w:rPr>
          <w:rFonts w:eastAsia="Calibri"/>
        </w:rPr>
        <w:t>of $50,906</w:t>
      </w:r>
      <w:r w:rsidRPr="004D51E9">
        <w:rPr>
          <w:rFonts w:eastAsia="Calibri"/>
        </w:rPr>
        <w:t xml:space="preserve"> for the test year</w:t>
      </w:r>
      <w:r w:rsidR="00D84D84">
        <w:rPr>
          <w:rFonts w:eastAsia="Calibri"/>
        </w:rPr>
        <w:t>.</w:t>
      </w:r>
    </w:p>
    <w:p w:rsidR="004D51E9" w:rsidRPr="007C4AEA" w:rsidRDefault="004D51E9" w:rsidP="007C4AEA">
      <w:pPr>
        <w:autoSpaceDE w:val="0"/>
        <w:autoSpaceDN w:val="0"/>
        <w:adjustRightInd w:val="0"/>
        <w:rPr>
          <w:b/>
          <w:bCs/>
          <w:iCs/>
          <w:szCs w:val="28"/>
        </w:rPr>
      </w:pPr>
      <w:r w:rsidRPr="007C4AEA">
        <w:rPr>
          <w:b/>
          <w:bCs/>
          <w:iCs/>
          <w:szCs w:val="28"/>
        </w:rPr>
        <w:t>Insurance Expense (655)</w:t>
      </w:r>
    </w:p>
    <w:p w:rsidR="004D51E9" w:rsidRPr="007C4AEA" w:rsidRDefault="004D51E9" w:rsidP="007C4AEA">
      <w:pPr>
        <w:autoSpaceDE w:val="0"/>
        <w:autoSpaceDN w:val="0"/>
        <w:adjustRightInd w:val="0"/>
        <w:rPr>
          <w:b/>
          <w:bCs/>
          <w:iCs/>
          <w:szCs w:val="28"/>
        </w:rPr>
      </w:pPr>
    </w:p>
    <w:p w:rsidR="004D51E9" w:rsidRPr="004D51E9" w:rsidRDefault="004D51E9" w:rsidP="004D51E9">
      <w:pPr>
        <w:spacing w:after="240"/>
        <w:jc w:val="both"/>
      </w:pPr>
      <w:r>
        <w:rPr>
          <w:rFonts w:eastAsiaTheme="minorHAnsi"/>
        </w:rPr>
        <w:tab/>
      </w:r>
      <w:r w:rsidRPr="004D51E9">
        <w:rPr>
          <w:rFonts w:eastAsiaTheme="minorHAnsi"/>
        </w:rPr>
        <w:t>The utility recorded insurance expense of $1,256</w:t>
      </w:r>
      <w:r w:rsidRPr="004D51E9">
        <w:t xml:space="preserve"> in the test year</w:t>
      </w:r>
      <w:r w:rsidRPr="004D51E9">
        <w:rPr>
          <w:rFonts w:eastAsiaTheme="minorHAnsi"/>
        </w:rPr>
        <w:t xml:space="preserve">. </w:t>
      </w:r>
      <w:r w:rsidR="00D84D84">
        <w:rPr>
          <w:rFonts w:eastAsiaTheme="minorHAnsi"/>
        </w:rPr>
        <w:t>We</w:t>
      </w:r>
      <w:r w:rsidRPr="004D51E9">
        <w:rPr>
          <w:rFonts w:eastAsiaTheme="minorHAnsi"/>
        </w:rPr>
        <w:t xml:space="preserve"> increased this amount by $251 to reflect the annualized expense to the utility. Therefore, </w:t>
      </w:r>
      <w:r w:rsidR="00D84D84">
        <w:rPr>
          <w:rFonts w:eastAsiaTheme="minorHAnsi"/>
        </w:rPr>
        <w:t xml:space="preserve">we hereby approve an </w:t>
      </w:r>
      <w:r w:rsidRPr="004D51E9">
        <w:t xml:space="preserve">insurance expense </w:t>
      </w:r>
      <w:r w:rsidR="00D84D84" w:rsidRPr="004D51E9">
        <w:t>of $1,507 ($1,256 + $251)</w:t>
      </w:r>
      <w:r w:rsidR="00D84D84">
        <w:t xml:space="preserve"> </w:t>
      </w:r>
      <w:r w:rsidRPr="004D51E9">
        <w:t>for the test year</w:t>
      </w:r>
      <w:r w:rsidRPr="004D51E9">
        <w:rPr>
          <w:rFonts w:eastAsiaTheme="minorHAnsi"/>
        </w:rPr>
        <w:t>.</w:t>
      </w:r>
    </w:p>
    <w:p w:rsidR="004D51E9" w:rsidRPr="007C4AEA" w:rsidRDefault="004D51E9" w:rsidP="007C4AEA">
      <w:pPr>
        <w:jc w:val="both"/>
        <w:outlineLvl w:val="3"/>
        <w:rPr>
          <w:b/>
          <w:bCs/>
          <w:iCs/>
          <w:szCs w:val="28"/>
        </w:rPr>
      </w:pPr>
      <w:r w:rsidRPr="007C4AEA">
        <w:rPr>
          <w:b/>
          <w:bCs/>
          <w:iCs/>
          <w:szCs w:val="28"/>
        </w:rPr>
        <w:t>Regulatory Commission Expense (665)</w:t>
      </w:r>
    </w:p>
    <w:p w:rsidR="004D51E9" w:rsidRPr="007C4AEA" w:rsidRDefault="004D51E9" w:rsidP="007C4AEA">
      <w:pPr>
        <w:jc w:val="both"/>
        <w:outlineLvl w:val="3"/>
        <w:rPr>
          <w:b/>
          <w:bCs/>
          <w:iCs/>
          <w:szCs w:val="28"/>
        </w:rPr>
      </w:pPr>
    </w:p>
    <w:p w:rsidR="004D51E9" w:rsidRPr="004D51E9" w:rsidRDefault="004D51E9" w:rsidP="004D51E9">
      <w:pPr>
        <w:spacing w:after="240"/>
        <w:jc w:val="both"/>
      </w:pPr>
      <w:r>
        <w:tab/>
      </w:r>
      <w:r w:rsidRPr="004D51E9">
        <w:t xml:space="preserve">The utility did not record any regulatory commission expense in this account. Rule 25-30.433(9), F.A.C., requires that non-recurring expenses be amortized over a five-year period unless a shorter or longer period of time can be justified. Accordingly, </w:t>
      </w:r>
      <w:r w:rsidR="00BE5390">
        <w:t>we</w:t>
      </w:r>
      <w:r w:rsidRPr="004D51E9">
        <w:t xml:space="preserve"> increased this account by $300 ($1,500 / 5) to reflect the five-year amortization of the 2018 certificate transfer application filing fee.</w:t>
      </w:r>
      <w:r w:rsidRPr="004D51E9">
        <w:rPr>
          <w:vertAlign w:val="superscript"/>
        </w:rPr>
        <w:footnoteReference w:id="23"/>
      </w:r>
      <w:r w:rsidRPr="004D51E9">
        <w:t xml:space="preserve"> </w:t>
      </w:r>
    </w:p>
    <w:p w:rsidR="004D51E9" w:rsidRPr="004D51E9" w:rsidRDefault="00D51180" w:rsidP="004D51E9">
      <w:pPr>
        <w:spacing w:after="240"/>
        <w:jc w:val="both"/>
      </w:pPr>
      <w:r>
        <w:rPr>
          <w:rFonts w:cstheme="minorHAnsi"/>
        </w:rPr>
        <w:tab/>
      </w:r>
      <w:r w:rsidR="004D51E9" w:rsidRPr="004D51E9">
        <w:rPr>
          <w:rFonts w:cstheme="minorHAnsi"/>
        </w:rPr>
        <w:t xml:space="preserve">Regarding the instant case, the utility is required by Rule 25-22.0407, F.A.C., to provide notices of the customer meeting and notices of final rates in this case to its customers. For noticing, </w:t>
      </w:r>
      <w:r w:rsidR="00D84D84">
        <w:rPr>
          <w:rFonts w:cstheme="minorHAnsi"/>
        </w:rPr>
        <w:t>we</w:t>
      </w:r>
      <w:r w:rsidR="004D51E9" w:rsidRPr="004D51E9">
        <w:rPr>
          <w:rFonts w:cstheme="minorHAnsi"/>
        </w:rPr>
        <w:t xml:space="preserve"> estimated $728 for postage expense, $331 for printing expense, and $66 for envelopes. This results in $1,125 ($728 + $331 + $66) for the noticing requirement. The utility paid a $1,000 rate case filing fee. The utility requested travel and lodging expense of $250 to attend the customer meeting and $250 to attend the Commission Conference. </w:t>
      </w:r>
      <w:r w:rsidR="00D84D84">
        <w:t>We</w:t>
      </w:r>
      <w:r w:rsidR="004D51E9" w:rsidRPr="004D51E9">
        <w:t xml:space="preserve"> increased the utility’s customer meeting travel expense by $137 to reflect mileage and actual lodging cost for two utility employees to attend. This results in travel expense of $387 ($250 + $137) for the customer meeting. </w:t>
      </w:r>
      <w:r w:rsidR="00D84D84">
        <w:t>We</w:t>
      </w:r>
      <w:r w:rsidR="004D51E9" w:rsidRPr="004D51E9">
        <w:t xml:space="preserve"> also reduced the cost of travel to attend the Commission Conference in order to reflect the actual cost of lodging for one employee and appropriate mileage.</w:t>
      </w:r>
      <w:r w:rsidR="004D51E9" w:rsidRPr="004D51E9">
        <w:rPr>
          <w:vertAlign w:val="superscript"/>
        </w:rPr>
        <w:footnoteReference w:id="24"/>
      </w:r>
      <w:r w:rsidR="00D84D84">
        <w:t xml:space="preserve"> We believe</w:t>
      </w:r>
      <w:r w:rsidR="004D51E9" w:rsidRPr="004D51E9">
        <w:t xml:space="preserve"> that the travel for the Commission Conference should be shared with Merritt Island Utility Company and The Woods Utility Company. The utilities are sister utilities of Gator which have SARCs scheduled for the same Commission Conference. As such, </w:t>
      </w:r>
      <w:r w:rsidR="00D84D84">
        <w:t>we find that</w:t>
      </w:r>
      <w:r w:rsidR="004D51E9" w:rsidRPr="004D51E9">
        <w:t xml:space="preserve"> it is appropriate to</w:t>
      </w:r>
      <w:r w:rsidR="00D84D84">
        <w:t xml:space="preserve"> equally</w:t>
      </w:r>
      <w:r w:rsidR="004D51E9" w:rsidRPr="004D51E9">
        <w:t xml:space="preserve"> split travel costs </w:t>
      </w:r>
      <w:r w:rsidR="00D84D84">
        <w:t>for</w:t>
      </w:r>
      <w:r w:rsidR="004D51E9" w:rsidRPr="004D51E9">
        <w:t xml:space="preserve"> the Commission Conference between the three utilities, or $130 ($389 / 3) per utility. This results in a reduction of $120 ($130 - $250) for Gator’s travel expense </w:t>
      </w:r>
      <w:r w:rsidR="00D84D84">
        <w:t>for</w:t>
      </w:r>
      <w:r w:rsidR="004D51E9" w:rsidRPr="004D51E9">
        <w:t xml:space="preserve"> the Commission Conference. As such, </w:t>
      </w:r>
      <w:r w:rsidR="00D84D84">
        <w:t>we hereby approve a</w:t>
      </w:r>
      <w:r w:rsidR="004D51E9" w:rsidRPr="004D51E9">
        <w:t xml:space="preserve"> travel expense of $517 ($387 + $130). </w:t>
      </w:r>
      <w:r w:rsidR="00D84D84">
        <w:t>We note</w:t>
      </w:r>
      <w:r w:rsidR="004D51E9" w:rsidRPr="004D51E9">
        <w:t xml:space="preserve"> that </w:t>
      </w:r>
      <w:r w:rsidR="00D84D84">
        <w:t>we</w:t>
      </w:r>
      <w:r w:rsidR="004D51E9" w:rsidRPr="004D51E9">
        <w:t xml:space="preserve"> previously approved rate case related travel expenses ranging from $413 to $1,570 in the nine most recent dockets for Gator’s sister utilities. Based on </w:t>
      </w:r>
      <w:r w:rsidR="00D84D84">
        <w:t>our</w:t>
      </w:r>
      <w:r w:rsidR="004D51E9" w:rsidRPr="004D51E9">
        <w:t xml:space="preserve"> review, the requested travel expense appears reasonable.</w:t>
      </w:r>
    </w:p>
    <w:p w:rsidR="004D51E9" w:rsidRPr="004D51E9" w:rsidRDefault="00D51180" w:rsidP="004D51E9">
      <w:pPr>
        <w:spacing w:after="240"/>
        <w:jc w:val="both"/>
      </w:pPr>
      <w:r>
        <w:rPr>
          <w:rFonts w:cstheme="minorHAnsi"/>
        </w:rPr>
        <w:tab/>
      </w:r>
      <w:r w:rsidR="004D51E9" w:rsidRPr="004D51E9">
        <w:rPr>
          <w:rFonts w:cstheme="minorHAnsi"/>
        </w:rPr>
        <w:t xml:space="preserve">Based on the discussion above, </w:t>
      </w:r>
      <w:r w:rsidR="00D84D84">
        <w:rPr>
          <w:rFonts w:cstheme="minorHAnsi"/>
        </w:rPr>
        <w:t>we hereby approve a</w:t>
      </w:r>
      <w:r w:rsidR="004D51E9" w:rsidRPr="004D51E9">
        <w:rPr>
          <w:rFonts w:cstheme="minorHAnsi"/>
        </w:rPr>
        <w:t xml:space="preserve"> total rate case expense of $2,642 ($1,125 + $1,000 + $517), which amortized over four years is $661. Based on the discussion above, </w:t>
      </w:r>
      <w:r w:rsidR="00D84D84">
        <w:rPr>
          <w:rFonts w:cstheme="minorHAnsi"/>
        </w:rPr>
        <w:t>our</w:t>
      </w:r>
      <w:r w:rsidR="004D51E9" w:rsidRPr="004D51E9">
        <w:rPr>
          <w:rFonts w:cstheme="minorHAnsi"/>
        </w:rPr>
        <w:t xml:space="preserve"> total adjustment to this account is an increase of $961 ($300 + $661). As such, </w:t>
      </w:r>
      <w:r w:rsidR="00D84D84">
        <w:rPr>
          <w:rFonts w:cstheme="minorHAnsi"/>
        </w:rPr>
        <w:t>we find that the appropriate</w:t>
      </w:r>
      <w:r w:rsidR="004D51E9" w:rsidRPr="004D51E9">
        <w:rPr>
          <w:rFonts w:cstheme="minorHAnsi"/>
        </w:rPr>
        <w:t xml:space="preserve"> regulatory commission expense is $961.</w:t>
      </w:r>
    </w:p>
    <w:p w:rsidR="004D51E9" w:rsidRPr="007C4AEA" w:rsidRDefault="004D51E9" w:rsidP="007C4AEA">
      <w:pPr>
        <w:autoSpaceDE w:val="0"/>
        <w:autoSpaceDN w:val="0"/>
        <w:adjustRightInd w:val="0"/>
        <w:rPr>
          <w:b/>
          <w:bCs/>
          <w:iCs/>
        </w:rPr>
      </w:pPr>
      <w:r w:rsidRPr="007C4AEA">
        <w:rPr>
          <w:b/>
          <w:bCs/>
          <w:iCs/>
        </w:rPr>
        <w:t>Bad Debt Expense (670)</w:t>
      </w:r>
    </w:p>
    <w:p w:rsidR="00D51180" w:rsidRPr="007C4AEA" w:rsidRDefault="00D51180" w:rsidP="007C4AEA">
      <w:pPr>
        <w:autoSpaceDE w:val="0"/>
        <w:autoSpaceDN w:val="0"/>
        <w:adjustRightInd w:val="0"/>
        <w:rPr>
          <w:b/>
          <w:bCs/>
          <w:iCs/>
        </w:rPr>
      </w:pPr>
    </w:p>
    <w:p w:rsidR="004D51E9" w:rsidRPr="004D51E9" w:rsidRDefault="00D51180" w:rsidP="004D51E9">
      <w:pPr>
        <w:spacing w:after="240"/>
        <w:jc w:val="both"/>
      </w:pPr>
      <w:r>
        <w:tab/>
      </w:r>
      <w:r w:rsidR="004D51E9" w:rsidRPr="004D51E9">
        <w:t xml:space="preserve">The utility recorded $5,404 in this account for test year bad debt expense, which equals 3.46 percent of </w:t>
      </w:r>
      <w:r w:rsidR="00746C0F">
        <w:t>the approved</w:t>
      </w:r>
      <w:r w:rsidR="004D51E9" w:rsidRPr="004D51E9">
        <w:t xml:space="preserve"> revenue requirement.  While </w:t>
      </w:r>
      <w:r w:rsidR="00746C0F">
        <w:t>our</w:t>
      </w:r>
      <w:r w:rsidR="004D51E9" w:rsidRPr="004D51E9">
        <w:t xml:space="preserve"> practice is to calculate bad debt expense using a three-year average, three years of records are not yet available for the current owners. The utility provided </w:t>
      </w:r>
      <w:r w:rsidR="00746C0F">
        <w:t>us</w:t>
      </w:r>
      <w:r w:rsidR="004D51E9" w:rsidRPr="004D51E9">
        <w:t xml:space="preserve"> with updated bad debt expense of $1,185 for the utility in 2019.</w:t>
      </w:r>
      <w:r w:rsidR="004D51E9" w:rsidRPr="004D51E9">
        <w:rPr>
          <w:vertAlign w:val="superscript"/>
        </w:rPr>
        <w:footnoteReference w:id="25"/>
      </w:r>
      <w:r w:rsidR="004D51E9" w:rsidRPr="004D51E9">
        <w:t xml:space="preserve"> Generally, the basis for determining bad debt expense has been whether the amount is representative of the bad debt expense to be incurred by the utility. As such, </w:t>
      </w:r>
      <w:r w:rsidR="00746C0F">
        <w:t>we believe</w:t>
      </w:r>
      <w:r w:rsidR="004D51E9" w:rsidRPr="004D51E9">
        <w:t xml:space="preserve"> the utility's updated 2019 bad debt expense is reasonable and is likely to be representative of the utility's expected bad debt expense going forward. </w:t>
      </w:r>
      <w:r w:rsidR="004D51E9" w:rsidRPr="004D51E9">
        <w:rPr>
          <w:rFonts w:cstheme="minorHAnsi"/>
          <w:color w:val="121212"/>
        </w:rPr>
        <w:t xml:space="preserve">This represents a decrease of $4,219 ($1,185 - $5,404) over the amount included in the test year. </w:t>
      </w:r>
      <w:r w:rsidR="004D51E9" w:rsidRPr="004D51E9">
        <w:t xml:space="preserve">The updated amount equals 0.76 percent of </w:t>
      </w:r>
      <w:r w:rsidR="00746C0F">
        <w:t>the approved</w:t>
      </w:r>
      <w:r w:rsidR="004D51E9" w:rsidRPr="004D51E9">
        <w:t xml:space="preserve"> revenue requirement. Therefore, </w:t>
      </w:r>
      <w:r w:rsidR="00746C0F">
        <w:t>we hereby approve a</w:t>
      </w:r>
      <w:r w:rsidR="004D51E9" w:rsidRPr="004D51E9">
        <w:t xml:space="preserve"> bad debt expense</w:t>
      </w:r>
      <w:r w:rsidR="00746C0F" w:rsidRPr="00746C0F">
        <w:t xml:space="preserve"> </w:t>
      </w:r>
      <w:r w:rsidR="00746C0F" w:rsidRPr="004D51E9">
        <w:t>of $1,185</w:t>
      </w:r>
      <w:r w:rsidR="004D51E9" w:rsidRPr="004D51E9">
        <w:t xml:space="preserve"> for the test year.</w:t>
      </w:r>
    </w:p>
    <w:p w:rsidR="004D51E9" w:rsidRPr="007C4AEA" w:rsidRDefault="004D51E9" w:rsidP="007C4AEA">
      <w:pPr>
        <w:jc w:val="both"/>
        <w:outlineLvl w:val="3"/>
        <w:rPr>
          <w:b/>
          <w:bCs/>
          <w:iCs/>
          <w:szCs w:val="28"/>
        </w:rPr>
      </w:pPr>
      <w:r w:rsidRPr="007C4AEA">
        <w:rPr>
          <w:b/>
          <w:bCs/>
          <w:iCs/>
          <w:szCs w:val="28"/>
        </w:rPr>
        <w:t>Miscellaneous Expense (675)</w:t>
      </w:r>
    </w:p>
    <w:p w:rsidR="00D51180" w:rsidRPr="007C4AEA" w:rsidRDefault="00D51180" w:rsidP="007C4AEA">
      <w:pPr>
        <w:jc w:val="both"/>
        <w:outlineLvl w:val="3"/>
        <w:rPr>
          <w:b/>
          <w:bCs/>
          <w:iCs/>
          <w:szCs w:val="28"/>
        </w:rPr>
      </w:pPr>
    </w:p>
    <w:p w:rsidR="004D51E9" w:rsidRPr="004D51E9" w:rsidRDefault="00D51180" w:rsidP="004D51E9">
      <w:pPr>
        <w:spacing w:after="240"/>
        <w:jc w:val="both"/>
      </w:pPr>
      <w:r>
        <w:tab/>
      </w:r>
      <w:r w:rsidR="004D51E9" w:rsidRPr="004D51E9">
        <w:t xml:space="preserve">The utility recorded </w:t>
      </w:r>
      <w:r w:rsidR="00AF6D16">
        <w:t>miscellaneous expense of $650. Gator provided s</w:t>
      </w:r>
      <w:r w:rsidR="004D51E9" w:rsidRPr="004D51E9">
        <w:rPr>
          <w:rFonts w:eastAsiaTheme="minorHAnsi"/>
        </w:rPr>
        <w:t>upporting documentation confirming</w:t>
      </w:r>
      <w:r w:rsidR="00AF6D16">
        <w:rPr>
          <w:rFonts w:eastAsiaTheme="minorHAnsi"/>
        </w:rPr>
        <w:t xml:space="preserve"> that</w:t>
      </w:r>
      <w:r w:rsidR="004D51E9" w:rsidRPr="004D51E9">
        <w:rPr>
          <w:rFonts w:eastAsiaTheme="minorHAnsi"/>
        </w:rPr>
        <w:t xml:space="preserve"> the miscellaneous expense was used for an annual operating license fee through the </w:t>
      </w:r>
      <w:r w:rsidR="00AF6D16">
        <w:rPr>
          <w:rFonts w:eastAsiaTheme="minorHAnsi"/>
        </w:rPr>
        <w:t>DEP. Additionally,</w:t>
      </w:r>
      <w:r w:rsidR="004D51E9" w:rsidRPr="004D51E9">
        <w:rPr>
          <w:rFonts w:eastAsiaTheme="minorHAnsi"/>
        </w:rPr>
        <w:t xml:space="preserve"> the utility</w:t>
      </w:r>
      <w:r w:rsidR="00AF6D16">
        <w:rPr>
          <w:rFonts w:eastAsiaTheme="minorHAnsi"/>
        </w:rPr>
        <w:t xml:space="preserve"> provided its</w:t>
      </w:r>
      <w:r w:rsidR="004D51E9" w:rsidRPr="004D51E9">
        <w:rPr>
          <w:rFonts w:eastAsiaTheme="minorHAnsi"/>
        </w:rPr>
        <w:t xml:space="preserve"> annual report. </w:t>
      </w:r>
      <w:r w:rsidR="00AF6D16">
        <w:t>We</w:t>
      </w:r>
      <w:r w:rsidR="004D51E9" w:rsidRPr="004D51E9">
        <w:t xml:space="preserve"> made no adjustments to this account. </w:t>
      </w:r>
      <w:r w:rsidR="004D51E9" w:rsidRPr="004D51E9">
        <w:rPr>
          <w:rFonts w:eastAsiaTheme="minorHAnsi"/>
        </w:rPr>
        <w:t xml:space="preserve">As such, </w:t>
      </w:r>
      <w:r w:rsidR="00AF6D16">
        <w:rPr>
          <w:rFonts w:eastAsiaTheme="minorHAnsi"/>
        </w:rPr>
        <w:t>we hereby approve a</w:t>
      </w:r>
      <w:r w:rsidR="004D51E9" w:rsidRPr="004D51E9">
        <w:rPr>
          <w:rFonts w:eastAsiaTheme="minorHAnsi"/>
        </w:rPr>
        <w:t xml:space="preserve"> miscellaneous expense</w:t>
      </w:r>
      <w:r w:rsidR="00AF6D16">
        <w:rPr>
          <w:rFonts w:eastAsiaTheme="minorHAnsi"/>
        </w:rPr>
        <w:t xml:space="preserve"> </w:t>
      </w:r>
      <w:r w:rsidR="00AF6D16" w:rsidRPr="004D51E9">
        <w:rPr>
          <w:rFonts w:eastAsiaTheme="minorHAnsi"/>
        </w:rPr>
        <w:t>of $650</w:t>
      </w:r>
      <w:r w:rsidR="004D51E9" w:rsidRPr="004D51E9">
        <w:rPr>
          <w:rFonts w:eastAsiaTheme="minorHAnsi"/>
        </w:rPr>
        <w:t xml:space="preserve"> for the test year.</w:t>
      </w:r>
    </w:p>
    <w:p w:rsidR="004D51E9" w:rsidRPr="007C4AEA" w:rsidRDefault="007C4AEA" w:rsidP="004D51E9">
      <w:pPr>
        <w:jc w:val="both"/>
        <w:outlineLvl w:val="2"/>
        <w:rPr>
          <w:bCs/>
          <w:i/>
          <w:iCs/>
          <w:szCs w:val="28"/>
        </w:rPr>
      </w:pPr>
      <w:r w:rsidRPr="007C4AEA">
        <w:rPr>
          <w:bCs/>
          <w:i/>
          <w:iCs/>
          <w:szCs w:val="28"/>
        </w:rPr>
        <w:t xml:space="preserve">B. </w:t>
      </w:r>
      <w:r w:rsidR="004D51E9" w:rsidRPr="007C4AEA">
        <w:rPr>
          <w:bCs/>
          <w:i/>
          <w:iCs/>
          <w:szCs w:val="28"/>
        </w:rPr>
        <w:t>Operation &amp; Maintenance Expense Summary</w:t>
      </w:r>
    </w:p>
    <w:p w:rsidR="00D51180" w:rsidRPr="007C4AEA" w:rsidRDefault="00D51180" w:rsidP="004D51E9">
      <w:pPr>
        <w:jc w:val="both"/>
        <w:outlineLvl w:val="2"/>
        <w:rPr>
          <w:bCs/>
          <w:i/>
          <w:iCs/>
          <w:szCs w:val="28"/>
        </w:rPr>
      </w:pPr>
    </w:p>
    <w:p w:rsidR="004D51E9" w:rsidRPr="004D51E9" w:rsidRDefault="00D51180" w:rsidP="004D51E9">
      <w:pPr>
        <w:spacing w:after="240"/>
        <w:jc w:val="both"/>
      </w:pPr>
      <w:r>
        <w:tab/>
      </w:r>
      <w:r w:rsidR="004D51E9" w:rsidRPr="004D51E9">
        <w:t xml:space="preserve">Based on the above adjustments, </w:t>
      </w:r>
      <w:r w:rsidR="00AF6D16">
        <w:t>we find</w:t>
      </w:r>
      <w:r w:rsidR="004D51E9" w:rsidRPr="004D51E9">
        <w:t xml:space="preserve"> that O&amp;M expense</w:t>
      </w:r>
      <w:r w:rsidR="00AF6D16">
        <w:t xml:space="preserve"> shall</w:t>
      </w:r>
      <w:r w:rsidR="004D51E9" w:rsidRPr="004D51E9">
        <w:t xml:space="preserve"> be decreased by $1,833, resulting in total O&amp;M expense of $74,658. </w:t>
      </w:r>
      <w:r w:rsidR="00AF6D16">
        <w:t>Our</w:t>
      </w:r>
      <w:r w:rsidR="004D51E9" w:rsidRPr="004D51E9">
        <w:t xml:space="preserve"> adjustments to O&amp;M expense are shown on Schedule No. 3-C.</w:t>
      </w:r>
    </w:p>
    <w:p w:rsidR="004D51E9" w:rsidRPr="007C4AEA" w:rsidRDefault="007C4AEA" w:rsidP="004D51E9">
      <w:pPr>
        <w:jc w:val="both"/>
        <w:outlineLvl w:val="2"/>
        <w:rPr>
          <w:rFonts w:eastAsiaTheme="minorHAnsi"/>
          <w:i/>
          <w:iCs/>
        </w:rPr>
      </w:pPr>
      <w:r w:rsidRPr="007C4AEA">
        <w:rPr>
          <w:bCs/>
          <w:i/>
          <w:iCs/>
          <w:szCs w:val="28"/>
        </w:rPr>
        <w:t xml:space="preserve">C. </w:t>
      </w:r>
      <w:r w:rsidR="004D51E9" w:rsidRPr="007C4AEA">
        <w:rPr>
          <w:bCs/>
          <w:i/>
          <w:iCs/>
          <w:szCs w:val="28"/>
        </w:rPr>
        <w:t>Depreciation Expense</w:t>
      </w:r>
      <w:r w:rsidR="004D51E9" w:rsidRPr="007C4AEA">
        <w:rPr>
          <w:bCs/>
          <w:i/>
          <w:iCs/>
        </w:rPr>
        <w:t xml:space="preserve"> </w:t>
      </w:r>
      <w:r w:rsidR="004D51E9" w:rsidRPr="007C4AEA">
        <w:rPr>
          <w:rFonts w:eastAsiaTheme="minorHAnsi"/>
          <w:i/>
          <w:iCs/>
        </w:rPr>
        <w:t>(Net of Amortization of CIAC)</w:t>
      </w:r>
    </w:p>
    <w:p w:rsidR="00D51180" w:rsidRPr="007C4AEA" w:rsidRDefault="00D51180" w:rsidP="004D51E9">
      <w:pPr>
        <w:jc w:val="both"/>
        <w:outlineLvl w:val="2"/>
        <w:rPr>
          <w:bCs/>
          <w:i/>
          <w:iCs/>
        </w:rPr>
      </w:pPr>
    </w:p>
    <w:p w:rsidR="004D51E9" w:rsidRPr="004D51E9" w:rsidRDefault="00D51180" w:rsidP="004D51E9">
      <w:pPr>
        <w:autoSpaceDE w:val="0"/>
        <w:autoSpaceDN w:val="0"/>
        <w:adjustRightInd w:val="0"/>
        <w:jc w:val="both"/>
        <w:rPr>
          <w:rFonts w:eastAsiaTheme="minorHAnsi"/>
        </w:rPr>
      </w:pPr>
      <w:r>
        <w:rPr>
          <w:rFonts w:eastAsiaTheme="minorHAnsi"/>
        </w:rPr>
        <w:tab/>
      </w:r>
      <w:r w:rsidR="004D51E9" w:rsidRPr="004D51E9">
        <w:rPr>
          <w:rFonts w:eastAsiaTheme="minorHAnsi"/>
        </w:rPr>
        <w:t xml:space="preserve">The utility's records reflect test year depreciation of $16,307 and CIAC amortization of $6,788, for a net depreciation expense of $9,519 ($16,307 - $6,788). </w:t>
      </w:r>
      <w:r w:rsidR="00AF6D16">
        <w:rPr>
          <w:rFonts w:eastAsiaTheme="minorHAnsi"/>
        </w:rPr>
        <w:t>We</w:t>
      </w:r>
      <w:r w:rsidR="004D51E9" w:rsidRPr="004D51E9">
        <w:rPr>
          <w:rFonts w:eastAsiaTheme="minorHAnsi"/>
        </w:rPr>
        <w:t xml:space="preserve"> calculated depreciation expense using the prescribed rates set forth in Rule 25-30.140, F.A.C., and determined test year depreciation expense to be $16,334, resulting in an increase to this account of $27. </w:t>
      </w:r>
      <w:r w:rsidR="00AF6D16">
        <w:rPr>
          <w:rFonts w:eastAsiaTheme="minorHAnsi"/>
        </w:rPr>
        <w:t>We</w:t>
      </w:r>
      <w:r w:rsidR="004D51E9" w:rsidRPr="004D51E9">
        <w:rPr>
          <w:rFonts w:eastAsiaTheme="minorHAnsi"/>
        </w:rPr>
        <w:t xml:space="preserve"> also increased this account by $7,106 to reflect the incremental increases in depreciation expense related to several pro forma projects, net of retirements. These projects were previously discussed in </w:t>
      </w:r>
      <w:r w:rsidR="00AF6D16">
        <w:rPr>
          <w:rFonts w:eastAsiaTheme="minorHAnsi"/>
        </w:rPr>
        <w:t>Section</w:t>
      </w:r>
      <w:r w:rsidR="004D51E9" w:rsidRPr="004D51E9">
        <w:rPr>
          <w:rFonts w:eastAsiaTheme="minorHAnsi"/>
        </w:rPr>
        <w:t xml:space="preserve"> 4. </w:t>
      </w:r>
      <w:r w:rsidR="00AF6D16">
        <w:rPr>
          <w:rFonts w:eastAsiaTheme="minorHAnsi"/>
        </w:rPr>
        <w:t>Our</w:t>
      </w:r>
      <w:r w:rsidR="004D51E9" w:rsidRPr="004D51E9">
        <w:rPr>
          <w:rFonts w:eastAsiaTheme="minorHAnsi"/>
        </w:rPr>
        <w:t xml:space="preserve"> total adjustment to depreciation expense is a net increase of $7,133 ($27 + $7,106). Accordingly, </w:t>
      </w:r>
      <w:r w:rsidR="00AF6D16">
        <w:rPr>
          <w:rFonts w:eastAsiaTheme="minorHAnsi"/>
        </w:rPr>
        <w:t>we find that a</w:t>
      </w:r>
      <w:r w:rsidR="004D51E9" w:rsidRPr="004D51E9">
        <w:rPr>
          <w:rFonts w:eastAsiaTheme="minorHAnsi"/>
        </w:rPr>
        <w:t xml:space="preserve"> depreciation expense of $23,440 ($16,307 + $7,133)</w:t>
      </w:r>
      <w:r w:rsidR="00AF6D16">
        <w:rPr>
          <w:rFonts w:eastAsiaTheme="minorHAnsi"/>
        </w:rPr>
        <w:t xml:space="preserve"> is appropriate</w:t>
      </w:r>
      <w:r w:rsidR="004D51E9" w:rsidRPr="004D51E9">
        <w:rPr>
          <w:rFonts w:eastAsiaTheme="minorHAnsi"/>
        </w:rPr>
        <w:t xml:space="preserve">. In addition, </w:t>
      </w:r>
      <w:r w:rsidR="00AF6D16">
        <w:rPr>
          <w:rFonts w:eastAsiaTheme="minorHAnsi"/>
        </w:rPr>
        <w:t>we</w:t>
      </w:r>
      <w:r w:rsidR="004D51E9" w:rsidRPr="004D51E9">
        <w:rPr>
          <w:rFonts w:eastAsiaTheme="minorHAnsi"/>
        </w:rPr>
        <w:t xml:space="preserve"> calculated test year CIAC amortization expense of $6,041. Accordingly, </w:t>
      </w:r>
      <w:r w:rsidR="00AF6D16">
        <w:rPr>
          <w:rFonts w:eastAsiaTheme="minorHAnsi"/>
        </w:rPr>
        <w:t>we</w:t>
      </w:r>
      <w:r w:rsidR="004D51E9" w:rsidRPr="004D51E9">
        <w:rPr>
          <w:rFonts w:eastAsiaTheme="minorHAnsi"/>
        </w:rPr>
        <w:t xml:space="preserve"> decreased this account by $747 ($6,788 - $6,041). This results in net depreciation expense of $17,399 ($23,440 - $6,041)</w:t>
      </w:r>
      <w:r w:rsidR="004D51E9" w:rsidRPr="004D51E9">
        <w:rPr>
          <w:rFonts w:asciiTheme="minorHAnsi" w:eastAsiaTheme="minorHAnsi" w:hAnsiTheme="minorHAnsi" w:cstheme="minorHAnsi"/>
        </w:rPr>
        <w:t xml:space="preserve">. </w:t>
      </w:r>
      <w:r w:rsidR="004D51E9" w:rsidRPr="004D51E9">
        <w:rPr>
          <w:rFonts w:eastAsiaTheme="minorHAnsi"/>
        </w:rPr>
        <w:t xml:space="preserve">Therefore, </w:t>
      </w:r>
      <w:r w:rsidR="00AF6D16">
        <w:rPr>
          <w:rFonts w:eastAsiaTheme="minorHAnsi"/>
        </w:rPr>
        <w:t>we hereby approve a</w:t>
      </w:r>
      <w:r w:rsidR="004D51E9" w:rsidRPr="004D51E9">
        <w:rPr>
          <w:rFonts w:eastAsiaTheme="minorHAnsi"/>
        </w:rPr>
        <w:t xml:space="preserve"> net depreciation expense of $17,399.</w:t>
      </w:r>
    </w:p>
    <w:p w:rsidR="004D51E9" w:rsidRPr="004D51E9" w:rsidRDefault="004D51E9" w:rsidP="004D51E9">
      <w:pPr>
        <w:autoSpaceDE w:val="0"/>
        <w:autoSpaceDN w:val="0"/>
        <w:adjustRightInd w:val="0"/>
        <w:jc w:val="both"/>
        <w:rPr>
          <w:rFonts w:eastAsiaTheme="minorHAnsi"/>
          <w:sz w:val="23"/>
          <w:szCs w:val="23"/>
        </w:rPr>
      </w:pPr>
    </w:p>
    <w:p w:rsidR="004D51E9" w:rsidRPr="007C4AEA" w:rsidRDefault="007C4AEA" w:rsidP="004D51E9">
      <w:pPr>
        <w:jc w:val="both"/>
        <w:outlineLvl w:val="2"/>
        <w:rPr>
          <w:bCs/>
          <w:i/>
          <w:iCs/>
          <w:szCs w:val="28"/>
        </w:rPr>
      </w:pPr>
      <w:r w:rsidRPr="007C4AEA">
        <w:rPr>
          <w:bCs/>
          <w:i/>
          <w:iCs/>
          <w:szCs w:val="28"/>
        </w:rPr>
        <w:t xml:space="preserve">D. </w:t>
      </w:r>
      <w:r w:rsidR="004D51E9" w:rsidRPr="007C4AEA">
        <w:rPr>
          <w:bCs/>
          <w:i/>
          <w:iCs/>
          <w:szCs w:val="28"/>
        </w:rPr>
        <w:t>Taxes Other Than Income (TOTI)</w:t>
      </w:r>
    </w:p>
    <w:p w:rsidR="00D51180" w:rsidRPr="007C4AEA" w:rsidRDefault="00D51180" w:rsidP="004D51E9">
      <w:pPr>
        <w:jc w:val="both"/>
        <w:outlineLvl w:val="2"/>
        <w:rPr>
          <w:bCs/>
          <w:i/>
          <w:iCs/>
          <w:szCs w:val="28"/>
        </w:rPr>
      </w:pPr>
    </w:p>
    <w:p w:rsidR="004D51E9" w:rsidRPr="004D51E9" w:rsidRDefault="00D51180" w:rsidP="004D51E9">
      <w:pPr>
        <w:spacing w:after="240"/>
        <w:jc w:val="both"/>
      </w:pPr>
      <w:r>
        <w:tab/>
      </w:r>
      <w:r w:rsidR="004D51E9" w:rsidRPr="004D51E9">
        <w:t xml:space="preserve">Gator recorded a TOTI balance of $3,955 during the test year, comprised of $2,705 for Regulatory Assessment Fees (RAFs) and $1,250 for property taxes. </w:t>
      </w:r>
      <w:r w:rsidR="00F815CB">
        <w:t xml:space="preserve">We </w:t>
      </w:r>
      <w:r w:rsidR="004D51E9" w:rsidRPr="004D51E9">
        <w:t xml:space="preserve">decreased the RAFs by $150 to reflect the adjusted test year revenues. </w:t>
      </w:r>
      <w:r w:rsidR="00F815CB">
        <w:t>We</w:t>
      </w:r>
      <w:r w:rsidR="004D51E9" w:rsidRPr="004D51E9">
        <w:t xml:space="preserve"> also decreased this account by $416 to reflect the appropriate test year property taxes. The utility also requested consideration of pro forma taxes of $10,032.</w:t>
      </w:r>
      <w:r w:rsidR="004D51E9" w:rsidRPr="004D51E9">
        <w:rPr>
          <w:vertAlign w:val="superscript"/>
        </w:rPr>
        <w:footnoteReference w:id="26"/>
      </w:r>
      <w:r w:rsidR="004D51E9" w:rsidRPr="004D51E9">
        <w:t xml:space="preserve"> In 2018, Gator’s property taxes were $834 and no tangible taxes were assessed. Based on the utility’s 2019 Alachua County tax notices,</w:t>
      </w:r>
      <w:r w:rsidR="004D51E9" w:rsidRPr="004D51E9">
        <w:rPr>
          <w:vertAlign w:val="superscript"/>
        </w:rPr>
        <w:footnoteReference w:id="27"/>
      </w:r>
      <w:r w:rsidR="004D51E9" w:rsidRPr="004D51E9">
        <w:t xml:space="preserve"> Gator’s property taxes will increase and tangible taxes will be applied. </w:t>
      </w:r>
      <w:r w:rsidR="00F815CB">
        <w:t>We</w:t>
      </w:r>
      <w:r w:rsidR="004D51E9" w:rsidRPr="004D51E9">
        <w:t xml:space="preserve"> increased tax expense by $8,792 to reflect the appropriate amount of property tax going forward, based on the utility’s current tax notices less a four percent discount for early payment. Additionally, </w:t>
      </w:r>
      <w:r w:rsidR="00F815CB">
        <w:t>we</w:t>
      </w:r>
      <w:r w:rsidR="004D51E9" w:rsidRPr="004D51E9">
        <w:t xml:space="preserve"> increased this account by $4,266 to reflect the incremental increase in property taxes associated with the pro forma projects discussed in </w:t>
      </w:r>
      <w:r w:rsidR="00F815CB">
        <w:t>Section</w:t>
      </w:r>
      <w:r w:rsidR="004D51E9" w:rsidRPr="004D51E9">
        <w:t xml:space="preserve"> 4. This results in a net increase of $12,492 (-$150 - $416 + $8,792 + $4,266) to TOTI.</w:t>
      </w:r>
    </w:p>
    <w:p w:rsidR="004D51E9" w:rsidRPr="004D51E9" w:rsidRDefault="00D51180" w:rsidP="004D51E9">
      <w:pPr>
        <w:spacing w:after="240"/>
        <w:jc w:val="both"/>
      </w:pPr>
      <w:r>
        <w:tab/>
      </w:r>
      <w:r w:rsidR="004D51E9" w:rsidRPr="004D51E9">
        <w:t xml:space="preserve">In addition, as discussed in </w:t>
      </w:r>
      <w:r w:rsidR="00D85506">
        <w:t>Section</w:t>
      </w:r>
      <w:r w:rsidR="004D51E9" w:rsidRPr="004D51E9">
        <w:t xml:space="preserve"> 8, revenues have been increased by $99,265 to reflect the change in revenue required to cover expenses and allow the </w:t>
      </w:r>
      <w:r w:rsidR="00D85506">
        <w:t>approved</w:t>
      </w:r>
      <w:r w:rsidR="004D51E9" w:rsidRPr="004D51E9">
        <w:t xml:space="preserve"> operating margin. As a result, TOTI sh</w:t>
      </w:r>
      <w:r w:rsidR="00D85506">
        <w:t>all</w:t>
      </w:r>
      <w:r w:rsidR="004D51E9" w:rsidRPr="004D51E9">
        <w:t xml:space="preserve"> be increased by $4,467 to reflect RAFs of 4.5 percent on the change in revenues. </w:t>
      </w:r>
      <w:r w:rsidR="00D85506">
        <w:t>Our</w:t>
      </w:r>
      <w:r w:rsidR="004D51E9" w:rsidRPr="004D51E9">
        <w:t xml:space="preserve"> adjustments result in an increase of $16,959 ($12,492 + $4,467). Therefore, </w:t>
      </w:r>
      <w:r w:rsidR="00D85506">
        <w:t>we hereby approve a</w:t>
      </w:r>
      <w:r w:rsidR="004D51E9" w:rsidRPr="004D51E9">
        <w:t xml:space="preserve"> TOTI of $20,914 ($3,955 + $16,959).</w:t>
      </w:r>
    </w:p>
    <w:p w:rsidR="004D51E9" w:rsidRPr="007C4AEA" w:rsidRDefault="007C4AEA" w:rsidP="004D51E9">
      <w:pPr>
        <w:autoSpaceDE w:val="0"/>
        <w:autoSpaceDN w:val="0"/>
        <w:adjustRightInd w:val="0"/>
        <w:rPr>
          <w:bCs/>
          <w:i/>
          <w:color w:val="242424"/>
        </w:rPr>
      </w:pPr>
      <w:r w:rsidRPr="007C4AEA">
        <w:rPr>
          <w:bCs/>
          <w:i/>
          <w:color w:val="242424"/>
        </w:rPr>
        <w:t xml:space="preserve">E. </w:t>
      </w:r>
      <w:r w:rsidR="004D51E9" w:rsidRPr="007C4AEA">
        <w:rPr>
          <w:bCs/>
          <w:i/>
          <w:color w:val="242424"/>
        </w:rPr>
        <w:t>Income Tax</w:t>
      </w:r>
    </w:p>
    <w:p w:rsidR="00D51180" w:rsidRPr="007C4AEA" w:rsidRDefault="00D51180" w:rsidP="004D51E9">
      <w:pPr>
        <w:autoSpaceDE w:val="0"/>
        <w:autoSpaceDN w:val="0"/>
        <w:adjustRightInd w:val="0"/>
        <w:rPr>
          <w:bCs/>
          <w:i/>
          <w:color w:val="242424"/>
        </w:rPr>
      </w:pPr>
    </w:p>
    <w:p w:rsidR="004D51E9" w:rsidRPr="004D51E9" w:rsidRDefault="00D51180" w:rsidP="004D51E9">
      <w:pPr>
        <w:spacing w:after="240"/>
        <w:jc w:val="both"/>
      </w:pPr>
      <w:r>
        <w:tab/>
      </w:r>
      <w:r w:rsidR="004D51E9" w:rsidRPr="004D51E9">
        <w:t xml:space="preserve">The utility is a Subchapter S Corporation and therefore did not record any income tax expense for the test year. </w:t>
      </w:r>
      <w:r w:rsidR="00C678B0">
        <w:t>As such, we find that</w:t>
      </w:r>
      <w:r w:rsidR="004D51E9" w:rsidRPr="004D51E9">
        <w:t xml:space="preserve"> no adjustment to income tax expense</w:t>
      </w:r>
      <w:r w:rsidR="00C678B0">
        <w:t xml:space="preserve"> is necessary</w:t>
      </w:r>
      <w:r w:rsidR="004D51E9" w:rsidRPr="004D51E9">
        <w:rPr>
          <w:color w:val="242424"/>
        </w:rPr>
        <w:t>.</w:t>
      </w:r>
    </w:p>
    <w:p w:rsidR="004D51E9" w:rsidRPr="007C4AEA" w:rsidRDefault="007C4AEA" w:rsidP="004D51E9">
      <w:pPr>
        <w:jc w:val="both"/>
        <w:outlineLvl w:val="2"/>
        <w:rPr>
          <w:bCs/>
          <w:i/>
          <w:iCs/>
          <w:szCs w:val="28"/>
        </w:rPr>
      </w:pPr>
      <w:r w:rsidRPr="007C4AEA">
        <w:rPr>
          <w:bCs/>
          <w:i/>
          <w:iCs/>
          <w:szCs w:val="28"/>
        </w:rPr>
        <w:t xml:space="preserve">F. </w:t>
      </w:r>
      <w:r w:rsidR="004D51E9" w:rsidRPr="007C4AEA">
        <w:rPr>
          <w:bCs/>
          <w:i/>
          <w:iCs/>
          <w:szCs w:val="28"/>
        </w:rPr>
        <w:t>Operating Expenses Summary</w:t>
      </w:r>
    </w:p>
    <w:p w:rsidR="00D51180" w:rsidRPr="007C4AEA" w:rsidRDefault="00D51180" w:rsidP="004D51E9">
      <w:pPr>
        <w:jc w:val="both"/>
        <w:outlineLvl w:val="2"/>
        <w:rPr>
          <w:bCs/>
          <w:i/>
          <w:iCs/>
          <w:szCs w:val="28"/>
        </w:rPr>
      </w:pPr>
    </w:p>
    <w:p w:rsidR="004D51E9" w:rsidRDefault="00D51180" w:rsidP="00C678B0">
      <w:pPr>
        <w:jc w:val="both"/>
      </w:pPr>
      <w:r>
        <w:tab/>
      </w:r>
      <w:r w:rsidR="004D51E9" w:rsidRPr="004D51E9">
        <w:t xml:space="preserve">The application of </w:t>
      </w:r>
      <w:r w:rsidR="00C678B0">
        <w:t>our</w:t>
      </w:r>
      <w:r w:rsidR="004D51E9" w:rsidRPr="004D51E9">
        <w:t xml:space="preserve"> adjustments to Gator’s test year operating expenses results in operating expenses of $112,971. Operating expenses are shown on Schedule No. 3-A. The related adjustments are shown on Schedule Nos. 3-B and 3-C.</w:t>
      </w:r>
    </w:p>
    <w:p w:rsidR="00D51180" w:rsidRDefault="00D51180" w:rsidP="007C4AEA"/>
    <w:p w:rsidR="007C4AEA" w:rsidRPr="007C4AEA" w:rsidRDefault="007C4AEA" w:rsidP="007C4AEA">
      <w:pPr>
        <w:jc w:val="both"/>
        <w:rPr>
          <w:u w:val="single"/>
        </w:rPr>
      </w:pPr>
      <w:r>
        <w:rPr>
          <w:u w:val="single"/>
        </w:rPr>
        <w:t>8. Revenue Requirement</w:t>
      </w:r>
    </w:p>
    <w:p w:rsidR="007C4AEA" w:rsidRDefault="007C4AEA" w:rsidP="007C4AEA">
      <w:pPr>
        <w:jc w:val="both"/>
      </w:pPr>
    </w:p>
    <w:p w:rsidR="00D51180" w:rsidRDefault="007C4AEA" w:rsidP="007C4AEA">
      <w:pPr>
        <w:ind w:firstLine="720"/>
        <w:jc w:val="both"/>
      </w:pPr>
      <w:r>
        <w:t>We hereby find that t</w:t>
      </w:r>
      <w:r w:rsidRPr="00D51180">
        <w:t xml:space="preserve">he appropriate revenue requirement </w:t>
      </w:r>
      <w:r>
        <w:t xml:space="preserve">for Gator </w:t>
      </w:r>
      <w:r w:rsidRPr="00D51180">
        <w:t>is $156,046</w:t>
      </w:r>
      <w:r>
        <w:t xml:space="preserve">. </w:t>
      </w:r>
      <w:r w:rsidR="00D51180" w:rsidRPr="00D51180">
        <w:t>Gator sh</w:t>
      </w:r>
      <w:r w:rsidR="00687F8C">
        <w:t>all</w:t>
      </w:r>
      <w:r w:rsidR="00D51180" w:rsidRPr="00D51180">
        <w:t xml:space="preserve"> be allowed an annual increase of $99,265 (174.82 percent). The calculations are shown in Table </w:t>
      </w:r>
      <w:r w:rsidR="00BA461E">
        <w:t>7</w:t>
      </w:r>
      <w:r w:rsidR="00D51180" w:rsidRPr="00D51180">
        <w:t>:</w:t>
      </w:r>
    </w:p>
    <w:p w:rsidR="00BA461E" w:rsidRPr="00D51180" w:rsidRDefault="00BA461E" w:rsidP="007C4AEA">
      <w:pPr>
        <w:ind w:firstLine="720"/>
        <w:jc w:val="both"/>
      </w:pPr>
    </w:p>
    <w:p w:rsidR="00D51180" w:rsidRPr="00BA461E" w:rsidRDefault="00D51180" w:rsidP="00D51180">
      <w:pPr>
        <w:jc w:val="center"/>
        <w:rPr>
          <w:b/>
        </w:rPr>
      </w:pPr>
      <w:r w:rsidRPr="00BA461E">
        <w:rPr>
          <w:b/>
        </w:rPr>
        <w:t xml:space="preserve">Table </w:t>
      </w:r>
      <w:r w:rsidR="00BA461E" w:rsidRPr="00BA461E">
        <w:rPr>
          <w:b/>
        </w:rPr>
        <w:t>7</w:t>
      </w:r>
    </w:p>
    <w:p w:rsidR="00D51180" w:rsidRPr="00BA461E" w:rsidRDefault="00D51180" w:rsidP="00D51180">
      <w:pPr>
        <w:jc w:val="center"/>
        <w:rPr>
          <w:b/>
        </w:rPr>
      </w:pPr>
      <w:r w:rsidRPr="00BA461E">
        <w:rPr>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D51180" w:rsidRPr="00D51180" w:rsidTr="00266D41">
        <w:trPr>
          <w:cantSplit/>
          <w:jc w:val="center"/>
        </w:trPr>
        <w:tc>
          <w:tcPr>
            <w:tcW w:w="3681" w:type="dxa"/>
          </w:tcPr>
          <w:p w:rsidR="00D51180" w:rsidRPr="00D51180" w:rsidRDefault="00D51180" w:rsidP="00D51180">
            <w:pPr>
              <w:spacing w:before="116" w:after="44"/>
            </w:pPr>
            <w:r w:rsidRPr="00D51180">
              <w:t xml:space="preserve">Adjusted Rate Base </w:t>
            </w:r>
          </w:p>
        </w:tc>
        <w:tc>
          <w:tcPr>
            <w:tcW w:w="260" w:type="dxa"/>
          </w:tcPr>
          <w:p w:rsidR="00D51180" w:rsidRPr="00D51180" w:rsidRDefault="00D51180" w:rsidP="00D51180">
            <w:pPr>
              <w:spacing w:before="116" w:after="44"/>
              <w:jc w:val="center"/>
            </w:pPr>
          </w:p>
        </w:tc>
        <w:tc>
          <w:tcPr>
            <w:tcW w:w="1762" w:type="dxa"/>
            <w:tcBorders>
              <w:bottom w:val="nil"/>
            </w:tcBorders>
          </w:tcPr>
          <w:p w:rsidR="00D51180" w:rsidRPr="00D51180" w:rsidRDefault="00D51180" w:rsidP="00D51180">
            <w:pPr>
              <w:spacing w:before="116" w:after="44"/>
              <w:jc w:val="right"/>
            </w:pPr>
            <w:r w:rsidRPr="00D51180">
              <w:t>$548,722</w:t>
            </w:r>
          </w:p>
        </w:tc>
      </w:tr>
      <w:tr w:rsidR="00D51180" w:rsidRPr="00D51180" w:rsidTr="00266D41">
        <w:trPr>
          <w:cantSplit/>
          <w:jc w:val="center"/>
        </w:trPr>
        <w:tc>
          <w:tcPr>
            <w:tcW w:w="3681" w:type="dxa"/>
          </w:tcPr>
          <w:p w:rsidR="00D51180" w:rsidRPr="00D51180" w:rsidRDefault="00D51180" w:rsidP="00D51180">
            <w:pPr>
              <w:spacing w:before="116" w:after="44"/>
            </w:pPr>
            <w:r w:rsidRPr="00D51180">
              <w:t>Rate of Return (%)</w:t>
            </w:r>
          </w:p>
        </w:tc>
        <w:tc>
          <w:tcPr>
            <w:tcW w:w="260" w:type="dxa"/>
          </w:tcPr>
          <w:p w:rsidR="00D51180" w:rsidRPr="00D51180" w:rsidRDefault="00D51180" w:rsidP="00D51180">
            <w:pPr>
              <w:spacing w:before="116" w:after="44"/>
              <w:jc w:val="center"/>
            </w:pPr>
          </w:p>
        </w:tc>
        <w:tc>
          <w:tcPr>
            <w:tcW w:w="1762" w:type="dxa"/>
            <w:tcBorders>
              <w:top w:val="nil"/>
              <w:bottom w:val="nil"/>
            </w:tcBorders>
          </w:tcPr>
          <w:p w:rsidR="00D51180" w:rsidRPr="00D51180" w:rsidRDefault="00D51180" w:rsidP="00D51180">
            <w:pPr>
              <w:spacing w:before="116" w:after="44"/>
              <w:jc w:val="right"/>
            </w:pPr>
            <w:r w:rsidRPr="00266D41">
              <w:rPr>
                <w:u w:val="single"/>
              </w:rPr>
              <w:t>x 7.85%</w:t>
            </w:r>
          </w:p>
        </w:tc>
      </w:tr>
      <w:tr w:rsidR="00D51180" w:rsidRPr="00D51180" w:rsidTr="00266D41">
        <w:trPr>
          <w:cantSplit/>
          <w:jc w:val="center"/>
        </w:trPr>
        <w:tc>
          <w:tcPr>
            <w:tcW w:w="3681" w:type="dxa"/>
          </w:tcPr>
          <w:p w:rsidR="00D51180" w:rsidRPr="00D51180" w:rsidRDefault="00D51180" w:rsidP="00D51180">
            <w:pPr>
              <w:spacing w:before="116" w:after="44"/>
            </w:pPr>
            <w:r w:rsidRPr="00D51180">
              <w:t>Return on Rate Base</w:t>
            </w:r>
          </w:p>
        </w:tc>
        <w:tc>
          <w:tcPr>
            <w:tcW w:w="260" w:type="dxa"/>
          </w:tcPr>
          <w:p w:rsidR="00D51180" w:rsidRPr="00D51180" w:rsidRDefault="00D51180" w:rsidP="00D51180">
            <w:pPr>
              <w:spacing w:before="116" w:after="44"/>
              <w:jc w:val="center"/>
            </w:pPr>
          </w:p>
        </w:tc>
        <w:tc>
          <w:tcPr>
            <w:tcW w:w="1762" w:type="dxa"/>
            <w:tcBorders>
              <w:top w:val="nil"/>
            </w:tcBorders>
          </w:tcPr>
          <w:p w:rsidR="00D51180" w:rsidRPr="00D51180" w:rsidRDefault="00D51180" w:rsidP="00D51180">
            <w:pPr>
              <w:spacing w:before="116" w:after="44"/>
              <w:jc w:val="right"/>
            </w:pPr>
            <w:r w:rsidRPr="00D51180">
              <w:t>$43,075</w:t>
            </w:r>
          </w:p>
        </w:tc>
      </w:tr>
      <w:tr w:rsidR="00D51180" w:rsidRPr="00D51180" w:rsidTr="00A560AB">
        <w:trPr>
          <w:cantSplit/>
          <w:jc w:val="center"/>
        </w:trPr>
        <w:tc>
          <w:tcPr>
            <w:tcW w:w="3681" w:type="dxa"/>
          </w:tcPr>
          <w:p w:rsidR="00D51180" w:rsidRPr="00D51180" w:rsidRDefault="00D51180" w:rsidP="00D51180">
            <w:pPr>
              <w:spacing w:before="116" w:after="44"/>
            </w:pPr>
            <w:r w:rsidRPr="00D51180">
              <w:t>Adjusted O&amp;M Expense</w:t>
            </w:r>
          </w:p>
        </w:tc>
        <w:tc>
          <w:tcPr>
            <w:tcW w:w="260" w:type="dxa"/>
          </w:tcPr>
          <w:p w:rsidR="00D51180" w:rsidRPr="00D51180" w:rsidRDefault="00D51180" w:rsidP="00D51180">
            <w:pPr>
              <w:spacing w:before="116" w:after="44"/>
              <w:jc w:val="center"/>
            </w:pPr>
          </w:p>
        </w:tc>
        <w:tc>
          <w:tcPr>
            <w:tcW w:w="1762" w:type="dxa"/>
          </w:tcPr>
          <w:p w:rsidR="00D51180" w:rsidRPr="00D51180" w:rsidRDefault="00D51180" w:rsidP="00D51180">
            <w:pPr>
              <w:spacing w:before="116" w:after="44"/>
              <w:jc w:val="right"/>
            </w:pPr>
            <w:r w:rsidRPr="00D51180">
              <w:t>74,658</w:t>
            </w:r>
          </w:p>
        </w:tc>
      </w:tr>
      <w:tr w:rsidR="00D51180" w:rsidRPr="00D51180" w:rsidTr="00266D41">
        <w:trPr>
          <w:cantSplit/>
          <w:jc w:val="center"/>
        </w:trPr>
        <w:tc>
          <w:tcPr>
            <w:tcW w:w="3681" w:type="dxa"/>
            <w:tcBorders>
              <w:bottom w:val="nil"/>
            </w:tcBorders>
          </w:tcPr>
          <w:p w:rsidR="00D51180" w:rsidRPr="00D51180" w:rsidRDefault="00D51180" w:rsidP="00D51180">
            <w:pPr>
              <w:spacing w:before="116" w:after="44"/>
            </w:pPr>
            <w:r w:rsidRPr="00D51180">
              <w:t xml:space="preserve">Depreciation Expense (Net) </w:t>
            </w:r>
          </w:p>
        </w:tc>
        <w:tc>
          <w:tcPr>
            <w:tcW w:w="260" w:type="dxa"/>
            <w:tcBorders>
              <w:bottom w:val="nil"/>
            </w:tcBorders>
          </w:tcPr>
          <w:p w:rsidR="00D51180" w:rsidRPr="00D51180" w:rsidRDefault="00D51180" w:rsidP="00D51180">
            <w:pPr>
              <w:spacing w:before="116" w:after="44"/>
              <w:jc w:val="center"/>
            </w:pPr>
          </w:p>
        </w:tc>
        <w:tc>
          <w:tcPr>
            <w:tcW w:w="1762" w:type="dxa"/>
            <w:tcBorders>
              <w:bottom w:val="nil"/>
            </w:tcBorders>
          </w:tcPr>
          <w:p w:rsidR="00D51180" w:rsidRPr="00D51180" w:rsidRDefault="00D51180" w:rsidP="00D51180">
            <w:pPr>
              <w:spacing w:before="116" w:after="44"/>
              <w:jc w:val="right"/>
            </w:pPr>
            <w:r w:rsidRPr="00D51180">
              <w:t>17,399</w:t>
            </w:r>
          </w:p>
        </w:tc>
      </w:tr>
      <w:tr w:rsidR="00D51180" w:rsidRPr="00D51180" w:rsidTr="00266D41">
        <w:trPr>
          <w:cantSplit/>
          <w:jc w:val="center"/>
        </w:trPr>
        <w:tc>
          <w:tcPr>
            <w:tcW w:w="3681" w:type="dxa"/>
            <w:tcBorders>
              <w:top w:val="nil"/>
              <w:bottom w:val="nil"/>
            </w:tcBorders>
          </w:tcPr>
          <w:p w:rsidR="00D51180" w:rsidRPr="00D51180" w:rsidRDefault="00D51180" w:rsidP="00D51180">
            <w:pPr>
              <w:spacing w:before="116" w:after="44"/>
            </w:pPr>
            <w:r w:rsidRPr="00D51180">
              <w:t>Taxes Other Than Income</w:t>
            </w:r>
          </w:p>
        </w:tc>
        <w:tc>
          <w:tcPr>
            <w:tcW w:w="260" w:type="dxa"/>
            <w:tcBorders>
              <w:top w:val="nil"/>
              <w:bottom w:val="nil"/>
            </w:tcBorders>
          </w:tcPr>
          <w:p w:rsidR="00D51180" w:rsidRPr="00D51180" w:rsidRDefault="00D51180" w:rsidP="00D51180">
            <w:pPr>
              <w:spacing w:before="116" w:after="44"/>
              <w:jc w:val="center"/>
            </w:pPr>
          </w:p>
        </w:tc>
        <w:tc>
          <w:tcPr>
            <w:tcW w:w="1762" w:type="dxa"/>
            <w:tcBorders>
              <w:top w:val="nil"/>
              <w:bottom w:val="nil"/>
            </w:tcBorders>
          </w:tcPr>
          <w:p w:rsidR="00D51180" w:rsidRPr="00266D41" w:rsidRDefault="00D51180" w:rsidP="00D51180">
            <w:pPr>
              <w:spacing w:before="116" w:after="44"/>
              <w:jc w:val="right"/>
              <w:rPr>
                <w:u w:val="single"/>
              </w:rPr>
            </w:pPr>
            <w:r w:rsidRPr="00266D41">
              <w:rPr>
                <w:u w:val="single"/>
              </w:rPr>
              <w:t>20,914</w:t>
            </w:r>
          </w:p>
        </w:tc>
      </w:tr>
      <w:tr w:rsidR="00D51180" w:rsidRPr="00D51180" w:rsidTr="00266D41">
        <w:trPr>
          <w:cantSplit/>
          <w:jc w:val="center"/>
        </w:trPr>
        <w:tc>
          <w:tcPr>
            <w:tcW w:w="3681" w:type="dxa"/>
            <w:tcBorders>
              <w:top w:val="nil"/>
            </w:tcBorders>
          </w:tcPr>
          <w:p w:rsidR="00D51180" w:rsidRPr="00D51180" w:rsidRDefault="00D51180" w:rsidP="00D51180">
            <w:pPr>
              <w:spacing w:before="116" w:after="44"/>
            </w:pPr>
            <w:r w:rsidRPr="00D51180">
              <w:t xml:space="preserve">Revenue Requirement </w:t>
            </w:r>
          </w:p>
        </w:tc>
        <w:tc>
          <w:tcPr>
            <w:tcW w:w="260" w:type="dxa"/>
            <w:tcBorders>
              <w:top w:val="nil"/>
            </w:tcBorders>
          </w:tcPr>
          <w:p w:rsidR="00D51180" w:rsidRPr="00D51180" w:rsidRDefault="00D51180" w:rsidP="00D51180">
            <w:pPr>
              <w:spacing w:before="116" w:after="44"/>
              <w:jc w:val="center"/>
            </w:pPr>
          </w:p>
        </w:tc>
        <w:tc>
          <w:tcPr>
            <w:tcW w:w="1762" w:type="dxa"/>
            <w:tcBorders>
              <w:top w:val="nil"/>
              <w:bottom w:val="nil"/>
            </w:tcBorders>
          </w:tcPr>
          <w:p w:rsidR="00D51180" w:rsidRPr="00D51180" w:rsidRDefault="00D51180" w:rsidP="00D51180">
            <w:pPr>
              <w:spacing w:before="116" w:after="44"/>
              <w:jc w:val="right"/>
            </w:pPr>
            <w:r w:rsidRPr="00D51180">
              <w:t>$156,046</w:t>
            </w:r>
          </w:p>
        </w:tc>
      </w:tr>
      <w:tr w:rsidR="00D51180" w:rsidRPr="00D51180" w:rsidTr="00266D41">
        <w:trPr>
          <w:cantSplit/>
          <w:jc w:val="center"/>
        </w:trPr>
        <w:tc>
          <w:tcPr>
            <w:tcW w:w="3681" w:type="dxa"/>
          </w:tcPr>
          <w:p w:rsidR="00D51180" w:rsidRPr="00D51180" w:rsidRDefault="00D51180" w:rsidP="00D51180">
            <w:pPr>
              <w:spacing w:before="116" w:after="44"/>
            </w:pPr>
            <w:r w:rsidRPr="00D51180">
              <w:t>Less Adjusted Test Year Revenues</w:t>
            </w:r>
          </w:p>
        </w:tc>
        <w:tc>
          <w:tcPr>
            <w:tcW w:w="260" w:type="dxa"/>
          </w:tcPr>
          <w:p w:rsidR="00D51180" w:rsidRPr="00D51180" w:rsidRDefault="00D51180" w:rsidP="00D51180">
            <w:pPr>
              <w:spacing w:before="116" w:after="44"/>
              <w:jc w:val="center"/>
            </w:pPr>
          </w:p>
        </w:tc>
        <w:tc>
          <w:tcPr>
            <w:tcW w:w="1762" w:type="dxa"/>
            <w:tcBorders>
              <w:top w:val="nil"/>
              <w:bottom w:val="nil"/>
            </w:tcBorders>
          </w:tcPr>
          <w:p w:rsidR="00D51180" w:rsidRPr="00266D41" w:rsidRDefault="00D51180" w:rsidP="00D51180">
            <w:pPr>
              <w:spacing w:before="116" w:after="44"/>
              <w:jc w:val="right"/>
              <w:rPr>
                <w:u w:val="single"/>
              </w:rPr>
            </w:pPr>
            <w:r w:rsidRPr="00266D41">
              <w:rPr>
                <w:u w:val="single"/>
              </w:rPr>
              <w:t>56,781</w:t>
            </w:r>
          </w:p>
        </w:tc>
      </w:tr>
      <w:tr w:rsidR="00D51180" w:rsidRPr="00D51180" w:rsidTr="00266D41">
        <w:trPr>
          <w:cantSplit/>
          <w:jc w:val="center"/>
        </w:trPr>
        <w:tc>
          <w:tcPr>
            <w:tcW w:w="3681" w:type="dxa"/>
          </w:tcPr>
          <w:p w:rsidR="00D51180" w:rsidRPr="00D51180" w:rsidRDefault="00D51180" w:rsidP="00D51180">
            <w:pPr>
              <w:spacing w:before="116" w:after="44"/>
            </w:pPr>
            <w:r w:rsidRPr="00D51180">
              <w:t>Annual Increase</w:t>
            </w:r>
          </w:p>
        </w:tc>
        <w:tc>
          <w:tcPr>
            <w:tcW w:w="260" w:type="dxa"/>
          </w:tcPr>
          <w:p w:rsidR="00D51180" w:rsidRPr="00D51180" w:rsidRDefault="00D51180" w:rsidP="00D51180">
            <w:pPr>
              <w:spacing w:before="116" w:after="44"/>
              <w:jc w:val="center"/>
            </w:pPr>
          </w:p>
        </w:tc>
        <w:tc>
          <w:tcPr>
            <w:tcW w:w="1762" w:type="dxa"/>
            <w:tcBorders>
              <w:top w:val="nil"/>
            </w:tcBorders>
          </w:tcPr>
          <w:p w:rsidR="00D51180" w:rsidRPr="00D51180" w:rsidRDefault="00D51180" w:rsidP="00D51180">
            <w:pPr>
              <w:spacing w:before="116" w:after="44"/>
              <w:jc w:val="right"/>
            </w:pPr>
            <w:r w:rsidRPr="00D51180">
              <w:rPr>
                <w:u w:val="double"/>
              </w:rPr>
              <w:t>$99,265</w:t>
            </w:r>
          </w:p>
        </w:tc>
      </w:tr>
      <w:tr w:rsidR="00D51180" w:rsidRPr="00D51180" w:rsidTr="00A560AB">
        <w:trPr>
          <w:cantSplit/>
          <w:jc w:val="center"/>
        </w:trPr>
        <w:tc>
          <w:tcPr>
            <w:tcW w:w="3681" w:type="dxa"/>
          </w:tcPr>
          <w:p w:rsidR="00D51180" w:rsidRPr="00D51180" w:rsidRDefault="00D51180" w:rsidP="007C4AEA">
            <w:pPr>
              <w:spacing w:before="116"/>
            </w:pPr>
            <w:r w:rsidRPr="00D51180">
              <w:t>Percent Increase</w:t>
            </w:r>
          </w:p>
        </w:tc>
        <w:tc>
          <w:tcPr>
            <w:tcW w:w="260" w:type="dxa"/>
          </w:tcPr>
          <w:p w:rsidR="00D51180" w:rsidRPr="00D51180" w:rsidRDefault="00D51180" w:rsidP="007C4AEA">
            <w:pPr>
              <w:spacing w:before="116"/>
              <w:jc w:val="center"/>
            </w:pPr>
          </w:p>
        </w:tc>
        <w:tc>
          <w:tcPr>
            <w:tcW w:w="1762" w:type="dxa"/>
          </w:tcPr>
          <w:p w:rsidR="00D51180" w:rsidRPr="00D51180" w:rsidRDefault="00D51180" w:rsidP="007C4AEA">
            <w:pPr>
              <w:spacing w:before="116"/>
              <w:jc w:val="right"/>
              <w:rPr>
                <w:u w:val="double"/>
              </w:rPr>
            </w:pPr>
            <w:r w:rsidRPr="00D51180">
              <w:rPr>
                <w:u w:val="double"/>
              </w:rPr>
              <w:t>174.82%</w:t>
            </w:r>
          </w:p>
        </w:tc>
      </w:tr>
    </w:tbl>
    <w:p w:rsidR="00D51180" w:rsidRDefault="00D51180" w:rsidP="007C4AEA">
      <w:pPr>
        <w:jc w:val="both"/>
      </w:pPr>
    </w:p>
    <w:p w:rsidR="007C4AEA" w:rsidRDefault="007C4AEA" w:rsidP="007C4AEA">
      <w:pPr>
        <w:jc w:val="both"/>
        <w:rPr>
          <w:u w:val="single"/>
        </w:rPr>
      </w:pPr>
      <w:r>
        <w:rPr>
          <w:u w:val="single"/>
        </w:rPr>
        <w:t>9. Rates and Rate Structure</w:t>
      </w:r>
    </w:p>
    <w:p w:rsidR="007C4AEA" w:rsidRPr="007C4AEA" w:rsidRDefault="007C4AEA" w:rsidP="007C4AEA">
      <w:pPr>
        <w:jc w:val="both"/>
        <w:rPr>
          <w:u w:val="single"/>
        </w:rPr>
      </w:pPr>
    </w:p>
    <w:p w:rsidR="00D51180" w:rsidRPr="00D51180" w:rsidRDefault="00D51180" w:rsidP="007C4AEA">
      <w:pPr>
        <w:spacing w:after="240"/>
        <w:ind w:firstLine="720"/>
        <w:jc w:val="both"/>
      </w:pPr>
      <w:r w:rsidRPr="00D51180">
        <w:t xml:space="preserve">Gator is located in Alachua County within the St. Johns River Water Management District. This area has been designated as a water use caution area. The utility provides water service to approximately 331 residential customers and four general service customers. Approximately 20 percent of the residential customer bills during the test year had zero gallons, indicating a non-seasonal customer base. The average residential water demand is 6,181 gallons per month. The average water demand excluding zero gallon bills is 7,683 gallons per month. Currently, the utility’s water rate structure consists of a monthly base facility charge (BFC) and uniform gallonage charge for the residential and general service customers. </w:t>
      </w:r>
    </w:p>
    <w:p w:rsidR="00D51180" w:rsidRPr="00D51180" w:rsidRDefault="00D51180" w:rsidP="00D51180">
      <w:pPr>
        <w:jc w:val="both"/>
      </w:pPr>
      <w:r>
        <w:tab/>
      </w:r>
      <w:r w:rsidR="00BA461E">
        <w:t>We</w:t>
      </w:r>
      <w:r w:rsidRPr="00D51180">
        <w:t xml:space="preserve"> performed an analysis of the utility’s billing data in order to evaluate the appropriate rate structure for the residential water customers. The goal of the evaluation was to select the rate design parameters that: (1) produce the </w:t>
      </w:r>
      <w:r w:rsidR="00BE5390">
        <w:t>approved</w:t>
      </w:r>
      <w:r w:rsidRPr="00D51180">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BA461E">
        <w:t>our</w:t>
      </w:r>
      <w:r w:rsidRPr="00D51180">
        <w:t xml:space="preserve"> practice.</w:t>
      </w:r>
    </w:p>
    <w:p w:rsidR="00D51180" w:rsidRPr="00D51180" w:rsidRDefault="00D51180" w:rsidP="00D51180">
      <w:pPr>
        <w:jc w:val="both"/>
      </w:pPr>
    </w:p>
    <w:p w:rsidR="00D51180" w:rsidRPr="00D51180" w:rsidRDefault="00D51180" w:rsidP="00D51180">
      <w:pPr>
        <w:jc w:val="both"/>
      </w:pPr>
      <w:r>
        <w:tab/>
      </w:r>
      <w:r w:rsidRPr="00D51180">
        <w:t xml:space="preserve">In this case, </w:t>
      </w:r>
      <w:r w:rsidR="00BA461E">
        <w:t>we find</w:t>
      </w:r>
      <w:r w:rsidRPr="00D51180">
        <w:t xml:space="preserve"> that 33 percent of the water revenues </w:t>
      </w:r>
      <w:r w:rsidR="00BA461E">
        <w:t xml:space="preserve">shall </w:t>
      </w:r>
      <w:r w:rsidRPr="00D51180">
        <w:t>be generated from the BFC, which will provide sufficient revenues to design gallonage charges that send pricing signals to customers using above the non-discretionary level. The average people per household served by the water system is 3; therefore, based on the number of people per household, 50 gallons per day per person, and the number of days per month, the non-discretionary usage threshold should be 5,000 gallons per month.</w:t>
      </w:r>
      <w:r w:rsidRPr="00D51180">
        <w:rPr>
          <w:vertAlign w:val="superscript"/>
        </w:rPr>
        <w:footnoteReference w:id="28"/>
      </w:r>
      <w:r w:rsidRPr="00D51180">
        <w:t xml:space="preserve"> </w:t>
      </w:r>
      <w:r w:rsidR="00BA461E">
        <w:t>Our</w:t>
      </w:r>
      <w:r w:rsidRPr="00D51180">
        <w:t xml:space="preserve"> review of the billing analysis indicates that the discretionary usage above 5,000 represents 30 percent of the bills, which account for approximately 53 percent of the water demand. This is considered high discretionary usage for this customer base. </w:t>
      </w:r>
      <w:r w:rsidR="00BA461E">
        <w:t>We also find that</w:t>
      </w:r>
      <w:r w:rsidRPr="00D51180">
        <w:t xml:space="preserve"> a BFC and a four-tier inclining block rate structure, which includes separate gallonage charges for discretionary and non-discretionary usage for residential water customers</w:t>
      </w:r>
      <w:r w:rsidR="00BA461E">
        <w:t xml:space="preserve"> is appropriate</w:t>
      </w:r>
      <w:r w:rsidRPr="00D51180">
        <w:t>. The rate blocks are: (1) 0-5,000 gallons; (2) 5,001-10,000 gallons; (3) 10,000-15,000 gallons and (4) all usage in excess of 15,000 gallons per month. This rate structure sends the appropriate pricing signals because it targets customers with high consumption levels and minimizes price increases for customers at non-discretionary levels. In addition, the fourth tier provides an additional pricing signal to customers using in excess of 15,000 gallons of water per month, which represents approximately 30 percent of the usage. General service customers sh</w:t>
      </w:r>
      <w:r w:rsidR="00BA461E">
        <w:t>all</w:t>
      </w:r>
      <w:r w:rsidRPr="00D51180">
        <w:t xml:space="preserve"> be billed a BFC and uniform gallonage charge. </w:t>
      </w:r>
    </w:p>
    <w:p w:rsidR="00D51180" w:rsidRPr="00D51180" w:rsidRDefault="00D51180" w:rsidP="00D51180">
      <w:pPr>
        <w:jc w:val="both"/>
      </w:pPr>
    </w:p>
    <w:p w:rsidR="00D51180" w:rsidRPr="00D51180" w:rsidRDefault="00D51180" w:rsidP="00D51180">
      <w:pPr>
        <w:spacing w:after="240"/>
        <w:jc w:val="both"/>
      </w:pPr>
      <w:r>
        <w:tab/>
      </w:r>
      <w:r w:rsidRPr="00D51180">
        <w:t xml:space="preserve">Based on </w:t>
      </w:r>
      <w:r w:rsidR="00BA461E">
        <w:t>the approved</w:t>
      </w:r>
      <w:r w:rsidRPr="00D51180">
        <w:t xml:space="preserve"> revenue increase of 190 percent, which excludes miscellaneous revenues, the residential consumption can be expected to decline by 12,681,000 gallons resulting in anticipated average residential demand of 3,065 gallons per month.  </w:t>
      </w:r>
      <w:r w:rsidR="00BA461E">
        <w:t>We find that</w:t>
      </w:r>
      <w:r w:rsidRPr="00D51180">
        <w:t xml:space="preserve"> a 50.4 percent reduction in test year residential gallons for ratesetting purposes</w:t>
      </w:r>
      <w:r w:rsidR="00BA461E">
        <w:t xml:space="preserve"> is appropriate</w:t>
      </w:r>
      <w:r w:rsidRPr="00D51180">
        <w:t xml:space="preserve">. Typically, </w:t>
      </w:r>
      <w:r w:rsidR="00BA461E">
        <w:t>we make</w:t>
      </w:r>
      <w:r w:rsidRPr="00D51180">
        <w:t xml:space="preserve"> corresponding adjustments to variable costs, which are consistent with the percentage reduction in consumption. However, the utility expressed concern that there may not be a direct relationship between the consumption repressed and the adjustments to variable costs. </w:t>
      </w:r>
      <w:r w:rsidR="00BA461E">
        <w:t>We recognize</w:t>
      </w:r>
      <w:r w:rsidRPr="00D51180">
        <w:t xml:space="preserve"> that the utility may experience a revenue short fall if there is not a direct relationship as anticipated. Therefore, </w:t>
      </w:r>
      <w:r w:rsidR="00BA461E">
        <w:t>we find that</w:t>
      </w:r>
      <w:r w:rsidRPr="00D51180">
        <w:t xml:space="preserve"> only a 25 percent reduction to purchased power and chemical expenses</w:t>
      </w:r>
      <w:r w:rsidR="00BA461E">
        <w:t xml:space="preserve"> is appropriate</w:t>
      </w:r>
      <w:r w:rsidRPr="00D51180">
        <w:t xml:space="preserve">. As a result, the corresponding reductions </w:t>
      </w:r>
      <w:r w:rsidR="00063934">
        <w:t>are</w:t>
      </w:r>
      <w:r w:rsidRPr="00D51180">
        <w:t xml:space="preserve"> </w:t>
      </w:r>
      <w:r w:rsidR="00063934" w:rsidRPr="00D51180">
        <w:t>$3,184</w:t>
      </w:r>
      <w:r w:rsidR="00063934">
        <w:t xml:space="preserve"> for </w:t>
      </w:r>
      <w:r w:rsidRPr="00D51180">
        <w:t>purchased power, $165 for chemicals, and $158 for RAFs to reflect the anticipated repression, which results in a post repression revenue requirement of $141,739.</w:t>
      </w:r>
    </w:p>
    <w:p w:rsidR="00D51180" w:rsidRPr="00D51180" w:rsidRDefault="00D51180" w:rsidP="00D51180">
      <w:pPr>
        <w:spacing w:after="240"/>
        <w:jc w:val="both"/>
      </w:pPr>
      <w:r>
        <w:tab/>
      </w:r>
      <w:r w:rsidRPr="00D51180">
        <w:t xml:space="preserve">The </w:t>
      </w:r>
      <w:r w:rsidR="005D755A">
        <w:t>approved</w:t>
      </w:r>
      <w:r w:rsidRPr="00D51180">
        <w:t xml:space="preserve"> rate structures and monthly water rates are shown on Schedule No. 4. The utility sh</w:t>
      </w:r>
      <w:r w:rsidR="00063934">
        <w:t>all</w:t>
      </w:r>
      <w:r w:rsidRPr="00D51180">
        <w:t xml:space="preserve"> file revised tariff sheets and a proposed customer notice to reflect the Commission-approved rates. The approved rates sh</w:t>
      </w:r>
      <w:r w:rsidR="00063934">
        <w:t>all</w:t>
      </w:r>
      <w:r w:rsidRPr="00D51180">
        <w:t xml:space="preserve"> be effective for service rendered on or after the stamped approval date on the tariff sheet pursuant to Rule 25-30.475(1), F.A.C. In addition, the approved rates sh</w:t>
      </w:r>
      <w:r w:rsidR="00063934">
        <w:t>all</w:t>
      </w:r>
      <w:r w:rsidRPr="00D51180">
        <w:t xml:space="preserve"> not be implemented until </w:t>
      </w:r>
      <w:r w:rsidR="00063934">
        <w:t xml:space="preserve">our </w:t>
      </w:r>
      <w:r w:rsidRPr="00D51180">
        <w:t>staff has approved the proposed customer notice and the notice has been received by the customers. The utility sh</w:t>
      </w:r>
      <w:r w:rsidR="00063934">
        <w:t>all</w:t>
      </w:r>
      <w:r w:rsidRPr="00D51180">
        <w:t xml:space="preserve"> provide proof of the date notice was given within 10 days of the date of the notice.</w:t>
      </w:r>
    </w:p>
    <w:p w:rsidR="00D51180" w:rsidRDefault="00D51180" w:rsidP="00063934">
      <w:pPr>
        <w:jc w:val="both"/>
      </w:pPr>
      <w:r>
        <w:tab/>
      </w:r>
      <w:r w:rsidRPr="00D51180">
        <w:t xml:space="preserve">Furthermore, due to the magnitude of the revenue requirement increase, </w:t>
      </w:r>
      <w:r w:rsidR="00063934">
        <w:t>we believe</w:t>
      </w:r>
      <w:r w:rsidRPr="00D51180">
        <w:t xml:space="preserve"> it is important to monitor whether the customers reduce consumption as expected. Therefore, the utility sh</w:t>
      </w:r>
      <w:r w:rsidR="00063934">
        <w:t>all</w:t>
      </w:r>
      <w:r w:rsidRPr="00D51180">
        <w:t xml:space="preserve"> prepare monthly reports detailing the number of bills rendered, the consumption billed, and the revenues billed. The utility sh</w:t>
      </w:r>
      <w:r w:rsidR="00063934">
        <w:t>all</w:t>
      </w:r>
      <w:r w:rsidRPr="00D51180">
        <w:t xml:space="preserve"> also provide the corresponding purchased power invoices. The reports sh</w:t>
      </w:r>
      <w:r w:rsidR="00063934">
        <w:t>all</w:t>
      </w:r>
      <w:r w:rsidRPr="00D51180">
        <w:t xml:space="preserve"> be filed in the docket file, on a quarterly basis, for a period of twelve months beginning </w:t>
      </w:r>
      <w:r w:rsidR="00063934">
        <w:t xml:space="preserve">with </w:t>
      </w:r>
      <w:r w:rsidRPr="00D51180">
        <w:t>the first billing period after the approved rates go into effect. To the extent the utility makes adjustment to consumption in any month during the reporting period, the utility sh</w:t>
      </w:r>
      <w:r w:rsidR="00063934">
        <w:t>all</w:t>
      </w:r>
      <w:r w:rsidRPr="00D51180">
        <w:t xml:space="preserve"> file a revised monthly report for that month w</w:t>
      </w:r>
      <w:r w:rsidR="00063934">
        <w:t>ithin 30 days of any revision. Our s</w:t>
      </w:r>
      <w:r w:rsidRPr="00D51180">
        <w:t>taff will monitor and evaluate whether any adjustments to rates are necessary.</w:t>
      </w:r>
    </w:p>
    <w:p w:rsidR="00063934" w:rsidRDefault="00063934" w:rsidP="00063934">
      <w:pPr>
        <w:jc w:val="both"/>
      </w:pPr>
    </w:p>
    <w:p w:rsidR="00063934" w:rsidRDefault="00063934" w:rsidP="00063934">
      <w:pPr>
        <w:jc w:val="both"/>
      </w:pPr>
    </w:p>
    <w:p w:rsidR="00063934" w:rsidRDefault="00063934" w:rsidP="00063934">
      <w:pPr>
        <w:jc w:val="both"/>
      </w:pPr>
    </w:p>
    <w:p w:rsidR="00D51180" w:rsidRDefault="00D51180" w:rsidP="00D51180"/>
    <w:p w:rsidR="007C4AEA" w:rsidRPr="007C4AEA" w:rsidRDefault="007C4AEA" w:rsidP="00D51180">
      <w:pPr>
        <w:jc w:val="both"/>
        <w:rPr>
          <w:u w:val="single"/>
        </w:rPr>
      </w:pPr>
      <w:r>
        <w:rPr>
          <w:u w:val="single"/>
        </w:rPr>
        <w:t>10. Customer Deposits</w:t>
      </w:r>
    </w:p>
    <w:p w:rsidR="007C4AEA" w:rsidRDefault="007C4AEA" w:rsidP="00D51180">
      <w:pPr>
        <w:jc w:val="both"/>
      </w:pPr>
    </w:p>
    <w:p w:rsidR="00D51180" w:rsidRPr="00D51180" w:rsidRDefault="00D51180" w:rsidP="007C4AEA">
      <w:pPr>
        <w:ind w:firstLine="720"/>
        <w:jc w:val="both"/>
      </w:pPr>
      <w:r w:rsidRPr="00D51180">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9D168B">
        <w:t>we have</w:t>
      </w:r>
      <w:r w:rsidRPr="00D51180">
        <w:t xml:space="preserve"> set initial customer deposits equal to two times the average estimated bill.</w:t>
      </w:r>
      <w:r w:rsidRPr="00D51180">
        <w:rPr>
          <w:color w:val="000000"/>
          <w:vertAlign w:val="superscript"/>
        </w:rPr>
        <w:footnoteReference w:id="29"/>
      </w:r>
      <w:r w:rsidRPr="00D51180">
        <w:rPr>
          <w:color w:val="000000"/>
        </w:rPr>
        <w:t xml:space="preserve"> </w:t>
      </w:r>
      <w:r w:rsidRPr="00D51180">
        <w:t xml:space="preserve">Currently, the utility’s initial deposit for residential water is $25 for the 5/8 inch x 3/4 inch meter size and two times the average estimated bill for the general service meter sizes. However, this amount does not cover two months’ average bills based on </w:t>
      </w:r>
      <w:r w:rsidR="00074FE8">
        <w:t>the approved</w:t>
      </w:r>
      <w:r w:rsidRPr="00D51180">
        <w:t xml:space="preserve"> rates. The utility’s average monthly residential water usage after repression is 3,065 gallons per customer. Therefore, the average residential monthly bill based on </w:t>
      </w:r>
      <w:r w:rsidR="00074FE8">
        <w:t>the approved</w:t>
      </w:r>
      <w:r w:rsidRPr="00D51180">
        <w:t xml:space="preserve"> rates is approximately $32.90.  </w:t>
      </w:r>
    </w:p>
    <w:p w:rsidR="00D51180" w:rsidRPr="00D51180" w:rsidRDefault="00D51180" w:rsidP="00D51180">
      <w:pPr>
        <w:jc w:val="both"/>
      </w:pPr>
    </w:p>
    <w:p w:rsidR="00D51180" w:rsidRDefault="00D51180" w:rsidP="00074FE8">
      <w:pPr>
        <w:jc w:val="both"/>
      </w:pPr>
      <w:r>
        <w:tab/>
      </w:r>
      <w:r w:rsidR="00074FE8">
        <w:t>We find that</w:t>
      </w:r>
      <w:r w:rsidRPr="00D51180">
        <w:t xml:space="preserve"> the appropriate initial customer deposits sh</w:t>
      </w:r>
      <w:r w:rsidR="00074FE8">
        <w:t>all</w:t>
      </w:r>
      <w:r w:rsidRPr="00D51180">
        <w:t xml:space="preserve"> be $66 for the residential 5/8 inch x 3/4 inch meter size for water. The initial customer deposits for all other residential meter sizes and all general service meter sizes sh</w:t>
      </w:r>
      <w:r w:rsidR="00074FE8">
        <w:t>all</w:t>
      </w:r>
      <w:r w:rsidRPr="00D51180">
        <w:t xml:space="preserve"> be two times the average estimated bill for water. The approved initial customer deposits sh</w:t>
      </w:r>
      <w:r w:rsidR="00074FE8">
        <w:t>all</w:t>
      </w:r>
      <w:r w:rsidRPr="00D51180">
        <w:t xml:space="preserve"> be effective for services rendered or connections made on or after the stamped approval date on the tariff sheets pursuant to Rule 25-30.475, F.A.C. The utility sh</w:t>
      </w:r>
      <w:r w:rsidR="00074FE8">
        <w:t>all</w:t>
      </w:r>
      <w:r w:rsidRPr="00D51180">
        <w:t xml:space="preserve"> be required to collect the approved deposits until </w:t>
      </w:r>
      <w:r w:rsidR="00074FE8">
        <w:t xml:space="preserve">we </w:t>
      </w:r>
      <w:r w:rsidRPr="00D51180">
        <w:t>authorize</w:t>
      </w:r>
      <w:r w:rsidR="00074FE8">
        <w:t xml:space="preserve"> Gator</w:t>
      </w:r>
      <w:r w:rsidRPr="00D51180">
        <w:t xml:space="preserve"> to change them in a subsequent proceeding.</w:t>
      </w:r>
    </w:p>
    <w:p w:rsidR="00D51180" w:rsidRDefault="00D51180" w:rsidP="00A629C7"/>
    <w:p w:rsidR="00A629C7" w:rsidRDefault="00A629C7" w:rsidP="00A629C7">
      <w:pPr>
        <w:keepNext/>
        <w:jc w:val="both"/>
        <w:outlineLvl w:val="1"/>
        <w:rPr>
          <w:u w:val="single"/>
        </w:rPr>
      </w:pPr>
      <w:r>
        <w:rPr>
          <w:u w:val="single"/>
        </w:rPr>
        <w:t>11. Non-Sufficient Funds (NSF) Charges</w:t>
      </w:r>
    </w:p>
    <w:p w:rsidR="00A629C7" w:rsidRPr="00A629C7" w:rsidRDefault="00A629C7" w:rsidP="00A629C7">
      <w:pPr>
        <w:keepNext/>
        <w:jc w:val="both"/>
        <w:outlineLvl w:val="1"/>
        <w:rPr>
          <w:u w:val="single"/>
        </w:rPr>
      </w:pPr>
    </w:p>
    <w:p w:rsidR="00D51180" w:rsidRDefault="00D51180" w:rsidP="00A629C7">
      <w:pPr>
        <w:keepNext/>
        <w:ind w:firstLine="720"/>
        <w:jc w:val="both"/>
        <w:outlineLvl w:val="1"/>
      </w:pPr>
      <w:r w:rsidRPr="00D51180">
        <w:t xml:space="preserve">Section 367.091, F.S., requires that </w:t>
      </w:r>
      <w:r w:rsidR="00074FE8">
        <w:t xml:space="preserve">we approve a utility’s </w:t>
      </w:r>
      <w:r w:rsidRPr="00D51180">
        <w:t xml:space="preserve">rates, charges, and customer service policies. </w:t>
      </w:r>
      <w:r w:rsidR="00074FE8">
        <w:t>We have</w:t>
      </w:r>
      <w:r w:rsidRPr="00D51180">
        <w:t xml:space="preserve"> authority to establish, increase, or change a rate or charge. </w:t>
      </w:r>
      <w:r w:rsidR="00074FE8" w:rsidRPr="00D51180">
        <w:t>Section 68.065, F.S., allows for the assessment of charges for the collection of worthless checks, drafts, or orders of payment.</w:t>
      </w:r>
      <w:r w:rsidR="00074FE8">
        <w:t xml:space="preserve"> </w:t>
      </w:r>
      <w:r w:rsidRPr="00D51180">
        <w:t>As currently set forth in Section 68.065(2), F.S., the following NSF charges may be assessed:</w:t>
      </w:r>
    </w:p>
    <w:p w:rsidR="00A629C7" w:rsidRPr="00D51180" w:rsidRDefault="00A629C7" w:rsidP="00A629C7">
      <w:pPr>
        <w:keepNext/>
        <w:ind w:firstLine="720"/>
        <w:jc w:val="both"/>
        <w:outlineLvl w:val="1"/>
      </w:pPr>
    </w:p>
    <w:p w:rsidR="00D51180" w:rsidRPr="00D51180" w:rsidRDefault="00D51180" w:rsidP="00D51180">
      <w:pPr>
        <w:ind w:firstLine="720"/>
        <w:jc w:val="both"/>
      </w:pPr>
      <w:r w:rsidRPr="00D51180">
        <w:t>1. $25, if the face value does not exceed $50.</w:t>
      </w:r>
    </w:p>
    <w:p w:rsidR="00D51180" w:rsidRPr="00D51180" w:rsidRDefault="00D51180" w:rsidP="00D51180">
      <w:pPr>
        <w:ind w:firstLine="720"/>
        <w:jc w:val="both"/>
      </w:pPr>
      <w:r w:rsidRPr="00D51180">
        <w:t>2. $30, if the face value exceeds $50 but does not exceed $300.</w:t>
      </w:r>
    </w:p>
    <w:p w:rsidR="00D51180" w:rsidRPr="00D51180" w:rsidRDefault="00D51180" w:rsidP="00D51180">
      <w:pPr>
        <w:ind w:left="990" w:hanging="270"/>
        <w:jc w:val="both"/>
      </w:pPr>
      <w:r w:rsidRPr="00D51180">
        <w:t xml:space="preserve">3. $40, if the face value exceeds $300, or 5 percent of the face amount of the check, whichever is greater. </w:t>
      </w:r>
    </w:p>
    <w:p w:rsidR="00D51180" w:rsidRPr="00D51180" w:rsidRDefault="00D51180" w:rsidP="00D51180">
      <w:pPr>
        <w:ind w:firstLine="720"/>
        <w:jc w:val="both"/>
      </w:pPr>
    </w:p>
    <w:p w:rsidR="00D51180" w:rsidRDefault="00D51180" w:rsidP="00074FE8">
      <w:pPr>
        <w:jc w:val="both"/>
      </w:pPr>
      <w:r>
        <w:tab/>
      </w:r>
      <w:r w:rsidRPr="00D51180">
        <w:t xml:space="preserve">Approval of NSF charges is consistent with </w:t>
      </w:r>
      <w:r w:rsidR="00074FE8">
        <w:t xml:space="preserve">our </w:t>
      </w:r>
      <w:r w:rsidRPr="00D51180">
        <w:t>prior decisions.</w:t>
      </w:r>
      <w:r w:rsidRPr="00D51180">
        <w:rPr>
          <w:vertAlign w:val="superscript"/>
        </w:rPr>
        <w:footnoteReference w:id="30"/>
      </w:r>
      <w:r w:rsidRPr="00D51180">
        <w:t xml:space="preserve"> Furthermore, NSF charges place the cost on the cost-causer, rather than requiring that the costs associated with the return of the NSF checks be spread across the general body of ratepayers.</w:t>
      </w:r>
      <w:r w:rsidR="00074FE8">
        <w:t xml:space="preserve"> As such,</w:t>
      </w:r>
      <w:r w:rsidR="00074FE8" w:rsidRPr="00D51180">
        <w:t xml:space="preserve"> Gator </w:t>
      </w:r>
      <w:r w:rsidR="00074FE8">
        <w:t>is hereby</w:t>
      </w:r>
      <w:r w:rsidR="00074FE8" w:rsidRPr="00D51180">
        <w:t xml:space="preserve"> authorized to collect NSF charges consistent with Section 68.065, F.S.</w:t>
      </w:r>
      <w:r w:rsidRPr="00D51180">
        <w:t xml:space="preserve"> Gator </w:t>
      </w:r>
      <w:r w:rsidR="00074FE8">
        <w:t xml:space="preserve">shall </w:t>
      </w:r>
      <w:r w:rsidRPr="00D51180">
        <w:t>revise its tariffs to reflect the NSF charges currently set forth in Section 68.065, F.S. The NSF charges sh</w:t>
      </w:r>
      <w:r w:rsidR="00074FE8">
        <w:t>all</w:t>
      </w:r>
      <w:r w:rsidRPr="00D51180">
        <w:t xml:space="preserve"> be effective after the stamped approval date on the tariff sheets pursuant to Rule 25-30.475(1), F.A.C. In addition, the NSF charges sh</w:t>
      </w:r>
      <w:r w:rsidR="00074FE8">
        <w:t>all</w:t>
      </w:r>
      <w:r w:rsidRPr="00D51180">
        <w:t xml:space="preserve"> not be implemented until </w:t>
      </w:r>
      <w:r w:rsidR="00074FE8">
        <w:t xml:space="preserve">our </w:t>
      </w:r>
      <w:r w:rsidRPr="00D51180">
        <w:t>staff has approved the proposed customer notice. The utility sh</w:t>
      </w:r>
      <w:r w:rsidR="00074FE8">
        <w:t>all</w:t>
      </w:r>
      <w:r w:rsidRPr="00D51180">
        <w:t xml:space="preserve"> provide proof of the date the notice was given within 10 days of the date of the notice.</w:t>
      </w:r>
    </w:p>
    <w:p w:rsidR="00D51180" w:rsidRDefault="00D51180" w:rsidP="00D51180"/>
    <w:p w:rsidR="00A629C7" w:rsidRPr="00A629C7" w:rsidRDefault="00A629C7" w:rsidP="00D51180">
      <w:pPr>
        <w:rPr>
          <w:u w:val="single"/>
        </w:rPr>
      </w:pPr>
      <w:r>
        <w:rPr>
          <w:u w:val="single"/>
        </w:rPr>
        <w:t>12. Late Payment Charge</w:t>
      </w:r>
    </w:p>
    <w:p w:rsidR="00A629C7" w:rsidRDefault="00A629C7" w:rsidP="00D51180"/>
    <w:p w:rsidR="00D51180" w:rsidRPr="00D51180" w:rsidRDefault="00D51180" w:rsidP="00A629C7">
      <w:pPr>
        <w:keepNext/>
        <w:autoSpaceDE w:val="0"/>
        <w:autoSpaceDN w:val="0"/>
        <w:adjustRightInd w:val="0"/>
        <w:ind w:firstLine="720"/>
        <w:jc w:val="both"/>
        <w:rPr>
          <w:rFonts w:eastAsiaTheme="minorHAnsi"/>
        </w:rPr>
      </w:pPr>
      <w:r w:rsidRPr="00D51180">
        <w:rPr>
          <w:rFonts w:eastAsiaTheme="minorHAnsi"/>
        </w:rPr>
        <w:t>Gator request</w:t>
      </w:r>
      <w:r w:rsidR="00112EA3">
        <w:rPr>
          <w:rFonts w:eastAsiaTheme="minorHAnsi"/>
        </w:rPr>
        <w:t>ed</w:t>
      </w:r>
      <w:r w:rsidRPr="00D51180">
        <w:rPr>
          <w:rFonts w:eastAsiaTheme="minorHAnsi"/>
        </w:rPr>
        <w:t xml:space="preserve"> a $6.50 late payment charge to recover the cost of labor, supplies, postage, and RAFs associated with processing late payment notices. Gator’s current late payment charge is $2.00. However, the utility is requesting $6.50 for its late payment charge, which is consistent with </w:t>
      </w:r>
      <w:r w:rsidR="00112EA3">
        <w:rPr>
          <w:rFonts w:eastAsiaTheme="minorHAnsi"/>
        </w:rPr>
        <w:t>our prior decisions</w:t>
      </w:r>
      <w:r w:rsidRPr="00D51180">
        <w:rPr>
          <w:rFonts w:eastAsiaTheme="minorHAnsi"/>
        </w:rPr>
        <w:t xml:space="preserve"> and </w:t>
      </w:r>
      <w:r w:rsidR="00112EA3">
        <w:rPr>
          <w:rFonts w:eastAsiaTheme="minorHAnsi"/>
        </w:rPr>
        <w:t>Gator’s</w:t>
      </w:r>
      <w:r w:rsidRPr="00D51180">
        <w:rPr>
          <w:rFonts w:eastAsiaTheme="minorHAnsi"/>
        </w:rPr>
        <w:t xml:space="preserve"> sister utilities managed by U.S. Water.</w:t>
      </w:r>
      <w:r w:rsidRPr="00D51180">
        <w:rPr>
          <w:rFonts w:eastAsiaTheme="minorHAnsi"/>
          <w:vertAlign w:val="superscript"/>
        </w:rPr>
        <w:footnoteReference w:id="31"/>
      </w:r>
      <w:r w:rsidRPr="00D51180">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w:t>
      </w:r>
      <w:r w:rsidR="00DD1F71">
        <w:rPr>
          <w:rFonts w:eastAsiaTheme="minorHAnsi"/>
        </w:rPr>
        <w:t>us</w:t>
      </w:r>
      <w:r w:rsidRPr="00D51180">
        <w:rPr>
          <w:rFonts w:eastAsiaTheme="minorHAnsi"/>
        </w:rPr>
        <w:t xml:space="preserve"> to establish, increase, or change a rate or charge other than monthly rates or service availability charges. </w:t>
      </w:r>
    </w:p>
    <w:p w:rsidR="00D51180" w:rsidRPr="00D51180" w:rsidRDefault="00D51180" w:rsidP="00D51180">
      <w:pPr>
        <w:autoSpaceDE w:val="0"/>
        <w:autoSpaceDN w:val="0"/>
        <w:adjustRightInd w:val="0"/>
        <w:jc w:val="both"/>
        <w:rPr>
          <w:rFonts w:eastAsiaTheme="minorHAnsi"/>
        </w:rPr>
      </w:pPr>
    </w:p>
    <w:p w:rsidR="00D51180" w:rsidRDefault="00D51180" w:rsidP="00D51180">
      <w:pPr>
        <w:autoSpaceDE w:val="0"/>
        <w:autoSpaceDN w:val="0"/>
        <w:adjustRightInd w:val="0"/>
        <w:jc w:val="both"/>
        <w:rPr>
          <w:rFonts w:eastAsiaTheme="minorHAnsi"/>
        </w:rPr>
      </w:pPr>
      <w:r>
        <w:rPr>
          <w:rFonts w:eastAsiaTheme="minorHAnsi"/>
        </w:rPr>
        <w:tab/>
      </w:r>
      <w:r w:rsidRPr="00D51180">
        <w:rPr>
          <w:rFonts w:eastAsiaTheme="minorHAnsi"/>
        </w:rPr>
        <w:t xml:space="preserve">Gator calculated the actual costs for its late payment charges to be $8.07. The utility indicated that it will take approximately 15 minutes per account to research, compile, and produce late notices. The delinquent customer accounts will be processed by the administrative contract employee, which results in labor cost of $7.00 ($28.00 x 0.25hr). This is consistent with </w:t>
      </w:r>
      <w:r w:rsidR="004F6843">
        <w:rPr>
          <w:rFonts w:eastAsiaTheme="minorHAnsi"/>
        </w:rPr>
        <w:t xml:space="preserve">our </w:t>
      </w:r>
      <w:r w:rsidRPr="00D51180">
        <w:rPr>
          <w:rFonts w:eastAsiaTheme="minorHAnsi"/>
        </w:rPr>
        <w:t xml:space="preserve">prior decisions where </w:t>
      </w:r>
      <w:r w:rsidR="004F6843">
        <w:rPr>
          <w:rFonts w:eastAsiaTheme="minorHAnsi"/>
        </w:rPr>
        <w:t>we have</w:t>
      </w:r>
      <w:r w:rsidRPr="00D51180">
        <w:rPr>
          <w:rFonts w:eastAsiaTheme="minorHAnsi"/>
        </w:rPr>
        <w:t xml:space="preserve"> allowed 10-15 minutes per account per month for the administrative labor associated with processing delinquent customer accounts.</w:t>
      </w:r>
      <w:r w:rsidRPr="00D51180">
        <w:rPr>
          <w:rFonts w:eastAsiaTheme="minorHAnsi"/>
          <w:vertAlign w:val="superscript"/>
        </w:rPr>
        <w:footnoteReference w:id="32"/>
      </w:r>
      <w:r w:rsidRPr="00D51180">
        <w:rPr>
          <w:rFonts w:eastAsiaTheme="minorHAnsi"/>
        </w:rPr>
        <w:t xml:space="preserve"> However, $8.07 would be the highest late payment charge amongst all other water and wastewater utilitie</w:t>
      </w:r>
      <w:r w:rsidR="004F6843">
        <w:rPr>
          <w:rFonts w:eastAsiaTheme="minorHAnsi"/>
        </w:rPr>
        <w:t>s regulated by this</w:t>
      </w:r>
      <w:r w:rsidRPr="00D51180">
        <w:rPr>
          <w:rFonts w:eastAsiaTheme="minorHAnsi"/>
        </w:rPr>
        <w:t xml:space="preserve"> Commission.</w:t>
      </w:r>
      <w:r w:rsidRPr="00D51180">
        <w:rPr>
          <w:rFonts w:eastAsiaTheme="minorHAnsi"/>
          <w:vertAlign w:val="superscript"/>
        </w:rPr>
        <w:footnoteReference w:id="33"/>
      </w:r>
      <w:r w:rsidRPr="00D51180">
        <w:rPr>
          <w:rFonts w:eastAsiaTheme="minorHAnsi"/>
        </w:rPr>
        <w:t xml:space="preserve"> Therefore, the utility </w:t>
      </w:r>
      <w:r w:rsidR="004F6843">
        <w:rPr>
          <w:rFonts w:eastAsiaTheme="minorHAnsi"/>
        </w:rPr>
        <w:t>requested</w:t>
      </w:r>
      <w:r w:rsidRPr="00D51180">
        <w:rPr>
          <w:rFonts w:eastAsiaTheme="minorHAnsi"/>
        </w:rPr>
        <w:t xml:space="preserve"> a charge of $6.50, consistent with </w:t>
      </w:r>
      <w:r w:rsidR="004F6843">
        <w:rPr>
          <w:rFonts w:eastAsiaTheme="minorHAnsi"/>
        </w:rPr>
        <w:t xml:space="preserve">our </w:t>
      </w:r>
      <w:r w:rsidRPr="00D51180">
        <w:rPr>
          <w:rFonts w:eastAsiaTheme="minorHAnsi"/>
        </w:rPr>
        <w:t xml:space="preserve">recent decisions. The utility's calculation for its actual costs associated with a late payment charge is shown in Table </w:t>
      </w:r>
      <w:r w:rsidR="004F6843">
        <w:rPr>
          <w:rFonts w:eastAsiaTheme="minorHAnsi"/>
        </w:rPr>
        <w:t>8</w:t>
      </w:r>
      <w:r w:rsidRPr="00D51180">
        <w:rPr>
          <w:rFonts w:eastAsiaTheme="minorHAnsi"/>
        </w:rPr>
        <w:t>.</w:t>
      </w:r>
    </w:p>
    <w:p w:rsidR="005A489E" w:rsidRDefault="005A489E" w:rsidP="00D51180">
      <w:pPr>
        <w:autoSpaceDE w:val="0"/>
        <w:autoSpaceDN w:val="0"/>
        <w:adjustRightInd w:val="0"/>
        <w:jc w:val="both"/>
        <w:rPr>
          <w:rFonts w:eastAsiaTheme="minorHAnsi"/>
        </w:rPr>
      </w:pPr>
    </w:p>
    <w:p w:rsidR="005A489E" w:rsidRDefault="005A489E" w:rsidP="00D51180">
      <w:pPr>
        <w:autoSpaceDE w:val="0"/>
        <w:autoSpaceDN w:val="0"/>
        <w:adjustRightInd w:val="0"/>
        <w:jc w:val="both"/>
        <w:rPr>
          <w:rFonts w:eastAsiaTheme="minorHAnsi"/>
        </w:rPr>
      </w:pPr>
    </w:p>
    <w:p w:rsidR="005A489E" w:rsidRDefault="005A489E" w:rsidP="00D51180">
      <w:pPr>
        <w:autoSpaceDE w:val="0"/>
        <w:autoSpaceDN w:val="0"/>
        <w:adjustRightInd w:val="0"/>
        <w:jc w:val="both"/>
        <w:rPr>
          <w:rFonts w:eastAsiaTheme="minorHAnsi"/>
        </w:rPr>
      </w:pPr>
    </w:p>
    <w:p w:rsidR="005A489E" w:rsidRDefault="005A489E" w:rsidP="00D51180">
      <w:pPr>
        <w:autoSpaceDE w:val="0"/>
        <w:autoSpaceDN w:val="0"/>
        <w:adjustRightInd w:val="0"/>
        <w:jc w:val="both"/>
        <w:rPr>
          <w:rFonts w:eastAsiaTheme="minorHAnsi"/>
        </w:rPr>
      </w:pPr>
    </w:p>
    <w:p w:rsidR="005A489E" w:rsidRPr="00D51180" w:rsidRDefault="005A489E" w:rsidP="00D51180">
      <w:pPr>
        <w:autoSpaceDE w:val="0"/>
        <w:autoSpaceDN w:val="0"/>
        <w:adjustRightInd w:val="0"/>
        <w:jc w:val="both"/>
        <w:rPr>
          <w:rFonts w:eastAsiaTheme="minorHAnsi"/>
        </w:rPr>
      </w:pPr>
    </w:p>
    <w:p w:rsidR="00D51180" w:rsidRPr="00D51180" w:rsidRDefault="00D51180" w:rsidP="00D51180">
      <w:pPr>
        <w:autoSpaceDE w:val="0"/>
        <w:autoSpaceDN w:val="0"/>
        <w:adjustRightInd w:val="0"/>
        <w:jc w:val="both"/>
        <w:rPr>
          <w:rFonts w:eastAsiaTheme="minorHAnsi"/>
        </w:rPr>
      </w:pPr>
    </w:p>
    <w:p w:rsidR="00D51180" w:rsidRPr="004F6843" w:rsidRDefault="00D51180" w:rsidP="00D51180">
      <w:pPr>
        <w:jc w:val="center"/>
      </w:pPr>
      <w:r w:rsidRPr="004F6843">
        <w:rPr>
          <w:b/>
          <w:bCs/>
          <w:kern w:val="32"/>
          <w:szCs w:val="32"/>
        </w:rPr>
        <w:t xml:space="preserve">Table </w:t>
      </w:r>
      <w:r w:rsidR="004F6843" w:rsidRPr="004F6843">
        <w:rPr>
          <w:b/>
          <w:bCs/>
          <w:kern w:val="32"/>
          <w:szCs w:val="32"/>
        </w:rPr>
        <w:t>8</w:t>
      </w:r>
    </w:p>
    <w:p w:rsidR="00D51180" w:rsidRPr="004F6843" w:rsidRDefault="00D51180" w:rsidP="00D51180">
      <w:pPr>
        <w:jc w:val="center"/>
        <w:outlineLvl w:val="0"/>
        <w:rPr>
          <w:b/>
          <w:bCs/>
          <w:kern w:val="32"/>
          <w:szCs w:val="32"/>
        </w:rPr>
      </w:pPr>
      <w:r w:rsidRPr="004F6843">
        <w:rPr>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D51180" w:rsidRPr="00D51180" w:rsidTr="00A560AB">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D51180" w:rsidRPr="00D51180" w:rsidRDefault="00D51180" w:rsidP="00D51180">
            <w:pPr>
              <w:jc w:val="center"/>
            </w:pPr>
            <w:r w:rsidRPr="00D51180">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D51180" w:rsidRPr="00D51180" w:rsidRDefault="00D51180" w:rsidP="00D51180">
            <w:pPr>
              <w:jc w:val="center"/>
            </w:pPr>
            <w:r w:rsidRPr="00D51180">
              <w:t>Cost</w:t>
            </w:r>
          </w:p>
        </w:tc>
      </w:tr>
      <w:tr w:rsidR="00D51180" w:rsidRPr="00D51180" w:rsidTr="00A560AB">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r w:rsidRPr="00D51180">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pPr>
              <w:jc w:val="right"/>
            </w:pPr>
            <w:r w:rsidRPr="00D51180">
              <w:t>$7.00</w:t>
            </w:r>
          </w:p>
        </w:tc>
      </w:tr>
      <w:tr w:rsidR="00D51180" w:rsidRPr="00D51180" w:rsidTr="00A560AB">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r w:rsidRPr="00D51180">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pPr>
              <w:jc w:val="right"/>
            </w:pPr>
            <w:r w:rsidRPr="00D51180">
              <w:t xml:space="preserve">$0.22 </w:t>
            </w:r>
          </w:p>
        </w:tc>
      </w:tr>
      <w:tr w:rsidR="00D51180" w:rsidRPr="00D51180" w:rsidTr="00A560AB">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r w:rsidRPr="00D51180">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pPr>
              <w:jc w:val="right"/>
              <w:rPr>
                <w:u w:val="single"/>
              </w:rPr>
            </w:pPr>
            <w:r w:rsidRPr="00D51180">
              <w:rPr>
                <w:u w:val="single"/>
              </w:rPr>
              <w:t xml:space="preserve">$0.49 </w:t>
            </w:r>
          </w:p>
        </w:tc>
      </w:tr>
      <w:tr w:rsidR="00D51180" w:rsidRPr="00D51180" w:rsidTr="00A560AB">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D51180" w:rsidRPr="00D51180" w:rsidRDefault="00D51180" w:rsidP="00D51180">
            <w:r w:rsidRPr="00D51180">
              <w:t>Markup for RAFs</w:t>
            </w:r>
          </w:p>
        </w:tc>
        <w:tc>
          <w:tcPr>
            <w:tcW w:w="3097" w:type="dxa"/>
            <w:tcBorders>
              <w:top w:val="single" w:sz="4" w:space="0" w:color="auto"/>
              <w:left w:val="single" w:sz="4" w:space="0" w:color="auto"/>
              <w:bottom w:val="single" w:sz="4" w:space="0" w:color="auto"/>
              <w:right w:val="single" w:sz="4" w:space="0" w:color="auto"/>
            </w:tcBorders>
            <w:noWrap/>
            <w:vAlign w:val="bottom"/>
          </w:tcPr>
          <w:p w:rsidR="00D51180" w:rsidRPr="00D51180" w:rsidRDefault="00D51180" w:rsidP="00D51180">
            <w:pPr>
              <w:jc w:val="right"/>
              <w:rPr>
                <w:u w:val="single"/>
              </w:rPr>
            </w:pPr>
            <w:r w:rsidRPr="00D51180">
              <w:rPr>
                <w:u w:val="single"/>
              </w:rPr>
              <w:t>$0.36</w:t>
            </w:r>
          </w:p>
        </w:tc>
      </w:tr>
      <w:tr w:rsidR="00D51180" w:rsidRPr="00D51180" w:rsidTr="00A560AB">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r w:rsidRPr="00D51180">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D51180" w:rsidRPr="00D51180" w:rsidRDefault="00D51180" w:rsidP="00D51180">
            <w:pPr>
              <w:jc w:val="right"/>
              <w:rPr>
                <w:u w:val="double"/>
              </w:rPr>
            </w:pPr>
            <w:r w:rsidRPr="00D51180">
              <w:rPr>
                <w:u w:val="double"/>
              </w:rPr>
              <w:t>$8.07</w:t>
            </w:r>
          </w:p>
        </w:tc>
      </w:tr>
    </w:tbl>
    <w:p w:rsidR="00D51180" w:rsidRPr="00D51180" w:rsidRDefault="00D51180" w:rsidP="00D51180">
      <w:pPr>
        <w:spacing w:after="240"/>
        <w:ind w:left="1440"/>
        <w:jc w:val="both"/>
        <w:rPr>
          <w:sz w:val="20"/>
          <w:szCs w:val="20"/>
        </w:rPr>
      </w:pPr>
      <w:r w:rsidRPr="00D51180">
        <w:rPr>
          <w:sz w:val="20"/>
          <w:szCs w:val="20"/>
        </w:rPr>
        <w:t>Source: Utility’s cost justification documentation</w:t>
      </w:r>
    </w:p>
    <w:p w:rsidR="00D51180" w:rsidRDefault="00D51180" w:rsidP="00006D85">
      <w:pPr>
        <w:jc w:val="both"/>
        <w:rPr>
          <w:rFonts w:eastAsiaTheme="minorHAnsi"/>
        </w:rPr>
      </w:pPr>
      <w:r>
        <w:rPr>
          <w:rFonts w:eastAsiaTheme="minorHAnsi"/>
        </w:rPr>
        <w:tab/>
      </w:r>
      <w:r w:rsidRPr="00D51180">
        <w:rPr>
          <w:rFonts w:eastAsiaTheme="minorHAnsi"/>
        </w:rPr>
        <w:t xml:space="preserve">Based on the above, Gator's request to implement a $6.50 late payment charge </w:t>
      </w:r>
      <w:r w:rsidR="00006D85">
        <w:rPr>
          <w:rFonts w:eastAsiaTheme="minorHAnsi"/>
        </w:rPr>
        <w:t>is hereby</w:t>
      </w:r>
      <w:r w:rsidRPr="00D51180">
        <w:rPr>
          <w:rFonts w:eastAsiaTheme="minorHAnsi"/>
        </w:rPr>
        <w:t xml:space="preserve"> approved. The utility </w:t>
      </w:r>
      <w:r w:rsidR="00006D85">
        <w:rPr>
          <w:rFonts w:eastAsiaTheme="minorHAnsi"/>
        </w:rPr>
        <w:t>shall</w:t>
      </w:r>
      <w:r w:rsidRPr="00D51180">
        <w:rPr>
          <w:rFonts w:eastAsiaTheme="minorHAnsi"/>
        </w:rPr>
        <w:t xml:space="preserve"> file a proposed customer notice to reflect the Commission-approved charge. The approved charge sh</w:t>
      </w:r>
      <w:r w:rsidR="00006D85">
        <w:rPr>
          <w:rFonts w:eastAsiaTheme="minorHAnsi"/>
        </w:rPr>
        <w:t>all</w:t>
      </w:r>
      <w:r w:rsidRPr="00D51180">
        <w:rPr>
          <w:rFonts w:eastAsiaTheme="minorHAnsi"/>
        </w:rPr>
        <w:t xml:space="preserve"> be effective on or after the stamped approval date on the tariff sheet pursuant to Rule 25-30.475(1), F.A.C. In addition, the approved charge sh</w:t>
      </w:r>
      <w:r w:rsidR="00006D85">
        <w:rPr>
          <w:rFonts w:eastAsiaTheme="minorHAnsi"/>
        </w:rPr>
        <w:t>all</w:t>
      </w:r>
      <w:r w:rsidRPr="00D51180">
        <w:rPr>
          <w:rFonts w:eastAsiaTheme="minorHAnsi"/>
        </w:rPr>
        <w:t xml:space="preserve"> not be implemented until after </w:t>
      </w:r>
      <w:r w:rsidR="00006D85">
        <w:rPr>
          <w:rFonts w:eastAsiaTheme="minorHAnsi"/>
        </w:rPr>
        <w:t xml:space="preserve">our </w:t>
      </w:r>
      <w:r w:rsidRPr="00D51180">
        <w:rPr>
          <w:rFonts w:eastAsiaTheme="minorHAnsi"/>
        </w:rPr>
        <w:t>staff has approved the proposed customer notice and the notice has been received by customers. The utility sh</w:t>
      </w:r>
      <w:r w:rsidR="00006D85">
        <w:rPr>
          <w:rFonts w:eastAsiaTheme="minorHAnsi"/>
        </w:rPr>
        <w:t>all</w:t>
      </w:r>
      <w:r w:rsidRPr="00D51180">
        <w:rPr>
          <w:rFonts w:eastAsiaTheme="minorHAnsi"/>
        </w:rPr>
        <w:t xml:space="preserve"> provide proof of the date notice was given no less than 10 days after the date of the notice.</w:t>
      </w:r>
    </w:p>
    <w:p w:rsidR="00D51180" w:rsidRDefault="00D51180" w:rsidP="00D51180">
      <w:pPr>
        <w:rPr>
          <w:rFonts w:eastAsiaTheme="minorHAnsi"/>
        </w:rPr>
      </w:pPr>
    </w:p>
    <w:p w:rsidR="00A629C7" w:rsidRPr="00A629C7" w:rsidRDefault="00A629C7" w:rsidP="00A629C7">
      <w:pPr>
        <w:spacing w:after="240"/>
        <w:jc w:val="both"/>
        <w:rPr>
          <w:u w:val="single"/>
        </w:rPr>
      </w:pPr>
      <w:r>
        <w:rPr>
          <w:u w:val="single"/>
        </w:rPr>
        <w:t>13. Miscellaneous Service Charges</w:t>
      </w:r>
    </w:p>
    <w:p w:rsidR="00D51180" w:rsidRPr="00D51180" w:rsidRDefault="00D51180" w:rsidP="00A629C7">
      <w:pPr>
        <w:spacing w:after="240"/>
        <w:ind w:firstLine="720"/>
        <w:jc w:val="both"/>
      </w:pPr>
      <w:r w:rsidRPr="00D51180">
        <w:t>Gator’s current miscellaneous service charges were approved on July 13, 1993.</w:t>
      </w:r>
      <w:r w:rsidRPr="00D51180">
        <w:rPr>
          <w:vertAlign w:val="superscript"/>
        </w:rPr>
        <w:footnoteReference w:id="34"/>
      </w:r>
      <w:r w:rsidRPr="00D51180">
        <w:t xml:space="preserve"> Section 367.091, F.S., authorizes </w:t>
      </w:r>
      <w:r w:rsidR="00006D85">
        <w:t>us</w:t>
      </w:r>
      <w:r w:rsidRPr="00D51180">
        <w:t xml:space="preserve"> to change miscellaneous service charges. The utility’s request to revise its miscellaneous charges was accompanied by its reason for requesting the charges, as well as the cost justification required by Section 367.091(6), F.S. The requested charges are consistent with those recently approved for its sister companies LP and Country Walk.</w:t>
      </w:r>
      <w:r w:rsidRPr="00D51180">
        <w:rPr>
          <w:vertAlign w:val="superscript"/>
        </w:rPr>
        <w:footnoteReference w:id="35"/>
      </w:r>
      <w:r w:rsidRPr="00D51180">
        <w:t xml:space="preserve"> The calculations for miscellaneous service charges, shown in the tables below, are rounded to the nearest tenth. The utility’s current and </w:t>
      </w:r>
      <w:r w:rsidR="00006D85">
        <w:t>the Commission-approved</w:t>
      </w:r>
      <w:r w:rsidRPr="00D51180">
        <w:t xml:space="preserve"> miscellaneous service charges are shown in Table </w:t>
      </w:r>
      <w:r w:rsidR="00006D85">
        <w:t>13</w:t>
      </w:r>
      <w:r w:rsidRPr="00D51180">
        <w:t>.</w:t>
      </w:r>
    </w:p>
    <w:p w:rsidR="00D51180" w:rsidRPr="00A629C7" w:rsidRDefault="00A629C7" w:rsidP="00D51180">
      <w:pPr>
        <w:jc w:val="both"/>
        <w:rPr>
          <w:i/>
        </w:rPr>
      </w:pPr>
      <w:r w:rsidRPr="00A629C7">
        <w:rPr>
          <w:i/>
        </w:rPr>
        <w:t xml:space="preserve">A. </w:t>
      </w:r>
      <w:r w:rsidR="00D51180" w:rsidRPr="00A629C7">
        <w:rPr>
          <w:i/>
        </w:rPr>
        <w:t>Initial Connection Charge</w:t>
      </w:r>
    </w:p>
    <w:p w:rsidR="00235063" w:rsidRPr="00A629C7" w:rsidRDefault="00235063" w:rsidP="00D51180">
      <w:pPr>
        <w:jc w:val="both"/>
        <w:rPr>
          <w:i/>
        </w:rPr>
      </w:pPr>
    </w:p>
    <w:p w:rsidR="00D51180" w:rsidRDefault="00235063" w:rsidP="00D51180">
      <w:pPr>
        <w:spacing w:after="240"/>
        <w:jc w:val="both"/>
        <w:rPr>
          <w:bCs/>
          <w:iCs/>
          <w:szCs w:val="28"/>
        </w:rPr>
      </w:pPr>
      <w:r>
        <w:rPr>
          <w:bCs/>
          <w:iCs/>
          <w:szCs w:val="28"/>
        </w:rPr>
        <w:tab/>
      </w:r>
      <w:r w:rsidR="00D51180" w:rsidRPr="00D51180">
        <w:rPr>
          <w:bCs/>
          <w:iCs/>
          <w:szCs w:val="28"/>
        </w:rPr>
        <w:t xml:space="preserve">The initial connection charge is levied for service initiation at a location where service did not exist previously. A Gator representative makes one trip when performing the service of an initial connection. Based on labor and transportation to and from the service territory, </w:t>
      </w:r>
      <w:r w:rsidR="00006D85">
        <w:rPr>
          <w:bCs/>
          <w:iCs/>
          <w:szCs w:val="28"/>
        </w:rPr>
        <w:t>we hereby approve</w:t>
      </w:r>
      <w:r w:rsidR="00D51180" w:rsidRPr="00D51180">
        <w:rPr>
          <w:bCs/>
          <w:iCs/>
          <w:szCs w:val="28"/>
        </w:rPr>
        <w:t xml:space="preserve"> initial connection charges for Gator’s water system of $31.10 for normal hours and $36.20 for after hours. </w:t>
      </w:r>
      <w:r w:rsidR="00006D85">
        <w:rPr>
          <w:bCs/>
          <w:iCs/>
          <w:szCs w:val="28"/>
        </w:rPr>
        <w:t>Our</w:t>
      </w:r>
      <w:r w:rsidR="00D51180" w:rsidRPr="00D51180">
        <w:rPr>
          <w:bCs/>
          <w:iCs/>
          <w:szCs w:val="28"/>
        </w:rPr>
        <w:t xml:space="preserve"> calculations are shown below in Table </w:t>
      </w:r>
      <w:r w:rsidR="00006D85">
        <w:rPr>
          <w:bCs/>
          <w:iCs/>
          <w:szCs w:val="28"/>
        </w:rPr>
        <w:t>9</w:t>
      </w:r>
      <w:r w:rsidR="00D51180" w:rsidRPr="00D51180">
        <w:rPr>
          <w:bCs/>
          <w:iCs/>
          <w:szCs w:val="28"/>
        </w:rPr>
        <w:t>.</w:t>
      </w:r>
    </w:p>
    <w:p w:rsidR="00006D85" w:rsidRDefault="00006D85" w:rsidP="00D51180">
      <w:pPr>
        <w:jc w:val="center"/>
        <w:rPr>
          <w:b/>
          <w:bCs/>
          <w:iCs/>
        </w:rPr>
      </w:pPr>
    </w:p>
    <w:p w:rsidR="00006D85" w:rsidRDefault="00006D85" w:rsidP="00D51180">
      <w:pPr>
        <w:jc w:val="center"/>
        <w:rPr>
          <w:b/>
          <w:bCs/>
          <w:iCs/>
        </w:rPr>
      </w:pPr>
    </w:p>
    <w:p w:rsidR="00D51180" w:rsidRPr="00006D85" w:rsidRDefault="00D51180" w:rsidP="00D51180">
      <w:pPr>
        <w:jc w:val="center"/>
        <w:rPr>
          <w:b/>
          <w:bCs/>
          <w:iCs/>
        </w:rPr>
      </w:pPr>
      <w:r w:rsidRPr="00006D85">
        <w:rPr>
          <w:b/>
          <w:bCs/>
          <w:iCs/>
        </w:rPr>
        <w:t xml:space="preserve">Table </w:t>
      </w:r>
      <w:r w:rsidR="00006D85" w:rsidRPr="00006D85">
        <w:rPr>
          <w:b/>
          <w:bCs/>
          <w:iCs/>
        </w:rPr>
        <w:t>9</w:t>
      </w:r>
    </w:p>
    <w:p w:rsidR="00D51180" w:rsidRPr="00006D85" w:rsidRDefault="00D51180" w:rsidP="00D51180">
      <w:pPr>
        <w:jc w:val="center"/>
        <w:rPr>
          <w:b/>
          <w:bCs/>
          <w:iCs/>
        </w:rPr>
      </w:pPr>
      <w:r w:rsidRPr="00006D85">
        <w:rPr>
          <w:b/>
          <w:bCs/>
          <w:iCs/>
        </w:rPr>
        <w:t>Initial Connection Charge Calculation</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D51180" w:rsidRPr="00D51180" w:rsidTr="00A560AB">
        <w:trPr>
          <w:trHeight w:val="304"/>
          <w:jc w:val="center"/>
        </w:trPr>
        <w:tc>
          <w:tcPr>
            <w:tcW w:w="3694" w:type="dxa"/>
            <w:shd w:val="clear" w:color="auto" w:fill="auto"/>
            <w:vAlign w:val="bottom"/>
          </w:tcPr>
          <w:p w:rsidR="00D51180" w:rsidRPr="00D51180" w:rsidRDefault="00D51180" w:rsidP="00D51180">
            <w:pPr>
              <w:jc w:val="center"/>
            </w:pPr>
            <w:r w:rsidRPr="00D51180">
              <w:t>Activity</w:t>
            </w:r>
          </w:p>
        </w:tc>
        <w:tc>
          <w:tcPr>
            <w:tcW w:w="1469" w:type="dxa"/>
            <w:shd w:val="clear" w:color="auto" w:fill="auto"/>
            <w:vAlign w:val="bottom"/>
          </w:tcPr>
          <w:p w:rsidR="00D51180" w:rsidRPr="00D51180" w:rsidRDefault="00D51180" w:rsidP="00D51180">
            <w:pPr>
              <w:jc w:val="center"/>
            </w:pPr>
            <w:r w:rsidRPr="00D51180">
              <w:t>Normal Hours Cost</w:t>
            </w:r>
          </w:p>
        </w:tc>
        <w:tc>
          <w:tcPr>
            <w:tcW w:w="3570" w:type="dxa"/>
            <w:vAlign w:val="bottom"/>
          </w:tcPr>
          <w:p w:rsidR="00D51180" w:rsidRPr="00D51180" w:rsidRDefault="00D51180" w:rsidP="00D51180">
            <w:pPr>
              <w:jc w:val="center"/>
            </w:pPr>
            <w:r w:rsidRPr="00D51180">
              <w:t>Activity</w:t>
            </w:r>
          </w:p>
        </w:tc>
        <w:tc>
          <w:tcPr>
            <w:tcW w:w="1402" w:type="dxa"/>
            <w:vAlign w:val="bottom"/>
          </w:tcPr>
          <w:p w:rsidR="00D51180" w:rsidRPr="00D51180" w:rsidRDefault="00D51180" w:rsidP="00D51180">
            <w:pPr>
              <w:jc w:val="center"/>
            </w:pPr>
            <w:r w:rsidRPr="00D51180">
              <w:t xml:space="preserve">After </w:t>
            </w:r>
          </w:p>
          <w:p w:rsidR="00D51180" w:rsidRPr="00D51180" w:rsidRDefault="00D51180" w:rsidP="00D51180">
            <w:pPr>
              <w:jc w:val="center"/>
            </w:pPr>
            <w:r w:rsidRPr="00D51180">
              <w:t>Hours Cost</w:t>
            </w:r>
          </w:p>
        </w:tc>
      </w:tr>
      <w:tr w:rsidR="00D51180" w:rsidRPr="00D51180" w:rsidTr="00A560AB">
        <w:trPr>
          <w:trHeight w:val="520"/>
          <w:jc w:val="center"/>
        </w:trPr>
        <w:tc>
          <w:tcPr>
            <w:tcW w:w="3694" w:type="dxa"/>
            <w:shd w:val="clear" w:color="auto" w:fill="auto"/>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w:t>
            </w:r>
          </w:p>
        </w:tc>
        <w:tc>
          <w:tcPr>
            <w:tcW w:w="1469" w:type="dxa"/>
            <w:shd w:val="clear" w:color="auto" w:fill="auto"/>
          </w:tcPr>
          <w:p w:rsidR="00D51180" w:rsidRPr="00D51180" w:rsidRDefault="00D51180" w:rsidP="00D51180">
            <w:pPr>
              <w:jc w:val="right"/>
            </w:pPr>
          </w:p>
          <w:p w:rsidR="00D51180" w:rsidRPr="00D51180" w:rsidRDefault="00D51180" w:rsidP="00D51180">
            <w:pPr>
              <w:jc w:val="right"/>
            </w:pPr>
            <w:r w:rsidRPr="00D51180">
              <w:t>$7.00</w:t>
            </w:r>
          </w:p>
        </w:tc>
        <w:tc>
          <w:tcPr>
            <w:tcW w:w="3570" w:type="dxa"/>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w:t>
            </w:r>
          </w:p>
        </w:tc>
        <w:tc>
          <w:tcPr>
            <w:tcW w:w="1402" w:type="dxa"/>
          </w:tcPr>
          <w:p w:rsidR="00D51180" w:rsidRPr="00D51180" w:rsidRDefault="00D51180" w:rsidP="00D51180">
            <w:pPr>
              <w:jc w:val="right"/>
            </w:pPr>
          </w:p>
          <w:p w:rsidR="00D51180" w:rsidRPr="00D51180" w:rsidRDefault="00D51180" w:rsidP="00D51180">
            <w:pPr>
              <w:jc w:val="right"/>
            </w:pPr>
            <w:r w:rsidRPr="00D51180">
              <w:t>$7.00</w:t>
            </w:r>
          </w:p>
        </w:tc>
      </w:tr>
      <w:tr w:rsidR="00D51180" w:rsidRPr="00D51180" w:rsidTr="00A560AB">
        <w:trPr>
          <w:trHeight w:val="520"/>
          <w:jc w:val="center"/>
        </w:trPr>
        <w:tc>
          <w:tcPr>
            <w:tcW w:w="3694" w:type="dxa"/>
            <w:shd w:val="clear" w:color="auto" w:fill="auto"/>
          </w:tcPr>
          <w:p w:rsidR="00D51180" w:rsidRPr="00D51180" w:rsidRDefault="00D51180" w:rsidP="00D51180">
            <w:pPr>
              <w:jc w:val="both"/>
            </w:pPr>
            <w:r w:rsidRPr="00D51180">
              <w:t>Labor (Field)</w:t>
            </w:r>
          </w:p>
          <w:p w:rsidR="00D51180" w:rsidRPr="00D51180" w:rsidRDefault="00D51180" w:rsidP="00D51180">
            <w:pPr>
              <w:jc w:val="both"/>
            </w:pPr>
            <w:r w:rsidRPr="00D51180">
              <w:t>($30.42/hr x 1/3 hr)</w:t>
            </w:r>
          </w:p>
        </w:tc>
        <w:tc>
          <w:tcPr>
            <w:tcW w:w="1469" w:type="dxa"/>
            <w:shd w:val="clear" w:color="auto" w:fill="auto"/>
          </w:tcPr>
          <w:p w:rsidR="00D51180" w:rsidRPr="00D51180" w:rsidRDefault="00D51180" w:rsidP="00D51180">
            <w:pPr>
              <w:jc w:val="right"/>
            </w:pPr>
          </w:p>
          <w:p w:rsidR="00D51180" w:rsidRPr="00D51180" w:rsidRDefault="00D51180" w:rsidP="00D51180">
            <w:pPr>
              <w:jc w:val="right"/>
            </w:pPr>
            <w:r w:rsidRPr="00D51180">
              <w:t>$10.14</w:t>
            </w:r>
          </w:p>
        </w:tc>
        <w:tc>
          <w:tcPr>
            <w:tcW w:w="3570" w:type="dxa"/>
          </w:tcPr>
          <w:p w:rsidR="00D51180" w:rsidRPr="00D51180" w:rsidRDefault="00D51180" w:rsidP="00D51180">
            <w:pPr>
              <w:jc w:val="both"/>
            </w:pPr>
            <w:r w:rsidRPr="00D51180">
              <w:t>Labor (Field)</w:t>
            </w:r>
          </w:p>
          <w:p w:rsidR="00D51180" w:rsidRPr="00D51180" w:rsidRDefault="00D51180" w:rsidP="00D51180">
            <w:pPr>
              <w:jc w:val="both"/>
            </w:pPr>
            <w:r w:rsidRPr="00D51180">
              <w:t>($45.63/hr x 1/3 hr)</w:t>
            </w:r>
          </w:p>
        </w:tc>
        <w:tc>
          <w:tcPr>
            <w:tcW w:w="1402" w:type="dxa"/>
          </w:tcPr>
          <w:p w:rsidR="00D51180" w:rsidRPr="00D51180" w:rsidRDefault="00D51180" w:rsidP="00D51180">
            <w:pPr>
              <w:jc w:val="right"/>
            </w:pPr>
          </w:p>
          <w:p w:rsidR="00D51180" w:rsidRPr="00D51180" w:rsidRDefault="00D51180" w:rsidP="00D51180">
            <w:pPr>
              <w:jc w:val="right"/>
            </w:pPr>
            <w:r w:rsidRPr="00D51180">
              <w:t>$15.21</w:t>
            </w:r>
          </w:p>
        </w:tc>
      </w:tr>
      <w:tr w:rsidR="00D51180" w:rsidRPr="00D51180" w:rsidTr="00A560AB">
        <w:trPr>
          <w:trHeight w:val="520"/>
          <w:jc w:val="center"/>
        </w:trPr>
        <w:tc>
          <w:tcPr>
            <w:tcW w:w="3694" w:type="dxa"/>
            <w:shd w:val="clear" w:color="auto" w:fill="auto"/>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w:t>
            </w:r>
          </w:p>
        </w:tc>
        <w:tc>
          <w:tcPr>
            <w:tcW w:w="1469" w:type="dxa"/>
            <w:shd w:val="clear" w:color="auto" w:fill="auto"/>
          </w:tcPr>
          <w:p w:rsidR="00D51180" w:rsidRPr="00D51180" w:rsidRDefault="00D51180" w:rsidP="00D51180">
            <w:pPr>
              <w:jc w:val="right"/>
            </w:pPr>
          </w:p>
          <w:p w:rsidR="00D51180" w:rsidRPr="00D51180" w:rsidRDefault="00D51180" w:rsidP="00D51180">
            <w:pPr>
              <w:jc w:val="right"/>
            </w:pPr>
            <w:r w:rsidRPr="00D51180">
              <w:t>$13.91</w:t>
            </w:r>
          </w:p>
        </w:tc>
        <w:tc>
          <w:tcPr>
            <w:tcW w:w="3570" w:type="dxa"/>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w:t>
            </w:r>
          </w:p>
        </w:tc>
        <w:tc>
          <w:tcPr>
            <w:tcW w:w="1402" w:type="dxa"/>
          </w:tcPr>
          <w:p w:rsidR="00D51180" w:rsidRPr="00D51180" w:rsidRDefault="00D51180" w:rsidP="00D51180">
            <w:pPr>
              <w:jc w:val="right"/>
            </w:pPr>
          </w:p>
          <w:p w:rsidR="00D51180" w:rsidRPr="00D51180" w:rsidRDefault="00D51180" w:rsidP="00D51180">
            <w:pPr>
              <w:jc w:val="right"/>
            </w:pPr>
            <w:r w:rsidRPr="00D51180">
              <w:t>$13.91</w:t>
            </w:r>
          </w:p>
        </w:tc>
      </w:tr>
      <w:tr w:rsidR="00D51180" w:rsidRPr="00D51180" w:rsidTr="00A560AB">
        <w:trPr>
          <w:trHeight w:val="329"/>
          <w:jc w:val="center"/>
        </w:trPr>
        <w:tc>
          <w:tcPr>
            <w:tcW w:w="3694" w:type="dxa"/>
            <w:shd w:val="clear" w:color="auto" w:fill="auto"/>
          </w:tcPr>
          <w:p w:rsidR="00D51180" w:rsidRPr="00D51180" w:rsidRDefault="00D51180" w:rsidP="00A629C7">
            <w:pPr>
              <w:jc w:val="both"/>
            </w:pPr>
            <w:r w:rsidRPr="00D51180">
              <w:t>Total</w:t>
            </w:r>
          </w:p>
        </w:tc>
        <w:tc>
          <w:tcPr>
            <w:tcW w:w="1469" w:type="dxa"/>
            <w:shd w:val="clear" w:color="auto" w:fill="auto"/>
          </w:tcPr>
          <w:p w:rsidR="00D51180" w:rsidRPr="00D51180" w:rsidRDefault="00D51180" w:rsidP="00A629C7">
            <w:pPr>
              <w:jc w:val="right"/>
            </w:pPr>
            <w:r w:rsidRPr="00D51180">
              <w:t>$31.05</w:t>
            </w:r>
          </w:p>
        </w:tc>
        <w:tc>
          <w:tcPr>
            <w:tcW w:w="3570" w:type="dxa"/>
          </w:tcPr>
          <w:p w:rsidR="00D51180" w:rsidRPr="00D51180" w:rsidRDefault="00D51180" w:rsidP="00A629C7">
            <w:pPr>
              <w:jc w:val="both"/>
            </w:pPr>
            <w:r w:rsidRPr="00D51180">
              <w:t>Total</w:t>
            </w:r>
          </w:p>
        </w:tc>
        <w:tc>
          <w:tcPr>
            <w:tcW w:w="1402" w:type="dxa"/>
          </w:tcPr>
          <w:p w:rsidR="00D51180" w:rsidRPr="00D51180" w:rsidRDefault="00D51180" w:rsidP="00A629C7">
            <w:pPr>
              <w:jc w:val="right"/>
            </w:pPr>
            <w:r w:rsidRPr="00D51180">
              <w:t>$36.12</w:t>
            </w:r>
          </w:p>
        </w:tc>
      </w:tr>
    </w:tbl>
    <w:p w:rsidR="00D51180" w:rsidRPr="00D51180" w:rsidRDefault="00D51180" w:rsidP="00A629C7">
      <w:pPr>
        <w:jc w:val="both"/>
      </w:pPr>
    </w:p>
    <w:p w:rsidR="00D51180" w:rsidRPr="00A629C7" w:rsidRDefault="00A629C7" w:rsidP="00A629C7">
      <w:pPr>
        <w:jc w:val="both"/>
        <w:rPr>
          <w:i/>
        </w:rPr>
      </w:pPr>
      <w:r w:rsidRPr="00A629C7">
        <w:rPr>
          <w:i/>
        </w:rPr>
        <w:t xml:space="preserve">B. </w:t>
      </w:r>
      <w:r w:rsidR="00D51180" w:rsidRPr="00A629C7">
        <w:rPr>
          <w:i/>
        </w:rPr>
        <w:t>Normal Reconnection Charge</w:t>
      </w:r>
    </w:p>
    <w:p w:rsidR="00235063" w:rsidRPr="00A629C7" w:rsidRDefault="00235063" w:rsidP="00A629C7">
      <w:pPr>
        <w:jc w:val="both"/>
        <w:rPr>
          <w:i/>
        </w:rPr>
      </w:pPr>
    </w:p>
    <w:p w:rsidR="00D51180" w:rsidRDefault="00235063" w:rsidP="00A629C7">
      <w:pPr>
        <w:jc w:val="both"/>
      </w:pPr>
      <w:r>
        <w:tab/>
      </w:r>
      <w:r w:rsidR="00D51180" w:rsidRPr="00D51180">
        <w:t xml:space="preserve">A normal reconnection charge is levied for the transfer of service subsequent to a customer requested disconnection. A normal reconnection requires two trips, which includes one to turn service on and the other to turn service off. Based on labor and transportation to and from the service territory, </w:t>
      </w:r>
      <w:r w:rsidR="00453376">
        <w:t>we hereby approve</w:t>
      </w:r>
      <w:r w:rsidR="00D51180" w:rsidRPr="00D51180">
        <w:t xml:space="preserve"> normal reconnection charges for Gator’s water system of $57.10 for normal hours and $64.70 for after hours. </w:t>
      </w:r>
      <w:r w:rsidR="00453376">
        <w:t>Our</w:t>
      </w:r>
      <w:r w:rsidR="00D51180" w:rsidRPr="00D51180">
        <w:t xml:space="preserve"> calculations are shown in Table 1</w:t>
      </w:r>
      <w:r w:rsidR="00453376">
        <w:t>0</w:t>
      </w:r>
      <w:r w:rsidR="00D51180" w:rsidRPr="00D51180">
        <w:t>.</w:t>
      </w:r>
    </w:p>
    <w:p w:rsidR="00A629C7" w:rsidRPr="00D51180" w:rsidRDefault="00A629C7" w:rsidP="00A629C7">
      <w:pPr>
        <w:jc w:val="both"/>
      </w:pPr>
    </w:p>
    <w:p w:rsidR="00D51180" w:rsidRPr="00453376" w:rsidRDefault="00D51180" w:rsidP="00D51180">
      <w:pPr>
        <w:jc w:val="center"/>
        <w:rPr>
          <w:bCs/>
          <w:iCs/>
          <w:szCs w:val="28"/>
        </w:rPr>
      </w:pPr>
      <w:r w:rsidRPr="00453376">
        <w:rPr>
          <w:b/>
          <w:bCs/>
          <w:iCs/>
        </w:rPr>
        <w:t xml:space="preserve">Table </w:t>
      </w:r>
      <w:r w:rsidR="00453376" w:rsidRPr="00453376">
        <w:rPr>
          <w:b/>
          <w:bCs/>
          <w:iCs/>
        </w:rPr>
        <w:t>10</w:t>
      </w:r>
    </w:p>
    <w:p w:rsidR="00D51180" w:rsidRPr="00453376" w:rsidRDefault="00D51180" w:rsidP="00D51180">
      <w:pPr>
        <w:jc w:val="center"/>
        <w:rPr>
          <w:b/>
          <w:bCs/>
          <w:iCs/>
        </w:rPr>
      </w:pPr>
      <w:r w:rsidRPr="00453376">
        <w:rPr>
          <w:b/>
          <w:bCs/>
          <w:iCs/>
        </w:rPr>
        <w:t>Normal Reconnection Charge Calculation</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D51180" w:rsidRPr="00D51180" w:rsidTr="00A560AB">
        <w:trPr>
          <w:trHeight w:val="370"/>
          <w:jc w:val="center"/>
        </w:trPr>
        <w:tc>
          <w:tcPr>
            <w:tcW w:w="3889" w:type="dxa"/>
            <w:shd w:val="clear" w:color="auto" w:fill="auto"/>
            <w:vAlign w:val="bottom"/>
          </w:tcPr>
          <w:p w:rsidR="00D51180" w:rsidRPr="00D51180" w:rsidRDefault="00D51180" w:rsidP="00D51180">
            <w:pPr>
              <w:jc w:val="center"/>
            </w:pPr>
            <w:r w:rsidRPr="00D51180">
              <w:t>Activity</w:t>
            </w:r>
          </w:p>
        </w:tc>
        <w:tc>
          <w:tcPr>
            <w:tcW w:w="1352" w:type="dxa"/>
            <w:shd w:val="clear" w:color="auto" w:fill="auto"/>
            <w:vAlign w:val="bottom"/>
          </w:tcPr>
          <w:p w:rsidR="00D51180" w:rsidRPr="00D51180" w:rsidRDefault="00D51180" w:rsidP="00D51180">
            <w:pPr>
              <w:jc w:val="center"/>
            </w:pPr>
            <w:r w:rsidRPr="00D51180">
              <w:t>Normal Hours Cost</w:t>
            </w:r>
          </w:p>
        </w:tc>
        <w:tc>
          <w:tcPr>
            <w:tcW w:w="3818" w:type="dxa"/>
            <w:vAlign w:val="bottom"/>
          </w:tcPr>
          <w:p w:rsidR="00D51180" w:rsidRPr="00D51180" w:rsidRDefault="00D51180" w:rsidP="00D51180">
            <w:pPr>
              <w:jc w:val="center"/>
            </w:pPr>
            <w:r w:rsidRPr="00D51180">
              <w:t>Activity</w:t>
            </w:r>
          </w:p>
        </w:tc>
        <w:tc>
          <w:tcPr>
            <w:tcW w:w="1480" w:type="dxa"/>
            <w:vAlign w:val="bottom"/>
          </w:tcPr>
          <w:p w:rsidR="00D51180" w:rsidRPr="00D51180" w:rsidRDefault="00D51180" w:rsidP="00D51180">
            <w:pPr>
              <w:jc w:val="center"/>
            </w:pPr>
            <w:r w:rsidRPr="00D51180">
              <w:t>After</w:t>
            </w:r>
          </w:p>
          <w:p w:rsidR="00D51180" w:rsidRPr="00D51180" w:rsidRDefault="00D51180" w:rsidP="00D51180">
            <w:pPr>
              <w:jc w:val="center"/>
            </w:pPr>
            <w:r w:rsidRPr="00D51180">
              <w:t xml:space="preserve"> Hours Cost</w:t>
            </w:r>
          </w:p>
        </w:tc>
      </w:tr>
      <w:tr w:rsidR="00D51180" w:rsidRPr="00D51180" w:rsidTr="00A560AB">
        <w:trPr>
          <w:trHeight w:val="630"/>
          <w:jc w:val="center"/>
        </w:trPr>
        <w:tc>
          <w:tcPr>
            <w:tcW w:w="3889" w:type="dxa"/>
            <w:shd w:val="clear" w:color="auto" w:fill="auto"/>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 x 2)</w:t>
            </w:r>
          </w:p>
        </w:tc>
        <w:tc>
          <w:tcPr>
            <w:tcW w:w="1352" w:type="dxa"/>
            <w:shd w:val="clear" w:color="auto" w:fill="auto"/>
          </w:tcPr>
          <w:p w:rsidR="00D51180" w:rsidRPr="00D51180" w:rsidRDefault="00D51180" w:rsidP="00D51180">
            <w:pPr>
              <w:jc w:val="right"/>
            </w:pPr>
          </w:p>
          <w:p w:rsidR="00D51180" w:rsidRPr="00D51180" w:rsidRDefault="00D51180" w:rsidP="00D51180">
            <w:pPr>
              <w:jc w:val="right"/>
            </w:pPr>
            <w:r w:rsidRPr="00D51180">
              <w:t>$14.00</w:t>
            </w:r>
          </w:p>
        </w:tc>
        <w:tc>
          <w:tcPr>
            <w:tcW w:w="3818" w:type="dxa"/>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w:t>
            </w:r>
          </w:p>
        </w:tc>
        <w:tc>
          <w:tcPr>
            <w:tcW w:w="1480" w:type="dxa"/>
          </w:tcPr>
          <w:p w:rsidR="00D51180" w:rsidRPr="00D51180" w:rsidRDefault="00D51180" w:rsidP="00D51180">
            <w:pPr>
              <w:jc w:val="right"/>
            </w:pPr>
          </w:p>
          <w:p w:rsidR="00D51180" w:rsidRPr="00D51180" w:rsidRDefault="00D51180" w:rsidP="00D51180">
            <w:pPr>
              <w:jc w:val="right"/>
            </w:pPr>
            <w:r w:rsidRPr="00D51180">
              <w:t>$14.00</w:t>
            </w:r>
          </w:p>
        </w:tc>
      </w:tr>
      <w:tr w:rsidR="00D51180" w:rsidRPr="00D51180" w:rsidTr="00A560AB">
        <w:trPr>
          <w:trHeight w:val="630"/>
          <w:jc w:val="center"/>
        </w:trPr>
        <w:tc>
          <w:tcPr>
            <w:tcW w:w="3889" w:type="dxa"/>
            <w:shd w:val="clear" w:color="auto" w:fill="auto"/>
          </w:tcPr>
          <w:p w:rsidR="00D51180" w:rsidRPr="00D51180" w:rsidRDefault="00D51180" w:rsidP="00D51180">
            <w:pPr>
              <w:jc w:val="both"/>
            </w:pPr>
            <w:r w:rsidRPr="00D51180">
              <w:t>Labor (Field)</w:t>
            </w:r>
          </w:p>
          <w:p w:rsidR="00D51180" w:rsidRPr="00D51180" w:rsidRDefault="00D51180" w:rsidP="00D51180">
            <w:pPr>
              <w:jc w:val="both"/>
            </w:pPr>
            <w:r w:rsidRPr="00D51180">
              <w:t>($30.42/hr x 1/4 hr x 2)</w:t>
            </w:r>
          </w:p>
        </w:tc>
        <w:tc>
          <w:tcPr>
            <w:tcW w:w="1352" w:type="dxa"/>
            <w:shd w:val="clear" w:color="auto" w:fill="auto"/>
          </w:tcPr>
          <w:p w:rsidR="00D51180" w:rsidRPr="00D51180" w:rsidRDefault="00D51180" w:rsidP="00D51180">
            <w:pPr>
              <w:jc w:val="right"/>
            </w:pPr>
          </w:p>
          <w:p w:rsidR="00D51180" w:rsidRPr="00D51180" w:rsidRDefault="00D51180" w:rsidP="00D51180">
            <w:pPr>
              <w:jc w:val="right"/>
            </w:pPr>
            <w:r w:rsidRPr="00D51180">
              <w:t>$15.21</w:t>
            </w:r>
          </w:p>
        </w:tc>
        <w:tc>
          <w:tcPr>
            <w:tcW w:w="3818" w:type="dxa"/>
          </w:tcPr>
          <w:p w:rsidR="00D51180" w:rsidRPr="00D51180" w:rsidRDefault="00D51180" w:rsidP="00D51180">
            <w:pPr>
              <w:jc w:val="both"/>
            </w:pPr>
            <w:r w:rsidRPr="00D51180">
              <w:t>Labor (Field)</w:t>
            </w:r>
          </w:p>
          <w:p w:rsidR="00D51180" w:rsidRPr="00D51180" w:rsidRDefault="00D51180" w:rsidP="00D51180">
            <w:pPr>
              <w:jc w:val="both"/>
            </w:pPr>
            <w:r w:rsidRPr="00D51180">
              <w:t xml:space="preserve"> ($45.63/hr x 1/4hr x 2)</w:t>
            </w:r>
          </w:p>
        </w:tc>
        <w:tc>
          <w:tcPr>
            <w:tcW w:w="1480" w:type="dxa"/>
          </w:tcPr>
          <w:p w:rsidR="00D51180" w:rsidRPr="00D51180" w:rsidRDefault="00D51180" w:rsidP="00D51180">
            <w:pPr>
              <w:jc w:val="right"/>
            </w:pPr>
          </w:p>
          <w:p w:rsidR="00D51180" w:rsidRPr="00D51180" w:rsidRDefault="00D51180" w:rsidP="00D51180">
            <w:pPr>
              <w:jc w:val="right"/>
            </w:pPr>
            <w:r w:rsidRPr="00D51180">
              <w:t>$22.82</w:t>
            </w:r>
          </w:p>
        </w:tc>
      </w:tr>
      <w:tr w:rsidR="00D51180" w:rsidRPr="00D51180" w:rsidTr="00A560AB">
        <w:trPr>
          <w:trHeight w:val="638"/>
          <w:jc w:val="center"/>
        </w:trPr>
        <w:tc>
          <w:tcPr>
            <w:tcW w:w="3889" w:type="dxa"/>
            <w:shd w:val="clear" w:color="auto" w:fill="auto"/>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 x 2)</w:t>
            </w:r>
          </w:p>
        </w:tc>
        <w:tc>
          <w:tcPr>
            <w:tcW w:w="1352" w:type="dxa"/>
            <w:shd w:val="clear" w:color="auto" w:fill="auto"/>
          </w:tcPr>
          <w:p w:rsidR="00D51180" w:rsidRPr="00D51180" w:rsidRDefault="00D51180" w:rsidP="00D51180">
            <w:pPr>
              <w:jc w:val="right"/>
            </w:pPr>
          </w:p>
          <w:p w:rsidR="00D51180" w:rsidRPr="00D51180" w:rsidRDefault="00D51180" w:rsidP="00D51180">
            <w:pPr>
              <w:jc w:val="right"/>
            </w:pPr>
            <w:r w:rsidRPr="00D51180">
              <w:t>$27.82</w:t>
            </w:r>
          </w:p>
        </w:tc>
        <w:tc>
          <w:tcPr>
            <w:tcW w:w="3818" w:type="dxa"/>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 x 2)</w:t>
            </w:r>
          </w:p>
        </w:tc>
        <w:tc>
          <w:tcPr>
            <w:tcW w:w="1480" w:type="dxa"/>
          </w:tcPr>
          <w:p w:rsidR="00D51180" w:rsidRPr="00D51180" w:rsidRDefault="00D51180" w:rsidP="00D51180">
            <w:pPr>
              <w:jc w:val="right"/>
            </w:pPr>
          </w:p>
          <w:p w:rsidR="00D51180" w:rsidRPr="00D51180" w:rsidRDefault="00D51180" w:rsidP="00D51180">
            <w:pPr>
              <w:jc w:val="right"/>
            </w:pPr>
            <w:r w:rsidRPr="00D51180">
              <w:t>$27.82</w:t>
            </w:r>
          </w:p>
        </w:tc>
      </w:tr>
      <w:tr w:rsidR="00D51180" w:rsidRPr="00D51180" w:rsidTr="00A560AB">
        <w:trPr>
          <w:trHeight w:val="398"/>
          <w:jc w:val="center"/>
        </w:trPr>
        <w:tc>
          <w:tcPr>
            <w:tcW w:w="3889" w:type="dxa"/>
            <w:shd w:val="clear" w:color="auto" w:fill="auto"/>
          </w:tcPr>
          <w:p w:rsidR="00D51180" w:rsidRPr="00D51180" w:rsidRDefault="00D51180" w:rsidP="00A629C7">
            <w:pPr>
              <w:jc w:val="both"/>
            </w:pPr>
            <w:r w:rsidRPr="00D51180">
              <w:t>Total</w:t>
            </w:r>
          </w:p>
        </w:tc>
        <w:tc>
          <w:tcPr>
            <w:tcW w:w="1352" w:type="dxa"/>
            <w:shd w:val="clear" w:color="auto" w:fill="auto"/>
          </w:tcPr>
          <w:p w:rsidR="00D51180" w:rsidRPr="00D51180" w:rsidRDefault="00D51180" w:rsidP="00A629C7">
            <w:pPr>
              <w:jc w:val="right"/>
            </w:pPr>
            <w:r w:rsidRPr="00D51180">
              <w:t>$57.03</w:t>
            </w:r>
          </w:p>
        </w:tc>
        <w:tc>
          <w:tcPr>
            <w:tcW w:w="3818" w:type="dxa"/>
          </w:tcPr>
          <w:p w:rsidR="00D51180" w:rsidRPr="00D51180" w:rsidRDefault="00D51180" w:rsidP="00A629C7">
            <w:pPr>
              <w:jc w:val="both"/>
            </w:pPr>
            <w:r w:rsidRPr="00D51180">
              <w:t>Total</w:t>
            </w:r>
          </w:p>
        </w:tc>
        <w:tc>
          <w:tcPr>
            <w:tcW w:w="1480" w:type="dxa"/>
          </w:tcPr>
          <w:p w:rsidR="00D51180" w:rsidRPr="00D51180" w:rsidRDefault="00D51180" w:rsidP="00A629C7">
            <w:pPr>
              <w:jc w:val="right"/>
            </w:pPr>
            <w:r w:rsidRPr="00D51180">
              <w:t>$64.64</w:t>
            </w:r>
          </w:p>
        </w:tc>
      </w:tr>
    </w:tbl>
    <w:p w:rsidR="00D51180" w:rsidRPr="00D51180" w:rsidRDefault="00D51180" w:rsidP="00A629C7">
      <w:pPr>
        <w:jc w:val="both"/>
      </w:pPr>
    </w:p>
    <w:p w:rsidR="00235063" w:rsidRPr="00A629C7" w:rsidRDefault="00A629C7" w:rsidP="00A629C7">
      <w:pPr>
        <w:jc w:val="both"/>
        <w:rPr>
          <w:i/>
        </w:rPr>
      </w:pPr>
      <w:r w:rsidRPr="00A629C7">
        <w:rPr>
          <w:i/>
        </w:rPr>
        <w:t xml:space="preserve">C. </w:t>
      </w:r>
      <w:r w:rsidR="00D51180" w:rsidRPr="00A629C7">
        <w:rPr>
          <w:i/>
        </w:rPr>
        <w:t>Violation Reconnection Charge</w:t>
      </w:r>
    </w:p>
    <w:p w:rsidR="00235063" w:rsidRPr="00A629C7" w:rsidRDefault="00235063" w:rsidP="00A629C7">
      <w:pPr>
        <w:jc w:val="both"/>
        <w:rPr>
          <w:i/>
        </w:rPr>
      </w:pPr>
    </w:p>
    <w:p w:rsidR="00D51180" w:rsidRDefault="00235063" w:rsidP="00A629C7">
      <w:pPr>
        <w:jc w:val="both"/>
        <w:rPr>
          <w:bCs/>
          <w:iCs/>
          <w:szCs w:val="28"/>
        </w:rPr>
      </w:pPr>
      <w:r>
        <w:rPr>
          <w:rFonts w:ascii="Arial" w:hAnsi="Arial" w:cs="Arial"/>
          <w:b/>
        </w:rPr>
        <w:tab/>
      </w:r>
      <w:r w:rsidR="00D51180" w:rsidRPr="00D51180">
        <w:rPr>
          <w:bCs/>
          <w:iCs/>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w:t>
      </w:r>
      <w:r w:rsidR="001F0BE4">
        <w:rPr>
          <w:bCs/>
          <w:iCs/>
          <w:szCs w:val="28"/>
        </w:rPr>
        <w:t>we hereby approve</w:t>
      </w:r>
      <w:r w:rsidR="00D51180" w:rsidRPr="00D51180">
        <w:rPr>
          <w:bCs/>
          <w:iCs/>
          <w:szCs w:val="28"/>
        </w:rPr>
        <w:t xml:space="preserve"> violation reconnection charges for Gator’s water system of $57.10 for normal hours and $64.70 for after hours. </w:t>
      </w:r>
      <w:r w:rsidR="001F0BE4">
        <w:rPr>
          <w:bCs/>
          <w:iCs/>
          <w:szCs w:val="28"/>
        </w:rPr>
        <w:t>Our</w:t>
      </w:r>
      <w:r w:rsidR="00D51180" w:rsidRPr="00D51180">
        <w:rPr>
          <w:bCs/>
          <w:iCs/>
          <w:szCs w:val="28"/>
        </w:rPr>
        <w:t xml:space="preserve"> c</w:t>
      </w:r>
      <w:r w:rsidR="001F0BE4">
        <w:rPr>
          <w:bCs/>
          <w:iCs/>
          <w:szCs w:val="28"/>
        </w:rPr>
        <w:t>alculations are shown in Table 11</w:t>
      </w:r>
      <w:r w:rsidR="00D51180" w:rsidRPr="00D51180">
        <w:rPr>
          <w:bCs/>
          <w:iCs/>
          <w:szCs w:val="28"/>
        </w:rPr>
        <w:t>.</w:t>
      </w:r>
    </w:p>
    <w:p w:rsidR="00235063" w:rsidRDefault="00235063"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D51180" w:rsidRPr="001F0BE4" w:rsidRDefault="00D51180" w:rsidP="00D51180">
      <w:pPr>
        <w:jc w:val="center"/>
        <w:rPr>
          <w:b/>
          <w:bCs/>
          <w:iCs/>
          <w:szCs w:val="28"/>
        </w:rPr>
      </w:pPr>
      <w:r w:rsidRPr="001F0BE4">
        <w:rPr>
          <w:b/>
          <w:bCs/>
          <w:iCs/>
          <w:szCs w:val="28"/>
        </w:rPr>
        <w:t xml:space="preserve">Table </w:t>
      </w:r>
      <w:r w:rsidR="001F0BE4" w:rsidRPr="001F0BE4">
        <w:rPr>
          <w:b/>
          <w:bCs/>
          <w:iCs/>
          <w:szCs w:val="28"/>
        </w:rPr>
        <w:t>11</w:t>
      </w:r>
    </w:p>
    <w:p w:rsidR="00D51180" w:rsidRPr="001F0BE4" w:rsidRDefault="00D51180" w:rsidP="00D51180">
      <w:pPr>
        <w:jc w:val="center"/>
        <w:rPr>
          <w:bCs/>
          <w:iCs/>
          <w:szCs w:val="28"/>
        </w:rPr>
      </w:pPr>
      <w:r w:rsidRPr="001F0BE4">
        <w:rPr>
          <w:b/>
          <w:bCs/>
          <w:iCs/>
          <w:szCs w:val="28"/>
        </w:rPr>
        <w:t>Violation Reconnection Charge Calculation</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D51180" w:rsidRPr="00D51180" w:rsidTr="00A560AB">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 xml:space="preserve">Normal </w:t>
            </w:r>
          </w:p>
          <w:p w:rsidR="00D51180" w:rsidRPr="00D51180" w:rsidRDefault="00D51180" w:rsidP="00D51180">
            <w:pPr>
              <w:jc w:val="center"/>
            </w:pPr>
            <w:r w:rsidRPr="00D51180">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 xml:space="preserve">After </w:t>
            </w:r>
          </w:p>
          <w:p w:rsidR="00D51180" w:rsidRPr="00D51180" w:rsidRDefault="00D51180" w:rsidP="00D51180">
            <w:pPr>
              <w:jc w:val="center"/>
            </w:pPr>
            <w:r w:rsidRPr="00D51180">
              <w:t>Hours Cost</w:t>
            </w:r>
          </w:p>
        </w:tc>
      </w:tr>
      <w:tr w:rsidR="00D51180" w:rsidRPr="00D51180" w:rsidTr="00A560AB">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 x 2)</w:t>
            </w:r>
          </w:p>
        </w:tc>
        <w:tc>
          <w:tcPr>
            <w:tcW w:w="1538"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$14.00</w:t>
            </w:r>
          </w:p>
        </w:tc>
        <w:tc>
          <w:tcPr>
            <w:tcW w:w="3772"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(Administrative)</w:t>
            </w:r>
          </w:p>
          <w:p w:rsidR="00D51180" w:rsidRPr="00D51180" w:rsidRDefault="00D51180" w:rsidP="00D51180">
            <w:pPr>
              <w:jc w:val="both"/>
            </w:pPr>
            <w:r w:rsidRPr="00D51180">
              <w:t>($28/hr x1/4hr x 2)</w:t>
            </w:r>
          </w:p>
        </w:tc>
        <w:tc>
          <w:tcPr>
            <w:tcW w:w="132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$14.00</w:t>
            </w:r>
          </w:p>
        </w:tc>
      </w:tr>
      <w:tr w:rsidR="00D51180" w:rsidRPr="00D51180" w:rsidTr="00A560AB">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(Field)</w:t>
            </w:r>
          </w:p>
          <w:p w:rsidR="00D51180" w:rsidRPr="00D51180" w:rsidRDefault="00D51180" w:rsidP="00D51180">
            <w:pPr>
              <w:jc w:val="both"/>
            </w:pPr>
            <w:r w:rsidRPr="00D51180">
              <w:t>($30.42/hr x 1/4 hr x 2)</w:t>
            </w:r>
          </w:p>
        </w:tc>
        <w:tc>
          <w:tcPr>
            <w:tcW w:w="1538"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$15.21</w:t>
            </w:r>
          </w:p>
        </w:tc>
        <w:tc>
          <w:tcPr>
            <w:tcW w:w="3772"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(Field)</w:t>
            </w:r>
          </w:p>
          <w:p w:rsidR="00D51180" w:rsidRPr="00D51180" w:rsidRDefault="00D51180" w:rsidP="00D51180">
            <w:pPr>
              <w:jc w:val="both"/>
            </w:pPr>
            <w:r w:rsidRPr="00D51180">
              <w:t>($45.63hr x 1/4 hr x 2)</w:t>
            </w:r>
          </w:p>
        </w:tc>
        <w:tc>
          <w:tcPr>
            <w:tcW w:w="132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$22.82</w:t>
            </w:r>
          </w:p>
        </w:tc>
      </w:tr>
      <w:tr w:rsidR="00D51180" w:rsidRPr="00D51180" w:rsidTr="00A560AB">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$27.82</w:t>
            </w:r>
          </w:p>
        </w:tc>
        <w:tc>
          <w:tcPr>
            <w:tcW w:w="3772"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$27.82</w:t>
            </w:r>
          </w:p>
        </w:tc>
      </w:tr>
      <w:tr w:rsidR="00D51180" w:rsidRPr="00D51180" w:rsidTr="00A560AB">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Total</w:t>
            </w:r>
          </w:p>
        </w:tc>
        <w:tc>
          <w:tcPr>
            <w:tcW w:w="1538"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right"/>
            </w:pPr>
            <w:r w:rsidRPr="00D51180">
              <w:t>$57.03</w:t>
            </w:r>
          </w:p>
        </w:tc>
        <w:tc>
          <w:tcPr>
            <w:tcW w:w="3772"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Total</w:t>
            </w:r>
          </w:p>
        </w:tc>
        <w:tc>
          <w:tcPr>
            <w:tcW w:w="132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right"/>
            </w:pPr>
            <w:r w:rsidRPr="00D51180">
              <w:t>$64.64</w:t>
            </w:r>
          </w:p>
        </w:tc>
      </w:tr>
    </w:tbl>
    <w:p w:rsidR="00D51180" w:rsidRPr="00D51180" w:rsidRDefault="00D51180" w:rsidP="00D51180">
      <w:pPr>
        <w:jc w:val="both"/>
        <w:rPr>
          <w:bCs/>
          <w:iCs/>
          <w:szCs w:val="28"/>
        </w:rPr>
      </w:pPr>
    </w:p>
    <w:p w:rsidR="00D51180" w:rsidRPr="00A629C7" w:rsidRDefault="00A629C7" w:rsidP="00D51180">
      <w:pPr>
        <w:jc w:val="both"/>
        <w:rPr>
          <w:bCs/>
          <w:i/>
          <w:iCs/>
          <w:szCs w:val="28"/>
        </w:rPr>
      </w:pPr>
      <w:r w:rsidRPr="00A629C7">
        <w:rPr>
          <w:bCs/>
          <w:i/>
          <w:iCs/>
          <w:szCs w:val="28"/>
        </w:rPr>
        <w:t xml:space="preserve">D. </w:t>
      </w:r>
      <w:r w:rsidR="00D51180" w:rsidRPr="00A629C7">
        <w:rPr>
          <w:bCs/>
          <w:i/>
          <w:iCs/>
          <w:szCs w:val="28"/>
        </w:rPr>
        <w:t>Premises Visit Charge</w:t>
      </w:r>
    </w:p>
    <w:p w:rsidR="00235063" w:rsidRPr="00A629C7" w:rsidRDefault="00235063" w:rsidP="00D51180">
      <w:pPr>
        <w:jc w:val="both"/>
        <w:rPr>
          <w:bCs/>
          <w:i/>
          <w:iCs/>
          <w:szCs w:val="28"/>
        </w:rPr>
      </w:pPr>
    </w:p>
    <w:p w:rsidR="00D51180" w:rsidRPr="00D51180" w:rsidRDefault="00235063" w:rsidP="00D51180">
      <w:pPr>
        <w:jc w:val="both"/>
        <w:rPr>
          <w:rFonts w:ascii="Arial" w:hAnsi="Arial" w:cs="Arial"/>
          <w:b/>
        </w:rPr>
      </w:pPr>
      <w:r>
        <w:rPr>
          <w:bCs/>
          <w:iCs/>
          <w:szCs w:val="28"/>
        </w:rPr>
        <w:tab/>
      </w:r>
      <w:r w:rsidR="00D51180" w:rsidRPr="00D51180">
        <w:rPr>
          <w:bCs/>
          <w:iCs/>
          <w:szCs w:val="28"/>
        </w:rPr>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D51180" w:rsidRPr="00D51180" w:rsidRDefault="00D51180" w:rsidP="00D51180">
      <w:pPr>
        <w:jc w:val="both"/>
        <w:rPr>
          <w:rFonts w:ascii="Arial" w:hAnsi="Arial" w:cs="Arial"/>
          <w:b/>
        </w:rPr>
      </w:pPr>
    </w:p>
    <w:p w:rsidR="00D51180" w:rsidRPr="00D51180" w:rsidRDefault="00235063" w:rsidP="00D51180">
      <w:pPr>
        <w:jc w:val="both"/>
        <w:rPr>
          <w:bCs/>
          <w:iCs/>
          <w:szCs w:val="28"/>
        </w:rPr>
      </w:pPr>
      <w:r>
        <w:rPr>
          <w:bCs/>
          <w:iCs/>
          <w:szCs w:val="28"/>
        </w:rPr>
        <w:tab/>
      </w:r>
      <w:r w:rsidR="00D51180" w:rsidRPr="00D51180">
        <w:rPr>
          <w:bCs/>
          <w:iCs/>
          <w:szCs w:val="28"/>
        </w:rPr>
        <w:t xml:space="preserve">Based on labor and transportation to and from the service territory, </w:t>
      </w:r>
      <w:r w:rsidR="001F0BE4">
        <w:rPr>
          <w:bCs/>
          <w:iCs/>
          <w:szCs w:val="28"/>
        </w:rPr>
        <w:t xml:space="preserve">we hereby approve </w:t>
      </w:r>
      <w:r w:rsidR="00D51180" w:rsidRPr="00D51180">
        <w:rPr>
          <w:bCs/>
          <w:iCs/>
          <w:szCs w:val="28"/>
        </w:rPr>
        <w:t xml:space="preserve">premises visit charges of $31.10 for normal hours and $36.20 for after hours. </w:t>
      </w:r>
      <w:r w:rsidR="001F0BE4">
        <w:rPr>
          <w:bCs/>
          <w:iCs/>
          <w:szCs w:val="28"/>
        </w:rPr>
        <w:t>Our</w:t>
      </w:r>
      <w:r w:rsidR="00D51180" w:rsidRPr="00D51180">
        <w:rPr>
          <w:bCs/>
          <w:iCs/>
          <w:szCs w:val="28"/>
        </w:rPr>
        <w:t xml:space="preserve"> calculations are shown in Table </w:t>
      </w:r>
      <w:r w:rsidR="001F0BE4">
        <w:rPr>
          <w:bCs/>
          <w:iCs/>
          <w:szCs w:val="28"/>
        </w:rPr>
        <w:t>12</w:t>
      </w:r>
      <w:r w:rsidR="00D51180" w:rsidRPr="00D51180">
        <w:rPr>
          <w:bCs/>
          <w:iCs/>
          <w:szCs w:val="28"/>
        </w:rPr>
        <w:t>.</w:t>
      </w:r>
    </w:p>
    <w:p w:rsidR="00D51180" w:rsidRPr="00D51180" w:rsidRDefault="00D51180" w:rsidP="00D51180">
      <w:pPr>
        <w:jc w:val="both"/>
        <w:rPr>
          <w:bCs/>
          <w:iCs/>
          <w:szCs w:val="28"/>
        </w:rPr>
      </w:pPr>
    </w:p>
    <w:p w:rsidR="00D51180" w:rsidRPr="001F0BE4" w:rsidRDefault="00D51180" w:rsidP="00D51180">
      <w:pPr>
        <w:jc w:val="center"/>
      </w:pPr>
      <w:r w:rsidRPr="001F0BE4">
        <w:rPr>
          <w:b/>
          <w:bCs/>
          <w:iCs/>
        </w:rPr>
        <w:t xml:space="preserve">Table </w:t>
      </w:r>
      <w:r w:rsidR="001F0BE4" w:rsidRPr="001F0BE4">
        <w:rPr>
          <w:b/>
          <w:bCs/>
          <w:iCs/>
        </w:rPr>
        <w:t>12</w:t>
      </w:r>
    </w:p>
    <w:p w:rsidR="00D51180" w:rsidRPr="001F0BE4" w:rsidRDefault="00D51180" w:rsidP="00D51180">
      <w:pPr>
        <w:jc w:val="center"/>
        <w:rPr>
          <w:b/>
          <w:bCs/>
          <w:iCs/>
        </w:rPr>
      </w:pPr>
      <w:r w:rsidRPr="001F0BE4">
        <w:rPr>
          <w:b/>
          <w:bCs/>
          <w:iCs/>
        </w:rPr>
        <w:t>Premises Visit Charge Calculation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D51180" w:rsidRPr="00D51180" w:rsidTr="00A560AB">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 xml:space="preserve">Normal </w:t>
            </w:r>
          </w:p>
          <w:p w:rsidR="00D51180" w:rsidRPr="00D51180" w:rsidRDefault="00D51180" w:rsidP="00D51180">
            <w:pPr>
              <w:jc w:val="center"/>
            </w:pPr>
            <w:r w:rsidRPr="00D51180">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D51180" w:rsidRPr="00D51180" w:rsidRDefault="00D51180" w:rsidP="00D51180">
            <w:pPr>
              <w:jc w:val="center"/>
            </w:pPr>
            <w:r w:rsidRPr="00D51180">
              <w:t xml:space="preserve">After </w:t>
            </w:r>
          </w:p>
          <w:p w:rsidR="00D51180" w:rsidRPr="00D51180" w:rsidRDefault="00D51180" w:rsidP="00D51180">
            <w:pPr>
              <w:jc w:val="center"/>
            </w:pPr>
            <w:r w:rsidRPr="00D51180">
              <w:t>Hours Cost</w:t>
            </w:r>
          </w:p>
        </w:tc>
      </w:tr>
      <w:tr w:rsidR="00D51180" w:rsidRPr="00D51180" w:rsidTr="00A560AB">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(Administrative)</w:t>
            </w:r>
          </w:p>
          <w:p w:rsidR="00D51180" w:rsidRPr="00D51180" w:rsidRDefault="00D51180" w:rsidP="00D51180">
            <w:pPr>
              <w:jc w:val="both"/>
            </w:pPr>
            <w:r w:rsidRPr="00D51180">
              <w:t>($28.00/hr x1/4hr)</w:t>
            </w:r>
          </w:p>
        </w:tc>
        <w:tc>
          <w:tcPr>
            <w:tcW w:w="135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$7.00</w:t>
            </w:r>
          </w:p>
        </w:tc>
        <w:tc>
          <w:tcPr>
            <w:tcW w:w="3596"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(Administrative)</w:t>
            </w:r>
          </w:p>
          <w:p w:rsidR="00D51180" w:rsidRPr="00D51180" w:rsidRDefault="00D51180" w:rsidP="00D51180">
            <w:pPr>
              <w:jc w:val="both"/>
            </w:pPr>
            <w:r w:rsidRPr="00D51180">
              <w:t>($28.00/hr x1/4hr)</w:t>
            </w:r>
          </w:p>
        </w:tc>
        <w:tc>
          <w:tcPr>
            <w:tcW w:w="1303"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$7.00</w:t>
            </w:r>
          </w:p>
        </w:tc>
      </w:tr>
      <w:tr w:rsidR="00D51180" w:rsidRPr="00D51180" w:rsidTr="00A560AB">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Labor (Field)</w:t>
            </w:r>
          </w:p>
          <w:p w:rsidR="00D51180" w:rsidRPr="00D51180" w:rsidRDefault="00D51180" w:rsidP="00D51180">
            <w:pPr>
              <w:jc w:val="both"/>
            </w:pPr>
            <w:r w:rsidRPr="00D51180">
              <w:t>($30.42/hr x 1/3 hr)</w:t>
            </w:r>
          </w:p>
        </w:tc>
        <w:tc>
          <w:tcPr>
            <w:tcW w:w="135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$10.14</w:t>
            </w:r>
          </w:p>
        </w:tc>
        <w:tc>
          <w:tcPr>
            <w:tcW w:w="3596"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r w:rsidRPr="00D51180">
              <w:t>Labor (Field)</w:t>
            </w:r>
          </w:p>
          <w:p w:rsidR="00D51180" w:rsidRPr="00D51180" w:rsidRDefault="00D51180" w:rsidP="00D51180">
            <w:r w:rsidRPr="00D51180">
              <w:t>($45.63/hr x 1/3 hr)</w:t>
            </w:r>
          </w:p>
        </w:tc>
        <w:tc>
          <w:tcPr>
            <w:tcW w:w="1303"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$15.21</w:t>
            </w:r>
          </w:p>
        </w:tc>
      </w:tr>
      <w:tr w:rsidR="00D51180" w:rsidRPr="00D51180" w:rsidTr="00A560AB">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w:t>
            </w:r>
          </w:p>
        </w:tc>
        <w:tc>
          <w:tcPr>
            <w:tcW w:w="1354"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$13.91</w:t>
            </w:r>
          </w:p>
        </w:tc>
        <w:tc>
          <w:tcPr>
            <w:tcW w:w="3596"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 xml:space="preserve">Transportation </w:t>
            </w:r>
          </w:p>
          <w:p w:rsidR="00D51180" w:rsidRPr="00D51180" w:rsidRDefault="00D51180" w:rsidP="00D51180">
            <w:r w:rsidRPr="00D51180">
              <w:t>($0.535/mile x 26 miles-to/from)</w:t>
            </w:r>
          </w:p>
        </w:tc>
        <w:tc>
          <w:tcPr>
            <w:tcW w:w="1303" w:type="dxa"/>
            <w:tcBorders>
              <w:top w:val="single" w:sz="4" w:space="0" w:color="auto"/>
              <w:left w:val="single" w:sz="4" w:space="0" w:color="auto"/>
              <w:bottom w:val="single" w:sz="4" w:space="0" w:color="auto"/>
              <w:right w:val="single" w:sz="4" w:space="0" w:color="auto"/>
            </w:tcBorders>
          </w:tcPr>
          <w:p w:rsidR="00D51180" w:rsidRPr="00D51180" w:rsidRDefault="00D51180" w:rsidP="00D51180">
            <w:pPr>
              <w:jc w:val="right"/>
            </w:pPr>
          </w:p>
          <w:p w:rsidR="00D51180" w:rsidRPr="00D51180" w:rsidRDefault="00D51180" w:rsidP="00D51180">
            <w:pPr>
              <w:jc w:val="right"/>
            </w:pPr>
            <w:r w:rsidRPr="00D51180">
              <w:t>$13.91</w:t>
            </w:r>
          </w:p>
        </w:tc>
      </w:tr>
      <w:tr w:rsidR="00D51180" w:rsidRPr="00D51180" w:rsidTr="00A560AB">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Total</w:t>
            </w:r>
          </w:p>
        </w:tc>
        <w:tc>
          <w:tcPr>
            <w:tcW w:w="1354"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right"/>
            </w:pPr>
            <w:r w:rsidRPr="00D51180">
              <w:t>$31.05</w:t>
            </w:r>
          </w:p>
        </w:tc>
        <w:tc>
          <w:tcPr>
            <w:tcW w:w="3596"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both"/>
            </w:pPr>
            <w:r w:rsidRPr="00D51180">
              <w:t>Total</w:t>
            </w:r>
          </w:p>
        </w:tc>
        <w:tc>
          <w:tcPr>
            <w:tcW w:w="1303" w:type="dxa"/>
            <w:tcBorders>
              <w:top w:val="single" w:sz="4" w:space="0" w:color="auto"/>
              <w:left w:val="single" w:sz="4" w:space="0" w:color="auto"/>
              <w:bottom w:val="single" w:sz="4" w:space="0" w:color="auto"/>
              <w:right w:val="single" w:sz="4" w:space="0" w:color="auto"/>
            </w:tcBorders>
            <w:hideMark/>
          </w:tcPr>
          <w:p w:rsidR="00D51180" w:rsidRPr="00D51180" w:rsidRDefault="00D51180" w:rsidP="00D51180">
            <w:pPr>
              <w:jc w:val="right"/>
            </w:pPr>
            <w:r w:rsidRPr="00D51180">
              <w:t>$36.12</w:t>
            </w:r>
          </w:p>
        </w:tc>
      </w:tr>
    </w:tbl>
    <w:p w:rsidR="00D51180" w:rsidRDefault="00D51180" w:rsidP="00D51180">
      <w:pPr>
        <w:jc w:val="both"/>
        <w:rPr>
          <w:bCs/>
          <w:iCs/>
          <w:szCs w:val="28"/>
        </w:rPr>
      </w:pPr>
    </w:p>
    <w:p w:rsidR="00235063" w:rsidRDefault="00235063"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1F0BE4" w:rsidRDefault="001F0BE4" w:rsidP="00D51180">
      <w:pPr>
        <w:jc w:val="both"/>
        <w:rPr>
          <w:bCs/>
          <w:iCs/>
          <w:szCs w:val="28"/>
        </w:rPr>
      </w:pPr>
    </w:p>
    <w:p w:rsidR="00D51180" w:rsidRPr="001F0BE4" w:rsidRDefault="00D51180" w:rsidP="00D51180">
      <w:pPr>
        <w:jc w:val="center"/>
        <w:rPr>
          <w:b/>
          <w:bCs/>
          <w:iCs/>
          <w:szCs w:val="28"/>
        </w:rPr>
      </w:pPr>
      <w:r w:rsidRPr="001F0BE4">
        <w:rPr>
          <w:b/>
          <w:bCs/>
          <w:iCs/>
          <w:szCs w:val="28"/>
        </w:rPr>
        <w:t>Table 13</w:t>
      </w:r>
    </w:p>
    <w:p w:rsidR="00D51180" w:rsidRPr="001F0BE4" w:rsidRDefault="00D51180" w:rsidP="00D51180">
      <w:pPr>
        <w:jc w:val="center"/>
        <w:rPr>
          <w:bCs/>
          <w:iCs/>
          <w:szCs w:val="28"/>
        </w:rPr>
      </w:pPr>
      <w:r w:rsidRPr="001F0BE4">
        <w:rPr>
          <w:b/>
          <w:bCs/>
          <w:iCs/>
          <w:szCs w:val="28"/>
        </w:rPr>
        <w:t>Miscellaneous Service Charges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D51180" w:rsidRPr="00D51180" w:rsidTr="00A560AB">
        <w:trPr>
          <w:trHeight w:val="264"/>
        </w:trPr>
        <w:tc>
          <w:tcPr>
            <w:tcW w:w="3582" w:type="dxa"/>
            <w:shd w:val="clear" w:color="auto" w:fill="auto"/>
            <w:noWrap/>
            <w:vAlign w:val="bottom"/>
          </w:tcPr>
          <w:p w:rsidR="00D51180" w:rsidRPr="00D51180" w:rsidRDefault="00D51180" w:rsidP="00D51180">
            <w:pPr>
              <w:ind w:firstLine="435"/>
              <w:jc w:val="center"/>
              <w:rPr>
                <w:color w:val="000000"/>
              </w:rPr>
            </w:pPr>
          </w:p>
        </w:tc>
        <w:tc>
          <w:tcPr>
            <w:tcW w:w="2179" w:type="dxa"/>
          </w:tcPr>
          <w:p w:rsidR="00D51180" w:rsidRPr="00D51180" w:rsidRDefault="00D51180" w:rsidP="00D51180">
            <w:pPr>
              <w:jc w:val="center"/>
              <w:rPr>
                <w:color w:val="000000"/>
              </w:rPr>
            </w:pPr>
            <w:r w:rsidRPr="00D51180">
              <w:rPr>
                <w:color w:val="000000"/>
              </w:rPr>
              <w:t>Current</w:t>
            </w:r>
          </w:p>
        </w:tc>
        <w:tc>
          <w:tcPr>
            <w:tcW w:w="2752" w:type="dxa"/>
            <w:gridSpan w:val="2"/>
          </w:tcPr>
          <w:p w:rsidR="00D51180" w:rsidRPr="00D51180" w:rsidRDefault="005F7E6B" w:rsidP="00D51180">
            <w:pPr>
              <w:jc w:val="center"/>
              <w:rPr>
                <w:color w:val="000000"/>
              </w:rPr>
            </w:pPr>
            <w:r>
              <w:rPr>
                <w:color w:val="000000"/>
              </w:rPr>
              <w:t>Commission-Approved</w:t>
            </w:r>
          </w:p>
        </w:tc>
      </w:tr>
      <w:tr w:rsidR="00D51180" w:rsidRPr="00D51180" w:rsidTr="00A560AB">
        <w:trPr>
          <w:trHeight w:val="525"/>
        </w:trPr>
        <w:tc>
          <w:tcPr>
            <w:tcW w:w="3582" w:type="dxa"/>
            <w:shd w:val="clear" w:color="auto" w:fill="auto"/>
            <w:noWrap/>
            <w:vAlign w:val="bottom"/>
            <w:hideMark/>
          </w:tcPr>
          <w:p w:rsidR="00D51180" w:rsidRPr="00D51180" w:rsidRDefault="00D51180" w:rsidP="00D51180">
            <w:pPr>
              <w:jc w:val="center"/>
              <w:rPr>
                <w:color w:val="000000"/>
              </w:rPr>
            </w:pPr>
          </w:p>
        </w:tc>
        <w:tc>
          <w:tcPr>
            <w:tcW w:w="2179" w:type="dxa"/>
          </w:tcPr>
          <w:p w:rsidR="00D51180" w:rsidRPr="00D51180" w:rsidRDefault="00D51180" w:rsidP="00D51180">
            <w:pPr>
              <w:jc w:val="center"/>
              <w:rPr>
                <w:color w:val="000000"/>
              </w:rPr>
            </w:pPr>
            <w:r w:rsidRPr="00D51180">
              <w:rPr>
                <w:color w:val="000000"/>
              </w:rPr>
              <w:t>Normal and After Hours</w:t>
            </w:r>
          </w:p>
        </w:tc>
        <w:tc>
          <w:tcPr>
            <w:tcW w:w="1529" w:type="dxa"/>
          </w:tcPr>
          <w:p w:rsidR="00D51180" w:rsidRPr="00D51180" w:rsidRDefault="00D51180" w:rsidP="00D51180">
            <w:pPr>
              <w:jc w:val="center"/>
              <w:rPr>
                <w:color w:val="000000"/>
              </w:rPr>
            </w:pPr>
            <w:r w:rsidRPr="00D51180">
              <w:rPr>
                <w:color w:val="000000"/>
              </w:rPr>
              <w:t xml:space="preserve">Normal </w:t>
            </w:r>
          </w:p>
          <w:p w:rsidR="00D51180" w:rsidRPr="00D51180" w:rsidRDefault="00D51180" w:rsidP="00D51180">
            <w:pPr>
              <w:jc w:val="center"/>
              <w:rPr>
                <w:color w:val="000000"/>
              </w:rPr>
            </w:pPr>
            <w:r w:rsidRPr="00D51180">
              <w:rPr>
                <w:color w:val="000000"/>
              </w:rPr>
              <w:t>Hours</w:t>
            </w:r>
          </w:p>
        </w:tc>
        <w:tc>
          <w:tcPr>
            <w:tcW w:w="1223" w:type="dxa"/>
          </w:tcPr>
          <w:p w:rsidR="00D51180" w:rsidRPr="00D51180" w:rsidRDefault="00D51180" w:rsidP="00D51180">
            <w:pPr>
              <w:jc w:val="center"/>
              <w:rPr>
                <w:color w:val="000000"/>
              </w:rPr>
            </w:pPr>
            <w:r w:rsidRPr="00D51180">
              <w:rPr>
                <w:color w:val="000000"/>
              </w:rPr>
              <w:t>After</w:t>
            </w:r>
          </w:p>
          <w:p w:rsidR="00D51180" w:rsidRPr="00D51180" w:rsidRDefault="00D51180" w:rsidP="00D51180">
            <w:pPr>
              <w:jc w:val="center"/>
              <w:rPr>
                <w:color w:val="000000"/>
              </w:rPr>
            </w:pPr>
            <w:r w:rsidRPr="00D51180">
              <w:rPr>
                <w:color w:val="000000"/>
              </w:rPr>
              <w:t xml:space="preserve"> Hours</w:t>
            </w:r>
          </w:p>
        </w:tc>
      </w:tr>
      <w:tr w:rsidR="00D51180" w:rsidRPr="00D51180" w:rsidTr="00A560AB">
        <w:trPr>
          <w:trHeight w:val="306"/>
        </w:trPr>
        <w:tc>
          <w:tcPr>
            <w:tcW w:w="3582" w:type="dxa"/>
            <w:shd w:val="clear" w:color="auto" w:fill="auto"/>
            <w:noWrap/>
            <w:vAlign w:val="bottom"/>
            <w:hideMark/>
          </w:tcPr>
          <w:p w:rsidR="00D51180" w:rsidRPr="00D51180" w:rsidRDefault="00D51180" w:rsidP="00D51180">
            <w:pPr>
              <w:rPr>
                <w:color w:val="000000"/>
              </w:rPr>
            </w:pPr>
            <w:r w:rsidRPr="00D51180">
              <w:rPr>
                <w:color w:val="000000"/>
              </w:rPr>
              <w:t>Initial Connection Charge</w:t>
            </w:r>
          </w:p>
        </w:tc>
        <w:tc>
          <w:tcPr>
            <w:tcW w:w="2179" w:type="dxa"/>
          </w:tcPr>
          <w:p w:rsidR="00D51180" w:rsidRPr="00D51180" w:rsidRDefault="00D51180" w:rsidP="00D51180">
            <w:pPr>
              <w:jc w:val="center"/>
              <w:rPr>
                <w:color w:val="000000"/>
              </w:rPr>
            </w:pPr>
            <w:r w:rsidRPr="00D51180">
              <w:rPr>
                <w:color w:val="000000"/>
              </w:rPr>
              <w:t>$15.00</w:t>
            </w:r>
          </w:p>
        </w:tc>
        <w:tc>
          <w:tcPr>
            <w:tcW w:w="1529" w:type="dxa"/>
          </w:tcPr>
          <w:p w:rsidR="00D51180" w:rsidRPr="00D51180" w:rsidRDefault="00D51180" w:rsidP="00D51180">
            <w:pPr>
              <w:jc w:val="center"/>
              <w:rPr>
                <w:color w:val="000000"/>
              </w:rPr>
            </w:pPr>
            <w:r w:rsidRPr="00D51180">
              <w:rPr>
                <w:color w:val="000000"/>
              </w:rPr>
              <w:t>$31.10</w:t>
            </w:r>
          </w:p>
        </w:tc>
        <w:tc>
          <w:tcPr>
            <w:tcW w:w="1223" w:type="dxa"/>
          </w:tcPr>
          <w:p w:rsidR="00D51180" w:rsidRPr="00D51180" w:rsidRDefault="00D51180" w:rsidP="00D51180">
            <w:pPr>
              <w:jc w:val="center"/>
              <w:rPr>
                <w:color w:val="000000"/>
              </w:rPr>
            </w:pPr>
            <w:r w:rsidRPr="00D51180">
              <w:rPr>
                <w:color w:val="000000"/>
              </w:rPr>
              <w:t>$36.20</w:t>
            </w:r>
          </w:p>
        </w:tc>
      </w:tr>
      <w:tr w:rsidR="00D51180" w:rsidRPr="00D51180" w:rsidTr="00A560AB">
        <w:trPr>
          <w:trHeight w:val="261"/>
        </w:trPr>
        <w:tc>
          <w:tcPr>
            <w:tcW w:w="3582" w:type="dxa"/>
            <w:shd w:val="clear" w:color="auto" w:fill="auto"/>
            <w:noWrap/>
            <w:vAlign w:val="bottom"/>
            <w:hideMark/>
          </w:tcPr>
          <w:p w:rsidR="00D51180" w:rsidRPr="00D51180" w:rsidRDefault="00D51180" w:rsidP="00D51180">
            <w:pPr>
              <w:rPr>
                <w:color w:val="000000"/>
              </w:rPr>
            </w:pPr>
            <w:r w:rsidRPr="00D51180">
              <w:rPr>
                <w:color w:val="000000"/>
              </w:rPr>
              <w:t>Normal Reconnection Charge</w:t>
            </w:r>
          </w:p>
        </w:tc>
        <w:tc>
          <w:tcPr>
            <w:tcW w:w="2179" w:type="dxa"/>
          </w:tcPr>
          <w:p w:rsidR="00D51180" w:rsidRPr="00D51180" w:rsidRDefault="00D51180" w:rsidP="00D51180">
            <w:pPr>
              <w:jc w:val="center"/>
              <w:rPr>
                <w:color w:val="000000"/>
              </w:rPr>
            </w:pPr>
            <w:r w:rsidRPr="00D51180">
              <w:rPr>
                <w:color w:val="000000"/>
              </w:rPr>
              <w:t>$15.00</w:t>
            </w:r>
          </w:p>
        </w:tc>
        <w:tc>
          <w:tcPr>
            <w:tcW w:w="1529" w:type="dxa"/>
          </w:tcPr>
          <w:p w:rsidR="00D51180" w:rsidRPr="00D51180" w:rsidRDefault="00D51180" w:rsidP="00D51180">
            <w:pPr>
              <w:jc w:val="center"/>
              <w:rPr>
                <w:color w:val="000000"/>
              </w:rPr>
            </w:pPr>
            <w:r w:rsidRPr="00D51180">
              <w:rPr>
                <w:color w:val="000000"/>
              </w:rPr>
              <w:t>$57.10</w:t>
            </w:r>
          </w:p>
        </w:tc>
        <w:tc>
          <w:tcPr>
            <w:tcW w:w="1223" w:type="dxa"/>
          </w:tcPr>
          <w:p w:rsidR="00D51180" w:rsidRPr="00D51180" w:rsidRDefault="00D51180" w:rsidP="00D51180">
            <w:pPr>
              <w:jc w:val="center"/>
              <w:rPr>
                <w:color w:val="000000"/>
              </w:rPr>
            </w:pPr>
            <w:r w:rsidRPr="00D51180">
              <w:rPr>
                <w:color w:val="000000"/>
              </w:rPr>
              <w:t>$64.70</w:t>
            </w:r>
          </w:p>
        </w:tc>
      </w:tr>
      <w:tr w:rsidR="00D51180" w:rsidRPr="00D51180" w:rsidTr="00A560AB">
        <w:trPr>
          <w:trHeight w:val="479"/>
        </w:trPr>
        <w:tc>
          <w:tcPr>
            <w:tcW w:w="3582" w:type="dxa"/>
            <w:shd w:val="clear" w:color="auto" w:fill="auto"/>
            <w:noWrap/>
            <w:vAlign w:val="bottom"/>
          </w:tcPr>
          <w:p w:rsidR="00D51180" w:rsidRPr="00D51180" w:rsidRDefault="00D51180" w:rsidP="00D51180">
            <w:pPr>
              <w:rPr>
                <w:color w:val="000000"/>
              </w:rPr>
            </w:pPr>
            <w:r w:rsidRPr="00D51180">
              <w:rPr>
                <w:color w:val="000000"/>
              </w:rPr>
              <w:t xml:space="preserve">Violation Reconnection Charge </w:t>
            </w:r>
          </w:p>
        </w:tc>
        <w:tc>
          <w:tcPr>
            <w:tcW w:w="2179" w:type="dxa"/>
          </w:tcPr>
          <w:p w:rsidR="00D51180" w:rsidRPr="00D51180" w:rsidRDefault="00D51180" w:rsidP="00D51180">
            <w:pPr>
              <w:jc w:val="center"/>
              <w:rPr>
                <w:color w:val="000000"/>
              </w:rPr>
            </w:pPr>
          </w:p>
          <w:p w:rsidR="00D51180" w:rsidRPr="00D51180" w:rsidRDefault="00D51180" w:rsidP="00D51180">
            <w:pPr>
              <w:jc w:val="center"/>
              <w:rPr>
                <w:color w:val="000000"/>
              </w:rPr>
            </w:pPr>
            <w:r w:rsidRPr="00D51180">
              <w:rPr>
                <w:color w:val="000000"/>
              </w:rPr>
              <w:t>$15.00</w:t>
            </w:r>
          </w:p>
        </w:tc>
        <w:tc>
          <w:tcPr>
            <w:tcW w:w="1529" w:type="dxa"/>
          </w:tcPr>
          <w:p w:rsidR="00D51180" w:rsidRPr="00D51180" w:rsidRDefault="00D51180" w:rsidP="00D51180">
            <w:pPr>
              <w:jc w:val="center"/>
              <w:rPr>
                <w:color w:val="000000"/>
              </w:rPr>
            </w:pPr>
          </w:p>
          <w:p w:rsidR="00D51180" w:rsidRPr="00D51180" w:rsidRDefault="00D51180" w:rsidP="00D51180">
            <w:pPr>
              <w:jc w:val="center"/>
              <w:rPr>
                <w:color w:val="000000"/>
              </w:rPr>
            </w:pPr>
            <w:r w:rsidRPr="00D51180">
              <w:rPr>
                <w:color w:val="000000"/>
              </w:rPr>
              <w:t>$57.10</w:t>
            </w:r>
          </w:p>
        </w:tc>
        <w:tc>
          <w:tcPr>
            <w:tcW w:w="1223" w:type="dxa"/>
          </w:tcPr>
          <w:p w:rsidR="00D51180" w:rsidRPr="00D51180" w:rsidRDefault="00D51180" w:rsidP="00D51180">
            <w:pPr>
              <w:jc w:val="center"/>
              <w:rPr>
                <w:color w:val="000000"/>
              </w:rPr>
            </w:pPr>
          </w:p>
          <w:p w:rsidR="00D51180" w:rsidRPr="00D51180" w:rsidRDefault="00D51180" w:rsidP="00D51180">
            <w:pPr>
              <w:jc w:val="center"/>
              <w:rPr>
                <w:color w:val="000000"/>
              </w:rPr>
            </w:pPr>
            <w:r w:rsidRPr="00D51180">
              <w:rPr>
                <w:color w:val="000000"/>
              </w:rPr>
              <w:t>$64.70</w:t>
            </w:r>
          </w:p>
        </w:tc>
      </w:tr>
      <w:tr w:rsidR="00D51180" w:rsidRPr="00D51180" w:rsidTr="00A560AB">
        <w:trPr>
          <w:trHeight w:val="278"/>
        </w:trPr>
        <w:tc>
          <w:tcPr>
            <w:tcW w:w="3582" w:type="dxa"/>
            <w:shd w:val="clear" w:color="auto" w:fill="auto"/>
            <w:noWrap/>
            <w:vAlign w:val="bottom"/>
          </w:tcPr>
          <w:p w:rsidR="00D51180" w:rsidRPr="00D51180" w:rsidRDefault="00D51180" w:rsidP="00D51180">
            <w:pPr>
              <w:rPr>
                <w:color w:val="000000"/>
              </w:rPr>
            </w:pPr>
            <w:r w:rsidRPr="00D51180">
              <w:rPr>
                <w:color w:val="000000"/>
              </w:rPr>
              <w:t xml:space="preserve">Premises Visit  Charge </w:t>
            </w:r>
          </w:p>
        </w:tc>
        <w:tc>
          <w:tcPr>
            <w:tcW w:w="2179" w:type="dxa"/>
          </w:tcPr>
          <w:p w:rsidR="00D51180" w:rsidRPr="00D51180" w:rsidRDefault="00D51180" w:rsidP="00D51180">
            <w:pPr>
              <w:jc w:val="center"/>
              <w:rPr>
                <w:color w:val="000000"/>
              </w:rPr>
            </w:pPr>
            <w:r w:rsidRPr="00D51180">
              <w:rPr>
                <w:color w:val="000000"/>
              </w:rPr>
              <w:t>$10.00</w:t>
            </w:r>
          </w:p>
        </w:tc>
        <w:tc>
          <w:tcPr>
            <w:tcW w:w="1529" w:type="dxa"/>
          </w:tcPr>
          <w:p w:rsidR="00D51180" w:rsidRPr="00D51180" w:rsidRDefault="00D51180" w:rsidP="00D51180">
            <w:pPr>
              <w:jc w:val="center"/>
              <w:rPr>
                <w:color w:val="000000"/>
              </w:rPr>
            </w:pPr>
            <w:r w:rsidRPr="00D51180">
              <w:rPr>
                <w:color w:val="000000"/>
              </w:rPr>
              <w:t>$31.10</w:t>
            </w:r>
          </w:p>
        </w:tc>
        <w:tc>
          <w:tcPr>
            <w:tcW w:w="1223" w:type="dxa"/>
          </w:tcPr>
          <w:p w:rsidR="00D51180" w:rsidRPr="00D51180" w:rsidRDefault="00D51180" w:rsidP="00D51180">
            <w:pPr>
              <w:jc w:val="center"/>
              <w:rPr>
                <w:color w:val="000000"/>
              </w:rPr>
            </w:pPr>
            <w:r w:rsidRPr="00D51180">
              <w:rPr>
                <w:color w:val="000000"/>
              </w:rPr>
              <w:t>$36.20</w:t>
            </w:r>
          </w:p>
        </w:tc>
      </w:tr>
    </w:tbl>
    <w:p w:rsidR="00D51180" w:rsidRPr="00D51180" w:rsidRDefault="00D51180" w:rsidP="00D51180">
      <w:pPr>
        <w:jc w:val="both"/>
        <w:rPr>
          <w:bCs/>
          <w:iCs/>
          <w:szCs w:val="28"/>
        </w:rPr>
      </w:pPr>
    </w:p>
    <w:p w:rsidR="00D51180" w:rsidRPr="00A629C7" w:rsidRDefault="00A629C7" w:rsidP="00D51180">
      <w:pPr>
        <w:jc w:val="both"/>
        <w:rPr>
          <w:i/>
        </w:rPr>
      </w:pPr>
      <w:r w:rsidRPr="00A629C7">
        <w:rPr>
          <w:i/>
        </w:rPr>
        <w:t xml:space="preserve">E. </w:t>
      </w:r>
      <w:r w:rsidR="00D51180" w:rsidRPr="00A629C7">
        <w:rPr>
          <w:i/>
        </w:rPr>
        <w:t>Conclusion</w:t>
      </w:r>
    </w:p>
    <w:p w:rsidR="00235063" w:rsidRPr="00A629C7" w:rsidRDefault="00235063" w:rsidP="00D51180">
      <w:pPr>
        <w:jc w:val="both"/>
        <w:rPr>
          <w:i/>
        </w:rPr>
      </w:pPr>
    </w:p>
    <w:p w:rsidR="00D51180" w:rsidRDefault="00235063" w:rsidP="005801C3">
      <w:pPr>
        <w:jc w:val="both"/>
      </w:pPr>
      <w:r>
        <w:tab/>
      </w:r>
      <w:r w:rsidR="00D51180" w:rsidRPr="00D51180">
        <w:t xml:space="preserve">Based on the above, the miscellaneous service charges identified in Table 13 are appropriate and </w:t>
      </w:r>
      <w:r w:rsidR="005801C3">
        <w:t>are hereby</w:t>
      </w:r>
      <w:r w:rsidR="00D51180" w:rsidRPr="00D51180">
        <w:t xml:space="preserve"> approved. The charges sh</w:t>
      </w:r>
      <w:r w:rsidR="005801C3">
        <w:t>all</w:t>
      </w:r>
      <w:r w:rsidR="00D51180" w:rsidRPr="00D51180">
        <w:t xml:space="preserve"> be effective on or after the stamped approval date on the tariff pursuant to Rule 25-30.475, F.A.C. In addition, the approved charges sh</w:t>
      </w:r>
      <w:r w:rsidR="005801C3">
        <w:t>all</w:t>
      </w:r>
      <w:r w:rsidR="00D51180" w:rsidRPr="00D51180">
        <w:t xml:space="preserve"> not be implemented until </w:t>
      </w:r>
      <w:r w:rsidR="005801C3">
        <w:t xml:space="preserve">our </w:t>
      </w:r>
      <w:r w:rsidR="00D51180" w:rsidRPr="00D51180">
        <w:t>staff has approved the proposed customer notice and the notice has been received by the customers. The utility sh</w:t>
      </w:r>
      <w:r w:rsidR="005801C3">
        <w:t>all</w:t>
      </w:r>
      <w:r w:rsidR="00D51180" w:rsidRPr="00D51180">
        <w:t xml:space="preserve"> provide proof of the date notice was given within 10 days of the date of the notice.</w:t>
      </w:r>
    </w:p>
    <w:p w:rsidR="00235063" w:rsidRDefault="00235063" w:rsidP="00D51180"/>
    <w:p w:rsidR="00A629C7" w:rsidRPr="00A629C7" w:rsidRDefault="00A629C7" w:rsidP="00235063">
      <w:pPr>
        <w:spacing w:after="240"/>
        <w:jc w:val="both"/>
        <w:rPr>
          <w:u w:val="single"/>
        </w:rPr>
      </w:pPr>
      <w:r w:rsidRPr="00A629C7">
        <w:rPr>
          <w:u w:val="single"/>
        </w:rPr>
        <w:t>14. Rate Case Expense</w:t>
      </w:r>
      <w:r>
        <w:tab/>
      </w:r>
      <w:r w:rsidRPr="00A629C7">
        <w:t>(Procedural Agency Action)</w:t>
      </w:r>
    </w:p>
    <w:p w:rsidR="00235063" w:rsidRPr="00235063" w:rsidRDefault="00235063" w:rsidP="00A629C7">
      <w:pPr>
        <w:ind w:firstLine="720"/>
        <w:jc w:val="both"/>
      </w:pPr>
      <w:r w:rsidRPr="00235063">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$692.</w:t>
      </w:r>
    </w:p>
    <w:p w:rsidR="00235063" w:rsidRDefault="00235063" w:rsidP="00A629C7"/>
    <w:p w:rsidR="00235063" w:rsidRDefault="00235063" w:rsidP="00A629C7">
      <w:pPr>
        <w:jc w:val="both"/>
        <w:rPr>
          <w:rFonts w:eastAsiaTheme="minorHAnsi"/>
        </w:rPr>
      </w:pPr>
      <w:r>
        <w:tab/>
      </w:r>
      <w:r w:rsidR="005801C3">
        <w:t>We find</w:t>
      </w:r>
      <w:r w:rsidRPr="00235063">
        <w:t xml:space="preserve"> that the rates s</w:t>
      </w:r>
      <w:r w:rsidR="005801C3">
        <w:t>hall</w:t>
      </w:r>
      <w:r w:rsidRPr="00235063">
        <w:t xml:space="preserve"> be reduced as shown on Schedule No. 4, to remove rate case expense grossed-up for RAFs and amortized over a four-year period. The decrease in rates sh</w:t>
      </w:r>
      <w:r w:rsidR="005801C3">
        <w:t>all</w:t>
      </w:r>
      <w:r w:rsidRPr="00235063">
        <w:t xml:space="preserve"> become effective immediately following the expiration of the rate case expense recovery period, pursuant to Section 367.081(8), F.S., Gator sh</w:t>
      </w:r>
      <w:r w:rsidR="005801C3">
        <w:t>all</w:t>
      </w:r>
      <w:r w:rsidRPr="00235063">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w:t>
      </w:r>
      <w:r w:rsidR="005801C3">
        <w:t xml:space="preserve">the utility shall file </w:t>
      </w:r>
      <w:r w:rsidRPr="00235063">
        <w:t>separate data for the price index and/or pass-through increase or decrease and the reduction in the rates due to the amortized rate case expense</w:t>
      </w:r>
      <w:r w:rsidR="005801C3">
        <w:rPr>
          <w:rFonts w:eastAsiaTheme="minorHAnsi"/>
        </w:rPr>
        <w:t>.</w:t>
      </w:r>
    </w:p>
    <w:p w:rsidR="005801C3" w:rsidRDefault="005801C3" w:rsidP="00A629C7">
      <w:pPr>
        <w:jc w:val="both"/>
        <w:rPr>
          <w:rFonts w:eastAsiaTheme="minorHAnsi"/>
        </w:rPr>
      </w:pPr>
    </w:p>
    <w:p w:rsidR="00235063" w:rsidRPr="00235063" w:rsidRDefault="00A629C7" w:rsidP="00235063">
      <w:pPr>
        <w:spacing w:after="240"/>
        <w:jc w:val="both"/>
      </w:pPr>
      <w:r>
        <w:rPr>
          <w:u w:val="single"/>
        </w:rPr>
        <w:t>15. Temporary Rates</w:t>
      </w:r>
      <w:r>
        <w:tab/>
      </w:r>
      <w:r>
        <w:tab/>
      </w:r>
      <w:r w:rsidR="00235063" w:rsidRPr="00235063">
        <w:t>(Procedural Agency Action)</w:t>
      </w:r>
    </w:p>
    <w:p w:rsidR="00235063" w:rsidRPr="00235063" w:rsidRDefault="00235063" w:rsidP="00A629C7">
      <w:pPr>
        <w:spacing w:after="240"/>
        <w:ind w:firstLine="720"/>
        <w:jc w:val="both"/>
      </w:pPr>
      <w:r w:rsidRPr="00235063">
        <w:t xml:space="preserve">This </w:t>
      </w:r>
      <w:r w:rsidR="0055529D">
        <w:t>Order approves</w:t>
      </w:r>
      <w:r w:rsidRPr="00235063">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0055529D">
        <w:t>the approved</w:t>
      </w:r>
      <w:r w:rsidRPr="00235063">
        <w:t xml:space="preserve"> rates </w:t>
      </w:r>
      <w:r w:rsidR="0055529D">
        <w:t>are hereby</w:t>
      </w:r>
      <w:r w:rsidRPr="00235063">
        <w:t xml:space="preserve"> approved as temporary rates. </w:t>
      </w:r>
      <w:r w:rsidRPr="00235063">
        <w:rPr>
          <w:rFonts w:cs="Courier New"/>
        </w:rPr>
        <w:t xml:space="preserve">Gator </w:t>
      </w:r>
      <w:r w:rsidRPr="00235063">
        <w:t>sh</w:t>
      </w:r>
      <w:r w:rsidR="0055529D">
        <w:t>all</w:t>
      </w:r>
      <w:r w:rsidRPr="00235063">
        <w:t xml:space="preserve"> file revised tariff sheets and a proposed customer notice to reflect the Commission-approved rates. The approved rates sh</w:t>
      </w:r>
      <w:r w:rsidR="0055529D">
        <w:t>all</w:t>
      </w:r>
      <w:r w:rsidRPr="00235063">
        <w:t xml:space="preserve"> be effective for service rendered on or after the stamped approval date on the tariff sheet, pursuant to Rule 25-30.475(1), F.A.C. In addition, the temporary rates sh</w:t>
      </w:r>
      <w:r w:rsidR="0055529D">
        <w:t>all</w:t>
      </w:r>
      <w:r w:rsidRPr="00235063">
        <w:t xml:space="preserve"> not be implemented until </w:t>
      </w:r>
      <w:r w:rsidR="0055529D">
        <w:t xml:space="preserve">our </w:t>
      </w:r>
      <w:r w:rsidRPr="00235063">
        <w:t xml:space="preserve">staff has approved the proposed notice, and the notice has been received by the customers. The </w:t>
      </w:r>
      <w:r w:rsidR="0055529D">
        <w:t>approved</w:t>
      </w:r>
      <w:r w:rsidRPr="00235063">
        <w:t xml:space="preserve"> rates collected by the utility sh</w:t>
      </w:r>
      <w:r w:rsidR="0055529D">
        <w:t>all</w:t>
      </w:r>
      <w:r w:rsidRPr="00235063">
        <w:t xml:space="preserve"> be subject to the refund provisions discussed below.</w:t>
      </w:r>
    </w:p>
    <w:p w:rsidR="00235063" w:rsidRPr="00235063" w:rsidRDefault="00235063" w:rsidP="00235063">
      <w:pPr>
        <w:spacing w:after="240"/>
        <w:jc w:val="both"/>
      </w:pPr>
      <w:r>
        <w:tab/>
      </w:r>
      <w:r w:rsidRPr="00235063">
        <w:t>Gator sh</w:t>
      </w:r>
      <w:r w:rsidR="0055529D">
        <w:t>all</w:t>
      </w:r>
      <w:r w:rsidRPr="00235063">
        <w:t xml:space="preserve"> be authorized to collect the temporary rates upon </w:t>
      </w:r>
      <w:r w:rsidR="0055529D">
        <w:t xml:space="preserve">our </w:t>
      </w:r>
      <w:r w:rsidRPr="00235063">
        <w:t>staff’s approval of an appropriate security for the potential refund and the proposed customer notice. Security sh</w:t>
      </w:r>
      <w:r w:rsidR="0055529D">
        <w:t>all</w:t>
      </w:r>
      <w:r w:rsidRPr="00235063">
        <w:t xml:space="preserve"> be in the form of a bond or letter of credit in the amount of $66,889. Alternatively, the utility could establish an escrow agreement with an independent financial institution.</w:t>
      </w:r>
    </w:p>
    <w:p w:rsidR="00235063" w:rsidRDefault="00235063" w:rsidP="00235063">
      <w:pPr>
        <w:jc w:val="both"/>
      </w:pPr>
      <w:r>
        <w:tab/>
      </w:r>
      <w:r w:rsidRPr="00235063">
        <w:t>If the utility chooses a bond as security, the bond sh</w:t>
      </w:r>
      <w:r w:rsidR="0055529D">
        <w:t>all</w:t>
      </w:r>
      <w:r w:rsidRPr="00235063">
        <w:t xml:space="preserve"> contain wording to the effect that it will be terminated only under the following conditions:</w:t>
      </w:r>
    </w:p>
    <w:p w:rsidR="00235063" w:rsidRPr="00235063" w:rsidRDefault="00235063" w:rsidP="00235063">
      <w:pPr>
        <w:jc w:val="both"/>
      </w:pPr>
    </w:p>
    <w:p w:rsidR="00235063" w:rsidRPr="00235063" w:rsidRDefault="00235063" w:rsidP="00235063">
      <w:pPr>
        <w:numPr>
          <w:ilvl w:val="0"/>
          <w:numId w:val="2"/>
        </w:numPr>
        <w:jc w:val="both"/>
      </w:pPr>
      <w:r w:rsidRPr="00235063">
        <w:t>The Commission approves the rate increase; or,</w:t>
      </w:r>
    </w:p>
    <w:p w:rsidR="00235063" w:rsidRPr="00235063" w:rsidRDefault="00235063" w:rsidP="00235063">
      <w:pPr>
        <w:numPr>
          <w:ilvl w:val="0"/>
          <w:numId w:val="2"/>
        </w:numPr>
        <w:jc w:val="both"/>
      </w:pPr>
      <w:r w:rsidRPr="00235063">
        <w:t>If the Commission denies the increase, the utility shall refund the amount collected that is attributable to the increase.</w:t>
      </w:r>
    </w:p>
    <w:p w:rsidR="00235063" w:rsidRPr="00235063" w:rsidRDefault="00235063" w:rsidP="00235063">
      <w:pPr>
        <w:jc w:val="both"/>
      </w:pPr>
    </w:p>
    <w:p w:rsidR="00235063" w:rsidRDefault="00235063" w:rsidP="00235063">
      <w:pPr>
        <w:jc w:val="both"/>
      </w:pPr>
      <w:r>
        <w:tab/>
      </w:r>
      <w:r w:rsidRPr="00235063">
        <w:t>If the utility chooses a letter of credit as a security, it sh</w:t>
      </w:r>
      <w:r w:rsidR="0055529D">
        <w:t>all</w:t>
      </w:r>
      <w:r w:rsidRPr="00235063">
        <w:t xml:space="preserve"> contain the following conditions:</w:t>
      </w:r>
    </w:p>
    <w:p w:rsidR="00235063" w:rsidRPr="00235063" w:rsidRDefault="00235063" w:rsidP="00235063">
      <w:pPr>
        <w:jc w:val="both"/>
      </w:pPr>
    </w:p>
    <w:p w:rsidR="00235063" w:rsidRPr="00235063" w:rsidRDefault="00235063" w:rsidP="00235063">
      <w:pPr>
        <w:tabs>
          <w:tab w:val="left" w:pos="720"/>
          <w:tab w:val="left" w:pos="1440"/>
          <w:tab w:val="left" w:pos="2160"/>
        </w:tabs>
        <w:ind w:left="1080" w:hanging="360"/>
        <w:jc w:val="both"/>
      </w:pPr>
      <w:r w:rsidRPr="00235063">
        <w:t>1)</w:t>
      </w:r>
      <w:r w:rsidRPr="00235063">
        <w:tab/>
        <w:t>The letter of credit is irrevocable for the period it is in effect, and,</w:t>
      </w:r>
    </w:p>
    <w:p w:rsidR="00235063" w:rsidRPr="00235063" w:rsidRDefault="00235063" w:rsidP="00235063">
      <w:pPr>
        <w:tabs>
          <w:tab w:val="left" w:pos="720"/>
          <w:tab w:val="left" w:pos="1440"/>
          <w:tab w:val="left" w:pos="2160"/>
        </w:tabs>
        <w:ind w:left="1080" w:hanging="360"/>
        <w:jc w:val="both"/>
      </w:pPr>
      <w:r w:rsidRPr="00235063">
        <w:t>2)</w:t>
      </w:r>
      <w:r w:rsidRPr="00235063">
        <w:tab/>
        <w:t>The letter of credit will be in effect until a final Commission order is rendered, either approving or denying the rate increase.</w:t>
      </w:r>
    </w:p>
    <w:p w:rsidR="00235063" w:rsidRPr="00235063" w:rsidRDefault="00235063" w:rsidP="00235063">
      <w:pPr>
        <w:jc w:val="both"/>
      </w:pPr>
    </w:p>
    <w:p w:rsidR="00235063" w:rsidRDefault="00235063" w:rsidP="00235063">
      <w:pPr>
        <w:jc w:val="both"/>
      </w:pPr>
      <w:r>
        <w:tab/>
      </w:r>
      <w:r w:rsidRPr="00235063">
        <w:t>If security is provided through an escrow agreement, the following conditions sh</w:t>
      </w:r>
      <w:r w:rsidR="0055529D">
        <w:t>all</w:t>
      </w:r>
      <w:r w:rsidRPr="00235063">
        <w:t xml:space="preserve"> be part of the agreement:</w:t>
      </w:r>
    </w:p>
    <w:p w:rsidR="00235063" w:rsidRPr="00235063" w:rsidRDefault="00235063" w:rsidP="00235063">
      <w:pPr>
        <w:jc w:val="both"/>
      </w:pPr>
    </w:p>
    <w:p w:rsidR="00235063" w:rsidRPr="00235063" w:rsidRDefault="00235063" w:rsidP="00235063">
      <w:pPr>
        <w:tabs>
          <w:tab w:val="left" w:pos="720"/>
          <w:tab w:val="left" w:pos="1440"/>
          <w:tab w:val="left" w:pos="2160"/>
        </w:tabs>
        <w:ind w:left="1080" w:hanging="360"/>
        <w:jc w:val="both"/>
      </w:pPr>
      <w:r w:rsidRPr="00235063">
        <w:t>1)</w:t>
      </w:r>
      <w:r w:rsidRPr="00235063">
        <w:tab/>
        <w:t>The Commission Clerk, or his or her designee, must be a signatory to the escrow agreement;</w:t>
      </w:r>
    </w:p>
    <w:p w:rsidR="00235063" w:rsidRPr="00235063" w:rsidRDefault="00235063" w:rsidP="00235063">
      <w:pPr>
        <w:tabs>
          <w:tab w:val="left" w:pos="720"/>
          <w:tab w:val="left" w:pos="1440"/>
          <w:tab w:val="left" w:pos="2160"/>
        </w:tabs>
        <w:ind w:left="1080" w:hanging="360"/>
        <w:jc w:val="both"/>
      </w:pPr>
      <w:r w:rsidRPr="00235063">
        <w:t>2)  No monies in the escrow account may be withdrawn by the utility without the express approval of the Commission;</w:t>
      </w:r>
    </w:p>
    <w:p w:rsidR="00235063" w:rsidRPr="00235063" w:rsidRDefault="00235063" w:rsidP="00235063">
      <w:pPr>
        <w:tabs>
          <w:tab w:val="left" w:pos="720"/>
          <w:tab w:val="left" w:pos="1440"/>
          <w:tab w:val="left" w:pos="2160"/>
        </w:tabs>
        <w:ind w:left="1080" w:hanging="360"/>
        <w:jc w:val="both"/>
      </w:pPr>
      <w:r w:rsidRPr="00235063">
        <w:t>3)</w:t>
      </w:r>
      <w:r w:rsidRPr="00235063">
        <w:tab/>
        <w:t>The escrow account shall be an interest-bearing account;</w:t>
      </w:r>
    </w:p>
    <w:p w:rsidR="00235063" w:rsidRPr="00235063" w:rsidRDefault="00235063" w:rsidP="00235063">
      <w:pPr>
        <w:tabs>
          <w:tab w:val="left" w:pos="720"/>
          <w:tab w:val="left" w:pos="1440"/>
          <w:tab w:val="left" w:pos="2160"/>
        </w:tabs>
        <w:ind w:left="1080" w:hanging="360"/>
        <w:jc w:val="both"/>
      </w:pPr>
      <w:r w:rsidRPr="00235063">
        <w:t>4)</w:t>
      </w:r>
      <w:r w:rsidRPr="00235063">
        <w:tab/>
        <w:t>If a refund to the customers is required, all interest earned by the escrow account shall be distributed to the customers;</w:t>
      </w:r>
    </w:p>
    <w:p w:rsidR="00235063" w:rsidRPr="00235063" w:rsidRDefault="00235063" w:rsidP="00235063">
      <w:pPr>
        <w:tabs>
          <w:tab w:val="left" w:pos="720"/>
          <w:tab w:val="left" w:pos="1440"/>
          <w:tab w:val="left" w:pos="2160"/>
        </w:tabs>
        <w:ind w:left="1080" w:hanging="360"/>
        <w:jc w:val="both"/>
      </w:pPr>
      <w:r w:rsidRPr="00235063">
        <w:t>5)</w:t>
      </w:r>
      <w:r w:rsidRPr="00235063">
        <w:tab/>
        <w:t>If a refund to the customers is not required, the interest earned by the escrow account shall revert to the utility;</w:t>
      </w:r>
    </w:p>
    <w:p w:rsidR="00235063" w:rsidRPr="00235063" w:rsidRDefault="00235063" w:rsidP="00235063">
      <w:pPr>
        <w:tabs>
          <w:tab w:val="left" w:pos="720"/>
          <w:tab w:val="left" w:pos="1440"/>
          <w:tab w:val="left" w:pos="2160"/>
        </w:tabs>
        <w:ind w:left="1080" w:hanging="360"/>
        <w:jc w:val="both"/>
      </w:pPr>
      <w:r w:rsidRPr="00235063">
        <w:t>6)</w:t>
      </w:r>
      <w:r w:rsidRPr="00235063">
        <w:tab/>
        <w:t>All information on the escrow account shall be available from the holder of the escrow account to a Commission representative at all times;</w:t>
      </w:r>
    </w:p>
    <w:p w:rsidR="00235063" w:rsidRPr="00235063" w:rsidRDefault="00235063" w:rsidP="00235063">
      <w:pPr>
        <w:tabs>
          <w:tab w:val="left" w:pos="720"/>
          <w:tab w:val="left" w:pos="1440"/>
          <w:tab w:val="left" w:pos="2160"/>
        </w:tabs>
        <w:ind w:left="1080" w:hanging="360"/>
        <w:jc w:val="both"/>
      </w:pPr>
      <w:r w:rsidRPr="00235063">
        <w:t>7)</w:t>
      </w:r>
      <w:r w:rsidRPr="00235063">
        <w:tab/>
        <w:t>The amount of revenue subject to refund shall be deposited in the escrow account within seven days of receipt;</w:t>
      </w:r>
    </w:p>
    <w:p w:rsidR="00235063" w:rsidRPr="00235063" w:rsidRDefault="00235063" w:rsidP="00235063">
      <w:pPr>
        <w:tabs>
          <w:tab w:val="left" w:pos="720"/>
          <w:tab w:val="left" w:pos="1440"/>
          <w:tab w:val="left" w:pos="2160"/>
        </w:tabs>
        <w:ind w:left="1080" w:hanging="360"/>
        <w:jc w:val="both"/>
      </w:pPr>
      <w:r w:rsidRPr="00235063">
        <w:t>8)</w:t>
      </w:r>
      <w:r w:rsidRPr="00235063">
        <w:tab/>
        <w:t xml:space="preserve">This escrow account is established by the direction of the Florida Public Service Commission for the purpose(s) set forth in its order requiring such account. Pursuant to </w:t>
      </w:r>
      <w:r w:rsidRPr="00235063">
        <w:rPr>
          <w:i/>
        </w:rPr>
        <w:t>Cosentino v. Elson</w:t>
      </w:r>
      <w:r w:rsidRPr="00235063">
        <w:t>, 263 So. 2d 253 (Fla. 3d DCA 1972), escrow accounts are not subject to garnishments;</w:t>
      </w:r>
    </w:p>
    <w:p w:rsidR="00235063" w:rsidRPr="00235063" w:rsidRDefault="00235063" w:rsidP="00235063">
      <w:pPr>
        <w:tabs>
          <w:tab w:val="left" w:pos="720"/>
          <w:tab w:val="left" w:pos="1440"/>
          <w:tab w:val="left" w:pos="2160"/>
        </w:tabs>
        <w:ind w:left="1080" w:hanging="360"/>
        <w:jc w:val="both"/>
      </w:pPr>
      <w:r w:rsidRPr="00235063">
        <w:t>9)</w:t>
      </w:r>
      <w:r w:rsidRPr="00235063">
        <w:tab/>
        <w:t>The account must specify by whom and on whose behalf such monies were paid.</w:t>
      </w:r>
    </w:p>
    <w:p w:rsidR="00235063" w:rsidRPr="00235063" w:rsidRDefault="00235063" w:rsidP="00235063">
      <w:pPr>
        <w:tabs>
          <w:tab w:val="left" w:pos="720"/>
          <w:tab w:val="left" w:pos="1440"/>
          <w:tab w:val="left" w:pos="2160"/>
        </w:tabs>
        <w:ind w:left="1080" w:hanging="360"/>
        <w:jc w:val="both"/>
      </w:pPr>
    </w:p>
    <w:p w:rsidR="00235063" w:rsidRPr="00235063" w:rsidRDefault="00235063" w:rsidP="00235063">
      <w:pPr>
        <w:spacing w:after="240"/>
        <w:jc w:val="both"/>
      </w:pPr>
      <w:r>
        <w:tab/>
      </w:r>
      <w:r w:rsidRPr="00235063">
        <w:t>In no instance sh</w:t>
      </w:r>
      <w:r w:rsidR="0055529D">
        <w:t>all</w:t>
      </w:r>
      <w:r w:rsidRPr="00235063">
        <w:t xml:space="preserve">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w:t>
      </w:r>
      <w:r w:rsidR="0055529D">
        <w:t>all</w:t>
      </w:r>
      <w:r w:rsidRPr="00235063">
        <w:t xml:space="preserve"> be maintained by the utility. If a refund is ultimately required, it sh</w:t>
      </w:r>
      <w:r w:rsidR="0055529D">
        <w:t>all</w:t>
      </w:r>
      <w:r w:rsidRPr="00235063">
        <w:t xml:space="preserve"> be paid with interest calculated pursuant to Rule 25-30.360(4), F.A.C.</w:t>
      </w:r>
    </w:p>
    <w:p w:rsidR="00235063" w:rsidRDefault="00235063" w:rsidP="0055529D">
      <w:pPr>
        <w:ind w:firstLine="720"/>
        <w:jc w:val="both"/>
        <w:rPr>
          <w:rFonts w:asciiTheme="minorHAnsi" w:hAnsiTheme="minorHAnsi" w:cstheme="minorHAnsi"/>
        </w:rPr>
      </w:pPr>
      <w:r w:rsidRPr="00235063">
        <w:t>Gator sh</w:t>
      </w:r>
      <w:r w:rsidR="0055529D">
        <w:t>all</w:t>
      </w:r>
      <w:r w:rsidRPr="00235063">
        <w:t xml:space="preserve"> maintain a record of the amount of the security, and the amount of revenues that are subject to refund. In addition, after the increased rates are in effect, pursuant to Rule 25-30.360(6), F.A.C., the utility sh</w:t>
      </w:r>
      <w:r w:rsidR="0055529D">
        <w:t>all</w:t>
      </w:r>
      <w:r w:rsidRPr="00235063">
        <w:t xml:space="preserve"> file reports with the Office of Commission Clerk no later than the 20th of each month indicating the monthly and total amount of money subject to refund at the end of the preceding month. The report filed sh</w:t>
      </w:r>
      <w:r w:rsidR="0055529D">
        <w:t>all</w:t>
      </w:r>
      <w:r w:rsidRPr="00235063">
        <w:t xml:space="preserve"> also indicate the status of the security being used to guarantee repayment of any potential refund</w:t>
      </w:r>
      <w:r w:rsidRPr="00235063">
        <w:rPr>
          <w:rFonts w:asciiTheme="minorHAnsi" w:hAnsiTheme="minorHAnsi" w:cstheme="minorHAnsi"/>
        </w:rPr>
        <w:t>.</w:t>
      </w:r>
    </w:p>
    <w:p w:rsidR="00235063" w:rsidRDefault="00235063" w:rsidP="00235063">
      <w:pPr>
        <w:rPr>
          <w:rFonts w:asciiTheme="minorHAnsi" w:hAnsiTheme="minorHAnsi" w:cstheme="minorHAnsi"/>
        </w:rPr>
      </w:pPr>
    </w:p>
    <w:p w:rsidR="00235063" w:rsidRPr="00A629C7" w:rsidRDefault="00A629C7" w:rsidP="00A629C7">
      <w:pPr>
        <w:spacing w:after="240"/>
        <w:jc w:val="both"/>
        <w:outlineLvl w:val="0"/>
      </w:pPr>
      <w:r>
        <w:rPr>
          <w:bCs/>
          <w:iCs/>
          <w:szCs w:val="28"/>
          <w:u w:val="single"/>
        </w:rPr>
        <w:t xml:space="preserve">16. Adjustments to </w:t>
      </w:r>
      <w:r w:rsidRPr="00A629C7">
        <w:rPr>
          <w:bCs/>
          <w:iCs/>
          <w:szCs w:val="28"/>
          <w:u w:val="single"/>
        </w:rPr>
        <w:t>NARUC</w:t>
      </w:r>
      <w:r w:rsidR="00BE5390">
        <w:rPr>
          <w:bCs/>
          <w:iCs/>
          <w:szCs w:val="28"/>
          <w:u w:val="single"/>
        </w:rPr>
        <w:t xml:space="preserve"> USOA </w:t>
      </w:r>
      <w:r>
        <w:rPr>
          <w:bCs/>
          <w:iCs/>
          <w:szCs w:val="28"/>
          <w:u w:val="single"/>
        </w:rPr>
        <w:t>Primary A</w:t>
      </w:r>
      <w:r w:rsidRPr="00A629C7">
        <w:rPr>
          <w:bCs/>
          <w:iCs/>
          <w:szCs w:val="28"/>
          <w:u w:val="single"/>
        </w:rPr>
        <w:t>ccounts</w:t>
      </w:r>
      <w:r>
        <w:rPr>
          <w:bCs/>
          <w:kern w:val="32"/>
          <w:szCs w:val="32"/>
        </w:rPr>
        <w:tab/>
      </w:r>
      <w:r w:rsidRPr="00235063">
        <w:t>(Procedural Agency Action)</w:t>
      </w:r>
    </w:p>
    <w:p w:rsidR="00235063" w:rsidRDefault="00235063" w:rsidP="00A629C7">
      <w:pPr>
        <w:ind w:firstLine="720"/>
        <w:jc w:val="both"/>
      </w:pPr>
      <w:r w:rsidRPr="00235063">
        <w:t xml:space="preserve">Gator </w:t>
      </w:r>
      <w:r w:rsidR="00E55788">
        <w:t>is required to notify this</w:t>
      </w:r>
      <w:r w:rsidRPr="00235063">
        <w:t xml:space="preserve"> Commission, in writing, that it has adjusted its books in accordance with </w:t>
      </w:r>
      <w:r w:rsidR="00E55788">
        <w:t>our</w:t>
      </w:r>
      <w:r w:rsidRPr="00235063">
        <w:t xml:space="preserve"> decision. Gator sh</w:t>
      </w:r>
      <w:r w:rsidR="00E55788">
        <w:t>all</w:t>
      </w:r>
      <w:r w:rsidRPr="00235063">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should be filed not less than sev</w:t>
      </w:r>
      <w:r w:rsidR="00045B7D">
        <w:t>en days prior to the deadline. Our s</w:t>
      </w:r>
      <w:r w:rsidRPr="00235063">
        <w:t xml:space="preserve">taff </w:t>
      </w:r>
      <w:r w:rsidR="00045B7D">
        <w:t xml:space="preserve">is hereby </w:t>
      </w:r>
      <w:r w:rsidRPr="00235063">
        <w:t>given administrative authority to grant such an extension for up to 60 days.</w:t>
      </w:r>
    </w:p>
    <w:p w:rsidR="00235063" w:rsidRDefault="00235063" w:rsidP="00235063"/>
    <w:p w:rsidR="00235063" w:rsidRDefault="00235063" w:rsidP="00235063">
      <w:pPr>
        <w:pStyle w:val="OrderBody"/>
      </w:pPr>
      <w:r>
        <w:tab/>
        <w:t>Based on the foregoing, it is</w:t>
      </w:r>
    </w:p>
    <w:p w:rsidR="00235063" w:rsidRDefault="00235063" w:rsidP="00235063">
      <w:pPr>
        <w:pStyle w:val="OrderBody"/>
      </w:pPr>
    </w:p>
    <w:p w:rsidR="00235063" w:rsidRDefault="00235063" w:rsidP="00235063">
      <w:pPr>
        <w:pStyle w:val="OrderBody"/>
        <w:rPr>
          <w:rFonts w:eastAsiaTheme="minorHAnsi"/>
          <w:szCs w:val="22"/>
        </w:rPr>
      </w:pPr>
      <w:r>
        <w:tab/>
        <w:t>ORDERED by the Florida Public Service Commission that</w:t>
      </w:r>
      <w:r w:rsidR="00851CEE">
        <w:t xml:space="preserve"> the overall quality of service provided by Gator Waterworks, Inc. is </w:t>
      </w:r>
      <w:r w:rsidR="00851CEE" w:rsidRPr="00466519">
        <w:rPr>
          <w:rFonts w:eastAsiaTheme="minorHAnsi"/>
          <w:szCs w:val="22"/>
        </w:rPr>
        <w:t>satisfactory</w:t>
      </w:r>
      <w:r w:rsidR="00851CEE">
        <w:rPr>
          <w:rFonts w:eastAsiaTheme="minorHAnsi"/>
          <w:szCs w:val="22"/>
        </w:rPr>
        <w:t>. It is further</w:t>
      </w:r>
    </w:p>
    <w:p w:rsidR="00851CEE" w:rsidRDefault="00851CEE" w:rsidP="00235063">
      <w:pPr>
        <w:pStyle w:val="OrderBody"/>
        <w:rPr>
          <w:rFonts w:eastAsiaTheme="minorHAnsi"/>
          <w:szCs w:val="22"/>
        </w:rPr>
      </w:pPr>
    </w:p>
    <w:p w:rsidR="00851CEE" w:rsidRDefault="00851CEE" w:rsidP="00235063">
      <w:pPr>
        <w:pStyle w:val="OrderBody"/>
      </w:pPr>
      <w:r>
        <w:rPr>
          <w:rFonts w:eastAsiaTheme="minorHAnsi"/>
          <w:szCs w:val="22"/>
        </w:rPr>
        <w:tab/>
        <w:t xml:space="preserve">ORDERED that </w:t>
      </w:r>
      <w:r>
        <w:t xml:space="preserve">Gator Waterworks, Inc.’s </w:t>
      </w:r>
      <w:r w:rsidRPr="00466519">
        <w:t xml:space="preserve">water treatment facility is </w:t>
      </w:r>
      <w:r>
        <w:t>currently in compliance with Department of Environmental Protection</w:t>
      </w:r>
      <w:r w:rsidRPr="00466519">
        <w:t xml:space="preserve"> regulations</w:t>
      </w:r>
      <w:r>
        <w:t>. It is further</w:t>
      </w:r>
    </w:p>
    <w:p w:rsidR="00851CEE" w:rsidRDefault="00851CEE" w:rsidP="00235063">
      <w:pPr>
        <w:pStyle w:val="OrderBody"/>
      </w:pPr>
    </w:p>
    <w:p w:rsidR="00851CEE" w:rsidRDefault="00851CEE" w:rsidP="00235063">
      <w:pPr>
        <w:pStyle w:val="OrderBody"/>
      </w:pPr>
      <w:r>
        <w:tab/>
        <w:t xml:space="preserve">ORDERED that </w:t>
      </w:r>
      <w:r w:rsidR="00B97700">
        <w:t>Gator Waterworks, Inc.’s water treatment plant, storage, and water distribution system shall be considered 100 percent used and useful. It is further</w:t>
      </w:r>
    </w:p>
    <w:p w:rsidR="00B97700" w:rsidRDefault="00B97700" w:rsidP="00235063">
      <w:pPr>
        <w:pStyle w:val="OrderBody"/>
      </w:pPr>
    </w:p>
    <w:p w:rsidR="00B97700" w:rsidRDefault="00B97700" w:rsidP="00235063">
      <w:pPr>
        <w:pStyle w:val="OrderBody"/>
      </w:pPr>
      <w:r>
        <w:tab/>
        <w:t xml:space="preserve">ORDERED that no </w:t>
      </w:r>
      <w:r w:rsidR="00266D41">
        <w:t xml:space="preserve">EUW </w:t>
      </w:r>
      <w:r>
        <w:t>adjustments</w:t>
      </w:r>
      <w:r w:rsidRPr="00B97700">
        <w:t xml:space="preserve"> </w:t>
      </w:r>
      <w:r>
        <w:t>shall be made to operating expenses for chemicals and purchased power. It is further</w:t>
      </w:r>
    </w:p>
    <w:p w:rsidR="00B97700" w:rsidRDefault="00B97700" w:rsidP="00235063">
      <w:pPr>
        <w:pStyle w:val="OrderBody"/>
      </w:pPr>
    </w:p>
    <w:p w:rsidR="00B97700" w:rsidRDefault="00B97700" w:rsidP="00235063">
      <w:pPr>
        <w:pStyle w:val="OrderBody"/>
      </w:pPr>
      <w:r>
        <w:tab/>
        <w:t xml:space="preserve">ORDERED that </w:t>
      </w:r>
      <w:r w:rsidRPr="00466519">
        <w:rPr>
          <w:rFonts w:eastAsiaTheme="minorHAnsi"/>
        </w:rPr>
        <w:t xml:space="preserve">a year-end rate base </w:t>
      </w:r>
      <w:r>
        <w:rPr>
          <w:rFonts w:eastAsiaTheme="minorHAnsi"/>
        </w:rPr>
        <w:t xml:space="preserve">shall be applied </w:t>
      </w:r>
      <w:r w:rsidRPr="00466519">
        <w:rPr>
          <w:rFonts w:eastAsiaTheme="minorHAnsi"/>
        </w:rPr>
        <w:t xml:space="preserve">for </w:t>
      </w:r>
      <w:r>
        <w:t>Gator Waterworks, Inc. It is further</w:t>
      </w:r>
    </w:p>
    <w:p w:rsidR="00B97700" w:rsidRDefault="00B97700" w:rsidP="00235063">
      <w:pPr>
        <w:pStyle w:val="OrderBody"/>
      </w:pPr>
    </w:p>
    <w:p w:rsidR="00B97700" w:rsidRDefault="00B97700" w:rsidP="00235063">
      <w:pPr>
        <w:pStyle w:val="OrderBody"/>
      </w:pPr>
      <w:r>
        <w:tab/>
        <w:t xml:space="preserve">ORDERED that the appropriate year-end test year rate base for Gator Waterworks, Inc. is </w:t>
      </w:r>
      <w:r w:rsidRPr="004D51E9">
        <w:t>$548,722</w:t>
      </w:r>
      <w:r>
        <w:t>. It is further</w:t>
      </w:r>
    </w:p>
    <w:p w:rsidR="00B97700" w:rsidRDefault="00B97700" w:rsidP="00235063">
      <w:pPr>
        <w:pStyle w:val="OrderBody"/>
        <w:rPr>
          <w:rFonts w:eastAsiaTheme="minorHAnsi"/>
        </w:rPr>
      </w:pPr>
      <w:r>
        <w:tab/>
        <w:t xml:space="preserve">ORDERED that the approved return on equity for Gator Waterworks, Inc. </w:t>
      </w:r>
      <w:r>
        <w:rPr>
          <w:rFonts w:eastAsiaTheme="minorHAnsi"/>
        </w:rPr>
        <w:t xml:space="preserve">is </w:t>
      </w:r>
      <w:r w:rsidRPr="004D51E9">
        <w:rPr>
          <w:rFonts w:eastAsiaTheme="minorHAnsi"/>
        </w:rPr>
        <w:t>7.85 percent, with a range of 6.85 percent to 8.85 percent</w:t>
      </w:r>
      <w:r w:rsidR="003B756E">
        <w:rPr>
          <w:rFonts w:eastAsiaTheme="minorHAnsi"/>
        </w:rPr>
        <w:t xml:space="preserve">. The approved </w:t>
      </w:r>
      <w:r w:rsidRPr="004D51E9">
        <w:rPr>
          <w:rFonts w:eastAsiaTheme="minorHAnsi"/>
        </w:rPr>
        <w:t xml:space="preserve">overall rate of return </w:t>
      </w:r>
      <w:r w:rsidR="003B756E">
        <w:rPr>
          <w:rFonts w:eastAsiaTheme="minorHAnsi"/>
        </w:rPr>
        <w:t>is</w:t>
      </w:r>
      <w:r w:rsidRPr="004D51E9">
        <w:rPr>
          <w:rFonts w:eastAsiaTheme="minorHAnsi"/>
        </w:rPr>
        <w:t xml:space="preserve"> 7.85 percent</w:t>
      </w:r>
      <w:r w:rsidR="003B756E">
        <w:rPr>
          <w:rFonts w:eastAsiaTheme="minorHAnsi"/>
        </w:rPr>
        <w:t>. It is further</w:t>
      </w:r>
    </w:p>
    <w:p w:rsidR="003B756E" w:rsidRDefault="003B756E" w:rsidP="00235063">
      <w:pPr>
        <w:pStyle w:val="OrderBody"/>
        <w:rPr>
          <w:rFonts w:eastAsiaTheme="minorHAnsi"/>
        </w:rPr>
      </w:pPr>
    </w:p>
    <w:p w:rsidR="003B756E" w:rsidRDefault="003B756E" w:rsidP="00235063">
      <w:pPr>
        <w:pStyle w:val="OrderBody"/>
      </w:pPr>
      <w:r>
        <w:rPr>
          <w:rFonts w:eastAsiaTheme="minorHAnsi"/>
        </w:rPr>
        <w:tab/>
        <w:t xml:space="preserve">ORDERED that the appropriate test year revenues for </w:t>
      </w:r>
      <w:r>
        <w:t xml:space="preserve">Gator Waterworks, Inc. are </w:t>
      </w:r>
      <w:r w:rsidRPr="004D51E9">
        <w:t>$56,781</w:t>
      </w:r>
      <w:r>
        <w:t>. It is further</w:t>
      </w:r>
    </w:p>
    <w:p w:rsidR="003B756E" w:rsidRDefault="003B756E" w:rsidP="00235063">
      <w:pPr>
        <w:pStyle w:val="OrderBody"/>
      </w:pPr>
    </w:p>
    <w:p w:rsidR="003B756E" w:rsidRDefault="003B756E" w:rsidP="00235063">
      <w:pPr>
        <w:pStyle w:val="OrderBody"/>
      </w:pPr>
      <w:r>
        <w:tab/>
        <w:t xml:space="preserve">ORDERED that Gator Waterworks, Inc.’s approved operating expense is </w:t>
      </w:r>
      <w:r w:rsidRPr="004D51E9">
        <w:t>$112,971</w:t>
      </w:r>
      <w:r>
        <w:t>. It is further</w:t>
      </w:r>
    </w:p>
    <w:p w:rsidR="003B756E" w:rsidRDefault="003B756E" w:rsidP="00235063">
      <w:pPr>
        <w:pStyle w:val="OrderBody"/>
      </w:pPr>
    </w:p>
    <w:p w:rsidR="003B756E" w:rsidRDefault="003B756E" w:rsidP="00235063">
      <w:pPr>
        <w:pStyle w:val="OrderBody"/>
      </w:pPr>
      <w:r>
        <w:tab/>
        <w:t xml:space="preserve">ORDERED that the appropriate revenue requirement for Gator Waterworks, Inc. is </w:t>
      </w:r>
      <w:r w:rsidRPr="00D51180">
        <w:t>$156,046</w:t>
      </w:r>
      <w:r>
        <w:t xml:space="preserve">, resulting in </w:t>
      </w:r>
      <w:r w:rsidRPr="00D51180">
        <w:t>an annual increase of $99,265 (174.82 percent)</w:t>
      </w:r>
      <w:r>
        <w:t>. It is further</w:t>
      </w:r>
    </w:p>
    <w:p w:rsidR="003B756E" w:rsidRDefault="003B756E" w:rsidP="00235063">
      <w:pPr>
        <w:pStyle w:val="OrderBody"/>
      </w:pPr>
    </w:p>
    <w:p w:rsidR="003B756E" w:rsidRDefault="003B756E" w:rsidP="00235063">
      <w:pPr>
        <w:pStyle w:val="OrderBody"/>
      </w:pPr>
      <w:r>
        <w:tab/>
        <w:t>ORDERED that</w:t>
      </w:r>
      <w:r w:rsidR="005D755A">
        <w:t xml:space="preserve"> Gator Waterworks, Inc.’s approved rate structures and monthly water rates are shown on Schedule No. 4. It is further</w:t>
      </w:r>
    </w:p>
    <w:p w:rsidR="005D755A" w:rsidRDefault="005D755A" w:rsidP="00235063">
      <w:pPr>
        <w:pStyle w:val="OrderBody"/>
      </w:pPr>
    </w:p>
    <w:p w:rsidR="005D755A" w:rsidRDefault="005D755A" w:rsidP="00235063">
      <w:pPr>
        <w:pStyle w:val="OrderBody"/>
      </w:pPr>
      <w:r>
        <w:tab/>
        <w:t xml:space="preserve">ORDERED that </w:t>
      </w:r>
      <w:r w:rsidR="007D37EC">
        <w:t xml:space="preserve">Gator Waterworks, Inc. </w:t>
      </w:r>
      <w:r w:rsidR="007D37EC" w:rsidRPr="00D51180">
        <w:t>sh</w:t>
      </w:r>
      <w:r w:rsidR="007D37EC">
        <w:t>all</w:t>
      </w:r>
      <w:r w:rsidR="007D37EC" w:rsidRPr="00D51180">
        <w:t xml:space="preserve"> file revised tariff sheets and a proposed customer notice to reflect the Commission-approved rates. The approved rates sh</w:t>
      </w:r>
      <w:r w:rsidR="007D37EC">
        <w:t>all</w:t>
      </w:r>
      <w:r w:rsidR="007D37EC" w:rsidRPr="00D51180">
        <w:t xml:space="preserve"> be effective for service rendered on or after the stamped approval date on the tariff sheet pursuant to Rule 25-30.475(1), F.A.C. In addition, the approved rates sh</w:t>
      </w:r>
      <w:r w:rsidR="007D37EC">
        <w:t>all</w:t>
      </w:r>
      <w:r w:rsidR="007D37EC" w:rsidRPr="00D51180">
        <w:t xml:space="preserve"> not be implemented until </w:t>
      </w:r>
      <w:r w:rsidR="007D37EC">
        <w:t xml:space="preserve">Commission </w:t>
      </w:r>
      <w:r w:rsidR="007D37EC" w:rsidRPr="00D51180">
        <w:t xml:space="preserve">staff has approved the proposed customer notice and the notice has been received by the customers. </w:t>
      </w:r>
      <w:r w:rsidR="007D37EC">
        <w:t>Gator Waterworks, Inc.</w:t>
      </w:r>
      <w:r w:rsidR="007D37EC" w:rsidRPr="00D51180">
        <w:t xml:space="preserve"> sh</w:t>
      </w:r>
      <w:r w:rsidR="007D37EC">
        <w:t>all</w:t>
      </w:r>
      <w:r w:rsidR="007D37EC" w:rsidRPr="00D51180">
        <w:t xml:space="preserve"> provide proof of the date notice was given within 10 days of the date of the notice</w:t>
      </w:r>
      <w:r w:rsidR="007D37EC">
        <w:t>. It is further</w:t>
      </w:r>
    </w:p>
    <w:p w:rsidR="007D37EC" w:rsidRDefault="007D37EC" w:rsidP="00235063">
      <w:pPr>
        <w:pStyle w:val="OrderBody"/>
      </w:pPr>
    </w:p>
    <w:p w:rsidR="007D37EC" w:rsidRDefault="007D37EC" w:rsidP="00235063">
      <w:pPr>
        <w:pStyle w:val="OrderBody"/>
      </w:pPr>
      <w:r>
        <w:tab/>
        <w:t xml:space="preserve">ORDERED that </w:t>
      </w:r>
      <w:r w:rsidRPr="00D51180">
        <w:t>the appropriate initial customer deposits sh</w:t>
      </w:r>
      <w:r>
        <w:t>all</w:t>
      </w:r>
      <w:r w:rsidRPr="00D51180">
        <w:t xml:space="preserve"> be $66 for the residential 5/8 inch x 3/4 inch meter size for water. The initial customer deposits for all other residential meter sizes and all general service meter sizes sh</w:t>
      </w:r>
      <w:r>
        <w:t>all</w:t>
      </w:r>
      <w:r w:rsidRPr="00D51180">
        <w:t xml:space="preserve"> be two times the average estimated bill for water. The approved initial customer deposits sh</w:t>
      </w:r>
      <w:r>
        <w:t>all</w:t>
      </w:r>
      <w:r w:rsidRPr="00D51180">
        <w:t xml:space="preserve"> be effective for services rendered or connections made on or after the stamped approval date on the tariff sheets pursuant to Rule 25-30.475, F.A.C. </w:t>
      </w:r>
      <w:r>
        <w:t>Gator Waterworks, Inc.</w:t>
      </w:r>
      <w:r w:rsidRPr="00D51180">
        <w:t xml:space="preserve"> sh</w:t>
      </w:r>
      <w:r>
        <w:t>all</w:t>
      </w:r>
      <w:r w:rsidRPr="00D51180">
        <w:t xml:space="preserve"> be required to collect the approved deposits until </w:t>
      </w:r>
      <w:r>
        <w:t xml:space="preserve">this Commission </w:t>
      </w:r>
      <w:r w:rsidRPr="00D51180">
        <w:t>authorize</w:t>
      </w:r>
      <w:r>
        <w:t>s Gator Waterworks, Inc.</w:t>
      </w:r>
      <w:r w:rsidRPr="00D51180">
        <w:t xml:space="preserve"> to change them in a subsequent proceeding</w:t>
      </w:r>
      <w:r>
        <w:t>. It is further</w:t>
      </w:r>
    </w:p>
    <w:p w:rsidR="007D37EC" w:rsidRDefault="007D37EC" w:rsidP="00235063">
      <w:pPr>
        <w:pStyle w:val="OrderBody"/>
      </w:pPr>
    </w:p>
    <w:p w:rsidR="007D37EC" w:rsidRDefault="007D37EC" w:rsidP="007D37EC">
      <w:pPr>
        <w:jc w:val="both"/>
      </w:pPr>
      <w:r>
        <w:tab/>
        <w:t>ORDERED that Gator Waterworks, Inc.</w:t>
      </w:r>
      <w:r w:rsidRPr="00D51180">
        <w:t xml:space="preserve"> </w:t>
      </w:r>
      <w:r>
        <w:t>is hereby authorized to collect Non-sufficient funds</w:t>
      </w:r>
      <w:r w:rsidRPr="00D51180">
        <w:t xml:space="preserve"> charges consistent with Section 68.065, F.S. Gator </w:t>
      </w:r>
      <w:r>
        <w:t xml:space="preserve">shall </w:t>
      </w:r>
      <w:r w:rsidRPr="00D51180">
        <w:t xml:space="preserve">revise its tariffs to reflect the </w:t>
      </w:r>
      <w:r>
        <w:t>Non-sufficient funds</w:t>
      </w:r>
      <w:r w:rsidRPr="00D51180">
        <w:t xml:space="preserve"> charges currently set forth in Section 68.065, F.S. The </w:t>
      </w:r>
      <w:r>
        <w:t>Non-sufficient funds</w:t>
      </w:r>
      <w:r w:rsidRPr="00D51180">
        <w:t xml:space="preserve"> charges sh</w:t>
      </w:r>
      <w:r>
        <w:t>all</w:t>
      </w:r>
      <w:r w:rsidRPr="00D51180">
        <w:t xml:space="preserve"> be effective after the stamped approval date on the tariff sheets pursuant to Rule 25-30.475(1), F.A.C. In addition, the </w:t>
      </w:r>
      <w:r>
        <w:t>Non-sufficient funds</w:t>
      </w:r>
      <w:r w:rsidRPr="00D51180">
        <w:t xml:space="preserve"> charges sh</w:t>
      </w:r>
      <w:r>
        <w:t>all</w:t>
      </w:r>
      <w:r w:rsidRPr="00D51180">
        <w:t xml:space="preserve"> not be implemented until </w:t>
      </w:r>
      <w:r w:rsidR="00516ED5">
        <w:t>Commission</w:t>
      </w:r>
      <w:r>
        <w:t xml:space="preserve"> </w:t>
      </w:r>
      <w:r w:rsidRPr="00D51180">
        <w:t xml:space="preserve">staff has approved the proposed customer notice. </w:t>
      </w:r>
      <w:r w:rsidR="00516ED5">
        <w:t>Gator Waterworks, Inc.</w:t>
      </w:r>
      <w:r w:rsidRPr="00D51180">
        <w:t xml:space="preserve"> sh</w:t>
      </w:r>
      <w:r>
        <w:t>all</w:t>
      </w:r>
      <w:r w:rsidRPr="00D51180">
        <w:t xml:space="preserve"> provide proof of the date the notice was given within 10 days of the date of the notice.</w:t>
      </w:r>
      <w:r>
        <w:t xml:space="preserve"> It is further</w:t>
      </w:r>
    </w:p>
    <w:p w:rsidR="007D37EC" w:rsidRDefault="007D37EC" w:rsidP="007D37EC">
      <w:pPr>
        <w:jc w:val="both"/>
      </w:pPr>
    </w:p>
    <w:p w:rsidR="007D37EC" w:rsidRDefault="007D37EC" w:rsidP="00235063">
      <w:pPr>
        <w:pStyle w:val="OrderBody"/>
        <w:rPr>
          <w:rFonts w:eastAsiaTheme="minorHAnsi"/>
        </w:rPr>
      </w:pPr>
      <w:r>
        <w:tab/>
        <w:t xml:space="preserve">ORDERED that </w:t>
      </w:r>
      <w:r w:rsidR="00A625A2">
        <w:t>Gator Waterworks, Inc.’s</w:t>
      </w:r>
      <w:r w:rsidR="00A625A2" w:rsidRPr="00D51180">
        <w:rPr>
          <w:rFonts w:eastAsiaTheme="minorHAnsi"/>
        </w:rPr>
        <w:t xml:space="preserve"> request to implement a $6.50 late payment charge </w:t>
      </w:r>
      <w:r w:rsidR="00A625A2">
        <w:rPr>
          <w:rFonts w:eastAsiaTheme="minorHAnsi"/>
        </w:rPr>
        <w:t>is hereby</w:t>
      </w:r>
      <w:r w:rsidR="00A625A2" w:rsidRPr="00D51180">
        <w:rPr>
          <w:rFonts w:eastAsiaTheme="minorHAnsi"/>
        </w:rPr>
        <w:t xml:space="preserve"> approved. </w:t>
      </w:r>
      <w:r w:rsidR="00A625A2">
        <w:t>Gator Waterworks, Inc.</w:t>
      </w:r>
      <w:r w:rsidR="00A625A2" w:rsidRPr="00D51180">
        <w:rPr>
          <w:rFonts w:eastAsiaTheme="minorHAnsi"/>
        </w:rPr>
        <w:t xml:space="preserve"> </w:t>
      </w:r>
      <w:r w:rsidR="00A625A2">
        <w:rPr>
          <w:rFonts w:eastAsiaTheme="minorHAnsi"/>
        </w:rPr>
        <w:t>shall</w:t>
      </w:r>
      <w:r w:rsidR="00A625A2" w:rsidRPr="00D51180">
        <w:rPr>
          <w:rFonts w:eastAsiaTheme="minorHAnsi"/>
        </w:rPr>
        <w:t xml:space="preserve"> file a proposed customer notice to reflect the Commission-approved charge. The approved charge sh</w:t>
      </w:r>
      <w:r w:rsidR="00A625A2">
        <w:rPr>
          <w:rFonts w:eastAsiaTheme="minorHAnsi"/>
        </w:rPr>
        <w:t>all</w:t>
      </w:r>
      <w:r w:rsidR="00A625A2" w:rsidRPr="00D51180">
        <w:rPr>
          <w:rFonts w:eastAsiaTheme="minorHAnsi"/>
        </w:rPr>
        <w:t xml:space="preserve"> be effective on or after the stamped approval date on the tariff sheet pursuant to Rule 25-30.475(1), F.A.C. In addition, the approved charge sh</w:t>
      </w:r>
      <w:r w:rsidR="00A625A2">
        <w:rPr>
          <w:rFonts w:eastAsiaTheme="minorHAnsi"/>
        </w:rPr>
        <w:t>all</w:t>
      </w:r>
      <w:r w:rsidR="00A625A2" w:rsidRPr="00D51180">
        <w:rPr>
          <w:rFonts w:eastAsiaTheme="minorHAnsi"/>
        </w:rPr>
        <w:t xml:space="preserve"> not be implemented until after </w:t>
      </w:r>
      <w:r w:rsidR="00A625A2">
        <w:rPr>
          <w:rFonts w:eastAsiaTheme="minorHAnsi"/>
        </w:rPr>
        <w:t xml:space="preserve">Commission </w:t>
      </w:r>
      <w:r w:rsidR="00A625A2" w:rsidRPr="00D51180">
        <w:rPr>
          <w:rFonts w:eastAsiaTheme="minorHAnsi"/>
        </w:rPr>
        <w:t xml:space="preserve">staff has approved the proposed customer notice and the notice has been received by customers. </w:t>
      </w:r>
      <w:r w:rsidR="00A625A2">
        <w:t>Gator Waterworks, Inc.</w:t>
      </w:r>
      <w:r w:rsidR="00A625A2" w:rsidRPr="00D51180">
        <w:rPr>
          <w:rFonts w:eastAsiaTheme="minorHAnsi"/>
        </w:rPr>
        <w:t xml:space="preserve"> sh</w:t>
      </w:r>
      <w:r w:rsidR="00A625A2">
        <w:rPr>
          <w:rFonts w:eastAsiaTheme="minorHAnsi"/>
        </w:rPr>
        <w:t>all</w:t>
      </w:r>
      <w:r w:rsidR="00A625A2" w:rsidRPr="00D51180">
        <w:rPr>
          <w:rFonts w:eastAsiaTheme="minorHAnsi"/>
        </w:rPr>
        <w:t xml:space="preserve"> provide proof of the date notice was given no less than 10 days after the date of the notice.</w:t>
      </w:r>
      <w:r w:rsidR="00A625A2">
        <w:rPr>
          <w:rFonts w:eastAsiaTheme="minorHAnsi"/>
        </w:rPr>
        <w:t xml:space="preserve"> It is further</w:t>
      </w:r>
    </w:p>
    <w:p w:rsidR="00A625A2" w:rsidRDefault="00A625A2" w:rsidP="00235063">
      <w:pPr>
        <w:pStyle w:val="OrderBody"/>
        <w:rPr>
          <w:rFonts w:eastAsiaTheme="minorHAnsi"/>
        </w:rPr>
      </w:pPr>
    </w:p>
    <w:p w:rsidR="00A625A2" w:rsidRDefault="00A625A2" w:rsidP="00235063">
      <w:pPr>
        <w:pStyle w:val="OrderBody"/>
      </w:pPr>
      <w:r>
        <w:rPr>
          <w:rFonts w:eastAsiaTheme="minorHAnsi"/>
        </w:rPr>
        <w:tab/>
        <w:t xml:space="preserve">ORDERED that </w:t>
      </w:r>
      <w:r w:rsidRPr="00D51180">
        <w:t xml:space="preserve">the miscellaneous service charges identified in Table 13 are appropriate and </w:t>
      </w:r>
      <w:r>
        <w:t>are hereby</w:t>
      </w:r>
      <w:r w:rsidRPr="00D51180">
        <w:t xml:space="preserve"> approved. The charges sh</w:t>
      </w:r>
      <w:r>
        <w:t>all</w:t>
      </w:r>
      <w:r w:rsidRPr="00D51180">
        <w:t xml:space="preserve"> be effective on or after the stamped approval date on the tariff pursuant to Rule 25-30.475, F.A.C. In addition, the approved charges sh</w:t>
      </w:r>
      <w:r>
        <w:t>all</w:t>
      </w:r>
      <w:r w:rsidRPr="00D51180">
        <w:t xml:space="preserve"> not be implemented until </w:t>
      </w:r>
      <w:r>
        <w:t xml:space="preserve">Commission </w:t>
      </w:r>
      <w:r w:rsidRPr="00D51180">
        <w:t xml:space="preserve">staff has approved the proposed customer notice and the notice has been received by the customers. </w:t>
      </w:r>
      <w:r>
        <w:t>Gator Waterworks, Inc.</w:t>
      </w:r>
      <w:r w:rsidRPr="00D51180">
        <w:t xml:space="preserve"> sh</w:t>
      </w:r>
      <w:r>
        <w:t>all</w:t>
      </w:r>
      <w:r w:rsidRPr="00D51180">
        <w:t xml:space="preserve"> provide proof of the date notice was given within 10 days of the date of the notice.</w:t>
      </w:r>
      <w:r>
        <w:t xml:space="preserve"> It is further</w:t>
      </w:r>
    </w:p>
    <w:p w:rsidR="00A625A2" w:rsidRDefault="00A625A2" w:rsidP="00235063">
      <w:pPr>
        <w:pStyle w:val="OrderBody"/>
      </w:pPr>
    </w:p>
    <w:p w:rsidR="00A625A2" w:rsidRDefault="00A625A2" w:rsidP="00235063">
      <w:pPr>
        <w:pStyle w:val="OrderBody"/>
      </w:pPr>
      <w:r>
        <w:tab/>
        <w:t xml:space="preserve">ORDERED that </w:t>
      </w:r>
      <w:r w:rsidR="00FE13E9">
        <w:t xml:space="preserve">Gator Waterworks, Inc.’s </w:t>
      </w:r>
      <w:r w:rsidR="00FE13E9" w:rsidRPr="00235063">
        <w:t>rates s</w:t>
      </w:r>
      <w:r w:rsidR="00FE13E9">
        <w:t>hall</w:t>
      </w:r>
      <w:r w:rsidR="00FE13E9" w:rsidRPr="00235063">
        <w:t xml:space="preserve"> be reduced as shown on Schedule No. 4, to remove rate case expense grossed-up for RAFs and amortized over a four-year period. The decrease in rates sh</w:t>
      </w:r>
      <w:r w:rsidR="00FE13E9">
        <w:t>all</w:t>
      </w:r>
      <w:r w:rsidR="00FE13E9" w:rsidRPr="00235063">
        <w:t xml:space="preserve"> become effective immediately following the expiration of the rate case expense recovery period, pursuant to Section 367.081(8), F.S., </w:t>
      </w:r>
      <w:r w:rsidR="00FE13E9">
        <w:t>Gator Waterworks, Inc.</w:t>
      </w:r>
      <w:r w:rsidR="00FE13E9" w:rsidRPr="00235063">
        <w:t xml:space="preserve"> sh</w:t>
      </w:r>
      <w:r w:rsidR="00FE13E9">
        <w:t>all</w:t>
      </w:r>
      <w:r w:rsidR="00FE13E9" w:rsidRPr="00235063">
        <w:t xml:space="preserve"> file revised tariffs and a proposed customer notice setting forth the lower rates and the reason for the reduction no later than one month prior to the actual date of the required rate reduction. If </w:t>
      </w:r>
      <w:r w:rsidR="00FE13E9">
        <w:t>Gator Waterworks, Inc.</w:t>
      </w:r>
      <w:r w:rsidR="00FE13E9" w:rsidRPr="00235063">
        <w:t xml:space="preserve"> files this reduction in conjunction with a price index or pass-through rate adjustment, </w:t>
      </w:r>
      <w:r w:rsidR="00FE13E9">
        <w:t xml:space="preserve">the utility shall file </w:t>
      </w:r>
      <w:r w:rsidR="00FE13E9" w:rsidRPr="00235063">
        <w:t>separate data for the price index and/or pass-through increase or decrease and the reduction in the rates due to the amortized rate case expense</w:t>
      </w:r>
      <w:r w:rsidR="00FE13E9">
        <w:t>.</w:t>
      </w:r>
      <w:r w:rsidR="00B17CBD">
        <w:t xml:space="preserve"> (</w:t>
      </w:r>
      <w:r w:rsidR="00B17CBD" w:rsidRPr="00B17CBD">
        <w:rPr>
          <w:i/>
        </w:rPr>
        <w:t>Procedural Agency Action</w:t>
      </w:r>
      <w:r w:rsidR="00B17CBD">
        <w:t>)</w:t>
      </w:r>
      <w:r w:rsidR="00FE13E9">
        <w:t xml:space="preserve"> It is further</w:t>
      </w:r>
    </w:p>
    <w:p w:rsidR="00FE13E9" w:rsidRDefault="00FE13E9" w:rsidP="00235063">
      <w:pPr>
        <w:pStyle w:val="OrderBody"/>
      </w:pPr>
    </w:p>
    <w:p w:rsidR="00FE13E9" w:rsidRDefault="00FE13E9" w:rsidP="00235063">
      <w:pPr>
        <w:pStyle w:val="OrderBody"/>
      </w:pPr>
      <w:r>
        <w:tab/>
        <w:t xml:space="preserve">ORDERED that </w:t>
      </w:r>
      <w:r w:rsidR="00496A42">
        <w:t>the rates for Gator Waterworks, Inc. are approved on a temporary basis, subject to refund, in the event of a protest filed by a party other than the utility. Gator Waterworks, Inc. shall file revised tariff sheets and a proposed customer notice to reflect the Commission-approved rates. The approved rates shall be effective for service rendered on or after the stamped approval date on the tariff sheet, pursuant to Rule 25-30.475(1), F.A.C. The temporary rates shall not be implemented until Commission staff has approved the proposed notice, and the notice has been received by the customers. (</w:t>
      </w:r>
      <w:r w:rsidR="00964B8D">
        <w:rPr>
          <w:i/>
        </w:rPr>
        <w:t>Procedural Agency Action</w:t>
      </w:r>
      <w:r w:rsidR="00496A42">
        <w:t>) It is further</w:t>
      </w:r>
    </w:p>
    <w:p w:rsidR="00496A42" w:rsidRDefault="00496A42" w:rsidP="00235063">
      <w:pPr>
        <w:pStyle w:val="OrderBody"/>
      </w:pPr>
    </w:p>
    <w:p w:rsidR="00496A42" w:rsidRDefault="00496A42" w:rsidP="00235063">
      <w:pPr>
        <w:pStyle w:val="OrderBody"/>
      </w:pPr>
      <w:r>
        <w:tab/>
        <w:t xml:space="preserve">ORDERED that </w:t>
      </w:r>
      <w:r w:rsidR="00BC1D7E">
        <w:t xml:space="preserve">Gator Waterworks, Inc. shall provide appropriate security </w:t>
      </w:r>
      <w:r w:rsidR="00BC1D7E" w:rsidRPr="00235063">
        <w:t>for the potential refund</w:t>
      </w:r>
      <w:r w:rsidR="00BC1D7E">
        <w:t>. Temporary rates collected by Gator Waterworks, Inc. shall be subject to refund as provided in the body of this Order. (</w:t>
      </w:r>
      <w:r w:rsidR="00BC1D7E">
        <w:rPr>
          <w:i/>
        </w:rPr>
        <w:t>Procedural Agency Action</w:t>
      </w:r>
      <w:r w:rsidR="00BC1D7E">
        <w:t>) It is further</w:t>
      </w:r>
    </w:p>
    <w:p w:rsidR="00BC1D7E" w:rsidRDefault="00BC1D7E" w:rsidP="00235063">
      <w:pPr>
        <w:pStyle w:val="OrderBody"/>
      </w:pPr>
    </w:p>
    <w:p w:rsidR="00BC1D7E" w:rsidRDefault="00BC1D7E" w:rsidP="00235063">
      <w:pPr>
        <w:pStyle w:val="OrderBody"/>
      </w:pPr>
      <w:r>
        <w:tab/>
        <w:t>ORDERED that after the increased rates are in effect, pursuant to Rule 25-30.360(6), F.A.C., Gator Waterworks, Inc. shall file reports with the Office of Commission Clerk no later than the 20</w:t>
      </w:r>
      <w:r w:rsidRPr="00BC1D7E">
        <w:t>th</w:t>
      </w:r>
      <w:r>
        <w:t xml:space="preserve"> of every month indicating the monthly and total amount of money subject to refund at the end of the preceding month. The report filed shall also indicate the status of the security being used to guarantee of any potential refund. (</w:t>
      </w:r>
      <w:r>
        <w:rPr>
          <w:i/>
        </w:rPr>
        <w:t>Procedural Agency Action</w:t>
      </w:r>
      <w:r>
        <w:t>) It is further</w:t>
      </w:r>
    </w:p>
    <w:p w:rsidR="00BC1D7E" w:rsidRDefault="00BC1D7E" w:rsidP="00235063">
      <w:pPr>
        <w:pStyle w:val="OrderBody"/>
      </w:pPr>
    </w:p>
    <w:p w:rsidR="00BC1D7E" w:rsidRDefault="00BC1D7E" w:rsidP="00235063">
      <w:pPr>
        <w:pStyle w:val="OrderBody"/>
      </w:pPr>
      <w:r>
        <w:tab/>
        <w:t xml:space="preserve">ORDERED that </w:t>
      </w:r>
      <w:r w:rsidR="007F4E17">
        <w:t>Gator Waterworks, Inc.</w:t>
      </w:r>
      <w:r w:rsidR="007F4E17" w:rsidRPr="00235063">
        <w:t xml:space="preserve"> </w:t>
      </w:r>
      <w:r w:rsidR="007F4E17">
        <w:t>is required to notify this</w:t>
      </w:r>
      <w:r w:rsidR="007F4E17" w:rsidRPr="00235063">
        <w:t xml:space="preserve"> Commission, in writing, that it has adjusted its books in accordance with </w:t>
      </w:r>
      <w:r w:rsidR="007F4E17">
        <w:t>our</w:t>
      </w:r>
      <w:r w:rsidR="007F4E17" w:rsidRPr="00235063">
        <w:t xml:space="preserve"> decision. </w:t>
      </w:r>
      <w:r w:rsidR="007F4E17">
        <w:t>Gator Waterworks, Inc.</w:t>
      </w:r>
      <w:r w:rsidR="007F4E17" w:rsidRPr="00235063">
        <w:t xml:space="preserve"> sh</w:t>
      </w:r>
      <w:r w:rsidR="007F4E17">
        <w:t>all</w:t>
      </w:r>
      <w:r w:rsidR="007F4E17" w:rsidRPr="00235063">
        <w:t xml:space="preserve"> submit a letter within 90 days of the final order in this docket, confirming that the adjustments to all the applicable NARUC USOA primary accounts have been made to the Utility’s books and records. In the event </w:t>
      </w:r>
      <w:r w:rsidR="007F4E17">
        <w:t>Gator Waterworks, Inc.</w:t>
      </w:r>
      <w:r w:rsidR="007F4E17" w:rsidRPr="00235063">
        <w:t xml:space="preserve"> needs additional time to complete the adjustments, notice providing good cause should be filed not less than sev</w:t>
      </w:r>
      <w:r w:rsidR="007F4E17">
        <w:t>en days prior to the deadline. Commission s</w:t>
      </w:r>
      <w:r w:rsidR="007F4E17" w:rsidRPr="00235063">
        <w:t xml:space="preserve">taff </w:t>
      </w:r>
      <w:r w:rsidR="007F4E17">
        <w:t xml:space="preserve">is hereby </w:t>
      </w:r>
      <w:r w:rsidR="007F4E17" w:rsidRPr="00235063">
        <w:t>given administrative authority to grant such an extension for up to 60 days</w:t>
      </w:r>
      <w:r w:rsidR="007F4E17">
        <w:t>. (</w:t>
      </w:r>
      <w:r w:rsidR="007F4E17">
        <w:rPr>
          <w:i/>
        </w:rPr>
        <w:t>Procedural Agency Action</w:t>
      </w:r>
      <w:r w:rsidR="007F4E17">
        <w:t>) It is further</w:t>
      </w:r>
    </w:p>
    <w:p w:rsidR="007F4E17" w:rsidRDefault="007F4E17" w:rsidP="00235063">
      <w:pPr>
        <w:pStyle w:val="OrderBody"/>
      </w:pPr>
    </w:p>
    <w:p w:rsidR="00235063" w:rsidRDefault="00235063" w:rsidP="007F4E17">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35063" w:rsidRDefault="00235063" w:rsidP="00235063">
      <w:pPr>
        <w:pStyle w:val="OrderBody"/>
      </w:pPr>
    </w:p>
    <w:p w:rsidR="00235063" w:rsidRDefault="00235063" w:rsidP="00235063">
      <w:pPr>
        <w:pStyle w:val="OrderBody"/>
      </w:pPr>
      <w:r>
        <w:tab/>
        <w:t xml:space="preserve">ORDERED that </w:t>
      </w:r>
      <w:r w:rsidR="00A629C7">
        <w:t>i</w:t>
      </w:r>
      <w:r w:rsidR="00A629C7" w:rsidRPr="00235063">
        <w:t>f no person whose substantial interests are affected by the proposed agency action files a protest within 21 days of the issuance of the Proposed Agency Action Order, a consummating order sh</w:t>
      </w:r>
      <w:r w:rsidR="00A629C7">
        <w:t>all</w:t>
      </w:r>
      <w:r w:rsidR="00A629C7" w:rsidRPr="00235063">
        <w:t xml:space="preserve"> be issued. This docket sh</w:t>
      </w:r>
      <w:r w:rsidR="00A629C7">
        <w:t>all</w:t>
      </w:r>
      <w:r w:rsidR="00A629C7" w:rsidRPr="00235063">
        <w:t xml:space="preserve"> remain open for </w:t>
      </w:r>
      <w:r w:rsidR="00A629C7">
        <w:t xml:space="preserve">Commission </w:t>
      </w:r>
      <w:r w:rsidR="00A629C7" w:rsidRPr="00235063">
        <w:t xml:space="preserve">staff’s verification that the revised tariff sheets and customer notices have been filed by the utility and approved by </w:t>
      </w:r>
      <w:r w:rsidR="00A629C7">
        <w:t xml:space="preserve">Commission </w:t>
      </w:r>
      <w:r w:rsidR="00A629C7" w:rsidRPr="00235063">
        <w:t>staff. Also, the docket sh</w:t>
      </w:r>
      <w:r w:rsidR="00A629C7">
        <w:t>all</w:t>
      </w:r>
      <w:r w:rsidR="00A629C7" w:rsidRPr="00235063">
        <w:t xml:space="preserve"> remain open to allow the utility to provide the re</w:t>
      </w:r>
      <w:r w:rsidR="00BE5390">
        <w:t>quired</w:t>
      </w:r>
      <w:r w:rsidR="00A629C7" w:rsidRPr="00235063">
        <w:t xml:space="preserve"> reporting information. Upon </w:t>
      </w:r>
      <w:r w:rsidR="00A629C7">
        <w:t xml:space="preserve">Commission </w:t>
      </w:r>
      <w:r w:rsidR="00A629C7" w:rsidRPr="00235063">
        <w:t xml:space="preserve">staff’s approval of the tariff sheets and customer notices, along with </w:t>
      </w:r>
      <w:r w:rsidR="00A629C7">
        <w:t xml:space="preserve">Commission </w:t>
      </w:r>
      <w:r w:rsidR="00A629C7" w:rsidRPr="00235063">
        <w:t xml:space="preserve">staff’s completion of its review of the </w:t>
      </w:r>
      <w:r w:rsidR="00BE5390" w:rsidRPr="00235063">
        <w:t>re</w:t>
      </w:r>
      <w:r w:rsidR="00BE5390">
        <w:t>quired</w:t>
      </w:r>
      <w:r w:rsidR="00A629C7" w:rsidRPr="00235063">
        <w:t xml:space="preserve"> reporting information, this docket sh</w:t>
      </w:r>
      <w:r w:rsidR="00A629C7">
        <w:t>all</w:t>
      </w:r>
      <w:r w:rsidR="00A629C7" w:rsidRPr="00235063">
        <w:t xml:space="preserve"> be closed administratively if no adjustments are necessary</w:t>
      </w:r>
      <w:r w:rsidR="00A629C7">
        <w:t>.</w:t>
      </w:r>
    </w:p>
    <w:p w:rsidR="00265171" w:rsidRDefault="00265171" w:rsidP="00235063">
      <w:pPr>
        <w:pStyle w:val="OrderBody"/>
      </w:pPr>
    </w:p>
    <w:p w:rsidR="00235063" w:rsidRDefault="00235063" w:rsidP="00235063">
      <w:pPr>
        <w:pStyle w:val="OrderBody"/>
        <w:keepNext/>
        <w:keepLines/>
      </w:pPr>
      <w:r>
        <w:tab/>
        <w:t xml:space="preserve">By ORDER of the Florida Public Service Commission this </w:t>
      </w:r>
      <w:bookmarkStart w:id="10" w:name="replaceDate"/>
      <w:bookmarkEnd w:id="10"/>
      <w:r w:rsidR="00236988">
        <w:rPr>
          <w:u w:val="single"/>
        </w:rPr>
        <w:t>24th</w:t>
      </w:r>
      <w:r w:rsidR="00236988">
        <w:t xml:space="preserve"> day of </w:t>
      </w:r>
      <w:r w:rsidR="00236988">
        <w:rPr>
          <w:u w:val="single"/>
        </w:rPr>
        <w:t>March</w:t>
      </w:r>
      <w:r w:rsidR="00236988">
        <w:t xml:space="preserve">, </w:t>
      </w:r>
      <w:r w:rsidR="00236988">
        <w:rPr>
          <w:u w:val="single"/>
        </w:rPr>
        <w:t>2020</w:t>
      </w:r>
      <w:r w:rsidR="00236988">
        <w:t>.</w:t>
      </w:r>
    </w:p>
    <w:p w:rsidR="00236988" w:rsidRPr="00236988" w:rsidRDefault="00236988" w:rsidP="00235063">
      <w:pPr>
        <w:pStyle w:val="OrderBody"/>
        <w:keepNext/>
        <w:keepLines/>
      </w:pPr>
    </w:p>
    <w:p w:rsidR="00235063" w:rsidRDefault="00235063" w:rsidP="00235063">
      <w:pPr>
        <w:pStyle w:val="OrderBody"/>
        <w:keepNext/>
        <w:keepLines/>
      </w:pPr>
    </w:p>
    <w:p w:rsidR="00235063" w:rsidRDefault="00235063" w:rsidP="002350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35063" w:rsidTr="00235063">
        <w:tc>
          <w:tcPr>
            <w:tcW w:w="720" w:type="dxa"/>
            <w:shd w:val="clear" w:color="auto" w:fill="auto"/>
          </w:tcPr>
          <w:p w:rsidR="00235063" w:rsidRDefault="00235063" w:rsidP="00235063">
            <w:pPr>
              <w:pStyle w:val="OrderBody"/>
              <w:keepNext/>
              <w:keepLines/>
            </w:pPr>
            <w:bookmarkStart w:id="11" w:name="bkmrkSignature" w:colFirst="0" w:colLast="0"/>
          </w:p>
        </w:tc>
        <w:tc>
          <w:tcPr>
            <w:tcW w:w="4320" w:type="dxa"/>
            <w:tcBorders>
              <w:bottom w:val="single" w:sz="4" w:space="0" w:color="auto"/>
            </w:tcBorders>
            <w:shd w:val="clear" w:color="auto" w:fill="auto"/>
          </w:tcPr>
          <w:p w:rsidR="00235063" w:rsidRDefault="00236988" w:rsidP="00235063">
            <w:pPr>
              <w:pStyle w:val="OrderBody"/>
              <w:keepNext/>
              <w:keepLines/>
            </w:pPr>
            <w:r>
              <w:t>/s/ Adam J. Teitzman</w:t>
            </w:r>
            <w:bookmarkStart w:id="12" w:name="_GoBack"/>
            <w:bookmarkEnd w:id="12"/>
          </w:p>
        </w:tc>
      </w:tr>
      <w:bookmarkEnd w:id="11"/>
      <w:tr w:rsidR="00235063" w:rsidTr="00235063">
        <w:tc>
          <w:tcPr>
            <w:tcW w:w="720" w:type="dxa"/>
            <w:shd w:val="clear" w:color="auto" w:fill="auto"/>
          </w:tcPr>
          <w:p w:rsidR="00235063" w:rsidRDefault="00235063" w:rsidP="00235063">
            <w:pPr>
              <w:pStyle w:val="OrderBody"/>
              <w:keepNext/>
              <w:keepLines/>
            </w:pPr>
          </w:p>
        </w:tc>
        <w:tc>
          <w:tcPr>
            <w:tcW w:w="4320" w:type="dxa"/>
            <w:tcBorders>
              <w:top w:val="single" w:sz="4" w:space="0" w:color="auto"/>
            </w:tcBorders>
            <w:shd w:val="clear" w:color="auto" w:fill="auto"/>
          </w:tcPr>
          <w:p w:rsidR="00235063" w:rsidRDefault="00235063" w:rsidP="00235063">
            <w:pPr>
              <w:pStyle w:val="OrderBody"/>
              <w:keepNext/>
              <w:keepLines/>
            </w:pPr>
            <w:r>
              <w:t>ADAM J. TEITZMAN</w:t>
            </w:r>
          </w:p>
          <w:p w:rsidR="00235063" w:rsidRDefault="00235063" w:rsidP="00235063">
            <w:pPr>
              <w:pStyle w:val="OrderBody"/>
              <w:keepNext/>
              <w:keepLines/>
            </w:pPr>
            <w:r>
              <w:t>Commission Clerk</w:t>
            </w:r>
          </w:p>
        </w:tc>
      </w:tr>
    </w:tbl>
    <w:p w:rsidR="00235063" w:rsidRDefault="00235063" w:rsidP="00235063">
      <w:pPr>
        <w:pStyle w:val="OrderSigInfo"/>
        <w:keepNext/>
        <w:keepLines/>
      </w:pPr>
      <w:r>
        <w:t>Florida Public Service Commission</w:t>
      </w:r>
    </w:p>
    <w:p w:rsidR="00235063" w:rsidRDefault="00235063" w:rsidP="00235063">
      <w:pPr>
        <w:pStyle w:val="OrderSigInfo"/>
        <w:keepNext/>
        <w:keepLines/>
      </w:pPr>
      <w:r>
        <w:t>2540 Shumard Oak Boulevard</w:t>
      </w:r>
    </w:p>
    <w:p w:rsidR="00235063" w:rsidRDefault="00235063" w:rsidP="00235063">
      <w:pPr>
        <w:pStyle w:val="OrderSigInfo"/>
        <w:keepNext/>
        <w:keepLines/>
      </w:pPr>
      <w:r>
        <w:t>Tallahassee, Florida 32399</w:t>
      </w:r>
    </w:p>
    <w:p w:rsidR="00235063" w:rsidRDefault="00235063" w:rsidP="00235063">
      <w:pPr>
        <w:pStyle w:val="OrderSigInfo"/>
        <w:keepNext/>
        <w:keepLines/>
      </w:pPr>
      <w:r>
        <w:t>(850) 413</w:t>
      </w:r>
      <w:r>
        <w:noBreakHyphen/>
        <w:t>6770</w:t>
      </w:r>
    </w:p>
    <w:p w:rsidR="00235063" w:rsidRDefault="00235063" w:rsidP="00235063">
      <w:pPr>
        <w:pStyle w:val="OrderSigInfo"/>
        <w:keepNext/>
        <w:keepLines/>
      </w:pPr>
      <w:r>
        <w:t>www.floridapsc.com</w:t>
      </w:r>
    </w:p>
    <w:p w:rsidR="00235063" w:rsidRDefault="00235063" w:rsidP="00235063">
      <w:pPr>
        <w:pStyle w:val="OrderSigInfo"/>
        <w:keepNext/>
        <w:keepLines/>
      </w:pPr>
    </w:p>
    <w:p w:rsidR="00235063" w:rsidRDefault="00235063" w:rsidP="00235063">
      <w:pPr>
        <w:pStyle w:val="OrderSigInfo"/>
        <w:keepNext/>
        <w:keepLines/>
      </w:pPr>
      <w:r>
        <w:t>Copies furnished:  A copy of this document is provided to the parties of record at the time of issuance and, if applicable, interested persons.</w:t>
      </w:r>
    </w:p>
    <w:p w:rsidR="00235063" w:rsidRDefault="00235063" w:rsidP="00235063">
      <w:pPr>
        <w:pStyle w:val="OrderBody"/>
        <w:keepNext/>
        <w:keepLines/>
      </w:pPr>
    </w:p>
    <w:p w:rsidR="00235063" w:rsidRDefault="00235063" w:rsidP="00235063">
      <w:pPr>
        <w:pStyle w:val="OrderBody"/>
        <w:keepNext/>
        <w:keepLines/>
      </w:pPr>
    </w:p>
    <w:p w:rsidR="00235063" w:rsidRDefault="00235063" w:rsidP="00235063">
      <w:pPr>
        <w:pStyle w:val="OrderBody"/>
        <w:keepNext/>
        <w:keepLines/>
      </w:pPr>
      <w:r>
        <w:t>MAD</w:t>
      </w:r>
    </w:p>
    <w:p w:rsidR="00235063" w:rsidRDefault="00235063" w:rsidP="00235063">
      <w:pPr>
        <w:pStyle w:val="OrderBody"/>
      </w:pPr>
    </w:p>
    <w:p w:rsidR="00236988" w:rsidRDefault="00236988" w:rsidP="009A63C6">
      <w:pPr>
        <w:pStyle w:val="CenterUnderline"/>
      </w:pPr>
    </w:p>
    <w:p w:rsidR="009A63C6" w:rsidRDefault="009A63C6" w:rsidP="009A63C6">
      <w:pPr>
        <w:pStyle w:val="CenterUnderline"/>
      </w:pPr>
      <w:r>
        <w:t>NOTICE OF FURTHER PROCEEDINGS OR JUDICIAL REVIEW</w:t>
      </w:r>
    </w:p>
    <w:p w:rsidR="009A63C6" w:rsidRDefault="009A63C6" w:rsidP="009A63C6">
      <w:pPr>
        <w:pStyle w:val="CenterUnderline"/>
      </w:pPr>
    </w:p>
    <w:p w:rsidR="009A63C6" w:rsidRDefault="009A63C6" w:rsidP="009A63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63C6" w:rsidRDefault="009A63C6" w:rsidP="009A63C6">
      <w:pPr>
        <w:pStyle w:val="OrderBody"/>
      </w:pPr>
    </w:p>
    <w:p w:rsidR="009A63C6" w:rsidRDefault="009A63C6" w:rsidP="009A63C6">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36988">
        <w:rPr>
          <w:u w:val="single"/>
        </w:rPr>
        <w:t>April 14,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A63C6" w:rsidRDefault="009A63C6" w:rsidP="009A63C6">
      <w:pPr>
        <w:pStyle w:val="OrderBody"/>
      </w:pPr>
    </w:p>
    <w:p w:rsidR="009A63C6" w:rsidRDefault="009A63C6" w:rsidP="009A63C6">
      <w:pPr>
        <w:pStyle w:val="OrderBody"/>
      </w:pPr>
      <w:r>
        <w:tab/>
        <w:t>Any objection or protest filed in this docket before the issuance date of this order is considered abandoned unless it satisfies the foregoing conditions and is renewed within the specified protest period.</w:t>
      </w:r>
    </w:p>
    <w:p w:rsidR="009A63C6" w:rsidRDefault="009A63C6" w:rsidP="009A63C6">
      <w:pPr>
        <w:pStyle w:val="OrderBody"/>
      </w:pPr>
    </w:p>
    <w:p w:rsidR="00265171" w:rsidRDefault="009A63C6" w:rsidP="009A63C6">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5171" w:rsidRPr="00265171" w:rsidRDefault="00265171" w:rsidP="00265171">
      <w:pPr>
        <w:pStyle w:val="OrderBody"/>
      </w:pPr>
    </w:p>
    <w:p w:rsidR="00235063" w:rsidRDefault="00235063" w:rsidP="00235063">
      <w:pPr>
        <w:pStyle w:val="OrderBody"/>
      </w:pPr>
    </w:p>
    <w:p w:rsidR="00235063" w:rsidRDefault="00235063" w:rsidP="00235063">
      <w:pPr>
        <w:pStyle w:val="OrderBody"/>
        <w:sectPr w:rsidR="00235063">
          <w:headerReference w:type="default" r:id="rId7"/>
          <w:pgSz w:w="12240" w:h="15840" w:code="1"/>
          <w:pgMar w:top="1440" w:right="1440" w:bottom="1440" w:left="1440" w:header="720" w:footer="720" w:gutter="0"/>
          <w:cols w:space="720"/>
          <w:titlePg/>
          <w:docGrid w:linePitch="360"/>
        </w:sectPr>
      </w:pPr>
    </w:p>
    <w:tbl>
      <w:tblPr>
        <w:tblW w:w="8160" w:type="dxa"/>
        <w:jc w:val="center"/>
        <w:tblLook w:val="04A0" w:firstRow="1" w:lastRow="0" w:firstColumn="1" w:lastColumn="0" w:noHBand="0" w:noVBand="1"/>
      </w:tblPr>
      <w:tblGrid>
        <w:gridCol w:w="3860"/>
        <w:gridCol w:w="1300"/>
        <w:gridCol w:w="1804"/>
        <w:gridCol w:w="1572"/>
      </w:tblGrid>
      <w:tr w:rsidR="00A560AB" w:rsidRPr="00572193" w:rsidTr="00A560AB">
        <w:trPr>
          <w:trHeight w:val="312"/>
          <w:jc w:val="center"/>
        </w:trPr>
        <w:tc>
          <w:tcPr>
            <w:tcW w:w="3860" w:type="dxa"/>
            <w:tcBorders>
              <w:top w:val="single" w:sz="8" w:space="0" w:color="auto"/>
              <w:left w:val="single" w:sz="8" w:space="0" w:color="auto"/>
              <w:bottom w:val="nil"/>
              <w:right w:val="nil"/>
            </w:tcBorders>
            <w:shd w:val="clear" w:color="auto" w:fill="auto"/>
            <w:noWrap/>
            <w:vAlign w:val="bottom"/>
            <w:hideMark/>
          </w:tcPr>
          <w:p w:rsidR="00A560AB" w:rsidRPr="00572193" w:rsidRDefault="00A560AB" w:rsidP="00A560AB">
            <w:pPr>
              <w:rPr>
                <w:b/>
                <w:bCs/>
                <w:color w:val="000000"/>
                <w:sz w:val="20"/>
                <w:szCs w:val="20"/>
              </w:rPr>
            </w:pPr>
            <w:bookmarkStart w:id="14" w:name="RANGE!A1:D23"/>
            <w:r w:rsidRPr="00572193">
              <w:rPr>
                <w:b/>
                <w:bCs/>
                <w:color w:val="000000"/>
                <w:sz w:val="20"/>
                <w:szCs w:val="20"/>
              </w:rPr>
              <w:t>GATOR WATERWORKS, INC.</w:t>
            </w:r>
            <w:bookmarkEnd w:id="14"/>
          </w:p>
        </w:tc>
        <w:tc>
          <w:tcPr>
            <w:tcW w:w="1300" w:type="dxa"/>
            <w:tcBorders>
              <w:top w:val="single" w:sz="8" w:space="0" w:color="auto"/>
              <w:left w:val="nil"/>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A560AB" w:rsidRPr="00572193" w:rsidRDefault="00A560AB" w:rsidP="00A560AB">
            <w:pPr>
              <w:jc w:val="right"/>
              <w:rPr>
                <w:b/>
                <w:bCs/>
                <w:color w:val="000000"/>
                <w:sz w:val="20"/>
                <w:szCs w:val="20"/>
              </w:rPr>
            </w:pPr>
            <w:r w:rsidRPr="00572193">
              <w:rPr>
                <w:b/>
                <w:bCs/>
                <w:color w:val="000000"/>
                <w:sz w:val="20"/>
                <w:szCs w:val="20"/>
              </w:rPr>
              <w:t>SCHEDULE NO. 1-A</w:t>
            </w:r>
          </w:p>
        </w:tc>
      </w:tr>
      <w:tr w:rsidR="00A560AB" w:rsidRPr="00572193" w:rsidTr="00A560AB">
        <w:trPr>
          <w:trHeight w:val="312"/>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b/>
                <w:bCs/>
                <w:color w:val="000000"/>
                <w:sz w:val="20"/>
                <w:szCs w:val="20"/>
              </w:rPr>
            </w:pPr>
            <w:r w:rsidRPr="00572193">
              <w:rPr>
                <w:b/>
                <w:bCs/>
                <w:color w:val="000000"/>
                <w:sz w:val="20"/>
                <w:szCs w:val="20"/>
              </w:rPr>
              <w:t>TEST YEAR ENDED  3/31/2019</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color w:val="000000"/>
                <w:sz w:val="20"/>
                <w:szCs w:val="20"/>
              </w:rPr>
            </w:pPr>
          </w:p>
        </w:tc>
        <w:tc>
          <w:tcPr>
            <w:tcW w:w="3000" w:type="dxa"/>
            <w:gridSpan w:val="2"/>
            <w:tcBorders>
              <w:top w:val="nil"/>
              <w:left w:val="nil"/>
              <w:bottom w:val="nil"/>
              <w:right w:val="single" w:sz="8" w:space="0" w:color="000000"/>
            </w:tcBorders>
            <w:shd w:val="clear" w:color="auto" w:fill="auto"/>
            <w:noWrap/>
            <w:vAlign w:val="bottom"/>
            <w:hideMark/>
          </w:tcPr>
          <w:p w:rsidR="00A560AB" w:rsidRPr="00572193" w:rsidRDefault="00A560AB" w:rsidP="00A560AB">
            <w:pPr>
              <w:jc w:val="right"/>
              <w:rPr>
                <w:b/>
                <w:bCs/>
                <w:color w:val="000000"/>
                <w:sz w:val="20"/>
                <w:szCs w:val="20"/>
              </w:rPr>
            </w:pPr>
            <w:r w:rsidRPr="00572193">
              <w:rPr>
                <w:b/>
                <w:bCs/>
                <w:color w:val="000000"/>
                <w:sz w:val="20"/>
                <w:szCs w:val="20"/>
              </w:rPr>
              <w:t>DOCKET NO. 20190114-WU</w:t>
            </w:r>
          </w:p>
        </w:tc>
      </w:tr>
      <w:tr w:rsidR="00A560AB" w:rsidRPr="00572193" w:rsidTr="00A560AB">
        <w:trPr>
          <w:trHeight w:val="324"/>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b/>
                <w:bCs/>
                <w:color w:val="000000"/>
                <w:sz w:val="20"/>
                <w:szCs w:val="20"/>
              </w:rPr>
            </w:pPr>
            <w:r w:rsidRPr="00572193">
              <w:rPr>
                <w:b/>
                <w:bCs/>
                <w:color w:val="000000"/>
                <w:sz w:val="20"/>
                <w:szCs w:val="20"/>
              </w:rPr>
              <w:t>SCHEDULE OF WATER RATE BASE</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color w:val="000000"/>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color w:val="000000"/>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r>
      <w:tr w:rsidR="00A560AB" w:rsidRPr="00572193" w:rsidTr="00A560AB">
        <w:trPr>
          <w:trHeight w:val="300"/>
          <w:jc w:val="center"/>
        </w:trPr>
        <w:tc>
          <w:tcPr>
            <w:tcW w:w="3860" w:type="dxa"/>
            <w:tcBorders>
              <w:top w:val="single" w:sz="8" w:space="0" w:color="auto"/>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single" w:sz="8" w:space="0" w:color="auto"/>
              <w:left w:val="nil"/>
              <w:bottom w:val="nil"/>
              <w:right w:val="nil"/>
            </w:tcBorders>
            <w:shd w:val="clear" w:color="auto" w:fill="auto"/>
            <w:noWrap/>
            <w:vAlign w:val="bottom"/>
            <w:hideMark/>
          </w:tcPr>
          <w:p w:rsidR="00A560AB" w:rsidRPr="00572193" w:rsidRDefault="00A560AB" w:rsidP="00A560AB">
            <w:pPr>
              <w:jc w:val="center"/>
              <w:rPr>
                <w:b/>
                <w:bCs/>
                <w:sz w:val="20"/>
                <w:szCs w:val="20"/>
              </w:rPr>
            </w:pPr>
            <w:r w:rsidRPr="00572193">
              <w:rPr>
                <w:b/>
                <w:bCs/>
                <w:sz w:val="20"/>
                <w:szCs w:val="20"/>
              </w:rPr>
              <w:t>BALANCE</w:t>
            </w:r>
          </w:p>
        </w:tc>
        <w:tc>
          <w:tcPr>
            <w:tcW w:w="1804" w:type="dxa"/>
            <w:tcBorders>
              <w:top w:val="single" w:sz="8" w:space="0" w:color="auto"/>
              <w:left w:val="nil"/>
              <w:bottom w:val="nil"/>
              <w:right w:val="nil"/>
            </w:tcBorders>
            <w:shd w:val="clear" w:color="auto" w:fill="auto"/>
            <w:noWrap/>
            <w:vAlign w:val="bottom"/>
            <w:hideMark/>
          </w:tcPr>
          <w:p w:rsidR="00A560AB" w:rsidRPr="00572193" w:rsidRDefault="00E208F0" w:rsidP="00A560AB">
            <w:pPr>
              <w:jc w:val="center"/>
              <w:rPr>
                <w:b/>
                <w:bCs/>
                <w:sz w:val="20"/>
                <w:szCs w:val="20"/>
              </w:rPr>
            </w:pPr>
            <w:r>
              <w:rPr>
                <w:b/>
                <w:bCs/>
                <w:sz w:val="20"/>
                <w:szCs w:val="20"/>
              </w:rPr>
              <w:t>COMMISSION</w:t>
            </w:r>
          </w:p>
        </w:tc>
        <w:tc>
          <w:tcPr>
            <w:tcW w:w="1196" w:type="dxa"/>
            <w:tcBorders>
              <w:top w:val="single" w:sz="8" w:space="0" w:color="auto"/>
              <w:left w:val="nil"/>
              <w:bottom w:val="nil"/>
              <w:right w:val="single" w:sz="8" w:space="0" w:color="auto"/>
            </w:tcBorders>
            <w:shd w:val="clear" w:color="auto" w:fill="auto"/>
            <w:noWrap/>
            <w:vAlign w:val="bottom"/>
            <w:hideMark/>
          </w:tcPr>
          <w:p w:rsidR="00A560AB" w:rsidRPr="00572193" w:rsidRDefault="00E208F0" w:rsidP="00A560AB">
            <w:pPr>
              <w:jc w:val="center"/>
              <w:rPr>
                <w:b/>
                <w:bCs/>
                <w:sz w:val="20"/>
                <w:szCs w:val="20"/>
              </w:rPr>
            </w:pPr>
            <w:r>
              <w:rPr>
                <w:b/>
                <w:bCs/>
                <w:sz w:val="20"/>
                <w:szCs w:val="20"/>
              </w:rPr>
              <w:t>COMMISSION</w:t>
            </w:r>
          </w:p>
        </w:tc>
      </w:tr>
      <w:tr w:rsidR="00A560AB" w:rsidRPr="00572193" w:rsidTr="00A560AB">
        <w:trPr>
          <w:trHeight w:val="312"/>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rPr>
            </w:pPr>
            <w:r w:rsidRPr="00572193">
              <w:rPr>
                <w:color w:val="00000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center"/>
              <w:rPr>
                <w:b/>
                <w:bCs/>
                <w:sz w:val="20"/>
                <w:szCs w:val="20"/>
              </w:rPr>
            </w:pPr>
            <w:r w:rsidRPr="00572193">
              <w:rPr>
                <w:b/>
                <w:bCs/>
                <w:sz w:val="20"/>
                <w:szCs w:val="20"/>
              </w:rPr>
              <w:t>PER</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center"/>
              <w:rPr>
                <w:b/>
                <w:bCs/>
                <w:sz w:val="20"/>
                <w:szCs w:val="20"/>
              </w:rPr>
            </w:pPr>
            <w:r w:rsidRPr="00572193">
              <w:rPr>
                <w:b/>
                <w:bCs/>
                <w:sz w:val="20"/>
                <w:szCs w:val="20"/>
              </w:rPr>
              <w:t>ADJUSTMENTS</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E208F0" w:rsidP="00A560AB">
            <w:pPr>
              <w:jc w:val="center"/>
              <w:rPr>
                <w:b/>
                <w:bCs/>
                <w:sz w:val="20"/>
                <w:szCs w:val="20"/>
              </w:rPr>
            </w:pPr>
            <w:r>
              <w:rPr>
                <w:b/>
                <w:bCs/>
                <w:sz w:val="20"/>
                <w:szCs w:val="20"/>
              </w:rPr>
              <w:t>APPROVED</w:t>
            </w:r>
          </w:p>
        </w:tc>
      </w:tr>
      <w:tr w:rsidR="00A560AB" w:rsidRPr="00572193" w:rsidTr="00A560AB">
        <w:trPr>
          <w:trHeight w:val="324"/>
          <w:jc w:val="center"/>
        </w:trPr>
        <w:tc>
          <w:tcPr>
            <w:tcW w:w="3860" w:type="dxa"/>
            <w:tcBorders>
              <w:top w:val="nil"/>
              <w:left w:val="single" w:sz="8" w:space="0" w:color="auto"/>
              <w:bottom w:val="single" w:sz="8" w:space="0" w:color="auto"/>
              <w:right w:val="nil"/>
            </w:tcBorders>
            <w:shd w:val="clear" w:color="auto" w:fill="auto"/>
            <w:noWrap/>
            <w:vAlign w:val="bottom"/>
            <w:hideMark/>
          </w:tcPr>
          <w:p w:rsidR="00A560AB" w:rsidRPr="00572193" w:rsidRDefault="00A560AB" w:rsidP="00A560AB">
            <w:pPr>
              <w:rPr>
                <w:b/>
                <w:bCs/>
                <w:color w:val="000000"/>
                <w:sz w:val="20"/>
                <w:szCs w:val="20"/>
              </w:rPr>
            </w:pPr>
            <w:r w:rsidRPr="00572193">
              <w:rPr>
                <w:b/>
                <w:bCs/>
                <w:color w:val="000000"/>
                <w:sz w:val="20"/>
                <w:szCs w:val="20"/>
              </w:rPr>
              <w:t>DESCRIPTION</w:t>
            </w:r>
          </w:p>
        </w:tc>
        <w:tc>
          <w:tcPr>
            <w:tcW w:w="1300" w:type="dxa"/>
            <w:tcBorders>
              <w:top w:val="nil"/>
              <w:left w:val="nil"/>
              <w:bottom w:val="single" w:sz="8" w:space="0" w:color="auto"/>
              <w:right w:val="nil"/>
            </w:tcBorders>
            <w:shd w:val="clear" w:color="auto" w:fill="auto"/>
            <w:noWrap/>
            <w:vAlign w:val="bottom"/>
            <w:hideMark/>
          </w:tcPr>
          <w:p w:rsidR="00A560AB" w:rsidRPr="00572193" w:rsidRDefault="00A560AB" w:rsidP="00A560AB">
            <w:pPr>
              <w:jc w:val="center"/>
              <w:rPr>
                <w:b/>
                <w:bCs/>
                <w:sz w:val="20"/>
                <w:szCs w:val="20"/>
              </w:rPr>
            </w:pPr>
            <w:r w:rsidRPr="00572193">
              <w:rPr>
                <w:b/>
                <w:bCs/>
                <w:sz w:val="20"/>
                <w:szCs w:val="20"/>
              </w:rPr>
              <w:t>UTILITY</w:t>
            </w:r>
          </w:p>
        </w:tc>
        <w:tc>
          <w:tcPr>
            <w:tcW w:w="1804" w:type="dxa"/>
            <w:tcBorders>
              <w:top w:val="nil"/>
              <w:left w:val="nil"/>
              <w:bottom w:val="single" w:sz="8" w:space="0" w:color="auto"/>
              <w:right w:val="nil"/>
            </w:tcBorders>
            <w:shd w:val="clear" w:color="auto" w:fill="auto"/>
            <w:noWrap/>
            <w:vAlign w:val="bottom"/>
            <w:hideMark/>
          </w:tcPr>
          <w:p w:rsidR="00A560AB" w:rsidRPr="00572193" w:rsidRDefault="00A560AB" w:rsidP="00A560AB">
            <w:pPr>
              <w:jc w:val="center"/>
              <w:rPr>
                <w:b/>
                <w:bCs/>
                <w:sz w:val="20"/>
                <w:szCs w:val="20"/>
              </w:rPr>
            </w:pPr>
            <w:r w:rsidRPr="00572193">
              <w:rPr>
                <w:b/>
                <w:bCs/>
                <w:sz w:val="20"/>
                <w:szCs w:val="20"/>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rsidR="00A560AB" w:rsidRPr="00572193" w:rsidRDefault="00E208F0" w:rsidP="00A560AB">
            <w:pPr>
              <w:jc w:val="center"/>
              <w:rPr>
                <w:b/>
                <w:bCs/>
                <w:sz w:val="20"/>
                <w:szCs w:val="20"/>
              </w:rPr>
            </w:pPr>
            <w:r>
              <w:rPr>
                <w:b/>
                <w:bCs/>
                <w:sz w:val="20"/>
                <w:szCs w:val="20"/>
              </w:rPr>
              <w:t>BALANCE</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b/>
                <w:bCs/>
                <w:color w:val="000000"/>
                <w:sz w:val="20"/>
                <w:szCs w:val="20"/>
              </w:rPr>
            </w:pPr>
            <w:r w:rsidRPr="00572193">
              <w:rPr>
                <w:b/>
                <w:bCs/>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center"/>
              <w:rPr>
                <w:b/>
                <w:bCs/>
                <w:color w:val="000000"/>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center"/>
              <w:rPr>
                <w:b/>
                <w:bCs/>
                <w:color w:val="000000"/>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center"/>
              <w:rPr>
                <w:b/>
                <w:bCs/>
                <w:color w:val="000000"/>
                <w:sz w:val="20"/>
                <w:szCs w:val="20"/>
              </w:rPr>
            </w:pPr>
            <w:r w:rsidRPr="00572193">
              <w:rPr>
                <w:b/>
                <w:bCs/>
                <w:color w:val="000000"/>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UTILITY PLANT IN SERVICE</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$468,703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$218,047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$686,750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12"/>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LAND &amp; LAND RIGHTS</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8,000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8,000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NON-USED AND USEFUL COMPONENTS</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0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0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CIAC</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(165,685)</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(165,685)</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ACCUMULATED DEPRECIATION</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(265,341)</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141,444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(123,897)</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AMORTIZATION OF CIAC</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134,990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(686)</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134,304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00"/>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WORKING CAPITAL ALLOWANCE</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u w:val="single"/>
              </w:rPr>
            </w:pPr>
            <w:r w:rsidRPr="00572193">
              <w:rPr>
                <w:sz w:val="20"/>
                <w:szCs w:val="20"/>
                <w:u w:val="single"/>
              </w:rPr>
              <w:t xml:space="preserve">0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u w:val="single"/>
              </w:rPr>
            </w:pPr>
            <w:r w:rsidRPr="00572193">
              <w:rPr>
                <w:sz w:val="20"/>
                <w:szCs w:val="20"/>
                <w:u w:val="single"/>
              </w:rPr>
              <w:t>9,</w:t>
            </w:r>
            <w:r>
              <w:rPr>
                <w:sz w:val="20"/>
                <w:szCs w:val="20"/>
                <w:u w:val="single"/>
              </w:rPr>
              <w:t>250</w:t>
            </w:r>
            <w:r w:rsidRPr="00572193">
              <w:rPr>
                <w:sz w:val="20"/>
                <w:szCs w:val="20"/>
                <w:u w:val="single"/>
              </w:rPr>
              <w:t xml:space="preserve">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single"/>
              </w:rPr>
            </w:pPr>
            <w:r w:rsidRPr="00572193">
              <w:rPr>
                <w:sz w:val="20"/>
                <w:szCs w:val="20"/>
                <w:u w:val="single"/>
              </w:rPr>
              <w:t>9,</w:t>
            </w:r>
            <w:r>
              <w:rPr>
                <w:sz w:val="20"/>
                <w:szCs w:val="20"/>
                <w:u w:val="single"/>
              </w:rPr>
              <w:t>250</w:t>
            </w:r>
          </w:p>
        </w:tc>
      </w:tr>
      <w:tr w:rsidR="00A560AB" w:rsidRPr="00572193" w:rsidTr="00A560AB">
        <w:trPr>
          <w:trHeight w:val="312"/>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 </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804"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12"/>
          <w:jc w:val="center"/>
        </w:trPr>
        <w:tc>
          <w:tcPr>
            <w:tcW w:w="386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color w:val="000000"/>
                <w:sz w:val="20"/>
                <w:szCs w:val="20"/>
              </w:rPr>
            </w:pPr>
            <w:r w:rsidRPr="00572193">
              <w:rPr>
                <w:color w:val="000000"/>
                <w:sz w:val="20"/>
                <w:szCs w:val="20"/>
              </w:rPr>
              <w:t>WATER RATE BASE</w:t>
            </w:r>
          </w:p>
        </w:tc>
        <w:tc>
          <w:tcPr>
            <w:tcW w:w="1300"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 xml:space="preserve">$180,667 </w:t>
            </w:r>
          </w:p>
        </w:tc>
        <w:tc>
          <w:tcPr>
            <w:tcW w:w="1804" w:type="dxa"/>
            <w:tcBorders>
              <w:top w:val="nil"/>
              <w:left w:val="nil"/>
              <w:bottom w:val="nil"/>
              <w:right w:val="nil"/>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$368,</w:t>
            </w:r>
            <w:r>
              <w:rPr>
                <w:sz w:val="20"/>
                <w:szCs w:val="20"/>
                <w:u w:val="double"/>
              </w:rPr>
              <w:t>055</w:t>
            </w:r>
            <w:r w:rsidRPr="00572193">
              <w:rPr>
                <w:sz w:val="20"/>
                <w:szCs w:val="20"/>
                <w:u w:val="double"/>
              </w:rPr>
              <w:t xml:space="preserve"> </w:t>
            </w:r>
          </w:p>
        </w:tc>
        <w:tc>
          <w:tcPr>
            <w:tcW w:w="1196"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$54</w:t>
            </w:r>
            <w:r>
              <w:rPr>
                <w:sz w:val="20"/>
                <w:szCs w:val="20"/>
                <w:u w:val="double"/>
              </w:rPr>
              <w:t>8,722</w:t>
            </w:r>
            <w:r w:rsidRPr="00572193">
              <w:rPr>
                <w:sz w:val="20"/>
                <w:szCs w:val="20"/>
                <w:u w:val="double"/>
              </w:rPr>
              <w:t xml:space="preserve"> </w:t>
            </w:r>
          </w:p>
        </w:tc>
      </w:tr>
      <w:tr w:rsidR="00A560AB" w:rsidRPr="00572193" w:rsidTr="00A560AB">
        <w:trPr>
          <w:trHeight w:val="324"/>
          <w:jc w:val="center"/>
        </w:trPr>
        <w:tc>
          <w:tcPr>
            <w:tcW w:w="3860" w:type="dxa"/>
            <w:tcBorders>
              <w:top w:val="nil"/>
              <w:left w:val="single" w:sz="8" w:space="0" w:color="auto"/>
              <w:bottom w:val="single" w:sz="8" w:space="0" w:color="auto"/>
              <w:right w:val="nil"/>
            </w:tcBorders>
            <w:shd w:val="clear" w:color="auto" w:fill="auto"/>
            <w:noWrap/>
            <w:vAlign w:val="bottom"/>
            <w:hideMark/>
          </w:tcPr>
          <w:p w:rsidR="00A560AB" w:rsidRPr="00572193" w:rsidRDefault="00A560AB" w:rsidP="00A560AB">
            <w:r w:rsidRPr="00572193">
              <w:t> </w:t>
            </w:r>
          </w:p>
        </w:tc>
        <w:tc>
          <w:tcPr>
            <w:tcW w:w="1300" w:type="dxa"/>
            <w:tcBorders>
              <w:top w:val="nil"/>
              <w:left w:val="nil"/>
              <w:bottom w:val="single" w:sz="8" w:space="0" w:color="auto"/>
              <w:right w:val="nil"/>
            </w:tcBorders>
            <w:shd w:val="clear" w:color="auto" w:fill="auto"/>
            <w:noWrap/>
            <w:vAlign w:val="bottom"/>
            <w:hideMark/>
          </w:tcPr>
          <w:p w:rsidR="00A560AB" w:rsidRPr="00572193" w:rsidRDefault="00A560AB" w:rsidP="00A560AB">
            <w:r w:rsidRPr="00572193">
              <w:t> </w:t>
            </w:r>
          </w:p>
        </w:tc>
        <w:tc>
          <w:tcPr>
            <w:tcW w:w="1804" w:type="dxa"/>
            <w:tcBorders>
              <w:top w:val="nil"/>
              <w:left w:val="nil"/>
              <w:bottom w:val="single" w:sz="8" w:space="0" w:color="auto"/>
              <w:right w:val="nil"/>
            </w:tcBorders>
            <w:shd w:val="clear" w:color="auto" w:fill="auto"/>
            <w:noWrap/>
            <w:vAlign w:val="bottom"/>
            <w:hideMark/>
          </w:tcPr>
          <w:p w:rsidR="00A560AB" w:rsidRPr="00572193" w:rsidRDefault="00A560AB" w:rsidP="00A560AB">
            <w:r w:rsidRPr="00572193">
              <w:t> </w:t>
            </w:r>
          </w:p>
        </w:tc>
        <w:tc>
          <w:tcPr>
            <w:tcW w:w="1196" w:type="dxa"/>
            <w:tcBorders>
              <w:top w:val="nil"/>
              <w:left w:val="nil"/>
              <w:bottom w:val="single" w:sz="8" w:space="0" w:color="auto"/>
              <w:right w:val="single" w:sz="8" w:space="0" w:color="auto"/>
            </w:tcBorders>
            <w:shd w:val="clear" w:color="auto" w:fill="auto"/>
            <w:noWrap/>
            <w:vAlign w:val="bottom"/>
            <w:hideMark/>
          </w:tcPr>
          <w:p w:rsidR="00A560AB" w:rsidRPr="00572193" w:rsidRDefault="00A560AB" w:rsidP="00A560AB">
            <w:r w:rsidRPr="00572193">
              <w:t> </w:t>
            </w:r>
          </w:p>
        </w:tc>
      </w:tr>
    </w:tbl>
    <w:p w:rsidR="00A560AB" w:rsidRDefault="00A560AB" w:rsidP="00235063">
      <w:pPr>
        <w:pStyle w:val="OrderBody"/>
        <w:sectPr w:rsidR="00A560AB">
          <w:headerReference w:type="first" r:id="rId8"/>
          <w:pgSz w:w="12240" w:h="15840" w:code="1"/>
          <w:pgMar w:top="1440" w:right="1440" w:bottom="1440" w:left="1440" w:header="720" w:footer="720" w:gutter="0"/>
          <w:cols w:space="720"/>
          <w:titlePg/>
          <w:docGrid w:linePitch="360"/>
        </w:sectPr>
      </w:pPr>
    </w:p>
    <w:tbl>
      <w:tblPr>
        <w:tblW w:w="9400" w:type="dxa"/>
        <w:jc w:val="center"/>
        <w:tblLook w:val="04A0" w:firstRow="1" w:lastRow="0" w:firstColumn="1" w:lastColumn="0" w:noHBand="0" w:noVBand="1"/>
      </w:tblPr>
      <w:tblGrid>
        <w:gridCol w:w="500"/>
        <w:gridCol w:w="6100"/>
        <w:gridCol w:w="1676"/>
        <w:gridCol w:w="1124"/>
      </w:tblGrid>
      <w:tr w:rsidR="00A560AB" w:rsidRPr="00572193" w:rsidTr="00A560AB">
        <w:trPr>
          <w:trHeight w:val="312"/>
          <w:jc w:val="center"/>
        </w:trPr>
        <w:tc>
          <w:tcPr>
            <w:tcW w:w="500" w:type="dxa"/>
            <w:tcBorders>
              <w:top w:val="single" w:sz="8" w:space="0" w:color="auto"/>
              <w:left w:val="single" w:sz="8" w:space="0" w:color="auto"/>
              <w:bottom w:val="nil"/>
              <w:right w:val="nil"/>
            </w:tcBorders>
            <w:shd w:val="clear" w:color="auto" w:fill="auto"/>
            <w:noWrap/>
            <w:vAlign w:val="bottom"/>
            <w:hideMark/>
          </w:tcPr>
          <w:p w:rsidR="00A560AB" w:rsidRPr="00572193" w:rsidRDefault="00A560AB" w:rsidP="00A560AB">
            <w:pPr>
              <w:rPr>
                <w:sz w:val="20"/>
                <w:szCs w:val="20"/>
              </w:rPr>
            </w:pPr>
            <w:bookmarkStart w:id="15" w:name="RANGE!A1:D34"/>
            <w:r w:rsidRPr="00572193">
              <w:rPr>
                <w:sz w:val="20"/>
                <w:szCs w:val="20"/>
              </w:rPr>
              <w:t> </w:t>
            </w:r>
            <w:bookmarkEnd w:id="15"/>
          </w:p>
        </w:tc>
        <w:tc>
          <w:tcPr>
            <w:tcW w:w="6100" w:type="dxa"/>
            <w:tcBorders>
              <w:top w:val="single" w:sz="8" w:space="0" w:color="auto"/>
              <w:left w:val="nil"/>
              <w:bottom w:val="nil"/>
              <w:right w:val="nil"/>
            </w:tcBorders>
            <w:shd w:val="clear" w:color="auto" w:fill="auto"/>
            <w:noWrap/>
            <w:vAlign w:val="bottom"/>
            <w:hideMark/>
          </w:tcPr>
          <w:p w:rsidR="00A560AB" w:rsidRPr="00572193" w:rsidRDefault="00A560AB" w:rsidP="00A560AB">
            <w:pPr>
              <w:rPr>
                <w:b/>
                <w:bCs/>
                <w:sz w:val="20"/>
                <w:szCs w:val="20"/>
              </w:rPr>
            </w:pPr>
            <w:r w:rsidRPr="00572193">
              <w:rPr>
                <w:b/>
                <w:bCs/>
                <w:sz w:val="20"/>
                <w:szCs w:val="20"/>
              </w:rPr>
              <w:t>GATOR WATERWORKS, INC.</w:t>
            </w:r>
          </w:p>
        </w:tc>
        <w:tc>
          <w:tcPr>
            <w:tcW w:w="2800" w:type="dxa"/>
            <w:gridSpan w:val="2"/>
            <w:tcBorders>
              <w:top w:val="single" w:sz="8" w:space="0" w:color="auto"/>
              <w:left w:val="nil"/>
              <w:bottom w:val="nil"/>
              <w:right w:val="single" w:sz="8" w:space="0" w:color="000000"/>
            </w:tcBorders>
            <w:shd w:val="clear" w:color="auto" w:fill="auto"/>
            <w:noWrap/>
            <w:vAlign w:val="bottom"/>
            <w:hideMark/>
          </w:tcPr>
          <w:p w:rsidR="00A560AB" w:rsidRPr="00572193" w:rsidRDefault="00A560AB" w:rsidP="00E0352D">
            <w:pPr>
              <w:jc w:val="right"/>
              <w:rPr>
                <w:b/>
                <w:bCs/>
                <w:sz w:val="20"/>
                <w:szCs w:val="20"/>
              </w:rPr>
            </w:pPr>
            <w:r w:rsidRPr="00572193">
              <w:rPr>
                <w:b/>
                <w:bCs/>
                <w:sz w:val="20"/>
                <w:szCs w:val="20"/>
              </w:rPr>
              <w:t>SCHEDULE NO. 1-B</w:t>
            </w:r>
          </w:p>
        </w:tc>
      </w:tr>
      <w:tr w:rsidR="00A560AB" w:rsidRPr="00572193" w:rsidTr="00A560AB">
        <w:trPr>
          <w:trHeight w:val="300"/>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b/>
                <w:bCs/>
                <w:sz w:val="20"/>
                <w:szCs w:val="20"/>
              </w:rPr>
            </w:pPr>
            <w:r w:rsidRPr="00572193">
              <w:rPr>
                <w:b/>
                <w:bCs/>
                <w:sz w:val="20"/>
                <w:szCs w:val="20"/>
              </w:rPr>
              <w:t>TEST YEAR ENDED  3/31/2019</w:t>
            </w:r>
          </w:p>
        </w:tc>
        <w:tc>
          <w:tcPr>
            <w:tcW w:w="2800" w:type="dxa"/>
            <w:gridSpan w:val="2"/>
            <w:tcBorders>
              <w:top w:val="nil"/>
              <w:left w:val="nil"/>
              <w:bottom w:val="nil"/>
              <w:right w:val="single" w:sz="8" w:space="0" w:color="000000"/>
            </w:tcBorders>
            <w:shd w:val="clear" w:color="auto" w:fill="auto"/>
            <w:noWrap/>
            <w:vAlign w:val="bottom"/>
            <w:hideMark/>
          </w:tcPr>
          <w:p w:rsidR="00A560AB" w:rsidRPr="00572193" w:rsidRDefault="00A560AB" w:rsidP="00A560AB">
            <w:pPr>
              <w:jc w:val="right"/>
              <w:rPr>
                <w:b/>
                <w:bCs/>
                <w:sz w:val="20"/>
                <w:szCs w:val="20"/>
              </w:rPr>
            </w:pPr>
            <w:r w:rsidRPr="00572193">
              <w:rPr>
                <w:b/>
                <w:bCs/>
                <w:sz w:val="20"/>
                <w:szCs w:val="20"/>
              </w:rPr>
              <w:t>DOCKET NO. 20190114-WU</w:t>
            </w:r>
          </w:p>
        </w:tc>
      </w:tr>
      <w:tr w:rsidR="00E0352D" w:rsidRPr="00572193" w:rsidTr="001C047F">
        <w:trPr>
          <w:trHeight w:val="312"/>
          <w:jc w:val="center"/>
        </w:trPr>
        <w:tc>
          <w:tcPr>
            <w:tcW w:w="500" w:type="dxa"/>
            <w:tcBorders>
              <w:top w:val="nil"/>
              <w:left w:val="single" w:sz="8" w:space="0" w:color="auto"/>
              <w:bottom w:val="single" w:sz="4" w:space="0" w:color="auto"/>
              <w:right w:val="nil"/>
            </w:tcBorders>
            <w:shd w:val="clear" w:color="auto" w:fill="auto"/>
            <w:noWrap/>
            <w:vAlign w:val="bottom"/>
            <w:hideMark/>
          </w:tcPr>
          <w:p w:rsidR="00E0352D" w:rsidRPr="00572193" w:rsidRDefault="00E0352D" w:rsidP="00A560AB">
            <w:pPr>
              <w:rPr>
                <w:sz w:val="20"/>
                <w:szCs w:val="20"/>
              </w:rPr>
            </w:pPr>
            <w:r w:rsidRPr="00572193">
              <w:rPr>
                <w:sz w:val="20"/>
                <w:szCs w:val="20"/>
              </w:rPr>
              <w:t> </w:t>
            </w:r>
          </w:p>
        </w:tc>
        <w:tc>
          <w:tcPr>
            <w:tcW w:w="6100" w:type="dxa"/>
            <w:tcBorders>
              <w:top w:val="nil"/>
              <w:left w:val="nil"/>
              <w:bottom w:val="single" w:sz="4" w:space="0" w:color="auto"/>
              <w:right w:val="nil"/>
            </w:tcBorders>
            <w:shd w:val="clear" w:color="auto" w:fill="auto"/>
            <w:noWrap/>
            <w:vAlign w:val="bottom"/>
            <w:hideMark/>
          </w:tcPr>
          <w:p w:rsidR="00E0352D" w:rsidRPr="00572193" w:rsidRDefault="00E0352D" w:rsidP="00A560AB">
            <w:pPr>
              <w:rPr>
                <w:b/>
                <w:bCs/>
                <w:sz w:val="20"/>
                <w:szCs w:val="20"/>
              </w:rPr>
            </w:pPr>
            <w:r w:rsidRPr="00572193">
              <w:rPr>
                <w:b/>
                <w:bCs/>
                <w:sz w:val="20"/>
                <w:szCs w:val="20"/>
              </w:rPr>
              <w:t>ADJUSTMENTS TO RATE BASE</w:t>
            </w:r>
          </w:p>
        </w:tc>
        <w:tc>
          <w:tcPr>
            <w:tcW w:w="2800" w:type="dxa"/>
            <w:gridSpan w:val="2"/>
            <w:tcBorders>
              <w:top w:val="nil"/>
              <w:left w:val="nil"/>
              <w:bottom w:val="single" w:sz="4" w:space="0" w:color="auto"/>
              <w:right w:val="single" w:sz="8" w:space="0" w:color="auto"/>
            </w:tcBorders>
            <w:shd w:val="clear" w:color="auto" w:fill="auto"/>
            <w:noWrap/>
            <w:vAlign w:val="bottom"/>
            <w:hideMark/>
          </w:tcPr>
          <w:p w:rsidR="00E0352D" w:rsidRPr="00E0352D" w:rsidRDefault="00E0352D" w:rsidP="00E0352D">
            <w:pPr>
              <w:jc w:val="right"/>
              <w:rPr>
                <w:b/>
                <w:bCs/>
                <w:sz w:val="20"/>
                <w:szCs w:val="20"/>
              </w:rPr>
            </w:pPr>
            <w:r>
              <w:rPr>
                <w:b/>
                <w:bCs/>
                <w:sz w:val="20"/>
                <w:szCs w:val="20"/>
              </w:rPr>
              <w:t xml:space="preserve">    </w:t>
            </w:r>
            <w:r w:rsidRPr="00572193">
              <w:rPr>
                <w:b/>
                <w:bCs/>
                <w:sz w:val="20"/>
                <w:szCs w:val="20"/>
              </w:rPr>
              <w:t>PAGE 1 OF 1</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single" w:sz="4" w:space="0" w:color="auto"/>
              <w:left w:val="nil"/>
              <w:bottom w:val="nil"/>
              <w:right w:val="single" w:sz="8" w:space="0" w:color="auto"/>
            </w:tcBorders>
            <w:shd w:val="clear" w:color="auto" w:fill="auto"/>
            <w:noWrap/>
            <w:vAlign w:val="bottom"/>
            <w:hideMark/>
          </w:tcPr>
          <w:p w:rsidR="00A560AB" w:rsidRPr="00572193" w:rsidRDefault="00A560AB" w:rsidP="00A560AB">
            <w:pPr>
              <w:jc w:val="center"/>
              <w:rPr>
                <w:b/>
                <w:bCs/>
                <w:sz w:val="20"/>
                <w:szCs w:val="20"/>
                <w:u w:val="single"/>
              </w:rPr>
            </w:pPr>
            <w:r w:rsidRPr="00572193">
              <w:rPr>
                <w:b/>
                <w:bCs/>
                <w:sz w:val="20"/>
                <w:szCs w:val="20"/>
                <w:u w:val="single"/>
              </w:rPr>
              <w:t>WATER</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b/>
                <w:bCs/>
                <w:sz w:val="20"/>
                <w:szCs w:val="20"/>
                <w:u w:val="single"/>
              </w:rPr>
            </w:pPr>
            <w:r w:rsidRPr="00572193">
              <w:rPr>
                <w:b/>
                <w:bCs/>
                <w:sz w:val="20"/>
                <w:szCs w:val="20"/>
                <w:u w:val="single"/>
              </w:rPr>
              <w:t>UTILITY PLANT IN SERVICE</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1.</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pro forma plant additions.</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xml:space="preserve">$376,644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2.</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pro forma plant retirements.</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single"/>
              </w:rPr>
            </w:pPr>
            <w:r w:rsidRPr="00572193">
              <w:rPr>
                <w:sz w:val="20"/>
                <w:szCs w:val="20"/>
                <w:u w:val="single"/>
              </w:rPr>
              <w:t>(158,597)</w:t>
            </w:r>
          </w:p>
        </w:tc>
      </w:tr>
      <w:tr w:rsidR="00A560AB" w:rsidRPr="00572193" w:rsidTr="00A560AB">
        <w:trPr>
          <w:trHeight w:val="300"/>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 xml:space="preserve">     Total</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 xml:space="preserve">$218,047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b/>
                <w:bCs/>
                <w:sz w:val="20"/>
                <w:szCs w:val="20"/>
                <w:u w:val="single"/>
              </w:rPr>
            </w:pPr>
            <w:r w:rsidRPr="00572193">
              <w:rPr>
                <w:b/>
                <w:bCs/>
                <w:sz w:val="20"/>
                <w:szCs w:val="20"/>
                <w:u w:val="single"/>
              </w:rPr>
              <w:t>ACCUMULATED DEPRECIATION</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rPr>
                <w:sz w:val="20"/>
                <w:szCs w:val="20"/>
              </w:rPr>
            </w:pPr>
            <w:r w:rsidRPr="00572193">
              <w:rPr>
                <w:sz w:val="20"/>
                <w:szCs w:val="20"/>
              </w:rPr>
              <w:t>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1.</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audit adjustment to accumulated depreciation.</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($167)</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2.</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pro forma meter replacements.</w:t>
            </w:r>
          </w:p>
        </w:tc>
        <w:tc>
          <w:tcPr>
            <w:tcW w:w="1676"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124"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141,611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 xml:space="preserve">     Total</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 xml:space="preserve">$141,444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b/>
                <w:bCs/>
                <w:sz w:val="20"/>
                <w:szCs w:val="20"/>
                <w:u w:val="single"/>
              </w:rPr>
            </w:pPr>
            <w:r w:rsidRPr="00572193">
              <w:rPr>
                <w:b/>
                <w:bCs/>
                <w:sz w:val="20"/>
                <w:szCs w:val="20"/>
                <w:u w:val="single"/>
              </w:rPr>
              <w:t>AMORTIZATION OF CIAC</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audit adjustment.</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777FB4" w:rsidRDefault="00A560AB" w:rsidP="00A560AB">
            <w:pPr>
              <w:jc w:val="right"/>
              <w:rPr>
                <w:sz w:val="20"/>
                <w:szCs w:val="20"/>
                <w:u w:val="double"/>
              </w:rPr>
            </w:pPr>
            <w:r w:rsidRPr="00777FB4">
              <w:rPr>
                <w:sz w:val="20"/>
                <w:szCs w:val="20"/>
                <w:u w:val="double"/>
              </w:rPr>
              <w:t>($686)</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b/>
                <w:bCs/>
                <w:sz w:val="20"/>
                <w:szCs w:val="20"/>
                <w:u w:val="single"/>
              </w:rPr>
            </w:pPr>
            <w:r w:rsidRPr="00572193">
              <w:rPr>
                <w:b/>
                <w:bCs/>
                <w:sz w:val="20"/>
                <w:szCs w:val="20"/>
                <w:u w:val="single"/>
              </w:rPr>
              <w:t>WORKING CAPITAL ALLOWANCE</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r>
      <w:tr w:rsidR="00A560AB" w:rsidRPr="00572193" w:rsidTr="00A560AB">
        <w:trPr>
          <w:trHeight w:val="312"/>
          <w:jc w:val="center"/>
        </w:trPr>
        <w:tc>
          <w:tcPr>
            <w:tcW w:w="500" w:type="dxa"/>
            <w:tcBorders>
              <w:top w:val="nil"/>
              <w:left w:val="single" w:sz="8" w:space="0" w:color="auto"/>
              <w:bottom w:val="nil"/>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nil"/>
              <w:right w:val="nil"/>
            </w:tcBorders>
            <w:shd w:val="clear" w:color="auto" w:fill="auto"/>
            <w:noWrap/>
            <w:vAlign w:val="bottom"/>
            <w:hideMark/>
          </w:tcPr>
          <w:p w:rsidR="00A560AB" w:rsidRPr="00572193" w:rsidRDefault="00A560AB" w:rsidP="00A560AB">
            <w:pPr>
              <w:rPr>
                <w:sz w:val="20"/>
                <w:szCs w:val="20"/>
              </w:rPr>
            </w:pPr>
            <w:r w:rsidRPr="00572193">
              <w:rPr>
                <w:sz w:val="20"/>
                <w:szCs w:val="20"/>
              </w:rPr>
              <w:t>To reflect 1/8 of test year O &amp; M expenses.</w:t>
            </w:r>
          </w:p>
        </w:tc>
        <w:tc>
          <w:tcPr>
            <w:tcW w:w="1676" w:type="dxa"/>
            <w:tcBorders>
              <w:top w:val="nil"/>
              <w:left w:val="nil"/>
              <w:bottom w:val="nil"/>
              <w:right w:val="nil"/>
            </w:tcBorders>
            <w:shd w:val="clear" w:color="auto" w:fill="auto"/>
            <w:noWrap/>
            <w:vAlign w:val="bottom"/>
            <w:hideMark/>
          </w:tcPr>
          <w:p w:rsidR="00A560AB" w:rsidRPr="00572193" w:rsidRDefault="00A560AB" w:rsidP="00A560AB"/>
        </w:tc>
        <w:tc>
          <w:tcPr>
            <w:tcW w:w="1124" w:type="dxa"/>
            <w:tcBorders>
              <w:top w:val="nil"/>
              <w:left w:val="nil"/>
              <w:bottom w:val="nil"/>
              <w:right w:val="single" w:sz="8" w:space="0" w:color="auto"/>
            </w:tcBorders>
            <w:shd w:val="clear" w:color="auto" w:fill="auto"/>
            <w:noWrap/>
            <w:vAlign w:val="bottom"/>
            <w:hideMark/>
          </w:tcPr>
          <w:p w:rsidR="00A560AB" w:rsidRPr="00572193" w:rsidRDefault="00A560AB" w:rsidP="00A560AB">
            <w:pPr>
              <w:jc w:val="right"/>
              <w:rPr>
                <w:sz w:val="20"/>
                <w:szCs w:val="20"/>
                <w:u w:val="double"/>
              </w:rPr>
            </w:pPr>
            <w:r w:rsidRPr="00572193">
              <w:rPr>
                <w:sz w:val="20"/>
                <w:szCs w:val="20"/>
                <w:u w:val="double"/>
              </w:rPr>
              <w:t>$9,</w:t>
            </w:r>
            <w:r>
              <w:rPr>
                <w:sz w:val="20"/>
                <w:szCs w:val="20"/>
                <w:u w:val="double"/>
              </w:rPr>
              <w:t>250</w:t>
            </w:r>
          </w:p>
        </w:tc>
      </w:tr>
      <w:tr w:rsidR="00A560AB" w:rsidRPr="00572193" w:rsidTr="00A560AB">
        <w:trPr>
          <w:trHeight w:val="324"/>
          <w:jc w:val="center"/>
        </w:trPr>
        <w:tc>
          <w:tcPr>
            <w:tcW w:w="500" w:type="dxa"/>
            <w:tcBorders>
              <w:top w:val="nil"/>
              <w:left w:val="single" w:sz="8" w:space="0" w:color="auto"/>
              <w:bottom w:val="single" w:sz="8" w:space="0" w:color="auto"/>
              <w:right w:val="nil"/>
            </w:tcBorders>
            <w:shd w:val="clear" w:color="auto" w:fill="auto"/>
            <w:noWrap/>
            <w:vAlign w:val="bottom"/>
            <w:hideMark/>
          </w:tcPr>
          <w:p w:rsidR="00A560AB" w:rsidRPr="00572193" w:rsidRDefault="00A560AB" w:rsidP="00A560AB">
            <w:pPr>
              <w:jc w:val="right"/>
              <w:rPr>
                <w:sz w:val="20"/>
                <w:szCs w:val="20"/>
              </w:rPr>
            </w:pPr>
            <w:r w:rsidRPr="00572193">
              <w:rPr>
                <w:sz w:val="20"/>
                <w:szCs w:val="20"/>
              </w:rPr>
              <w:t> </w:t>
            </w:r>
          </w:p>
        </w:tc>
        <w:tc>
          <w:tcPr>
            <w:tcW w:w="6100" w:type="dxa"/>
            <w:tcBorders>
              <w:top w:val="nil"/>
              <w:left w:val="nil"/>
              <w:bottom w:val="single" w:sz="8" w:space="0" w:color="auto"/>
              <w:right w:val="nil"/>
            </w:tcBorders>
            <w:shd w:val="clear" w:color="auto" w:fill="auto"/>
            <w:noWrap/>
            <w:vAlign w:val="bottom"/>
            <w:hideMark/>
          </w:tcPr>
          <w:p w:rsidR="00A560AB" w:rsidRPr="00572193" w:rsidRDefault="00A560AB" w:rsidP="00A560AB">
            <w:r w:rsidRPr="00572193">
              <w:t> </w:t>
            </w:r>
          </w:p>
        </w:tc>
        <w:tc>
          <w:tcPr>
            <w:tcW w:w="1676" w:type="dxa"/>
            <w:tcBorders>
              <w:top w:val="nil"/>
              <w:left w:val="nil"/>
              <w:bottom w:val="single" w:sz="8" w:space="0" w:color="auto"/>
              <w:right w:val="nil"/>
            </w:tcBorders>
            <w:shd w:val="clear" w:color="auto" w:fill="auto"/>
            <w:noWrap/>
            <w:vAlign w:val="bottom"/>
            <w:hideMark/>
          </w:tcPr>
          <w:p w:rsidR="00A560AB" w:rsidRPr="00572193" w:rsidRDefault="00A560AB" w:rsidP="00A560AB">
            <w:r w:rsidRPr="00572193">
              <w:t> </w:t>
            </w:r>
          </w:p>
        </w:tc>
        <w:tc>
          <w:tcPr>
            <w:tcW w:w="1124" w:type="dxa"/>
            <w:tcBorders>
              <w:top w:val="nil"/>
              <w:left w:val="nil"/>
              <w:bottom w:val="single" w:sz="8" w:space="0" w:color="auto"/>
              <w:right w:val="single" w:sz="8" w:space="0" w:color="auto"/>
            </w:tcBorders>
            <w:shd w:val="clear" w:color="auto" w:fill="auto"/>
            <w:noWrap/>
            <w:vAlign w:val="bottom"/>
            <w:hideMark/>
          </w:tcPr>
          <w:p w:rsidR="00A560AB" w:rsidRPr="00572193" w:rsidRDefault="00A560AB" w:rsidP="00A560AB">
            <w:r w:rsidRPr="00572193">
              <w:t> </w:t>
            </w:r>
          </w:p>
        </w:tc>
      </w:tr>
    </w:tbl>
    <w:p w:rsidR="00A560AB" w:rsidRDefault="00A560AB" w:rsidP="00235063">
      <w:pPr>
        <w:pStyle w:val="OrderBody"/>
        <w:sectPr w:rsidR="00A560AB">
          <w:headerReference w:type="first" r:id="rId9"/>
          <w:pgSz w:w="12240" w:h="15840" w:code="1"/>
          <w:pgMar w:top="1440" w:right="1440" w:bottom="1440" w:left="1440" w:header="720" w:footer="720" w:gutter="0"/>
          <w:cols w:space="720"/>
          <w:titlePg/>
          <w:docGrid w:linePitch="360"/>
        </w:sectPr>
      </w:pPr>
    </w:p>
    <w:tbl>
      <w:tblPr>
        <w:tblW w:w="14172" w:type="dxa"/>
        <w:jc w:val="center"/>
        <w:tblLook w:val="04A0" w:firstRow="1" w:lastRow="0" w:firstColumn="1" w:lastColumn="0" w:noHBand="0" w:noVBand="1"/>
      </w:tblPr>
      <w:tblGrid>
        <w:gridCol w:w="366"/>
        <w:gridCol w:w="3452"/>
        <w:gridCol w:w="1146"/>
        <w:gridCol w:w="1262"/>
        <w:gridCol w:w="1740"/>
        <w:gridCol w:w="1654"/>
        <w:gridCol w:w="1572"/>
        <w:gridCol w:w="1247"/>
        <w:gridCol w:w="761"/>
        <w:gridCol w:w="1350"/>
      </w:tblGrid>
      <w:tr w:rsidR="00A560AB" w:rsidRPr="00A26DB5" w:rsidTr="00A560AB">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5860" w:type="dxa"/>
            <w:gridSpan w:val="3"/>
            <w:tcBorders>
              <w:top w:val="single" w:sz="8" w:space="0" w:color="auto"/>
              <w:left w:val="nil"/>
              <w:bottom w:val="nil"/>
              <w:right w:val="nil"/>
            </w:tcBorders>
            <w:shd w:val="clear" w:color="auto" w:fill="auto"/>
            <w:noWrap/>
            <w:vAlign w:val="bottom"/>
            <w:hideMark/>
          </w:tcPr>
          <w:p w:rsidR="00A560AB" w:rsidRPr="00A26DB5" w:rsidRDefault="00A560AB" w:rsidP="00A560AB">
            <w:pPr>
              <w:rPr>
                <w:b/>
                <w:bCs/>
                <w:color w:val="000000"/>
                <w:sz w:val="20"/>
                <w:szCs w:val="20"/>
              </w:rPr>
            </w:pPr>
            <w:r w:rsidRPr="00A26DB5">
              <w:rPr>
                <w:b/>
                <w:bCs/>
                <w:color w:val="000000"/>
                <w:sz w:val="20"/>
                <w:szCs w:val="20"/>
              </w:rPr>
              <w:t>GATOR WATERWORKS, INC.</w:t>
            </w:r>
          </w:p>
        </w:tc>
        <w:tc>
          <w:tcPr>
            <w:tcW w:w="1740" w:type="dxa"/>
            <w:tcBorders>
              <w:top w:val="single" w:sz="8" w:space="0" w:color="auto"/>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654" w:type="dxa"/>
            <w:tcBorders>
              <w:top w:val="single" w:sz="8" w:space="0" w:color="auto"/>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4552" w:type="dxa"/>
            <w:gridSpan w:val="4"/>
            <w:tcBorders>
              <w:top w:val="single" w:sz="8" w:space="0" w:color="auto"/>
              <w:left w:val="nil"/>
              <w:bottom w:val="nil"/>
              <w:right w:val="single" w:sz="8" w:space="0" w:color="000000"/>
            </w:tcBorders>
            <w:shd w:val="clear" w:color="auto" w:fill="auto"/>
            <w:noWrap/>
            <w:vAlign w:val="bottom"/>
            <w:hideMark/>
          </w:tcPr>
          <w:p w:rsidR="00A560AB" w:rsidRPr="00A26DB5" w:rsidRDefault="00A560AB" w:rsidP="00A560AB">
            <w:pPr>
              <w:jc w:val="right"/>
              <w:rPr>
                <w:b/>
                <w:bCs/>
                <w:color w:val="000000"/>
                <w:sz w:val="20"/>
                <w:szCs w:val="20"/>
              </w:rPr>
            </w:pPr>
            <w:r w:rsidRPr="00A26DB5">
              <w:rPr>
                <w:b/>
                <w:bCs/>
                <w:color w:val="000000"/>
                <w:sz w:val="20"/>
                <w:szCs w:val="20"/>
              </w:rPr>
              <w:t>SCHEDULE NO. 2</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5860" w:type="dxa"/>
            <w:gridSpan w:val="3"/>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r w:rsidRPr="00A26DB5">
              <w:rPr>
                <w:b/>
                <w:bCs/>
                <w:color w:val="000000"/>
                <w:sz w:val="20"/>
                <w:szCs w:val="20"/>
              </w:rPr>
              <w:t>TEST YEAR ENDED  3/31/2019</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4552" w:type="dxa"/>
            <w:gridSpan w:val="4"/>
            <w:tcBorders>
              <w:top w:val="nil"/>
              <w:left w:val="nil"/>
              <w:bottom w:val="nil"/>
              <w:right w:val="single" w:sz="8" w:space="0" w:color="000000"/>
            </w:tcBorders>
            <w:shd w:val="clear" w:color="auto" w:fill="auto"/>
            <w:noWrap/>
            <w:vAlign w:val="bottom"/>
            <w:hideMark/>
          </w:tcPr>
          <w:p w:rsidR="00A560AB" w:rsidRPr="00A26DB5" w:rsidRDefault="00A560AB" w:rsidP="00A560AB">
            <w:pPr>
              <w:jc w:val="right"/>
              <w:rPr>
                <w:b/>
                <w:bCs/>
                <w:color w:val="000000"/>
                <w:sz w:val="20"/>
                <w:szCs w:val="20"/>
              </w:rPr>
            </w:pPr>
            <w:r w:rsidRPr="00A26DB5">
              <w:rPr>
                <w:b/>
                <w:bCs/>
                <w:color w:val="000000"/>
                <w:sz w:val="20"/>
                <w:szCs w:val="20"/>
              </w:rPr>
              <w:t>DOCKET NO. 20190114-WU</w:t>
            </w: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5860" w:type="dxa"/>
            <w:gridSpan w:val="3"/>
            <w:tcBorders>
              <w:top w:val="nil"/>
              <w:left w:val="nil"/>
              <w:bottom w:val="single" w:sz="8" w:space="0" w:color="auto"/>
              <w:right w:val="nil"/>
            </w:tcBorders>
            <w:shd w:val="clear" w:color="auto" w:fill="auto"/>
            <w:noWrap/>
            <w:vAlign w:val="bottom"/>
            <w:hideMark/>
          </w:tcPr>
          <w:p w:rsidR="00A560AB" w:rsidRPr="00A26DB5" w:rsidRDefault="00A560AB" w:rsidP="00A560AB">
            <w:pPr>
              <w:rPr>
                <w:b/>
                <w:bCs/>
                <w:color w:val="000000"/>
                <w:sz w:val="20"/>
                <w:szCs w:val="20"/>
              </w:rPr>
            </w:pPr>
            <w:r w:rsidRPr="00A26DB5">
              <w:rPr>
                <w:b/>
                <w:bCs/>
                <w:color w:val="000000"/>
                <w:sz w:val="20"/>
                <w:szCs w:val="20"/>
              </w:rPr>
              <w:t>SCHEDULE OF CAPITAL STRUCTURE</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r>
      <w:tr w:rsidR="00A560AB" w:rsidRPr="00A26DB5" w:rsidTr="00A560AB">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A560AB" w:rsidRPr="00A26DB5" w:rsidRDefault="00A560AB" w:rsidP="00A560AB">
            <w:pPr>
              <w:jc w:val="cente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740" w:type="dxa"/>
            <w:tcBorders>
              <w:top w:val="single" w:sz="8" w:space="0" w:color="auto"/>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BALANCE</w:t>
            </w:r>
          </w:p>
        </w:tc>
        <w:tc>
          <w:tcPr>
            <w:tcW w:w="1654" w:type="dxa"/>
            <w:tcBorders>
              <w:top w:val="single" w:sz="8" w:space="0" w:color="auto"/>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194" w:type="dxa"/>
            <w:tcBorders>
              <w:top w:val="single" w:sz="8" w:space="0" w:color="auto"/>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 </w:t>
            </w:r>
          </w:p>
        </w:tc>
        <w:tc>
          <w:tcPr>
            <w:tcW w:w="1247" w:type="dxa"/>
            <w:tcBorders>
              <w:top w:val="single" w:sz="8" w:space="0" w:color="auto"/>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761" w:type="dxa"/>
            <w:tcBorders>
              <w:top w:val="single" w:sz="8" w:space="0" w:color="auto"/>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SPECIFIC</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BEFORE</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BALANCE</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PERCENT</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b/>
                <w:bCs/>
                <w:color w:val="000000"/>
                <w:sz w:val="20"/>
                <w:szCs w:val="20"/>
              </w:rPr>
            </w:pPr>
            <w:r w:rsidRPr="00A26DB5">
              <w:rPr>
                <w:b/>
                <w:bCs/>
                <w:color w:val="000000"/>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PER</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ADJUST-</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PRO RATA</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ADJUST-</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PER</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OF</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WEIGHTED</w:t>
            </w:r>
          </w:p>
        </w:tc>
      </w:tr>
      <w:tr w:rsidR="00A560AB" w:rsidRPr="00A26DB5" w:rsidTr="00A560AB">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single" w:sz="8" w:space="0" w:color="auto"/>
              <w:right w:val="nil"/>
            </w:tcBorders>
            <w:shd w:val="clear" w:color="auto" w:fill="auto"/>
            <w:noWrap/>
            <w:vAlign w:val="bottom"/>
            <w:hideMark/>
          </w:tcPr>
          <w:p w:rsidR="00A560AB" w:rsidRPr="00A26DB5" w:rsidRDefault="00A560AB" w:rsidP="00A560AB">
            <w:pPr>
              <w:rPr>
                <w:b/>
                <w:bCs/>
                <w:color w:val="000000"/>
                <w:sz w:val="20"/>
                <w:szCs w:val="20"/>
              </w:rPr>
            </w:pPr>
            <w:r w:rsidRPr="00A26DB5">
              <w:rPr>
                <w:b/>
                <w:bCs/>
                <w:color w:val="000000"/>
                <w:sz w:val="20"/>
                <w:szCs w:val="20"/>
              </w:rPr>
              <w:t>CAPITAL COMPONENT</w:t>
            </w:r>
          </w:p>
        </w:tc>
        <w:tc>
          <w:tcPr>
            <w:tcW w:w="1146"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UTILITY</w:t>
            </w:r>
          </w:p>
        </w:tc>
        <w:tc>
          <w:tcPr>
            <w:tcW w:w="1262"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MENTS</w:t>
            </w:r>
          </w:p>
        </w:tc>
        <w:tc>
          <w:tcPr>
            <w:tcW w:w="1740"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ADJUSTMENTS</w:t>
            </w:r>
          </w:p>
        </w:tc>
        <w:tc>
          <w:tcPr>
            <w:tcW w:w="1654"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MENTS</w:t>
            </w:r>
          </w:p>
        </w:tc>
        <w:tc>
          <w:tcPr>
            <w:tcW w:w="1194" w:type="dxa"/>
            <w:tcBorders>
              <w:top w:val="nil"/>
              <w:left w:val="nil"/>
              <w:bottom w:val="single" w:sz="8" w:space="0" w:color="auto"/>
              <w:right w:val="nil"/>
            </w:tcBorders>
            <w:shd w:val="clear" w:color="auto" w:fill="auto"/>
            <w:noWrap/>
            <w:vAlign w:val="bottom"/>
            <w:hideMark/>
          </w:tcPr>
          <w:p w:rsidR="00A560AB" w:rsidRPr="00A26DB5" w:rsidRDefault="00E208F0" w:rsidP="00A560AB">
            <w:pPr>
              <w:jc w:val="center"/>
              <w:rPr>
                <w:b/>
                <w:bCs/>
                <w:color w:val="000000"/>
                <w:sz w:val="20"/>
                <w:szCs w:val="20"/>
              </w:rPr>
            </w:pPr>
            <w:r>
              <w:rPr>
                <w:b/>
                <w:bCs/>
                <w:color w:val="000000"/>
                <w:sz w:val="20"/>
                <w:szCs w:val="20"/>
              </w:rPr>
              <w:t>COMMISSION</w:t>
            </w:r>
          </w:p>
        </w:tc>
        <w:tc>
          <w:tcPr>
            <w:tcW w:w="1247"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TOTAL</w:t>
            </w:r>
          </w:p>
        </w:tc>
        <w:tc>
          <w:tcPr>
            <w:tcW w:w="761" w:type="dxa"/>
            <w:tcBorders>
              <w:top w:val="nil"/>
              <w:left w:val="nil"/>
              <w:bottom w:val="single" w:sz="8" w:space="0" w:color="auto"/>
              <w:right w:val="nil"/>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COST</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center"/>
              <w:rPr>
                <w:b/>
                <w:bCs/>
                <w:color w:val="000000"/>
                <w:sz w:val="20"/>
                <w:szCs w:val="20"/>
              </w:rPr>
            </w:pPr>
            <w:r w:rsidRPr="00A26DB5">
              <w:rPr>
                <w:b/>
                <w:bCs/>
                <w:color w:val="000000"/>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1.</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COMMON STOCK</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$122,500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$122,500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2.</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RETAINED EARNINGS</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(33,137)</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(33,137)</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3.</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PAID IN CAPITAL</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267,473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267,473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4.</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OTHER COMMON EQUITY</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xml:space="preserve">   TOTAL COMMON EQUITY</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$356,836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356,836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$19</w:t>
            </w:r>
            <w:r>
              <w:rPr>
                <w:sz w:val="20"/>
                <w:szCs w:val="20"/>
                <w:u w:val="double"/>
              </w:rPr>
              <w:t>1,866</w:t>
            </w:r>
            <w:r w:rsidRPr="00A26DB5">
              <w:rPr>
                <w:sz w:val="20"/>
                <w:szCs w:val="20"/>
                <w:u w:val="double"/>
              </w:rPr>
              <w:t xml:space="preserve">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$54</w:t>
            </w:r>
            <w:r>
              <w:rPr>
                <w:sz w:val="20"/>
                <w:szCs w:val="20"/>
                <w:u w:val="double"/>
              </w:rPr>
              <w:t>8,722</w:t>
            </w:r>
            <w:r w:rsidRPr="00A26DB5">
              <w:rPr>
                <w:sz w:val="20"/>
                <w:szCs w:val="20"/>
                <w:u w:val="double"/>
              </w:rPr>
              <w:t xml:space="preserve">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100.00%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7.85%</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rPr>
            </w:pPr>
            <w:r w:rsidRPr="00A26DB5">
              <w:rPr>
                <w:sz w:val="20"/>
                <w:szCs w:val="20"/>
              </w:rPr>
              <w:t>7.85%</w:t>
            </w:r>
          </w:p>
        </w:tc>
      </w:tr>
      <w:tr w:rsidR="00A560AB" w:rsidRPr="00A26DB5" w:rsidTr="00A560AB">
        <w:trPr>
          <w:trHeight w:val="336"/>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262"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u w:val="single"/>
              </w:rPr>
            </w:pP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tc>
        <w:tc>
          <w:tcPr>
            <w:tcW w:w="1262"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5.</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LONG-TERM DEBT</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6.</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SHORT-TERM DEBT</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 xml:space="preserve">0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7.</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PREFERRED STOCK</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rPr>
            </w:pPr>
            <w:r w:rsidRPr="00A26DB5">
              <w:rPr>
                <w:sz w:val="20"/>
                <w:szCs w:val="20"/>
              </w:rPr>
              <w:t>0.00%</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xml:space="preserve">   TOTAL LONG-TERM DEBT</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tc>
        <w:tc>
          <w:tcPr>
            <w:tcW w:w="1262" w:type="dxa"/>
            <w:tcBorders>
              <w:top w:val="nil"/>
              <w:left w:val="nil"/>
              <w:bottom w:val="nil"/>
              <w:right w:val="nil"/>
            </w:tcBorders>
            <w:shd w:val="clear" w:color="auto" w:fill="auto"/>
            <w:noWrap/>
            <w:vAlign w:val="bottom"/>
            <w:hideMark/>
          </w:tcPr>
          <w:p w:rsidR="00A560AB" w:rsidRPr="00A26DB5" w:rsidRDefault="00A560AB" w:rsidP="00A560AB"/>
        </w:tc>
        <w:tc>
          <w:tcPr>
            <w:tcW w:w="1740" w:type="dxa"/>
            <w:tcBorders>
              <w:top w:val="nil"/>
              <w:left w:val="nil"/>
              <w:bottom w:val="nil"/>
              <w:right w:val="nil"/>
            </w:tcBorders>
            <w:shd w:val="clear" w:color="auto" w:fill="auto"/>
            <w:noWrap/>
            <w:vAlign w:val="bottom"/>
            <w:hideMark/>
          </w:tcPr>
          <w:p w:rsidR="00A560AB" w:rsidRPr="00A26DB5" w:rsidRDefault="00A560AB" w:rsidP="00A560AB"/>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8.</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CUSTOMER DEPOSITS</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 xml:space="preserve">0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rPr>
            </w:pPr>
            <w:r w:rsidRPr="00A26DB5">
              <w:rPr>
                <w:sz w:val="20"/>
                <w:szCs w:val="20"/>
              </w:rPr>
              <w:t>2.00%</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0.000%</w:t>
            </w:r>
          </w:p>
        </w:tc>
      </w:tr>
      <w:tr w:rsidR="00A560AB" w:rsidRPr="00A26DB5" w:rsidTr="00A560AB">
        <w:trPr>
          <w:trHeight w:val="300"/>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62"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36"/>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9.</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TOTAL</w:t>
            </w:r>
          </w:p>
        </w:tc>
        <w:tc>
          <w:tcPr>
            <w:tcW w:w="1146"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$356,836 </w:t>
            </w:r>
          </w:p>
        </w:tc>
        <w:tc>
          <w:tcPr>
            <w:tcW w:w="1262"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$0 </w:t>
            </w:r>
          </w:p>
        </w:tc>
        <w:tc>
          <w:tcPr>
            <w:tcW w:w="1740"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 xml:space="preserve">$356,836 </w:t>
            </w:r>
          </w:p>
        </w:tc>
        <w:tc>
          <w:tcPr>
            <w:tcW w:w="165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$19</w:t>
            </w:r>
            <w:r>
              <w:rPr>
                <w:sz w:val="20"/>
                <w:szCs w:val="20"/>
                <w:u w:val="double"/>
              </w:rPr>
              <w:t>1,866</w:t>
            </w:r>
            <w:r w:rsidRPr="00A26DB5">
              <w:rPr>
                <w:sz w:val="20"/>
                <w:szCs w:val="20"/>
                <w:u w:val="double"/>
              </w:rPr>
              <w:t xml:space="preserve"> </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$54</w:t>
            </w:r>
            <w:r>
              <w:rPr>
                <w:sz w:val="20"/>
                <w:szCs w:val="20"/>
                <w:u w:val="double"/>
              </w:rPr>
              <w:t>8,722</w:t>
            </w:r>
            <w:r w:rsidRPr="00A26DB5">
              <w:rPr>
                <w:sz w:val="20"/>
                <w:szCs w:val="20"/>
                <w:u w:val="double"/>
              </w:rPr>
              <w:t xml:space="preserve"> </w:t>
            </w: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100.00%</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jc w:val="right"/>
              <w:rPr>
                <w:sz w:val="20"/>
                <w:szCs w:val="20"/>
                <w:u w:val="single"/>
              </w:rPr>
            </w:pPr>
            <w:r w:rsidRPr="00A26DB5">
              <w:rPr>
                <w:sz w:val="20"/>
                <w:szCs w:val="20"/>
                <w:u w:val="single"/>
              </w:rPr>
              <w:t>7.85%</w:t>
            </w: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jc w:val="right"/>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b/>
                <w:bCs/>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tc>
        <w:tc>
          <w:tcPr>
            <w:tcW w:w="1262"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740"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65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tc>
        <w:tc>
          <w:tcPr>
            <w:tcW w:w="761"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rPr>
            </w:pPr>
            <w:r w:rsidRPr="00A26DB5">
              <w:rPr>
                <w:color w:val="00000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tc>
        <w:tc>
          <w:tcPr>
            <w:tcW w:w="1146" w:type="dxa"/>
            <w:tcBorders>
              <w:top w:val="nil"/>
              <w:left w:val="nil"/>
              <w:bottom w:val="nil"/>
              <w:right w:val="nil"/>
            </w:tcBorders>
            <w:shd w:val="clear" w:color="auto" w:fill="auto"/>
            <w:noWrap/>
            <w:vAlign w:val="bottom"/>
            <w:hideMark/>
          </w:tcPr>
          <w:p w:rsidR="00A560AB" w:rsidRPr="00A26DB5" w:rsidRDefault="00A560AB" w:rsidP="00A560AB"/>
        </w:tc>
        <w:tc>
          <w:tcPr>
            <w:tcW w:w="1262" w:type="dxa"/>
            <w:tcBorders>
              <w:top w:val="nil"/>
              <w:left w:val="nil"/>
              <w:bottom w:val="nil"/>
              <w:right w:val="nil"/>
            </w:tcBorders>
            <w:shd w:val="clear" w:color="auto" w:fill="auto"/>
            <w:noWrap/>
            <w:vAlign w:val="bottom"/>
            <w:hideMark/>
          </w:tcPr>
          <w:p w:rsidR="00A560AB" w:rsidRPr="00A26DB5" w:rsidRDefault="00A560AB" w:rsidP="00A560AB"/>
        </w:tc>
        <w:tc>
          <w:tcPr>
            <w:tcW w:w="3394" w:type="dxa"/>
            <w:gridSpan w:val="2"/>
            <w:tcBorders>
              <w:top w:val="nil"/>
              <w:left w:val="nil"/>
              <w:bottom w:val="nil"/>
              <w:right w:val="nil"/>
            </w:tcBorders>
            <w:shd w:val="clear" w:color="auto" w:fill="auto"/>
            <w:noWrap/>
            <w:vAlign w:val="bottom"/>
            <w:hideMark/>
          </w:tcPr>
          <w:p w:rsidR="00A560AB" w:rsidRPr="00A26DB5" w:rsidRDefault="00A560AB" w:rsidP="00A560AB">
            <w:pPr>
              <w:rPr>
                <w:b/>
                <w:bCs/>
                <w:sz w:val="20"/>
                <w:szCs w:val="20"/>
              </w:rPr>
            </w:pPr>
            <w:r w:rsidRPr="00A26DB5">
              <w:rPr>
                <w:b/>
                <w:bCs/>
                <w:sz w:val="20"/>
                <w:szCs w:val="20"/>
              </w:rPr>
              <w:t>RANGE OF REASONABLENESS</w:t>
            </w:r>
          </w:p>
        </w:tc>
        <w:tc>
          <w:tcPr>
            <w:tcW w:w="1194"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center"/>
              <w:rPr>
                <w:b/>
                <w:bCs/>
                <w:sz w:val="20"/>
                <w:szCs w:val="20"/>
                <w:u w:val="single"/>
              </w:rPr>
            </w:pPr>
            <w:r w:rsidRPr="00A26DB5">
              <w:rPr>
                <w:b/>
                <w:bCs/>
                <w:sz w:val="20"/>
                <w:szCs w:val="20"/>
                <w:u w:val="single"/>
              </w:rPr>
              <w:t>LOW</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center"/>
              <w:rPr>
                <w:b/>
                <w:bCs/>
                <w:sz w:val="20"/>
                <w:szCs w:val="20"/>
                <w:u w:val="single"/>
              </w:rPr>
            </w:pPr>
            <w:r w:rsidRPr="00A26DB5">
              <w:rPr>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A560AB">
        <w:trPr>
          <w:trHeight w:val="312"/>
          <w:jc w:val="center"/>
        </w:trPr>
        <w:tc>
          <w:tcPr>
            <w:tcW w:w="366" w:type="dxa"/>
            <w:tcBorders>
              <w:top w:val="nil"/>
              <w:left w:val="single" w:sz="8" w:space="0" w:color="auto"/>
              <w:bottom w:val="nil"/>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1262" w:type="dxa"/>
            <w:tcBorders>
              <w:top w:val="nil"/>
              <w:left w:val="nil"/>
              <w:bottom w:val="nil"/>
              <w:right w:val="nil"/>
            </w:tcBorders>
            <w:shd w:val="clear" w:color="auto" w:fill="auto"/>
            <w:noWrap/>
            <w:vAlign w:val="bottom"/>
            <w:hideMark/>
          </w:tcPr>
          <w:p w:rsidR="00A560AB" w:rsidRPr="00A26DB5" w:rsidRDefault="00A560AB" w:rsidP="00A560AB">
            <w:pPr>
              <w:rPr>
                <w:sz w:val="20"/>
                <w:szCs w:val="20"/>
              </w:rPr>
            </w:pPr>
          </w:p>
        </w:tc>
        <w:tc>
          <w:tcPr>
            <w:tcW w:w="3394" w:type="dxa"/>
            <w:gridSpan w:val="2"/>
            <w:tcBorders>
              <w:top w:val="nil"/>
              <w:left w:val="nil"/>
              <w:bottom w:val="nil"/>
              <w:right w:val="nil"/>
            </w:tcBorders>
            <w:shd w:val="clear" w:color="auto" w:fill="auto"/>
            <w:noWrap/>
            <w:vAlign w:val="bottom"/>
            <w:hideMark/>
          </w:tcPr>
          <w:p w:rsidR="00A560AB" w:rsidRPr="00A26DB5" w:rsidRDefault="00A560AB" w:rsidP="00A560AB">
            <w:pPr>
              <w:rPr>
                <w:sz w:val="20"/>
                <w:szCs w:val="20"/>
              </w:rPr>
            </w:pPr>
            <w:r w:rsidRPr="00A26DB5">
              <w:rPr>
                <w:sz w:val="20"/>
                <w:szCs w:val="20"/>
              </w:rPr>
              <w:t xml:space="preserve">    RETURN ON EQUITY</w:t>
            </w:r>
          </w:p>
        </w:tc>
        <w:tc>
          <w:tcPr>
            <w:tcW w:w="1194" w:type="dxa"/>
            <w:tcBorders>
              <w:top w:val="nil"/>
              <w:left w:val="nil"/>
              <w:bottom w:val="nil"/>
              <w:right w:val="nil"/>
            </w:tcBorders>
            <w:shd w:val="clear" w:color="auto" w:fill="auto"/>
            <w:noWrap/>
            <w:vAlign w:val="bottom"/>
            <w:hideMark/>
          </w:tcPr>
          <w:p w:rsidR="00A560AB" w:rsidRPr="00A26DB5" w:rsidRDefault="00A560AB" w:rsidP="00A560AB"/>
        </w:tc>
        <w:tc>
          <w:tcPr>
            <w:tcW w:w="1247"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6.85%</w:t>
            </w:r>
          </w:p>
        </w:tc>
        <w:tc>
          <w:tcPr>
            <w:tcW w:w="761" w:type="dxa"/>
            <w:tcBorders>
              <w:top w:val="nil"/>
              <w:left w:val="nil"/>
              <w:bottom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8.85%</w:t>
            </w:r>
          </w:p>
        </w:tc>
        <w:tc>
          <w:tcPr>
            <w:tcW w:w="1350" w:type="dxa"/>
            <w:tcBorders>
              <w:top w:val="nil"/>
              <w:left w:val="nil"/>
              <w:bottom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E208F0">
        <w:trPr>
          <w:trHeight w:val="336"/>
          <w:jc w:val="center"/>
        </w:trPr>
        <w:tc>
          <w:tcPr>
            <w:tcW w:w="366" w:type="dxa"/>
            <w:tcBorders>
              <w:top w:val="nil"/>
              <w:left w:val="single" w:sz="8" w:space="0" w:color="auto"/>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right w:val="nil"/>
            </w:tcBorders>
            <w:shd w:val="clear" w:color="auto" w:fill="auto"/>
            <w:noWrap/>
            <w:vAlign w:val="bottom"/>
            <w:hideMark/>
          </w:tcPr>
          <w:p w:rsidR="00A560AB" w:rsidRPr="00A26DB5" w:rsidRDefault="00A560AB" w:rsidP="00A560AB">
            <w:pPr>
              <w:rPr>
                <w:sz w:val="20"/>
                <w:szCs w:val="20"/>
              </w:rPr>
            </w:pPr>
          </w:p>
        </w:tc>
        <w:tc>
          <w:tcPr>
            <w:tcW w:w="1262" w:type="dxa"/>
            <w:tcBorders>
              <w:top w:val="nil"/>
              <w:left w:val="nil"/>
              <w:right w:val="nil"/>
            </w:tcBorders>
            <w:shd w:val="clear" w:color="auto" w:fill="auto"/>
            <w:noWrap/>
            <w:vAlign w:val="bottom"/>
            <w:hideMark/>
          </w:tcPr>
          <w:p w:rsidR="00A560AB" w:rsidRPr="00A26DB5" w:rsidRDefault="00A560AB" w:rsidP="00A560AB">
            <w:pPr>
              <w:rPr>
                <w:sz w:val="20"/>
                <w:szCs w:val="20"/>
              </w:rPr>
            </w:pPr>
          </w:p>
        </w:tc>
        <w:tc>
          <w:tcPr>
            <w:tcW w:w="3394" w:type="dxa"/>
            <w:gridSpan w:val="2"/>
            <w:tcBorders>
              <w:top w:val="nil"/>
              <w:left w:val="nil"/>
              <w:right w:val="nil"/>
            </w:tcBorders>
            <w:shd w:val="clear" w:color="auto" w:fill="auto"/>
            <w:noWrap/>
            <w:vAlign w:val="bottom"/>
            <w:hideMark/>
          </w:tcPr>
          <w:p w:rsidR="00A560AB" w:rsidRPr="00A26DB5" w:rsidRDefault="00A560AB" w:rsidP="00A560AB">
            <w:pPr>
              <w:rPr>
                <w:sz w:val="20"/>
                <w:szCs w:val="20"/>
              </w:rPr>
            </w:pPr>
            <w:r w:rsidRPr="00A26DB5">
              <w:rPr>
                <w:sz w:val="20"/>
                <w:szCs w:val="20"/>
              </w:rPr>
              <w:t xml:space="preserve">    OVERALL RATE OF RETURN</w:t>
            </w:r>
          </w:p>
        </w:tc>
        <w:tc>
          <w:tcPr>
            <w:tcW w:w="1194" w:type="dxa"/>
            <w:tcBorders>
              <w:top w:val="nil"/>
              <w:left w:val="nil"/>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6.85%</w:t>
            </w:r>
          </w:p>
        </w:tc>
        <w:tc>
          <w:tcPr>
            <w:tcW w:w="761" w:type="dxa"/>
            <w:tcBorders>
              <w:top w:val="nil"/>
              <w:left w:val="nil"/>
              <w:right w:val="nil"/>
            </w:tcBorders>
            <w:shd w:val="clear" w:color="auto" w:fill="auto"/>
            <w:noWrap/>
            <w:vAlign w:val="bottom"/>
            <w:hideMark/>
          </w:tcPr>
          <w:p w:rsidR="00A560AB" w:rsidRPr="00A26DB5" w:rsidRDefault="00A560AB" w:rsidP="00A560AB">
            <w:pPr>
              <w:jc w:val="right"/>
              <w:rPr>
                <w:sz w:val="20"/>
                <w:szCs w:val="20"/>
                <w:u w:val="double"/>
              </w:rPr>
            </w:pPr>
            <w:r w:rsidRPr="00A26DB5">
              <w:rPr>
                <w:sz w:val="20"/>
                <w:szCs w:val="20"/>
                <w:u w:val="double"/>
              </w:rPr>
              <w:t>8.85%</w:t>
            </w:r>
          </w:p>
        </w:tc>
        <w:tc>
          <w:tcPr>
            <w:tcW w:w="1350" w:type="dxa"/>
            <w:tcBorders>
              <w:top w:val="nil"/>
              <w:left w:val="nil"/>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r w:rsidR="00A560AB" w:rsidRPr="00A26DB5" w:rsidTr="00E208F0">
        <w:trPr>
          <w:trHeight w:val="300"/>
          <w:jc w:val="center"/>
        </w:trPr>
        <w:tc>
          <w:tcPr>
            <w:tcW w:w="366" w:type="dxa"/>
            <w:tcBorders>
              <w:top w:val="nil"/>
              <w:left w:val="single" w:sz="8" w:space="0" w:color="auto"/>
              <w:bottom w:val="single" w:sz="4" w:space="0" w:color="auto"/>
              <w:right w:val="nil"/>
            </w:tcBorders>
            <w:shd w:val="clear" w:color="auto" w:fill="auto"/>
            <w:noWrap/>
            <w:vAlign w:val="bottom"/>
            <w:hideMark/>
          </w:tcPr>
          <w:p w:rsidR="00A560AB" w:rsidRPr="00A26DB5" w:rsidRDefault="00A560AB" w:rsidP="00A560AB">
            <w:pPr>
              <w:rPr>
                <w:color w:val="000000"/>
                <w:sz w:val="20"/>
                <w:szCs w:val="20"/>
              </w:rPr>
            </w:pPr>
            <w:r w:rsidRPr="00A26DB5">
              <w:rPr>
                <w:color w:val="000000"/>
                <w:sz w:val="20"/>
                <w:szCs w:val="20"/>
              </w:rPr>
              <w:t> </w:t>
            </w:r>
          </w:p>
        </w:tc>
        <w:tc>
          <w:tcPr>
            <w:tcW w:w="3452" w:type="dxa"/>
            <w:tcBorders>
              <w:top w:val="nil"/>
              <w:left w:val="nil"/>
              <w:bottom w:val="single" w:sz="4" w:space="0" w:color="auto"/>
              <w:right w:val="nil"/>
            </w:tcBorders>
            <w:shd w:val="clear" w:color="auto" w:fill="auto"/>
            <w:noWrap/>
            <w:vAlign w:val="bottom"/>
            <w:hideMark/>
          </w:tcPr>
          <w:p w:rsidR="00A560AB" w:rsidRPr="00A26DB5" w:rsidRDefault="00A560AB" w:rsidP="00A560AB">
            <w:pPr>
              <w:rPr>
                <w:color w:val="000000"/>
                <w:sz w:val="20"/>
                <w:szCs w:val="20"/>
              </w:rPr>
            </w:pPr>
          </w:p>
        </w:tc>
        <w:tc>
          <w:tcPr>
            <w:tcW w:w="1146"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rPr>
            </w:pPr>
          </w:p>
        </w:tc>
        <w:tc>
          <w:tcPr>
            <w:tcW w:w="1262"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rPr>
            </w:pPr>
          </w:p>
        </w:tc>
        <w:tc>
          <w:tcPr>
            <w:tcW w:w="1740"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rPr>
            </w:pPr>
          </w:p>
        </w:tc>
        <w:tc>
          <w:tcPr>
            <w:tcW w:w="1654"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rPr>
            </w:pPr>
          </w:p>
        </w:tc>
        <w:tc>
          <w:tcPr>
            <w:tcW w:w="1194"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rPr>
            </w:pPr>
          </w:p>
        </w:tc>
        <w:tc>
          <w:tcPr>
            <w:tcW w:w="1247"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u w:val="double"/>
              </w:rPr>
            </w:pPr>
          </w:p>
        </w:tc>
        <w:tc>
          <w:tcPr>
            <w:tcW w:w="761" w:type="dxa"/>
            <w:tcBorders>
              <w:top w:val="nil"/>
              <w:left w:val="nil"/>
              <w:bottom w:val="single" w:sz="4" w:space="0" w:color="auto"/>
              <w:right w:val="nil"/>
            </w:tcBorders>
            <w:shd w:val="clear" w:color="auto" w:fill="auto"/>
            <w:noWrap/>
            <w:vAlign w:val="bottom"/>
            <w:hideMark/>
          </w:tcPr>
          <w:p w:rsidR="00A560AB" w:rsidRPr="00A26DB5" w:rsidRDefault="00A560AB" w:rsidP="00A560AB">
            <w:pPr>
              <w:rPr>
                <w:sz w:val="20"/>
                <w:szCs w:val="20"/>
                <w:u w:val="double"/>
              </w:rPr>
            </w:pPr>
          </w:p>
        </w:tc>
        <w:tc>
          <w:tcPr>
            <w:tcW w:w="1350" w:type="dxa"/>
            <w:tcBorders>
              <w:top w:val="nil"/>
              <w:left w:val="nil"/>
              <w:bottom w:val="single" w:sz="4" w:space="0" w:color="auto"/>
              <w:right w:val="single" w:sz="8" w:space="0" w:color="auto"/>
            </w:tcBorders>
            <w:shd w:val="clear" w:color="auto" w:fill="auto"/>
            <w:noWrap/>
            <w:vAlign w:val="bottom"/>
            <w:hideMark/>
          </w:tcPr>
          <w:p w:rsidR="00A560AB" w:rsidRPr="00A26DB5" w:rsidRDefault="00A560AB" w:rsidP="00A560AB">
            <w:pPr>
              <w:rPr>
                <w:sz w:val="20"/>
                <w:szCs w:val="20"/>
              </w:rPr>
            </w:pPr>
            <w:r w:rsidRPr="00A26DB5">
              <w:rPr>
                <w:sz w:val="20"/>
                <w:szCs w:val="20"/>
              </w:rPr>
              <w:t> </w:t>
            </w:r>
          </w:p>
        </w:tc>
      </w:tr>
    </w:tbl>
    <w:p w:rsidR="00A560AB" w:rsidRDefault="00A560AB" w:rsidP="00235063">
      <w:pPr>
        <w:pStyle w:val="OrderBody"/>
        <w:sectPr w:rsidR="00A560AB" w:rsidSect="00A560AB">
          <w:headerReference w:type="first" r:id="rId10"/>
          <w:pgSz w:w="15840" w:h="12240" w:orient="landscape" w:code="1"/>
          <w:pgMar w:top="1440" w:right="1440" w:bottom="1440" w:left="1440" w:header="720" w:footer="720" w:gutter="0"/>
          <w:cols w:space="720"/>
          <w:titlePg/>
          <w:docGrid w:linePitch="360"/>
        </w:sectPr>
      </w:pPr>
    </w:p>
    <w:tbl>
      <w:tblPr>
        <w:tblW w:w="11777" w:type="dxa"/>
        <w:jc w:val="center"/>
        <w:tblLook w:val="04A0" w:firstRow="1" w:lastRow="0" w:firstColumn="1" w:lastColumn="0" w:noHBand="0" w:noVBand="1"/>
      </w:tblPr>
      <w:tblGrid>
        <w:gridCol w:w="466"/>
        <w:gridCol w:w="3372"/>
        <w:gridCol w:w="1601"/>
        <w:gridCol w:w="1706"/>
        <w:gridCol w:w="1572"/>
        <w:gridCol w:w="1287"/>
        <w:gridCol w:w="1892"/>
      </w:tblGrid>
      <w:tr w:rsidR="00A560AB" w:rsidRPr="0047712A" w:rsidTr="00E208F0">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4973" w:type="dxa"/>
            <w:gridSpan w:val="2"/>
            <w:tcBorders>
              <w:top w:val="single" w:sz="8" w:space="0" w:color="auto"/>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GATOR WATERWORKS, INC.</w:t>
            </w:r>
          </w:p>
        </w:tc>
        <w:tc>
          <w:tcPr>
            <w:tcW w:w="1587" w:type="dxa"/>
            <w:tcBorders>
              <w:top w:val="single" w:sz="8" w:space="0" w:color="auto"/>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4751" w:type="dxa"/>
            <w:gridSpan w:val="3"/>
            <w:tcBorders>
              <w:top w:val="single" w:sz="8" w:space="0" w:color="auto"/>
              <w:left w:val="nil"/>
              <w:bottom w:val="nil"/>
              <w:right w:val="single" w:sz="8" w:space="0" w:color="000000"/>
            </w:tcBorders>
            <w:shd w:val="clear" w:color="auto" w:fill="auto"/>
            <w:noWrap/>
            <w:vAlign w:val="bottom"/>
            <w:hideMark/>
          </w:tcPr>
          <w:p w:rsidR="00A560AB" w:rsidRPr="0047712A" w:rsidRDefault="00A560AB" w:rsidP="00A560AB">
            <w:pPr>
              <w:jc w:val="right"/>
              <w:rPr>
                <w:b/>
                <w:bCs/>
                <w:color w:val="000000"/>
                <w:sz w:val="20"/>
                <w:szCs w:val="20"/>
              </w:rPr>
            </w:pPr>
            <w:r w:rsidRPr="0047712A">
              <w:rPr>
                <w:b/>
                <w:bCs/>
                <w:color w:val="000000"/>
                <w:sz w:val="20"/>
                <w:szCs w:val="20"/>
              </w:rPr>
              <w:t>SCHEDULE NO. 3-A</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4973" w:type="dxa"/>
            <w:gridSpan w:val="2"/>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TEST YEAR ENDED  3/31/2019</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4751" w:type="dxa"/>
            <w:gridSpan w:val="3"/>
            <w:tcBorders>
              <w:top w:val="nil"/>
              <w:left w:val="nil"/>
              <w:bottom w:val="nil"/>
              <w:right w:val="single" w:sz="8" w:space="0" w:color="000000"/>
            </w:tcBorders>
            <w:shd w:val="clear" w:color="auto" w:fill="auto"/>
            <w:noWrap/>
            <w:vAlign w:val="bottom"/>
            <w:hideMark/>
          </w:tcPr>
          <w:p w:rsidR="00A560AB" w:rsidRPr="0047712A" w:rsidRDefault="00A560AB" w:rsidP="00A560AB">
            <w:pPr>
              <w:jc w:val="right"/>
              <w:rPr>
                <w:b/>
                <w:bCs/>
                <w:color w:val="000000"/>
                <w:sz w:val="20"/>
                <w:szCs w:val="20"/>
              </w:rPr>
            </w:pPr>
            <w:r w:rsidRPr="0047712A">
              <w:rPr>
                <w:b/>
                <w:bCs/>
                <w:color w:val="000000"/>
                <w:sz w:val="20"/>
                <w:szCs w:val="20"/>
              </w:rPr>
              <w:t>DOCKET NO. 20190114-WU</w:t>
            </w:r>
          </w:p>
        </w:tc>
      </w:tr>
      <w:tr w:rsidR="00A560AB" w:rsidRPr="0047712A" w:rsidTr="00E208F0">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6560" w:type="dxa"/>
            <w:gridSpan w:val="3"/>
            <w:tcBorders>
              <w:top w:val="nil"/>
              <w:left w:val="nil"/>
              <w:bottom w:val="single" w:sz="8" w:space="0" w:color="auto"/>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SCHEDULE OF WATER OPERATING INCOME</w:t>
            </w:r>
          </w:p>
        </w:tc>
        <w:tc>
          <w:tcPr>
            <w:tcW w:w="1572"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b/>
                <w:bCs/>
                <w:sz w:val="20"/>
                <w:szCs w:val="20"/>
              </w:rPr>
            </w:pPr>
            <w:r w:rsidRPr="0047712A">
              <w:rPr>
                <w:b/>
                <w:bCs/>
                <w:sz w:val="20"/>
                <w:szCs w:val="20"/>
              </w:rPr>
              <w:t> </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 </w:t>
            </w:r>
          </w:p>
        </w:tc>
        <w:tc>
          <w:tcPr>
            <w:tcW w:w="1572" w:type="dxa"/>
            <w:tcBorders>
              <w:top w:val="nil"/>
              <w:left w:val="nil"/>
              <w:bottom w:val="nil"/>
              <w:right w:val="nil"/>
            </w:tcBorders>
            <w:shd w:val="clear" w:color="auto" w:fill="auto"/>
            <w:noWrap/>
            <w:vAlign w:val="bottom"/>
            <w:hideMark/>
          </w:tcPr>
          <w:p w:rsidR="00A560AB" w:rsidRPr="0047712A" w:rsidRDefault="00E208F0" w:rsidP="00A560AB">
            <w:pPr>
              <w:jc w:val="center"/>
              <w:rPr>
                <w:b/>
                <w:bCs/>
                <w:color w:val="000000"/>
                <w:sz w:val="20"/>
                <w:szCs w:val="20"/>
              </w:rPr>
            </w:pPr>
            <w:r>
              <w:rPr>
                <w:b/>
                <w:bCs/>
                <w:color w:val="000000"/>
                <w:sz w:val="20"/>
                <w:szCs w:val="20"/>
              </w:rPr>
              <w:t>COMMISSION</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ADJUST.</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center"/>
              <w:rPr>
                <w:b/>
                <w:bCs/>
                <w:sz w:val="20"/>
                <w:szCs w:val="20"/>
              </w:rPr>
            </w:pPr>
            <w:r w:rsidRPr="0047712A">
              <w:rPr>
                <w:b/>
                <w:bCs/>
                <w:sz w:val="20"/>
                <w:szCs w:val="20"/>
              </w:rPr>
              <w:t>TEST YEAR</w:t>
            </w:r>
          </w:p>
        </w:tc>
        <w:tc>
          <w:tcPr>
            <w:tcW w:w="1587" w:type="dxa"/>
            <w:tcBorders>
              <w:top w:val="nil"/>
              <w:left w:val="nil"/>
              <w:bottom w:val="nil"/>
              <w:right w:val="nil"/>
            </w:tcBorders>
            <w:shd w:val="clear" w:color="auto" w:fill="auto"/>
            <w:noWrap/>
            <w:vAlign w:val="bottom"/>
            <w:hideMark/>
          </w:tcPr>
          <w:p w:rsidR="00A560AB" w:rsidRPr="0047712A" w:rsidRDefault="00E208F0" w:rsidP="00A560AB">
            <w:pPr>
              <w:jc w:val="center"/>
              <w:rPr>
                <w:b/>
                <w:bCs/>
                <w:color w:val="000000"/>
                <w:sz w:val="20"/>
                <w:szCs w:val="20"/>
              </w:rPr>
            </w:pPr>
            <w:r>
              <w:rPr>
                <w:b/>
                <w:bCs/>
                <w:color w:val="000000"/>
                <w:sz w:val="20"/>
                <w:szCs w:val="20"/>
              </w:rPr>
              <w:t>COMMISSION</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ADJUSTED</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FOR</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REVENUE</w:t>
            </w:r>
          </w:p>
        </w:tc>
      </w:tr>
      <w:tr w:rsidR="00A560AB" w:rsidRPr="0047712A" w:rsidTr="00E208F0">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601" w:type="dxa"/>
            <w:tcBorders>
              <w:top w:val="nil"/>
              <w:left w:val="nil"/>
              <w:bottom w:val="single" w:sz="8" w:space="0" w:color="auto"/>
              <w:right w:val="nil"/>
            </w:tcBorders>
            <w:shd w:val="clear" w:color="auto" w:fill="auto"/>
            <w:noWrap/>
            <w:vAlign w:val="bottom"/>
            <w:hideMark/>
          </w:tcPr>
          <w:p w:rsidR="00A560AB" w:rsidRPr="0047712A" w:rsidRDefault="00E208F0" w:rsidP="00A560AB">
            <w:pPr>
              <w:jc w:val="center"/>
              <w:rPr>
                <w:b/>
                <w:bCs/>
                <w:sz w:val="20"/>
                <w:szCs w:val="20"/>
              </w:rPr>
            </w:pPr>
            <w:r>
              <w:rPr>
                <w:b/>
                <w:bCs/>
                <w:sz w:val="20"/>
                <w:szCs w:val="20"/>
              </w:rPr>
              <w:t xml:space="preserve">PER </w:t>
            </w:r>
            <w:r w:rsidR="00A560AB" w:rsidRPr="0047712A">
              <w:rPr>
                <w:b/>
                <w:bCs/>
                <w:sz w:val="20"/>
                <w:szCs w:val="20"/>
              </w:rPr>
              <w:t>UTILITY</w:t>
            </w:r>
          </w:p>
        </w:tc>
        <w:tc>
          <w:tcPr>
            <w:tcW w:w="1587" w:type="dxa"/>
            <w:tcBorders>
              <w:top w:val="nil"/>
              <w:left w:val="nil"/>
              <w:bottom w:val="single" w:sz="8" w:space="0" w:color="auto"/>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ADJUSTMENTS</w:t>
            </w:r>
          </w:p>
        </w:tc>
        <w:tc>
          <w:tcPr>
            <w:tcW w:w="1572" w:type="dxa"/>
            <w:tcBorders>
              <w:top w:val="nil"/>
              <w:left w:val="nil"/>
              <w:bottom w:val="single" w:sz="8" w:space="0" w:color="auto"/>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INCREASE</w:t>
            </w:r>
          </w:p>
        </w:tc>
        <w:tc>
          <w:tcPr>
            <w:tcW w:w="1892" w:type="dxa"/>
            <w:tcBorders>
              <w:top w:val="nil"/>
              <w:left w:val="nil"/>
              <w:bottom w:val="single" w:sz="8" w:space="0" w:color="auto"/>
              <w:right w:val="single" w:sz="8" w:space="0" w:color="auto"/>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REQUIREMENT</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1.</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 xml:space="preserve">OPERATING REVENUES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$56,351</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$430</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$56,781</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w:t>
            </w:r>
            <w:r>
              <w:rPr>
                <w:sz w:val="20"/>
                <w:szCs w:val="20"/>
                <w:u w:val="single"/>
              </w:rPr>
              <w:t>99,265</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$1</w:t>
            </w:r>
            <w:r>
              <w:rPr>
                <w:sz w:val="20"/>
                <w:szCs w:val="20"/>
                <w:u w:val="single"/>
              </w:rPr>
              <w:t>56,046</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1</w:t>
            </w:r>
            <w:r>
              <w:rPr>
                <w:sz w:val="20"/>
                <w:szCs w:val="20"/>
              </w:rPr>
              <w:t>74.82</w:t>
            </w:r>
            <w:r w:rsidRPr="0047712A">
              <w:rPr>
                <w:sz w:val="20"/>
                <w:szCs w:val="20"/>
              </w:rPr>
              <w:t>%</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OPERATING EXPENSES:</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2.</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xml:space="preserve">  OPERATION &amp; MAINTENANCE</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$76,491 </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Pr>
                <w:sz w:val="20"/>
                <w:szCs w:val="20"/>
              </w:rPr>
              <w:t>(</w:t>
            </w:r>
            <w:r w:rsidRPr="0047712A">
              <w:rPr>
                <w:sz w:val="20"/>
                <w:szCs w:val="20"/>
              </w:rPr>
              <w:t>$</w:t>
            </w:r>
            <w:r>
              <w:rPr>
                <w:sz w:val="20"/>
                <w:szCs w:val="20"/>
              </w:rPr>
              <w:t>1,833)</w:t>
            </w:r>
            <w:r w:rsidRPr="0047712A">
              <w:rPr>
                <w:sz w:val="20"/>
                <w:szCs w:val="20"/>
              </w:rPr>
              <w:t xml:space="preserve">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$7</w:t>
            </w:r>
            <w:r>
              <w:rPr>
                <w:sz w:val="20"/>
                <w:szCs w:val="20"/>
              </w:rPr>
              <w:t>4,658</w:t>
            </w:r>
            <w:r w:rsidRPr="0047712A">
              <w:rPr>
                <w:sz w:val="20"/>
                <w:szCs w:val="20"/>
              </w:rPr>
              <w:t xml:space="preserve"> </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$7</w:t>
            </w:r>
            <w:r>
              <w:rPr>
                <w:sz w:val="20"/>
                <w:szCs w:val="20"/>
              </w:rPr>
              <w:t>4,658</w:t>
            </w:r>
            <w:r w:rsidRPr="0047712A">
              <w:rPr>
                <w:sz w:val="20"/>
                <w:szCs w:val="20"/>
              </w:rPr>
              <w:t xml:space="preserve">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3.</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xml:space="preserve">  DEPRECIATION EXPENSE (NET)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16,307</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7,133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23,440</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0</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23,440</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4.</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xml:space="preserve">  AMORTIZATION EXPENSE</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Pr>
                <w:sz w:val="20"/>
                <w:szCs w:val="20"/>
              </w:rPr>
              <w:t>(</w:t>
            </w:r>
            <w:r w:rsidRPr="0047712A">
              <w:rPr>
                <w:sz w:val="20"/>
                <w:szCs w:val="20"/>
              </w:rPr>
              <w:t>6,788</w:t>
            </w:r>
            <w:r>
              <w:rPr>
                <w:sz w:val="20"/>
                <w:szCs w:val="20"/>
              </w:rPr>
              <w:t>)</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747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Pr>
                <w:sz w:val="20"/>
                <w:szCs w:val="20"/>
              </w:rPr>
              <w:t>(</w:t>
            </w:r>
            <w:r w:rsidRPr="0047712A">
              <w:rPr>
                <w:sz w:val="20"/>
                <w:szCs w:val="20"/>
              </w:rPr>
              <w:t>6,041</w:t>
            </w:r>
            <w:r>
              <w:rPr>
                <w:sz w:val="20"/>
                <w:szCs w:val="20"/>
              </w:rPr>
              <w:t>)</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0</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Pr>
                <w:sz w:val="20"/>
                <w:szCs w:val="20"/>
              </w:rPr>
              <w:t>(</w:t>
            </w:r>
            <w:r w:rsidRPr="0047712A">
              <w:rPr>
                <w:sz w:val="20"/>
                <w:szCs w:val="20"/>
              </w:rPr>
              <w:t>6,041</w:t>
            </w:r>
            <w:r>
              <w:rPr>
                <w:sz w:val="20"/>
                <w:szCs w:val="20"/>
              </w:rPr>
              <w:t>)</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5.</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xml:space="preserve">  TAXES OTHER THAN INCOME</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3,955</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12,</w:t>
            </w:r>
            <w:r>
              <w:rPr>
                <w:sz w:val="20"/>
                <w:szCs w:val="20"/>
              </w:rPr>
              <w:t>492</w:t>
            </w:r>
            <w:r w:rsidRPr="0047712A">
              <w:rPr>
                <w:sz w:val="20"/>
                <w:szCs w:val="20"/>
              </w:rPr>
              <w:t xml:space="preserve">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16,</w:t>
            </w:r>
            <w:r>
              <w:rPr>
                <w:sz w:val="20"/>
                <w:szCs w:val="20"/>
              </w:rPr>
              <w:t>447</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4,</w:t>
            </w:r>
            <w:r>
              <w:rPr>
                <w:sz w:val="20"/>
                <w:szCs w:val="20"/>
              </w:rPr>
              <w:t>467</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2</w:t>
            </w:r>
            <w:r>
              <w:rPr>
                <w:sz w:val="20"/>
                <w:szCs w:val="20"/>
              </w:rPr>
              <w:t>0,914</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6.</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xml:space="preserve">  INCOME TAXES</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0</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0</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0</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0</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 xml:space="preserve">0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7.</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 xml:space="preserve">TOTAL OPERATING EXPENSES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$89,965</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w:t>
            </w:r>
            <w:r>
              <w:rPr>
                <w:sz w:val="20"/>
                <w:szCs w:val="20"/>
                <w:u w:val="single"/>
              </w:rPr>
              <w:t>18,539</w:t>
            </w:r>
            <w:r w:rsidRPr="0047712A">
              <w:rPr>
                <w:sz w:val="20"/>
                <w:szCs w:val="20"/>
                <w:u w:val="single"/>
              </w:rPr>
              <w:t xml:space="preserve"> </w:t>
            </w: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$1</w:t>
            </w:r>
            <w:r>
              <w:rPr>
                <w:sz w:val="20"/>
                <w:szCs w:val="20"/>
                <w:u w:val="single"/>
              </w:rPr>
              <w:t>08,50</w:t>
            </w:r>
            <w:r w:rsidRPr="0047712A">
              <w:rPr>
                <w:sz w:val="20"/>
                <w:szCs w:val="20"/>
                <w:u w:val="single"/>
              </w:rPr>
              <w:t>4</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$4,</w:t>
            </w:r>
            <w:r>
              <w:rPr>
                <w:sz w:val="20"/>
                <w:szCs w:val="20"/>
                <w:u w:val="single"/>
              </w:rPr>
              <w:t>467</w:t>
            </w:r>
            <w:r w:rsidRPr="0047712A">
              <w:rPr>
                <w:sz w:val="20"/>
                <w:szCs w:val="20"/>
                <w:u w:val="single"/>
              </w:rPr>
              <w:t xml:space="preserve"> </w:t>
            </w: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$11</w:t>
            </w:r>
            <w:r>
              <w:rPr>
                <w:sz w:val="20"/>
                <w:szCs w:val="20"/>
                <w:u w:val="single"/>
              </w:rPr>
              <w:t>2,971</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8.</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 xml:space="preserve">OPERATING INCOME/(LOSS)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($33,614)</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($5</w:t>
            </w:r>
            <w:r>
              <w:rPr>
                <w:sz w:val="20"/>
                <w:szCs w:val="20"/>
                <w:u w:val="double"/>
              </w:rPr>
              <w:t>1,723</w:t>
            </w:r>
            <w:r w:rsidRPr="0047712A">
              <w:rPr>
                <w:sz w:val="20"/>
                <w:szCs w:val="20"/>
                <w:u w:val="double"/>
              </w:rPr>
              <w:t>)</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$43,</w:t>
            </w:r>
            <w:r>
              <w:rPr>
                <w:sz w:val="20"/>
                <w:szCs w:val="20"/>
                <w:u w:val="double"/>
              </w:rPr>
              <w:t>075</w:t>
            </w:r>
            <w:r w:rsidRPr="0047712A">
              <w:rPr>
                <w:sz w:val="20"/>
                <w:szCs w:val="20"/>
                <w:u w:val="double"/>
              </w:rPr>
              <w:t xml:space="preserve">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9.</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 xml:space="preserve">WATER RATE BASE         </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 xml:space="preserve">$180,667 </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$54</w:t>
            </w:r>
            <w:r>
              <w:rPr>
                <w:sz w:val="20"/>
                <w:szCs w:val="20"/>
                <w:u w:val="double"/>
              </w:rPr>
              <w:t>8,722</w:t>
            </w:r>
            <w:r w:rsidRPr="0047712A">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$54</w:t>
            </w:r>
            <w:r>
              <w:rPr>
                <w:sz w:val="20"/>
                <w:szCs w:val="20"/>
                <w:u w:val="double"/>
              </w:rPr>
              <w:t>8,722</w:t>
            </w:r>
            <w:r w:rsidRPr="0047712A">
              <w:rPr>
                <w:sz w:val="20"/>
                <w:szCs w:val="20"/>
                <w:u w:val="double"/>
              </w:rPr>
              <w:t xml:space="preserve">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color w:val="000000"/>
                <w:sz w:val="20"/>
                <w:szCs w:val="20"/>
              </w:rPr>
            </w:pPr>
          </w:p>
        </w:tc>
        <w:tc>
          <w:tcPr>
            <w:tcW w:w="1601"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r w:rsidR="00A560AB" w:rsidRPr="0047712A" w:rsidTr="00E208F0">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47712A" w:rsidRDefault="00A560AB" w:rsidP="00A560AB">
            <w:pPr>
              <w:jc w:val="right"/>
              <w:rPr>
                <w:color w:val="000000"/>
                <w:sz w:val="20"/>
                <w:szCs w:val="20"/>
              </w:rPr>
            </w:pPr>
            <w:r w:rsidRPr="0047712A">
              <w:rPr>
                <w:color w:val="000000"/>
                <w:sz w:val="20"/>
                <w:szCs w:val="20"/>
              </w:rPr>
              <w:t>10.</w:t>
            </w:r>
          </w:p>
        </w:tc>
        <w:tc>
          <w:tcPr>
            <w:tcW w:w="3372" w:type="dxa"/>
            <w:tcBorders>
              <w:top w:val="nil"/>
              <w:left w:val="nil"/>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RATE OF RETURN</w:t>
            </w:r>
          </w:p>
        </w:tc>
        <w:tc>
          <w:tcPr>
            <w:tcW w:w="1601"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Pr>
                <w:sz w:val="20"/>
                <w:szCs w:val="20"/>
                <w:u w:val="double"/>
              </w:rPr>
              <w:t>(</w:t>
            </w:r>
            <w:r w:rsidRPr="0047712A">
              <w:rPr>
                <w:sz w:val="20"/>
                <w:szCs w:val="20"/>
                <w:u w:val="double"/>
              </w:rPr>
              <w:t>18.61%</w:t>
            </w:r>
            <w:r>
              <w:rPr>
                <w:sz w:val="20"/>
                <w:szCs w:val="20"/>
                <w:u w:val="double"/>
              </w:rPr>
              <w:t>)</w:t>
            </w:r>
          </w:p>
        </w:tc>
        <w:tc>
          <w:tcPr>
            <w:tcW w:w="15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572"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Pr>
                <w:sz w:val="20"/>
                <w:szCs w:val="20"/>
                <w:u w:val="double"/>
              </w:rPr>
              <w:t>(9.43</w:t>
            </w:r>
            <w:r w:rsidRPr="0047712A">
              <w:rPr>
                <w:sz w:val="20"/>
                <w:szCs w:val="20"/>
                <w:u w:val="double"/>
              </w:rPr>
              <w:t>%</w:t>
            </w:r>
            <w:r>
              <w:rPr>
                <w:sz w:val="20"/>
                <w:szCs w:val="20"/>
                <w:u w:val="double"/>
              </w:rPr>
              <w:t>)</w:t>
            </w:r>
          </w:p>
        </w:tc>
        <w:tc>
          <w:tcPr>
            <w:tcW w:w="1287" w:type="dxa"/>
            <w:tcBorders>
              <w:top w:val="nil"/>
              <w:left w:val="nil"/>
              <w:bottom w:val="nil"/>
              <w:right w:val="nil"/>
            </w:tcBorders>
            <w:shd w:val="clear" w:color="auto" w:fill="auto"/>
            <w:noWrap/>
            <w:vAlign w:val="bottom"/>
            <w:hideMark/>
          </w:tcPr>
          <w:p w:rsidR="00A560AB" w:rsidRPr="0047712A" w:rsidRDefault="00A560AB" w:rsidP="00A560AB">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7.85%</w:t>
            </w:r>
          </w:p>
        </w:tc>
      </w:tr>
      <w:tr w:rsidR="00A560AB" w:rsidRPr="0047712A" w:rsidTr="00E208F0">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A560AB" w:rsidRPr="0047712A" w:rsidRDefault="00A560AB" w:rsidP="00A560AB">
            <w:pPr>
              <w:jc w:val="center"/>
              <w:rPr>
                <w:color w:val="000000"/>
                <w:sz w:val="20"/>
                <w:szCs w:val="20"/>
              </w:rPr>
            </w:pPr>
            <w:r w:rsidRPr="0047712A">
              <w:rPr>
                <w:color w:val="000000"/>
                <w:sz w:val="20"/>
                <w:szCs w:val="20"/>
              </w:rPr>
              <w:t> </w:t>
            </w:r>
          </w:p>
        </w:tc>
        <w:tc>
          <w:tcPr>
            <w:tcW w:w="3372"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601"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587"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r>
    </w:tbl>
    <w:p w:rsidR="00A560AB" w:rsidRDefault="00A560AB" w:rsidP="00235063">
      <w:pPr>
        <w:pStyle w:val="OrderBody"/>
        <w:sectPr w:rsidR="00A560AB" w:rsidSect="00A560AB">
          <w:headerReference w:type="first" r:id="rId11"/>
          <w:pgSz w:w="15840" w:h="12240" w:orient="landscape" w:code="1"/>
          <w:pgMar w:top="1440" w:right="1440" w:bottom="1440" w:left="1440" w:header="720" w:footer="720" w:gutter="0"/>
          <w:cols w:space="720"/>
          <w:titlePg/>
          <w:docGrid w:linePitch="360"/>
        </w:sectPr>
      </w:pPr>
    </w:p>
    <w:tbl>
      <w:tblPr>
        <w:tblW w:w="9486" w:type="dxa"/>
        <w:jc w:val="center"/>
        <w:tblLook w:val="04A0" w:firstRow="1" w:lastRow="0" w:firstColumn="1" w:lastColumn="0" w:noHBand="0" w:noVBand="1"/>
      </w:tblPr>
      <w:tblGrid>
        <w:gridCol w:w="466"/>
        <w:gridCol w:w="6276"/>
        <w:gridCol w:w="276"/>
        <w:gridCol w:w="2468"/>
      </w:tblGrid>
      <w:tr w:rsidR="00A560AB" w:rsidRPr="00A560AB" w:rsidTr="00A560A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bookmarkStart w:id="16" w:name="RANGE!A1:D88"/>
            <w:r w:rsidRPr="00A560AB">
              <w:rPr>
                <w:sz w:val="20"/>
                <w:szCs w:val="20"/>
              </w:rPr>
              <w:t> </w:t>
            </w:r>
            <w:bookmarkEnd w:id="16"/>
          </w:p>
        </w:tc>
        <w:tc>
          <w:tcPr>
            <w:tcW w:w="6276" w:type="dxa"/>
            <w:tcBorders>
              <w:top w:val="single" w:sz="8" w:space="0" w:color="auto"/>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GATOR WATERWORKS, INC.</w:t>
            </w:r>
          </w:p>
        </w:tc>
        <w:tc>
          <w:tcPr>
            <w:tcW w:w="2744" w:type="dxa"/>
            <w:gridSpan w:val="2"/>
            <w:tcBorders>
              <w:top w:val="single" w:sz="8" w:space="0" w:color="auto"/>
              <w:left w:val="nil"/>
              <w:bottom w:val="nil"/>
              <w:right w:val="single" w:sz="8" w:space="0" w:color="000000"/>
            </w:tcBorders>
            <w:shd w:val="clear" w:color="auto" w:fill="auto"/>
            <w:noWrap/>
            <w:vAlign w:val="bottom"/>
            <w:hideMark/>
          </w:tcPr>
          <w:p w:rsidR="00A560AB" w:rsidRPr="00A560AB" w:rsidRDefault="00A560AB" w:rsidP="00A560AB">
            <w:pPr>
              <w:jc w:val="right"/>
              <w:rPr>
                <w:b/>
                <w:bCs/>
                <w:sz w:val="20"/>
                <w:szCs w:val="20"/>
              </w:rPr>
            </w:pPr>
            <w:r w:rsidRPr="00A560AB">
              <w:rPr>
                <w:b/>
                <w:bCs/>
                <w:sz w:val="20"/>
                <w:szCs w:val="20"/>
              </w:rPr>
              <w:t>SCHEDULE NO. 3-B</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TEST YEAR ENDED  3/31/2019</w:t>
            </w:r>
          </w:p>
        </w:tc>
        <w:tc>
          <w:tcPr>
            <w:tcW w:w="2744" w:type="dxa"/>
            <w:gridSpan w:val="2"/>
            <w:tcBorders>
              <w:top w:val="nil"/>
              <w:left w:val="nil"/>
              <w:bottom w:val="nil"/>
              <w:right w:val="single" w:sz="8" w:space="0" w:color="000000"/>
            </w:tcBorders>
            <w:shd w:val="clear" w:color="auto" w:fill="auto"/>
            <w:noWrap/>
            <w:vAlign w:val="bottom"/>
            <w:hideMark/>
          </w:tcPr>
          <w:p w:rsidR="00A560AB" w:rsidRPr="00A560AB" w:rsidRDefault="00A560AB" w:rsidP="00A560AB">
            <w:pPr>
              <w:jc w:val="right"/>
              <w:rPr>
                <w:b/>
                <w:bCs/>
                <w:sz w:val="20"/>
                <w:szCs w:val="20"/>
              </w:rPr>
            </w:pPr>
            <w:r w:rsidRPr="00A560AB">
              <w:rPr>
                <w:b/>
                <w:bCs/>
                <w:sz w:val="20"/>
                <w:szCs w:val="20"/>
              </w:rPr>
              <w:t>DOCKET NO. 20190114-WU</w:t>
            </w:r>
          </w:p>
        </w:tc>
      </w:tr>
      <w:tr w:rsidR="00A560AB" w:rsidRPr="00A560AB" w:rsidTr="00A560A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single" w:sz="8" w:space="0" w:color="auto"/>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ADJUSTMENTS TO OPERATING INCOME</w:t>
            </w:r>
          </w:p>
        </w:tc>
        <w:tc>
          <w:tcPr>
            <w:tcW w:w="2744" w:type="dxa"/>
            <w:gridSpan w:val="2"/>
            <w:tcBorders>
              <w:top w:val="nil"/>
              <w:left w:val="nil"/>
              <w:bottom w:val="single" w:sz="8" w:space="0" w:color="auto"/>
              <w:right w:val="single" w:sz="8" w:space="0" w:color="000000"/>
            </w:tcBorders>
            <w:shd w:val="clear" w:color="auto" w:fill="auto"/>
            <w:noWrap/>
            <w:vAlign w:val="bottom"/>
            <w:hideMark/>
          </w:tcPr>
          <w:p w:rsidR="00A560AB" w:rsidRPr="00A560AB" w:rsidRDefault="00A560AB" w:rsidP="00A560AB">
            <w:pPr>
              <w:jc w:val="right"/>
              <w:rPr>
                <w:b/>
                <w:bCs/>
                <w:sz w:val="20"/>
                <w:szCs w:val="20"/>
              </w:rPr>
            </w:pPr>
            <w:r w:rsidRPr="00A560AB">
              <w:rPr>
                <w:b/>
                <w:bCs/>
                <w:sz w:val="20"/>
                <w:szCs w:val="20"/>
              </w:rPr>
              <w:t>Page 1 of 1</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center"/>
              <w:rPr>
                <w:b/>
                <w:bCs/>
                <w:sz w:val="20"/>
                <w:szCs w:val="20"/>
                <w:u w:val="single"/>
              </w:rPr>
            </w:pPr>
            <w:r w:rsidRPr="00A560AB">
              <w:rPr>
                <w:b/>
                <w:bCs/>
                <w:sz w:val="20"/>
                <w:szCs w:val="20"/>
                <w:u w:val="single"/>
              </w:rPr>
              <w:t>WATER</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OPERATING REVENUES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1.</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test year revenues.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 xml:space="preserve">$422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2.</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miscellaneous revenues.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single"/>
              </w:rPr>
            </w:pPr>
            <w:r w:rsidRPr="00A560AB">
              <w:rPr>
                <w:sz w:val="20"/>
                <w:szCs w:val="20"/>
                <w:u w:val="single"/>
              </w:rPr>
              <w:t xml:space="preserve">8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xml:space="preserve">       Subtotal</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$430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OPERATION AND MAINTENANCE EXPENSES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1.</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Contractual Services - Other (636)</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single"/>
              </w:rPr>
            </w:pPr>
            <w:r w:rsidRPr="00A560AB">
              <w:rPr>
                <w:sz w:val="20"/>
                <w:szCs w:val="20"/>
                <w:u w:val="single"/>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current USWSC contract amount.</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$1,174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2.</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Insurance Expenses (655)</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audit adjustment.</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$251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tcPr>
          <w:p w:rsidR="00A560AB" w:rsidRPr="00A560AB" w:rsidRDefault="00A560AB" w:rsidP="00A560AB">
            <w:pPr>
              <w:jc w:val="right"/>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3.</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Regulatory Commission Expense (665)</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552" w:type="dxa"/>
            <w:gridSpan w:val="2"/>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a.  To reflect 5-year amortization of transfer filing fee.</w:t>
            </w: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 xml:space="preserve">$300 </w:t>
            </w:r>
          </w:p>
        </w:tc>
      </w:tr>
      <w:tr w:rsidR="00A560AB" w:rsidRPr="00A560AB" w:rsidTr="00A560AB">
        <w:trPr>
          <w:trHeight w:val="315"/>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552" w:type="dxa"/>
            <w:gridSpan w:val="2"/>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b.  To reflect 4-year amortization of rate case expense ($2,642/4).</w:t>
            </w: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single"/>
              </w:rPr>
            </w:pPr>
            <w:r w:rsidRPr="00A560AB">
              <w:rPr>
                <w:sz w:val="20"/>
                <w:szCs w:val="20"/>
                <w:u w:val="single"/>
              </w:rPr>
              <w:t xml:space="preserve">661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xml:space="preserve">       Subtotal</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$961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tcPr>
          <w:p w:rsidR="00A560AB" w:rsidRPr="00A560AB" w:rsidRDefault="00A560AB" w:rsidP="00A560AB">
            <w:pPr>
              <w:jc w:val="right"/>
              <w:rPr>
                <w:sz w:val="20"/>
                <w:szCs w:val="20"/>
              </w:rPr>
            </w:pPr>
            <w:r w:rsidRPr="00A560AB">
              <w:rPr>
                <w:sz w:val="20"/>
                <w:szCs w:val="20"/>
              </w:rPr>
              <w:t>4.</w:t>
            </w:r>
          </w:p>
        </w:tc>
        <w:tc>
          <w:tcPr>
            <w:tcW w:w="6276" w:type="dxa"/>
            <w:tcBorders>
              <w:top w:val="nil"/>
              <w:left w:val="nil"/>
              <w:bottom w:val="nil"/>
              <w:right w:val="nil"/>
            </w:tcBorders>
            <w:shd w:val="clear" w:color="auto" w:fill="auto"/>
            <w:noWrap/>
            <w:vAlign w:val="bottom"/>
          </w:tcPr>
          <w:p w:rsidR="00A560AB" w:rsidRPr="00A560AB" w:rsidRDefault="00A560AB" w:rsidP="00A560AB">
            <w:pPr>
              <w:rPr>
                <w:sz w:val="20"/>
                <w:szCs w:val="20"/>
              </w:rPr>
            </w:pPr>
            <w:r w:rsidRPr="00A560AB">
              <w:rPr>
                <w:sz w:val="20"/>
                <w:szCs w:val="20"/>
              </w:rPr>
              <w:t>Bad Debt Expense (670)</w:t>
            </w:r>
          </w:p>
        </w:tc>
        <w:tc>
          <w:tcPr>
            <w:tcW w:w="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tcPr>
          <w:p w:rsidR="00A560AB" w:rsidRPr="00A560AB" w:rsidRDefault="00A560AB" w:rsidP="00A560AB">
            <w:pPr>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tcPr>
          <w:p w:rsidR="00A560AB" w:rsidRPr="00A560AB" w:rsidRDefault="00A560AB" w:rsidP="00A560AB">
            <w:pPr>
              <w:rPr>
                <w:sz w:val="20"/>
                <w:szCs w:val="20"/>
              </w:rPr>
            </w:pPr>
            <w:r w:rsidRPr="00A560AB">
              <w:rPr>
                <w:sz w:val="20"/>
                <w:szCs w:val="20"/>
              </w:rPr>
              <w:t>To reflect appropriate bad debt expense.</w:t>
            </w:r>
          </w:p>
        </w:tc>
        <w:tc>
          <w:tcPr>
            <w:tcW w:w="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tcPr>
          <w:p w:rsidR="00A560AB" w:rsidRPr="00A560AB" w:rsidRDefault="00A560AB" w:rsidP="00A560AB">
            <w:pPr>
              <w:jc w:val="right"/>
              <w:rPr>
                <w:sz w:val="20"/>
                <w:szCs w:val="20"/>
                <w:u w:val="double"/>
              </w:rPr>
            </w:pPr>
            <w:r w:rsidRPr="00A560AB">
              <w:rPr>
                <w:sz w:val="20"/>
                <w:szCs w:val="20"/>
                <w:u w:val="double"/>
              </w:rPr>
              <w:t xml:space="preserve">($4,219)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tcPr>
          <w:p w:rsidR="00A560AB" w:rsidRPr="00A560AB" w:rsidRDefault="00A560AB" w:rsidP="00A560AB">
            <w:pPr>
              <w:rPr>
                <w:sz w:val="20"/>
                <w:szCs w:val="20"/>
              </w:rPr>
            </w:pPr>
          </w:p>
        </w:tc>
        <w:tc>
          <w:tcPr>
            <w:tcW w:w="6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tcPr>
          <w:p w:rsidR="00A560AB" w:rsidRPr="00A560AB" w:rsidRDefault="00A560AB" w:rsidP="00A560AB">
            <w:pPr>
              <w:rPr>
                <w:sz w:val="20"/>
                <w:szCs w:val="20"/>
                <w:u w:val="doub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TOTAL OPERATION &amp; MAINTENANCE ADJUSTMENTS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($1,833) </w:t>
            </w:r>
          </w:p>
        </w:tc>
      </w:tr>
      <w:tr w:rsidR="00A560AB" w:rsidRPr="00A560AB" w:rsidTr="00A560AB">
        <w:trPr>
          <w:trHeight w:val="312"/>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single"/>
              </w:rPr>
            </w:pP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DEPRECIATION EXPENSE</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1.</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audit adjustment per Rule 25-30.140(2).</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 xml:space="preserve">$27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2.</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pro forma plant additions (net of retirements).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single"/>
              </w:rPr>
            </w:pPr>
            <w:r w:rsidRPr="00A560AB">
              <w:rPr>
                <w:sz w:val="20"/>
                <w:szCs w:val="20"/>
                <w:u w:val="single"/>
              </w:rPr>
              <w:t xml:space="preserve">7,106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xml:space="preserve">  Total</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$7,133 </w:t>
            </w:r>
          </w:p>
        </w:tc>
      </w:tr>
      <w:tr w:rsidR="00A560AB" w:rsidRPr="00A560AB" w:rsidTr="00A560AB">
        <w:trPr>
          <w:trHeight w:val="189"/>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AMORTIZATION</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appropriate CIAC amortization expense.</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 xml:space="preserve">$747 </w:t>
            </w:r>
          </w:p>
        </w:tc>
      </w:tr>
      <w:tr w:rsidR="00A560AB" w:rsidRPr="00A560AB" w:rsidTr="00A560AB">
        <w:trPr>
          <w:trHeight w:val="207"/>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u w:val="double"/>
              </w:rPr>
            </w:pPr>
            <w:r w:rsidRPr="00A560AB">
              <w:rPr>
                <w:sz w:val="20"/>
                <w:szCs w:val="20"/>
                <w:u w:val="single"/>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TAXES OTHER THAN INCOME</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rPr>
                <w:sz w:val="20"/>
                <w:szCs w:val="20"/>
              </w:rPr>
            </w:pPr>
            <w:r w:rsidRPr="00A560AB">
              <w:rPr>
                <w:sz w:val="20"/>
                <w:szCs w:val="20"/>
              </w:rPr>
              <w:t>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1.</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the appropriate test year RAFs.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($150)</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2.</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the appropriate test year property taxes.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(416)</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3.</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property associated with pro forma plant.</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rPr>
            </w:pPr>
            <w:r w:rsidRPr="00A560AB">
              <w:rPr>
                <w:sz w:val="20"/>
                <w:szCs w:val="20"/>
              </w:rPr>
              <w:t xml:space="preserve">4,266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4.</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To reflect pro forma property taxes.</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single"/>
              </w:rPr>
            </w:pPr>
            <w:r w:rsidRPr="00A560AB">
              <w:rPr>
                <w:sz w:val="20"/>
                <w:szCs w:val="20"/>
                <w:u w:val="single"/>
              </w:rPr>
              <w:t xml:space="preserve">8,792 </w:t>
            </w:r>
          </w:p>
        </w:tc>
      </w:tr>
      <w:tr w:rsidR="00A560AB" w:rsidRPr="00A560AB" w:rsidTr="00A560AB">
        <w:trPr>
          <w:trHeight w:val="300"/>
          <w:jc w:val="center"/>
        </w:trPr>
        <w:tc>
          <w:tcPr>
            <w:tcW w:w="466" w:type="dxa"/>
            <w:tcBorders>
              <w:top w:val="nil"/>
              <w:left w:val="single" w:sz="8" w:space="0" w:color="auto"/>
              <w:bottom w:val="nil"/>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r w:rsidRPr="00A560AB">
              <w:rPr>
                <w:sz w:val="20"/>
                <w:szCs w:val="20"/>
              </w:rPr>
              <w:t xml:space="preserve">  Total</w:t>
            </w:r>
          </w:p>
        </w:tc>
        <w:tc>
          <w:tcPr>
            <w:tcW w:w="276" w:type="dxa"/>
            <w:tcBorders>
              <w:top w:val="nil"/>
              <w:left w:val="nil"/>
              <w:bottom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nil"/>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$12,492</w:t>
            </w:r>
          </w:p>
        </w:tc>
      </w:tr>
      <w:tr w:rsidR="00A560AB" w:rsidRPr="00A560AB" w:rsidTr="00E208F0">
        <w:trPr>
          <w:trHeight w:val="300"/>
          <w:jc w:val="center"/>
        </w:trPr>
        <w:tc>
          <w:tcPr>
            <w:tcW w:w="466" w:type="dxa"/>
            <w:tcBorders>
              <w:top w:val="nil"/>
              <w:left w:val="single" w:sz="8" w:space="0" w:color="auto"/>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right w:val="nil"/>
            </w:tcBorders>
            <w:shd w:val="clear" w:color="auto" w:fill="auto"/>
            <w:noWrap/>
            <w:vAlign w:val="bottom"/>
            <w:hideMark/>
          </w:tcPr>
          <w:p w:rsidR="00A560AB" w:rsidRPr="00A560AB" w:rsidRDefault="00A560AB" w:rsidP="00A560AB">
            <w:pPr>
              <w:rPr>
                <w:sz w:val="20"/>
                <w:szCs w:val="20"/>
              </w:rPr>
            </w:pPr>
          </w:p>
        </w:tc>
        <w:tc>
          <w:tcPr>
            <w:tcW w:w="276" w:type="dxa"/>
            <w:tcBorders>
              <w:top w:val="nil"/>
              <w:left w:val="nil"/>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right w:val="single" w:sz="8" w:space="0" w:color="auto"/>
            </w:tcBorders>
            <w:shd w:val="clear" w:color="auto" w:fill="auto"/>
            <w:noWrap/>
            <w:vAlign w:val="bottom"/>
            <w:hideMark/>
          </w:tcPr>
          <w:p w:rsidR="00A560AB" w:rsidRPr="00A560AB" w:rsidRDefault="00A560AB" w:rsidP="00A560AB">
            <w:pPr>
              <w:rPr>
                <w:sz w:val="20"/>
                <w:szCs w:val="20"/>
                <w:u w:val="double"/>
              </w:rPr>
            </w:pPr>
          </w:p>
        </w:tc>
      </w:tr>
      <w:tr w:rsidR="00A560AB" w:rsidRPr="00A560AB" w:rsidTr="00E208F0">
        <w:trPr>
          <w:trHeight w:val="300"/>
          <w:jc w:val="center"/>
        </w:trPr>
        <w:tc>
          <w:tcPr>
            <w:tcW w:w="466" w:type="dxa"/>
            <w:tcBorders>
              <w:top w:val="nil"/>
              <w:left w:val="single" w:sz="8" w:space="0" w:color="auto"/>
              <w:bottom w:val="single" w:sz="4" w:space="0" w:color="auto"/>
              <w:right w:val="nil"/>
            </w:tcBorders>
            <w:shd w:val="clear" w:color="auto" w:fill="auto"/>
            <w:noWrap/>
            <w:vAlign w:val="bottom"/>
            <w:hideMark/>
          </w:tcPr>
          <w:p w:rsidR="00A560AB" w:rsidRPr="00A560AB" w:rsidRDefault="00A560AB" w:rsidP="00A560AB">
            <w:pPr>
              <w:jc w:val="right"/>
              <w:rPr>
                <w:sz w:val="20"/>
                <w:szCs w:val="20"/>
              </w:rPr>
            </w:pPr>
            <w:r w:rsidRPr="00A560AB">
              <w:rPr>
                <w:sz w:val="20"/>
                <w:szCs w:val="20"/>
              </w:rPr>
              <w:t> </w:t>
            </w:r>
          </w:p>
        </w:tc>
        <w:tc>
          <w:tcPr>
            <w:tcW w:w="6276" w:type="dxa"/>
            <w:tcBorders>
              <w:top w:val="nil"/>
              <w:left w:val="nil"/>
              <w:bottom w:val="single" w:sz="4" w:space="0" w:color="auto"/>
              <w:right w:val="nil"/>
            </w:tcBorders>
            <w:shd w:val="clear" w:color="auto" w:fill="auto"/>
            <w:noWrap/>
            <w:vAlign w:val="bottom"/>
            <w:hideMark/>
          </w:tcPr>
          <w:p w:rsidR="00A560AB" w:rsidRPr="00A560AB" w:rsidRDefault="00A560AB" w:rsidP="00A560AB">
            <w:pPr>
              <w:rPr>
                <w:b/>
                <w:bCs/>
                <w:sz w:val="20"/>
                <w:szCs w:val="20"/>
              </w:rPr>
            </w:pPr>
            <w:r w:rsidRPr="00A560AB">
              <w:rPr>
                <w:b/>
                <w:bCs/>
                <w:sz w:val="20"/>
                <w:szCs w:val="20"/>
              </w:rPr>
              <w:t>INCOME TAX</w:t>
            </w:r>
          </w:p>
        </w:tc>
        <w:tc>
          <w:tcPr>
            <w:tcW w:w="276" w:type="dxa"/>
            <w:tcBorders>
              <w:top w:val="nil"/>
              <w:left w:val="nil"/>
              <w:bottom w:val="single" w:sz="4" w:space="0" w:color="auto"/>
              <w:right w:val="nil"/>
            </w:tcBorders>
            <w:shd w:val="clear" w:color="auto" w:fill="auto"/>
            <w:noWrap/>
            <w:vAlign w:val="bottom"/>
            <w:hideMark/>
          </w:tcPr>
          <w:p w:rsidR="00A560AB" w:rsidRPr="00A560AB" w:rsidRDefault="00A560AB" w:rsidP="00A560AB">
            <w:pPr>
              <w:rPr>
                <w:sz w:val="20"/>
                <w:szCs w:val="20"/>
              </w:rPr>
            </w:pPr>
          </w:p>
        </w:tc>
        <w:tc>
          <w:tcPr>
            <w:tcW w:w="2468" w:type="dxa"/>
            <w:tcBorders>
              <w:top w:val="nil"/>
              <w:left w:val="nil"/>
              <w:bottom w:val="single" w:sz="4" w:space="0" w:color="auto"/>
              <w:right w:val="single" w:sz="8" w:space="0" w:color="auto"/>
            </w:tcBorders>
            <w:shd w:val="clear" w:color="auto" w:fill="auto"/>
            <w:noWrap/>
            <w:vAlign w:val="bottom"/>
            <w:hideMark/>
          </w:tcPr>
          <w:p w:rsidR="00A560AB" w:rsidRPr="00A560AB" w:rsidRDefault="00A560AB" w:rsidP="00A560AB">
            <w:pPr>
              <w:jc w:val="right"/>
              <w:rPr>
                <w:sz w:val="20"/>
                <w:szCs w:val="20"/>
                <w:u w:val="double"/>
              </w:rPr>
            </w:pPr>
            <w:r w:rsidRPr="00A560AB">
              <w:rPr>
                <w:sz w:val="20"/>
                <w:szCs w:val="20"/>
                <w:u w:val="double"/>
              </w:rPr>
              <w:t>$0</w:t>
            </w:r>
          </w:p>
        </w:tc>
      </w:tr>
    </w:tbl>
    <w:p w:rsidR="00A560AB" w:rsidRDefault="00A560AB" w:rsidP="00235063">
      <w:pPr>
        <w:pStyle w:val="OrderBody"/>
        <w:sectPr w:rsidR="00A560AB" w:rsidSect="00A560AB">
          <w:headerReference w:type="default" r:id="rId12"/>
          <w:headerReference w:type="first" r:id="rId13"/>
          <w:pgSz w:w="12240" w:h="15840" w:code="1"/>
          <w:pgMar w:top="1440" w:right="1440" w:bottom="1440" w:left="1440" w:header="720" w:footer="720" w:gutter="0"/>
          <w:cols w:space="720"/>
          <w:titlePg/>
          <w:docGrid w:linePitch="360"/>
        </w:sectPr>
      </w:pPr>
    </w:p>
    <w:tbl>
      <w:tblPr>
        <w:tblW w:w="8480" w:type="dxa"/>
        <w:jc w:val="center"/>
        <w:tblLook w:val="04A0" w:firstRow="1" w:lastRow="0" w:firstColumn="1" w:lastColumn="0" w:noHBand="0" w:noVBand="1"/>
      </w:tblPr>
      <w:tblGrid>
        <w:gridCol w:w="5000"/>
        <w:gridCol w:w="1228"/>
        <w:gridCol w:w="1572"/>
        <w:gridCol w:w="1572"/>
      </w:tblGrid>
      <w:tr w:rsidR="00A560AB" w:rsidRPr="0047712A" w:rsidTr="00A560AB">
        <w:trPr>
          <w:trHeight w:val="300"/>
          <w:jc w:val="center"/>
        </w:trPr>
        <w:tc>
          <w:tcPr>
            <w:tcW w:w="5000" w:type="dxa"/>
            <w:tcBorders>
              <w:top w:val="single" w:sz="8" w:space="0" w:color="auto"/>
              <w:left w:val="single" w:sz="8" w:space="0" w:color="auto"/>
              <w:bottom w:val="nil"/>
              <w:right w:val="nil"/>
            </w:tcBorders>
            <w:shd w:val="clear" w:color="auto" w:fill="auto"/>
            <w:noWrap/>
            <w:vAlign w:val="bottom"/>
            <w:hideMark/>
          </w:tcPr>
          <w:p w:rsidR="00A560AB" w:rsidRPr="0047712A" w:rsidRDefault="00A560AB" w:rsidP="00A560AB">
            <w:pPr>
              <w:rPr>
                <w:b/>
                <w:bCs/>
                <w:color w:val="000000"/>
                <w:sz w:val="20"/>
                <w:szCs w:val="20"/>
              </w:rPr>
            </w:pPr>
            <w:bookmarkStart w:id="17" w:name="RANGE!B1:E27"/>
            <w:r w:rsidRPr="0047712A">
              <w:rPr>
                <w:b/>
                <w:bCs/>
                <w:color w:val="000000"/>
                <w:sz w:val="20"/>
                <w:szCs w:val="20"/>
              </w:rPr>
              <w:t>GATOR WATERWORKS, INC.</w:t>
            </w:r>
            <w:bookmarkEnd w:id="17"/>
          </w:p>
        </w:tc>
        <w:tc>
          <w:tcPr>
            <w:tcW w:w="3480" w:type="dxa"/>
            <w:gridSpan w:val="3"/>
            <w:tcBorders>
              <w:top w:val="single" w:sz="8" w:space="0" w:color="auto"/>
              <w:left w:val="nil"/>
              <w:bottom w:val="nil"/>
              <w:right w:val="single" w:sz="8" w:space="0" w:color="000000"/>
            </w:tcBorders>
            <w:shd w:val="clear" w:color="auto" w:fill="auto"/>
            <w:noWrap/>
            <w:vAlign w:val="bottom"/>
            <w:hideMark/>
          </w:tcPr>
          <w:p w:rsidR="00A560AB" w:rsidRPr="0047712A" w:rsidRDefault="00A560AB" w:rsidP="00A560AB">
            <w:pPr>
              <w:jc w:val="right"/>
              <w:rPr>
                <w:b/>
                <w:bCs/>
                <w:color w:val="000000"/>
                <w:sz w:val="20"/>
                <w:szCs w:val="20"/>
              </w:rPr>
            </w:pPr>
            <w:r w:rsidRPr="0047712A">
              <w:rPr>
                <w:b/>
                <w:bCs/>
                <w:color w:val="000000"/>
                <w:sz w:val="20"/>
                <w:szCs w:val="20"/>
              </w:rPr>
              <w:t>SCHEDULE NO. 3-C</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TEST YEAR ENDED  3/31/2019</w:t>
            </w:r>
          </w:p>
        </w:tc>
        <w:tc>
          <w:tcPr>
            <w:tcW w:w="3480" w:type="dxa"/>
            <w:gridSpan w:val="3"/>
            <w:tcBorders>
              <w:top w:val="nil"/>
              <w:left w:val="nil"/>
              <w:bottom w:val="nil"/>
              <w:right w:val="single" w:sz="8" w:space="0" w:color="000000"/>
            </w:tcBorders>
            <w:shd w:val="clear" w:color="auto" w:fill="auto"/>
            <w:noWrap/>
            <w:vAlign w:val="bottom"/>
            <w:hideMark/>
          </w:tcPr>
          <w:p w:rsidR="00A560AB" w:rsidRPr="0047712A" w:rsidRDefault="00A560AB" w:rsidP="00A560AB">
            <w:pPr>
              <w:jc w:val="right"/>
              <w:rPr>
                <w:b/>
                <w:bCs/>
                <w:color w:val="000000"/>
                <w:sz w:val="20"/>
                <w:szCs w:val="20"/>
              </w:rPr>
            </w:pPr>
            <w:r w:rsidRPr="0047712A">
              <w:rPr>
                <w:b/>
                <w:bCs/>
                <w:color w:val="000000"/>
                <w:sz w:val="20"/>
                <w:szCs w:val="20"/>
              </w:rPr>
              <w:t>DOCKET NO. 20190114-WU</w:t>
            </w:r>
          </w:p>
        </w:tc>
      </w:tr>
      <w:tr w:rsidR="00A560AB" w:rsidRPr="0047712A" w:rsidTr="00A560AB">
        <w:trPr>
          <w:trHeight w:val="312"/>
          <w:jc w:val="center"/>
        </w:trPr>
        <w:tc>
          <w:tcPr>
            <w:tcW w:w="7455" w:type="dxa"/>
            <w:gridSpan w:val="3"/>
            <w:tcBorders>
              <w:top w:val="nil"/>
              <w:left w:val="single" w:sz="8" w:space="0" w:color="auto"/>
              <w:bottom w:val="single" w:sz="8" w:space="0" w:color="000000"/>
              <w:right w:val="nil"/>
            </w:tcBorders>
            <w:shd w:val="clear" w:color="auto" w:fill="auto"/>
            <w:noWrap/>
            <w:vAlign w:val="bottom"/>
            <w:hideMark/>
          </w:tcPr>
          <w:p w:rsidR="00A560AB" w:rsidRPr="0047712A" w:rsidRDefault="00A560AB" w:rsidP="00A560AB">
            <w:pPr>
              <w:rPr>
                <w:b/>
                <w:bCs/>
                <w:color w:val="000000"/>
                <w:sz w:val="20"/>
                <w:szCs w:val="20"/>
              </w:rPr>
            </w:pPr>
            <w:r w:rsidRPr="0047712A">
              <w:rPr>
                <w:b/>
                <w:bCs/>
                <w:color w:val="000000"/>
                <w:sz w:val="20"/>
                <w:szCs w:val="20"/>
              </w:rPr>
              <w:t>ANALYSIS OF WATER OPERATION AND MAINTENANCE EXPENSE</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TOTAL</w:t>
            </w:r>
          </w:p>
        </w:tc>
        <w:tc>
          <w:tcPr>
            <w:tcW w:w="1227" w:type="dxa"/>
            <w:tcBorders>
              <w:top w:val="nil"/>
              <w:left w:val="nil"/>
              <w:bottom w:val="nil"/>
              <w:right w:val="nil"/>
            </w:tcBorders>
            <w:shd w:val="clear" w:color="auto" w:fill="auto"/>
            <w:noWrap/>
            <w:vAlign w:val="bottom"/>
            <w:hideMark/>
          </w:tcPr>
          <w:p w:rsidR="00A560AB" w:rsidRPr="0047712A" w:rsidRDefault="00E208F0" w:rsidP="00A560AB">
            <w:pPr>
              <w:jc w:val="center"/>
              <w:rPr>
                <w:b/>
                <w:bCs/>
                <w:color w:val="000000"/>
                <w:sz w:val="20"/>
                <w:szCs w:val="20"/>
              </w:rPr>
            </w:pPr>
            <w:r>
              <w:rPr>
                <w:b/>
                <w:bCs/>
                <w:color w:val="000000"/>
                <w:sz w:val="20"/>
                <w:szCs w:val="20"/>
              </w:rPr>
              <w:t>COMMISSION</w:t>
            </w:r>
          </w:p>
        </w:tc>
        <w:tc>
          <w:tcPr>
            <w:tcW w:w="1025" w:type="dxa"/>
            <w:tcBorders>
              <w:top w:val="single" w:sz="8" w:space="0" w:color="000000"/>
              <w:left w:val="nil"/>
              <w:bottom w:val="nil"/>
              <w:right w:val="single" w:sz="8" w:space="0" w:color="auto"/>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TOTAL</w:t>
            </w:r>
          </w:p>
        </w:tc>
      </w:tr>
      <w:tr w:rsidR="00A560AB" w:rsidRPr="0047712A" w:rsidTr="00A560AB">
        <w:trPr>
          <w:trHeight w:val="312"/>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color w:val="000000"/>
              </w:rPr>
            </w:pPr>
            <w:r w:rsidRPr="0047712A">
              <w:rPr>
                <w:color w:val="000000"/>
              </w:rPr>
              <w:t> </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PER</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ADJUST-</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PER</w:t>
            </w:r>
          </w:p>
        </w:tc>
      </w:tr>
      <w:tr w:rsidR="00A560AB" w:rsidRPr="0047712A" w:rsidTr="00A560AB">
        <w:trPr>
          <w:trHeight w:val="312"/>
          <w:jc w:val="center"/>
        </w:trPr>
        <w:tc>
          <w:tcPr>
            <w:tcW w:w="5000" w:type="dxa"/>
            <w:tcBorders>
              <w:top w:val="nil"/>
              <w:left w:val="single" w:sz="8" w:space="0" w:color="auto"/>
              <w:bottom w:val="single" w:sz="8" w:space="0" w:color="000000"/>
              <w:right w:val="nil"/>
            </w:tcBorders>
            <w:shd w:val="clear" w:color="auto" w:fill="auto"/>
            <w:noWrap/>
            <w:vAlign w:val="bottom"/>
            <w:hideMark/>
          </w:tcPr>
          <w:p w:rsidR="00A560AB" w:rsidRPr="0047712A" w:rsidRDefault="00A560AB" w:rsidP="00A560AB">
            <w:pPr>
              <w:rPr>
                <w:color w:val="000000"/>
                <w:sz w:val="20"/>
                <w:szCs w:val="20"/>
              </w:rPr>
            </w:pPr>
            <w:r w:rsidRPr="0047712A">
              <w:rPr>
                <w:color w:val="000000"/>
                <w:sz w:val="20"/>
                <w:szCs w:val="20"/>
              </w:rPr>
              <w:t> </w:t>
            </w:r>
          </w:p>
        </w:tc>
        <w:tc>
          <w:tcPr>
            <w:tcW w:w="1228" w:type="dxa"/>
            <w:tcBorders>
              <w:top w:val="nil"/>
              <w:left w:val="nil"/>
              <w:bottom w:val="single" w:sz="8" w:space="0" w:color="000000"/>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UTILITY</w:t>
            </w:r>
          </w:p>
        </w:tc>
        <w:tc>
          <w:tcPr>
            <w:tcW w:w="1227" w:type="dxa"/>
            <w:tcBorders>
              <w:top w:val="nil"/>
              <w:left w:val="nil"/>
              <w:bottom w:val="single" w:sz="8" w:space="0" w:color="000000"/>
              <w:right w:val="nil"/>
            </w:tcBorders>
            <w:shd w:val="clear" w:color="auto" w:fill="auto"/>
            <w:noWrap/>
            <w:vAlign w:val="bottom"/>
            <w:hideMark/>
          </w:tcPr>
          <w:p w:rsidR="00A560AB" w:rsidRPr="0047712A" w:rsidRDefault="00A560AB" w:rsidP="00A560AB">
            <w:pPr>
              <w:jc w:val="center"/>
              <w:rPr>
                <w:b/>
                <w:bCs/>
                <w:color w:val="000000"/>
                <w:sz w:val="20"/>
                <w:szCs w:val="20"/>
              </w:rPr>
            </w:pPr>
            <w:r w:rsidRPr="0047712A">
              <w:rPr>
                <w:b/>
                <w:bCs/>
                <w:color w:val="000000"/>
                <w:sz w:val="20"/>
                <w:szCs w:val="20"/>
              </w:rPr>
              <w:t>MENT</w:t>
            </w:r>
          </w:p>
        </w:tc>
        <w:tc>
          <w:tcPr>
            <w:tcW w:w="1025" w:type="dxa"/>
            <w:tcBorders>
              <w:top w:val="nil"/>
              <w:left w:val="nil"/>
              <w:bottom w:val="single" w:sz="8" w:space="0" w:color="000000"/>
              <w:right w:val="single" w:sz="8" w:space="0" w:color="auto"/>
            </w:tcBorders>
            <w:shd w:val="clear" w:color="auto" w:fill="auto"/>
            <w:noWrap/>
            <w:vAlign w:val="bottom"/>
            <w:hideMark/>
          </w:tcPr>
          <w:p w:rsidR="00A560AB" w:rsidRPr="0047712A" w:rsidRDefault="00E208F0" w:rsidP="00A560AB">
            <w:pPr>
              <w:jc w:val="center"/>
              <w:rPr>
                <w:b/>
                <w:bCs/>
                <w:color w:val="000000"/>
                <w:sz w:val="20"/>
                <w:szCs w:val="20"/>
              </w:rPr>
            </w:pPr>
            <w:r>
              <w:rPr>
                <w:b/>
                <w:bCs/>
                <w:color w:val="000000"/>
                <w:sz w:val="20"/>
                <w:szCs w:val="20"/>
              </w:rPr>
              <w:t>COMMISSION</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(601) SALARIES AND WAGES - EMPLOYEES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 xml:space="preserve">(603) SALARIES AND WAGES </w:t>
            </w:r>
            <w:r>
              <w:rPr>
                <w:sz w:val="20"/>
                <w:szCs w:val="20"/>
              </w:rPr>
              <w:t>–</w:t>
            </w:r>
            <w:r w:rsidRPr="0047712A">
              <w:rPr>
                <w:sz w:val="20"/>
                <w:szCs w:val="20"/>
              </w:rPr>
              <w:t xml:space="preserve"> OFFICERS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5,000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5,000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(604) EMPLOYEE PENSIONS AND BENEFITS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(610) PURCHASED WATER</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(615) PURCHASED POWER</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12,923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12,923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(616) FUEL FOR POWER PRODUCTION</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(618) CHEMICALS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669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669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(620) MATERIALS AND SUPPLIES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(632) CONTRACTUAL SERVICES - ACCOUNTING</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400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400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 xml:space="preserve">(633) CONTRACTUAL SERVICES </w:t>
            </w:r>
            <w:r>
              <w:rPr>
                <w:sz w:val="20"/>
                <w:szCs w:val="20"/>
              </w:rPr>
              <w:t>–</w:t>
            </w:r>
            <w:r w:rsidRPr="0047712A">
              <w:rPr>
                <w:sz w:val="20"/>
                <w:szCs w:val="20"/>
              </w:rPr>
              <w:t xml:space="preserve"> LEGAL</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300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300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(635) CONTRACTUAL SERVICES - TESTING</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157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157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 xml:space="preserve">(636) CONTRACTUAL SERVICES </w:t>
            </w:r>
            <w:r>
              <w:rPr>
                <w:sz w:val="20"/>
                <w:szCs w:val="20"/>
              </w:rPr>
              <w:t>–</w:t>
            </w:r>
            <w:r w:rsidRPr="0047712A">
              <w:rPr>
                <w:sz w:val="20"/>
                <w:szCs w:val="20"/>
              </w:rPr>
              <w:t xml:space="preserve"> OTHER</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49,732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1,174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50,906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(640) RENTS</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(650) TRANSPORTATION EXPENSE</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(655) INSURANCE EXPENSE</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1,256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251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1,507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(665) REGULATORY COMMISSION EXPENSE</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9</w:t>
            </w:r>
            <w:r>
              <w:rPr>
                <w:sz w:val="20"/>
                <w:szCs w:val="20"/>
              </w:rPr>
              <w:t>61</w:t>
            </w:r>
            <w:r w:rsidRPr="0047712A">
              <w:rPr>
                <w:sz w:val="20"/>
                <w:szCs w:val="20"/>
              </w:rPr>
              <w:t xml:space="preserve">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Pr>
                <w:sz w:val="20"/>
                <w:szCs w:val="20"/>
              </w:rPr>
              <w:t>961</w:t>
            </w:r>
            <w:r w:rsidRPr="0047712A">
              <w:rPr>
                <w:sz w:val="20"/>
                <w:szCs w:val="20"/>
              </w:rPr>
              <w:t xml:space="preserve">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(670) BAD DEBT EXPENSE</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sidRPr="0047712A">
              <w:rPr>
                <w:sz w:val="20"/>
                <w:szCs w:val="20"/>
              </w:rPr>
              <w:t xml:space="preserve">5,404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rPr>
            </w:pPr>
            <w:r>
              <w:rPr>
                <w:sz w:val="20"/>
                <w:szCs w:val="20"/>
              </w:rPr>
              <w:t>(4,219)</w:t>
            </w:r>
            <w:r w:rsidRPr="0047712A">
              <w:rPr>
                <w:sz w:val="20"/>
                <w:szCs w:val="20"/>
              </w:rPr>
              <w:t xml:space="preserve">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rPr>
            </w:pPr>
            <w:r>
              <w:rPr>
                <w:sz w:val="20"/>
                <w:szCs w:val="20"/>
              </w:rPr>
              <w:t>1,185</w:t>
            </w:r>
            <w:r w:rsidRPr="0047712A">
              <w:rPr>
                <w:sz w:val="20"/>
                <w:szCs w:val="20"/>
              </w:rPr>
              <w:t xml:space="preserve">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(675) MISCELLANEOUS EXPENSE</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 xml:space="preserve">650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 xml:space="preserve">0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single"/>
              </w:rPr>
            </w:pPr>
            <w:r w:rsidRPr="0047712A">
              <w:rPr>
                <w:sz w:val="20"/>
                <w:szCs w:val="20"/>
                <w:u w:val="single"/>
              </w:rPr>
              <w:t xml:space="preserve">650 </w:t>
            </w:r>
          </w:p>
        </w:tc>
      </w:tr>
      <w:tr w:rsidR="00A560AB" w:rsidRPr="0047712A" w:rsidTr="00A560AB">
        <w:trPr>
          <w:trHeight w:val="300"/>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 </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single"/>
              </w:rPr>
            </w:pP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single"/>
              </w:rPr>
            </w:pPr>
          </w:p>
        </w:tc>
      </w:tr>
      <w:tr w:rsidR="00A560AB" w:rsidRPr="0047712A" w:rsidTr="00A560AB">
        <w:trPr>
          <w:trHeight w:val="336"/>
          <w:jc w:val="center"/>
        </w:trPr>
        <w:tc>
          <w:tcPr>
            <w:tcW w:w="5000" w:type="dxa"/>
            <w:tcBorders>
              <w:top w:val="nil"/>
              <w:left w:val="single" w:sz="8" w:space="0" w:color="auto"/>
              <w:bottom w:val="nil"/>
              <w:right w:val="nil"/>
            </w:tcBorders>
            <w:shd w:val="clear" w:color="auto" w:fill="auto"/>
            <w:noWrap/>
            <w:vAlign w:val="bottom"/>
            <w:hideMark/>
          </w:tcPr>
          <w:p w:rsidR="00A560AB" w:rsidRPr="0047712A" w:rsidRDefault="00A560AB" w:rsidP="00A560AB">
            <w:pPr>
              <w:rPr>
                <w:sz w:val="20"/>
                <w:szCs w:val="20"/>
              </w:rPr>
            </w:pPr>
            <w:r w:rsidRPr="0047712A">
              <w:rPr>
                <w:sz w:val="20"/>
                <w:szCs w:val="20"/>
              </w:rPr>
              <w:t> </w:t>
            </w:r>
          </w:p>
        </w:tc>
        <w:tc>
          <w:tcPr>
            <w:tcW w:w="1228"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 xml:space="preserve">$76,491 </w:t>
            </w:r>
          </w:p>
        </w:tc>
        <w:tc>
          <w:tcPr>
            <w:tcW w:w="1227" w:type="dxa"/>
            <w:tcBorders>
              <w:top w:val="nil"/>
              <w:left w:val="nil"/>
              <w:bottom w:val="nil"/>
              <w:right w:val="nil"/>
            </w:tcBorders>
            <w:shd w:val="clear" w:color="auto" w:fill="auto"/>
            <w:noWrap/>
            <w:vAlign w:val="bottom"/>
            <w:hideMark/>
          </w:tcPr>
          <w:p w:rsidR="00A560AB" w:rsidRPr="0047712A" w:rsidRDefault="00A560AB" w:rsidP="00A560AB">
            <w:pPr>
              <w:jc w:val="right"/>
              <w:rPr>
                <w:sz w:val="20"/>
                <w:szCs w:val="20"/>
                <w:u w:val="double"/>
              </w:rPr>
            </w:pPr>
            <w:r>
              <w:rPr>
                <w:sz w:val="20"/>
                <w:szCs w:val="20"/>
                <w:u w:val="double"/>
              </w:rPr>
              <w:t>(</w:t>
            </w:r>
            <w:r w:rsidRPr="0047712A">
              <w:rPr>
                <w:sz w:val="20"/>
                <w:szCs w:val="20"/>
                <w:u w:val="double"/>
              </w:rPr>
              <w:t>$</w:t>
            </w:r>
            <w:r>
              <w:rPr>
                <w:sz w:val="20"/>
                <w:szCs w:val="20"/>
                <w:u w:val="double"/>
              </w:rPr>
              <w:t>1,833)</w:t>
            </w:r>
            <w:r w:rsidRPr="0047712A">
              <w:rPr>
                <w:sz w:val="20"/>
                <w:szCs w:val="20"/>
                <w:u w:val="double"/>
              </w:rPr>
              <w:t xml:space="preserve"> </w:t>
            </w:r>
          </w:p>
        </w:tc>
        <w:tc>
          <w:tcPr>
            <w:tcW w:w="1025" w:type="dxa"/>
            <w:tcBorders>
              <w:top w:val="nil"/>
              <w:left w:val="nil"/>
              <w:bottom w:val="nil"/>
              <w:right w:val="single" w:sz="8" w:space="0" w:color="auto"/>
            </w:tcBorders>
            <w:shd w:val="clear" w:color="auto" w:fill="auto"/>
            <w:noWrap/>
            <w:vAlign w:val="bottom"/>
            <w:hideMark/>
          </w:tcPr>
          <w:p w:rsidR="00A560AB" w:rsidRPr="0047712A" w:rsidRDefault="00A560AB" w:rsidP="00A560AB">
            <w:pPr>
              <w:jc w:val="right"/>
              <w:rPr>
                <w:sz w:val="20"/>
                <w:szCs w:val="20"/>
                <w:u w:val="double"/>
              </w:rPr>
            </w:pPr>
            <w:r w:rsidRPr="0047712A">
              <w:rPr>
                <w:sz w:val="20"/>
                <w:szCs w:val="20"/>
                <w:u w:val="double"/>
              </w:rPr>
              <w:t>$7</w:t>
            </w:r>
            <w:r>
              <w:rPr>
                <w:sz w:val="20"/>
                <w:szCs w:val="20"/>
                <w:u w:val="double"/>
              </w:rPr>
              <w:t>4,658</w:t>
            </w:r>
            <w:r w:rsidRPr="0047712A">
              <w:rPr>
                <w:sz w:val="20"/>
                <w:szCs w:val="20"/>
                <w:u w:val="double"/>
              </w:rPr>
              <w:t xml:space="preserve"> </w:t>
            </w:r>
          </w:p>
        </w:tc>
      </w:tr>
      <w:tr w:rsidR="00A560AB" w:rsidRPr="0047712A" w:rsidTr="00A560AB">
        <w:trPr>
          <w:trHeight w:val="312"/>
          <w:jc w:val="center"/>
        </w:trPr>
        <w:tc>
          <w:tcPr>
            <w:tcW w:w="5000" w:type="dxa"/>
            <w:tcBorders>
              <w:top w:val="nil"/>
              <w:left w:val="single" w:sz="8" w:space="0" w:color="auto"/>
              <w:bottom w:val="single" w:sz="8" w:space="0" w:color="auto"/>
              <w:right w:val="nil"/>
            </w:tcBorders>
            <w:shd w:val="clear" w:color="auto" w:fill="auto"/>
            <w:noWrap/>
            <w:vAlign w:val="bottom"/>
            <w:hideMark/>
          </w:tcPr>
          <w:p w:rsidR="00A560AB" w:rsidRPr="0047712A" w:rsidRDefault="00A560AB" w:rsidP="00A560AB">
            <w:pPr>
              <w:rPr>
                <w:sz w:val="20"/>
                <w:szCs w:val="20"/>
              </w:rPr>
            </w:pPr>
            <w:r w:rsidRPr="0047712A">
              <w:rPr>
                <w:sz w:val="20"/>
                <w:szCs w:val="20"/>
              </w:rPr>
              <w:t> </w:t>
            </w:r>
          </w:p>
        </w:tc>
        <w:tc>
          <w:tcPr>
            <w:tcW w:w="1228" w:type="dxa"/>
            <w:tcBorders>
              <w:top w:val="nil"/>
              <w:left w:val="nil"/>
              <w:bottom w:val="single" w:sz="8" w:space="0" w:color="auto"/>
              <w:right w:val="nil"/>
            </w:tcBorders>
            <w:shd w:val="clear" w:color="auto" w:fill="auto"/>
            <w:noWrap/>
            <w:vAlign w:val="bottom"/>
            <w:hideMark/>
          </w:tcPr>
          <w:p w:rsidR="00A560AB" w:rsidRPr="0047712A" w:rsidRDefault="00A560AB" w:rsidP="00A560AB">
            <w:pPr>
              <w:rPr>
                <w:sz w:val="20"/>
                <w:szCs w:val="20"/>
              </w:rPr>
            </w:pPr>
            <w:r w:rsidRPr="0047712A">
              <w:rPr>
                <w:sz w:val="20"/>
                <w:szCs w:val="20"/>
              </w:rPr>
              <w:t> </w:t>
            </w:r>
          </w:p>
        </w:tc>
        <w:tc>
          <w:tcPr>
            <w:tcW w:w="1227" w:type="dxa"/>
            <w:tcBorders>
              <w:top w:val="nil"/>
              <w:left w:val="nil"/>
              <w:bottom w:val="single" w:sz="8" w:space="0" w:color="auto"/>
              <w:right w:val="nil"/>
            </w:tcBorders>
            <w:shd w:val="clear" w:color="auto" w:fill="auto"/>
            <w:noWrap/>
            <w:vAlign w:val="bottom"/>
            <w:hideMark/>
          </w:tcPr>
          <w:p w:rsidR="00A560AB" w:rsidRPr="0047712A" w:rsidRDefault="00A560AB" w:rsidP="00A560AB">
            <w:pPr>
              <w:rPr>
                <w:sz w:val="20"/>
                <w:szCs w:val="20"/>
              </w:rPr>
            </w:pPr>
            <w:r w:rsidRPr="0047712A">
              <w:rPr>
                <w:sz w:val="20"/>
                <w:szCs w:val="20"/>
              </w:rPr>
              <w:t> </w:t>
            </w:r>
          </w:p>
        </w:tc>
        <w:tc>
          <w:tcPr>
            <w:tcW w:w="1025" w:type="dxa"/>
            <w:tcBorders>
              <w:top w:val="nil"/>
              <w:left w:val="nil"/>
              <w:bottom w:val="single" w:sz="8" w:space="0" w:color="auto"/>
              <w:right w:val="single" w:sz="8" w:space="0" w:color="auto"/>
            </w:tcBorders>
            <w:shd w:val="clear" w:color="auto" w:fill="auto"/>
            <w:noWrap/>
            <w:vAlign w:val="bottom"/>
            <w:hideMark/>
          </w:tcPr>
          <w:p w:rsidR="00A560AB" w:rsidRPr="0047712A" w:rsidRDefault="00A560AB" w:rsidP="00A560AB">
            <w:pPr>
              <w:rPr>
                <w:sz w:val="20"/>
                <w:szCs w:val="20"/>
              </w:rPr>
            </w:pPr>
            <w:r w:rsidRPr="0047712A">
              <w:rPr>
                <w:sz w:val="20"/>
                <w:szCs w:val="20"/>
              </w:rPr>
              <w:t> </w:t>
            </w:r>
          </w:p>
        </w:tc>
      </w:tr>
    </w:tbl>
    <w:p w:rsidR="00A560AB" w:rsidRDefault="00A560AB" w:rsidP="00235063">
      <w:pPr>
        <w:pStyle w:val="OrderBody"/>
        <w:sectPr w:rsidR="00A560AB" w:rsidSect="00A560AB">
          <w:headerReference w:type="first" r:id="rId14"/>
          <w:pgSz w:w="12240" w:h="15840" w:code="1"/>
          <w:pgMar w:top="1440" w:right="1440" w:bottom="1440" w:left="1440" w:header="720" w:footer="720" w:gutter="0"/>
          <w:cols w:space="720"/>
          <w:titlePg/>
          <w:docGrid w:linePitch="360"/>
        </w:sectPr>
      </w:pPr>
    </w:p>
    <w:tbl>
      <w:tblPr>
        <w:tblW w:w="11006" w:type="dxa"/>
        <w:jc w:val="center"/>
        <w:tblLook w:val="04A0" w:firstRow="1" w:lastRow="0" w:firstColumn="1" w:lastColumn="0" w:noHBand="0" w:noVBand="1"/>
      </w:tblPr>
      <w:tblGrid>
        <w:gridCol w:w="3536"/>
        <w:gridCol w:w="1647"/>
        <w:gridCol w:w="1503"/>
        <w:gridCol w:w="1800"/>
        <w:gridCol w:w="2520"/>
      </w:tblGrid>
      <w:tr w:rsidR="00E208F0" w:rsidRPr="00E208F0" w:rsidTr="007321B2">
        <w:trPr>
          <w:trHeight w:val="315"/>
          <w:jc w:val="center"/>
        </w:trPr>
        <w:tc>
          <w:tcPr>
            <w:tcW w:w="3536" w:type="dxa"/>
            <w:tcBorders>
              <w:top w:val="single" w:sz="8" w:space="0" w:color="auto"/>
              <w:left w:val="single" w:sz="8" w:space="0" w:color="auto"/>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GATOR WATERWORKS, INC.</w:t>
            </w:r>
          </w:p>
        </w:tc>
        <w:tc>
          <w:tcPr>
            <w:tcW w:w="1647" w:type="dxa"/>
            <w:tcBorders>
              <w:top w:val="single" w:sz="8" w:space="0" w:color="auto"/>
              <w:left w:val="nil"/>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 </w:t>
            </w:r>
          </w:p>
        </w:tc>
        <w:tc>
          <w:tcPr>
            <w:tcW w:w="1503" w:type="dxa"/>
            <w:tcBorders>
              <w:top w:val="single" w:sz="8" w:space="0" w:color="auto"/>
              <w:left w:val="nil"/>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 </w:t>
            </w:r>
          </w:p>
        </w:tc>
        <w:tc>
          <w:tcPr>
            <w:tcW w:w="1800" w:type="dxa"/>
            <w:tcBorders>
              <w:top w:val="single" w:sz="8" w:space="0" w:color="auto"/>
              <w:left w:val="nil"/>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 </w:t>
            </w:r>
          </w:p>
        </w:tc>
        <w:tc>
          <w:tcPr>
            <w:tcW w:w="2520" w:type="dxa"/>
            <w:tcBorders>
              <w:top w:val="single" w:sz="8" w:space="0" w:color="auto"/>
              <w:left w:val="nil"/>
              <w:bottom w:val="nil"/>
              <w:right w:val="single" w:sz="8" w:space="0" w:color="auto"/>
            </w:tcBorders>
            <w:shd w:val="clear" w:color="auto" w:fill="auto"/>
            <w:noWrap/>
            <w:vAlign w:val="bottom"/>
            <w:hideMark/>
          </w:tcPr>
          <w:p w:rsidR="00E208F0" w:rsidRPr="00E208F0" w:rsidRDefault="00E208F0" w:rsidP="00E208F0">
            <w:pPr>
              <w:jc w:val="right"/>
              <w:rPr>
                <w:b/>
                <w:bCs/>
                <w:color w:val="000000"/>
                <w:sz w:val="18"/>
                <w:szCs w:val="18"/>
              </w:rPr>
            </w:pPr>
            <w:r w:rsidRPr="00E208F0">
              <w:rPr>
                <w:b/>
                <w:bCs/>
                <w:color w:val="000000"/>
                <w:sz w:val="18"/>
                <w:szCs w:val="18"/>
              </w:rPr>
              <w:t>SCHEDULE NO. 4</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TEST YEAR ENDED 3/31/2019</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rPr>
                <w:b/>
                <w:bCs/>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rPr>
                <w:b/>
                <w:bCs/>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b/>
                <w:bCs/>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b/>
                <w:bCs/>
                <w:color w:val="000000"/>
                <w:sz w:val="18"/>
                <w:szCs w:val="18"/>
              </w:rPr>
            </w:pPr>
            <w:r w:rsidRPr="00E208F0">
              <w:rPr>
                <w:b/>
                <w:bCs/>
                <w:color w:val="000000"/>
                <w:sz w:val="18"/>
                <w:szCs w:val="18"/>
              </w:rPr>
              <w:t>DOCKET NO. 20190114-WU</w:t>
            </w:r>
          </w:p>
        </w:tc>
      </w:tr>
      <w:tr w:rsidR="00E208F0" w:rsidRPr="00E208F0" w:rsidTr="007321B2">
        <w:trPr>
          <w:trHeight w:val="33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color w:val="000000"/>
                <w:sz w:val="18"/>
                <w:szCs w:val="18"/>
              </w:rPr>
            </w:pPr>
            <w:r w:rsidRPr="00E208F0">
              <w:rPr>
                <w:b/>
                <w:bCs/>
                <w:color w:val="000000"/>
                <w:sz w:val="18"/>
                <w:szCs w:val="18"/>
              </w:rPr>
              <w:t>MONTHLY WATER RATES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rPr>
                <w:b/>
                <w:bCs/>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rPr>
                <w:b/>
                <w:bCs/>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b/>
                <w:bCs/>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b/>
                <w:bCs/>
                <w:sz w:val="18"/>
                <w:szCs w:val="18"/>
              </w:rPr>
            </w:pPr>
            <w:r w:rsidRPr="00E208F0">
              <w:rPr>
                <w:b/>
                <w:bCs/>
                <w:sz w:val="18"/>
                <w:szCs w:val="18"/>
              </w:rPr>
              <w:t> </w:t>
            </w:r>
          </w:p>
        </w:tc>
      </w:tr>
      <w:tr w:rsidR="00E208F0" w:rsidRPr="00E208F0" w:rsidTr="007321B2">
        <w:trPr>
          <w:trHeight w:val="315"/>
          <w:jc w:val="center"/>
        </w:trPr>
        <w:tc>
          <w:tcPr>
            <w:tcW w:w="3536" w:type="dxa"/>
            <w:tcBorders>
              <w:top w:val="single" w:sz="8" w:space="0" w:color="000000"/>
              <w:left w:val="single" w:sz="8" w:space="0" w:color="auto"/>
              <w:bottom w:val="nil"/>
              <w:right w:val="nil"/>
            </w:tcBorders>
            <w:shd w:val="clear" w:color="auto" w:fill="auto"/>
            <w:noWrap/>
            <w:vAlign w:val="bottom"/>
            <w:hideMark/>
          </w:tcPr>
          <w:p w:rsidR="00E208F0" w:rsidRPr="00E208F0" w:rsidRDefault="00E208F0" w:rsidP="00E208F0">
            <w:pPr>
              <w:rPr>
                <w:b/>
                <w:bCs/>
                <w:sz w:val="18"/>
                <w:szCs w:val="18"/>
              </w:rPr>
            </w:pPr>
            <w:r w:rsidRPr="00E208F0">
              <w:rPr>
                <w:b/>
                <w:bCs/>
                <w:sz w:val="18"/>
                <w:szCs w:val="18"/>
              </w:rPr>
              <w:t> </w:t>
            </w:r>
          </w:p>
        </w:tc>
        <w:tc>
          <w:tcPr>
            <w:tcW w:w="1647" w:type="dxa"/>
            <w:tcBorders>
              <w:top w:val="single" w:sz="8" w:space="0" w:color="000000"/>
              <w:left w:val="nil"/>
              <w:bottom w:val="nil"/>
              <w:right w:val="nil"/>
            </w:tcBorders>
            <w:shd w:val="clear" w:color="auto" w:fill="auto"/>
            <w:noWrap/>
            <w:vAlign w:val="bottom"/>
            <w:hideMark/>
          </w:tcPr>
          <w:p w:rsidR="00E208F0" w:rsidRPr="00E208F0" w:rsidRDefault="00E208F0" w:rsidP="00E208F0">
            <w:pPr>
              <w:jc w:val="center"/>
              <w:rPr>
                <w:b/>
                <w:bCs/>
                <w:sz w:val="18"/>
                <w:szCs w:val="18"/>
              </w:rPr>
            </w:pPr>
            <w:r w:rsidRPr="00E208F0">
              <w:rPr>
                <w:b/>
                <w:bCs/>
                <w:sz w:val="18"/>
                <w:szCs w:val="18"/>
              </w:rPr>
              <w:t xml:space="preserve">RATES </w:t>
            </w:r>
          </w:p>
        </w:tc>
        <w:tc>
          <w:tcPr>
            <w:tcW w:w="1503" w:type="dxa"/>
            <w:tcBorders>
              <w:top w:val="single" w:sz="8" w:space="0" w:color="000000"/>
              <w:left w:val="nil"/>
              <w:bottom w:val="nil"/>
              <w:right w:val="nil"/>
            </w:tcBorders>
            <w:shd w:val="clear" w:color="auto" w:fill="auto"/>
            <w:noWrap/>
            <w:vAlign w:val="bottom"/>
            <w:hideMark/>
          </w:tcPr>
          <w:p w:rsidR="00E208F0" w:rsidRPr="00E208F0" w:rsidRDefault="00E208F0" w:rsidP="00E208F0">
            <w:pPr>
              <w:jc w:val="center"/>
              <w:rPr>
                <w:b/>
                <w:bCs/>
                <w:sz w:val="18"/>
                <w:szCs w:val="18"/>
              </w:rPr>
            </w:pPr>
            <w:r w:rsidRPr="00E208F0">
              <w:rPr>
                <w:b/>
                <w:bCs/>
                <w:sz w:val="18"/>
                <w:szCs w:val="18"/>
              </w:rPr>
              <w:t>COMMISSION</w:t>
            </w:r>
          </w:p>
        </w:tc>
        <w:tc>
          <w:tcPr>
            <w:tcW w:w="1800" w:type="dxa"/>
            <w:tcBorders>
              <w:top w:val="single" w:sz="8" w:space="0" w:color="000000"/>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 </w:t>
            </w:r>
          </w:p>
        </w:tc>
        <w:tc>
          <w:tcPr>
            <w:tcW w:w="2520" w:type="dxa"/>
            <w:tcBorders>
              <w:top w:val="single" w:sz="8" w:space="0" w:color="000000"/>
              <w:left w:val="nil"/>
              <w:bottom w:val="nil"/>
              <w:right w:val="single" w:sz="8" w:space="0" w:color="auto"/>
            </w:tcBorders>
            <w:shd w:val="clear" w:color="auto" w:fill="auto"/>
            <w:noWrap/>
            <w:vAlign w:val="bottom"/>
            <w:hideMark/>
          </w:tcPr>
          <w:p w:rsidR="00E208F0" w:rsidRPr="00E208F0" w:rsidRDefault="00E208F0" w:rsidP="00E208F0">
            <w:pPr>
              <w:rPr>
                <w:sz w:val="18"/>
                <w:szCs w:val="18"/>
              </w:rPr>
            </w:pPr>
            <w:r w:rsidRPr="00E208F0">
              <w:rPr>
                <w:sz w:val="18"/>
                <w:szCs w:val="18"/>
              </w:rPr>
              <w:t> </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sz w:val="18"/>
                <w:szCs w:val="18"/>
              </w:rPr>
            </w:pPr>
            <w:r w:rsidRPr="00E208F0">
              <w:rPr>
                <w:b/>
                <w:bCs/>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AT THE</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APPROVED</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Pr>
                <w:b/>
                <w:bCs/>
                <w:color w:val="000000"/>
                <w:sz w:val="18"/>
                <w:szCs w:val="18"/>
              </w:rPr>
              <w:t>COMMISSION</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4 YEAR</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sz w:val="18"/>
                <w:szCs w:val="18"/>
                <w:u w:val="single"/>
              </w:rPr>
            </w:pP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TIME OF</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INTERIM</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center"/>
              <w:rPr>
                <w:b/>
                <w:bCs/>
                <w:color w:val="000000"/>
                <w:sz w:val="18"/>
                <w:szCs w:val="18"/>
              </w:rPr>
            </w:pPr>
            <w:r>
              <w:rPr>
                <w:b/>
                <w:bCs/>
                <w:color w:val="000000"/>
                <w:sz w:val="18"/>
                <w:szCs w:val="18"/>
              </w:rPr>
              <w:t>APPROVED</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RATE</w:t>
            </w:r>
          </w:p>
        </w:tc>
      </w:tr>
      <w:tr w:rsidR="00E208F0" w:rsidRPr="00E208F0" w:rsidTr="007321B2">
        <w:trPr>
          <w:trHeight w:val="330"/>
          <w:jc w:val="center"/>
        </w:trPr>
        <w:tc>
          <w:tcPr>
            <w:tcW w:w="3536" w:type="dxa"/>
            <w:tcBorders>
              <w:top w:val="nil"/>
              <w:left w:val="single" w:sz="8" w:space="0" w:color="auto"/>
              <w:bottom w:val="single" w:sz="8" w:space="0" w:color="000000"/>
              <w:right w:val="nil"/>
            </w:tcBorders>
            <w:shd w:val="clear" w:color="auto" w:fill="auto"/>
            <w:noWrap/>
            <w:vAlign w:val="bottom"/>
            <w:hideMark/>
          </w:tcPr>
          <w:p w:rsidR="00E208F0" w:rsidRPr="00E208F0" w:rsidRDefault="00E208F0" w:rsidP="00E208F0">
            <w:pPr>
              <w:rPr>
                <w:b/>
                <w:bCs/>
                <w:sz w:val="18"/>
                <w:szCs w:val="18"/>
                <w:u w:val="single"/>
              </w:rPr>
            </w:pPr>
          </w:p>
        </w:tc>
        <w:tc>
          <w:tcPr>
            <w:tcW w:w="1647" w:type="dxa"/>
            <w:tcBorders>
              <w:top w:val="nil"/>
              <w:left w:val="nil"/>
              <w:bottom w:val="single" w:sz="8" w:space="0" w:color="000000"/>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FILING</w:t>
            </w:r>
          </w:p>
        </w:tc>
        <w:tc>
          <w:tcPr>
            <w:tcW w:w="1503" w:type="dxa"/>
            <w:tcBorders>
              <w:top w:val="nil"/>
              <w:left w:val="nil"/>
              <w:bottom w:val="single" w:sz="8" w:space="0" w:color="000000"/>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RATES</w:t>
            </w:r>
          </w:p>
        </w:tc>
        <w:tc>
          <w:tcPr>
            <w:tcW w:w="1800" w:type="dxa"/>
            <w:tcBorders>
              <w:top w:val="nil"/>
              <w:left w:val="nil"/>
              <w:bottom w:val="single" w:sz="8" w:space="0" w:color="000000"/>
              <w:right w:val="nil"/>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RATES</w:t>
            </w:r>
          </w:p>
        </w:tc>
        <w:tc>
          <w:tcPr>
            <w:tcW w:w="2520" w:type="dxa"/>
            <w:tcBorders>
              <w:top w:val="nil"/>
              <w:left w:val="nil"/>
              <w:bottom w:val="single" w:sz="8" w:space="0" w:color="000000"/>
              <w:right w:val="single" w:sz="8" w:space="0" w:color="auto"/>
            </w:tcBorders>
            <w:shd w:val="clear" w:color="auto" w:fill="auto"/>
            <w:noWrap/>
            <w:vAlign w:val="bottom"/>
            <w:hideMark/>
          </w:tcPr>
          <w:p w:rsidR="00E208F0" w:rsidRPr="00E208F0" w:rsidRDefault="00E208F0" w:rsidP="00E208F0">
            <w:pPr>
              <w:jc w:val="center"/>
              <w:rPr>
                <w:b/>
                <w:bCs/>
                <w:color w:val="000000"/>
                <w:sz w:val="18"/>
                <w:szCs w:val="18"/>
              </w:rPr>
            </w:pPr>
            <w:r w:rsidRPr="00E208F0">
              <w:rPr>
                <w:b/>
                <w:bCs/>
                <w:color w:val="000000"/>
                <w:sz w:val="18"/>
                <w:szCs w:val="18"/>
              </w:rPr>
              <w:t>REDUCTION</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sz w:val="18"/>
                <w:szCs w:val="18"/>
              </w:rPr>
            </w:pPr>
            <w:r w:rsidRPr="00E208F0">
              <w:rPr>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sz w:val="18"/>
                <w:szCs w:val="18"/>
                <w:u w:val="single"/>
              </w:rPr>
            </w:pPr>
            <w:r w:rsidRPr="00E208F0">
              <w:rPr>
                <w:b/>
                <w:bCs/>
                <w:sz w:val="18"/>
                <w:szCs w:val="18"/>
                <w:u w:val="single"/>
              </w:rPr>
              <w:t>Residential and General Service</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r>
      <w:tr w:rsidR="00E208F0" w:rsidRPr="00E208F0" w:rsidTr="007321B2">
        <w:trPr>
          <w:trHeight w:val="315"/>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sz w:val="18"/>
                <w:szCs w:val="18"/>
              </w:rPr>
            </w:pPr>
            <w:r w:rsidRPr="00E208F0">
              <w:rPr>
                <w:sz w:val="18"/>
                <w:szCs w:val="18"/>
              </w:rPr>
              <w:t>All Meter Sizes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$6.94 </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$9.76 </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b/>
                <w:bCs/>
                <w:sz w:val="18"/>
                <w:szCs w:val="18"/>
                <w:u w:val="single"/>
              </w:rPr>
            </w:pPr>
          </w:p>
        </w:tc>
        <w:tc>
          <w:tcPr>
            <w:tcW w:w="1647"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sz w:val="18"/>
                <w:szCs w:val="18"/>
              </w:rPr>
            </w:pPr>
            <w:r w:rsidRPr="00E208F0">
              <w:rPr>
                <w:sz w:val="18"/>
                <w:szCs w:val="18"/>
              </w:rPr>
              <w:t>Base Facility Charge by Meter Size</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5/8"X3/4"</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$11.36</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$0.06</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3/4"</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$17.04</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$0.08</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1"</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$28.40</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$0.14</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1-1/2"</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$56.80</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$0.28</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2"</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$90.88</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$0.45</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3"</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$181.76</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$0.89</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4"</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$284.00</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$1.39</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6"</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$568.00</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$2.78</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Charge per 1,000 Gallons - Residential</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0-5,000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$7.03</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$0.03</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5,001-10,000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$8.79</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$0.04</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10,000-15,000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$10.55</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$0.05</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Over 15,000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$14.07</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$0.07</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xml:space="preserve">Charge per 1,000 gallons -  General Service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$0.92</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$1.29</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$7.27</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$0.04</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5183" w:type="dxa"/>
            <w:gridSpan w:val="2"/>
            <w:tcBorders>
              <w:top w:val="nil"/>
              <w:left w:val="single" w:sz="8" w:space="0" w:color="auto"/>
              <w:bottom w:val="nil"/>
              <w:right w:val="nil"/>
            </w:tcBorders>
            <w:shd w:val="clear" w:color="auto" w:fill="auto"/>
            <w:noWrap/>
            <w:vAlign w:val="bottom"/>
            <w:hideMark/>
          </w:tcPr>
          <w:p w:rsidR="00E208F0" w:rsidRPr="00E208F0" w:rsidRDefault="00E208F0" w:rsidP="00E208F0">
            <w:pPr>
              <w:rPr>
                <w:b/>
                <w:bCs/>
                <w:color w:val="000000"/>
                <w:sz w:val="18"/>
                <w:szCs w:val="18"/>
                <w:u w:val="single"/>
              </w:rPr>
            </w:pPr>
            <w:r w:rsidRPr="00E208F0">
              <w:rPr>
                <w:b/>
                <w:bCs/>
                <w:color w:val="000000"/>
                <w:sz w:val="18"/>
                <w:szCs w:val="18"/>
                <w:u w:val="single"/>
              </w:rPr>
              <w:t>Typical Residential 5/8" x 3/4" Meter Bill Comparison</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5,000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$11.54 </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$16.21 </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$46.51 </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8,000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$14.30 </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$20.08 </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$72.88 </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10,000 Gallons</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$16.14 </w:t>
            </w: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$22.66 </w:t>
            </w: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xml:space="preserve">$90.46 </w:t>
            </w: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00"/>
          <w:jc w:val="center"/>
        </w:trPr>
        <w:tc>
          <w:tcPr>
            <w:tcW w:w="3536" w:type="dxa"/>
            <w:tcBorders>
              <w:top w:val="nil"/>
              <w:left w:val="single" w:sz="8" w:space="0" w:color="auto"/>
              <w:bottom w:val="nil"/>
              <w:right w:val="nil"/>
            </w:tcBorders>
            <w:shd w:val="clear" w:color="auto" w:fill="auto"/>
            <w:noWrap/>
            <w:vAlign w:val="bottom"/>
            <w:hideMark/>
          </w:tcPr>
          <w:p w:rsidR="00E208F0" w:rsidRPr="00E208F0" w:rsidRDefault="00E208F0" w:rsidP="00E208F0">
            <w:pPr>
              <w:rPr>
                <w:color w:val="000000"/>
                <w:sz w:val="18"/>
                <w:szCs w:val="18"/>
              </w:rPr>
            </w:pPr>
            <w:r w:rsidRPr="00E208F0">
              <w:rPr>
                <w:color w:val="000000"/>
                <w:sz w:val="18"/>
                <w:szCs w:val="18"/>
              </w:rPr>
              <w:t> </w:t>
            </w:r>
          </w:p>
        </w:tc>
        <w:tc>
          <w:tcPr>
            <w:tcW w:w="1647"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503"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1800" w:type="dxa"/>
            <w:tcBorders>
              <w:top w:val="nil"/>
              <w:left w:val="nil"/>
              <w:bottom w:val="nil"/>
              <w:right w:val="nil"/>
            </w:tcBorders>
            <w:shd w:val="clear" w:color="auto" w:fill="auto"/>
            <w:noWrap/>
            <w:vAlign w:val="bottom"/>
            <w:hideMark/>
          </w:tcPr>
          <w:p w:rsidR="00E208F0" w:rsidRPr="00E208F0" w:rsidRDefault="00E208F0" w:rsidP="00E208F0">
            <w:pPr>
              <w:jc w:val="right"/>
              <w:rPr>
                <w:color w:val="000000"/>
                <w:sz w:val="18"/>
                <w:szCs w:val="18"/>
              </w:rPr>
            </w:pPr>
          </w:p>
        </w:tc>
        <w:tc>
          <w:tcPr>
            <w:tcW w:w="2520" w:type="dxa"/>
            <w:tcBorders>
              <w:top w:val="nil"/>
              <w:left w:val="nil"/>
              <w:bottom w:val="nil"/>
              <w:right w:val="single" w:sz="8" w:space="0" w:color="auto"/>
            </w:tcBorders>
            <w:shd w:val="clear" w:color="auto" w:fill="auto"/>
            <w:noWrap/>
            <w:vAlign w:val="bottom"/>
            <w:hideMark/>
          </w:tcPr>
          <w:p w:rsidR="00E208F0" w:rsidRPr="00E208F0" w:rsidRDefault="00E208F0" w:rsidP="00E208F0">
            <w:pPr>
              <w:jc w:val="right"/>
              <w:rPr>
                <w:color w:val="000000"/>
                <w:sz w:val="18"/>
                <w:szCs w:val="18"/>
              </w:rPr>
            </w:pPr>
            <w:r w:rsidRPr="00E208F0">
              <w:rPr>
                <w:color w:val="000000"/>
                <w:sz w:val="18"/>
                <w:szCs w:val="18"/>
              </w:rPr>
              <w:t> </w:t>
            </w:r>
          </w:p>
        </w:tc>
      </w:tr>
      <w:tr w:rsidR="00E208F0" w:rsidRPr="00E208F0" w:rsidTr="007321B2">
        <w:trPr>
          <w:trHeight w:val="315"/>
          <w:jc w:val="center"/>
        </w:trPr>
        <w:tc>
          <w:tcPr>
            <w:tcW w:w="3536" w:type="dxa"/>
            <w:tcBorders>
              <w:top w:val="nil"/>
              <w:left w:val="single" w:sz="8" w:space="0" w:color="auto"/>
              <w:bottom w:val="single" w:sz="8" w:space="0" w:color="auto"/>
              <w:right w:val="nil"/>
            </w:tcBorders>
            <w:shd w:val="clear" w:color="auto" w:fill="auto"/>
            <w:noWrap/>
            <w:vAlign w:val="bottom"/>
            <w:hideMark/>
          </w:tcPr>
          <w:p w:rsidR="00E208F0" w:rsidRPr="00E208F0" w:rsidRDefault="00E208F0" w:rsidP="00E208F0">
            <w:pPr>
              <w:rPr>
                <w:sz w:val="18"/>
                <w:szCs w:val="18"/>
              </w:rPr>
            </w:pPr>
            <w:r w:rsidRPr="00E208F0">
              <w:rPr>
                <w:sz w:val="18"/>
                <w:szCs w:val="18"/>
              </w:rPr>
              <w:t> </w:t>
            </w:r>
          </w:p>
        </w:tc>
        <w:tc>
          <w:tcPr>
            <w:tcW w:w="1647" w:type="dxa"/>
            <w:tcBorders>
              <w:top w:val="nil"/>
              <w:left w:val="nil"/>
              <w:bottom w:val="single" w:sz="8" w:space="0" w:color="auto"/>
              <w:right w:val="nil"/>
            </w:tcBorders>
            <w:shd w:val="clear" w:color="auto" w:fill="auto"/>
            <w:noWrap/>
            <w:vAlign w:val="bottom"/>
            <w:hideMark/>
          </w:tcPr>
          <w:p w:rsidR="00E208F0" w:rsidRPr="00E208F0" w:rsidRDefault="00E208F0" w:rsidP="00E208F0">
            <w:pPr>
              <w:rPr>
                <w:sz w:val="18"/>
                <w:szCs w:val="18"/>
              </w:rPr>
            </w:pPr>
            <w:r w:rsidRPr="00E208F0">
              <w:rPr>
                <w:sz w:val="18"/>
                <w:szCs w:val="18"/>
              </w:rPr>
              <w:t> </w:t>
            </w:r>
          </w:p>
        </w:tc>
        <w:tc>
          <w:tcPr>
            <w:tcW w:w="1503" w:type="dxa"/>
            <w:tcBorders>
              <w:top w:val="nil"/>
              <w:left w:val="nil"/>
              <w:bottom w:val="single" w:sz="8" w:space="0" w:color="auto"/>
              <w:right w:val="nil"/>
            </w:tcBorders>
            <w:shd w:val="clear" w:color="auto" w:fill="auto"/>
            <w:noWrap/>
            <w:vAlign w:val="bottom"/>
            <w:hideMark/>
          </w:tcPr>
          <w:p w:rsidR="00E208F0" w:rsidRPr="00E208F0" w:rsidRDefault="00E208F0" w:rsidP="00E208F0">
            <w:pPr>
              <w:rPr>
                <w:sz w:val="18"/>
                <w:szCs w:val="18"/>
              </w:rPr>
            </w:pPr>
            <w:r w:rsidRPr="00E208F0">
              <w:rPr>
                <w:sz w:val="18"/>
                <w:szCs w:val="18"/>
              </w:rPr>
              <w:t> </w:t>
            </w:r>
          </w:p>
        </w:tc>
        <w:tc>
          <w:tcPr>
            <w:tcW w:w="1800" w:type="dxa"/>
            <w:tcBorders>
              <w:top w:val="nil"/>
              <w:left w:val="nil"/>
              <w:bottom w:val="single" w:sz="8" w:space="0" w:color="auto"/>
              <w:right w:val="nil"/>
            </w:tcBorders>
            <w:shd w:val="clear" w:color="auto" w:fill="auto"/>
            <w:noWrap/>
            <w:vAlign w:val="bottom"/>
            <w:hideMark/>
          </w:tcPr>
          <w:p w:rsidR="00E208F0" w:rsidRPr="00E208F0" w:rsidRDefault="00E208F0" w:rsidP="00E208F0">
            <w:pPr>
              <w:rPr>
                <w:sz w:val="18"/>
                <w:szCs w:val="18"/>
              </w:rPr>
            </w:pPr>
            <w:r w:rsidRPr="00E208F0">
              <w:rPr>
                <w:sz w:val="18"/>
                <w:szCs w:val="18"/>
              </w:rPr>
              <w:t> </w:t>
            </w:r>
          </w:p>
        </w:tc>
        <w:tc>
          <w:tcPr>
            <w:tcW w:w="2520" w:type="dxa"/>
            <w:tcBorders>
              <w:top w:val="nil"/>
              <w:left w:val="nil"/>
              <w:bottom w:val="single" w:sz="8" w:space="0" w:color="auto"/>
              <w:right w:val="single" w:sz="8" w:space="0" w:color="auto"/>
            </w:tcBorders>
            <w:shd w:val="clear" w:color="auto" w:fill="auto"/>
            <w:noWrap/>
            <w:vAlign w:val="bottom"/>
            <w:hideMark/>
          </w:tcPr>
          <w:p w:rsidR="00E208F0" w:rsidRPr="00E208F0" w:rsidRDefault="00E208F0" w:rsidP="00E208F0">
            <w:pPr>
              <w:rPr>
                <w:sz w:val="18"/>
                <w:szCs w:val="18"/>
              </w:rPr>
            </w:pPr>
            <w:r w:rsidRPr="00E208F0">
              <w:rPr>
                <w:sz w:val="18"/>
                <w:szCs w:val="18"/>
              </w:rPr>
              <w:t> </w:t>
            </w:r>
          </w:p>
        </w:tc>
      </w:tr>
    </w:tbl>
    <w:p w:rsidR="00A560AB" w:rsidRDefault="00A560AB" w:rsidP="00235063">
      <w:pPr>
        <w:pStyle w:val="OrderBody"/>
      </w:pPr>
    </w:p>
    <w:p w:rsidR="00A560AB" w:rsidRPr="00235063" w:rsidRDefault="00A560AB" w:rsidP="00235063">
      <w:pPr>
        <w:pStyle w:val="OrderBody"/>
      </w:pPr>
    </w:p>
    <w:sectPr w:rsidR="00A560AB" w:rsidRPr="00235063" w:rsidSect="00A560AB">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47F" w:rsidRDefault="001C047F">
      <w:r>
        <w:separator/>
      </w:r>
    </w:p>
  </w:endnote>
  <w:endnote w:type="continuationSeparator" w:id="0">
    <w:p w:rsidR="001C047F" w:rsidRDefault="001C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47F" w:rsidRDefault="001C047F">
      <w:r>
        <w:separator/>
      </w:r>
    </w:p>
  </w:footnote>
  <w:footnote w:type="continuationSeparator" w:id="0">
    <w:p w:rsidR="001C047F" w:rsidRDefault="001C047F">
      <w:r>
        <w:continuationSeparator/>
      </w:r>
    </w:p>
  </w:footnote>
  <w:footnote w:id="1">
    <w:p w:rsidR="001C047F" w:rsidRDefault="001C047F" w:rsidP="00466519">
      <w:pPr>
        <w:pStyle w:val="FootnoteText"/>
      </w:pPr>
      <w:r>
        <w:rPr>
          <w:rStyle w:val="FootnoteReference"/>
        </w:rPr>
        <w:footnoteRef/>
      </w:r>
      <w:r>
        <w:t xml:space="preserve">Order No. PSC-93-1027-FOF-WU, issued July 13, 1993, in Docket No. 19921195-WU, </w:t>
      </w:r>
      <w:r w:rsidRPr="00613D7A">
        <w:rPr>
          <w:i/>
        </w:rPr>
        <w:t>In re: Application for certificate to provide water service in Alachua County under grandfather rights by Kincaid Hills Water Company</w:t>
      </w:r>
      <w:r>
        <w:t>.</w:t>
      </w:r>
    </w:p>
  </w:footnote>
  <w:footnote w:id="2">
    <w:p w:rsidR="001C047F" w:rsidRDefault="001C047F" w:rsidP="00466519">
      <w:pPr>
        <w:pStyle w:val="FootnoteText"/>
      </w:pPr>
      <w:r>
        <w:rPr>
          <w:rStyle w:val="FootnoteReference"/>
        </w:rPr>
        <w:footnoteRef/>
      </w:r>
      <w:r>
        <w:t>Order No. PSC-2018-0587-PAA-WU, issued December 17, 2018, in Docket No. 20180066-WU;</w:t>
      </w:r>
      <w:r w:rsidRPr="007A23C5">
        <w:rPr>
          <w:i/>
        </w:rPr>
        <w:t xml:space="preserve"> In re: Application for transfer of facilities of Kincaid Hills Water Company and Water Certificate No. 555-W to Gator Waterworks, Inc.</w:t>
      </w:r>
    </w:p>
  </w:footnote>
  <w:footnote w:id="3">
    <w:p w:rsidR="001C047F" w:rsidRDefault="001C047F" w:rsidP="00466519">
      <w:pPr>
        <w:pStyle w:val="FootnoteText"/>
      </w:pPr>
      <w:r>
        <w:rPr>
          <w:rStyle w:val="FootnoteReference"/>
        </w:rPr>
        <w:footnoteRef/>
      </w:r>
      <w:r>
        <w:t xml:space="preserve">Order No. PSC-2019-0307-PCO-WU, issued July 29, 2019, in Docket No. 20190114-WU, </w:t>
      </w:r>
      <w:r w:rsidRPr="00363238">
        <w:rPr>
          <w:i/>
        </w:rPr>
        <w:t>In re: Application for staff-assisted rate case in Alachua County, and request for interim rate increase by Gator Waterworks, Inc</w:t>
      </w:r>
      <w:r>
        <w:t>.</w:t>
      </w:r>
    </w:p>
  </w:footnote>
  <w:footnote w:id="4">
    <w:p w:rsidR="001C047F" w:rsidRDefault="001C047F" w:rsidP="00466519">
      <w:pPr>
        <w:pStyle w:val="FootnoteText"/>
      </w:pPr>
      <w:r>
        <w:rPr>
          <w:rStyle w:val="FootnoteReference"/>
        </w:rPr>
        <w:footnoteRef/>
      </w:r>
      <w:r>
        <w:t xml:space="preserve">Order No. PSC-93-1027-FOF-WU, issued July 13, 1993, in Docket No. 19921195-WU, </w:t>
      </w:r>
      <w:r w:rsidRPr="00975883">
        <w:rPr>
          <w:i/>
        </w:rPr>
        <w:t>In re: Application for certificate to provide water service in Alachua County under grandfather rights by Kincaid Hills Water Company.</w:t>
      </w:r>
    </w:p>
  </w:footnote>
  <w:footnote w:id="5">
    <w:p w:rsidR="001C047F" w:rsidRDefault="001C047F" w:rsidP="00466519">
      <w:pPr>
        <w:pStyle w:val="FootnoteText"/>
      </w:pPr>
      <w:r>
        <w:rPr>
          <w:rStyle w:val="FootnoteReference"/>
        </w:rPr>
        <w:footnoteRef/>
      </w:r>
      <w:r>
        <w:t xml:space="preserve"> We discuss new fire hydrants in Section 4.</w:t>
      </w:r>
    </w:p>
  </w:footnote>
  <w:footnote w:id="6">
    <w:p w:rsidR="001C047F" w:rsidRDefault="001C047F" w:rsidP="00466519">
      <w:pPr>
        <w:pStyle w:val="FootnoteText"/>
        <w:rPr>
          <w:i/>
        </w:rPr>
      </w:pPr>
      <w:r>
        <w:rPr>
          <w:rStyle w:val="FootnoteReference"/>
        </w:rPr>
        <w:footnoteRef/>
      </w:r>
      <w:r>
        <w:t xml:space="preserve">Order No. </w:t>
      </w:r>
      <w:r w:rsidRPr="00F97E0A">
        <w:t>PSC-98-1269-FOF-WS</w:t>
      </w:r>
      <w:r>
        <w:t xml:space="preserve">, issued September 24, 1998, in Docket No. 19971401-WS, </w:t>
      </w:r>
      <w:r w:rsidRPr="00F97E0A">
        <w:rPr>
          <w:i/>
        </w:rPr>
        <w:t>In re: Application for staff-assisted rate case in Bay County by Bayside Utilities, Inc.</w:t>
      </w:r>
    </w:p>
    <w:p w:rsidR="001C047F" w:rsidRDefault="001C047F" w:rsidP="00466519">
      <w:pPr>
        <w:pStyle w:val="FootnoteText"/>
      </w:pPr>
      <w:r>
        <w:t>Order No. PSC-11</w:t>
      </w:r>
      <w:r w:rsidRPr="00F97E0A">
        <w:t>-0345-PAA-WS</w:t>
      </w:r>
      <w:r>
        <w:t xml:space="preserve">, issued August 16, 2011, in Docket No. 20100359-WS, </w:t>
      </w:r>
      <w:r w:rsidRPr="00F97E0A">
        <w:rPr>
          <w:i/>
        </w:rPr>
        <w:t xml:space="preserve">In re: Application for staff-assisted rate case in </w:t>
      </w:r>
      <w:r>
        <w:rPr>
          <w:i/>
        </w:rPr>
        <w:t>Volusia County by Tymber Creek Utilities, Incorporated.</w:t>
      </w:r>
    </w:p>
    <w:p w:rsidR="001C047F" w:rsidRDefault="001C047F" w:rsidP="00466519">
      <w:pPr>
        <w:pStyle w:val="FootnoteText"/>
      </w:pPr>
    </w:p>
  </w:footnote>
  <w:footnote w:id="7">
    <w:p w:rsidR="001C047F" w:rsidRPr="009D311E" w:rsidRDefault="001C047F" w:rsidP="00466519">
      <w:pPr>
        <w:autoSpaceDE w:val="0"/>
        <w:autoSpaceDN w:val="0"/>
        <w:adjustRightInd w:val="0"/>
        <w:jc w:val="both"/>
        <w:rPr>
          <w:sz w:val="20"/>
          <w:szCs w:val="20"/>
        </w:rPr>
      </w:pPr>
      <w:r w:rsidRPr="009D311E">
        <w:rPr>
          <w:rStyle w:val="FootnoteReference"/>
          <w:sz w:val="20"/>
          <w:szCs w:val="20"/>
        </w:rPr>
        <w:footnoteRef/>
      </w:r>
      <w:r w:rsidRPr="009D311E">
        <w:rPr>
          <w:sz w:val="20"/>
          <w:szCs w:val="20"/>
        </w:rPr>
        <w:t>Order No. PS</w:t>
      </w:r>
      <w:r>
        <w:rPr>
          <w:sz w:val="20"/>
          <w:szCs w:val="20"/>
        </w:rPr>
        <w:t>C-93-1027-FOF-WU, issued July 13</w:t>
      </w:r>
      <w:r w:rsidRPr="009D311E">
        <w:rPr>
          <w:sz w:val="20"/>
          <w:szCs w:val="20"/>
        </w:rPr>
        <w:t xml:space="preserve">, 1993, in Docket No. </w:t>
      </w:r>
      <w:r>
        <w:rPr>
          <w:sz w:val="20"/>
          <w:szCs w:val="20"/>
        </w:rPr>
        <w:t>19</w:t>
      </w:r>
      <w:r w:rsidRPr="009D311E">
        <w:rPr>
          <w:rFonts w:eastAsiaTheme="minorHAnsi"/>
          <w:sz w:val="20"/>
          <w:szCs w:val="20"/>
        </w:rPr>
        <w:t xml:space="preserve">921195-WU, </w:t>
      </w:r>
      <w:r w:rsidRPr="009D311E">
        <w:rPr>
          <w:rFonts w:eastAsiaTheme="minorHAnsi"/>
          <w:i/>
          <w:sz w:val="20"/>
          <w:szCs w:val="20"/>
        </w:rPr>
        <w:t xml:space="preserve">In </w:t>
      </w:r>
      <w:r>
        <w:rPr>
          <w:rFonts w:eastAsiaTheme="minorHAnsi"/>
          <w:i/>
          <w:sz w:val="20"/>
          <w:szCs w:val="20"/>
        </w:rPr>
        <w:t>r</w:t>
      </w:r>
      <w:r w:rsidRPr="009D311E">
        <w:rPr>
          <w:rFonts w:eastAsiaTheme="minorHAnsi"/>
          <w:i/>
          <w:sz w:val="20"/>
          <w:szCs w:val="20"/>
        </w:rPr>
        <w:t>e: Application for certificate to provide water service in Alachua County under grandfather rights by Kincaid Hills Water Company.</w:t>
      </w:r>
    </w:p>
  </w:footnote>
  <w:footnote w:id="8">
    <w:p w:rsidR="001C047F" w:rsidRPr="009D311E" w:rsidRDefault="001C047F" w:rsidP="00466519">
      <w:pPr>
        <w:pStyle w:val="FootnoteText"/>
      </w:pPr>
      <w:r w:rsidRPr="009D311E">
        <w:rPr>
          <w:rStyle w:val="FootnoteReference"/>
        </w:rPr>
        <w:footnoteRef/>
      </w:r>
      <w:r w:rsidRPr="009D311E">
        <w:rPr>
          <w:i/>
        </w:rPr>
        <w:t>See,</w:t>
      </w:r>
      <w:r w:rsidRPr="009D311E">
        <w:t xml:space="preserve"> </w:t>
      </w:r>
      <w:r w:rsidRPr="009D311E">
        <w:rPr>
          <w:rFonts w:eastAsiaTheme="minorEastAsia"/>
          <w:i/>
        </w:rPr>
        <w:t>Citizens of Florida v. Hawkins,</w:t>
      </w:r>
      <w:r w:rsidRPr="009D311E">
        <w:rPr>
          <w:rFonts w:eastAsiaTheme="minorEastAsia"/>
        </w:rPr>
        <w:t xml:space="preserve"> </w:t>
      </w:r>
      <w:r>
        <w:rPr>
          <w:rFonts w:eastAsiaTheme="minorEastAsia"/>
        </w:rPr>
        <w:t xml:space="preserve">356 So. 2d 254, (Fla 1978).; also </w:t>
      </w:r>
      <w:r w:rsidRPr="0002289A">
        <w:rPr>
          <w:rFonts w:eastAsiaTheme="minorEastAsia"/>
          <w:i/>
        </w:rPr>
        <w:t>Miami v. Florida Public Service Commission</w:t>
      </w:r>
      <w:r>
        <w:rPr>
          <w:rFonts w:eastAsiaTheme="minorEastAsia"/>
        </w:rPr>
        <w:t>, 208 So. 2d 249 (Fla. 1968).</w:t>
      </w:r>
    </w:p>
  </w:footnote>
  <w:footnote w:id="9">
    <w:p w:rsidR="001C047F" w:rsidRPr="00F711FE" w:rsidRDefault="001C047F" w:rsidP="00466519">
      <w:pPr>
        <w:autoSpaceDE w:val="0"/>
        <w:autoSpaceDN w:val="0"/>
        <w:adjustRightInd w:val="0"/>
        <w:jc w:val="both"/>
        <w:rPr>
          <w:sz w:val="20"/>
          <w:szCs w:val="20"/>
        </w:rPr>
      </w:pPr>
      <w:r w:rsidRPr="00CD7A33">
        <w:rPr>
          <w:rStyle w:val="FootnoteReference"/>
          <w:sz w:val="20"/>
          <w:szCs w:val="20"/>
        </w:rPr>
        <w:footnoteRef/>
      </w:r>
      <w:r w:rsidRPr="00CD7A33">
        <w:rPr>
          <w:sz w:val="20"/>
          <w:szCs w:val="20"/>
        </w:rPr>
        <w:t xml:space="preserve">Order No. PSC-98-0763-FOF-SU, issued June 3, 1998, in Docket No. 19971182-SU, </w:t>
      </w:r>
      <w:r w:rsidRPr="00CD7A33">
        <w:rPr>
          <w:i/>
          <w:sz w:val="20"/>
          <w:szCs w:val="20"/>
        </w:rPr>
        <w:t>In re: Application for staff-assisted rate case in Marion County by BFF Corp.</w:t>
      </w:r>
      <w:r w:rsidRPr="00CD7A33">
        <w:rPr>
          <w:sz w:val="20"/>
          <w:szCs w:val="20"/>
        </w:rPr>
        <w:t xml:space="preserve">; Order No. PSC-00-1774-PAA-WU, issued September 27, 2000, in Docket No. 19991627-WU, </w:t>
      </w:r>
      <w:r w:rsidRPr="00CD7A33">
        <w:rPr>
          <w:i/>
          <w:sz w:val="20"/>
          <w:szCs w:val="20"/>
        </w:rPr>
        <w:t>In re: Application for rate increase in Polk County by Park Water Company Inc.</w:t>
      </w:r>
      <w:r w:rsidRPr="00CD7A33">
        <w:rPr>
          <w:sz w:val="20"/>
          <w:szCs w:val="20"/>
        </w:rPr>
        <w:t xml:space="preserve">; Order No. PSC-01-0323-PAA-WU, issued February 5, 2001, in Docket No. 20000580-WU, </w:t>
      </w:r>
      <w:r w:rsidRPr="00CD7A33">
        <w:rPr>
          <w:i/>
          <w:sz w:val="20"/>
          <w:szCs w:val="20"/>
        </w:rPr>
        <w:t>In re: Application for staff-assisted rate case in Polk County by Keen Sales, Rentals and Utilities, Inc. (Alturas Water Works)</w:t>
      </w:r>
      <w:r w:rsidRPr="00CD7A33">
        <w:rPr>
          <w:sz w:val="20"/>
          <w:szCs w:val="20"/>
        </w:rPr>
        <w:t xml:space="preserve">; and Order No. PSC-02-1449-PAA-WS, issued October 21, 2002, in Docket No. 20011451-WS, </w:t>
      </w:r>
      <w:r w:rsidRPr="00CD7A33">
        <w:rPr>
          <w:i/>
          <w:sz w:val="20"/>
          <w:szCs w:val="20"/>
        </w:rPr>
        <w:t xml:space="preserve">In re: Investigation of water and wastewater rates for possible overearnings by Plantation Bay Utility Co. in Volusia County; </w:t>
      </w:r>
      <w:bookmarkStart w:id="7" w:name="OrderNo0428"/>
      <w:r w:rsidRPr="00CD7A33">
        <w:rPr>
          <w:sz w:val="20"/>
          <w:szCs w:val="20"/>
        </w:rPr>
        <w:t>Order No.</w:t>
      </w:r>
      <w:r w:rsidRPr="00CD7A33">
        <w:rPr>
          <w:i/>
          <w:sz w:val="20"/>
          <w:szCs w:val="20"/>
        </w:rPr>
        <w:t xml:space="preserve"> </w:t>
      </w:r>
      <w:r w:rsidRPr="00CD7A33">
        <w:rPr>
          <w:sz w:val="20"/>
          <w:szCs w:val="20"/>
        </w:rPr>
        <w:t>PSC-</w:t>
      </w:r>
      <w:r w:rsidRPr="00F711FE">
        <w:rPr>
          <w:sz w:val="20"/>
          <w:szCs w:val="20"/>
        </w:rPr>
        <w:t>2017-0428-PAA-WS</w:t>
      </w:r>
      <w:bookmarkEnd w:id="7"/>
      <w:r w:rsidRPr="00F711FE">
        <w:rPr>
          <w:sz w:val="20"/>
          <w:szCs w:val="20"/>
        </w:rPr>
        <w:t xml:space="preserve">, issued November 7, 2017, in Docket No. 20160195-WS, </w:t>
      </w:r>
      <w:r w:rsidRPr="00F711FE">
        <w:rPr>
          <w:i/>
          <w:sz w:val="20"/>
          <w:szCs w:val="20"/>
        </w:rPr>
        <w:t>In re: Application for staff-assisted rate case in Lake County by Lakeside Waterworks, Inc.</w:t>
      </w:r>
      <w:r w:rsidRPr="00F711FE">
        <w:rPr>
          <w:sz w:val="20"/>
          <w:szCs w:val="20"/>
        </w:rPr>
        <w:t>, and Order No. PSC-2018</w:t>
      </w:r>
      <w:r>
        <w:rPr>
          <w:sz w:val="20"/>
          <w:szCs w:val="20"/>
        </w:rPr>
        <w:t>-0553-PAA-WU</w:t>
      </w:r>
      <w:r w:rsidRPr="00F711FE">
        <w:rPr>
          <w:sz w:val="20"/>
          <w:szCs w:val="20"/>
        </w:rPr>
        <w:t>, issued</w:t>
      </w:r>
      <w:r>
        <w:rPr>
          <w:sz w:val="20"/>
          <w:szCs w:val="20"/>
        </w:rPr>
        <w:t xml:space="preserve"> November </w:t>
      </w:r>
      <w:r w:rsidRPr="00F711FE">
        <w:rPr>
          <w:sz w:val="20"/>
          <w:szCs w:val="20"/>
        </w:rPr>
        <w:t xml:space="preserve">19, 2018, in Docket No. 20180021-WU, </w:t>
      </w:r>
      <w:r w:rsidRPr="00F711FE">
        <w:rPr>
          <w:i/>
          <w:sz w:val="20"/>
          <w:szCs w:val="20"/>
        </w:rPr>
        <w:t>In re: Application for staff-assisted rate case in Highlands County by Country Walk Utilities,</w:t>
      </w:r>
      <w:r>
        <w:rPr>
          <w:i/>
          <w:sz w:val="20"/>
          <w:szCs w:val="20"/>
        </w:rPr>
        <w:t xml:space="preserve"> </w:t>
      </w:r>
      <w:r w:rsidRPr="00F711FE">
        <w:rPr>
          <w:i/>
          <w:sz w:val="20"/>
          <w:szCs w:val="20"/>
        </w:rPr>
        <w:t>Inc.</w:t>
      </w:r>
    </w:p>
  </w:footnote>
  <w:footnote w:id="10">
    <w:p w:rsidR="001C047F" w:rsidRPr="00B92D2E" w:rsidRDefault="001C047F" w:rsidP="004D51E9">
      <w:pPr>
        <w:autoSpaceDE w:val="0"/>
        <w:autoSpaceDN w:val="0"/>
        <w:adjustRightInd w:val="0"/>
        <w:jc w:val="both"/>
        <w:rPr>
          <w:sz w:val="20"/>
          <w:szCs w:val="20"/>
        </w:rPr>
      </w:pPr>
      <w:r w:rsidRPr="00B92D2E">
        <w:rPr>
          <w:rStyle w:val="FootnoteReference"/>
          <w:sz w:val="20"/>
          <w:szCs w:val="20"/>
        </w:rPr>
        <w:footnoteRef/>
      </w:r>
      <w:r w:rsidRPr="00B92D2E">
        <w:rPr>
          <w:sz w:val="20"/>
          <w:szCs w:val="20"/>
        </w:rPr>
        <w:t xml:space="preserve">Order No. PSC-2018-0587-PAA-WU, issued December 17, 2018, in Docket No. 20180066-WU, </w:t>
      </w:r>
      <w:r w:rsidRPr="00B92D2E">
        <w:rPr>
          <w:rFonts w:eastAsiaTheme="minorHAnsi"/>
          <w:i/>
          <w:sz w:val="20"/>
          <w:szCs w:val="20"/>
        </w:rPr>
        <w:t>In re: Application for transfer of facilities of Kincaid Hills Water Company and Water Certificate No. 555-W to Gator Waterworks, Inc.</w:t>
      </w:r>
    </w:p>
  </w:footnote>
  <w:footnote w:id="11">
    <w:p w:rsidR="001C047F" w:rsidRPr="009D311E" w:rsidRDefault="001C047F" w:rsidP="004D51E9">
      <w:pPr>
        <w:pStyle w:val="FootnoteText"/>
      </w:pPr>
      <w:r w:rsidRPr="009D311E">
        <w:rPr>
          <w:rStyle w:val="FootnoteReference"/>
        </w:rPr>
        <w:footnoteRef/>
      </w:r>
      <w:r w:rsidRPr="009D311E">
        <w:t xml:space="preserve">Order No. PSC-2019-0267-PAA-WS, issued July 1, 2019, in Docket No. 20190006-WS, </w:t>
      </w:r>
      <w:r w:rsidRPr="009D311E">
        <w:rPr>
          <w:i/>
        </w:rPr>
        <w:t>In re: Water and wastewater industry annual reestablishment of authorized range of return on common equity for water and wastewater utilities pursuant to Section 367.081(4)(f), F.S.</w:t>
      </w:r>
    </w:p>
  </w:footnote>
  <w:footnote w:id="12">
    <w:p w:rsidR="001C047F" w:rsidRDefault="001C047F" w:rsidP="004D51E9">
      <w:pPr>
        <w:pStyle w:val="FootnoteText"/>
      </w:pPr>
      <w:r>
        <w:rPr>
          <w:rStyle w:val="FootnoteReference"/>
        </w:rPr>
        <w:footnoteRef/>
      </w:r>
      <w:r>
        <w:t>Document No. 07317-2019, filed August 9, 2019, pg. 5.</w:t>
      </w:r>
    </w:p>
  </w:footnote>
  <w:footnote w:id="13">
    <w:p w:rsidR="001C047F" w:rsidRDefault="001C047F" w:rsidP="004D51E9">
      <w:pPr>
        <w:pStyle w:val="FootnoteText"/>
      </w:pPr>
      <w:r>
        <w:rPr>
          <w:rStyle w:val="FootnoteReference"/>
        </w:rPr>
        <w:footnoteRef/>
      </w:r>
      <w:r>
        <w:t>Document No. 07317-2019.</w:t>
      </w:r>
    </w:p>
  </w:footnote>
  <w:footnote w:id="14">
    <w:p w:rsidR="001C047F" w:rsidRDefault="001C047F" w:rsidP="004D51E9">
      <w:pPr>
        <w:pStyle w:val="FootnoteText"/>
      </w:pPr>
      <w:r>
        <w:rPr>
          <w:rStyle w:val="FootnoteReference"/>
        </w:rPr>
        <w:footnoteRef/>
      </w:r>
      <w:r>
        <w:t>Document No. 07317-2019, pg. 7.</w:t>
      </w:r>
    </w:p>
  </w:footnote>
  <w:footnote w:id="15">
    <w:p w:rsidR="001C047F" w:rsidRDefault="001C047F" w:rsidP="004D51E9">
      <w:pPr>
        <w:pStyle w:val="FootnoteText"/>
      </w:pPr>
      <w:r>
        <w:rPr>
          <w:rStyle w:val="FootnoteReference"/>
        </w:rPr>
        <w:footnoteRef/>
      </w:r>
      <w:r>
        <w:t>Tradewinds is a Class B utility.</w:t>
      </w:r>
    </w:p>
  </w:footnote>
  <w:footnote w:id="16">
    <w:p w:rsidR="001C047F" w:rsidRDefault="001C047F" w:rsidP="004D51E9">
      <w:pPr>
        <w:pStyle w:val="FootnoteText"/>
      </w:pPr>
      <w:r>
        <w:rPr>
          <w:rStyle w:val="FootnoteReference"/>
        </w:rPr>
        <w:footnoteRef/>
      </w:r>
      <w:r>
        <w:t>Document No. 07317-2019, pg. 36.</w:t>
      </w:r>
    </w:p>
  </w:footnote>
  <w:footnote w:id="17">
    <w:p w:rsidR="001C047F" w:rsidRDefault="001C047F" w:rsidP="004D51E9">
      <w:pPr>
        <w:pStyle w:val="FootnoteText"/>
      </w:pPr>
      <w:r>
        <w:rPr>
          <w:rStyle w:val="FootnoteReference"/>
        </w:rPr>
        <w:footnoteRef/>
      </w:r>
      <w:r>
        <w:t>Document No. 07317-2019, pg. 7.</w:t>
      </w:r>
    </w:p>
  </w:footnote>
  <w:footnote w:id="18">
    <w:p w:rsidR="001C047F" w:rsidRDefault="001C047F" w:rsidP="004D51E9">
      <w:pPr>
        <w:pStyle w:val="FootnoteText"/>
      </w:pPr>
      <w:r>
        <w:rPr>
          <w:rStyle w:val="FootnoteReference"/>
        </w:rPr>
        <w:footnoteRef/>
      </w:r>
      <w:r>
        <w:t>Document No. 07317-2019, pg. 8.</w:t>
      </w:r>
    </w:p>
  </w:footnote>
  <w:footnote w:id="19">
    <w:p w:rsidR="001C047F" w:rsidRDefault="001C047F" w:rsidP="004D51E9">
      <w:pPr>
        <w:pStyle w:val="FootnoteText"/>
      </w:pPr>
      <w:r>
        <w:rPr>
          <w:rStyle w:val="FootnoteReference"/>
        </w:rPr>
        <w:footnoteRef/>
      </w:r>
      <w:r>
        <w:t>Pine Harbour Waterworks, Inc. was not used in our calculations since three years of annual reports were not available.</w:t>
      </w:r>
    </w:p>
  </w:footnote>
  <w:footnote w:id="20">
    <w:p w:rsidR="001C047F" w:rsidRPr="00C46C7E" w:rsidRDefault="001C047F" w:rsidP="004D51E9">
      <w:pPr>
        <w:autoSpaceDE w:val="0"/>
        <w:autoSpaceDN w:val="0"/>
        <w:adjustRightInd w:val="0"/>
        <w:jc w:val="both"/>
        <w:rPr>
          <w:i/>
          <w:sz w:val="20"/>
          <w:szCs w:val="20"/>
        </w:rPr>
      </w:pPr>
      <w:r>
        <w:rPr>
          <w:rStyle w:val="FootnoteReference"/>
        </w:rPr>
        <w:footnoteRef/>
      </w:r>
      <w:r>
        <w:rPr>
          <w:sz w:val="20"/>
          <w:szCs w:val="20"/>
        </w:rPr>
        <w:t xml:space="preserve">Order No. PSC-14-0413-PAA-WS, issued August 14, 2014, in Docket No. 20130153-WS, </w:t>
      </w:r>
      <w:r>
        <w:rPr>
          <w:i/>
          <w:iCs/>
          <w:sz w:val="20"/>
          <w:szCs w:val="20"/>
        </w:rPr>
        <w:t>In re: Application for staff-assisted rate case in Highlands County, by L.P. Utilities Corporation c/o LP Waterworks, Inc.</w:t>
      </w:r>
      <w:r>
        <w:rPr>
          <w:sz w:val="20"/>
          <w:szCs w:val="20"/>
        </w:rPr>
        <w:t>; Order No. PSC-</w:t>
      </w:r>
      <w:r w:rsidRPr="00C46C7E">
        <w:rPr>
          <w:sz w:val="20"/>
          <w:szCs w:val="20"/>
        </w:rPr>
        <w:t xml:space="preserve">15-0013-PAA-WS, issued January 2, 2015, in Docket No. 20130194-WS, </w:t>
      </w:r>
      <w:r w:rsidRPr="00C46C7E">
        <w:rPr>
          <w:i/>
          <w:iCs/>
          <w:sz w:val="20"/>
          <w:szCs w:val="20"/>
        </w:rPr>
        <w:t>In re: Application for staff-assisted rate</w:t>
      </w:r>
      <w:r>
        <w:rPr>
          <w:i/>
          <w:iCs/>
          <w:sz w:val="20"/>
          <w:szCs w:val="20"/>
        </w:rPr>
        <w:t xml:space="preserve"> </w:t>
      </w:r>
      <w:r w:rsidRPr="00C46C7E">
        <w:rPr>
          <w:i/>
          <w:iCs/>
          <w:sz w:val="20"/>
          <w:szCs w:val="20"/>
        </w:rPr>
        <w:t>case in Lake County by Lakeside Waterworks, Inc.</w:t>
      </w:r>
      <w:r w:rsidRPr="00C46C7E">
        <w:rPr>
          <w:sz w:val="20"/>
          <w:szCs w:val="20"/>
        </w:rPr>
        <w:t>; Order No. PSC-15-0282-PAA-WS, issued July 8, 2015, in</w:t>
      </w:r>
      <w:r>
        <w:rPr>
          <w:sz w:val="20"/>
          <w:szCs w:val="20"/>
        </w:rPr>
        <w:t xml:space="preserve"> </w:t>
      </w:r>
      <w:r w:rsidRPr="00C46C7E">
        <w:rPr>
          <w:sz w:val="20"/>
          <w:szCs w:val="20"/>
        </w:rPr>
        <w:t xml:space="preserve">Docket No. 20140158-WS, </w:t>
      </w:r>
      <w:r w:rsidRPr="00C46C7E">
        <w:rPr>
          <w:i/>
          <w:iCs/>
          <w:sz w:val="20"/>
          <w:szCs w:val="20"/>
        </w:rPr>
        <w:t>In re: Application for increase in water/wastewater rates in Highlands County by HC</w:t>
      </w:r>
      <w:r>
        <w:rPr>
          <w:i/>
          <w:iCs/>
          <w:sz w:val="20"/>
          <w:szCs w:val="20"/>
        </w:rPr>
        <w:t xml:space="preserve"> </w:t>
      </w:r>
      <w:r w:rsidRPr="00C46C7E">
        <w:rPr>
          <w:i/>
          <w:iCs/>
          <w:sz w:val="20"/>
          <w:szCs w:val="20"/>
        </w:rPr>
        <w:t>Waterworks, Inc.</w:t>
      </w:r>
      <w:r w:rsidRPr="00C46C7E">
        <w:rPr>
          <w:sz w:val="20"/>
          <w:szCs w:val="20"/>
        </w:rPr>
        <w:t xml:space="preserve">; Order No. PSC-15-0329-PAA-WU, issued August 14, 2015, in Docket No. 20140186-WU, </w:t>
      </w:r>
      <w:r w:rsidRPr="00C46C7E">
        <w:rPr>
          <w:i/>
          <w:iCs/>
          <w:sz w:val="20"/>
          <w:szCs w:val="20"/>
        </w:rPr>
        <w:t>In re:</w:t>
      </w:r>
      <w:r>
        <w:rPr>
          <w:i/>
          <w:iCs/>
          <w:sz w:val="20"/>
          <w:szCs w:val="20"/>
        </w:rPr>
        <w:t xml:space="preserve"> </w:t>
      </w:r>
      <w:r w:rsidRPr="00C46C7E">
        <w:rPr>
          <w:i/>
          <w:iCs/>
          <w:sz w:val="20"/>
          <w:szCs w:val="20"/>
        </w:rPr>
        <w:t>Application for staff-assisted rate case in Brevard County by Brevard Waterworks, Inc.</w:t>
      </w:r>
      <w:r w:rsidRPr="00C46C7E">
        <w:rPr>
          <w:sz w:val="20"/>
          <w:szCs w:val="20"/>
        </w:rPr>
        <w:t>; Order No. PSC-15-0335-</w:t>
      </w:r>
      <w:r>
        <w:rPr>
          <w:sz w:val="20"/>
          <w:szCs w:val="20"/>
        </w:rPr>
        <w:t xml:space="preserve"> </w:t>
      </w:r>
      <w:r w:rsidRPr="00C46C7E">
        <w:rPr>
          <w:sz w:val="20"/>
          <w:szCs w:val="20"/>
        </w:rPr>
        <w:t xml:space="preserve">PAA-WS, issued August 20, 2015, in Docket No. 20140147-WS, </w:t>
      </w:r>
      <w:r w:rsidRPr="00C46C7E">
        <w:rPr>
          <w:i/>
          <w:iCs/>
          <w:sz w:val="20"/>
          <w:szCs w:val="20"/>
        </w:rPr>
        <w:t>In re: Application for staff-assisted rate case in</w:t>
      </w:r>
      <w:r>
        <w:rPr>
          <w:i/>
          <w:iCs/>
          <w:sz w:val="20"/>
          <w:szCs w:val="20"/>
        </w:rPr>
        <w:t xml:space="preserve"> </w:t>
      </w:r>
      <w:r w:rsidRPr="00C46C7E">
        <w:rPr>
          <w:i/>
          <w:iCs/>
          <w:sz w:val="20"/>
          <w:szCs w:val="20"/>
        </w:rPr>
        <w:t xml:space="preserve">Sumter County by Jumper Creek Utility Company; </w:t>
      </w:r>
      <w:r w:rsidRPr="00C46C7E">
        <w:rPr>
          <w:sz w:val="20"/>
          <w:szCs w:val="20"/>
        </w:rPr>
        <w:t>Order No. PSC-16-0256-PAA-WU, issued June 30, 2016, in</w:t>
      </w:r>
      <w:r>
        <w:rPr>
          <w:sz w:val="20"/>
          <w:szCs w:val="20"/>
        </w:rPr>
        <w:t xml:space="preserve"> </w:t>
      </w:r>
      <w:r w:rsidRPr="00C46C7E">
        <w:rPr>
          <w:sz w:val="20"/>
          <w:szCs w:val="20"/>
        </w:rPr>
        <w:t xml:space="preserve">Docket No. 20150199-WU,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xml:space="preserve">; Order No. PSC-16-0305-PAA-WU, issued July 28, 2016, in Docket No. 20150236-WU,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w:t>
      </w:r>
      <w:r>
        <w:rPr>
          <w:i/>
          <w:iCs/>
          <w:sz w:val="20"/>
          <w:szCs w:val="20"/>
        </w:rPr>
        <w:t>y Lake Idlewild Utility Company</w:t>
      </w:r>
      <w:r w:rsidRPr="00C46C7E">
        <w:rPr>
          <w:sz w:val="20"/>
          <w:szCs w:val="20"/>
        </w:rPr>
        <w:t>; Order No. PSC-2017-0334-PAA-WS,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PSC-2017-0428-PAA-WS,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 xml:space="preserve">Order No. PSC-2018-0552-PAA-WU, issued November 19, 2018, in Docket No. 20180022-WU, </w:t>
      </w:r>
      <w:r w:rsidRPr="00C46C7E">
        <w:rPr>
          <w:i/>
          <w:sz w:val="20"/>
          <w:szCs w:val="20"/>
        </w:rPr>
        <w:t>In re: Application for staff-assisted rate case in Lake County by Pine Harbour Waterworks,</w:t>
      </w:r>
      <w:r>
        <w:rPr>
          <w:i/>
          <w:sz w:val="20"/>
          <w:szCs w:val="20"/>
        </w:rPr>
        <w:t xml:space="preserve"> </w:t>
      </w:r>
      <w:r w:rsidRPr="00C46C7E">
        <w:rPr>
          <w:i/>
          <w:sz w:val="20"/>
          <w:szCs w:val="20"/>
        </w:rPr>
        <w:t xml:space="preserve">Inc.; and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9" w:name="OrderNo0553"/>
      <w:r w:rsidRPr="00C46C7E">
        <w:rPr>
          <w:sz w:val="20"/>
          <w:szCs w:val="20"/>
        </w:rPr>
        <w:t>PSC-2018-0553-PAA-WU</w:t>
      </w:r>
      <w:bookmarkEnd w:id="9"/>
      <w:r w:rsidRPr="00C46C7E">
        <w:rPr>
          <w:sz w:val="20"/>
          <w:szCs w:val="20"/>
        </w:rPr>
        <w:t xml:space="preserve">, issued November 19, 2018, in Docket No. 20180021-WU, </w:t>
      </w:r>
      <w:r w:rsidRPr="00C46C7E">
        <w:rPr>
          <w:i/>
          <w:sz w:val="20"/>
          <w:szCs w:val="20"/>
        </w:rPr>
        <w:t>In re: Application for staff-assisted rate case in Highlands County by Country Walk Utilities, Inc.</w:t>
      </w:r>
    </w:p>
  </w:footnote>
  <w:footnote w:id="21">
    <w:p w:rsidR="001C047F" w:rsidRDefault="001C047F" w:rsidP="004D51E9">
      <w:pPr>
        <w:pStyle w:val="FootnoteText"/>
      </w:pPr>
      <w:r>
        <w:rPr>
          <w:rStyle w:val="FootnoteReference"/>
        </w:rPr>
        <w:footnoteRef/>
      </w:r>
      <w:r>
        <w:t xml:space="preserve">Docket No. 20190116-SU, </w:t>
      </w:r>
      <w:r w:rsidRPr="00B91BBC">
        <w:rPr>
          <w:i/>
        </w:rPr>
        <w:t>In re: Application for staff-assisted rate case in Brevard County, and request for interim rate increase by Merritt Island Utility Company</w:t>
      </w:r>
      <w:r w:rsidRPr="00B91BBC">
        <w:t>; and</w:t>
      </w:r>
      <w:r>
        <w:rPr>
          <w:color w:val="FF0000"/>
        </w:rPr>
        <w:t xml:space="preserve"> </w:t>
      </w:r>
      <w:r>
        <w:t xml:space="preserve">Docket No. 20190125-WS, </w:t>
      </w:r>
      <w:r w:rsidRPr="00B91BBC">
        <w:rPr>
          <w:i/>
        </w:rPr>
        <w:t>In re: Application for staff-assisted rate case in Sumter County by The Woods Utility Company.</w:t>
      </w:r>
    </w:p>
  </w:footnote>
  <w:footnote w:id="22">
    <w:p w:rsidR="001C047F" w:rsidRDefault="001C047F" w:rsidP="004D51E9">
      <w:pPr>
        <w:pStyle w:val="FootnoteText"/>
      </w:pPr>
      <w:r>
        <w:rPr>
          <w:rStyle w:val="FootnoteReference"/>
        </w:rPr>
        <w:footnoteRef/>
      </w:r>
      <w:r>
        <w:t xml:space="preserve">Docket No. 20190166-WS, </w:t>
      </w:r>
      <w:r w:rsidRPr="00CD3096">
        <w:rPr>
          <w:i/>
        </w:rPr>
        <w:t>In re: Application for increase in water rates in Highlands County by HC Waterworks, Inc.</w:t>
      </w:r>
    </w:p>
  </w:footnote>
  <w:footnote w:id="23">
    <w:p w:rsidR="001C047F" w:rsidRPr="00094DD7" w:rsidRDefault="001C047F" w:rsidP="004D51E9">
      <w:pPr>
        <w:pStyle w:val="FootnoteText"/>
      </w:pPr>
      <w:r w:rsidRPr="000E7030">
        <w:rPr>
          <w:rStyle w:val="FootnoteReference"/>
        </w:rPr>
        <w:footnoteRef/>
      </w:r>
      <w:r w:rsidRPr="000E7030">
        <w:t xml:space="preserve">Docket No. 20180066-WU, </w:t>
      </w:r>
      <w:r w:rsidRPr="000E7030">
        <w:rPr>
          <w:rFonts w:cstheme="minorHAnsi"/>
          <w:i/>
        </w:rPr>
        <w:t xml:space="preserve">In re: </w:t>
      </w:r>
      <w:r w:rsidRPr="00D84D84">
        <w:rPr>
          <w:rStyle w:val="Strong"/>
          <w:rFonts w:cstheme="minorHAnsi"/>
          <w:b w:val="0"/>
          <w:i/>
        </w:rPr>
        <w:t>Application for transfer of facilities of Kincaid Hills Water Company and Water Certificate No. 555-W to Gator Waterworks, Inc.</w:t>
      </w:r>
    </w:p>
  </w:footnote>
  <w:footnote w:id="24">
    <w:p w:rsidR="001C047F" w:rsidRPr="00094DD7" w:rsidRDefault="001C047F" w:rsidP="004D51E9">
      <w:pPr>
        <w:pStyle w:val="FootnoteText"/>
      </w:pPr>
      <w:r w:rsidRPr="00094DD7">
        <w:rPr>
          <w:rStyle w:val="FootnoteReference"/>
        </w:rPr>
        <w:footnoteRef/>
      </w:r>
      <w:r>
        <w:t>Document No. 00605-2020, filed January 28, 2020.</w:t>
      </w:r>
    </w:p>
  </w:footnote>
  <w:footnote w:id="25">
    <w:p w:rsidR="001C047F" w:rsidRDefault="001C047F" w:rsidP="004D51E9">
      <w:pPr>
        <w:pStyle w:val="FootnoteText"/>
      </w:pPr>
      <w:r>
        <w:rPr>
          <w:rStyle w:val="FootnoteReference"/>
        </w:rPr>
        <w:footnoteRef/>
      </w:r>
      <w:r w:rsidRPr="0007070C">
        <w:t>Document No. 00801-2020, filed February 5, 2020.</w:t>
      </w:r>
    </w:p>
  </w:footnote>
  <w:footnote w:id="26">
    <w:p w:rsidR="001C047F" w:rsidRDefault="001C047F" w:rsidP="004D51E9">
      <w:pPr>
        <w:pStyle w:val="FootnoteText"/>
      </w:pPr>
      <w:r>
        <w:rPr>
          <w:rStyle w:val="FootnoteReference"/>
        </w:rPr>
        <w:footnoteRef/>
      </w:r>
      <w:r>
        <w:t xml:space="preserve">Document No. 08242-2019, filed on August 20, 2019. </w:t>
      </w:r>
    </w:p>
  </w:footnote>
  <w:footnote w:id="27">
    <w:p w:rsidR="001C047F" w:rsidRDefault="001C047F" w:rsidP="004D51E9">
      <w:pPr>
        <w:pStyle w:val="FootnoteText"/>
      </w:pPr>
      <w:r>
        <w:rPr>
          <w:rStyle w:val="FootnoteReference"/>
        </w:rPr>
        <w:footnoteRef/>
      </w:r>
      <w:r>
        <w:t>Document No. 10753-2019, filed on November 5, 2019.</w:t>
      </w:r>
    </w:p>
  </w:footnote>
  <w:footnote w:id="28">
    <w:p w:rsidR="001C047F" w:rsidRDefault="001C047F" w:rsidP="00D51180">
      <w:pPr>
        <w:pStyle w:val="FootnoteText"/>
      </w:pPr>
      <w:r>
        <w:rPr>
          <w:rStyle w:val="FootnoteReference"/>
        </w:rPr>
        <w:footnoteRef/>
      </w:r>
      <w:r>
        <w:t xml:space="preserve"> Average person per household was obtained from www.census.gov/quickfacts/alachuacountyflorida.</w:t>
      </w:r>
    </w:p>
  </w:footnote>
  <w:footnote w:id="29">
    <w:p w:rsidR="001C047F" w:rsidRPr="00B714E0" w:rsidRDefault="001C047F" w:rsidP="00D51180">
      <w:pPr>
        <w:pStyle w:val="FootnoteText"/>
        <w:rPr>
          <w:i/>
        </w:rPr>
      </w:pPr>
      <w:r w:rsidRPr="001171AD">
        <w:rPr>
          <w:rStyle w:val="FootnoteReference"/>
        </w:rPr>
        <w:footnoteRef/>
      </w:r>
      <w:r w:rsidRPr="001171AD">
        <w:t xml:space="preserve">Order No. PSC-15-0142-PAA-SU, issued March 26, 2015, in Docket No. </w:t>
      </w:r>
      <w:r>
        <w:t>20</w:t>
      </w:r>
      <w:r w:rsidRPr="001171AD">
        <w:t xml:space="preserve">130178-SU, </w:t>
      </w:r>
      <w:r>
        <w:rPr>
          <w:i/>
        </w:rPr>
        <w:t>In re:</w:t>
      </w:r>
      <w:r w:rsidRPr="001171AD">
        <w:rPr>
          <w:i/>
        </w:rPr>
        <w:t xml:space="preserve"> Application for staff-assisted rate case in Polk County by Crooked Lake Park Sewerage Company</w:t>
      </w:r>
      <w:r w:rsidRPr="005564E0">
        <w:rPr>
          <w:i/>
        </w:rPr>
        <w:t>.</w:t>
      </w:r>
    </w:p>
  </w:footnote>
  <w:footnote w:id="30">
    <w:p w:rsidR="001C047F" w:rsidRDefault="001C047F" w:rsidP="00D51180">
      <w:pPr>
        <w:pStyle w:val="FootnoteText"/>
        <w:rPr>
          <w:i/>
        </w:rPr>
      </w:pPr>
      <w:r>
        <w:rPr>
          <w:rStyle w:val="FootnoteReference"/>
        </w:rPr>
        <w:footnoteRef/>
      </w:r>
      <w:r>
        <w:t xml:space="preserve">Order Nos. PSC-10-0364-TRF-WS, issued June 7, 2010, in Docket No. 100170-WS, </w:t>
      </w:r>
      <w:r>
        <w:rPr>
          <w:i/>
        </w:rPr>
        <w:t>In re: Application for authority to collect non-sufficient funds charges, pursuant to Sections 68.065 and 832.08(5), F.S., by Pluris Wedgefield Inc.; and PSC-10-0168-PAA-SU</w:t>
      </w:r>
      <w:r>
        <w:t>, issued March 23, 2010, in Docket No. 090182-SU,</w:t>
      </w:r>
      <w:r>
        <w:rPr>
          <w:i/>
        </w:rPr>
        <w:t xml:space="preserve"> In re: Application for increase in wastewater rates in Pasco County by Ni Florida, LLC.</w:t>
      </w:r>
    </w:p>
  </w:footnote>
  <w:footnote w:id="31">
    <w:p w:rsidR="001C047F" w:rsidRPr="0082053E" w:rsidRDefault="001C047F" w:rsidP="00D51180">
      <w:pPr>
        <w:autoSpaceDE w:val="0"/>
        <w:autoSpaceDN w:val="0"/>
        <w:adjustRightInd w:val="0"/>
        <w:jc w:val="both"/>
        <w:rPr>
          <w:rFonts w:eastAsiaTheme="minorHAnsi"/>
          <w:i/>
          <w:iCs/>
          <w:sz w:val="20"/>
          <w:szCs w:val="20"/>
        </w:rPr>
      </w:pPr>
      <w:r w:rsidRPr="006F2042">
        <w:rPr>
          <w:rStyle w:val="FootnoteReference"/>
          <w:sz w:val="20"/>
          <w:szCs w:val="20"/>
        </w:rPr>
        <w:footnoteRef/>
      </w:r>
      <w:r w:rsidRPr="00A970DB">
        <w:rPr>
          <w:rFonts w:eastAsiaTheme="minorHAnsi"/>
          <w:sz w:val="20"/>
          <w:szCs w:val="20"/>
        </w:rPr>
        <w:t>Order No. PSC-</w:t>
      </w:r>
      <w:r>
        <w:rPr>
          <w:rFonts w:eastAsiaTheme="minorHAnsi"/>
          <w:sz w:val="20"/>
          <w:szCs w:val="20"/>
        </w:rPr>
        <w:t>2018</w:t>
      </w:r>
      <w:r w:rsidRPr="00A970DB">
        <w:rPr>
          <w:rFonts w:eastAsiaTheme="minorHAnsi"/>
          <w:sz w:val="20"/>
          <w:szCs w:val="20"/>
        </w:rPr>
        <w:t>-0</w:t>
      </w:r>
      <w:r>
        <w:rPr>
          <w:rFonts w:eastAsiaTheme="minorHAnsi"/>
          <w:sz w:val="20"/>
          <w:szCs w:val="20"/>
        </w:rPr>
        <w:t>33</w:t>
      </w:r>
      <w:r w:rsidRPr="00A970DB">
        <w:rPr>
          <w:rFonts w:eastAsiaTheme="minorHAnsi"/>
          <w:sz w:val="20"/>
          <w:szCs w:val="20"/>
        </w:rPr>
        <w:t>4-</w:t>
      </w:r>
      <w:r>
        <w:rPr>
          <w:rFonts w:eastAsiaTheme="minorHAnsi"/>
          <w:sz w:val="20"/>
          <w:szCs w:val="20"/>
        </w:rPr>
        <w:t>PAA</w:t>
      </w:r>
      <w:r w:rsidRPr="00A970DB">
        <w:rPr>
          <w:rFonts w:eastAsiaTheme="minorHAnsi"/>
          <w:sz w:val="20"/>
          <w:szCs w:val="20"/>
        </w:rPr>
        <w:t>-WU, issued J</w:t>
      </w:r>
      <w:r>
        <w:rPr>
          <w:rFonts w:eastAsiaTheme="minorHAnsi"/>
          <w:sz w:val="20"/>
          <w:szCs w:val="20"/>
        </w:rPr>
        <w:t>une</w:t>
      </w:r>
      <w:r w:rsidRPr="00A970DB">
        <w:rPr>
          <w:rFonts w:eastAsiaTheme="minorHAnsi"/>
          <w:sz w:val="20"/>
          <w:szCs w:val="20"/>
        </w:rPr>
        <w:t xml:space="preserve"> 2</w:t>
      </w:r>
      <w:r>
        <w:rPr>
          <w:rFonts w:eastAsiaTheme="minorHAnsi"/>
          <w:sz w:val="20"/>
          <w:szCs w:val="20"/>
        </w:rPr>
        <w:t>8</w:t>
      </w:r>
      <w:r w:rsidRPr="00A970DB">
        <w:rPr>
          <w:rFonts w:eastAsiaTheme="minorHAnsi"/>
          <w:sz w:val="20"/>
          <w:szCs w:val="20"/>
        </w:rPr>
        <w:t>, 201</w:t>
      </w:r>
      <w:r>
        <w:rPr>
          <w:rFonts w:eastAsiaTheme="minorHAnsi"/>
          <w:sz w:val="20"/>
          <w:szCs w:val="20"/>
        </w:rPr>
        <w:t>8</w:t>
      </w:r>
      <w:r w:rsidRPr="00A970DB">
        <w:rPr>
          <w:rFonts w:eastAsiaTheme="minorHAnsi"/>
          <w:sz w:val="20"/>
          <w:szCs w:val="20"/>
        </w:rPr>
        <w:t>, in Docket No. 201</w:t>
      </w:r>
      <w:r>
        <w:rPr>
          <w:rFonts w:eastAsiaTheme="minorHAnsi"/>
          <w:sz w:val="20"/>
          <w:szCs w:val="20"/>
        </w:rPr>
        <w:t>7015</w:t>
      </w:r>
      <w:r w:rsidRPr="00A970DB">
        <w:rPr>
          <w:rFonts w:eastAsiaTheme="minorHAnsi"/>
          <w:sz w:val="20"/>
          <w:szCs w:val="20"/>
        </w:rPr>
        <w:t xml:space="preserve">5-WU, </w:t>
      </w:r>
      <w:r w:rsidRPr="00A970DB">
        <w:rPr>
          <w:rFonts w:eastAsiaTheme="minorHAnsi"/>
          <w:i/>
          <w:iCs/>
          <w:sz w:val="20"/>
          <w:szCs w:val="20"/>
        </w:rPr>
        <w:t xml:space="preserve">In re: </w:t>
      </w:r>
      <w:r w:rsidRPr="006F2042">
        <w:rPr>
          <w:rFonts w:eastAsiaTheme="minorHAnsi"/>
          <w:i/>
          <w:iCs/>
          <w:sz w:val="20"/>
          <w:szCs w:val="20"/>
        </w:rPr>
        <w:t>Application for grandfather water certificate in Leon County and application for pass through increase of regulatory assessment fees, by Seminole Waterworks, Inc.</w:t>
      </w:r>
    </w:p>
  </w:footnote>
  <w:footnote w:id="32">
    <w:p w:rsidR="001C047F" w:rsidRPr="00A970DB" w:rsidRDefault="001C047F" w:rsidP="00D51180">
      <w:pPr>
        <w:autoSpaceDE w:val="0"/>
        <w:autoSpaceDN w:val="0"/>
        <w:adjustRightInd w:val="0"/>
        <w:jc w:val="both"/>
        <w:rPr>
          <w:rFonts w:eastAsiaTheme="minorHAnsi"/>
          <w:i/>
          <w:iCs/>
          <w:sz w:val="20"/>
          <w:szCs w:val="20"/>
        </w:rPr>
      </w:pPr>
      <w:r w:rsidRPr="00A970DB">
        <w:rPr>
          <w:rStyle w:val="FootnoteReference"/>
          <w:sz w:val="20"/>
          <w:szCs w:val="20"/>
        </w:rPr>
        <w:footnoteRef/>
      </w:r>
      <w:r w:rsidRPr="00A970DB">
        <w:rPr>
          <w:rFonts w:eastAsiaTheme="minorHAnsi"/>
          <w:sz w:val="20"/>
          <w:szCs w:val="20"/>
        </w:rPr>
        <w:t xml:space="preserve">Order Nos. PSC-16-0041-TRF-WU, issued January 25, 2016, in Docket No. 20150215-WU, </w:t>
      </w:r>
      <w:r w:rsidRPr="00A970DB">
        <w:rPr>
          <w:rFonts w:eastAsiaTheme="minorHAnsi"/>
          <w:i/>
          <w:iCs/>
          <w:sz w:val="20"/>
          <w:szCs w:val="20"/>
        </w:rPr>
        <w:t>In re: Request for</w:t>
      </w:r>
    </w:p>
    <w:p w:rsidR="001C047F" w:rsidRPr="00A970DB" w:rsidRDefault="001C047F" w:rsidP="00D51180">
      <w:pPr>
        <w:autoSpaceDE w:val="0"/>
        <w:autoSpaceDN w:val="0"/>
        <w:adjustRightInd w:val="0"/>
        <w:jc w:val="both"/>
        <w:rPr>
          <w:rFonts w:eastAsiaTheme="minorHAnsi"/>
          <w:i/>
          <w:iCs/>
          <w:sz w:val="20"/>
          <w:szCs w:val="20"/>
        </w:rPr>
      </w:pPr>
      <w:r w:rsidRPr="00A970DB">
        <w:rPr>
          <w:rFonts w:eastAsiaTheme="minorHAnsi"/>
          <w:i/>
          <w:iCs/>
          <w:sz w:val="20"/>
          <w:szCs w:val="20"/>
        </w:rPr>
        <w:t>approval of tariff amendment to include miscellaneous service charges for the Earlene and Ray Keen Subdivisions,</w:t>
      </w:r>
    </w:p>
    <w:p w:rsidR="001C047F" w:rsidRPr="00A970DB" w:rsidRDefault="001C047F" w:rsidP="00D51180">
      <w:pPr>
        <w:autoSpaceDE w:val="0"/>
        <w:autoSpaceDN w:val="0"/>
        <w:adjustRightInd w:val="0"/>
        <w:jc w:val="both"/>
        <w:rPr>
          <w:rFonts w:eastAsiaTheme="minorHAnsi"/>
          <w:i/>
          <w:iCs/>
          <w:sz w:val="20"/>
          <w:szCs w:val="20"/>
        </w:rPr>
      </w:pPr>
      <w:r w:rsidRPr="00A970DB">
        <w:rPr>
          <w:rFonts w:eastAsiaTheme="minorHAnsi"/>
          <w:i/>
          <w:iCs/>
          <w:sz w:val="20"/>
          <w:szCs w:val="20"/>
        </w:rPr>
        <w:t>the Ellison Park Subdivision and the Lake Region Paradise Island Subdivision in Polk County, by Keen Sales,</w:t>
      </w:r>
    </w:p>
    <w:p w:rsidR="001C047F" w:rsidRPr="00A970DB" w:rsidRDefault="001C047F" w:rsidP="00D51180">
      <w:pPr>
        <w:autoSpaceDE w:val="0"/>
        <w:autoSpaceDN w:val="0"/>
        <w:adjustRightInd w:val="0"/>
        <w:jc w:val="both"/>
        <w:rPr>
          <w:rFonts w:eastAsiaTheme="minorHAnsi"/>
          <w:i/>
          <w:iCs/>
          <w:sz w:val="20"/>
          <w:szCs w:val="20"/>
        </w:rPr>
      </w:pPr>
      <w:r w:rsidRPr="00A970DB">
        <w:rPr>
          <w:rFonts w:eastAsiaTheme="minorHAnsi"/>
          <w:i/>
          <w:iCs/>
          <w:sz w:val="20"/>
          <w:szCs w:val="20"/>
        </w:rPr>
        <w:t xml:space="preserve">Rentals and Utilities, Inc. </w:t>
      </w:r>
      <w:r w:rsidRPr="00A970DB">
        <w:rPr>
          <w:rFonts w:eastAsiaTheme="minorHAnsi"/>
          <w:sz w:val="20"/>
          <w:szCs w:val="20"/>
        </w:rPr>
        <w:t xml:space="preserve">and PSC-15-0569-PAA-WS, issued December 16, 2015, in Docket No. 20140239-WS, </w:t>
      </w:r>
      <w:r w:rsidRPr="00A970DB">
        <w:rPr>
          <w:rFonts w:eastAsiaTheme="minorHAnsi"/>
          <w:i/>
          <w:iCs/>
          <w:sz w:val="20"/>
          <w:szCs w:val="20"/>
        </w:rPr>
        <w:t>In</w:t>
      </w:r>
    </w:p>
    <w:p w:rsidR="001C047F" w:rsidRPr="00A970DB" w:rsidRDefault="001C047F" w:rsidP="00D51180">
      <w:pPr>
        <w:pStyle w:val="FootnoteText"/>
      </w:pPr>
      <w:r w:rsidRPr="00A970DB">
        <w:rPr>
          <w:rFonts w:eastAsiaTheme="minorHAnsi"/>
          <w:i/>
          <w:iCs/>
        </w:rPr>
        <w:t>re: Application for staff-assisted rate case in Polk County by Orchid Springs Development Corporation.</w:t>
      </w:r>
    </w:p>
  </w:footnote>
  <w:footnote w:id="33">
    <w:p w:rsidR="001C047F" w:rsidRDefault="001C047F" w:rsidP="00D51180">
      <w:pPr>
        <w:pStyle w:val="FootnoteText"/>
      </w:pPr>
      <w:r w:rsidRPr="00A970DB">
        <w:rPr>
          <w:rStyle w:val="FootnoteReference"/>
        </w:rPr>
        <w:footnoteRef/>
      </w:r>
      <w:r w:rsidRPr="00A970DB">
        <w:t xml:space="preserve">Order Nos. PSC-14-0105-TRF-WS, issued February 20, 2014, in Docket No. 20130288-WS, </w:t>
      </w:r>
      <w:r w:rsidRPr="00A970DB">
        <w:rPr>
          <w:i/>
        </w:rPr>
        <w:t>In re: Request for approval of late payment charge in Brevard County by Aquarina Utilities, Inc.</w:t>
      </w:r>
      <w:r w:rsidRPr="00A970DB">
        <w:t>; PSC-15-0535-PAA-WU, issued November 19, 2015, in Docket No. 20140217-WU,</w:t>
      </w:r>
      <w:r w:rsidRPr="00A970DB">
        <w:rPr>
          <w:i/>
        </w:rPr>
        <w:t xml:space="preserve"> In re: Application for staff-assisted rate case in Sumter County by Cedar Acres, Inc.; and PSC-15-0569-PAA-WS, issued December 16, 2015, in Docket No. 20140239-WS, In re: Application for staff-assisted rate case in Polk County by Orchid Springs Development Corporation.</w:t>
      </w:r>
    </w:p>
  </w:footnote>
  <w:footnote w:id="34">
    <w:p w:rsidR="001C047F" w:rsidRDefault="001C047F" w:rsidP="00D51180">
      <w:pPr>
        <w:pStyle w:val="FootnoteText"/>
      </w:pPr>
      <w:r>
        <w:rPr>
          <w:rStyle w:val="FootnoteReference"/>
        </w:rPr>
        <w:footnoteRef/>
      </w:r>
      <w:r>
        <w:t xml:space="preserve">Order No. PSC-93-1027-FOF-WU, issued July 13, 1993, in Docket No. 921195-WU, </w:t>
      </w:r>
      <w:r w:rsidRPr="00F97EB1">
        <w:rPr>
          <w:i/>
        </w:rPr>
        <w:t>In re: Application for certificate to provide water service in Alachua County under grandfather rights by Kincaid Hills Water Company</w:t>
      </w:r>
      <w:r>
        <w:t>.</w:t>
      </w:r>
    </w:p>
  </w:footnote>
  <w:footnote w:id="35">
    <w:p w:rsidR="001C047F" w:rsidRPr="00A60A41" w:rsidRDefault="001C047F" w:rsidP="00D51180">
      <w:pPr>
        <w:pStyle w:val="FootnoteText"/>
      </w:pPr>
      <w:r>
        <w:rPr>
          <w:rStyle w:val="FootnoteReference"/>
        </w:rPr>
        <w:footnoteRef/>
      </w:r>
      <w:r>
        <w:t xml:space="preserve">Order Nos. PSC-2018-0553-PAA-WU, issued November 19, 2018, in Docket No. 20180021-WU, </w:t>
      </w:r>
      <w:r w:rsidRPr="00A60A41">
        <w:rPr>
          <w:i/>
        </w:rPr>
        <w:t>In re: Application for staff-assisted rate case in Highlands County by Country Walk Utilities, Inc.</w:t>
      </w:r>
      <w:r>
        <w:t xml:space="preserve">; PSC-2017-0334-PAA-WS, issued August 23, 2017, in Docket No. 20160222-WS, </w:t>
      </w:r>
      <w:r w:rsidRPr="00A60A41">
        <w:rPr>
          <w:i/>
        </w:rPr>
        <w:t>In re: Application for staff-assisted rate case in Highlands County by LP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s>
    </w:pPr>
    <w:r>
      <w:t xml:space="preserve">ORDER NO. </w:t>
    </w:r>
    <w:fldSimple w:instr=" REF OrderNo0086 ">
      <w:r w:rsidR="00236988">
        <w:t>PSC-2020-0086-PAA-WU</w:t>
      </w:r>
    </w:fldSimple>
    <w:r>
      <w:tab/>
    </w:r>
    <w:r>
      <w:tab/>
    </w:r>
  </w:p>
  <w:p w:rsidR="001C047F" w:rsidRDefault="001C047F">
    <w:pPr>
      <w:pStyle w:val="OrderHeader"/>
    </w:pPr>
    <w:bookmarkStart w:id="13" w:name="HeaderDocketNo"/>
    <w:bookmarkEnd w:id="13"/>
    <w:r>
      <w:t>DOCKET NO. 20190114-WU</w:t>
    </w:r>
  </w:p>
  <w:p w:rsidR="001C047F" w:rsidRDefault="001C0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31</w:t>
    </w:r>
    <w:r>
      <w:rPr>
        <w:rStyle w:val="PageNumber"/>
      </w:rPr>
      <w:fldChar w:fldCharType="end"/>
    </w:r>
  </w:p>
  <w:p w:rsidR="001C047F" w:rsidRDefault="001C047F">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235063">
    <w:pPr>
      <w:pStyle w:val="OrderHeader"/>
      <w:tabs>
        <w:tab w:val="left" w:pos="72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t>Schedule No. 1-A</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33</w:t>
    </w:r>
    <w:r>
      <w:rPr>
        <w:rStyle w:val="PageNumber"/>
      </w:rPr>
      <w:fldChar w:fldCharType="end"/>
    </w:r>
  </w:p>
  <w:p w:rsidR="001C047F" w:rsidRDefault="001C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235063">
    <w:pPr>
      <w:pStyle w:val="OrderHeader"/>
      <w:tabs>
        <w:tab w:val="left" w:pos="72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t>Schedule No. 1-B</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34</w:t>
    </w:r>
    <w:r>
      <w:rPr>
        <w:rStyle w:val="PageNumber"/>
      </w:rPr>
      <w:fldChar w:fldCharType="end"/>
    </w:r>
  </w:p>
  <w:p w:rsidR="001C047F" w:rsidRDefault="001C0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 w:val="left" w:pos="108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r>
    <w:r>
      <w:tab/>
    </w:r>
    <w:r>
      <w:tab/>
      <w:t>Schedule No. 2</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35</w:t>
    </w:r>
    <w:r>
      <w:rPr>
        <w:rStyle w:val="PageNumber"/>
      </w:rPr>
      <w:fldChar w:fldCharType="end"/>
    </w:r>
  </w:p>
  <w:p w:rsidR="001C047F" w:rsidRDefault="001C04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 w:val="left" w:pos="108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r>
    <w:r>
      <w:tab/>
    </w:r>
    <w:r>
      <w:tab/>
      <w:t>Schedule No. 3-A</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36</w:t>
    </w:r>
    <w:r>
      <w:rPr>
        <w:rStyle w:val="PageNumber"/>
      </w:rPr>
      <w:fldChar w:fldCharType="end"/>
    </w:r>
  </w:p>
  <w:p w:rsidR="001C047F" w:rsidRDefault="001C04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s>
    </w:pPr>
    <w:r>
      <w:t xml:space="preserve">ORDER NO. </w:t>
    </w:r>
    <w:r>
      <w:tab/>
    </w:r>
    <w:r>
      <w:tab/>
      <w:t>Schedule No. 3-B</w:t>
    </w:r>
  </w:p>
  <w:p w:rsidR="001C047F" w:rsidRDefault="001C047F">
    <w:pPr>
      <w:pStyle w:val="OrderHeader"/>
    </w:pPr>
    <w:r>
      <w:t>DOCKET NO. 20190114-WU</w:t>
    </w:r>
  </w:p>
  <w:p w:rsidR="001C047F" w:rsidRDefault="001C0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p w:rsidR="001C047F" w:rsidRDefault="001C047F">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 w:val="left" w:pos="108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r>
    <w:r>
      <w:tab/>
      <w:t>Schedule No. 3-B</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37</w:t>
    </w:r>
    <w:r>
      <w:rPr>
        <w:rStyle w:val="PageNumber"/>
      </w:rPr>
      <w:fldChar w:fldCharType="end"/>
    </w:r>
  </w:p>
  <w:p w:rsidR="001C047F" w:rsidRDefault="001C04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 w:val="left" w:pos="108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r>
    <w:r>
      <w:tab/>
      <w:t>Schedule No. 3-C</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38</w:t>
    </w:r>
    <w:r>
      <w:rPr>
        <w:rStyle w:val="PageNumber"/>
      </w:rPr>
      <w:fldChar w:fldCharType="end"/>
    </w:r>
  </w:p>
  <w:p w:rsidR="001C047F" w:rsidRDefault="001C04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7F" w:rsidRDefault="001C047F" w:rsidP="00A560AB">
    <w:pPr>
      <w:pStyle w:val="OrderHeader"/>
      <w:tabs>
        <w:tab w:val="left" w:pos="7200"/>
        <w:tab w:val="left" w:pos="10800"/>
      </w:tabs>
    </w:pPr>
    <w:r>
      <w:t xml:space="preserve">ORDER NO. </w:t>
    </w:r>
    <w:r w:rsidR="00236988">
      <w:fldChar w:fldCharType="begin"/>
    </w:r>
    <w:r w:rsidR="00236988">
      <w:instrText xml:space="preserve"> REF OrderNo0086 </w:instrText>
    </w:r>
    <w:r w:rsidR="00236988">
      <w:fldChar w:fldCharType="separate"/>
    </w:r>
    <w:r w:rsidR="00236988">
      <w:t>PSC-2020-0086-PAA-WU</w:t>
    </w:r>
    <w:r w:rsidR="00236988">
      <w:fldChar w:fldCharType="end"/>
    </w:r>
    <w:r>
      <w:tab/>
    </w:r>
    <w:r>
      <w:tab/>
    </w:r>
    <w:r>
      <w:tab/>
      <w:t>Schedule No. 4</w:t>
    </w:r>
  </w:p>
  <w:p w:rsidR="001C047F" w:rsidRDefault="001C047F" w:rsidP="00235063">
    <w:pPr>
      <w:pStyle w:val="OrderHeader"/>
    </w:pPr>
    <w:r>
      <w:t>DOCKET NO. 20190114-WU</w:t>
    </w:r>
  </w:p>
  <w:p w:rsidR="001C047F" w:rsidRDefault="001C047F" w:rsidP="0023506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988">
      <w:rPr>
        <w:rStyle w:val="PageNumber"/>
        <w:noProof/>
      </w:rPr>
      <w:t>39</w:t>
    </w:r>
    <w:r>
      <w:rPr>
        <w:rStyle w:val="PageNumber"/>
      </w:rPr>
      <w:fldChar w:fldCharType="end"/>
    </w:r>
  </w:p>
  <w:p w:rsidR="001C047F" w:rsidRDefault="001C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4-WU"/>
  </w:docVars>
  <w:rsids>
    <w:rsidRoot w:val="00466519"/>
    <w:rsid w:val="000022B8"/>
    <w:rsid w:val="00006D85"/>
    <w:rsid w:val="0002289A"/>
    <w:rsid w:val="0003433F"/>
    <w:rsid w:val="00035A8C"/>
    <w:rsid w:val="00045B7D"/>
    <w:rsid w:val="00053AB9"/>
    <w:rsid w:val="00056229"/>
    <w:rsid w:val="00057AF1"/>
    <w:rsid w:val="00063934"/>
    <w:rsid w:val="00065FC2"/>
    <w:rsid w:val="00067685"/>
    <w:rsid w:val="000730D7"/>
    <w:rsid w:val="00074FE8"/>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EA3"/>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B0571"/>
    <w:rsid w:val="001C047F"/>
    <w:rsid w:val="001C2366"/>
    <w:rsid w:val="001C2847"/>
    <w:rsid w:val="001C3F8C"/>
    <w:rsid w:val="001C6097"/>
    <w:rsid w:val="001C7126"/>
    <w:rsid w:val="001D008A"/>
    <w:rsid w:val="001E0152"/>
    <w:rsid w:val="001E0FF5"/>
    <w:rsid w:val="001F0BE4"/>
    <w:rsid w:val="001F4CA3"/>
    <w:rsid w:val="002002ED"/>
    <w:rsid w:val="002170E5"/>
    <w:rsid w:val="00220D57"/>
    <w:rsid w:val="0022721A"/>
    <w:rsid w:val="00230BB9"/>
    <w:rsid w:val="00235063"/>
    <w:rsid w:val="00236988"/>
    <w:rsid w:val="00241CEF"/>
    <w:rsid w:val="0025124E"/>
    <w:rsid w:val="00252B30"/>
    <w:rsid w:val="002610AF"/>
    <w:rsid w:val="002613E4"/>
    <w:rsid w:val="00265171"/>
    <w:rsid w:val="0026544B"/>
    <w:rsid w:val="00266D41"/>
    <w:rsid w:val="00276CDC"/>
    <w:rsid w:val="00277655"/>
    <w:rsid w:val="002824B7"/>
    <w:rsid w:val="00282AC4"/>
    <w:rsid w:val="002A11AC"/>
    <w:rsid w:val="002A6F30"/>
    <w:rsid w:val="002B3111"/>
    <w:rsid w:val="002C35E6"/>
    <w:rsid w:val="002C7908"/>
    <w:rsid w:val="002D391B"/>
    <w:rsid w:val="002D4B1F"/>
    <w:rsid w:val="002D7D15"/>
    <w:rsid w:val="002E1B2E"/>
    <w:rsid w:val="002E27EB"/>
    <w:rsid w:val="002F2A9D"/>
    <w:rsid w:val="002F31C2"/>
    <w:rsid w:val="00303FDE"/>
    <w:rsid w:val="00313C5B"/>
    <w:rsid w:val="003140E8"/>
    <w:rsid w:val="00317A80"/>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756E"/>
    <w:rsid w:val="003B7AC5"/>
    <w:rsid w:val="003D4CCA"/>
    <w:rsid w:val="003D52A6"/>
    <w:rsid w:val="003D6416"/>
    <w:rsid w:val="003E1D48"/>
    <w:rsid w:val="003F1D2B"/>
    <w:rsid w:val="003F2238"/>
    <w:rsid w:val="00411DF2"/>
    <w:rsid w:val="00411E8F"/>
    <w:rsid w:val="0042527B"/>
    <w:rsid w:val="00427EAC"/>
    <w:rsid w:val="00453376"/>
    <w:rsid w:val="0045537F"/>
    <w:rsid w:val="00457DC7"/>
    <w:rsid w:val="004640B3"/>
    <w:rsid w:val="00466519"/>
    <w:rsid w:val="00472BCC"/>
    <w:rsid w:val="004933EF"/>
    <w:rsid w:val="00496A42"/>
    <w:rsid w:val="004A25CD"/>
    <w:rsid w:val="004A26CC"/>
    <w:rsid w:val="004B2108"/>
    <w:rsid w:val="004B3A2B"/>
    <w:rsid w:val="004B70D3"/>
    <w:rsid w:val="004C312D"/>
    <w:rsid w:val="004D2D1B"/>
    <w:rsid w:val="004D5067"/>
    <w:rsid w:val="004D51E9"/>
    <w:rsid w:val="004D6838"/>
    <w:rsid w:val="004D72BC"/>
    <w:rsid w:val="004E469D"/>
    <w:rsid w:val="004E7F4F"/>
    <w:rsid w:val="004F0EB6"/>
    <w:rsid w:val="004F2DDE"/>
    <w:rsid w:val="004F6843"/>
    <w:rsid w:val="004F7826"/>
    <w:rsid w:val="0050097F"/>
    <w:rsid w:val="00514B1F"/>
    <w:rsid w:val="00516ED5"/>
    <w:rsid w:val="00525E93"/>
    <w:rsid w:val="0052671D"/>
    <w:rsid w:val="005300C0"/>
    <w:rsid w:val="00535508"/>
    <w:rsid w:val="005538F1"/>
    <w:rsid w:val="0055529D"/>
    <w:rsid w:val="0055595D"/>
    <w:rsid w:val="00556A10"/>
    <w:rsid w:val="00557F50"/>
    <w:rsid w:val="00571D3D"/>
    <w:rsid w:val="005801C3"/>
    <w:rsid w:val="0058264B"/>
    <w:rsid w:val="005868AA"/>
    <w:rsid w:val="00590463"/>
    <w:rsid w:val="00590845"/>
    <w:rsid w:val="005963C2"/>
    <w:rsid w:val="005A0D69"/>
    <w:rsid w:val="005A31F4"/>
    <w:rsid w:val="005A489E"/>
    <w:rsid w:val="005A73EA"/>
    <w:rsid w:val="005B45F7"/>
    <w:rsid w:val="005B63EA"/>
    <w:rsid w:val="005C1A88"/>
    <w:rsid w:val="005C5033"/>
    <w:rsid w:val="005D755A"/>
    <w:rsid w:val="005E751B"/>
    <w:rsid w:val="005F3354"/>
    <w:rsid w:val="005F7E6B"/>
    <w:rsid w:val="0060005E"/>
    <w:rsid w:val="0060095B"/>
    <w:rsid w:val="00601266"/>
    <w:rsid w:val="00610E73"/>
    <w:rsid w:val="00616DF2"/>
    <w:rsid w:val="0063168D"/>
    <w:rsid w:val="006531A4"/>
    <w:rsid w:val="00660774"/>
    <w:rsid w:val="0066389A"/>
    <w:rsid w:val="0066495C"/>
    <w:rsid w:val="00665CC7"/>
    <w:rsid w:val="00672612"/>
    <w:rsid w:val="00677F18"/>
    <w:rsid w:val="00687F8C"/>
    <w:rsid w:val="00693483"/>
    <w:rsid w:val="006A0BF3"/>
    <w:rsid w:val="006B0DA6"/>
    <w:rsid w:val="006C547E"/>
    <w:rsid w:val="006D2B51"/>
    <w:rsid w:val="006D5575"/>
    <w:rsid w:val="006E42BE"/>
    <w:rsid w:val="006E5D4D"/>
    <w:rsid w:val="006E6D16"/>
    <w:rsid w:val="006F1A0B"/>
    <w:rsid w:val="00704C5D"/>
    <w:rsid w:val="007072BC"/>
    <w:rsid w:val="00715275"/>
    <w:rsid w:val="00721B44"/>
    <w:rsid w:val="007232A2"/>
    <w:rsid w:val="00726366"/>
    <w:rsid w:val="007321B2"/>
    <w:rsid w:val="00733B6B"/>
    <w:rsid w:val="00740808"/>
    <w:rsid w:val="007467C4"/>
    <w:rsid w:val="00746C0F"/>
    <w:rsid w:val="0076170F"/>
    <w:rsid w:val="0076669C"/>
    <w:rsid w:val="00766E46"/>
    <w:rsid w:val="00777727"/>
    <w:rsid w:val="00782B79"/>
    <w:rsid w:val="007865E9"/>
    <w:rsid w:val="00792383"/>
    <w:rsid w:val="00794D5A"/>
    <w:rsid w:val="00794DD9"/>
    <w:rsid w:val="007975D2"/>
    <w:rsid w:val="007A060F"/>
    <w:rsid w:val="007B350E"/>
    <w:rsid w:val="007C0FBC"/>
    <w:rsid w:val="007C36E3"/>
    <w:rsid w:val="007C4AEA"/>
    <w:rsid w:val="007C7134"/>
    <w:rsid w:val="007D37EC"/>
    <w:rsid w:val="007D3D20"/>
    <w:rsid w:val="007D742E"/>
    <w:rsid w:val="007E3AFD"/>
    <w:rsid w:val="007F4E17"/>
    <w:rsid w:val="00801DAD"/>
    <w:rsid w:val="00803189"/>
    <w:rsid w:val="00803CB2"/>
    <w:rsid w:val="00804E7A"/>
    <w:rsid w:val="00805FBB"/>
    <w:rsid w:val="008169A4"/>
    <w:rsid w:val="008278FE"/>
    <w:rsid w:val="00832598"/>
    <w:rsid w:val="0083397E"/>
    <w:rsid w:val="0083534B"/>
    <w:rsid w:val="00842035"/>
    <w:rsid w:val="00842602"/>
    <w:rsid w:val="008449F0"/>
    <w:rsid w:val="00847B45"/>
    <w:rsid w:val="00851CEE"/>
    <w:rsid w:val="00863A66"/>
    <w:rsid w:val="008703D7"/>
    <w:rsid w:val="00874429"/>
    <w:rsid w:val="00875D22"/>
    <w:rsid w:val="00883D9A"/>
    <w:rsid w:val="008919EF"/>
    <w:rsid w:val="00892B20"/>
    <w:rsid w:val="008A12EC"/>
    <w:rsid w:val="008B0ED2"/>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0E41"/>
    <w:rsid w:val="009228C7"/>
    <w:rsid w:val="00922A7F"/>
    <w:rsid w:val="00923A5E"/>
    <w:rsid w:val="00924FE7"/>
    <w:rsid w:val="00926E27"/>
    <w:rsid w:val="00926FE7"/>
    <w:rsid w:val="00931C8C"/>
    <w:rsid w:val="0094504B"/>
    <w:rsid w:val="00964A38"/>
    <w:rsid w:val="00964B8D"/>
    <w:rsid w:val="00966A9D"/>
    <w:rsid w:val="0096742B"/>
    <w:rsid w:val="009718C5"/>
    <w:rsid w:val="009924CF"/>
    <w:rsid w:val="00994100"/>
    <w:rsid w:val="009A63C6"/>
    <w:rsid w:val="009A6B17"/>
    <w:rsid w:val="009D168B"/>
    <w:rsid w:val="009D4C29"/>
    <w:rsid w:val="009F6AD2"/>
    <w:rsid w:val="00A00D8D"/>
    <w:rsid w:val="00A01BB6"/>
    <w:rsid w:val="00A2287C"/>
    <w:rsid w:val="00A4303C"/>
    <w:rsid w:val="00A470FD"/>
    <w:rsid w:val="00A560AB"/>
    <w:rsid w:val="00A625A2"/>
    <w:rsid w:val="00A629C7"/>
    <w:rsid w:val="00A62DAB"/>
    <w:rsid w:val="00A6757A"/>
    <w:rsid w:val="00A726A6"/>
    <w:rsid w:val="00A74842"/>
    <w:rsid w:val="00A97535"/>
    <w:rsid w:val="00AA2BAA"/>
    <w:rsid w:val="00AA73F1"/>
    <w:rsid w:val="00AB0E1A"/>
    <w:rsid w:val="00AB1A30"/>
    <w:rsid w:val="00AB1F5A"/>
    <w:rsid w:val="00AB3C36"/>
    <w:rsid w:val="00AC3F43"/>
    <w:rsid w:val="00AD10EB"/>
    <w:rsid w:val="00AD1ED3"/>
    <w:rsid w:val="00AF6D16"/>
    <w:rsid w:val="00B02001"/>
    <w:rsid w:val="00B03C50"/>
    <w:rsid w:val="00B0777D"/>
    <w:rsid w:val="00B11576"/>
    <w:rsid w:val="00B1195F"/>
    <w:rsid w:val="00B14D10"/>
    <w:rsid w:val="00B17CBD"/>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700"/>
    <w:rsid w:val="00B97900"/>
    <w:rsid w:val="00BA1229"/>
    <w:rsid w:val="00BA44A8"/>
    <w:rsid w:val="00BA461E"/>
    <w:rsid w:val="00BA49C5"/>
    <w:rsid w:val="00BC1D7E"/>
    <w:rsid w:val="00BC786E"/>
    <w:rsid w:val="00BD5C92"/>
    <w:rsid w:val="00BE50E6"/>
    <w:rsid w:val="00BE539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8B0"/>
    <w:rsid w:val="00C7063D"/>
    <w:rsid w:val="00C814F4"/>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081C"/>
    <w:rsid w:val="00D23FEA"/>
    <w:rsid w:val="00D269CA"/>
    <w:rsid w:val="00D30B48"/>
    <w:rsid w:val="00D3168A"/>
    <w:rsid w:val="00D33F4C"/>
    <w:rsid w:val="00D46FAA"/>
    <w:rsid w:val="00D47A40"/>
    <w:rsid w:val="00D47C33"/>
    <w:rsid w:val="00D51180"/>
    <w:rsid w:val="00D51D33"/>
    <w:rsid w:val="00D57BB2"/>
    <w:rsid w:val="00D57E57"/>
    <w:rsid w:val="00D70752"/>
    <w:rsid w:val="00D737E1"/>
    <w:rsid w:val="00D80E2D"/>
    <w:rsid w:val="00D84D5E"/>
    <w:rsid w:val="00D84D84"/>
    <w:rsid w:val="00D85506"/>
    <w:rsid w:val="00D8560E"/>
    <w:rsid w:val="00D8758F"/>
    <w:rsid w:val="00D9248D"/>
    <w:rsid w:val="00DA4EDD"/>
    <w:rsid w:val="00DA6B78"/>
    <w:rsid w:val="00DC1D94"/>
    <w:rsid w:val="00DC42CF"/>
    <w:rsid w:val="00DC5829"/>
    <w:rsid w:val="00DD1F71"/>
    <w:rsid w:val="00DE057F"/>
    <w:rsid w:val="00DE2082"/>
    <w:rsid w:val="00DE2289"/>
    <w:rsid w:val="00DF09A7"/>
    <w:rsid w:val="00DF409D"/>
    <w:rsid w:val="00E001D6"/>
    <w:rsid w:val="00E0352D"/>
    <w:rsid w:val="00E03A76"/>
    <w:rsid w:val="00E04410"/>
    <w:rsid w:val="00E07484"/>
    <w:rsid w:val="00E11351"/>
    <w:rsid w:val="00E208F0"/>
    <w:rsid w:val="00E27CB7"/>
    <w:rsid w:val="00E4225C"/>
    <w:rsid w:val="00E44879"/>
    <w:rsid w:val="00E55788"/>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815CB"/>
    <w:rsid w:val="00FA092B"/>
    <w:rsid w:val="00FA4F6C"/>
    <w:rsid w:val="00FA6EFD"/>
    <w:rsid w:val="00FB74EA"/>
    <w:rsid w:val="00FD2C9E"/>
    <w:rsid w:val="00FD4786"/>
    <w:rsid w:val="00FD616C"/>
    <w:rsid w:val="00FE13E9"/>
    <w:rsid w:val="00FE53F2"/>
    <w:rsid w:val="00FF0A00"/>
    <w:rsid w:val="00FF1C57"/>
    <w:rsid w:val="00FF258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BC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66519"/>
    <w:pPr>
      <w:jc w:val="center"/>
    </w:pPr>
    <w:rPr>
      <w:rFonts w:ascii="Arial" w:hAnsi="Arial"/>
      <w:b/>
    </w:rPr>
  </w:style>
  <w:style w:type="character" w:customStyle="1" w:styleId="FootnoteTextChar">
    <w:name w:val="Footnote Text Char"/>
    <w:basedOn w:val="DefaultParagraphFont"/>
    <w:link w:val="FootnoteText"/>
    <w:uiPriority w:val="99"/>
    <w:rsid w:val="00466519"/>
  </w:style>
  <w:style w:type="character" w:styleId="Strong">
    <w:name w:val="Strong"/>
    <w:basedOn w:val="DefaultParagraphFont"/>
    <w:uiPriority w:val="22"/>
    <w:qFormat/>
    <w:rsid w:val="004D51E9"/>
    <w:rPr>
      <w:b/>
      <w:bCs/>
    </w:rPr>
  </w:style>
  <w:style w:type="paragraph" w:styleId="BalloonText">
    <w:name w:val="Balloon Text"/>
    <w:basedOn w:val="Normal"/>
    <w:link w:val="BalloonTextChar"/>
    <w:semiHidden/>
    <w:unhideWhenUsed/>
    <w:rsid w:val="00A560AB"/>
    <w:rPr>
      <w:rFonts w:ascii="Tahoma" w:hAnsi="Tahoma" w:cs="Tahoma"/>
      <w:sz w:val="16"/>
      <w:szCs w:val="16"/>
    </w:rPr>
  </w:style>
  <w:style w:type="character" w:customStyle="1" w:styleId="BalloonTextChar">
    <w:name w:val="Balloon Text Char"/>
    <w:basedOn w:val="DefaultParagraphFont"/>
    <w:link w:val="BalloonText"/>
    <w:semiHidden/>
    <w:rsid w:val="00A560AB"/>
    <w:rPr>
      <w:rFonts w:ascii="Tahoma" w:hAnsi="Tahoma" w:cs="Tahoma"/>
      <w:sz w:val="16"/>
      <w:szCs w:val="16"/>
    </w:rPr>
  </w:style>
  <w:style w:type="numbering" w:styleId="1ai">
    <w:name w:val="Outline List 1"/>
    <w:basedOn w:val="NoList"/>
    <w:rsid w:val="009A63C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39</Pages>
  <Words>12679</Words>
  <Characters>72276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2020-03-24T16:37:00Z</dcterms:created>
  <dcterms:modified xsi:type="dcterms:W3CDTF">2020-03-24T16:44:00Z</dcterms:modified>
</cp:coreProperties>
</file>