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14A5FE43" wp14:editId="3F180EE8">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85D1C">
            <w:pPr>
              <w:pStyle w:val="MemoHeading"/>
            </w:pPr>
            <w:bookmarkStart w:id="1" w:name="FilingDate"/>
            <w:r>
              <w:t>May 28</w:t>
            </w:r>
            <w:r w:rsidR="00077DB1">
              <w:t>,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77DB1" w:rsidRDefault="00077DB1">
            <w:pPr>
              <w:pStyle w:val="MemoHeading"/>
            </w:pPr>
            <w:bookmarkStart w:id="2" w:name="From"/>
            <w:r>
              <w:t>Division of Engineering (Phillips, Ellis)</w:t>
            </w:r>
            <w:r w:rsidR="00C519A8">
              <w:t xml:space="preserve"> </w:t>
            </w:r>
          </w:p>
          <w:p w:rsidR="007C0528" w:rsidRDefault="00077DB1">
            <w:pPr>
              <w:pStyle w:val="MemoHeading"/>
            </w:pPr>
            <w:r>
              <w:t>Office of the General Counsel (Passidomo,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77DB1">
            <w:pPr>
              <w:pStyle w:val="MemoHeadingRe"/>
            </w:pPr>
            <w:bookmarkStart w:id="3" w:name="Re"/>
            <w:r>
              <w:t>Docket No. 20200057-EG – Petition for approval of demand-side management plan, by JEA.</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85D1C">
            <w:pPr>
              <w:pStyle w:val="MemoHeading"/>
            </w:pPr>
            <w:bookmarkStart w:id="4" w:name="AgendaDate"/>
            <w:r>
              <w:t>06/09</w:t>
            </w:r>
            <w:r w:rsidR="00077DB1">
              <w:t>/20</w:t>
            </w:r>
            <w:bookmarkEnd w:id="4"/>
            <w:r w:rsidR="007C0528">
              <w:t xml:space="preserve"> – </w:t>
            </w:r>
            <w:r w:rsidR="006C216F" w:rsidRPr="006C216F">
              <w:t>Regular Agenda – Proposed Agency Action – Interested Persons May Participate</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77DB1">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77DB1">
            <w:pPr>
              <w:pStyle w:val="MemoHeading"/>
            </w:pPr>
            <w:bookmarkStart w:id="6" w:name="PrehearingOfficer"/>
            <w:r>
              <w:t>Brown</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077DB1">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77DB1">
            <w:pPr>
              <w:pStyle w:val="MemoHeading"/>
            </w:pPr>
            <w:bookmarkStart w:id="9" w:name="SpecialInstructions"/>
            <w:r>
              <w:t>None</w:t>
            </w:r>
            <w:bookmarkEnd w:id="9"/>
          </w:p>
        </w:tc>
      </w:tr>
    </w:tbl>
    <w:p w:rsidR="007C0528" w:rsidRPr="003A7A0C"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896CC3" w:rsidRDefault="00A703AF" w:rsidP="00896CC3">
      <w:pPr>
        <w:autoSpaceDE w:val="0"/>
        <w:autoSpaceDN w:val="0"/>
        <w:adjustRightInd w:val="0"/>
        <w:jc w:val="both"/>
      </w:pPr>
      <w:r>
        <w:t>Enacted in 1980, Sections 366.80 through 366.83, and 403.519, Florida Statutes (F.S.), known collectively as the Florida Energy Efficiency and Conservation Act (FEECA)</w:t>
      </w:r>
      <w:r w:rsidR="00DF2649">
        <w:t>,</w:t>
      </w:r>
      <w:r>
        <w:t xml:space="preserve"> requires the </w:t>
      </w:r>
      <w:r w:rsidR="00421BEC" w:rsidRPr="006C34B9">
        <w:t>Florida Public Service Commission (</w:t>
      </w:r>
      <w:r w:rsidRPr="006C34B9">
        <w:t>Commission</w:t>
      </w:r>
      <w:r w:rsidR="00421BEC" w:rsidRPr="006C34B9">
        <w:t xml:space="preserve"> or PSC)</w:t>
      </w:r>
      <w:r>
        <w:t xml:space="preserve"> to adopt conservation goals to increase the efficiency of energy consumption.</w:t>
      </w:r>
      <w:r w:rsidR="00DA15B1" w:rsidRPr="00DA15B1">
        <w:rPr>
          <w:color w:val="2C2C2C"/>
        </w:rPr>
        <w:t xml:space="preserve"> </w:t>
      </w:r>
      <w:r w:rsidR="00A529CD">
        <w:rPr>
          <w:color w:val="2C2C2C"/>
        </w:rPr>
        <w:t>A</w:t>
      </w:r>
      <w:r w:rsidR="00DA15B1">
        <w:rPr>
          <w:color w:val="2C2C2C"/>
        </w:rPr>
        <w:t>ddition</w:t>
      </w:r>
      <w:r w:rsidR="00A529CD">
        <w:rPr>
          <w:color w:val="2C2C2C"/>
        </w:rPr>
        <w:t>ally</w:t>
      </w:r>
      <w:r w:rsidR="00DA15B1">
        <w:rPr>
          <w:color w:val="2C2C2C"/>
        </w:rPr>
        <w:t xml:space="preserve">, FEECA emphasizes reducing the growth rates of weather-sensitive peak </w:t>
      </w:r>
      <w:r w:rsidR="00AF060D">
        <w:rPr>
          <w:color w:val="2C2C2C"/>
        </w:rPr>
        <w:t>demand, reducing</w:t>
      </w:r>
      <w:r w:rsidR="00DA15B1">
        <w:rPr>
          <w:color w:val="2C2C2C"/>
        </w:rPr>
        <w:t xml:space="preserve"> and controlling the growth rates of electricity consumption, reducing the consumption of expensive resources such as petroleum fuels, and encouraging demand-side renewable energy resources.</w:t>
      </w:r>
      <w:r>
        <w:t xml:space="preserve"> The Commission most recently established conservation goals by Order No. </w:t>
      </w:r>
      <w:r w:rsidR="00026014">
        <w:t>PSC-</w:t>
      </w:r>
      <w:r>
        <w:t xml:space="preserve">2019-0509-FOF-EG, issued November 26, </w:t>
      </w:r>
      <w:r w:rsidR="000F2122">
        <w:lastRenderedPageBreak/>
        <w:t>2019 (2019 Goalsetting Order).</w:t>
      </w:r>
      <w:r w:rsidR="000F2122">
        <w:rPr>
          <w:vertAlign w:val="superscript"/>
        </w:rPr>
        <w:footnoteReference w:id="1"/>
      </w:r>
      <w:r w:rsidR="000F2122">
        <w:rPr>
          <w:sz w:val="16"/>
          <w:szCs w:val="16"/>
        </w:rPr>
        <w:t xml:space="preserve"> </w:t>
      </w:r>
      <w:r w:rsidR="000F2122">
        <w:t>The Commission found that it was in the public interest to</w:t>
      </w:r>
      <w:r w:rsidR="00FE6FB0">
        <w:t xml:space="preserve"> </w:t>
      </w:r>
      <w:r>
        <w:t xml:space="preserve">continue with the goals established in the prior FEECA goalsetting proceeding for the period 2015 through 2024, which were established by Order No. </w:t>
      </w:r>
      <w:proofErr w:type="gramStart"/>
      <w:r>
        <w:t>PSC-14-0696-FOF-EU (2014 Goalsetting Order).</w:t>
      </w:r>
      <w:proofErr w:type="gramEnd"/>
      <w:r w:rsidR="00C34808">
        <w:rPr>
          <w:rStyle w:val="FootnoteReference"/>
        </w:rPr>
        <w:footnoteReference w:id="2"/>
      </w:r>
    </w:p>
    <w:p w:rsidR="003421C6" w:rsidRDefault="003421C6" w:rsidP="00896CC3">
      <w:pPr>
        <w:autoSpaceDE w:val="0"/>
        <w:autoSpaceDN w:val="0"/>
        <w:adjustRightInd w:val="0"/>
        <w:jc w:val="both"/>
      </w:pPr>
    </w:p>
    <w:p w:rsidR="00A703AF" w:rsidRDefault="00A703AF" w:rsidP="00A703AF">
      <w:pPr>
        <w:spacing w:after="240" w:line="261" w:lineRule="auto"/>
        <w:jc w:val="both"/>
      </w:pPr>
      <w:r>
        <w:t>Pursuant to Section 366.82(7),</w:t>
      </w:r>
      <w:r w:rsidR="00DF2649">
        <w:t xml:space="preserve"> F.S.,</w:t>
      </w:r>
      <w:r>
        <w:t xml:space="preserve"> after goals are established</w:t>
      </w:r>
      <w:r w:rsidR="000B6730">
        <w:t>,</w:t>
      </w:r>
      <w:r>
        <w:t xml:space="preserve"> the Commission must require each utility to develop Demand-Side Management (DSM) Plans to meet the conservation goals. Rule 25-17.0021(4), Florida Administrative Code (F.A.C.), requires that DSM Plans be filed within 90 days of the order establishing goals. Therefore, new DSM Plans were required</w:t>
      </w:r>
      <w:r w:rsidR="00DF2649">
        <w:t xml:space="preserve"> to be filed</w:t>
      </w:r>
      <w:r>
        <w:t xml:space="preserve"> by February 24, 2020.</w:t>
      </w:r>
    </w:p>
    <w:p w:rsidR="00A703AF" w:rsidRDefault="00A703AF" w:rsidP="00A703AF">
      <w:pPr>
        <w:spacing w:after="240" w:line="261" w:lineRule="auto"/>
        <w:jc w:val="both"/>
      </w:pPr>
      <w:r>
        <w:t>On February 24, 2020, JEA filed a petition requesting approval of its DSM Plan. As part of this filing, JEA provided a cost-effectiveness analysis of the proposed programs pursuant to Rule 25-17.008, F.A.C.</w:t>
      </w:r>
      <w:r w:rsidR="0050140B">
        <w:t xml:space="preserve"> These include the Rate Impact Measure (RIM) Test, the Total Resource Cost </w:t>
      </w:r>
      <w:r w:rsidR="000B6730">
        <w:t>(TRC) Test, and the Participant</w:t>
      </w:r>
      <w:r w:rsidR="0050140B">
        <w:t>s Test.</w:t>
      </w:r>
    </w:p>
    <w:p w:rsidR="004955A6" w:rsidRDefault="004955A6" w:rsidP="00A703AF">
      <w:pPr>
        <w:spacing w:after="240" w:line="261" w:lineRule="auto"/>
        <w:jc w:val="both"/>
      </w:pPr>
      <w:r>
        <w:t xml:space="preserve">On April 30, 2020, JEA filed an amended petition </w:t>
      </w:r>
      <w:r w:rsidR="009F4523">
        <w:t>for approval of</w:t>
      </w:r>
      <w:r>
        <w:t xml:space="preserve"> its DSM Plan. The primary change was the removal of the </w:t>
      </w:r>
      <w:r w:rsidR="00E42621">
        <w:t>n</w:t>
      </w:r>
      <w:r>
        <w:t xml:space="preserve">et </w:t>
      </w:r>
      <w:r w:rsidR="00E42621">
        <w:t>m</w:t>
      </w:r>
      <w:r>
        <w:t>etering programs for each customer class and the addition of a commercial lightning program. Th</w:t>
      </w:r>
      <w:r w:rsidR="00084B0F">
        <w:t>is</w:t>
      </w:r>
      <w:r>
        <w:t xml:space="preserve"> recommendation addresses th</w:t>
      </w:r>
      <w:r w:rsidR="009F4523">
        <w:t>e</w:t>
      </w:r>
      <w:r>
        <w:t xml:space="preserve"> amended </w:t>
      </w:r>
      <w:r w:rsidR="009F4523">
        <w:t>petition</w:t>
      </w:r>
      <w:r>
        <w:t>, rather than the original February 24, 2020</w:t>
      </w:r>
      <w:r w:rsidR="003421C6">
        <w:t>,</w:t>
      </w:r>
      <w:r>
        <w:t xml:space="preserve"> </w:t>
      </w:r>
      <w:r w:rsidR="009F4523">
        <w:t>petition</w:t>
      </w:r>
      <w:r>
        <w:t>.</w:t>
      </w:r>
    </w:p>
    <w:p w:rsidR="0068481F" w:rsidRDefault="00A703AF" w:rsidP="00A703AF">
      <w:pPr>
        <w:pStyle w:val="BodyText"/>
      </w:pPr>
      <w:r>
        <w:t>The Commission has jurisdiction over this matter pursuant to Sections 366.80 through 366.83 and 403.519, F.S.</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077DB1" w:rsidRDefault="00077DB1">
      <w:pPr>
        <w:pStyle w:val="IssueHeading"/>
        <w:rPr>
          <w:vanish/>
          <w:specVanish/>
        </w:rPr>
      </w:pPr>
      <w:r w:rsidRPr="004C3641">
        <w:t xml:space="preserve">Issue </w:t>
      </w:r>
      <w:r w:rsidR="007E3ADB">
        <w:fldChar w:fldCharType="begin"/>
      </w:r>
      <w:r w:rsidR="007E3ADB">
        <w:instrText xml:space="preserve"> SEQ Issue \* MERGEFORMAT </w:instrText>
      </w:r>
      <w:r w:rsidR="007E3ADB">
        <w:fldChar w:fldCharType="separate"/>
      </w:r>
      <w:r>
        <w:rPr>
          <w:noProof/>
        </w:rPr>
        <w:t>1</w:t>
      </w:r>
      <w:r w:rsidR="007E3AD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A703AF" w:rsidRDefault="00A703AF" w:rsidP="00A703AF">
      <w:pPr>
        <w:spacing w:after="240"/>
        <w:jc w:val="both"/>
      </w:pPr>
      <w:r>
        <w:t xml:space="preserve">Is JEA’s DSM Plan projected to meet the annual numeric conservation goals established by the Commission in </w:t>
      </w:r>
      <w:r w:rsidR="00AB4326">
        <w:t xml:space="preserve">the </w:t>
      </w:r>
      <w:r w:rsidR="0050140B">
        <w:t>2019 Goalsetting Order</w:t>
      </w:r>
      <w:r>
        <w:t>?</w:t>
      </w:r>
    </w:p>
    <w:p w:rsidR="00A703AF" w:rsidRDefault="00A703AF" w:rsidP="00A703AF">
      <w:pPr>
        <w:jc w:val="both"/>
        <w:rPr>
          <w:highlight w:val="white"/>
        </w:rPr>
      </w:pPr>
      <w:r w:rsidRPr="00EF43E9">
        <w:rPr>
          <w:rFonts w:ascii="Arial" w:hAnsi="Arial" w:cs="Arial"/>
          <w:b/>
          <w:i/>
        </w:rPr>
        <w:t>Recommendation:</w:t>
      </w:r>
      <w:r>
        <w:rPr>
          <w:b/>
          <w:i/>
        </w:rPr>
        <w:t xml:space="preserve"> </w:t>
      </w:r>
      <w:r>
        <w:t xml:space="preserve">Yes. The DSM Plan proposed by JEA is projected to meet or exceed the annual numeric conservation goals approved by the Commission in </w:t>
      </w:r>
      <w:r w:rsidR="0050140B">
        <w:t>the 2019 Goalsetting Order</w:t>
      </w:r>
      <w:r w:rsidR="00DA15B1">
        <w:t>.</w:t>
      </w:r>
      <w:r w:rsidR="00AB4326">
        <w:t xml:space="preserve"> JEA’s 2020 DSM P</w:t>
      </w:r>
      <w:r>
        <w:t>lan is a continuation</w:t>
      </w:r>
      <w:r w:rsidR="0050140B">
        <w:t>, with some modifications,</w:t>
      </w:r>
      <w:r>
        <w:t xml:space="preserve"> of </w:t>
      </w:r>
      <w:r w:rsidR="0050140B">
        <w:t>its</w:t>
      </w:r>
      <w:r w:rsidR="00AB4326">
        <w:t xml:space="preserve"> DSM P</w:t>
      </w:r>
      <w:r>
        <w:t xml:space="preserve">lan approved </w:t>
      </w:r>
      <w:r w:rsidR="0050140B">
        <w:t xml:space="preserve">by the Commission </w:t>
      </w:r>
      <w:r>
        <w:t>in 2015</w:t>
      </w:r>
      <w:r w:rsidR="00B84FDB">
        <w:t xml:space="preserve"> or voluntary programs taken outside of its DSM Plan</w:t>
      </w:r>
      <w:r w:rsidR="0050140B">
        <w:t>.</w:t>
      </w:r>
      <w:r>
        <w:t xml:space="preserve"> JEA’s DSM Plan is not projected to be cost-effective based upon the RIM </w:t>
      </w:r>
      <w:r w:rsidR="0050140B">
        <w:t>T</w:t>
      </w:r>
      <w:r>
        <w:t>est. However, th</w:t>
      </w:r>
      <w:r>
        <w:rPr>
          <w:highlight w:val="white"/>
        </w:rPr>
        <w:t xml:space="preserve">e Commission should allow JEA to continue programs considering JEA’s status as a municipal utility, where the local governing body is given the latitude </w:t>
      </w:r>
      <w:r w:rsidR="00AB4326">
        <w:rPr>
          <w:highlight w:val="white"/>
        </w:rPr>
        <w:t xml:space="preserve">to make decisions regarding </w:t>
      </w:r>
      <w:r>
        <w:rPr>
          <w:highlight w:val="white"/>
        </w:rPr>
        <w:t>local community investment in energy efficiency. JEA’s local governing body will make its own determination as to whether expenditures are reasonable and prudent and will decide if it is necessary to modif</w:t>
      </w:r>
      <w:r w:rsidR="009F4523">
        <w:rPr>
          <w:highlight w:val="white"/>
        </w:rPr>
        <w:t>y and or remove programs.</w:t>
      </w:r>
    </w:p>
    <w:p w:rsidR="00A703AF" w:rsidRDefault="00A703AF" w:rsidP="00A703AF">
      <w:pPr>
        <w:jc w:val="both"/>
        <w:rPr>
          <w:highlight w:val="yellow"/>
        </w:rPr>
      </w:pPr>
    </w:p>
    <w:p w:rsidR="00A703AF" w:rsidRDefault="0050140B" w:rsidP="00A703AF">
      <w:pPr>
        <w:jc w:val="both"/>
      </w:pPr>
      <w:r>
        <w:t>S</w:t>
      </w:r>
      <w:r w:rsidR="0040476E">
        <w:t xml:space="preserve">taff </w:t>
      </w:r>
      <w:r>
        <w:t xml:space="preserve">also </w:t>
      </w:r>
      <w:r w:rsidR="0040476E">
        <w:t>recommends that JEA file its administrative program standards for all programs within 30 days of the Consummating Order being issued in this docke</w:t>
      </w:r>
      <w:r w:rsidR="0040476E" w:rsidRPr="0040476E">
        <w:t xml:space="preserve">t. Staff further recommends </w:t>
      </w:r>
      <w:r w:rsidR="0040476E">
        <w:t>that the Commission grant staff administrative authority to review and approve these standards. (Phillips)</w:t>
      </w:r>
    </w:p>
    <w:p w:rsidR="00A703AF" w:rsidRDefault="00A703AF" w:rsidP="00A703AF">
      <w:pPr>
        <w:jc w:val="both"/>
      </w:pPr>
    </w:p>
    <w:p w:rsidR="00A703AF" w:rsidRDefault="00A703AF" w:rsidP="00A703AF">
      <w:pPr>
        <w:spacing w:after="240"/>
        <w:jc w:val="both"/>
      </w:pPr>
      <w:r w:rsidRPr="00EF43E9">
        <w:rPr>
          <w:rFonts w:ascii="Arial" w:hAnsi="Arial" w:cs="Arial"/>
          <w:b/>
          <w:i/>
        </w:rPr>
        <w:t>Staff Analysis:</w:t>
      </w:r>
      <w:r>
        <w:t xml:space="preserve"> The criteria used to review the appropriateness of the conservation programs were as follows: </w:t>
      </w:r>
      <w:r>
        <w:rPr>
          <w:highlight w:val="white"/>
        </w:rPr>
        <w:t>(1) whether the program advances the policy objectives of FEECA and its implementing rules; (2) whether the program is directly monitorable and yields measurable results; and (3) whether the program is cost-effe</w:t>
      </w:r>
      <w:r>
        <w:t>ctive.</w:t>
      </w:r>
      <w:r>
        <w:rPr>
          <w:vertAlign w:val="superscript"/>
        </w:rPr>
        <w:footnoteReference w:id="3"/>
      </w:r>
      <w:r>
        <w:t xml:space="preserve"> Staff has reviewed JEA’s DSM Plan, including its demand and energy savings, cost-effectiveness, and rate impact. JEA’s DSM Plan meets or exceeds the goals set in </w:t>
      </w:r>
      <w:r w:rsidR="00677666">
        <w:t>the 2019 Goalsetting Order</w:t>
      </w:r>
      <w:r>
        <w:t>.</w:t>
      </w:r>
    </w:p>
    <w:p w:rsidR="00A703AF" w:rsidRPr="00EF43E9" w:rsidRDefault="00A703AF" w:rsidP="00A703AF">
      <w:pPr>
        <w:jc w:val="both"/>
        <w:rPr>
          <w:rFonts w:ascii="Arial" w:hAnsi="Arial" w:cs="Arial"/>
          <w:b/>
        </w:rPr>
      </w:pPr>
      <w:r w:rsidRPr="00EF43E9">
        <w:rPr>
          <w:rFonts w:ascii="Arial" w:hAnsi="Arial" w:cs="Arial"/>
          <w:b/>
        </w:rPr>
        <w:t>Description of DSM Plan</w:t>
      </w:r>
    </w:p>
    <w:p w:rsidR="009F4523" w:rsidRDefault="00A703AF" w:rsidP="00896CC3">
      <w:pPr>
        <w:autoSpaceDE w:val="0"/>
        <w:autoSpaceDN w:val="0"/>
        <w:adjustRightInd w:val="0"/>
        <w:jc w:val="both"/>
      </w:pPr>
      <w:r>
        <w:rPr>
          <w:highlight w:val="white"/>
        </w:rPr>
        <w:t xml:space="preserve">JEA’s DSM Plan consists of </w:t>
      </w:r>
      <w:r w:rsidR="009F4523">
        <w:rPr>
          <w:highlight w:val="white"/>
        </w:rPr>
        <w:t>five</w:t>
      </w:r>
      <w:r>
        <w:rPr>
          <w:highlight w:val="white"/>
        </w:rPr>
        <w:t xml:space="preserve"> programs in total, </w:t>
      </w:r>
      <w:r w:rsidR="009F4523">
        <w:rPr>
          <w:highlight w:val="white"/>
        </w:rPr>
        <w:t>three</w:t>
      </w:r>
      <w:r>
        <w:rPr>
          <w:highlight w:val="white"/>
        </w:rPr>
        <w:t xml:space="preserve"> </w:t>
      </w:r>
      <w:r w:rsidR="009F4523">
        <w:rPr>
          <w:highlight w:val="white"/>
        </w:rPr>
        <w:t xml:space="preserve">residential and two commercial. Each of the programs </w:t>
      </w:r>
      <w:proofErr w:type="gramStart"/>
      <w:r w:rsidR="009F4523">
        <w:rPr>
          <w:highlight w:val="white"/>
        </w:rPr>
        <w:t>were</w:t>
      </w:r>
      <w:proofErr w:type="gramEnd"/>
      <w:r w:rsidR="009F4523">
        <w:rPr>
          <w:highlight w:val="white"/>
        </w:rPr>
        <w:t xml:space="preserve"> previously offered through JEA’s 2015 DSM Plan</w:t>
      </w:r>
      <w:r w:rsidR="004D09CA">
        <w:rPr>
          <w:highlight w:val="white"/>
        </w:rPr>
        <w:t>, except one, Commercial Prescriptive Lighting. The program was previously offered</w:t>
      </w:r>
      <w:r w:rsidR="009F4523">
        <w:rPr>
          <w:highlight w:val="white"/>
        </w:rPr>
        <w:t xml:space="preserve"> voluntarily</w:t>
      </w:r>
      <w:r w:rsidR="004D09CA">
        <w:rPr>
          <w:highlight w:val="white"/>
        </w:rPr>
        <w:t xml:space="preserve"> as a</w:t>
      </w:r>
      <w:r w:rsidR="009F4523">
        <w:rPr>
          <w:highlight w:val="white"/>
        </w:rPr>
        <w:t xml:space="preserve"> conservation program </w:t>
      </w:r>
      <w:r w:rsidR="004D09CA">
        <w:rPr>
          <w:highlight w:val="white"/>
        </w:rPr>
        <w:t>by JEA and did not count towards achieving annual conservation goals</w:t>
      </w:r>
      <w:r w:rsidR="009F4523">
        <w:rPr>
          <w:highlight w:val="white"/>
        </w:rPr>
        <w:t xml:space="preserve">. Several of these programs have been modified to update values for participation and savings. </w:t>
      </w:r>
      <w:r w:rsidR="00AF060D">
        <w:rPr>
          <w:highlight w:val="white"/>
        </w:rPr>
        <w:t xml:space="preserve">Two </w:t>
      </w:r>
      <w:r w:rsidR="00154FD3">
        <w:rPr>
          <w:highlight w:val="white"/>
        </w:rPr>
        <w:t xml:space="preserve">noteworthy </w:t>
      </w:r>
      <w:r w:rsidR="00AF060D">
        <w:rPr>
          <w:highlight w:val="white"/>
        </w:rPr>
        <w:t>modification</w:t>
      </w:r>
      <w:r w:rsidR="00154FD3">
        <w:rPr>
          <w:highlight w:val="white"/>
        </w:rPr>
        <w:t>s</w:t>
      </w:r>
      <w:r w:rsidR="00AF060D">
        <w:rPr>
          <w:highlight w:val="white"/>
        </w:rPr>
        <w:t xml:space="preserve"> are: (1) </w:t>
      </w:r>
      <w:r w:rsidR="00084B0F">
        <w:rPr>
          <w:highlight w:val="white"/>
        </w:rPr>
        <w:t>t</w:t>
      </w:r>
      <w:r w:rsidR="00677666">
        <w:rPr>
          <w:highlight w:val="white"/>
        </w:rPr>
        <w:t xml:space="preserve">he rebate for the residential solar water heating program </w:t>
      </w:r>
      <w:r w:rsidR="00026014">
        <w:rPr>
          <w:highlight w:val="white"/>
        </w:rPr>
        <w:t xml:space="preserve">is </w:t>
      </w:r>
      <w:r w:rsidR="00AE03C4">
        <w:rPr>
          <w:highlight w:val="white"/>
        </w:rPr>
        <w:t>decreasing</w:t>
      </w:r>
      <w:r w:rsidR="00677666">
        <w:rPr>
          <w:highlight w:val="white"/>
        </w:rPr>
        <w:t xml:space="preserve"> from $</w:t>
      </w:r>
      <w:r w:rsidR="00AE03C4">
        <w:rPr>
          <w:highlight w:val="white"/>
        </w:rPr>
        <w:t>800</w:t>
      </w:r>
      <w:r w:rsidR="00677666">
        <w:rPr>
          <w:highlight w:val="white"/>
        </w:rPr>
        <w:t xml:space="preserve"> to $</w:t>
      </w:r>
      <w:r w:rsidR="00AE03C4">
        <w:rPr>
          <w:highlight w:val="white"/>
        </w:rPr>
        <w:t>400</w:t>
      </w:r>
      <w:r w:rsidR="00026014">
        <w:rPr>
          <w:highlight w:val="white"/>
        </w:rPr>
        <w:t xml:space="preserve">, </w:t>
      </w:r>
      <w:r w:rsidR="00AA4764">
        <w:rPr>
          <w:highlight w:val="white"/>
        </w:rPr>
        <w:t xml:space="preserve">which </w:t>
      </w:r>
      <w:r w:rsidR="00026014">
        <w:rPr>
          <w:highlight w:val="white"/>
        </w:rPr>
        <w:t>is the only program rebate being modified</w:t>
      </w:r>
      <w:r w:rsidR="00C1338B">
        <w:rPr>
          <w:highlight w:val="white"/>
        </w:rPr>
        <w:t>;</w:t>
      </w:r>
      <w:r w:rsidR="00AF060D">
        <w:rPr>
          <w:highlight w:val="white"/>
        </w:rPr>
        <w:t xml:space="preserve"> and</w:t>
      </w:r>
      <w:r w:rsidR="00C1338B">
        <w:rPr>
          <w:highlight w:val="white"/>
        </w:rPr>
        <w:t>,</w:t>
      </w:r>
      <w:r w:rsidR="00AF060D">
        <w:rPr>
          <w:highlight w:val="white"/>
        </w:rPr>
        <w:t xml:space="preserve"> (2)</w:t>
      </w:r>
      <w:r w:rsidR="00C1338B">
        <w:rPr>
          <w:highlight w:val="white"/>
        </w:rPr>
        <w:t xml:space="preserve"> </w:t>
      </w:r>
      <w:r w:rsidR="00084B0F">
        <w:rPr>
          <w:highlight w:val="white"/>
        </w:rPr>
        <w:t>t</w:t>
      </w:r>
      <w:r w:rsidR="00AF060D" w:rsidRPr="00C1338B">
        <w:rPr>
          <w:highlight w:val="white"/>
        </w:rPr>
        <w:t xml:space="preserve">he Neighborhood Energy Efficiency program is being expanded to include </w:t>
      </w:r>
      <w:r w:rsidR="00AF060D" w:rsidRPr="00C1338B">
        <w:t>an additional service whereby JEA provides blown-in attic insulation to bring</w:t>
      </w:r>
      <w:r w:rsidR="00C1338B">
        <w:t xml:space="preserve"> </w:t>
      </w:r>
      <w:r w:rsidR="004C3616">
        <w:t>the home’</w:t>
      </w:r>
      <w:r w:rsidR="00AF060D" w:rsidRPr="00C1338B">
        <w:t>s insulation value up to an R38-value at no cost to the owner</w:t>
      </w:r>
      <w:r w:rsidR="004C3616">
        <w:t>,</w:t>
      </w:r>
      <w:r w:rsidR="00AF060D" w:rsidRPr="00C1338B">
        <w:t xml:space="preserve"> which averages about 150 upgrades </w:t>
      </w:r>
      <w:r w:rsidR="009F4523">
        <w:t>per year.</w:t>
      </w:r>
    </w:p>
    <w:p w:rsidR="009F4523" w:rsidRDefault="009F4523" w:rsidP="00896CC3">
      <w:pPr>
        <w:autoSpaceDE w:val="0"/>
        <w:autoSpaceDN w:val="0"/>
        <w:adjustRightInd w:val="0"/>
        <w:jc w:val="both"/>
      </w:pPr>
    </w:p>
    <w:p w:rsidR="00AE03C4" w:rsidRPr="009F4523" w:rsidRDefault="00AE03C4" w:rsidP="00896CC3">
      <w:pPr>
        <w:autoSpaceDE w:val="0"/>
        <w:autoSpaceDN w:val="0"/>
        <w:adjustRightInd w:val="0"/>
        <w:jc w:val="both"/>
        <w:rPr>
          <w:highlight w:val="white"/>
        </w:rPr>
      </w:pPr>
      <w:r w:rsidRPr="00C1338B">
        <w:t>As required by</w:t>
      </w:r>
      <w:r w:rsidR="00677666" w:rsidRPr="00C1338B">
        <w:t xml:space="preserve"> Rule 25</w:t>
      </w:r>
      <w:r w:rsidR="00677666">
        <w:t>-17.003, F.A.C., JEA’s DSM Plan continues to offer energy audits to</w:t>
      </w:r>
      <w:r>
        <w:t xml:space="preserve"> residential customers, and JEA also continues to voluntarily offer audits</w:t>
      </w:r>
      <w:r w:rsidR="00677666">
        <w:t xml:space="preserve"> </w:t>
      </w:r>
      <w:r>
        <w:t>to</w:t>
      </w:r>
      <w:r w:rsidR="00677666">
        <w:t xml:space="preserve"> commercial/industrial</w:t>
      </w:r>
      <w:r>
        <w:t xml:space="preserve"> </w:t>
      </w:r>
      <w:r>
        <w:lastRenderedPageBreak/>
        <w:t>customers</w:t>
      </w:r>
      <w:r w:rsidR="00677666">
        <w:t>.</w:t>
      </w:r>
      <w:r>
        <w:t xml:space="preserve"> </w:t>
      </w:r>
      <w:r w:rsidRPr="00AE03C4">
        <w:t>Table 1-1 provides a complete list of the programs and a brief description of each can be found in Attachment A</w:t>
      </w:r>
      <w:r w:rsidR="00A86FDD">
        <w:t>.</w:t>
      </w:r>
    </w:p>
    <w:p w:rsidR="00EF43E9" w:rsidRDefault="00EF43E9"/>
    <w:p w:rsidR="00A703AF" w:rsidRDefault="00A703AF" w:rsidP="00A703AF">
      <w:pPr>
        <w:keepNext/>
        <w:spacing w:before="480"/>
        <w:jc w:val="center"/>
        <w:rPr>
          <w:b/>
        </w:rPr>
      </w:pPr>
      <w:r>
        <w:rPr>
          <w:b/>
        </w:rPr>
        <w:t>Table 1-1</w:t>
      </w:r>
    </w:p>
    <w:p w:rsidR="00A703AF" w:rsidRDefault="00A703AF" w:rsidP="00A703AF">
      <w:pPr>
        <w:keepNext/>
        <w:jc w:val="center"/>
        <w:rPr>
          <w:b/>
        </w:rPr>
      </w:pPr>
      <w:r>
        <w:rPr>
          <w:b/>
        </w:rPr>
        <w:t>JEA DSM Plan Program Listing</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6"/>
        <w:gridCol w:w="1230"/>
        <w:gridCol w:w="1230"/>
        <w:gridCol w:w="1230"/>
      </w:tblGrid>
      <w:tr w:rsidR="00A703AF" w:rsidTr="00A950EF">
        <w:tc>
          <w:tcPr>
            <w:tcW w:w="5886" w:type="dxa"/>
            <w:vMerge w:val="restart"/>
            <w:vAlign w:val="center"/>
          </w:tcPr>
          <w:p w:rsidR="00A703AF" w:rsidRDefault="00A703AF" w:rsidP="00A950EF">
            <w:pPr>
              <w:keepNext/>
              <w:jc w:val="center"/>
              <w:rPr>
                <w:b/>
              </w:rPr>
            </w:pPr>
            <w:r>
              <w:rPr>
                <w:b/>
              </w:rPr>
              <w:t>Program Name</w:t>
            </w:r>
          </w:p>
        </w:tc>
        <w:tc>
          <w:tcPr>
            <w:tcW w:w="3690" w:type="dxa"/>
            <w:gridSpan w:val="3"/>
            <w:vAlign w:val="center"/>
          </w:tcPr>
          <w:p w:rsidR="00A703AF" w:rsidRDefault="00A703AF" w:rsidP="00A950EF">
            <w:pPr>
              <w:keepNext/>
              <w:jc w:val="center"/>
              <w:rPr>
                <w:b/>
              </w:rPr>
            </w:pPr>
            <w:r>
              <w:rPr>
                <w:b/>
              </w:rPr>
              <w:t>Program Status</w:t>
            </w:r>
          </w:p>
        </w:tc>
      </w:tr>
      <w:tr w:rsidR="00A703AF" w:rsidTr="00A950EF">
        <w:tc>
          <w:tcPr>
            <w:tcW w:w="5886" w:type="dxa"/>
            <w:vMerge/>
            <w:vAlign w:val="center"/>
          </w:tcPr>
          <w:p w:rsidR="00A703AF" w:rsidRDefault="00A703AF" w:rsidP="00A950EF">
            <w:pPr>
              <w:widowControl w:val="0"/>
              <w:rPr>
                <w:b/>
              </w:rPr>
            </w:pPr>
          </w:p>
        </w:tc>
        <w:tc>
          <w:tcPr>
            <w:tcW w:w="1230" w:type="dxa"/>
            <w:vAlign w:val="center"/>
          </w:tcPr>
          <w:p w:rsidR="00A703AF" w:rsidRDefault="00A703AF" w:rsidP="00A950EF">
            <w:pPr>
              <w:keepNext/>
              <w:jc w:val="center"/>
              <w:rPr>
                <w:b/>
              </w:rPr>
            </w:pPr>
            <w:r>
              <w:rPr>
                <w:b/>
              </w:rPr>
              <w:t>Existing</w:t>
            </w:r>
          </w:p>
        </w:tc>
        <w:tc>
          <w:tcPr>
            <w:tcW w:w="1230" w:type="dxa"/>
            <w:vAlign w:val="center"/>
          </w:tcPr>
          <w:p w:rsidR="00A703AF" w:rsidRDefault="00A703AF" w:rsidP="00A950EF">
            <w:pPr>
              <w:keepNext/>
              <w:jc w:val="center"/>
              <w:rPr>
                <w:b/>
              </w:rPr>
            </w:pPr>
            <w:r>
              <w:rPr>
                <w:b/>
              </w:rPr>
              <w:t>Modified</w:t>
            </w:r>
          </w:p>
        </w:tc>
        <w:tc>
          <w:tcPr>
            <w:tcW w:w="1230" w:type="dxa"/>
            <w:vAlign w:val="center"/>
          </w:tcPr>
          <w:p w:rsidR="00A703AF" w:rsidRDefault="00A703AF" w:rsidP="00A950EF">
            <w:pPr>
              <w:keepNext/>
              <w:jc w:val="center"/>
              <w:rPr>
                <w:b/>
              </w:rPr>
            </w:pPr>
            <w:r>
              <w:rPr>
                <w:b/>
              </w:rPr>
              <w:t>New</w:t>
            </w:r>
          </w:p>
        </w:tc>
      </w:tr>
      <w:tr w:rsidR="00A703AF" w:rsidTr="00A950EF">
        <w:tc>
          <w:tcPr>
            <w:tcW w:w="9576" w:type="dxa"/>
            <w:gridSpan w:val="4"/>
          </w:tcPr>
          <w:p w:rsidR="00A703AF" w:rsidRDefault="00A703AF" w:rsidP="00A950EF">
            <w:pPr>
              <w:keepNext/>
              <w:jc w:val="center"/>
              <w:rPr>
                <w:b/>
              </w:rPr>
            </w:pPr>
            <w:r>
              <w:rPr>
                <w:b/>
              </w:rPr>
              <w:t>Residential Programs</w:t>
            </w:r>
          </w:p>
        </w:tc>
      </w:tr>
      <w:tr w:rsidR="00A703AF" w:rsidTr="00A950EF">
        <w:tc>
          <w:tcPr>
            <w:tcW w:w="5886" w:type="dxa"/>
          </w:tcPr>
          <w:p w:rsidR="00A703AF" w:rsidRDefault="00A703AF" w:rsidP="00A950EF">
            <w:pPr>
              <w:keepNext/>
            </w:pPr>
            <w:r>
              <w:t>Residential Energy Audit</w:t>
            </w:r>
            <w:r w:rsidR="009F4523">
              <w:t>s</w:t>
            </w:r>
          </w:p>
        </w:tc>
        <w:tc>
          <w:tcPr>
            <w:tcW w:w="1230" w:type="dxa"/>
          </w:tcPr>
          <w:p w:rsidR="00A703AF" w:rsidRDefault="00A703AF" w:rsidP="00A950EF">
            <w:pPr>
              <w:keepNext/>
              <w:jc w:val="center"/>
            </w:pPr>
            <w:r>
              <w:t>X</w:t>
            </w:r>
          </w:p>
        </w:tc>
        <w:tc>
          <w:tcPr>
            <w:tcW w:w="1230" w:type="dxa"/>
          </w:tcPr>
          <w:p w:rsidR="00A703AF" w:rsidRDefault="00A703AF" w:rsidP="00A950EF">
            <w:pPr>
              <w:keepNext/>
              <w:jc w:val="center"/>
            </w:pPr>
          </w:p>
        </w:tc>
        <w:tc>
          <w:tcPr>
            <w:tcW w:w="1230" w:type="dxa"/>
          </w:tcPr>
          <w:p w:rsidR="00A703AF" w:rsidRDefault="00A703AF" w:rsidP="00A950EF">
            <w:pPr>
              <w:keepNext/>
              <w:jc w:val="center"/>
            </w:pPr>
          </w:p>
        </w:tc>
      </w:tr>
      <w:tr w:rsidR="00A703AF" w:rsidTr="00A950EF">
        <w:tc>
          <w:tcPr>
            <w:tcW w:w="5886" w:type="dxa"/>
            <w:vAlign w:val="bottom"/>
          </w:tcPr>
          <w:p w:rsidR="00A703AF" w:rsidRDefault="00A703AF" w:rsidP="00A950EF">
            <w:pPr>
              <w:keepNext/>
            </w:pPr>
            <w:r>
              <w:t>Residential Solar Water Heating</w:t>
            </w:r>
          </w:p>
        </w:tc>
        <w:tc>
          <w:tcPr>
            <w:tcW w:w="1230" w:type="dxa"/>
          </w:tcPr>
          <w:p w:rsidR="00A703AF" w:rsidRDefault="00A703AF" w:rsidP="00A950EF">
            <w:pPr>
              <w:keepNext/>
              <w:jc w:val="center"/>
            </w:pPr>
            <w:r>
              <w:t>X</w:t>
            </w:r>
          </w:p>
        </w:tc>
        <w:tc>
          <w:tcPr>
            <w:tcW w:w="1230" w:type="dxa"/>
          </w:tcPr>
          <w:p w:rsidR="00A703AF" w:rsidRDefault="00A703AF" w:rsidP="00A950EF">
            <w:pPr>
              <w:keepNext/>
              <w:jc w:val="center"/>
            </w:pPr>
            <w:r>
              <w:t>X</w:t>
            </w:r>
          </w:p>
        </w:tc>
        <w:tc>
          <w:tcPr>
            <w:tcW w:w="1230" w:type="dxa"/>
          </w:tcPr>
          <w:p w:rsidR="00A703AF" w:rsidRDefault="00A703AF" w:rsidP="00A950EF">
            <w:pPr>
              <w:keepNext/>
              <w:jc w:val="center"/>
            </w:pPr>
          </w:p>
        </w:tc>
      </w:tr>
      <w:tr w:rsidR="00A703AF" w:rsidTr="00A950EF">
        <w:tc>
          <w:tcPr>
            <w:tcW w:w="5886" w:type="dxa"/>
            <w:vAlign w:val="bottom"/>
          </w:tcPr>
          <w:p w:rsidR="00A703AF" w:rsidRDefault="009F4523" w:rsidP="009F4523">
            <w:pPr>
              <w:keepNext/>
            </w:pPr>
            <w:r>
              <w:t>Neighborhood Efficiency</w:t>
            </w:r>
          </w:p>
        </w:tc>
        <w:tc>
          <w:tcPr>
            <w:tcW w:w="1230" w:type="dxa"/>
          </w:tcPr>
          <w:p w:rsidR="00A703AF" w:rsidRDefault="00A703AF" w:rsidP="00A950EF">
            <w:pPr>
              <w:keepNext/>
              <w:jc w:val="center"/>
            </w:pPr>
            <w:r>
              <w:t>X</w:t>
            </w:r>
          </w:p>
        </w:tc>
        <w:tc>
          <w:tcPr>
            <w:tcW w:w="1230" w:type="dxa"/>
          </w:tcPr>
          <w:p w:rsidR="00A703AF" w:rsidRDefault="00A703AF" w:rsidP="00A950EF">
            <w:pPr>
              <w:keepNext/>
              <w:jc w:val="center"/>
            </w:pPr>
            <w:r>
              <w:t>X</w:t>
            </w:r>
          </w:p>
        </w:tc>
        <w:tc>
          <w:tcPr>
            <w:tcW w:w="1230" w:type="dxa"/>
          </w:tcPr>
          <w:p w:rsidR="00A703AF" w:rsidRDefault="00A703AF" w:rsidP="00A950EF">
            <w:pPr>
              <w:keepNext/>
              <w:jc w:val="center"/>
            </w:pPr>
          </w:p>
        </w:tc>
      </w:tr>
      <w:tr w:rsidR="00A703AF" w:rsidTr="00A950EF">
        <w:tc>
          <w:tcPr>
            <w:tcW w:w="9576" w:type="dxa"/>
            <w:gridSpan w:val="4"/>
          </w:tcPr>
          <w:p w:rsidR="00A703AF" w:rsidRDefault="00A703AF" w:rsidP="00A950EF">
            <w:pPr>
              <w:keepNext/>
              <w:jc w:val="center"/>
              <w:rPr>
                <w:b/>
              </w:rPr>
            </w:pPr>
            <w:r>
              <w:rPr>
                <w:b/>
              </w:rPr>
              <w:t>Commercial/Industrial Programs</w:t>
            </w:r>
          </w:p>
        </w:tc>
      </w:tr>
      <w:tr w:rsidR="00A703AF" w:rsidTr="00A950EF">
        <w:tc>
          <w:tcPr>
            <w:tcW w:w="5886" w:type="dxa"/>
          </w:tcPr>
          <w:p w:rsidR="00A703AF" w:rsidRDefault="009F4523" w:rsidP="00A950EF">
            <w:pPr>
              <w:keepNext/>
            </w:pPr>
            <w:r>
              <w:t>Commercial</w:t>
            </w:r>
            <w:r w:rsidR="00A703AF">
              <w:t xml:space="preserve"> Energy Audits</w:t>
            </w:r>
          </w:p>
        </w:tc>
        <w:tc>
          <w:tcPr>
            <w:tcW w:w="1230" w:type="dxa"/>
          </w:tcPr>
          <w:p w:rsidR="00A703AF" w:rsidRDefault="00A703AF" w:rsidP="00A950EF">
            <w:pPr>
              <w:keepNext/>
              <w:jc w:val="center"/>
            </w:pPr>
            <w:r>
              <w:t>X</w:t>
            </w:r>
          </w:p>
        </w:tc>
        <w:tc>
          <w:tcPr>
            <w:tcW w:w="1230" w:type="dxa"/>
          </w:tcPr>
          <w:p w:rsidR="00A703AF" w:rsidRDefault="00A703AF" w:rsidP="00A950EF">
            <w:pPr>
              <w:keepNext/>
              <w:jc w:val="center"/>
            </w:pPr>
          </w:p>
        </w:tc>
        <w:tc>
          <w:tcPr>
            <w:tcW w:w="1230" w:type="dxa"/>
          </w:tcPr>
          <w:p w:rsidR="00A703AF" w:rsidRDefault="00A703AF" w:rsidP="00A950EF">
            <w:pPr>
              <w:keepNext/>
              <w:jc w:val="center"/>
            </w:pPr>
          </w:p>
        </w:tc>
      </w:tr>
      <w:tr w:rsidR="009F4523" w:rsidTr="00A950EF">
        <w:tc>
          <w:tcPr>
            <w:tcW w:w="5886" w:type="dxa"/>
          </w:tcPr>
          <w:p w:rsidR="009F4523" w:rsidRDefault="009F4523" w:rsidP="00A950EF">
            <w:pPr>
              <w:keepNext/>
            </w:pPr>
            <w:r>
              <w:t>Commercial Prescriptive Lightning</w:t>
            </w:r>
          </w:p>
        </w:tc>
        <w:tc>
          <w:tcPr>
            <w:tcW w:w="1230" w:type="dxa"/>
          </w:tcPr>
          <w:p w:rsidR="009F4523" w:rsidRDefault="009F4523" w:rsidP="00A950EF">
            <w:pPr>
              <w:keepNext/>
              <w:jc w:val="center"/>
            </w:pPr>
            <w:r>
              <w:t>X</w:t>
            </w:r>
          </w:p>
        </w:tc>
        <w:tc>
          <w:tcPr>
            <w:tcW w:w="1230" w:type="dxa"/>
          </w:tcPr>
          <w:p w:rsidR="009F4523" w:rsidRDefault="009F4523" w:rsidP="00A950EF">
            <w:pPr>
              <w:keepNext/>
              <w:jc w:val="center"/>
            </w:pPr>
          </w:p>
        </w:tc>
        <w:tc>
          <w:tcPr>
            <w:tcW w:w="1230" w:type="dxa"/>
          </w:tcPr>
          <w:p w:rsidR="009F4523" w:rsidRDefault="009F4523" w:rsidP="00A950EF">
            <w:pPr>
              <w:keepNext/>
              <w:jc w:val="center"/>
            </w:pPr>
          </w:p>
        </w:tc>
      </w:tr>
    </w:tbl>
    <w:p w:rsidR="00A703AF" w:rsidRPr="00A703AF" w:rsidRDefault="00A703AF" w:rsidP="00A703AF">
      <w:pPr>
        <w:spacing w:after="240"/>
        <w:ind w:left="-90"/>
        <w:jc w:val="both"/>
        <w:rPr>
          <w:sz w:val="20"/>
          <w:szCs w:val="20"/>
        </w:rPr>
      </w:pPr>
      <w:r w:rsidRPr="00A703AF">
        <w:rPr>
          <w:sz w:val="20"/>
          <w:szCs w:val="20"/>
        </w:rPr>
        <w:t>Source: Document No. 0</w:t>
      </w:r>
      <w:r w:rsidR="00950A25">
        <w:rPr>
          <w:sz w:val="20"/>
          <w:szCs w:val="20"/>
        </w:rPr>
        <w:t>2304</w:t>
      </w:r>
      <w:r w:rsidRPr="00A703AF">
        <w:rPr>
          <w:sz w:val="20"/>
          <w:szCs w:val="20"/>
        </w:rPr>
        <w:t>-2020</w:t>
      </w:r>
    </w:p>
    <w:p w:rsidR="00AE03C4" w:rsidRPr="00A86FDD" w:rsidRDefault="00AE03C4" w:rsidP="00A86FDD">
      <w:pPr>
        <w:ind w:left="720"/>
        <w:jc w:val="both"/>
        <w:rPr>
          <w:rFonts w:ascii="Arial" w:hAnsi="Arial" w:cs="Arial"/>
          <w:b/>
          <w:i/>
        </w:rPr>
      </w:pPr>
      <w:r w:rsidRPr="00A86FDD">
        <w:rPr>
          <w:rFonts w:ascii="Arial" w:hAnsi="Arial" w:cs="Arial"/>
          <w:b/>
          <w:i/>
        </w:rPr>
        <w:t>Program Savings</w:t>
      </w:r>
    </w:p>
    <w:p w:rsidR="00AE03C4" w:rsidRDefault="00AE03C4" w:rsidP="00A86FDD">
      <w:pPr>
        <w:spacing w:after="240"/>
        <w:jc w:val="both"/>
      </w:pPr>
      <w:r>
        <w:t>Seasonal peak demand and annual energy savings for the programs were reviewed. JEA estimates and measures savings by a program using a combination of methodologies</w:t>
      </w:r>
      <w:r w:rsidR="00DB464B">
        <w:t>,</w:t>
      </w:r>
      <w:r>
        <w:t xml:space="preserve"> including site-specific engineering estimates as the most cost-effective method of evaluating program impacts. As required by Rule 25-17.003(10), F.A.C., JEA will conduct inspections of at least 10 percent of program installations to verify that installations were performed and meet quality standards.</w:t>
      </w:r>
    </w:p>
    <w:p w:rsidR="00AE03C4" w:rsidRDefault="00AE03C4" w:rsidP="00A86FDD">
      <w:pPr>
        <w:spacing w:after="240"/>
        <w:jc w:val="both"/>
      </w:pPr>
      <w:r>
        <w:t>As part of the 2014 Goalsetting Order, JEA’s goals were established by stipulation that included JEA’s estimated savings from continuing its existing programs, including behavioral savings for audits. While Staff does not recommend behavioral savings be counted towards goals for the other FEECA Utilities, consistent with the stipulation agreed to by the 2014 Goalsetting Order, JEA’s audit behavioral savings should count towards its FEECA conservation accomplishments.</w:t>
      </w:r>
    </w:p>
    <w:p w:rsidR="00A703AF" w:rsidRPr="00A703AF" w:rsidRDefault="00A703AF" w:rsidP="00A703AF">
      <w:pPr>
        <w:ind w:left="720"/>
        <w:jc w:val="both"/>
        <w:rPr>
          <w:rFonts w:ascii="Arial" w:hAnsi="Arial" w:cs="Arial"/>
          <w:b/>
          <w:i/>
        </w:rPr>
      </w:pPr>
      <w:r w:rsidRPr="00A703AF">
        <w:rPr>
          <w:rFonts w:ascii="Arial" w:hAnsi="Arial" w:cs="Arial"/>
          <w:b/>
          <w:i/>
        </w:rPr>
        <w:t>Comparison of DSM Plan to Goals</w:t>
      </w:r>
    </w:p>
    <w:p w:rsidR="00AE03C4" w:rsidRDefault="00AE03C4" w:rsidP="00A703AF">
      <w:pPr>
        <w:spacing w:after="240"/>
        <w:jc w:val="both"/>
        <w:rPr>
          <w:highlight w:val="white"/>
        </w:rPr>
      </w:pPr>
      <w:r>
        <w:rPr>
          <w:highlight w:val="white"/>
        </w:rPr>
        <w:t>Based on staff’s review, JEA’s DSM Plan will meet or exceed the Commission’s established annual goals</w:t>
      </w:r>
      <w:r w:rsidR="00A86FDD">
        <w:rPr>
          <w:highlight w:val="white"/>
        </w:rPr>
        <w:t>.</w:t>
      </w:r>
      <w:r>
        <w:rPr>
          <w:highlight w:val="white"/>
        </w:rPr>
        <w:t xml:space="preserve"> </w:t>
      </w:r>
      <w:r w:rsidR="00A86FDD">
        <w:rPr>
          <w:highlight w:val="white"/>
        </w:rPr>
        <w:t>The seasonal demand and energy savings associated with JEA’s DSM Plan and the Commission’s established goals are summarized in Table 1-2 and Table 1-3 for residential and commercial/industrial sectors, respectively.</w:t>
      </w:r>
    </w:p>
    <w:p w:rsidR="00EF43E9" w:rsidRDefault="00EF43E9">
      <w:pPr>
        <w:rPr>
          <w:b/>
        </w:rPr>
      </w:pPr>
      <w:r>
        <w:rPr>
          <w:b/>
        </w:rPr>
        <w:br w:type="page"/>
      </w:r>
    </w:p>
    <w:p w:rsidR="00A703AF" w:rsidRDefault="00A703AF" w:rsidP="00A703AF">
      <w:pPr>
        <w:keepNext/>
        <w:jc w:val="center"/>
        <w:rPr>
          <w:b/>
        </w:rPr>
      </w:pPr>
      <w:r>
        <w:rPr>
          <w:b/>
        </w:rPr>
        <w:lastRenderedPageBreak/>
        <w:t>Table 1-2</w:t>
      </w:r>
    </w:p>
    <w:p w:rsidR="00A703AF" w:rsidRDefault="00A86FDD" w:rsidP="00A703AF">
      <w:pPr>
        <w:keepNext/>
        <w:jc w:val="center"/>
        <w:rPr>
          <w:b/>
        </w:rPr>
      </w:pPr>
      <w:r>
        <w:rPr>
          <w:b/>
        </w:rPr>
        <w:t>Commission’s</w:t>
      </w:r>
      <w:r w:rsidR="00A703AF">
        <w:rPr>
          <w:b/>
        </w:rPr>
        <w:t xml:space="preserve"> Residential Goals vs.</w:t>
      </w:r>
      <w:r>
        <w:rPr>
          <w:b/>
        </w:rPr>
        <w:t xml:space="preserve"> JEA’s</w:t>
      </w:r>
      <w:r w:rsidR="00A703AF">
        <w:rPr>
          <w:b/>
        </w:rPr>
        <w:t xml:space="preserve"> DSM Plan</w:t>
      </w:r>
    </w:p>
    <w:tbl>
      <w:tblPr>
        <w:tblW w:w="63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
        <w:gridCol w:w="830"/>
        <w:gridCol w:w="867"/>
        <w:gridCol w:w="919"/>
        <w:gridCol w:w="917"/>
        <w:gridCol w:w="920"/>
        <w:gridCol w:w="918"/>
      </w:tblGrid>
      <w:tr w:rsidR="00A703AF" w:rsidTr="00A950EF">
        <w:trPr>
          <w:jc w:val="center"/>
        </w:trPr>
        <w:tc>
          <w:tcPr>
            <w:tcW w:w="939" w:type="dxa"/>
            <w:vMerge w:val="restart"/>
            <w:vAlign w:val="center"/>
          </w:tcPr>
          <w:p w:rsidR="00A703AF" w:rsidRDefault="00A703AF" w:rsidP="00A950EF">
            <w:pPr>
              <w:keepNext/>
              <w:jc w:val="center"/>
              <w:rPr>
                <w:b/>
              </w:rPr>
            </w:pPr>
            <w:r>
              <w:rPr>
                <w:b/>
              </w:rPr>
              <w:t>Year</w:t>
            </w:r>
          </w:p>
        </w:tc>
        <w:tc>
          <w:tcPr>
            <w:tcW w:w="1697" w:type="dxa"/>
            <w:gridSpan w:val="2"/>
            <w:vAlign w:val="center"/>
          </w:tcPr>
          <w:p w:rsidR="00A703AF" w:rsidRDefault="00A703AF" w:rsidP="00A950EF">
            <w:pPr>
              <w:keepNext/>
              <w:jc w:val="center"/>
              <w:rPr>
                <w:b/>
              </w:rPr>
            </w:pPr>
            <w:r>
              <w:rPr>
                <w:b/>
              </w:rPr>
              <w:t>Summer (MW)</w:t>
            </w:r>
          </w:p>
        </w:tc>
        <w:tc>
          <w:tcPr>
            <w:tcW w:w="1836" w:type="dxa"/>
            <w:gridSpan w:val="2"/>
            <w:vAlign w:val="center"/>
          </w:tcPr>
          <w:p w:rsidR="00A703AF" w:rsidRDefault="00A703AF" w:rsidP="00A950EF">
            <w:pPr>
              <w:keepNext/>
              <w:jc w:val="center"/>
              <w:rPr>
                <w:b/>
              </w:rPr>
            </w:pPr>
            <w:r>
              <w:rPr>
                <w:b/>
              </w:rPr>
              <w:t>Winter</w:t>
            </w:r>
          </w:p>
          <w:p w:rsidR="00A703AF" w:rsidRDefault="00A703AF" w:rsidP="00A950EF">
            <w:pPr>
              <w:keepNext/>
              <w:jc w:val="center"/>
              <w:rPr>
                <w:b/>
              </w:rPr>
            </w:pPr>
            <w:r>
              <w:rPr>
                <w:b/>
              </w:rPr>
              <w:t>(MW)</w:t>
            </w:r>
          </w:p>
        </w:tc>
        <w:tc>
          <w:tcPr>
            <w:tcW w:w="1838" w:type="dxa"/>
            <w:gridSpan w:val="2"/>
            <w:vAlign w:val="center"/>
          </w:tcPr>
          <w:p w:rsidR="00A703AF" w:rsidRDefault="00A703AF" w:rsidP="00A950EF">
            <w:pPr>
              <w:keepNext/>
              <w:jc w:val="center"/>
              <w:rPr>
                <w:b/>
              </w:rPr>
            </w:pPr>
            <w:r>
              <w:rPr>
                <w:b/>
              </w:rPr>
              <w:t>Annual Energy</w:t>
            </w:r>
          </w:p>
          <w:p w:rsidR="00A703AF" w:rsidRDefault="00A703AF" w:rsidP="00A950EF">
            <w:pPr>
              <w:keepNext/>
              <w:jc w:val="center"/>
              <w:rPr>
                <w:b/>
              </w:rPr>
            </w:pPr>
            <w:r>
              <w:rPr>
                <w:b/>
              </w:rPr>
              <w:t>(GWh)</w:t>
            </w:r>
          </w:p>
        </w:tc>
      </w:tr>
      <w:tr w:rsidR="00A703AF" w:rsidTr="00A950EF">
        <w:trPr>
          <w:jc w:val="center"/>
        </w:trPr>
        <w:tc>
          <w:tcPr>
            <w:tcW w:w="939" w:type="dxa"/>
            <w:vMerge/>
            <w:vAlign w:val="center"/>
          </w:tcPr>
          <w:p w:rsidR="00A703AF" w:rsidRDefault="00A703AF" w:rsidP="00A950EF">
            <w:pPr>
              <w:widowControl w:val="0"/>
              <w:rPr>
                <w:b/>
              </w:rPr>
            </w:pPr>
          </w:p>
        </w:tc>
        <w:tc>
          <w:tcPr>
            <w:tcW w:w="830" w:type="dxa"/>
            <w:vAlign w:val="center"/>
          </w:tcPr>
          <w:p w:rsidR="00A703AF" w:rsidRDefault="00A703AF" w:rsidP="00A950EF">
            <w:pPr>
              <w:keepNext/>
              <w:jc w:val="center"/>
              <w:rPr>
                <w:b/>
              </w:rPr>
            </w:pPr>
            <w:r>
              <w:rPr>
                <w:b/>
              </w:rPr>
              <w:t>Goal</w:t>
            </w:r>
          </w:p>
        </w:tc>
        <w:tc>
          <w:tcPr>
            <w:tcW w:w="867" w:type="dxa"/>
            <w:vAlign w:val="center"/>
          </w:tcPr>
          <w:p w:rsidR="00A703AF" w:rsidRDefault="00A703AF" w:rsidP="00A950EF">
            <w:pPr>
              <w:keepNext/>
              <w:jc w:val="center"/>
              <w:rPr>
                <w:b/>
              </w:rPr>
            </w:pPr>
            <w:r>
              <w:rPr>
                <w:b/>
              </w:rPr>
              <w:t>DSM</w:t>
            </w:r>
          </w:p>
          <w:p w:rsidR="00A703AF" w:rsidRDefault="00A703AF" w:rsidP="00A950EF">
            <w:pPr>
              <w:keepNext/>
              <w:jc w:val="center"/>
              <w:rPr>
                <w:b/>
              </w:rPr>
            </w:pPr>
            <w:r>
              <w:rPr>
                <w:b/>
              </w:rPr>
              <w:t>Plan</w:t>
            </w:r>
          </w:p>
        </w:tc>
        <w:tc>
          <w:tcPr>
            <w:tcW w:w="919" w:type="dxa"/>
            <w:vAlign w:val="center"/>
          </w:tcPr>
          <w:p w:rsidR="00A703AF" w:rsidRDefault="00A703AF" w:rsidP="00A950EF">
            <w:pPr>
              <w:keepNext/>
              <w:jc w:val="center"/>
              <w:rPr>
                <w:b/>
              </w:rPr>
            </w:pPr>
            <w:r>
              <w:rPr>
                <w:b/>
              </w:rPr>
              <w:t>Goal</w:t>
            </w:r>
          </w:p>
        </w:tc>
        <w:tc>
          <w:tcPr>
            <w:tcW w:w="917" w:type="dxa"/>
            <w:vAlign w:val="center"/>
          </w:tcPr>
          <w:p w:rsidR="00A703AF" w:rsidRDefault="00A703AF" w:rsidP="00A950EF">
            <w:pPr>
              <w:keepNext/>
              <w:jc w:val="center"/>
              <w:rPr>
                <w:b/>
              </w:rPr>
            </w:pPr>
            <w:r>
              <w:rPr>
                <w:b/>
              </w:rPr>
              <w:t>DSM</w:t>
            </w:r>
          </w:p>
          <w:p w:rsidR="00A703AF" w:rsidRDefault="00A703AF" w:rsidP="00A950EF">
            <w:pPr>
              <w:keepNext/>
              <w:jc w:val="center"/>
              <w:rPr>
                <w:b/>
              </w:rPr>
            </w:pPr>
            <w:r>
              <w:rPr>
                <w:b/>
              </w:rPr>
              <w:t>Plan</w:t>
            </w:r>
          </w:p>
        </w:tc>
        <w:tc>
          <w:tcPr>
            <w:tcW w:w="920" w:type="dxa"/>
            <w:vAlign w:val="center"/>
          </w:tcPr>
          <w:p w:rsidR="00A703AF" w:rsidRDefault="00A703AF" w:rsidP="00A950EF">
            <w:pPr>
              <w:keepNext/>
              <w:jc w:val="center"/>
              <w:rPr>
                <w:b/>
              </w:rPr>
            </w:pPr>
            <w:r>
              <w:rPr>
                <w:b/>
              </w:rPr>
              <w:t>Goal</w:t>
            </w:r>
          </w:p>
        </w:tc>
        <w:tc>
          <w:tcPr>
            <w:tcW w:w="918" w:type="dxa"/>
            <w:vAlign w:val="center"/>
          </w:tcPr>
          <w:p w:rsidR="00A703AF" w:rsidRDefault="00A703AF" w:rsidP="00A950EF">
            <w:pPr>
              <w:keepNext/>
              <w:jc w:val="center"/>
              <w:rPr>
                <w:b/>
              </w:rPr>
            </w:pPr>
            <w:r>
              <w:rPr>
                <w:b/>
              </w:rPr>
              <w:t>DSM</w:t>
            </w:r>
          </w:p>
          <w:p w:rsidR="00A703AF" w:rsidRDefault="00A703AF" w:rsidP="00A950EF">
            <w:pPr>
              <w:keepNext/>
              <w:jc w:val="center"/>
              <w:rPr>
                <w:b/>
              </w:rPr>
            </w:pPr>
            <w:r>
              <w:rPr>
                <w:b/>
              </w:rPr>
              <w:t>Plan</w:t>
            </w:r>
          </w:p>
        </w:tc>
      </w:tr>
      <w:tr w:rsidR="00A703AF" w:rsidTr="00A950EF">
        <w:trPr>
          <w:jc w:val="center"/>
        </w:trPr>
        <w:tc>
          <w:tcPr>
            <w:tcW w:w="939" w:type="dxa"/>
          </w:tcPr>
          <w:p w:rsidR="00A703AF" w:rsidRDefault="00A703AF" w:rsidP="00A950EF">
            <w:pPr>
              <w:keepNext/>
              <w:rPr>
                <w:b/>
              </w:rPr>
            </w:pPr>
            <w:r>
              <w:rPr>
                <w:b/>
              </w:rPr>
              <w:t>2020</w:t>
            </w:r>
          </w:p>
        </w:tc>
        <w:tc>
          <w:tcPr>
            <w:tcW w:w="830" w:type="dxa"/>
          </w:tcPr>
          <w:p w:rsidR="00A703AF" w:rsidRDefault="00A703AF" w:rsidP="00A950EF">
            <w:pPr>
              <w:keepNext/>
              <w:jc w:val="right"/>
            </w:pPr>
            <w:r>
              <w:t xml:space="preserve">0.94 </w:t>
            </w:r>
          </w:p>
        </w:tc>
        <w:tc>
          <w:tcPr>
            <w:tcW w:w="867" w:type="dxa"/>
          </w:tcPr>
          <w:p w:rsidR="00A703AF" w:rsidRDefault="005C5373" w:rsidP="00A950EF">
            <w:pPr>
              <w:keepNext/>
              <w:jc w:val="right"/>
            </w:pPr>
            <w:r>
              <w:t>1.31</w:t>
            </w:r>
            <w:r w:rsidR="00A703AF">
              <w:t xml:space="preserve"> </w:t>
            </w:r>
          </w:p>
        </w:tc>
        <w:tc>
          <w:tcPr>
            <w:tcW w:w="919" w:type="dxa"/>
          </w:tcPr>
          <w:p w:rsidR="00A703AF" w:rsidRDefault="00A703AF" w:rsidP="00A950EF">
            <w:pPr>
              <w:keepNext/>
              <w:jc w:val="right"/>
            </w:pPr>
            <w:r>
              <w:t xml:space="preserve">0.96 </w:t>
            </w:r>
          </w:p>
        </w:tc>
        <w:tc>
          <w:tcPr>
            <w:tcW w:w="917" w:type="dxa"/>
          </w:tcPr>
          <w:p w:rsidR="00A703AF" w:rsidRDefault="005C5373" w:rsidP="00A950EF">
            <w:pPr>
              <w:keepNext/>
              <w:jc w:val="right"/>
            </w:pPr>
            <w:r>
              <w:t>1.06</w:t>
            </w:r>
          </w:p>
        </w:tc>
        <w:tc>
          <w:tcPr>
            <w:tcW w:w="920" w:type="dxa"/>
          </w:tcPr>
          <w:p w:rsidR="00A703AF" w:rsidRDefault="00A703AF" w:rsidP="00A950EF">
            <w:pPr>
              <w:keepNext/>
              <w:jc w:val="right"/>
            </w:pPr>
            <w:r>
              <w:t xml:space="preserve">2.50 </w:t>
            </w:r>
          </w:p>
        </w:tc>
        <w:tc>
          <w:tcPr>
            <w:tcW w:w="918" w:type="dxa"/>
          </w:tcPr>
          <w:p w:rsidR="005C5373" w:rsidRDefault="005C5373" w:rsidP="005C5373">
            <w:pPr>
              <w:keepNext/>
              <w:jc w:val="right"/>
            </w:pPr>
            <w:r>
              <w:t>2.55</w:t>
            </w:r>
          </w:p>
        </w:tc>
      </w:tr>
      <w:tr w:rsidR="005C5373" w:rsidTr="00A950EF">
        <w:trPr>
          <w:jc w:val="center"/>
        </w:trPr>
        <w:tc>
          <w:tcPr>
            <w:tcW w:w="939" w:type="dxa"/>
          </w:tcPr>
          <w:p w:rsidR="005C5373" w:rsidRDefault="005C5373" w:rsidP="00A950EF">
            <w:pPr>
              <w:keepNext/>
              <w:rPr>
                <w:b/>
              </w:rPr>
            </w:pPr>
            <w:r>
              <w:rPr>
                <w:b/>
              </w:rPr>
              <w:t>2021</w:t>
            </w:r>
          </w:p>
        </w:tc>
        <w:tc>
          <w:tcPr>
            <w:tcW w:w="830" w:type="dxa"/>
          </w:tcPr>
          <w:p w:rsidR="005C5373" w:rsidRDefault="005C5373" w:rsidP="00A950EF">
            <w:pPr>
              <w:keepNext/>
              <w:jc w:val="right"/>
            </w:pPr>
            <w:r>
              <w:t>0.94</w:t>
            </w:r>
          </w:p>
        </w:tc>
        <w:tc>
          <w:tcPr>
            <w:tcW w:w="867" w:type="dxa"/>
          </w:tcPr>
          <w:p w:rsidR="005C5373" w:rsidRDefault="005C5373" w:rsidP="005C5373">
            <w:pPr>
              <w:jc w:val="right"/>
            </w:pPr>
            <w:r w:rsidRPr="001E6E8D">
              <w:t>1.31</w:t>
            </w:r>
          </w:p>
        </w:tc>
        <w:tc>
          <w:tcPr>
            <w:tcW w:w="919" w:type="dxa"/>
          </w:tcPr>
          <w:p w:rsidR="005C5373" w:rsidRDefault="005C5373" w:rsidP="00A950EF">
            <w:pPr>
              <w:keepNext/>
              <w:jc w:val="right"/>
            </w:pPr>
            <w:r>
              <w:t>0.96</w:t>
            </w:r>
          </w:p>
        </w:tc>
        <w:tc>
          <w:tcPr>
            <w:tcW w:w="917" w:type="dxa"/>
          </w:tcPr>
          <w:p w:rsidR="005C5373" w:rsidRDefault="005C5373" w:rsidP="005C5373">
            <w:pPr>
              <w:jc w:val="right"/>
            </w:pPr>
            <w:r w:rsidRPr="00537B11">
              <w:t>1.06</w:t>
            </w:r>
          </w:p>
        </w:tc>
        <w:tc>
          <w:tcPr>
            <w:tcW w:w="920" w:type="dxa"/>
          </w:tcPr>
          <w:p w:rsidR="005C5373" w:rsidRDefault="005C5373" w:rsidP="00A950EF">
            <w:pPr>
              <w:keepNext/>
              <w:jc w:val="right"/>
            </w:pPr>
            <w:r>
              <w:t xml:space="preserve">2.50 </w:t>
            </w:r>
          </w:p>
        </w:tc>
        <w:tc>
          <w:tcPr>
            <w:tcW w:w="918" w:type="dxa"/>
          </w:tcPr>
          <w:p w:rsidR="005C5373" w:rsidRDefault="005C5373" w:rsidP="005C5373">
            <w:pPr>
              <w:jc w:val="right"/>
            </w:pPr>
            <w:r w:rsidRPr="004A4BDF">
              <w:t>2.55</w:t>
            </w:r>
          </w:p>
        </w:tc>
      </w:tr>
      <w:tr w:rsidR="005C5373" w:rsidTr="00A950EF">
        <w:trPr>
          <w:jc w:val="center"/>
        </w:trPr>
        <w:tc>
          <w:tcPr>
            <w:tcW w:w="939" w:type="dxa"/>
          </w:tcPr>
          <w:p w:rsidR="005C5373" w:rsidRDefault="005C5373" w:rsidP="00A950EF">
            <w:pPr>
              <w:keepNext/>
              <w:rPr>
                <w:b/>
              </w:rPr>
            </w:pPr>
            <w:r>
              <w:rPr>
                <w:b/>
              </w:rPr>
              <w:t>2022</w:t>
            </w:r>
          </w:p>
        </w:tc>
        <w:tc>
          <w:tcPr>
            <w:tcW w:w="830" w:type="dxa"/>
          </w:tcPr>
          <w:p w:rsidR="005C5373" w:rsidRDefault="005C5373" w:rsidP="00A950EF">
            <w:pPr>
              <w:keepNext/>
              <w:jc w:val="right"/>
            </w:pPr>
            <w:r>
              <w:t xml:space="preserve">0.94 </w:t>
            </w:r>
          </w:p>
        </w:tc>
        <w:tc>
          <w:tcPr>
            <w:tcW w:w="867" w:type="dxa"/>
          </w:tcPr>
          <w:p w:rsidR="005C5373" w:rsidRDefault="005C5373" w:rsidP="005C5373">
            <w:pPr>
              <w:jc w:val="right"/>
            </w:pPr>
            <w:r w:rsidRPr="001E6E8D">
              <w:t>1.31</w:t>
            </w:r>
          </w:p>
        </w:tc>
        <w:tc>
          <w:tcPr>
            <w:tcW w:w="919" w:type="dxa"/>
          </w:tcPr>
          <w:p w:rsidR="005C5373" w:rsidRDefault="005C5373" w:rsidP="00A950EF">
            <w:pPr>
              <w:keepNext/>
              <w:jc w:val="right"/>
            </w:pPr>
            <w:r>
              <w:t>0.96</w:t>
            </w:r>
          </w:p>
        </w:tc>
        <w:tc>
          <w:tcPr>
            <w:tcW w:w="917" w:type="dxa"/>
          </w:tcPr>
          <w:p w:rsidR="005C5373" w:rsidRDefault="005C5373" w:rsidP="005C5373">
            <w:pPr>
              <w:jc w:val="right"/>
            </w:pPr>
            <w:r w:rsidRPr="00537B11">
              <w:t>1.06</w:t>
            </w:r>
          </w:p>
        </w:tc>
        <w:tc>
          <w:tcPr>
            <w:tcW w:w="920" w:type="dxa"/>
          </w:tcPr>
          <w:p w:rsidR="005C5373" w:rsidRDefault="005C5373" w:rsidP="00A950EF">
            <w:pPr>
              <w:keepNext/>
              <w:jc w:val="right"/>
            </w:pPr>
            <w:r>
              <w:t xml:space="preserve">2.50 </w:t>
            </w:r>
          </w:p>
        </w:tc>
        <w:tc>
          <w:tcPr>
            <w:tcW w:w="918" w:type="dxa"/>
          </w:tcPr>
          <w:p w:rsidR="005C5373" w:rsidRDefault="005C5373" w:rsidP="005C5373">
            <w:pPr>
              <w:jc w:val="right"/>
            </w:pPr>
            <w:r w:rsidRPr="004A4BDF">
              <w:t>2.55</w:t>
            </w:r>
          </w:p>
        </w:tc>
      </w:tr>
      <w:tr w:rsidR="005C5373" w:rsidTr="00A950EF">
        <w:trPr>
          <w:jc w:val="center"/>
        </w:trPr>
        <w:tc>
          <w:tcPr>
            <w:tcW w:w="939" w:type="dxa"/>
          </w:tcPr>
          <w:p w:rsidR="005C5373" w:rsidRDefault="005C5373" w:rsidP="00A950EF">
            <w:pPr>
              <w:keepNext/>
              <w:rPr>
                <w:b/>
              </w:rPr>
            </w:pPr>
            <w:r>
              <w:rPr>
                <w:b/>
              </w:rPr>
              <w:t>2023</w:t>
            </w:r>
          </w:p>
        </w:tc>
        <w:tc>
          <w:tcPr>
            <w:tcW w:w="830" w:type="dxa"/>
          </w:tcPr>
          <w:p w:rsidR="005C5373" w:rsidRDefault="005C5373" w:rsidP="00A950EF">
            <w:pPr>
              <w:keepNext/>
              <w:jc w:val="right"/>
            </w:pPr>
            <w:r>
              <w:t xml:space="preserve">0.94 </w:t>
            </w:r>
          </w:p>
        </w:tc>
        <w:tc>
          <w:tcPr>
            <w:tcW w:w="867" w:type="dxa"/>
          </w:tcPr>
          <w:p w:rsidR="005C5373" w:rsidRDefault="005C5373" w:rsidP="005C5373">
            <w:pPr>
              <w:jc w:val="right"/>
            </w:pPr>
            <w:r w:rsidRPr="001E6E8D">
              <w:t>1.31</w:t>
            </w:r>
          </w:p>
        </w:tc>
        <w:tc>
          <w:tcPr>
            <w:tcW w:w="919" w:type="dxa"/>
          </w:tcPr>
          <w:p w:rsidR="005C5373" w:rsidRDefault="005C5373" w:rsidP="00A950EF">
            <w:pPr>
              <w:keepNext/>
              <w:jc w:val="right"/>
            </w:pPr>
            <w:r>
              <w:t xml:space="preserve">0.96 </w:t>
            </w:r>
          </w:p>
        </w:tc>
        <w:tc>
          <w:tcPr>
            <w:tcW w:w="917" w:type="dxa"/>
          </w:tcPr>
          <w:p w:rsidR="005C5373" w:rsidRDefault="005C5373" w:rsidP="005C5373">
            <w:pPr>
              <w:jc w:val="right"/>
            </w:pPr>
            <w:r w:rsidRPr="00537B11">
              <w:t>1.06</w:t>
            </w:r>
          </w:p>
        </w:tc>
        <w:tc>
          <w:tcPr>
            <w:tcW w:w="920" w:type="dxa"/>
          </w:tcPr>
          <w:p w:rsidR="005C5373" w:rsidRDefault="005C5373" w:rsidP="00A950EF">
            <w:pPr>
              <w:keepNext/>
              <w:jc w:val="right"/>
            </w:pPr>
            <w:r>
              <w:t xml:space="preserve">2.50 </w:t>
            </w:r>
          </w:p>
        </w:tc>
        <w:tc>
          <w:tcPr>
            <w:tcW w:w="918" w:type="dxa"/>
          </w:tcPr>
          <w:p w:rsidR="005C5373" w:rsidRDefault="005C5373" w:rsidP="005C5373">
            <w:pPr>
              <w:jc w:val="right"/>
            </w:pPr>
            <w:r w:rsidRPr="004A4BDF">
              <w:t>2.55</w:t>
            </w:r>
          </w:p>
        </w:tc>
      </w:tr>
      <w:tr w:rsidR="005C5373" w:rsidTr="00A950EF">
        <w:trPr>
          <w:jc w:val="center"/>
        </w:trPr>
        <w:tc>
          <w:tcPr>
            <w:tcW w:w="939" w:type="dxa"/>
          </w:tcPr>
          <w:p w:rsidR="005C5373" w:rsidRDefault="005C5373" w:rsidP="00A950EF">
            <w:pPr>
              <w:keepNext/>
              <w:rPr>
                <w:b/>
              </w:rPr>
            </w:pPr>
            <w:r>
              <w:rPr>
                <w:b/>
              </w:rPr>
              <w:t>2024</w:t>
            </w:r>
          </w:p>
        </w:tc>
        <w:tc>
          <w:tcPr>
            <w:tcW w:w="830" w:type="dxa"/>
          </w:tcPr>
          <w:p w:rsidR="005C5373" w:rsidRDefault="005C5373" w:rsidP="00A950EF">
            <w:pPr>
              <w:keepNext/>
              <w:jc w:val="right"/>
            </w:pPr>
            <w:r>
              <w:t xml:space="preserve">0.94 </w:t>
            </w:r>
          </w:p>
        </w:tc>
        <w:tc>
          <w:tcPr>
            <w:tcW w:w="867" w:type="dxa"/>
          </w:tcPr>
          <w:p w:rsidR="005C5373" w:rsidRDefault="005C5373" w:rsidP="005C5373">
            <w:pPr>
              <w:jc w:val="right"/>
            </w:pPr>
            <w:r w:rsidRPr="001E6E8D">
              <w:t>1.31</w:t>
            </w:r>
          </w:p>
        </w:tc>
        <w:tc>
          <w:tcPr>
            <w:tcW w:w="919" w:type="dxa"/>
          </w:tcPr>
          <w:p w:rsidR="005C5373" w:rsidRDefault="005C5373" w:rsidP="00A950EF">
            <w:pPr>
              <w:keepNext/>
              <w:jc w:val="right"/>
            </w:pPr>
            <w:r>
              <w:t xml:space="preserve">0.96 </w:t>
            </w:r>
          </w:p>
        </w:tc>
        <w:tc>
          <w:tcPr>
            <w:tcW w:w="917" w:type="dxa"/>
          </w:tcPr>
          <w:p w:rsidR="005C5373" w:rsidRDefault="005C5373" w:rsidP="005C5373">
            <w:pPr>
              <w:jc w:val="right"/>
            </w:pPr>
            <w:r w:rsidRPr="00537B11">
              <w:t>1.06</w:t>
            </w:r>
          </w:p>
        </w:tc>
        <w:tc>
          <w:tcPr>
            <w:tcW w:w="920" w:type="dxa"/>
          </w:tcPr>
          <w:p w:rsidR="005C5373" w:rsidRDefault="005C5373" w:rsidP="00A950EF">
            <w:pPr>
              <w:keepNext/>
              <w:jc w:val="right"/>
            </w:pPr>
            <w:r>
              <w:t xml:space="preserve">2.50 </w:t>
            </w:r>
          </w:p>
        </w:tc>
        <w:tc>
          <w:tcPr>
            <w:tcW w:w="918" w:type="dxa"/>
          </w:tcPr>
          <w:p w:rsidR="005C5373" w:rsidRDefault="005C5373" w:rsidP="005C5373">
            <w:pPr>
              <w:jc w:val="right"/>
            </w:pPr>
            <w:r w:rsidRPr="004A4BDF">
              <w:t>2.55</w:t>
            </w:r>
          </w:p>
        </w:tc>
      </w:tr>
      <w:tr w:rsidR="00A703AF" w:rsidTr="00A950EF">
        <w:trPr>
          <w:jc w:val="center"/>
        </w:trPr>
        <w:tc>
          <w:tcPr>
            <w:tcW w:w="939" w:type="dxa"/>
          </w:tcPr>
          <w:p w:rsidR="00A703AF" w:rsidRDefault="00A703AF" w:rsidP="00A950EF">
            <w:pPr>
              <w:keepNext/>
              <w:rPr>
                <w:b/>
              </w:rPr>
            </w:pPr>
            <w:r>
              <w:rPr>
                <w:b/>
              </w:rPr>
              <w:t>Total</w:t>
            </w:r>
            <w:r>
              <w:rPr>
                <w:b/>
                <w:vertAlign w:val="superscript"/>
              </w:rPr>
              <w:footnoteReference w:id="4"/>
            </w:r>
          </w:p>
        </w:tc>
        <w:tc>
          <w:tcPr>
            <w:tcW w:w="830" w:type="dxa"/>
          </w:tcPr>
          <w:p w:rsidR="00A703AF" w:rsidRDefault="00A703AF" w:rsidP="00A950EF">
            <w:pPr>
              <w:keepNext/>
              <w:jc w:val="right"/>
              <w:rPr>
                <w:b/>
              </w:rPr>
            </w:pPr>
            <w:r>
              <w:rPr>
                <w:b/>
              </w:rPr>
              <w:t>4.70</w:t>
            </w:r>
          </w:p>
        </w:tc>
        <w:tc>
          <w:tcPr>
            <w:tcW w:w="867" w:type="dxa"/>
          </w:tcPr>
          <w:p w:rsidR="00A703AF" w:rsidRDefault="005C5373" w:rsidP="005C5373">
            <w:pPr>
              <w:keepNext/>
              <w:jc w:val="right"/>
              <w:rPr>
                <w:b/>
              </w:rPr>
            </w:pPr>
            <w:r>
              <w:rPr>
                <w:b/>
              </w:rPr>
              <w:t>6.56</w:t>
            </w:r>
          </w:p>
        </w:tc>
        <w:tc>
          <w:tcPr>
            <w:tcW w:w="919" w:type="dxa"/>
          </w:tcPr>
          <w:p w:rsidR="00A703AF" w:rsidRDefault="00A703AF" w:rsidP="00A950EF">
            <w:pPr>
              <w:keepNext/>
              <w:jc w:val="right"/>
              <w:rPr>
                <w:b/>
              </w:rPr>
            </w:pPr>
            <w:r>
              <w:rPr>
                <w:b/>
              </w:rPr>
              <w:t>4.80</w:t>
            </w:r>
          </w:p>
        </w:tc>
        <w:tc>
          <w:tcPr>
            <w:tcW w:w="917" w:type="dxa"/>
          </w:tcPr>
          <w:p w:rsidR="00A703AF" w:rsidRDefault="005C5373" w:rsidP="005C5373">
            <w:pPr>
              <w:keepNext/>
              <w:jc w:val="right"/>
              <w:rPr>
                <w:b/>
              </w:rPr>
            </w:pPr>
            <w:r>
              <w:rPr>
                <w:b/>
              </w:rPr>
              <w:t>5</w:t>
            </w:r>
            <w:r w:rsidR="00A703AF">
              <w:rPr>
                <w:b/>
              </w:rPr>
              <w:t>.</w:t>
            </w:r>
            <w:r>
              <w:rPr>
                <w:b/>
              </w:rPr>
              <w:t>30</w:t>
            </w:r>
            <w:r w:rsidR="00A703AF">
              <w:rPr>
                <w:b/>
              </w:rPr>
              <w:t xml:space="preserve"> </w:t>
            </w:r>
          </w:p>
        </w:tc>
        <w:tc>
          <w:tcPr>
            <w:tcW w:w="920" w:type="dxa"/>
          </w:tcPr>
          <w:p w:rsidR="00A703AF" w:rsidRDefault="00A703AF" w:rsidP="00A950EF">
            <w:pPr>
              <w:keepNext/>
              <w:jc w:val="right"/>
              <w:rPr>
                <w:b/>
              </w:rPr>
            </w:pPr>
            <w:r>
              <w:rPr>
                <w:b/>
              </w:rPr>
              <w:t>12.5</w:t>
            </w:r>
          </w:p>
        </w:tc>
        <w:tc>
          <w:tcPr>
            <w:tcW w:w="918" w:type="dxa"/>
          </w:tcPr>
          <w:p w:rsidR="00A703AF" w:rsidRDefault="005C5373" w:rsidP="00A950EF">
            <w:pPr>
              <w:keepNext/>
              <w:jc w:val="right"/>
              <w:rPr>
                <w:b/>
              </w:rPr>
            </w:pPr>
            <w:r>
              <w:rPr>
                <w:b/>
              </w:rPr>
              <w:t>12.75</w:t>
            </w:r>
          </w:p>
        </w:tc>
      </w:tr>
    </w:tbl>
    <w:p w:rsidR="00A703AF" w:rsidRPr="00A703AF" w:rsidRDefault="00A703AF" w:rsidP="00A703AF">
      <w:pPr>
        <w:spacing w:after="240"/>
        <w:ind w:left="720" w:firstLine="720"/>
        <w:jc w:val="both"/>
        <w:rPr>
          <w:sz w:val="20"/>
          <w:szCs w:val="20"/>
        </w:rPr>
      </w:pPr>
      <w:r w:rsidRPr="00A703AF">
        <w:rPr>
          <w:sz w:val="20"/>
          <w:szCs w:val="20"/>
        </w:rPr>
        <w:t xml:space="preserve"> Source: Document No. 0</w:t>
      </w:r>
      <w:r w:rsidR="00950A25">
        <w:rPr>
          <w:sz w:val="20"/>
          <w:szCs w:val="20"/>
        </w:rPr>
        <w:t>2304</w:t>
      </w:r>
      <w:r w:rsidRPr="00A703AF">
        <w:rPr>
          <w:sz w:val="20"/>
          <w:szCs w:val="20"/>
        </w:rPr>
        <w:t>-2020</w:t>
      </w:r>
    </w:p>
    <w:p w:rsidR="00A703AF" w:rsidRDefault="00A703AF" w:rsidP="00A703AF">
      <w:pPr>
        <w:keepNext/>
        <w:jc w:val="center"/>
        <w:rPr>
          <w:b/>
        </w:rPr>
      </w:pPr>
      <w:r>
        <w:rPr>
          <w:b/>
        </w:rPr>
        <w:t>Table 1-3</w:t>
      </w:r>
    </w:p>
    <w:p w:rsidR="00A703AF" w:rsidRDefault="00A86FDD" w:rsidP="00A703AF">
      <w:pPr>
        <w:keepNext/>
        <w:jc w:val="center"/>
        <w:rPr>
          <w:b/>
        </w:rPr>
      </w:pPr>
      <w:r>
        <w:rPr>
          <w:b/>
        </w:rPr>
        <w:t>Commission’s</w:t>
      </w:r>
      <w:r w:rsidR="00A703AF">
        <w:rPr>
          <w:b/>
        </w:rPr>
        <w:t xml:space="preserve"> Commercial</w:t>
      </w:r>
      <w:r>
        <w:rPr>
          <w:b/>
        </w:rPr>
        <w:t>/Industrial</w:t>
      </w:r>
      <w:r w:rsidR="00A703AF">
        <w:rPr>
          <w:b/>
        </w:rPr>
        <w:t xml:space="preserve"> Goals vs. </w:t>
      </w:r>
      <w:r>
        <w:rPr>
          <w:b/>
        </w:rPr>
        <w:t xml:space="preserve">JEA’s </w:t>
      </w:r>
      <w:r w:rsidR="00A703AF">
        <w:rPr>
          <w:b/>
        </w:rPr>
        <w:t>DSM Plan</w:t>
      </w:r>
    </w:p>
    <w:tbl>
      <w:tblPr>
        <w:tblW w:w="6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
        <w:gridCol w:w="936"/>
        <w:gridCol w:w="867"/>
        <w:gridCol w:w="919"/>
        <w:gridCol w:w="917"/>
        <w:gridCol w:w="920"/>
        <w:gridCol w:w="918"/>
      </w:tblGrid>
      <w:tr w:rsidR="00A703AF" w:rsidTr="005C5373">
        <w:trPr>
          <w:jc w:val="center"/>
        </w:trPr>
        <w:tc>
          <w:tcPr>
            <w:tcW w:w="938" w:type="dxa"/>
            <w:vMerge w:val="restart"/>
            <w:vAlign w:val="center"/>
          </w:tcPr>
          <w:p w:rsidR="00A703AF" w:rsidRDefault="00A703AF" w:rsidP="00A950EF">
            <w:pPr>
              <w:keepNext/>
              <w:jc w:val="center"/>
              <w:rPr>
                <w:b/>
              </w:rPr>
            </w:pPr>
            <w:r>
              <w:rPr>
                <w:b/>
              </w:rPr>
              <w:t>Year</w:t>
            </w:r>
          </w:p>
        </w:tc>
        <w:tc>
          <w:tcPr>
            <w:tcW w:w="1803" w:type="dxa"/>
            <w:gridSpan w:val="2"/>
            <w:vAlign w:val="center"/>
          </w:tcPr>
          <w:p w:rsidR="00A703AF" w:rsidRDefault="00A703AF" w:rsidP="00A950EF">
            <w:pPr>
              <w:keepNext/>
              <w:jc w:val="center"/>
              <w:rPr>
                <w:b/>
              </w:rPr>
            </w:pPr>
            <w:r>
              <w:rPr>
                <w:b/>
              </w:rPr>
              <w:t>Summer</w:t>
            </w:r>
          </w:p>
          <w:p w:rsidR="00A703AF" w:rsidRDefault="00A703AF" w:rsidP="00A950EF">
            <w:pPr>
              <w:keepNext/>
              <w:jc w:val="center"/>
              <w:rPr>
                <w:b/>
              </w:rPr>
            </w:pPr>
            <w:r>
              <w:rPr>
                <w:b/>
              </w:rPr>
              <w:t>(MW)</w:t>
            </w:r>
          </w:p>
        </w:tc>
        <w:tc>
          <w:tcPr>
            <w:tcW w:w="1836" w:type="dxa"/>
            <w:gridSpan w:val="2"/>
            <w:vAlign w:val="center"/>
          </w:tcPr>
          <w:p w:rsidR="00A703AF" w:rsidRDefault="00A703AF" w:rsidP="00A950EF">
            <w:pPr>
              <w:keepNext/>
              <w:jc w:val="center"/>
              <w:rPr>
                <w:b/>
              </w:rPr>
            </w:pPr>
            <w:r>
              <w:rPr>
                <w:b/>
              </w:rPr>
              <w:t>Winter</w:t>
            </w:r>
          </w:p>
          <w:p w:rsidR="00A703AF" w:rsidRDefault="00A703AF" w:rsidP="00A950EF">
            <w:pPr>
              <w:keepNext/>
              <w:jc w:val="center"/>
              <w:rPr>
                <w:b/>
              </w:rPr>
            </w:pPr>
            <w:r>
              <w:rPr>
                <w:b/>
              </w:rPr>
              <w:t>(MW)</w:t>
            </w:r>
          </w:p>
        </w:tc>
        <w:tc>
          <w:tcPr>
            <w:tcW w:w="1838" w:type="dxa"/>
            <w:gridSpan w:val="2"/>
            <w:vAlign w:val="center"/>
          </w:tcPr>
          <w:p w:rsidR="00A703AF" w:rsidRDefault="00A703AF" w:rsidP="00A950EF">
            <w:pPr>
              <w:keepNext/>
              <w:jc w:val="center"/>
              <w:rPr>
                <w:b/>
              </w:rPr>
            </w:pPr>
            <w:r>
              <w:rPr>
                <w:b/>
              </w:rPr>
              <w:t>Annual Energy</w:t>
            </w:r>
          </w:p>
          <w:p w:rsidR="00A703AF" w:rsidRDefault="00A703AF" w:rsidP="00A950EF">
            <w:pPr>
              <w:keepNext/>
              <w:jc w:val="center"/>
              <w:rPr>
                <w:b/>
              </w:rPr>
            </w:pPr>
            <w:r>
              <w:rPr>
                <w:b/>
              </w:rPr>
              <w:t>(GWh)</w:t>
            </w:r>
          </w:p>
        </w:tc>
      </w:tr>
      <w:tr w:rsidR="00A703AF" w:rsidTr="005C5373">
        <w:trPr>
          <w:jc w:val="center"/>
        </w:trPr>
        <w:tc>
          <w:tcPr>
            <w:tcW w:w="938" w:type="dxa"/>
            <w:vMerge/>
            <w:vAlign w:val="center"/>
          </w:tcPr>
          <w:p w:rsidR="00A703AF" w:rsidRDefault="00A703AF" w:rsidP="00A950EF">
            <w:pPr>
              <w:widowControl w:val="0"/>
              <w:rPr>
                <w:b/>
              </w:rPr>
            </w:pPr>
          </w:p>
        </w:tc>
        <w:tc>
          <w:tcPr>
            <w:tcW w:w="936" w:type="dxa"/>
            <w:vAlign w:val="center"/>
          </w:tcPr>
          <w:p w:rsidR="00A703AF" w:rsidRDefault="00A703AF" w:rsidP="00A950EF">
            <w:pPr>
              <w:keepNext/>
              <w:jc w:val="center"/>
              <w:rPr>
                <w:b/>
              </w:rPr>
            </w:pPr>
            <w:r>
              <w:rPr>
                <w:b/>
              </w:rPr>
              <w:t>Goal</w:t>
            </w:r>
          </w:p>
        </w:tc>
        <w:tc>
          <w:tcPr>
            <w:tcW w:w="867" w:type="dxa"/>
            <w:vAlign w:val="center"/>
          </w:tcPr>
          <w:p w:rsidR="00A703AF" w:rsidRDefault="00A703AF" w:rsidP="00A950EF">
            <w:pPr>
              <w:keepNext/>
              <w:jc w:val="center"/>
              <w:rPr>
                <w:b/>
              </w:rPr>
            </w:pPr>
            <w:r>
              <w:rPr>
                <w:b/>
              </w:rPr>
              <w:t>DSM</w:t>
            </w:r>
          </w:p>
          <w:p w:rsidR="00A703AF" w:rsidRDefault="00A703AF" w:rsidP="00A950EF">
            <w:pPr>
              <w:keepNext/>
              <w:jc w:val="center"/>
              <w:rPr>
                <w:b/>
              </w:rPr>
            </w:pPr>
            <w:r>
              <w:rPr>
                <w:b/>
              </w:rPr>
              <w:t>Plan</w:t>
            </w:r>
          </w:p>
        </w:tc>
        <w:tc>
          <w:tcPr>
            <w:tcW w:w="919" w:type="dxa"/>
            <w:vAlign w:val="center"/>
          </w:tcPr>
          <w:p w:rsidR="00A703AF" w:rsidRDefault="00A703AF" w:rsidP="00A950EF">
            <w:pPr>
              <w:keepNext/>
              <w:jc w:val="center"/>
              <w:rPr>
                <w:b/>
              </w:rPr>
            </w:pPr>
            <w:r>
              <w:rPr>
                <w:b/>
              </w:rPr>
              <w:t>Goal</w:t>
            </w:r>
          </w:p>
        </w:tc>
        <w:tc>
          <w:tcPr>
            <w:tcW w:w="917" w:type="dxa"/>
            <w:vAlign w:val="center"/>
          </w:tcPr>
          <w:p w:rsidR="00A703AF" w:rsidRDefault="00A703AF" w:rsidP="00A950EF">
            <w:pPr>
              <w:keepNext/>
              <w:jc w:val="center"/>
              <w:rPr>
                <w:b/>
              </w:rPr>
            </w:pPr>
            <w:r>
              <w:rPr>
                <w:b/>
              </w:rPr>
              <w:t>DSM</w:t>
            </w:r>
          </w:p>
          <w:p w:rsidR="00A703AF" w:rsidRDefault="00A703AF" w:rsidP="00A950EF">
            <w:pPr>
              <w:keepNext/>
              <w:jc w:val="center"/>
              <w:rPr>
                <w:b/>
              </w:rPr>
            </w:pPr>
            <w:r>
              <w:rPr>
                <w:b/>
              </w:rPr>
              <w:t>Plan</w:t>
            </w:r>
          </w:p>
        </w:tc>
        <w:tc>
          <w:tcPr>
            <w:tcW w:w="920" w:type="dxa"/>
            <w:vAlign w:val="center"/>
          </w:tcPr>
          <w:p w:rsidR="00A703AF" w:rsidRDefault="00A703AF" w:rsidP="00A950EF">
            <w:pPr>
              <w:keepNext/>
              <w:jc w:val="center"/>
              <w:rPr>
                <w:b/>
              </w:rPr>
            </w:pPr>
            <w:r>
              <w:rPr>
                <w:b/>
              </w:rPr>
              <w:t>Goal</w:t>
            </w:r>
          </w:p>
        </w:tc>
        <w:tc>
          <w:tcPr>
            <w:tcW w:w="918" w:type="dxa"/>
            <w:vAlign w:val="center"/>
          </w:tcPr>
          <w:p w:rsidR="00A703AF" w:rsidRDefault="00A703AF" w:rsidP="00A950EF">
            <w:pPr>
              <w:keepNext/>
              <w:jc w:val="center"/>
              <w:rPr>
                <w:b/>
              </w:rPr>
            </w:pPr>
            <w:r>
              <w:rPr>
                <w:b/>
              </w:rPr>
              <w:t>DSM</w:t>
            </w:r>
          </w:p>
          <w:p w:rsidR="00A703AF" w:rsidRDefault="00A703AF" w:rsidP="00A950EF">
            <w:pPr>
              <w:keepNext/>
              <w:jc w:val="center"/>
              <w:rPr>
                <w:b/>
              </w:rPr>
            </w:pPr>
            <w:r>
              <w:rPr>
                <w:b/>
              </w:rPr>
              <w:t>Plan</w:t>
            </w:r>
          </w:p>
        </w:tc>
      </w:tr>
      <w:tr w:rsidR="005C5373" w:rsidTr="005C5373">
        <w:trPr>
          <w:jc w:val="center"/>
        </w:trPr>
        <w:tc>
          <w:tcPr>
            <w:tcW w:w="938" w:type="dxa"/>
          </w:tcPr>
          <w:p w:rsidR="005C5373" w:rsidRDefault="005C5373" w:rsidP="00A950EF">
            <w:pPr>
              <w:keepNext/>
              <w:rPr>
                <w:b/>
              </w:rPr>
            </w:pPr>
            <w:r>
              <w:rPr>
                <w:b/>
              </w:rPr>
              <w:t>2020</w:t>
            </w:r>
          </w:p>
        </w:tc>
        <w:tc>
          <w:tcPr>
            <w:tcW w:w="936" w:type="dxa"/>
          </w:tcPr>
          <w:p w:rsidR="005C5373" w:rsidRDefault="005C5373" w:rsidP="00A950EF">
            <w:pPr>
              <w:keepNext/>
              <w:jc w:val="right"/>
            </w:pPr>
            <w:r>
              <w:t xml:space="preserve">0.140 </w:t>
            </w:r>
          </w:p>
        </w:tc>
        <w:tc>
          <w:tcPr>
            <w:tcW w:w="867" w:type="dxa"/>
          </w:tcPr>
          <w:p w:rsidR="005C5373" w:rsidRDefault="005C5373" w:rsidP="005C5373">
            <w:pPr>
              <w:keepNext/>
              <w:jc w:val="right"/>
            </w:pPr>
            <w:r>
              <w:t>0.180</w:t>
            </w:r>
          </w:p>
        </w:tc>
        <w:tc>
          <w:tcPr>
            <w:tcW w:w="919" w:type="dxa"/>
          </w:tcPr>
          <w:p w:rsidR="005C5373" w:rsidRDefault="005C5373" w:rsidP="00A950EF">
            <w:pPr>
              <w:keepNext/>
              <w:jc w:val="right"/>
            </w:pPr>
            <w:r>
              <w:t>0.007</w:t>
            </w:r>
          </w:p>
        </w:tc>
        <w:tc>
          <w:tcPr>
            <w:tcW w:w="917" w:type="dxa"/>
          </w:tcPr>
          <w:p w:rsidR="005C5373" w:rsidRDefault="005C5373" w:rsidP="005C5373">
            <w:pPr>
              <w:keepNext/>
              <w:jc w:val="right"/>
            </w:pPr>
            <w:r>
              <w:t>0.093</w:t>
            </w:r>
          </w:p>
        </w:tc>
        <w:tc>
          <w:tcPr>
            <w:tcW w:w="920" w:type="dxa"/>
          </w:tcPr>
          <w:p w:rsidR="005C5373" w:rsidRDefault="005C5373" w:rsidP="00A950EF">
            <w:pPr>
              <w:keepNext/>
              <w:jc w:val="right"/>
            </w:pPr>
            <w:r>
              <w:t xml:space="preserve">0.08 </w:t>
            </w:r>
          </w:p>
        </w:tc>
        <w:tc>
          <w:tcPr>
            <w:tcW w:w="918" w:type="dxa"/>
          </w:tcPr>
          <w:p w:rsidR="005C5373" w:rsidRDefault="005C5373" w:rsidP="009C412B">
            <w:pPr>
              <w:keepNext/>
              <w:jc w:val="right"/>
            </w:pPr>
            <w:r>
              <w:t>0.093</w:t>
            </w:r>
          </w:p>
        </w:tc>
      </w:tr>
      <w:tr w:rsidR="005C5373" w:rsidTr="005C5373">
        <w:trPr>
          <w:jc w:val="center"/>
        </w:trPr>
        <w:tc>
          <w:tcPr>
            <w:tcW w:w="938" w:type="dxa"/>
          </w:tcPr>
          <w:p w:rsidR="005C5373" w:rsidRDefault="005C5373" w:rsidP="00A950EF">
            <w:pPr>
              <w:keepNext/>
              <w:rPr>
                <w:b/>
              </w:rPr>
            </w:pPr>
            <w:r>
              <w:rPr>
                <w:b/>
              </w:rPr>
              <w:t>2021</w:t>
            </w:r>
          </w:p>
        </w:tc>
        <w:tc>
          <w:tcPr>
            <w:tcW w:w="936" w:type="dxa"/>
          </w:tcPr>
          <w:p w:rsidR="005C5373" w:rsidRDefault="005C5373" w:rsidP="00A950EF">
            <w:pPr>
              <w:keepNext/>
              <w:jc w:val="right"/>
            </w:pPr>
            <w:r>
              <w:t>0.140</w:t>
            </w:r>
          </w:p>
        </w:tc>
        <w:tc>
          <w:tcPr>
            <w:tcW w:w="867" w:type="dxa"/>
          </w:tcPr>
          <w:p w:rsidR="005C5373" w:rsidRDefault="005C5373" w:rsidP="005C5373">
            <w:pPr>
              <w:jc w:val="right"/>
            </w:pPr>
            <w:r w:rsidRPr="00075063">
              <w:t>0.180</w:t>
            </w:r>
          </w:p>
        </w:tc>
        <w:tc>
          <w:tcPr>
            <w:tcW w:w="919" w:type="dxa"/>
          </w:tcPr>
          <w:p w:rsidR="005C5373" w:rsidRDefault="005C5373" w:rsidP="00A950EF">
            <w:pPr>
              <w:keepNext/>
              <w:jc w:val="right"/>
            </w:pPr>
            <w:r>
              <w:t xml:space="preserve">0.007 </w:t>
            </w:r>
          </w:p>
        </w:tc>
        <w:tc>
          <w:tcPr>
            <w:tcW w:w="917" w:type="dxa"/>
          </w:tcPr>
          <w:p w:rsidR="005C5373" w:rsidRDefault="005C5373" w:rsidP="005C5373">
            <w:pPr>
              <w:keepNext/>
              <w:jc w:val="right"/>
            </w:pPr>
            <w:r>
              <w:t>0.093</w:t>
            </w:r>
          </w:p>
        </w:tc>
        <w:tc>
          <w:tcPr>
            <w:tcW w:w="920" w:type="dxa"/>
          </w:tcPr>
          <w:p w:rsidR="005C5373" w:rsidRDefault="005C5373" w:rsidP="00A950EF">
            <w:pPr>
              <w:keepNext/>
              <w:jc w:val="right"/>
            </w:pPr>
            <w:r>
              <w:t xml:space="preserve">0.08 </w:t>
            </w:r>
          </w:p>
        </w:tc>
        <w:tc>
          <w:tcPr>
            <w:tcW w:w="918" w:type="dxa"/>
          </w:tcPr>
          <w:p w:rsidR="005C5373" w:rsidRDefault="005C5373" w:rsidP="009C412B">
            <w:pPr>
              <w:keepNext/>
              <w:jc w:val="right"/>
            </w:pPr>
            <w:r>
              <w:t>0.093</w:t>
            </w:r>
          </w:p>
        </w:tc>
      </w:tr>
      <w:tr w:rsidR="005C5373" w:rsidTr="005C5373">
        <w:trPr>
          <w:jc w:val="center"/>
        </w:trPr>
        <w:tc>
          <w:tcPr>
            <w:tcW w:w="938" w:type="dxa"/>
          </w:tcPr>
          <w:p w:rsidR="005C5373" w:rsidRDefault="005C5373" w:rsidP="00A950EF">
            <w:pPr>
              <w:keepNext/>
              <w:rPr>
                <w:b/>
              </w:rPr>
            </w:pPr>
            <w:r>
              <w:rPr>
                <w:b/>
              </w:rPr>
              <w:t>2022</w:t>
            </w:r>
          </w:p>
        </w:tc>
        <w:tc>
          <w:tcPr>
            <w:tcW w:w="936" w:type="dxa"/>
          </w:tcPr>
          <w:p w:rsidR="005C5373" w:rsidRDefault="005C5373" w:rsidP="00A950EF">
            <w:pPr>
              <w:keepNext/>
              <w:jc w:val="right"/>
            </w:pPr>
            <w:r>
              <w:t>0.140</w:t>
            </w:r>
          </w:p>
        </w:tc>
        <w:tc>
          <w:tcPr>
            <w:tcW w:w="867" w:type="dxa"/>
          </w:tcPr>
          <w:p w:rsidR="005C5373" w:rsidRDefault="005C5373" w:rsidP="005C5373">
            <w:pPr>
              <w:jc w:val="right"/>
            </w:pPr>
            <w:r w:rsidRPr="00075063">
              <w:t>0.180</w:t>
            </w:r>
          </w:p>
        </w:tc>
        <w:tc>
          <w:tcPr>
            <w:tcW w:w="919" w:type="dxa"/>
          </w:tcPr>
          <w:p w:rsidR="005C5373" w:rsidRDefault="005C5373" w:rsidP="00A950EF">
            <w:pPr>
              <w:keepNext/>
              <w:jc w:val="right"/>
            </w:pPr>
            <w:r>
              <w:t xml:space="preserve">0.007 </w:t>
            </w:r>
          </w:p>
        </w:tc>
        <w:tc>
          <w:tcPr>
            <w:tcW w:w="917" w:type="dxa"/>
          </w:tcPr>
          <w:p w:rsidR="005C5373" w:rsidRDefault="005C5373" w:rsidP="005C5373">
            <w:pPr>
              <w:keepNext/>
              <w:jc w:val="right"/>
            </w:pPr>
            <w:r>
              <w:t>0.093</w:t>
            </w:r>
          </w:p>
        </w:tc>
        <w:tc>
          <w:tcPr>
            <w:tcW w:w="920" w:type="dxa"/>
          </w:tcPr>
          <w:p w:rsidR="005C5373" w:rsidRDefault="005C5373" w:rsidP="00A950EF">
            <w:pPr>
              <w:keepNext/>
              <w:jc w:val="right"/>
            </w:pPr>
            <w:r>
              <w:t xml:space="preserve">0.08 </w:t>
            </w:r>
          </w:p>
        </w:tc>
        <w:tc>
          <w:tcPr>
            <w:tcW w:w="918" w:type="dxa"/>
          </w:tcPr>
          <w:p w:rsidR="005C5373" w:rsidRDefault="005C5373" w:rsidP="009C412B">
            <w:pPr>
              <w:keepNext/>
              <w:jc w:val="right"/>
            </w:pPr>
            <w:r>
              <w:t>0.093</w:t>
            </w:r>
          </w:p>
        </w:tc>
      </w:tr>
      <w:tr w:rsidR="005C5373" w:rsidTr="005C5373">
        <w:trPr>
          <w:jc w:val="center"/>
        </w:trPr>
        <w:tc>
          <w:tcPr>
            <w:tcW w:w="938" w:type="dxa"/>
          </w:tcPr>
          <w:p w:rsidR="005C5373" w:rsidRDefault="005C5373" w:rsidP="00A950EF">
            <w:pPr>
              <w:keepNext/>
              <w:rPr>
                <w:b/>
              </w:rPr>
            </w:pPr>
            <w:r>
              <w:rPr>
                <w:b/>
              </w:rPr>
              <w:t>2023</w:t>
            </w:r>
          </w:p>
        </w:tc>
        <w:tc>
          <w:tcPr>
            <w:tcW w:w="936" w:type="dxa"/>
          </w:tcPr>
          <w:p w:rsidR="005C5373" w:rsidRDefault="005C5373" w:rsidP="00A950EF">
            <w:pPr>
              <w:keepNext/>
              <w:jc w:val="right"/>
            </w:pPr>
            <w:r>
              <w:t>0.140</w:t>
            </w:r>
          </w:p>
        </w:tc>
        <w:tc>
          <w:tcPr>
            <w:tcW w:w="867" w:type="dxa"/>
          </w:tcPr>
          <w:p w:rsidR="005C5373" w:rsidRDefault="005C5373" w:rsidP="005C5373">
            <w:pPr>
              <w:jc w:val="right"/>
            </w:pPr>
            <w:r w:rsidRPr="00075063">
              <w:t>0.180</w:t>
            </w:r>
          </w:p>
        </w:tc>
        <w:tc>
          <w:tcPr>
            <w:tcW w:w="919" w:type="dxa"/>
          </w:tcPr>
          <w:p w:rsidR="005C5373" w:rsidRDefault="005C5373" w:rsidP="00A950EF">
            <w:pPr>
              <w:keepNext/>
              <w:jc w:val="right"/>
            </w:pPr>
            <w:r>
              <w:t xml:space="preserve">0.007 </w:t>
            </w:r>
          </w:p>
        </w:tc>
        <w:tc>
          <w:tcPr>
            <w:tcW w:w="917" w:type="dxa"/>
          </w:tcPr>
          <w:p w:rsidR="005C5373" w:rsidRDefault="005C5373" w:rsidP="005C5373">
            <w:pPr>
              <w:keepNext/>
              <w:jc w:val="right"/>
            </w:pPr>
            <w:r>
              <w:t>0.093</w:t>
            </w:r>
          </w:p>
        </w:tc>
        <w:tc>
          <w:tcPr>
            <w:tcW w:w="920" w:type="dxa"/>
          </w:tcPr>
          <w:p w:rsidR="005C5373" w:rsidRDefault="005C5373" w:rsidP="00A950EF">
            <w:pPr>
              <w:keepNext/>
              <w:jc w:val="right"/>
            </w:pPr>
            <w:r>
              <w:t xml:space="preserve">0.08 </w:t>
            </w:r>
          </w:p>
        </w:tc>
        <w:tc>
          <w:tcPr>
            <w:tcW w:w="918" w:type="dxa"/>
          </w:tcPr>
          <w:p w:rsidR="005C5373" w:rsidRDefault="005C5373" w:rsidP="009C412B">
            <w:pPr>
              <w:keepNext/>
              <w:jc w:val="right"/>
            </w:pPr>
            <w:r>
              <w:t>0.093</w:t>
            </w:r>
          </w:p>
        </w:tc>
      </w:tr>
      <w:tr w:rsidR="005C5373" w:rsidTr="005C5373">
        <w:trPr>
          <w:jc w:val="center"/>
        </w:trPr>
        <w:tc>
          <w:tcPr>
            <w:tcW w:w="938" w:type="dxa"/>
          </w:tcPr>
          <w:p w:rsidR="005C5373" w:rsidRDefault="005C5373" w:rsidP="00A950EF">
            <w:pPr>
              <w:keepNext/>
              <w:rPr>
                <w:b/>
              </w:rPr>
            </w:pPr>
            <w:r>
              <w:rPr>
                <w:b/>
              </w:rPr>
              <w:t>2024</w:t>
            </w:r>
          </w:p>
        </w:tc>
        <w:tc>
          <w:tcPr>
            <w:tcW w:w="936" w:type="dxa"/>
          </w:tcPr>
          <w:p w:rsidR="005C5373" w:rsidRDefault="005C5373" w:rsidP="00A950EF">
            <w:pPr>
              <w:keepNext/>
              <w:jc w:val="right"/>
            </w:pPr>
            <w:r>
              <w:t>0.140</w:t>
            </w:r>
          </w:p>
        </w:tc>
        <w:tc>
          <w:tcPr>
            <w:tcW w:w="867" w:type="dxa"/>
          </w:tcPr>
          <w:p w:rsidR="005C5373" w:rsidRDefault="005C5373" w:rsidP="005C5373">
            <w:pPr>
              <w:jc w:val="right"/>
            </w:pPr>
            <w:r w:rsidRPr="00075063">
              <w:t>0.180</w:t>
            </w:r>
          </w:p>
        </w:tc>
        <w:tc>
          <w:tcPr>
            <w:tcW w:w="919" w:type="dxa"/>
          </w:tcPr>
          <w:p w:rsidR="005C5373" w:rsidRDefault="005C5373" w:rsidP="00A950EF">
            <w:pPr>
              <w:keepNext/>
              <w:jc w:val="right"/>
            </w:pPr>
            <w:r>
              <w:t xml:space="preserve">0.007 </w:t>
            </w:r>
          </w:p>
        </w:tc>
        <w:tc>
          <w:tcPr>
            <w:tcW w:w="917" w:type="dxa"/>
          </w:tcPr>
          <w:p w:rsidR="005C5373" w:rsidRDefault="005C5373" w:rsidP="005C5373">
            <w:pPr>
              <w:keepNext/>
              <w:jc w:val="right"/>
            </w:pPr>
            <w:r>
              <w:t>0.093</w:t>
            </w:r>
          </w:p>
        </w:tc>
        <w:tc>
          <w:tcPr>
            <w:tcW w:w="920" w:type="dxa"/>
          </w:tcPr>
          <w:p w:rsidR="005C5373" w:rsidRDefault="005C5373" w:rsidP="00A950EF">
            <w:pPr>
              <w:keepNext/>
              <w:jc w:val="right"/>
            </w:pPr>
            <w:r>
              <w:t xml:space="preserve">0.08 </w:t>
            </w:r>
          </w:p>
        </w:tc>
        <w:tc>
          <w:tcPr>
            <w:tcW w:w="918" w:type="dxa"/>
          </w:tcPr>
          <w:p w:rsidR="005C5373" w:rsidRDefault="005C5373" w:rsidP="009C412B">
            <w:pPr>
              <w:keepNext/>
              <w:jc w:val="right"/>
            </w:pPr>
            <w:r>
              <w:t>0.093</w:t>
            </w:r>
          </w:p>
        </w:tc>
      </w:tr>
      <w:tr w:rsidR="005C5373" w:rsidTr="005C5373">
        <w:trPr>
          <w:jc w:val="center"/>
        </w:trPr>
        <w:tc>
          <w:tcPr>
            <w:tcW w:w="938" w:type="dxa"/>
          </w:tcPr>
          <w:p w:rsidR="005C5373" w:rsidRDefault="005C5373" w:rsidP="00A950EF">
            <w:pPr>
              <w:keepNext/>
              <w:rPr>
                <w:b/>
              </w:rPr>
            </w:pPr>
            <w:r>
              <w:rPr>
                <w:b/>
              </w:rPr>
              <w:t>Total</w:t>
            </w:r>
            <w:r>
              <w:rPr>
                <w:b/>
                <w:vertAlign w:val="superscript"/>
              </w:rPr>
              <w:footnoteReference w:id="5"/>
            </w:r>
          </w:p>
        </w:tc>
        <w:tc>
          <w:tcPr>
            <w:tcW w:w="936" w:type="dxa"/>
          </w:tcPr>
          <w:p w:rsidR="005C5373" w:rsidRDefault="005C5373" w:rsidP="00A950EF">
            <w:pPr>
              <w:keepNext/>
              <w:jc w:val="right"/>
              <w:rPr>
                <w:b/>
              </w:rPr>
            </w:pPr>
            <w:r>
              <w:rPr>
                <w:b/>
              </w:rPr>
              <w:t xml:space="preserve">0.700 </w:t>
            </w:r>
          </w:p>
        </w:tc>
        <w:tc>
          <w:tcPr>
            <w:tcW w:w="867" w:type="dxa"/>
          </w:tcPr>
          <w:p w:rsidR="005C5373" w:rsidRDefault="005C5373" w:rsidP="00A950EF">
            <w:pPr>
              <w:keepNext/>
              <w:jc w:val="right"/>
              <w:rPr>
                <w:b/>
              </w:rPr>
            </w:pPr>
            <w:r>
              <w:rPr>
                <w:b/>
              </w:rPr>
              <w:t xml:space="preserve">0.900 </w:t>
            </w:r>
          </w:p>
        </w:tc>
        <w:tc>
          <w:tcPr>
            <w:tcW w:w="919" w:type="dxa"/>
          </w:tcPr>
          <w:p w:rsidR="005C5373" w:rsidRDefault="005C5373" w:rsidP="00A950EF">
            <w:pPr>
              <w:keepNext/>
              <w:jc w:val="right"/>
              <w:rPr>
                <w:b/>
              </w:rPr>
            </w:pPr>
            <w:r>
              <w:rPr>
                <w:b/>
              </w:rPr>
              <w:t xml:space="preserve">0.035 </w:t>
            </w:r>
          </w:p>
        </w:tc>
        <w:tc>
          <w:tcPr>
            <w:tcW w:w="917" w:type="dxa"/>
          </w:tcPr>
          <w:p w:rsidR="005C5373" w:rsidRDefault="005C5373" w:rsidP="005C5373">
            <w:pPr>
              <w:keepNext/>
              <w:jc w:val="right"/>
              <w:rPr>
                <w:b/>
              </w:rPr>
            </w:pPr>
            <w:r>
              <w:rPr>
                <w:b/>
              </w:rPr>
              <w:t>0.465</w:t>
            </w:r>
          </w:p>
        </w:tc>
        <w:tc>
          <w:tcPr>
            <w:tcW w:w="920" w:type="dxa"/>
          </w:tcPr>
          <w:p w:rsidR="005C5373" w:rsidRDefault="005C5373" w:rsidP="00A950EF">
            <w:pPr>
              <w:keepNext/>
              <w:jc w:val="right"/>
              <w:rPr>
                <w:b/>
              </w:rPr>
            </w:pPr>
            <w:r>
              <w:rPr>
                <w:b/>
              </w:rPr>
              <w:t>0.04</w:t>
            </w:r>
          </w:p>
        </w:tc>
        <w:tc>
          <w:tcPr>
            <w:tcW w:w="918" w:type="dxa"/>
          </w:tcPr>
          <w:p w:rsidR="005C5373" w:rsidRDefault="005C5373" w:rsidP="009C412B">
            <w:pPr>
              <w:keepNext/>
              <w:jc w:val="right"/>
              <w:rPr>
                <w:b/>
              </w:rPr>
            </w:pPr>
            <w:r>
              <w:rPr>
                <w:b/>
              </w:rPr>
              <w:t>0.465</w:t>
            </w:r>
          </w:p>
        </w:tc>
      </w:tr>
    </w:tbl>
    <w:p w:rsidR="00A703AF" w:rsidRPr="00A703AF" w:rsidRDefault="00A703AF" w:rsidP="00A703AF">
      <w:pPr>
        <w:spacing w:after="240"/>
        <w:ind w:left="720" w:firstLine="720"/>
        <w:jc w:val="both"/>
        <w:rPr>
          <w:sz w:val="20"/>
          <w:szCs w:val="20"/>
        </w:rPr>
      </w:pPr>
      <w:r w:rsidRPr="00A703AF">
        <w:rPr>
          <w:sz w:val="20"/>
          <w:szCs w:val="20"/>
        </w:rPr>
        <w:t>Source: Document No. 0</w:t>
      </w:r>
      <w:r w:rsidR="00950A25">
        <w:rPr>
          <w:sz w:val="20"/>
          <w:szCs w:val="20"/>
        </w:rPr>
        <w:t>2304</w:t>
      </w:r>
      <w:r w:rsidRPr="00A703AF">
        <w:rPr>
          <w:sz w:val="20"/>
          <w:szCs w:val="20"/>
        </w:rPr>
        <w:t xml:space="preserve">-2020 </w:t>
      </w:r>
    </w:p>
    <w:p w:rsidR="00A703AF" w:rsidRDefault="00A703AF" w:rsidP="00A703AF">
      <w:pPr>
        <w:spacing w:after="240"/>
        <w:jc w:val="both"/>
      </w:pPr>
      <w:r>
        <w:t>The values presented above are projections based upon participation rates which may or may not occur. JEA will be responsible for monitoring actual participation rates. JEA is a municipal utility and its local governing body will decide if it is necessary to modify, add</w:t>
      </w:r>
      <w:r w:rsidR="005756BF">
        <w:t>,</w:t>
      </w:r>
      <w:r>
        <w:t xml:space="preserve"> or remove programs. </w:t>
      </w:r>
    </w:p>
    <w:p w:rsidR="00A703AF" w:rsidRDefault="00A703AF" w:rsidP="00A703AF">
      <w:pPr>
        <w:spacing w:after="240"/>
        <w:jc w:val="both"/>
      </w:pPr>
      <w:r>
        <w:t xml:space="preserve">Section 366.82(10), F.S., requires the Commission to provide an annual report to the Governor and Legislature on the progress of each utility toward meeting the established goals. Rule 25-17.0021(5), F.A.C., requires JEA to submit an annual report no later than March 1 of each year </w:t>
      </w:r>
      <w:r w:rsidR="005756BF">
        <w:t>summarizing</w:t>
      </w:r>
      <w:r>
        <w:t xml:space="preserve"> the achieved results of its DSM Plan. Staff will continue to monitor and report the actual amount of DSM savings each year, on an annual and cumulative basis, as part of the FE</w:t>
      </w:r>
      <w:r w:rsidR="000B73F2">
        <w:t xml:space="preserve">ECA </w:t>
      </w:r>
      <w:r w:rsidR="00A86FDD">
        <w:t>Report. The Commission must also</w:t>
      </w:r>
      <w:r>
        <w:t xml:space="preserve"> address JEA’s goal achievements </w:t>
      </w:r>
      <w:r w:rsidR="00A86FDD">
        <w:t>if</w:t>
      </w:r>
      <w:r>
        <w:t xml:space="preserve"> the </w:t>
      </w:r>
      <w:r w:rsidR="00A86FDD">
        <w:t>U</w:t>
      </w:r>
      <w:r>
        <w:t xml:space="preserve">tility files a determination of need </w:t>
      </w:r>
      <w:r w:rsidR="00A86FDD">
        <w:t xml:space="preserve">for new generation </w:t>
      </w:r>
      <w:r>
        <w:t>pursuant to Section 403.519, F.S.</w:t>
      </w:r>
    </w:p>
    <w:p w:rsidR="00A703AF" w:rsidRDefault="00342B4A" w:rsidP="00A703AF">
      <w:pPr>
        <w:spacing w:after="240"/>
        <w:jc w:val="both"/>
      </w:pPr>
      <w:r>
        <w:lastRenderedPageBreak/>
        <w:t>Based on Table 1-2 and Table 1-3</w:t>
      </w:r>
      <w:r w:rsidR="005756BF">
        <w:t>,</w:t>
      </w:r>
      <w:r>
        <w:t xml:space="preserve"> </w:t>
      </w:r>
      <w:r w:rsidR="00175E9E">
        <w:t>JEA’s 2020 DSM P</w:t>
      </w:r>
      <w:r w:rsidR="00A703AF">
        <w:t>lan is projected to exceed the established FEECA policy goals set by the Comm</w:t>
      </w:r>
      <w:r>
        <w:t>ission. The programs are all mo</w:t>
      </w:r>
      <w:r w:rsidR="00A703AF">
        <w:t>n</w:t>
      </w:r>
      <w:r>
        <w:t>ito</w:t>
      </w:r>
      <w:r w:rsidR="00A703AF">
        <w:t xml:space="preserve">rable and the results are measurable. </w:t>
      </w:r>
    </w:p>
    <w:p w:rsidR="00A703AF" w:rsidRPr="00A703AF" w:rsidRDefault="00A703AF" w:rsidP="00A703AF">
      <w:pPr>
        <w:jc w:val="both"/>
        <w:rPr>
          <w:rFonts w:ascii="Arial" w:hAnsi="Arial" w:cs="Arial"/>
          <w:b/>
        </w:rPr>
      </w:pPr>
      <w:r w:rsidRPr="00A703AF">
        <w:rPr>
          <w:rFonts w:ascii="Arial" w:hAnsi="Arial" w:cs="Arial"/>
          <w:b/>
        </w:rPr>
        <w:t>Cost-Effectiveness Review</w:t>
      </w:r>
    </w:p>
    <w:p w:rsidR="00A950EF" w:rsidRDefault="00A950EF" w:rsidP="00A703AF">
      <w:pPr>
        <w:spacing w:after="240" w:line="261" w:lineRule="auto"/>
        <w:jc w:val="both"/>
      </w:pPr>
      <w:r w:rsidRPr="00A950EF">
        <w:t xml:space="preserve">As required by Rule 25-17.008, F.A.C., JEA provided a cost-effectiveness analysis of the proposed programs using the RIM </w:t>
      </w:r>
      <w:r>
        <w:t>T</w:t>
      </w:r>
      <w:r w:rsidRPr="00A950EF">
        <w:t xml:space="preserve">est, the TRC </w:t>
      </w:r>
      <w:r>
        <w:t>T</w:t>
      </w:r>
      <w:r w:rsidRPr="00A950EF">
        <w:t xml:space="preserve">est and the Participants </w:t>
      </w:r>
      <w:r>
        <w:t>T</w:t>
      </w:r>
      <w:r w:rsidRPr="00A950EF">
        <w:t>est. The Commission’s last established goals were not based upon any particular cost-effectiveness test</w:t>
      </w:r>
      <w:r w:rsidR="00026014">
        <w:t>. Rather</w:t>
      </w:r>
      <w:r w:rsidR="00DB464B">
        <w:t>,</w:t>
      </w:r>
      <w:r w:rsidRPr="00A950EF">
        <w:t xml:space="preserve"> the Commission found that it was in the public interest to continue with the goals established in the prior FEECA goalsetting proceeding for the period 2015 through 2024</w:t>
      </w:r>
      <w:r>
        <w:t>, which were based on an economic analysis conducted in 2015</w:t>
      </w:r>
      <w:r w:rsidRPr="00A950EF">
        <w:t xml:space="preserve">. Below, staff addresses the assumptions associated with JEA’s avoided costs and </w:t>
      </w:r>
      <w:r w:rsidR="00026014">
        <w:t>the results of the cost-effectiveness analysis</w:t>
      </w:r>
      <w:r w:rsidRPr="00A950EF">
        <w:t>.</w:t>
      </w:r>
    </w:p>
    <w:p w:rsidR="00A703AF" w:rsidRPr="00A703AF" w:rsidRDefault="00A703AF" w:rsidP="00A703AF">
      <w:pPr>
        <w:ind w:left="720"/>
        <w:jc w:val="both"/>
        <w:rPr>
          <w:rFonts w:ascii="Arial" w:hAnsi="Arial" w:cs="Arial"/>
          <w:b/>
          <w:i/>
        </w:rPr>
      </w:pPr>
      <w:r w:rsidRPr="00A703AF">
        <w:rPr>
          <w:rFonts w:ascii="Arial" w:hAnsi="Arial" w:cs="Arial"/>
          <w:b/>
          <w:i/>
        </w:rPr>
        <w:t>Avoided</w:t>
      </w:r>
      <w:r w:rsidR="00A950EF">
        <w:rPr>
          <w:rFonts w:ascii="Arial" w:hAnsi="Arial" w:cs="Arial"/>
          <w:b/>
          <w:i/>
        </w:rPr>
        <w:t xml:space="preserve"> </w:t>
      </w:r>
      <w:r w:rsidRPr="00A703AF">
        <w:rPr>
          <w:rFonts w:ascii="Arial" w:hAnsi="Arial" w:cs="Arial"/>
          <w:b/>
          <w:i/>
        </w:rPr>
        <w:t>Cost</w:t>
      </w:r>
      <w:r w:rsidR="00A950EF">
        <w:rPr>
          <w:rFonts w:ascii="Arial" w:hAnsi="Arial" w:cs="Arial"/>
          <w:b/>
          <w:i/>
        </w:rPr>
        <w:t>s</w:t>
      </w:r>
    </w:p>
    <w:p w:rsidR="00A950EF" w:rsidRDefault="00A950EF" w:rsidP="00A950EF">
      <w:pPr>
        <w:jc w:val="both"/>
      </w:pPr>
      <w:r>
        <w:t xml:space="preserve">All avoided capacity additions were modeled as a series of natural gas-fired simple cycle combustion turbines, with projected in-service dates </w:t>
      </w:r>
      <w:r w:rsidR="005756BF">
        <w:t xml:space="preserve">of </w:t>
      </w:r>
      <w:r>
        <w:t>2036, 2038, 2040, and 2043. JEA’s avoided units are consistent with the Utility’s filings in the 2019 Goalsetting Proceeding in Docket No. 20190020-EG.</w:t>
      </w:r>
    </w:p>
    <w:p w:rsidR="00A703AF" w:rsidRDefault="00A703AF" w:rsidP="00A703AF">
      <w:pPr>
        <w:ind w:left="720"/>
        <w:jc w:val="both"/>
      </w:pPr>
    </w:p>
    <w:p w:rsidR="00A703AF" w:rsidRPr="00A703AF" w:rsidRDefault="00A703AF" w:rsidP="00A703AF">
      <w:pPr>
        <w:ind w:left="720"/>
        <w:jc w:val="both"/>
        <w:rPr>
          <w:rFonts w:ascii="Arial" w:hAnsi="Arial" w:cs="Arial"/>
          <w:b/>
          <w:i/>
        </w:rPr>
      </w:pPr>
      <w:r w:rsidRPr="00A703AF">
        <w:rPr>
          <w:rFonts w:ascii="Arial" w:hAnsi="Arial" w:cs="Arial"/>
          <w:b/>
          <w:i/>
        </w:rPr>
        <w:t>Cost-Effectiveness Test Results</w:t>
      </w:r>
    </w:p>
    <w:p w:rsidR="001A1244" w:rsidRDefault="00A950EF" w:rsidP="001A1244">
      <w:pPr>
        <w:spacing w:after="240" w:line="261" w:lineRule="auto"/>
        <w:jc w:val="both"/>
      </w:pPr>
      <w:r>
        <w:t xml:space="preserve">The cost-effectiveness analysis of JEA’s demand-side programs shows that </w:t>
      </w:r>
      <w:r w:rsidR="001A1244">
        <w:t>none</w:t>
      </w:r>
      <w:r>
        <w:t xml:space="preserve"> are cost-effective under the RIM </w:t>
      </w:r>
      <w:r w:rsidR="001A1244">
        <w:t xml:space="preserve">and Participants </w:t>
      </w:r>
      <w:r>
        <w:t>Test</w:t>
      </w:r>
      <w:r w:rsidR="005A497B">
        <w:t xml:space="preserve"> combined</w:t>
      </w:r>
      <w:r w:rsidR="001A1244">
        <w:t xml:space="preserve">, and only </w:t>
      </w:r>
      <w:r w:rsidR="00B84FDB">
        <w:t>its</w:t>
      </w:r>
      <w:r w:rsidR="001A1244">
        <w:t xml:space="preserve"> </w:t>
      </w:r>
      <w:r w:rsidR="00B84FDB">
        <w:t>c</w:t>
      </w:r>
      <w:r w:rsidR="00956A96">
        <w:t>ommercial</w:t>
      </w:r>
      <w:r w:rsidR="001A1244">
        <w:t xml:space="preserve"> </w:t>
      </w:r>
      <w:r w:rsidR="00B84FDB">
        <w:t>programs are</w:t>
      </w:r>
      <w:r w:rsidR="001A1244">
        <w:t xml:space="preserve"> cost-effective under the TRC and Participants Tests</w:t>
      </w:r>
      <w:r w:rsidR="005A497B">
        <w:t xml:space="preserve"> combined</w:t>
      </w:r>
      <w:r w:rsidR="001A1244">
        <w:t>.</w:t>
      </w:r>
      <w:r>
        <w:t xml:space="preserve"> </w:t>
      </w:r>
      <w:r w:rsidR="001A1244">
        <w:t>For municipal utilities such as JEA, local decisions fall within the jurisdiction of JEA’s governing body regarding the investment in energy efficiency that best suits local needs and values. Accordingly, as the Commission has recognized in prior proceedings, it is appropriate to defer to municipal utilities’ governing bodies to determine the level of investment if measures are not cost-effective.</w:t>
      </w:r>
      <w:r w:rsidR="001A1244">
        <w:rPr>
          <w:vertAlign w:val="superscript"/>
        </w:rPr>
        <w:footnoteReference w:id="6"/>
      </w:r>
    </w:p>
    <w:p w:rsidR="001A1244" w:rsidRDefault="001A1244" w:rsidP="001A1244">
      <w:pPr>
        <w:keepNext/>
        <w:spacing w:before="480"/>
        <w:jc w:val="center"/>
        <w:rPr>
          <w:b/>
        </w:rPr>
      </w:pPr>
      <w:r>
        <w:rPr>
          <w:b/>
        </w:rPr>
        <w:t>Table 1-4</w:t>
      </w:r>
    </w:p>
    <w:p w:rsidR="001A1244" w:rsidRDefault="001A1244" w:rsidP="001A1244">
      <w:pPr>
        <w:keepNext/>
        <w:jc w:val="center"/>
        <w:rPr>
          <w:b/>
        </w:rPr>
      </w:pPr>
      <w:r>
        <w:rPr>
          <w:b/>
        </w:rPr>
        <w:t>JEA Cost-Effectiveness Test Results by Program</w:t>
      </w:r>
    </w:p>
    <w:tbl>
      <w:tblPr>
        <w:tblW w:w="85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8"/>
        <w:gridCol w:w="1372"/>
        <w:gridCol w:w="1732"/>
        <w:gridCol w:w="1599"/>
      </w:tblGrid>
      <w:tr w:rsidR="001A1244" w:rsidTr="003C3ED4">
        <w:trPr>
          <w:jc w:val="center"/>
        </w:trPr>
        <w:tc>
          <w:tcPr>
            <w:tcW w:w="3888" w:type="dxa"/>
            <w:vAlign w:val="center"/>
          </w:tcPr>
          <w:p w:rsidR="001A1244" w:rsidRDefault="001A1244" w:rsidP="003C3ED4">
            <w:pPr>
              <w:keepNext/>
              <w:jc w:val="center"/>
              <w:rPr>
                <w:b/>
              </w:rPr>
            </w:pPr>
            <w:r>
              <w:rPr>
                <w:b/>
              </w:rPr>
              <w:t>Program Name</w:t>
            </w:r>
          </w:p>
        </w:tc>
        <w:tc>
          <w:tcPr>
            <w:tcW w:w="1372" w:type="dxa"/>
            <w:vAlign w:val="center"/>
          </w:tcPr>
          <w:p w:rsidR="001A1244" w:rsidRDefault="001A1244" w:rsidP="003C3ED4">
            <w:pPr>
              <w:keepNext/>
              <w:jc w:val="center"/>
              <w:rPr>
                <w:b/>
              </w:rPr>
            </w:pPr>
            <w:r>
              <w:rPr>
                <w:b/>
              </w:rPr>
              <w:t>RIM</w:t>
            </w:r>
          </w:p>
          <w:p w:rsidR="001A1244" w:rsidRDefault="001A1244" w:rsidP="003C3ED4">
            <w:pPr>
              <w:keepNext/>
              <w:jc w:val="center"/>
              <w:rPr>
                <w:b/>
              </w:rPr>
            </w:pPr>
            <w:r>
              <w:rPr>
                <w:b/>
              </w:rPr>
              <w:t>Test</w:t>
            </w:r>
          </w:p>
        </w:tc>
        <w:tc>
          <w:tcPr>
            <w:tcW w:w="1732" w:type="dxa"/>
            <w:vAlign w:val="center"/>
          </w:tcPr>
          <w:p w:rsidR="001A1244" w:rsidRDefault="001A1244" w:rsidP="003C3ED4">
            <w:pPr>
              <w:keepNext/>
              <w:jc w:val="center"/>
              <w:rPr>
                <w:b/>
              </w:rPr>
            </w:pPr>
            <w:r>
              <w:rPr>
                <w:b/>
              </w:rPr>
              <w:t>TRC</w:t>
            </w:r>
          </w:p>
          <w:p w:rsidR="001A1244" w:rsidRDefault="001A1244" w:rsidP="003C3ED4">
            <w:pPr>
              <w:keepNext/>
              <w:jc w:val="center"/>
              <w:rPr>
                <w:b/>
              </w:rPr>
            </w:pPr>
            <w:r>
              <w:rPr>
                <w:b/>
              </w:rPr>
              <w:t>Test</w:t>
            </w:r>
          </w:p>
        </w:tc>
        <w:tc>
          <w:tcPr>
            <w:tcW w:w="1599" w:type="dxa"/>
            <w:vAlign w:val="center"/>
          </w:tcPr>
          <w:p w:rsidR="001A1244" w:rsidRDefault="001A1244" w:rsidP="003C3ED4">
            <w:pPr>
              <w:keepNext/>
              <w:jc w:val="center"/>
              <w:rPr>
                <w:b/>
              </w:rPr>
            </w:pPr>
            <w:r>
              <w:rPr>
                <w:b/>
              </w:rPr>
              <w:t>Participants</w:t>
            </w:r>
          </w:p>
          <w:p w:rsidR="001A1244" w:rsidRDefault="001A1244" w:rsidP="003C3ED4">
            <w:pPr>
              <w:keepNext/>
              <w:jc w:val="center"/>
              <w:rPr>
                <w:b/>
              </w:rPr>
            </w:pPr>
            <w:r>
              <w:rPr>
                <w:b/>
              </w:rPr>
              <w:t>Test</w:t>
            </w:r>
            <w:r w:rsidR="00956A96">
              <w:rPr>
                <w:b/>
              </w:rPr>
              <w:t>*</w:t>
            </w:r>
          </w:p>
        </w:tc>
      </w:tr>
      <w:tr w:rsidR="001A1244" w:rsidTr="003C3ED4">
        <w:trPr>
          <w:jc w:val="center"/>
        </w:trPr>
        <w:tc>
          <w:tcPr>
            <w:tcW w:w="8591" w:type="dxa"/>
            <w:gridSpan w:val="4"/>
            <w:vAlign w:val="bottom"/>
          </w:tcPr>
          <w:p w:rsidR="001A1244" w:rsidRDefault="001A1244" w:rsidP="003C3ED4">
            <w:pPr>
              <w:keepNext/>
              <w:jc w:val="center"/>
              <w:rPr>
                <w:b/>
              </w:rPr>
            </w:pPr>
            <w:r>
              <w:rPr>
                <w:b/>
              </w:rPr>
              <w:t>Residential Programs</w:t>
            </w:r>
          </w:p>
        </w:tc>
      </w:tr>
      <w:tr w:rsidR="001A1244" w:rsidTr="003C3ED4">
        <w:trPr>
          <w:jc w:val="center"/>
        </w:trPr>
        <w:tc>
          <w:tcPr>
            <w:tcW w:w="3888" w:type="dxa"/>
            <w:vAlign w:val="bottom"/>
          </w:tcPr>
          <w:p w:rsidR="001A1244" w:rsidRDefault="001A1244" w:rsidP="003C3ED4">
            <w:pPr>
              <w:keepNext/>
            </w:pPr>
            <w:r>
              <w:t xml:space="preserve">Residential Energy Audits </w:t>
            </w:r>
          </w:p>
        </w:tc>
        <w:tc>
          <w:tcPr>
            <w:tcW w:w="1372" w:type="dxa"/>
            <w:vAlign w:val="bottom"/>
          </w:tcPr>
          <w:p w:rsidR="001A1244" w:rsidRDefault="001A1244" w:rsidP="003C3ED4">
            <w:pPr>
              <w:keepNext/>
              <w:jc w:val="center"/>
            </w:pPr>
            <w:r>
              <w:t>0.28</w:t>
            </w:r>
          </w:p>
        </w:tc>
        <w:tc>
          <w:tcPr>
            <w:tcW w:w="1732" w:type="dxa"/>
            <w:vAlign w:val="bottom"/>
          </w:tcPr>
          <w:p w:rsidR="001A1244" w:rsidRDefault="00956A96" w:rsidP="003C3ED4">
            <w:pPr>
              <w:keepNext/>
              <w:jc w:val="center"/>
            </w:pPr>
            <w:r>
              <w:t>0.49</w:t>
            </w:r>
          </w:p>
        </w:tc>
        <w:tc>
          <w:tcPr>
            <w:tcW w:w="1599" w:type="dxa"/>
            <w:vAlign w:val="bottom"/>
          </w:tcPr>
          <w:p w:rsidR="001A1244" w:rsidRDefault="00956A96" w:rsidP="003C3ED4">
            <w:pPr>
              <w:keepNext/>
              <w:jc w:val="center"/>
            </w:pPr>
            <w:r>
              <w:t>∞</w:t>
            </w:r>
          </w:p>
        </w:tc>
      </w:tr>
      <w:tr w:rsidR="001A1244" w:rsidTr="003C3ED4">
        <w:trPr>
          <w:jc w:val="center"/>
        </w:trPr>
        <w:tc>
          <w:tcPr>
            <w:tcW w:w="3888" w:type="dxa"/>
            <w:vAlign w:val="bottom"/>
          </w:tcPr>
          <w:p w:rsidR="001A1244" w:rsidRDefault="001A1244" w:rsidP="003C3ED4">
            <w:pPr>
              <w:keepNext/>
            </w:pPr>
            <w:r>
              <w:t xml:space="preserve">Residential Solar Water Heating </w:t>
            </w:r>
          </w:p>
        </w:tc>
        <w:tc>
          <w:tcPr>
            <w:tcW w:w="1372" w:type="dxa"/>
            <w:vAlign w:val="bottom"/>
          </w:tcPr>
          <w:p w:rsidR="001A1244" w:rsidRDefault="001A1244" w:rsidP="003C3ED4">
            <w:pPr>
              <w:keepNext/>
              <w:jc w:val="center"/>
            </w:pPr>
            <w:r>
              <w:t>0.46</w:t>
            </w:r>
          </w:p>
        </w:tc>
        <w:tc>
          <w:tcPr>
            <w:tcW w:w="1732" w:type="dxa"/>
            <w:vAlign w:val="bottom"/>
          </w:tcPr>
          <w:p w:rsidR="001A1244" w:rsidRDefault="00956A96" w:rsidP="003C3ED4">
            <w:pPr>
              <w:keepNext/>
              <w:jc w:val="center"/>
            </w:pPr>
            <w:r>
              <w:t>0.39</w:t>
            </w:r>
          </w:p>
        </w:tc>
        <w:tc>
          <w:tcPr>
            <w:tcW w:w="1599" w:type="dxa"/>
            <w:vAlign w:val="bottom"/>
          </w:tcPr>
          <w:p w:rsidR="001A1244" w:rsidRDefault="00956A96" w:rsidP="003C3ED4">
            <w:pPr>
              <w:keepNext/>
              <w:jc w:val="center"/>
            </w:pPr>
            <w:r>
              <w:t>0.82</w:t>
            </w:r>
          </w:p>
        </w:tc>
      </w:tr>
      <w:tr w:rsidR="001A1244" w:rsidTr="003C3ED4">
        <w:trPr>
          <w:jc w:val="center"/>
        </w:trPr>
        <w:tc>
          <w:tcPr>
            <w:tcW w:w="3888" w:type="dxa"/>
            <w:vAlign w:val="bottom"/>
          </w:tcPr>
          <w:p w:rsidR="001A1244" w:rsidRDefault="001A1244" w:rsidP="00956A96">
            <w:pPr>
              <w:keepNext/>
            </w:pPr>
            <w:r>
              <w:t xml:space="preserve">Neighborhood Efficiency </w:t>
            </w:r>
          </w:p>
        </w:tc>
        <w:tc>
          <w:tcPr>
            <w:tcW w:w="1372" w:type="dxa"/>
            <w:vAlign w:val="bottom"/>
          </w:tcPr>
          <w:p w:rsidR="001A1244" w:rsidRDefault="001A1244" w:rsidP="003C3ED4">
            <w:pPr>
              <w:keepNext/>
              <w:jc w:val="center"/>
            </w:pPr>
            <w:r>
              <w:t>0.41</w:t>
            </w:r>
          </w:p>
        </w:tc>
        <w:tc>
          <w:tcPr>
            <w:tcW w:w="1732" w:type="dxa"/>
            <w:vAlign w:val="bottom"/>
          </w:tcPr>
          <w:p w:rsidR="001A1244" w:rsidRDefault="00956A96" w:rsidP="003C3ED4">
            <w:pPr>
              <w:keepNext/>
              <w:jc w:val="center"/>
            </w:pPr>
            <w:r>
              <w:t>0.99</w:t>
            </w:r>
          </w:p>
        </w:tc>
        <w:tc>
          <w:tcPr>
            <w:tcW w:w="1599" w:type="dxa"/>
            <w:vAlign w:val="bottom"/>
          </w:tcPr>
          <w:p w:rsidR="001A1244" w:rsidRDefault="00956A96" w:rsidP="003C3ED4">
            <w:pPr>
              <w:keepNext/>
              <w:jc w:val="center"/>
            </w:pPr>
            <w:r>
              <w:t>∞</w:t>
            </w:r>
          </w:p>
        </w:tc>
      </w:tr>
      <w:tr w:rsidR="001A1244" w:rsidTr="003C3ED4">
        <w:trPr>
          <w:jc w:val="center"/>
        </w:trPr>
        <w:tc>
          <w:tcPr>
            <w:tcW w:w="8591" w:type="dxa"/>
            <w:gridSpan w:val="4"/>
            <w:vAlign w:val="bottom"/>
          </w:tcPr>
          <w:p w:rsidR="001A1244" w:rsidRDefault="001A1244" w:rsidP="003C3ED4">
            <w:pPr>
              <w:keepNext/>
              <w:jc w:val="center"/>
              <w:rPr>
                <w:b/>
              </w:rPr>
            </w:pPr>
            <w:r>
              <w:rPr>
                <w:b/>
              </w:rPr>
              <w:t>Commercial Programs</w:t>
            </w:r>
          </w:p>
        </w:tc>
      </w:tr>
      <w:tr w:rsidR="001A1244" w:rsidTr="003C3ED4">
        <w:trPr>
          <w:jc w:val="center"/>
        </w:trPr>
        <w:tc>
          <w:tcPr>
            <w:tcW w:w="3888" w:type="dxa"/>
            <w:vAlign w:val="bottom"/>
          </w:tcPr>
          <w:p w:rsidR="001A1244" w:rsidRDefault="00956A96" w:rsidP="003C3ED4">
            <w:pPr>
              <w:keepNext/>
            </w:pPr>
            <w:r>
              <w:t>Commercial</w:t>
            </w:r>
            <w:r w:rsidR="001A1244">
              <w:t xml:space="preserve"> Energy Audits </w:t>
            </w:r>
          </w:p>
        </w:tc>
        <w:tc>
          <w:tcPr>
            <w:tcW w:w="1372" w:type="dxa"/>
            <w:vAlign w:val="bottom"/>
          </w:tcPr>
          <w:p w:rsidR="001A1244" w:rsidRDefault="001A1244" w:rsidP="003C3ED4">
            <w:pPr>
              <w:keepNext/>
              <w:jc w:val="center"/>
            </w:pPr>
            <w:r>
              <w:t>0.64</w:t>
            </w:r>
          </w:p>
        </w:tc>
        <w:tc>
          <w:tcPr>
            <w:tcW w:w="1732" w:type="dxa"/>
            <w:vAlign w:val="bottom"/>
          </w:tcPr>
          <w:p w:rsidR="001A1244" w:rsidRDefault="00956A96" w:rsidP="00B84FDB">
            <w:pPr>
              <w:keepNext/>
              <w:jc w:val="center"/>
            </w:pPr>
            <w:r>
              <w:t>1.32</w:t>
            </w:r>
          </w:p>
        </w:tc>
        <w:tc>
          <w:tcPr>
            <w:tcW w:w="1599" w:type="dxa"/>
            <w:vAlign w:val="bottom"/>
          </w:tcPr>
          <w:p w:rsidR="001A1244" w:rsidRDefault="00956A96" w:rsidP="003C3ED4">
            <w:pPr>
              <w:keepNext/>
              <w:jc w:val="center"/>
            </w:pPr>
            <w:r>
              <w:t>∞</w:t>
            </w:r>
          </w:p>
        </w:tc>
      </w:tr>
      <w:tr w:rsidR="001A1244" w:rsidTr="003C3ED4">
        <w:trPr>
          <w:jc w:val="center"/>
        </w:trPr>
        <w:tc>
          <w:tcPr>
            <w:tcW w:w="3888" w:type="dxa"/>
            <w:vAlign w:val="bottom"/>
          </w:tcPr>
          <w:p w:rsidR="001A1244" w:rsidRDefault="001A1244" w:rsidP="00956A96">
            <w:pPr>
              <w:keepNext/>
            </w:pPr>
            <w:r>
              <w:t xml:space="preserve">Commercial </w:t>
            </w:r>
            <w:r w:rsidR="00956A96">
              <w:t>Prescriptive Lighting</w:t>
            </w:r>
            <w:r>
              <w:t xml:space="preserve"> </w:t>
            </w:r>
          </w:p>
        </w:tc>
        <w:tc>
          <w:tcPr>
            <w:tcW w:w="1372" w:type="dxa"/>
            <w:vAlign w:val="bottom"/>
          </w:tcPr>
          <w:p w:rsidR="001A1244" w:rsidRDefault="001A1244" w:rsidP="00956A96">
            <w:pPr>
              <w:keepNext/>
              <w:jc w:val="center"/>
            </w:pPr>
            <w:r>
              <w:t>0.</w:t>
            </w:r>
            <w:r w:rsidR="00956A96">
              <w:t>69</w:t>
            </w:r>
          </w:p>
        </w:tc>
        <w:tc>
          <w:tcPr>
            <w:tcW w:w="1732" w:type="dxa"/>
            <w:vAlign w:val="bottom"/>
          </w:tcPr>
          <w:p w:rsidR="001A1244" w:rsidRDefault="00956A96" w:rsidP="003C3ED4">
            <w:pPr>
              <w:keepNext/>
              <w:jc w:val="center"/>
            </w:pPr>
            <w:r>
              <w:t>1.69</w:t>
            </w:r>
          </w:p>
        </w:tc>
        <w:tc>
          <w:tcPr>
            <w:tcW w:w="1599" w:type="dxa"/>
            <w:vAlign w:val="bottom"/>
          </w:tcPr>
          <w:p w:rsidR="001A1244" w:rsidRDefault="00956A96" w:rsidP="003C3ED4">
            <w:pPr>
              <w:keepNext/>
              <w:jc w:val="center"/>
            </w:pPr>
            <w:r>
              <w:t>2.91</w:t>
            </w:r>
          </w:p>
        </w:tc>
      </w:tr>
    </w:tbl>
    <w:p w:rsidR="00956A96" w:rsidRDefault="00956A96" w:rsidP="00956A96">
      <w:pPr>
        <w:ind w:firstLine="720"/>
        <w:jc w:val="both"/>
        <w:rPr>
          <w:sz w:val="20"/>
          <w:szCs w:val="20"/>
        </w:rPr>
      </w:pPr>
      <w:r>
        <w:rPr>
          <w:sz w:val="20"/>
          <w:szCs w:val="20"/>
        </w:rPr>
        <w:t>* A Participants Test score may result in infinity (∞) if there are no costs to participants.</w:t>
      </w:r>
    </w:p>
    <w:p w:rsidR="001A1244" w:rsidRPr="00A703AF" w:rsidRDefault="001A1244" w:rsidP="00956A96">
      <w:pPr>
        <w:ind w:firstLine="720"/>
        <w:jc w:val="both"/>
        <w:rPr>
          <w:sz w:val="20"/>
          <w:szCs w:val="20"/>
        </w:rPr>
      </w:pPr>
      <w:r w:rsidRPr="00A703AF">
        <w:rPr>
          <w:sz w:val="20"/>
          <w:szCs w:val="20"/>
        </w:rPr>
        <w:t>Source: Document No. 0</w:t>
      </w:r>
      <w:r w:rsidR="00956A96">
        <w:rPr>
          <w:sz w:val="20"/>
          <w:szCs w:val="20"/>
        </w:rPr>
        <w:t>2304</w:t>
      </w:r>
      <w:r w:rsidRPr="00A703AF">
        <w:rPr>
          <w:sz w:val="20"/>
          <w:szCs w:val="20"/>
        </w:rPr>
        <w:t>-2020</w:t>
      </w:r>
    </w:p>
    <w:p w:rsidR="00A703AF" w:rsidRPr="00EF43E9" w:rsidRDefault="00A703AF" w:rsidP="00956A96">
      <w:pPr>
        <w:keepNext/>
        <w:jc w:val="both"/>
        <w:rPr>
          <w:rFonts w:ascii="Arial" w:hAnsi="Arial" w:cs="Arial"/>
          <w:b/>
        </w:rPr>
      </w:pPr>
      <w:r w:rsidRPr="00EF43E9">
        <w:rPr>
          <w:rFonts w:ascii="Arial" w:hAnsi="Arial" w:cs="Arial"/>
          <w:b/>
        </w:rPr>
        <w:lastRenderedPageBreak/>
        <w:t>Rate Impact</w:t>
      </w:r>
    </w:p>
    <w:p w:rsidR="001A1244" w:rsidRDefault="001A1244" w:rsidP="00A703AF">
      <w:pPr>
        <w:spacing w:after="240"/>
        <w:jc w:val="both"/>
      </w:pPr>
      <w:r w:rsidRPr="001A1244">
        <w:t>The cost</w:t>
      </w:r>
      <w:r w:rsidR="00026014">
        <w:t>s</w:t>
      </w:r>
      <w:r w:rsidRPr="001A1244">
        <w:t xml:space="preserve"> to implement the programs </w:t>
      </w:r>
      <w:r w:rsidR="00026014">
        <w:t>within</w:t>
      </w:r>
      <w:r w:rsidRPr="001A1244">
        <w:t xml:space="preserve"> JEA’s DSM Plan would be established by the municipal utility’s governing body. Overall, the DSM programs are a small amount of the customer’s bill. Table 1-5 below is an estimate of the monthly bill impact on the typical residential and commercial customer over a </w:t>
      </w:r>
      <w:r w:rsidR="00F13A77">
        <w:t>five</w:t>
      </w:r>
      <w:r w:rsidRPr="001A1244">
        <w:t>-year period. The estimated costs are based upon participation rates and administrative costs used in the cost-effectiveness analysis. Much like investments in generation, transmission, and distribution, investments in energy efficiency have an immediate rate impact, but may produce savings over time.</w:t>
      </w:r>
    </w:p>
    <w:p w:rsidR="00A703AF" w:rsidRDefault="00A703AF" w:rsidP="00A703AF">
      <w:pPr>
        <w:keepNext/>
        <w:spacing w:before="480"/>
        <w:jc w:val="center"/>
        <w:rPr>
          <w:b/>
        </w:rPr>
      </w:pPr>
      <w:r>
        <w:rPr>
          <w:b/>
        </w:rPr>
        <w:t>Table 1-5</w:t>
      </w:r>
    </w:p>
    <w:p w:rsidR="00A703AF" w:rsidRDefault="00A703AF" w:rsidP="00A703AF">
      <w:pPr>
        <w:keepNext/>
        <w:jc w:val="center"/>
        <w:rPr>
          <w:b/>
        </w:rPr>
      </w:pPr>
      <w:r>
        <w:rPr>
          <w:b/>
        </w:rPr>
        <w:t>JEA Estimated Monthly Bill Impact of Proposed DSM Plan</w:t>
      </w:r>
    </w:p>
    <w:tbl>
      <w:tblPr>
        <w:tblStyle w:val="TableGrid"/>
        <w:tblW w:w="0" w:type="auto"/>
        <w:jc w:val="center"/>
        <w:tblLook w:val="04A0" w:firstRow="1" w:lastRow="0" w:firstColumn="1" w:lastColumn="0" w:noHBand="0" w:noVBand="1"/>
      </w:tblPr>
      <w:tblGrid>
        <w:gridCol w:w="816"/>
        <w:gridCol w:w="2770"/>
      </w:tblGrid>
      <w:tr w:rsidR="00F13A77" w:rsidTr="00F13A77">
        <w:trPr>
          <w:jc w:val="center"/>
        </w:trPr>
        <w:tc>
          <w:tcPr>
            <w:tcW w:w="816" w:type="dxa"/>
            <w:vMerge w:val="restart"/>
          </w:tcPr>
          <w:p w:rsidR="00F13A77" w:rsidRPr="00FE0077" w:rsidRDefault="00F13A77" w:rsidP="007E18DF">
            <w:pPr>
              <w:tabs>
                <w:tab w:val="left" w:pos="810"/>
              </w:tabs>
              <w:jc w:val="center"/>
              <w:rPr>
                <w:b/>
              </w:rPr>
            </w:pPr>
            <w:r w:rsidRPr="00FE0077">
              <w:rPr>
                <w:b/>
              </w:rPr>
              <w:t>Year</w:t>
            </w:r>
          </w:p>
        </w:tc>
        <w:tc>
          <w:tcPr>
            <w:tcW w:w="2770" w:type="dxa"/>
          </w:tcPr>
          <w:p w:rsidR="00F13A77" w:rsidRPr="00E2405B" w:rsidRDefault="00F13A77" w:rsidP="007E18DF">
            <w:pPr>
              <w:jc w:val="center"/>
              <w:rPr>
                <w:b/>
              </w:rPr>
            </w:pPr>
            <w:r w:rsidRPr="00E2405B">
              <w:rPr>
                <w:b/>
              </w:rPr>
              <w:t>Residential Customer</w:t>
            </w:r>
          </w:p>
          <w:p w:rsidR="00F13A77" w:rsidRDefault="00F13A77" w:rsidP="007E18DF">
            <w:pPr>
              <w:tabs>
                <w:tab w:val="left" w:pos="810"/>
              </w:tabs>
              <w:jc w:val="center"/>
            </w:pPr>
            <w:r w:rsidRPr="00E2405B">
              <w:rPr>
                <w:b/>
              </w:rPr>
              <w:t>1,200 kWh/</w:t>
            </w:r>
            <w:proofErr w:type="spellStart"/>
            <w:r w:rsidRPr="00E2405B">
              <w:rPr>
                <w:b/>
              </w:rPr>
              <w:t>mo</w:t>
            </w:r>
            <w:proofErr w:type="spellEnd"/>
          </w:p>
        </w:tc>
      </w:tr>
      <w:tr w:rsidR="00F13A77" w:rsidTr="00F13A77">
        <w:trPr>
          <w:jc w:val="center"/>
        </w:trPr>
        <w:tc>
          <w:tcPr>
            <w:tcW w:w="816" w:type="dxa"/>
            <w:vMerge/>
          </w:tcPr>
          <w:p w:rsidR="00F13A77" w:rsidRDefault="00F13A77" w:rsidP="007E18DF">
            <w:pPr>
              <w:tabs>
                <w:tab w:val="left" w:pos="810"/>
              </w:tabs>
              <w:jc w:val="center"/>
            </w:pPr>
          </w:p>
        </w:tc>
        <w:tc>
          <w:tcPr>
            <w:tcW w:w="2770" w:type="dxa"/>
          </w:tcPr>
          <w:p w:rsidR="00F13A77" w:rsidRDefault="00F13A77" w:rsidP="007E18DF">
            <w:pPr>
              <w:jc w:val="center"/>
            </w:pPr>
            <w:r w:rsidRPr="00E2405B">
              <w:rPr>
                <w:b/>
              </w:rPr>
              <w:t>Monthly Bill</w:t>
            </w:r>
            <w:r>
              <w:rPr>
                <w:b/>
              </w:rPr>
              <w:t xml:space="preserve"> </w:t>
            </w:r>
            <w:r w:rsidRPr="00E2405B">
              <w:rPr>
                <w:b/>
              </w:rPr>
              <w:t>Impact ($)</w:t>
            </w:r>
          </w:p>
        </w:tc>
      </w:tr>
      <w:tr w:rsidR="00F13A77" w:rsidTr="00F13A77">
        <w:trPr>
          <w:jc w:val="center"/>
        </w:trPr>
        <w:tc>
          <w:tcPr>
            <w:tcW w:w="816" w:type="dxa"/>
            <w:vAlign w:val="center"/>
          </w:tcPr>
          <w:p w:rsidR="00F13A77" w:rsidRPr="00E2405B" w:rsidRDefault="00F13A77" w:rsidP="007E18DF">
            <w:pPr>
              <w:jc w:val="center"/>
              <w:rPr>
                <w:b/>
              </w:rPr>
            </w:pPr>
            <w:r w:rsidRPr="00E2405B">
              <w:rPr>
                <w:b/>
              </w:rPr>
              <w:t>2020</w:t>
            </w:r>
          </w:p>
        </w:tc>
        <w:tc>
          <w:tcPr>
            <w:tcW w:w="2770" w:type="dxa"/>
            <w:vAlign w:val="center"/>
          </w:tcPr>
          <w:p w:rsidR="00F13A77" w:rsidRPr="00E2405B" w:rsidRDefault="00F13A77" w:rsidP="00956A96">
            <w:pPr>
              <w:jc w:val="center"/>
            </w:pPr>
            <w:r>
              <w:t>$0.</w:t>
            </w:r>
            <w:r w:rsidR="00956A96">
              <w:t>05</w:t>
            </w:r>
          </w:p>
        </w:tc>
      </w:tr>
      <w:tr w:rsidR="00F13A77" w:rsidTr="00F13A77">
        <w:trPr>
          <w:jc w:val="center"/>
        </w:trPr>
        <w:tc>
          <w:tcPr>
            <w:tcW w:w="816" w:type="dxa"/>
            <w:vAlign w:val="center"/>
          </w:tcPr>
          <w:p w:rsidR="00F13A77" w:rsidRPr="00E2405B" w:rsidRDefault="00F13A77" w:rsidP="007E18DF">
            <w:pPr>
              <w:jc w:val="center"/>
              <w:rPr>
                <w:b/>
              </w:rPr>
            </w:pPr>
            <w:r w:rsidRPr="00E2405B">
              <w:rPr>
                <w:b/>
              </w:rPr>
              <w:t>2021</w:t>
            </w:r>
          </w:p>
        </w:tc>
        <w:tc>
          <w:tcPr>
            <w:tcW w:w="2770" w:type="dxa"/>
            <w:vAlign w:val="center"/>
          </w:tcPr>
          <w:p w:rsidR="00F13A77" w:rsidRPr="00E2405B" w:rsidRDefault="00F13A77" w:rsidP="00956A96">
            <w:pPr>
              <w:jc w:val="center"/>
            </w:pPr>
            <w:r>
              <w:t>$0.</w:t>
            </w:r>
            <w:r w:rsidR="00956A96">
              <w:t>08</w:t>
            </w:r>
          </w:p>
        </w:tc>
      </w:tr>
      <w:tr w:rsidR="00F13A77" w:rsidTr="00F13A77">
        <w:trPr>
          <w:jc w:val="center"/>
        </w:trPr>
        <w:tc>
          <w:tcPr>
            <w:tcW w:w="816" w:type="dxa"/>
            <w:vAlign w:val="center"/>
          </w:tcPr>
          <w:p w:rsidR="00F13A77" w:rsidRPr="00E2405B" w:rsidRDefault="00F13A77" w:rsidP="007E18DF">
            <w:pPr>
              <w:jc w:val="center"/>
              <w:rPr>
                <w:b/>
              </w:rPr>
            </w:pPr>
            <w:r w:rsidRPr="00E2405B">
              <w:rPr>
                <w:b/>
              </w:rPr>
              <w:t>2022</w:t>
            </w:r>
          </w:p>
        </w:tc>
        <w:tc>
          <w:tcPr>
            <w:tcW w:w="2770" w:type="dxa"/>
            <w:vAlign w:val="center"/>
          </w:tcPr>
          <w:p w:rsidR="00F13A77" w:rsidRPr="00E2405B" w:rsidRDefault="00F13A77" w:rsidP="00956A96">
            <w:pPr>
              <w:jc w:val="center"/>
            </w:pPr>
            <w:r>
              <w:t>$0.</w:t>
            </w:r>
            <w:r w:rsidR="00956A96">
              <w:t>10</w:t>
            </w:r>
          </w:p>
        </w:tc>
      </w:tr>
      <w:tr w:rsidR="00F13A77" w:rsidTr="00F13A77">
        <w:trPr>
          <w:jc w:val="center"/>
        </w:trPr>
        <w:tc>
          <w:tcPr>
            <w:tcW w:w="816" w:type="dxa"/>
            <w:vAlign w:val="center"/>
          </w:tcPr>
          <w:p w:rsidR="00F13A77" w:rsidRPr="00E2405B" w:rsidRDefault="00F13A77" w:rsidP="007E18DF">
            <w:pPr>
              <w:jc w:val="center"/>
              <w:rPr>
                <w:b/>
              </w:rPr>
            </w:pPr>
            <w:r w:rsidRPr="00E2405B">
              <w:rPr>
                <w:b/>
              </w:rPr>
              <w:t>2023</w:t>
            </w:r>
          </w:p>
        </w:tc>
        <w:tc>
          <w:tcPr>
            <w:tcW w:w="2770" w:type="dxa"/>
            <w:vAlign w:val="center"/>
          </w:tcPr>
          <w:p w:rsidR="00F13A77" w:rsidRPr="00E2405B" w:rsidRDefault="00F13A77" w:rsidP="00956A96">
            <w:pPr>
              <w:jc w:val="center"/>
            </w:pPr>
            <w:r>
              <w:t>$0.</w:t>
            </w:r>
            <w:r w:rsidR="00956A96">
              <w:t>13</w:t>
            </w:r>
          </w:p>
        </w:tc>
      </w:tr>
      <w:tr w:rsidR="00F13A77" w:rsidTr="00F13A77">
        <w:trPr>
          <w:jc w:val="center"/>
        </w:trPr>
        <w:tc>
          <w:tcPr>
            <w:tcW w:w="816" w:type="dxa"/>
            <w:vAlign w:val="center"/>
          </w:tcPr>
          <w:p w:rsidR="00F13A77" w:rsidRPr="00E2405B" w:rsidRDefault="00F13A77" w:rsidP="007E18DF">
            <w:pPr>
              <w:jc w:val="center"/>
              <w:rPr>
                <w:b/>
              </w:rPr>
            </w:pPr>
            <w:r w:rsidRPr="00E2405B">
              <w:rPr>
                <w:b/>
              </w:rPr>
              <w:t>2024</w:t>
            </w:r>
          </w:p>
        </w:tc>
        <w:tc>
          <w:tcPr>
            <w:tcW w:w="2770" w:type="dxa"/>
            <w:vAlign w:val="center"/>
          </w:tcPr>
          <w:p w:rsidR="00F13A77" w:rsidRPr="00E2405B" w:rsidRDefault="00F13A77" w:rsidP="00956A96">
            <w:pPr>
              <w:jc w:val="center"/>
            </w:pPr>
            <w:r>
              <w:t>$0.</w:t>
            </w:r>
            <w:r w:rsidR="00956A96">
              <w:t>15</w:t>
            </w:r>
          </w:p>
        </w:tc>
      </w:tr>
    </w:tbl>
    <w:p w:rsidR="00A703AF" w:rsidRPr="00A703AF" w:rsidRDefault="00A703AF" w:rsidP="00A703AF">
      <w:pPr>
        <w:tabs>
          <w:tab w:val="left" w:pos="810"/>
        </w:tabs>
        <w:spacing w:after="480"/>
        <w:ind w:left="-90"/>
        <w:rPr>
          <w:sz w:val="20"/>
          <w:szCs w:val="20"/>
        </w:rPr>
      </w:pPr>
      <w:r>
        <w:tab/>
      </w:r>
      <w:r w:rsidR="0086629B">
        <w:tab/>
      </w:r>
      <w:r w:rsidR="0086629B">
        <w:tab/>
      </w:r>
      <w:r w:rsidR="0086629B">
        <w:tab/>
      </w:r>
      <w:r w:rsidRPr="0086629B">
        <w:rPr>
          <w:sz w:val="20"/>
          <w:szCs w:val="20"/>
        </w:rPr>
        <w:t xml:space="preserve">Source: Document No. </w:t>
      </w:r>
      <w:r w:rsidR="0086629B" w:rsidRPr="0086629B">
        <w:rPr>
          <w:sz w:val="20"/>
          <w:szCs w:val="20"/>
        </w:rPr>
        <w:t>0</w:t>
      </w:r>
      <w:r w:rsidR="00956A96">
        <w:rPr>
          <w:sz w:val="20"/>
          <w:szCs w:val="20"/>
        </w:rPr>
        <w:t>2304</w:t>
      </w:r>
      <w:r w:rsidR="0086629B" w:rsidRPr="0086629B">
        <w:rPr>
          <w:sz w:val="20"/>
          <w:szCs w:val="20"/>
        </w:rPr>
        <w:t>-2020</w:t>
      </w:r>
    </w:p>
    <w:p w:rsidR="00A703AF" w:rsidRPr="00EF43E9" w:rsidRDefault="00A703AF" w:rsidP="00A703AF">
      <w:pPr>
        <w:jc w:val="both"/>
        <w:rPr>
          <w:rFonts w:ascii="Arial" w:hAnsi="Arial" w:cs="Arial"/>
          <w:b/>
        </w:rPr>
      </w:pPr>
      <w:r w:rsidRPr="00EF43E9">
        <w:rPr>
          <w:rFonts w:ascii="Arial" w:hAnsi="Arial" w:cs="Arial"/>
          <w:b/>
        </w:rPr>
        <w:t>Conclusion</w:t>
      </w:r>
    </w:p>
    <w:p w:rsidR="001A1244" w:rsidRDefault="001A1244" w:rsidP="001A1244">
      <w:pPr>
        <w:jc w:val="both"/>
        <w:rPr>
          <w:highlight w:val="white"/>
        </w:rPr>
      </w:pPr>
      <w:r>
        <w:t>The DSM Plan proposed by JEA is projected to meet or exceed the annual numeric conservation goals approved by the Commission in the 2019 Goalsetting Order</w:t>
      </w:r>
      <w:r w:rsidR="00B84607">
        <w:t>.</w:t>
      </w:r>
      <w:r w:rsidR="00175E9E">
        <w:t xml:space="preserve"> </w:t>
      </w:r>
      <w:r w:rsidR="00B84FDB">
        <w:t xml:space="preserve">JEA’s 2020 DSM Plan is a continuation, with some modifications, of its DSM Plan approved by the Commission in 2015 or voluntary programs taken outside of its DSM Plan. </w:t>
      </w:r>
      <w:r>
        <w:t>JEA’s DSM Plan is not projected to be cost-effective based upon the RIM Test. However, th</w:t>
      </w:r>
      <w:r>
        <w:rPr>
          <w:highlight w:val="white"/>
        </w:rPr>
        <w:t xml:space="preserve">e Commission should allow JEA to continue programs considering JEA’s status as a municipal utility, where the local governing body is given the latitude to make decisions regarding local community investment in energy efficiency. JEA’s local governing body will make its own determination as to whether expenditures are reasonable and prudent and will decide if it is necessary to modify and or remove programs. </w:t>
      </w:r>
    </w:p>
    <w:p w:rsidR="001A1244" w:rsidRDefault="001A1244" w:rsidP="001A1244">
      <w:pPr>
        <w:jc w:val="both"/>
        <w:rPr>
          <w:highlight w:val="yellow"/>
        </w:rPr>
      </w:pPr>
    </w:p>
    <w:p w:rsidR="00057F74" w:rsidRDefault="001A1244" w:rsidP="001A1244">
      <w:pPr>
        <w:jc w:val="both"/>
      </w:pPr>
      <w:r>
        <w:t>Staff also recommends that JEA file its administrative program standards for all programs within 30 days of the Consummating Order being issued in this docke</w:t>
      </w:r>
      <w:r w:rsidRPr="0040476E">
        <w:t xml:space="preserve">t. Staff further recommends </w:t>
      </w:r>
      <w:r>
        <w:t>that the Commission grant staff administrative authority to review and approve these standards.</w:t>
      </w:r>
    </w:p>
    <w:p w:rsidR="00077DB1" w:rsidRDefault="00077DB1" w:rsidP="00A703AF">
      <w:pPr>
        <w:pStyle w:val="BodyText"/>
      </w:pPr>
    </w:p>
    <w:p w:rsidR="00077DB1" w:rsidRDefault="00077DB1">
      <w:pPr>
        <w:pStyle w:val="IssueHeading"/>
        <w:rPr>
          <w:vanish/>
          <w:specVanish/>
        </w:rPr>
      </w:pPr>
      <w:r w:rsidRPr="004C3641">
        <w:rPr>
          <w:b w:val="0"/>
          <w:i w:val="0"/>
        </w:rPr>
        <w:br w:type="page"/>
      </w:r>
      <w:r w:rsidRPr="004C3641">
        <w:lastRenderedPageBreak/>
        <w:t xml:space="preserve">Issue </w:t>
      </w:r>
      <w:r w:rsidR="007E3ADB">
        <w:fldChar w:fldCharType="begin"/>
      </w:r>
      <w:r w:rsidR="007E3ADB">
        <w:instrText xml:space="preserve"> SEQ Issue \* MERGEFORMAT </w:instrText>
      </w:r>
      <w:r w:rsidR="007E3ADB">
        <w:fldChar w:fldCharType="separate"/>
      </w:r>
      <w:r>
        <w:rPr>
          <w:noProof/>
        </w:rPr>
        <w:t>2</w:t>
      </w:r>
      <w:r w:rsidR="007E3AD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077DB1" w:rsidRDefault="00077DB1">
      <w:pPr>
        <w:pStyle w:val="BodyText"/>
      </w:pPr>
      <w:r>
        <w:t>Should this docket be closed?</w:t>
      </w:r>
    </w:p>
    <w:p w:rsidR="00077DB1" w:rsidRPr="004C3641" w:rsidRDefault="00077DB1">
      <w:pPr>
        <w:pStyle w:val="IssueSubsectionHeading"/>
        <w:rPr>
          <w:vanish/>
          <w:specVanish/>
        </w:rPr>
      </w:pPr>
      <w:r w:rsidRPr="004C3641">
        <w:t>Recommendation: </w:t>
      </w:r>
    </w:p>
    <w:p w:rsidR="00077DB1" w:rsidRDefault="00EF43E9">
      <w:pPr>
        <w:pStyle w:val="BodyText"/>
      </w:pPr>
      <w:r w:rsidRPr="002A1B48">
        <w:t>No.</w:t>
      </w:r>
      <w:r>
        <w:t xml:space="preserve"> If no person whose substantial interests are affected by the proposed agency action files a protest within 21 days of the issuance of the PAA Order, a Consummating Order should be issued. If the Commission approves any programs, the programs should become effective on the date of the Consummating Order. </w:t>
      </w:r>
      <w:r w:rsidR="00CB4A03">
        <w:t>However, i</w:t>
      </w:r>
      <w:r>
        <w:t>f a protest is filed within 21 days of the issuance of the PAA Order, the programs should not be implemented until after the resolution of the protest.</w:t>
      </w:r>
      <w:r w:rsidR="002502E4">
        <w:t xml:space="preserve"> In either event</w:t>
      </w:r>
      <w:r>
        <w:t xml:space="preserve">, the docket should remain open for staff’s verification that the program standards have been filed by the utility and approved by staff. When the PAA issues become final and the program standards have been approved, this docket should be closed administratively. </w:t>
      </w:r>
      <w:r w:rsidRPr="002A1B48">
        <w:t>(</w:t>
      </w:r>
      <w:r w:rsidR="00C34808" w:rsidRPr="002A1B48">
        <w:t>Passidomo, Murphy</w:t>
      </w:r>
      <w:r w:rsidRPr="002A1B48">
        <w:t>)</w:t>
      </w:r>
      <w:r w:rsidR="00077DB1">
        <w:t xml:space="preserve"> </w:t>
      </w:r>
    </w:p>
    <w:p w:rsidR="00077DB1" w:rsidRPr="004C3641" w:rsidRDefault="00077DB1">
      <w:pPr>
        <w:pStyle w:val="IssueSubsectionHeading"/>
        <w:rPr>
          <w:vanish/>
          <w:specVanish/>
        </w:rPr>
      </w:pPr>
      <w:r w:rsidRPr="004C3641">
        <w:t>Staff Analysis: </w:t>
      </w:r>
    </w:p>
    <w:p w:rsidR="00E06484" w:rsidRDefault="00EF43E9" w:rsidP="00E275D8">
      <w:pPr>
        <w:pStyle w:val="BodyText"/>
      </w:pPr>
      <w:r>
        <w:t xml:space="preserve">If no person whose substantial interests are affected by the proposed agency action files a protest within 21 days of the issuance of the PAA Order, a Consummating Order should be issued. If the Commission approves any programs, the programs should become effective on the date of the Consummating Order. </w:t>
      </w:r>
      <w:r w:rsidR="002502E4">
        <w:t>However, i</w:t>
      </w:r>
      <w:r>
        <w:t xml:space="preserve">f a protest is filed within 21 days of the issuance of the PAA Order, the programs should not be implemented until after the resolution of the protest. </w:t>
      </w:r>
      <w:r w:rsidR="009D76C3">
        <w:t xml:space="preserve">In either event, </w:t>
      </w:r>
      <w:r>
        <w:t>the docket should remain open for staff’s verification that the program standards have been filed by the utility and approved by staff. When the PAA issues become final and the program standards have been approved, this docket should be closed administratively.</w:t>
      </w:r>
    </w:p>
    <w:p w:rsidR="00B45411" w:rsidRDefault="00B45411" w:rsidP="00E275D8">
      <w:pPr>
        <w:pStyle w:val="BodyText"/>
        <w:sectPr w:rsidR="00B45411"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B45411" w:rsidRPr="00B415C6" w:rsidRDefault="00B45411" w:rsidP="00B45411">
      <w:pPr>
        <w:spacing w:after="240"/>
        <w:jc w:val="center"/>
        <w:rPr>
          <w:b/>
        </w:rPr>
      </w:pPr>
      <w:r w:rsidRPr="00B415C6">
        <w:rPr>
          <w:b/>
        </w:rPr>
        <w:lastRenderedPageBreak/>
        <w:t>JEA</w:t>
      </w:r>
      <w:r>
        <w:rPr>
          <w:b/>
        </w:rPr>
        <w:t xml:space="preserve"> 2020 DSM Plan</w:t>
      </w:r>
    </w:p>
    <w:p w:rsidR="00B45411" w:rsidRPr="00B415C6" w:rsidRDefault="00B45411" w:rsidP="00413A73">
      <w:pPr>
        <w:spacing w:after="240"/>
        <w:jc w:val="both"/>
        <w:rPr>
          <w:b/>
        </w:rPr>
      </w:pPr>
      <w:r w:rsidRPr="00B415C6">
        <w:rPr>
          <w:b/>
        </w:rPr>
        <w:t xml:space="preserve">Residential Programs </w:t>
      </w:r>
    </w:p>
    <w:p w:rsidR="00B45411" w:rsidRPr="00B415C6" w:rsidRDefault="00950A25" w:rsidP="00413A73">
      <w:pPr>
        <w:ind w:firstLine="720"/>
        <w:jc w:val="both"/>
        <w:rPr>
          <w:b/>
          <w:i/>
        </w:rPr>
      </w:pPr>
      <w:r>
        <w:rPr>
          <w:b/>
          <w:i/>
        </w:rPr>
        <w:t>Residential Energy Audits</w:t>
      </w:r>
    </w:p>
    <w:p w:rsidR="00B45411" w:rsidRPr="00B415C6" w:rsidRDefault="00B45411" w:rsidP="00413A73">
      <w:pPr>
        <w:spacing w:after="240"/>
        <w:jc w:val="both"/>
      </w:pPr>
      <w:r>
        <w:t>The Utility’s A</w:t>
      </w:r>
      <w:r w:rsidRPr="00B415C6">
        <w:t xml:space="preserve">uditors examine homes, educate customers and make recommendations on low-cost or no-cost energy-saving practices and measures. </w:t>
      </w:r>
    </w:p>
    <w:p w:rsidR="00B45411" w:rsidRPr="00B415C6" w:rsidRDefault="00950A25" w:rsidP="00413A73">
      <w:pPr>
        <w:ind w:firstLine="720"/>
        <w:jc w:val="both"/>
        <w:rPr>
          <w:b/>
          <w:i/>
        </w:rPr>
      </w:pPr>
      <w:r>
        <w:rPr>
          <w:b/>
          <w:i/>
        </w:rPr>
        <w:t>Residential Solar Water Heating</w:t>
      </w:r>
    </w:p>
    <w:p w:rsidR="00B45411" w:rsidRDefault="00B45411" w:rsidP="00413A73">
      <w:pPr>
        <w:spacing w:after="240"/>
        <w:jc w:val="both"/>
      </w:pPr>
      <w:r>
        <w:t xml:space="preserve">The Utility </w:t>
      </w:r>
      <w:r w:rsidRPr="00B415C6">
        <w:t>pays a financial incentive to customers to encourage the use of solar water heating technology.</w:t>
      </w:r>
    </w:p>
    <w:p w:rsidR="00B45411" w:rsidRPr="00B415C6" w:rsidRDefault="00B45411" w:rsidP="00413A73">
      <w:pPr>
        <w:spacing w:after="240"/>
        <w:jc w:val="both"/>
      </w:pPr>
      <w:r w:rsidRPr="00B415C6">
        <w:t>Maximum Incentive: Up to $400</w:t>
      </w:r>
    </w:p>
    <w:p w:rsidR="00B45411" w:rsidRPr="00B415C6" w:rsidRDefault="00950A25" w:rsidP="00413A73">
      <w:pPr>
        <w:ind w:firstLine="720"/>
        <w:jc w:val="both"/>
        <w:rPr>
          <w:b/>
          <w:i/>
        </w:rPr>
      </w:pPr>
      <w:r>
        <w:rPr>
          <w:b/>
          <w:i/>
        </w:rPr>
        <w:t>Neighborhood Efficiency</w:t>
      </w:r>
    </w:p>
    <w:p w:rsidR="00B45411" w:rsidRDefault="00B45411" w:rsidP="00413A73">
      <w:pPr>
        <w:spacing w:after="240"/>
        <w:jc w:val="both"/>
      </w:pPr>
      <w:r>
        <w:t xml:space="preserve">The Utility </w:t>
      </w:r>
      <w:r w:rsidRPr="00B415C6">
        <w:t>offers</w:t>
      </w:r>
      <w:r>
        <w:t xml:space="preserve"> to</w:t>
      </w:r>
      <w:r w:rsidRPr="00B415C6">
        <w:t xml:space="preserve"> educat</w:t>
      </w:r>
      <w:r>
        <w:t>e consumers on the</w:t>
      </w:r>
      <w:r w:rsidRPr="00B415C6">
        <w:t xml:space="preserve"> efficient use of energy </w:t>
      </w:r>
      <w:r>
        <w:t>and</w:t>
      </w:r>
      <w:r w:rsidRPr="00B415C6">
        <w:t xml:space="preserve"> water as well as the direct installation of an array of energy </w:t>
      </w:r>
      <w:r>
        <w:t>and</w:t>
      </w:r>
      <w:r w:rsidRPr="00B415C6">
        <w:t xml:space="preserve"> water efficient measures at no cost to income qualified customers. </w:t>
      </w:r>
    </w:p>
    <w:p w:rsidR="00B45411" w:rsidRPr="00B415C6" w:rsidRDefault="00B45411" w:rsidP="00413A73">
      <w:pPr>
        <w:spacing w:after="240"/>
        <w:jc w:val="both"/>
        <w:rPr>
          <w:b/>
        </w:rPr>
      </w:pPr>
      <w:r w:rsidRPr="00B415C6">
        <w:rPr>
          <w:b/>
        </w:rPr>
        <w:t xml:space="preserve">Commercial Programs </w:t>
      </w:r>
    </w:p>
    <w:p w:rsidR="00B45411" w:rsidRPr="00B415C6" w:rsidRDefault="00950A25" w:rsidP="00413A73">
      <w:pPr>
        <w:ind w:firstLine="720"/>
        <w:jc w:val="both"/>
        <w:rPr>
          <w:b/>
          <w:i/>
        </w:rPr>
      </w:pPr>
      <w:r>
        <w:rPr>
          <w:b/>
          <w:i/>
        </w:rPr>
        <w:t>Commercial Energy Audits</w:t>
      </w:r>
    </w:p>
    <w:p w:rsidR="00B45411" w:rsidRDefault="00B45411" w:rsidP="00413A73">
      <w:pPr>
        <w:spacing w:after="240"/>
        <w:jc w:val="both"/>
      </w:pPr>
      <w:r>
        <w:t>The Utility’s A</w:t>
      </w:r>
      <w:r w:rsidRPr="00B415C6">
        <w:t>uditors examine business</w:t>
      </w:r>
      <w:r>
        <w:t>es</w:t>
      </w:r>
      <w:r w:rsidRPr="00B415C6">
        <w:t>, educate customers</w:t>
      </w:r>
      <w:r>
        <w:t>,</w:t>
      </w:r>
      <w:r w:rsidRPr="00B415C6">
        <w:t xml:space="preserve"> and make recommendations on low-cost or no-cost energy-saving practices and measures.</w:t>
      </w:r>
    </w:p>
    <w:p w:rsidR="00B45411" w:rsidRPr="00B415C6" w:rsidRDefault="00B45411" w:rsidP="00413A73">
      <w:pPr>
        <w:ind w:firstLine="720"/>
        <w:jc w:val="both"/>
        <w:rPr>
          <w:b/>
          <w:i/>
        </w:rPr>
      </w:pPr>
      <w:r w:rsidRPr="00B415C6">
        <w:rPr>
          <w:b/>
          <w:i/>
        </w:rPr>
        <w:t xml:space="preserve">Commercial </w:t>
      </w:r>
      <w:r w:rsidR="00950A25">
        <w:rPr>
          <w:b/>
          <w:i/>
        </w:rPr>
        <w:t>Prescriptive Lighting</w:t>
      </w:r>
    </w:p>
    <w:p w:rsidR="00B45411" w:rsidRDefault="00B45411" w:rsidP="00413A73">
      <w:pPr>
        <w:jc w:val="both"/>
      </w:pPr>
      <w:r>
        <w:t xml:space="preserve">The Utility </w:t>
      </w:r>
      <w:r w:rsidRPr="00B415C6">
        <w:t xml:space="preserve">promotes the use of </w:t>
      </w:r>
      <w:r w:rsidR="00950A25">
        <w:t>energy efficient lighting by offering a rebate for qualifying lighting equipment.</w:t>
      </w:r>
    </w:p>
    <w:sectPr w:rsidR="00B45411"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B73" w:rsidRDefault="00BE7B73">
      <w:r>
        <w:separator/>
      </w:r>
    </w:p>
  </w:endnote>
  <w:endnote w:type="continuationSeparator" w:id="0">
    <w:p w:rsidR="00BE7B73" w:rsidRDefault="00BE7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0EF" w:rsidRDefault="00A950E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F4B17">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0EF" w:rsidRDefault="00A95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B73" w:rsidRDefault="00BE7B73">
      <w:r>
        <w:separator/>
      </w:r>
    </w:p>
  </w:footnote>
  <w:footnote w:type="continuationSeparator" w:id="0">
    <w:p w:rsidR="00BE7B73" w:rsidRDefault="00BE7B73">
      <w:r>
        <w:continuationSeparator/>
      </w:r>
    </w:p>
  </w:footnote>
  <w:footnote w:id="1">
    <w:p w:rsidR="000F2122" w:rsidRPr="00EF43E9" w:rsidRDefault="000F2122" w:rsidP="00207767">
      <w:pPr>
        <w:keepLines/>
        <w:jc w:val="both"/>
        <w:rPr>
          <w:i/>
          <w:sz w:val="20"/>
          <w:szCs w:val="20"/>
          <w:vertAlign w:val="superscript"/>
        </w:rPr>
      </w:pPr>
      <w:r w:rsidRPr="00DF2649">
        <w:rPr>
          <w:vertAlign w:val="superscript"/>
        </w:rPr>
        <w:footnoteRef/>
      </w:r>
      <w:r w:rsidRPr="00DF2649">
        <w:t xml:space="preserve"> </w:t>
      </w:r>
      <w:proofErr w:type="gramStart"/>
      <w:r w:rsidRPr="00DF2649">
        <w:rPr>
          <w:sz w:val="20"/>
          <w:szCs w:val="20"/>
        </w:rPr>
        <w:t>Order No.</w:t>
      </w:r>
      <w:proofErr w:type="gramEnd"/>
      <w:r w:rsidRPr="00DF2649">
        <w:rPr>
          <w:sz w:val="20"/>
          <w:szCs w:val="20"/>
        </w:rPr>
        <w:t xml:space="preserve"> PSC-2019</w:t>
      </w:r>
      <w:r>
        <w:rPr>
          <w:sz w:val="20"/>
          <w:szCs w:val="20"/>
        </w:rPr>
        <w:t>-0509-FOF-EG, issued November 26</w:t>
      </w:r>
      <w:r w:rsidRPr="00DF2649">
        <w:rPr>
          <w:sz w:val="20"/>
          <w:szCs w:val="20"/>
        </w:rPr>
        <w:t xml:space="preserve">, 2019, Docket No. 20190015-EG, </w:t>
      </w:r>
      <w:r w:rsidRPr="00DF2649">
        <w:rPr>
          <w:i/>
          <w:sz w:val="20"/>
          <w:szCs w:val="20"/>
        </w:rPr>
        <w:t>In re: Commission review of numeric conservation goals (Florida Power &amp; Light Company)</w:t>
      </w:r>
      <w:r w:rsidRPr="00DF2649">
        <w:rPr>
          <w:sz w:val="20"/>
          <w:szCs w:val="20"/>
        </w:rPr>
        <w:t xml:space="preserve">, Docket No. 20190016-EG, </w:t>
      </w:r>
      <w:r w:rsidRPr="00DF2649">
        <w:rPr>
          <w:i/>
          <w:sz w:val="20"/>
          <w:szCs w:val="20"/>
        </w:rPr>
        <w:t>In re: Commission review of numeric conservation goals (Gulf Power Company)</w:t>
      </w:r>
      <w:r w:rsidRPr="00DF2649">
        <w:rPr>
          <w:sz w:val="20"/>
          <w:szCs w:val="20"/>
        </w:rPr>
        <w:t xml:space="preserve">, Docket No. 20190017-EG, </w:t>
      </w:r>
      <w:r w:rsidRPr="00DF2649">
        <w:rPr>
          <w:i/>
          <w:sz w:val="20"/>
          <w:szCs w:val="20"/>
        </w:rPr>
        <w:t xml:space="preserve">In re: Commission review of numeric conservation goals (Florida Public Utilities Company), </w:t>
      </w:r>
      <w:r w:rsidRPr="00DF2649">
        <w:rPr>
          <w:sz w:val="20"/>
          <w:szCs w:val="20"/>
        </w:rPr>
        <w:t xml:space="preserve">Docket No. 20190018-EG, </w:t>
      </w:r>
      <w:r w:rsidRPr="00DF2649">
        <w:rPr>
          <w:i/>
          <w:sz w:val="20"/>
          <w:szCs w:val="20"/>
        </w:rPr>
        <w:t>In re: Commission review of numeric conservation goals (Duke Energy Florida, LLC)</w:t>
      </w:r>
      <w:r w:rsidRPr="00DF2649">
        <w:rPr>
          <w:sz w:val="20"/>
          <w:szCs w:val="20"/>
        </w:rPr>
        <w:t xml:space="preserve">, Docket No. 20190019-EG, </w:t>
      </w:r>
      <w:r w:rsidRPr="00DF2649">
        <w:rPr>
          <w:i/>
          <w:sz w:val="20"/>
          <w:szCs w:val="20"/>
        </w:rPr>
        <w:t>In re: Commission review of numeric conservation goals (Orlando Utilities Commission)</w:t>
      </w:r>
      <w:r w:rsidRPr="00DF2649">
        <w:rPr>
          <w:sz w:val="20"/>
          <w:szCs w:val="20"/>
        </w:rPr>
        <w:t xml:space="preserve">, Docket No. 20190020-EG, </w:t>
      </w:r>
      <w:r w:rsidRPr="00DF2649">
        <w:rPr>
          <w:i/>
          <w:sz w:val="20"/>
          <w:szCs w:val="20"/>
        </w:rPr>
        <w:t xml:space="preserve">In re: Commission review of numeric conservation goals (JEA), </w:t>
      </w:r>
      <w:r w:rsidRPr="00DF2649">
        <w:rPr>
          <w:sz w:val="20"/>
          <w:szCs w:val="20"/>
        </w:rPr>
        <w:t xml:space="preserve">and Docket No. 20190021-EG, </w:t>
      </w:r>
      <w:r w:rsidRPr="00DF2649">
        <w:rPr>
          <w:i/>
          <w:sz w:val="20"/>
          <w:szCs w:val="20"/>
        </w:rPr>
        <w:t>In re: Commission review of numeric conservation goals (Tampa Electric Company).</w:t>
      </w:r>
    </w:p>
  </w:footnote>
  <w:footnote w:id="2">
    <w:p w:rsidR="00A950EF" w:rsidRPr="00DF2649" w:rsidRDefault="00A950EF" w:rsidP="00C34808">
      <w:pPr>
        <w:jc w:val="both"/>
        <w:rPr>
          <w:sz w:val="20"/>
          <w:szCs w:val="20"/>
        </w:rPr>
      </w:pPr>
      <w:r w:rsidRPr="00DF2649">
        <w:rPr>
          <w:rStyle w:val="FootnoteReference"/>
        </w:rPr>
        <w:footnoteRef/>
      </w:r>
      <w:r w:rsidR="003421C6">
        <w:t xml:space="preserve"> </w:t>
      </w:r>
      <w:proofErr w:type="gramStart"/>
      <w:r w:rsidRPr="00DF2649">
        <w:rPr>
          <w:sz w:val="20"/>
          <w:szCs w:val="20"/>
        </w:rPr>
        <w:t>Order No.</w:t>
      </w:r>
      <w:proofErr w:type="gramEnd"/>
      <w:r w:rsidRPr="00DF2649">
        <w:rPr>
          <w:sz w:val="20"/>
          <w:szCs w:val="20"/>
        </w:rPr>
        <w:t xml:space="preserve"> PSC-14-0696-FOF-EU, issued December 16, 2014, Docket No. 20130199-EI, </w:t>
      </w:r>
      <w:r w:rsidRPr="00DF2649">
        <w:rPr>
          <w:i/>
          <w:sz w:val="20"/>
          <w:szCs w:val="20"/>
        </w:rPr>
        <w:t>In re: Commission review of numeric conservation goals (Florida Power &amp; Light Company)</w:t>
      </w:r>
      <w:r w:rsidRPr="00DF2649">
        <w:rPr>
          <w:sz w:val="20"/>
          <w:szCs w:val="20"/>
        </w:rPr>
        <w:t xml:space="preserve">, Docket No. 20130200-EI, </w:t>
      </w:r>
      <w:r w:rsidRPr="00DF2649">
        <w:rPr>
          <w:i/>
          <w:sz w:val="20"/>
          <w:szCs w:val="20"/>
        </w:rPr>
        <w:t>In re: Commission review of numeric conservation goals (Duke Energy Florida, Inc.)</w:t>
      </w:r>
      <w:r w:rsidRPr="00DF2649">
        <w:rPr>
          <w:sz w:val="20"/>
          <w:szCs w:val="20"/>
        </w:rPr>
        <w:t xml:space="preserve">, Docket No. 20130201-EI, </w:t>
      </w:r>
      <w:r w:rsidRPr="00DF2649">
        <w:rPr>
          <w:i/>
          <w:sz w:val="20"/>
          <w:szCs w:val="20"/>
        </w:rPr>
        <w:t>In re: Commission review of numeric conservation goals (Tampa Electric Company)</w:t>
      </w:r>
      <w:r w:rsidRPr="00DF2649">
        <w:rPr>
          <w:sz w:val="20"/>
          <w:szCs w:val="20"/>
        </w:rPr>
        <w:t xml:space="preserve">, Docket No. 20130202-EI, </w:t>
      </w:r>
      <w:r w:rsidRPr="00DF2649">
        <w:rPr>
          <w:i/>
          <w:sz w:val="20"/>
          <w:szCs w:val="20"/>
        </w:rPr>
        <w:t>In re: Commission review of numeric conservation goals (Gulf Power Company)</w:t>
      </w:r>
      <w:r w:rsidRPr="00DF2649">
        <w:rPr>
          <w:sz w:val="20"/>
          <w:szCs w:val="20"/>
        </w:rPr>
        <w:t xml:space="preserve">, Docket No. 20130203-EM, </w:t>
      </w:r>
      <w:r w:rsidRPr="00DF2649">
        <w:rPr>
          <w:i/>
          <w:sz w:val="20"/>
          <w:szCs w:val="20"/>
        </w:rPr>
        <w:t>In re: Commission review of numeric conservation goals (JEA)</w:t>
      </w:r>
      <w:r w:rsidRPr="00DF2649">
        <w:rPr>
          <w:sz w:val="20"/>
          <w:szCs w:val="20"/>
        </w:rPr>
        <w:t xml:space="preserve">, Docket No. 20130204-EM, </w:t>
      </w:r>
      <w:r w:rsidRPr="00DF2649">
        <w:rPr>
          <w:i/>
          <w:sz w:val="20"/>
          <w:szCs w:val="20"/>
        </w:rPr>
        <w:t>In re: Commission review of numeric conservation goals (Orlando Utilities Commission)</w:t>
      </w:r>
      <w:r w:rsidRPr="00DF2649">
        <w:rPr>
          <w:sz w:val="20"/>
          <w:szCs w:val="20"/>
        </w:rPr>
        <w:t xml:space="preserve">, and Docket No. 20130205-EI, </w:t>
      </w:r>
      <w:r w:rsidRPr="00DF2649">
        <w:rPr>
          <w:i/>
          <w:sz w:val="20"/>
          <w:szCs w:val="20"/>
        </w:rPr>
        <w:t>In re: Commission review of numeric conservation goals (Florida Public Utilities Company)</w:t>
      </w:r>
      <w:r w:rsidRPr="00DF2649">
        <w:rPr>
          <w:sz w:val="20"/>
          <w:szCs w:val="20"/>
        </w:rPr>
        <w:t>.</w:t>
      </w:r>
    </w:p>
  </w:footnote>
  <w:footnote w:id="3">
    <w:p w:rsidR="00A950EF" w:rsidRDefault="00A950EF" w:rsidP="00EF43E9">
      <w:pPr>
        <w:jc w:val="both"/>
        <w:rPr>
          <w:sz w:val="20"/>
          <w:szCs w:val="20"/>
          <w:vertAlign w:val="superscript"/>
        </w:rPr>
      </w:pPr>
      <w:r w:rsidRPr="00A86FDD">
        <w:rPr>
          <w:vertAlign w:val="superscript"/>
        </w:rPr>
        <w:footnoteRef/>
      </w:r>
      <w:r w:rsidRPr="00A86FDD">
        <w:rPr>
          <w:sz w:val="20"/>
          <w:szCs w:val="20"/>
          <w:vertAlign w:val="superscript"/>
        </w:rPr>
        <w:t xml:space="preserve"> </w:t>
      </w:r>
      <w:r w:rsidRPr="00A86FDD">
        <w:rPr>
          <w:sz w:val="20"/>
          <w:szCs w:val="20"/>
        </w:rPr>
        <w:t xml:space="preserve">PSC Order No. 22176, issued November 14, 1989, Docket No. 19890737-PU, </w:t>
      </w:r>
      <w:r w:rsidR="00C00664">
        <w:rPr>
          <w:sz w:val="20"/>
          <w:szCs w:val="20"/>
        </w:rPr>
        <w:t xml:space="preserve">In re: </w:t>
      </w:r>
      <w:r w:rsidRPr="00A86FDD">
        <w:rPr>
          <w:i/>
          <w:sz w:val="20"/>
          <w:szCs w:val="20"/>
        </w:rPr>
        <w:t>Implementation of Section 366.80-.85, F.S., Conservation Activities of Electric and Natural Gas Utilities.</w:t>
      </w:r>
    </w:p>
  </w:footnote>
  <w:footnote w:id="4">
    <w:p w:rsidR="00A950EF" w:rsidRDefault="00A950EF" w:rsidP="00A703AF">
      <w:pPr>
        <w:jc w:val="both"/>
        <w:rPr>
          <w:sz w:val="20"/>
          <w:szCs w:val="20"/>
        </w:rPr>
      </w:pPr>
      <w:r>
        <w:rPr>
          <w:vertAlign w:val="superscript"/>
        </w:rPr>
        <w:footnoteRef/>
      </w:r>
      <w:r>
        <w:rPr>
          <w:sz w:val="20"/>
          <w:szCs w:val="20"/>
        </w:rPr>
        <w:t xml:space="preserve"> Totals may not equal due to rounding.</w:t>
      </w:r>
    </w:p>
  </w:footnote>
  <w:footnote w:id="5">
    <w:p w:rsidR="005C5373" w:rsidRDefault="005C5373" w:rsidP="00A703AF">
      <w:pPr>
        <w:jc w:val="both"/>
        <w:rPr>
          <w:sz w:val="20"/>
          <w:szCs w:val="20"/>
        </w:rPr>
      </w:pPr>
      <w:r>
        <w:rPr>
          <w:vertAlign w:val="superscript"/>
        </w:rPr>
        <w:footnoteRef/>
      </w:r>
      <w:r>
        <w:rPr>
          <w:sz w:val="20"/>
          <w:szCs w:val="20"/>
        </w:rPr>
        <w:t xml:space="preserve"> Totals may not equal due to rounding.</w:t>
      </w:r>
    </w:p>
  </w:footnote>
  <w:footnote w:id="6">
    <w:p w:rsidR="001A1244" w:rsidRDefault="001A1244" w:rsidP="001A1244">
      <w:pPr>
        <w:jc w:val="both"/>
        <w:rPr>
          <w:sz w:val="20"/>
          <w:szCs w:val="20"/>
        </w:rPr>
      </w:pPr>
      <w:r>
        <w:rPr>
          <w:vertAlign w:val="superscript"/>
        </w:rPr>
        <w:footnoteRef/>
      </w:r>
      <w:r>
        <w:rPr>
          <w:sz w:val="20"/>
          <w:szCs w:val="20"/>
        </w:rPr>
        <w:t xml:space="preserve"> </w:t>
      </w:r>
      <w:proofErr w:type="gramStart"/>
      <w:r>
        <w:rPr>
          <w:sz w:val="20"/>
          <w:szCs w:val="20"/>
        </w:rPr>
        <w:t>Order No.</w:t>
      </w:r>
      <w:proofErr w:type="gramEnd"/>
      <w:r>
        <w:rPr>
          <w:sz w:val="20"/>
          <w:szCs w:val="20"/>
        </w:rPr>
        <w:t xml:space="preserve"> PSC-15-0324-PAA-EG, issued, August 11, 2015, Docket No. 20150087-EG, </w:t>
      </w:r>
      <w:r w:rsidRPr="00EF43E9">
        <w:rPr>
          <w:i/>
          <w:sz w:val="20"/>
          <w:szCs w:val="20"/>
        </w:rPr>
        <w:t xml:space="preserve">In re: Petition for approval of modifications to demand-side management plan by JEA.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0EF" w:rsidRDefault="00A950EF"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20200057-EG</w:t>
    </w:r>
    <w:bookmarkEnd w:id="14"/>
  </w:p>
  <w:p w:rsidR="00A950EF" w:rsidRDefault="00A950EF">
    <w:pPr>
      <w:pStyle w:val="Header"/>
    </w:pPr>
    <w:r>
      <w:t xml:space="preserve">Date: </w:t>
    </w:r>
    <w:r w:rsidR="00296866">
      <w:t>May 28,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0EF" w:rsidRDefault="00A950E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20200057-EG</w:t>
    </w:r>
    <w:r>
      <w:fldChar w:fldCharType="end"/>
    </w:r>
    <w:r>
      <w:tab/>
      <w:t xml:space="preserve">Issue </w:t>
    </w:r>
    <w:r w:rsidR="007E3ADB">
      <w:fldChar w:fldCharType="begin"/>
    </w:r>
    <w:r w:rsidR="007E3ADB">
      <w:instrText xml:space="preserve"> Seq Issue \c \* Arabic </w:instrText>
    </w:r>
    <w:r w:rsidR="007E3ADB">
      <w:fldChar w:fldCharType="separate"/>
    </w:r>
    <w:r w:rsidR="000F4B17">
      <w:rPr>
        <w:noProof/>
      </w:rPr>
      <w:t>1</w:t>
    </w:r>
    <w:r w:rsidR="007E3ADB">
      <w:rPr>
        <w:noProof/>
      </w:rPr>
      <w:fldChar w:fldCharType="end"/>
    </w:r>
  </w:p>
  <w:p w:rsidR="00A950EF" w:rsidRDefault="00A950EF">
    <w:pPr>
      <w:pStyle w:val="Header"/>
    </w:pPr>
    <w:r>
      <w:t xml:space="preserve">Date: </w:t>
    </w:r>
    <w:r w:rsidR="007E3ADB">
      <w:fldChar w:fldCharType="begin"/>
    </w:r>
    <w:r w:rsidR="007E3ADB">
      <w:instrText xml:space="preserve"> REF FilingDate </w:instrText>
    </w:r>
    <w:r w:rsidR="007E3ADB">
      <w:fldChar w:fldCharType="separate"/>
    </w:r>
    <w:r w:rsidR="00485D1C">
      <w:t>May 28</w:t>
    </w:r>
    <w:r>
      <w:t>, 2020</w:t>
    </w:r>
    <w:r w:rsidR="007E3ADB">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0EF" w:rsidRDefault="00A950E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411" w:rsidRDefault="00B4541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20200057-EG</w:t>
    </w:r>
    <w:r>
      <w:fldChar w:fldCharType="end"/>
    </w:r>
    <w:r>
      <w:tab/>
      <w:t>Attachment A</w:t>
    </w:r>
  </w:p>
  <w:p w:rsidR="00B45411" w:rsidRDefault="00B45411" w:rsidP="00B45411">
    <w:pPr>
      <w:pStyle w:val="Header"/>
      <w:tabs>
        <w:tab w:val="clear" w:pos="4320"/>
        <w:tab w:val="clear" w:pos="8640"/>
        <w:tab w:val="right" w:pos="9360"/>
      </w:tabs>
    </w:pPr>
    <w:r>
      <w:t xml:space="preserve">Date: </w:t>
    </w:r>
    <w:fldSimple w:instr=" REF FilingDate ">
      <w:r w:rsidR="00296866">
        <w:t>May 28</w:t>
      </w:r>
      <w:r>
        <w:t>, 2020</w:t>
      </w:r>
    </w:fldSimple>
    <w:r>
      <w:tab/>
      <w:t>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89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77DB1"/>
    <w:rsid w:val="000043D5"/>
    <w:rsid w:val="00006170"/>
    <w:rsid w:val="00010E37"/>
    <w:rsid w:val="000172DA"/>
    <w:rsid w:val="0002456C"/>
    <w:rsid w:val="000247C5"/>
    <w:rsid w:val="00026014"/>
    <w:rsid w:val="000277C2"/>
    <w:rsid w:val="00035B48"/>
    <w:rsid w:val="00036CE2"/>
    <w:rsid w:val="000437FE"/>
    <w:rsid w:val="000513BE"/>
    <w:rsid w:val="00057F74"/>
    <w:rsid w:val="00065A06"/>
    <w:rsid w:val="000666F3"/>
    <w:rsid w:val="00070DCB"/>
    <w:rsid w:val="00072CCA"/>
    <w:rsid w:val="00073120"/>
    <w:rsid w:val="000764D0"/>
    <w:rsid w:val="00077DB1"/>
    <w:rsid w:val="000828D3"/>
    <w:rsid w:val="00084B0F"/>
    <w:rsid w:val="000A2B57"/>
    <w:rsid w:val="000A418B"/>
    <w:rsid w:val="000B6730"/>
    <w:rsid w:val="000B73F2"/>
    <w:rsid w:val="000C4431"/>
    <w:rsid w:val="000D1C06"/>
    <w:rsid w:val="000D4319"/>
    <w:rsid w:val="000D53D4"/>
    <w:rsid w:val="000F2122"/>
    <w:rsid w:val="000F374A"/>
    <w:rsid w:val="000F4B17"/>
    <w:rsid w:val="001076AF"/>
    <w:rsid w:val="0011759C"/>
    <w:rsid w:val="00117C8C"/>
    <w:rsid w:val="00124C38"/>
    <w:rsid w:val="00124E2E"/>
    <w:rsid w:val="00125ED4"/>
    <w:rsid w:val="001305E9"/>
    <w:rsid w:val="001307AF"/>
    <w:rsid w:val="00134A7F"/>
    <w:rsid w:val="00135687"/>
    <w:rsid w:val="00154FD3"/>
    <w:rsid w:val="0015506E"/>
    <w:rsid w:val="00163031"/>
    <w:rsid w:val="00171A90"/>
    <w:rsid w:val="00175E9E"/>
    <w:rsid w:val="00180254"/>
    <w:rsid w:val="00191E1F"/>
    <w:rsid w:val="00192943"/>
    <w:rsid w:val="001A1244"/>
    <w:rsid w:val="001A7406"/>
    <w:rsid w:val="001B4FEE"/>
    <w:rsid w:val="001B51C5"/>
    <w:rsid w:val="001B6F3F"/>
    <w:rsid w:val="001C52B5"/>
    <w:rsid w:val="001D0D3E"/>
    <w:rsid w:val="001F2245"/>
    <w:rsid w:val="001F2C63"/>
    <w:rsid w:val="001F48C7"/>
    <w:rsid w:val="001F6DA1"/>
    <w:rsid w:val="002044E6"/>
    <w:rsid w:val="00205C82"/>
    <w:rsid w:val="00205DC2"/>
    <w:rsid w:val="00207767"/>
    <w:rsid w:val="00212B17"/>
    <w:rsid w:val="002163B6"/>
    <w:rsid w:val="00220732"/>
    <w:rsid w:val="00221D32"/>
    <w:rsid w:val="00225C3F"/>
    <w:rsid w:val="002502E4"/>
    <w:rsid w:val="00263D44"/>
    <w:rsid w:val="002702AD"/>
    <w:rsid w:val="0028647C"/>
    <w:rsid w:val="00292D82"/>
    <w:rsid w:val="002963CB"/>
    <w:rsid w:val="00296866"/>
    <w:rsid w:val="002A1B48"/>
    <w:rsid w:val="002B4A01"/>
    <w:rsid w:val="002D226D"/>
    <w:rsid w:val="002F6030"/>
    <w:rsid w:val="003037E1"/>
    <w:rsid w:val="00307E51"/>
    <w:rsid w:val="003103EC"/>
    <w:rsid w:val="003144EF"/>
    <w:rsid w:val="00322F74"/>
    <w:rsid w:val="00340073"/>
    <w:rsid w:val="003421C6"/>
    <w:rsid w:val="00342B4A"/>
    <w:rsid w:val="003632FD"/>
    <w:rsid w:val="00372805"/>
    <w:rsid w:val="00373180"/>
    <w:rsid w:val="00375AB9"/>
    <w:rsid w:val="003821A0"/>
    <w:rsid w:val="00385B04"/>
    <w:rsid w:val="003864CF"/>
    <w:rsid w:val="00392D8C"/>
    <w:rsid w:val="003948AE"/>
    <w:rsid w:val="003A22A6"/>
    <w:rsid w:val="003A5494"/>
    <w:rsid w:val="003A7A0C"/>
    <w:rsid w:val="003B2510"/>
    <w:rsid w:val="003C2CC4"/>
    <w:rsid w:val="003C3710"/>
    <w:rsid w:val="003E0EFC"/>
    <w:rsid w:val="003E4A2B"/>
    <w:rsid w:val="003E76C2"/>
    <w:rsid w:val="003F1679"/>
    <w:rsid w:val="003F21EB"/>
    <w:rsid w:val="003F4A35"/>
    <w:rsid w:val="003F7FDD"/>
    <w:rsid w:val="00402481"/>
    <w:rsid w:val="004042B4"/>
    <w:rsid w:val="0040476E"/>
    <w:rsid w:val="00410932"/>
    <w:rsid w:val="00410DC4"/>
    <w:rsid w:val="00412DAE"/>
    <w:rsid w:val="00413A73"/>
    <w:rsid w:val="00421BEC"/>
    <w:rsid w:val="004242E6"/>
    <w:rsid w:val="00431598"/>
    <w:rsid w:val="004319AD"/>
    <w:rsid w:val="004426B8"/>
    <w:rsid w:val="004430FA"/>
    <w:rsid w:val="00444432"/>
    <w:rsid w:val="00471860"/>
    <w:rsid w:val="00477026"/>
    <w:rsid w:val="00485D1C"/>
    <w:rsid w:val="004955A6"/>
    <w:rsid w:val="004A744D"/>
    <w:rsid w:val="004B60BD"/>
    <w:rsid w:val="004C3150"/>
    <w:rsid w:val="004C3616"/>
    <w:rsid w:val="004C3641"/>
    <w:rsid w:val="004C4390"/>
    <w:rsid w:val="004C4AF7"/>
    <w:rsid w:val="004D09CA"/>
    <w:rsid w:val="004D2881"/>
    <w:rsid w:val="004D385F"/>
    <w:rsid w:val="004D5B39"/>
    <w:rsid w:val="004E1E1B"/>
    <w:rsid w:val="004E330D"/>
    <w:rsid w:val="004E5147"/>
    <w:rsid w:val="004E69B5"/>
    <w:rsid w:val="004F5C43"/>
    <w:rsid w:val="004F6040"/>
    <w:rsid w:val="0050140B"/>
    <w:rsid w:val="0050652D"/>
    <w:rsid w:val="00506C03"/>
    <w:rsid w:val="00511A11"/>
    <w:rsid w:val="00516496"/>
    <w:rsid w:val="00523131"/>
    <w:rsid w:val="00523B11"/>
    <w:rsid w:val="0052572A"/>
    <w:rsid w:val="00532DFB"/>
    <w:rsid w:val="00543CB3"/>
    <w:rsid w:val="005442E4"/>
    <w:rsid w:val="0055529B"/>
    <w:rsid w:val="00560FF0"/>
    <w:rsid w:val="005614BD"/>
    <w:rsid w:val="0057154F"/>
    <w:rsid w:val="005756BF"/>
    <w:rsid w:val="00580F69"/>
    <w:rsid w:val="00581CA3"/>
    <w:rsid w:val="00587A44"/>
    <w:rsid w:val="00597730"/>
    <w:rsid w:val="005977EC"/>
    <w:rsid w:val="00597DE7"/>
    <w:rsid w:val="005A497B"/>
    <w:rsid w:val="005A4AA2"/>
    <w:rsid w:val="005B34B6"/>
    <w:rsid w:val="005B6C8F"/>
    <w:rsid w:val="005B6EC3"/>
    <w:rsid w:val="005C537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36D51"/>
    <w:rsid w:val="006470BC"/>
    <w:rsid w:val="006554D3"/>
    <w:rsid w:val="00667036"/>
    <w:rsid w:val="00673BDB"/>
    <w:rsid w:val="00674341"/>
    <w:rsid w:val="006771B8"/>
    <w:rsid w:val="00677666"/>
    <w:rsid w:val="006843B6"/>
    <w:rsid w:val="0068481F"/>
    <w:rsid w:val="00696F5D"/>
    <w:rsid w:val="00697249"/>
    <w:rsid w:val="006B3947"/>
    <w:rsid w:val="006B4293"/>
    <w:rsid w:val="006B624F"/>
    <w:rsid w:val="006C0C95"/>
    <w:rsid w:val="006C216F"/>
    <w:rsid w:val="006C31E3"/>
    <w:rsid w:val="006C34B9"/>
    <w:rsid w:val="006D18D3"/>
    <w:rsid w:val="006E08CB"/>
    <w:rsid w:val="006E286F"/>
    <w:rsid w:val="006E598D"/>
    <w:rsid w:val="0070437D"/>
    <w:rsid w:val="00704CF1"/>
    <w:rsid w:val="00705B04"/>
    <w:rsid w:val="00724992"/>
    <w:rsid w:val="00734820"/>
    <w:rsid w:val="007349DC"/>
    <w:rsid w:val="0074365E"/>
    <w:rsid w:val="00744B55"/>
    <w:rsid w:val="007515FD"/>
    <w:rsid w:val="00751F40"/>
    <w:rsid w:val="00760D80"/>
    <w:rsid w:val="00780C09"/>
    <w:rsid w:val="00780DDF"/>
    <w:rsid w:val="007834E9"/>
    <w:rsid w:val="00787DBC"/>
    <w:rsid w:val="0079019A"/>
    <w:rsid w:val="00792935"/>
    <w:rsid w:val="007A04A1"/>
    <w:rsid w:val="007A1840"/>
    <w:rsid w:val="007C0528"/>
    <w:rsid w:val="007C3D38"/>
    <w:rsid w:val="007C54B2"/>
    <w:rsid w:val="007D0F35"/>
    <w:rsid w:val="007D4FEB"/>
    <w:rsid w:val="007D6146"/>
    <w:rsid w:val="007E0CE7"/>
    <w:rsid w:val="007F1193"/>
    <w:rsid w:val="007F417F"/>
    <w:rsid w:val="007F7644"/>
    <w:rsid w:val="008042BD"/>
    <w:rsid w:val="00816624"/>
    <w:rsid w:val="00822427"/>
    <w:rsid w:val="00822562"/>
    <w:rsid w:val="00823663"/>
    <w:rsid w:val="00832DDC"/>
    <w:rsid w:val="0083611A"/>
    <w:rsid w:val="00850BAC"/>
    <w:rsid w:val="00854A3E"/>
    <w:rsid w:val="00855D08"/>
    <w:rsid w:val="0086629B"/>
    <w:rsid w:val="00874344"/>
    <w:rsid w:val="00882155"/>
    <w:rsid w:val="0088233B"/>
    <w:rsid w:val="0088599E"/>
    <w:rsid w:val="00886B7D"/>
    <w:rsid w:val="00886C37"/>
    <w:rsid w:val="00892D99"/>
    <w:rsid w:val="00893315"/>
    <w:rsid w:val="00896CC3"/>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56EE"/>
    <w:rsid w:val="009271A7"/>
    <w:rsid w:val="0093658B"/>
    <w:rsid w:val="009429FF"/>
    <w:rsid w:val="00945BD6"/>
    <w:rsid w:val="009479FB"/>
    <w:rsid w:val="00950A25"/>
    <w:rsid w:val="00951C45"/>
    <w:rsid w:val="00956A96"/>
    <w:rsid w:val="009656F2"/>
    <w:rsid w:val="00966A08"/>
    <w:rsid w:val="00971207"/>
    <w:rsid w:val="00975CB4"/>
    <w:rsid w:val="009863B0"/>
    <w:rsid w:val="00987DE1"/>
    <w:rsid w:val="00990571"/>
    <w:rsid w:val="0099673A"/>
    <w:rsid w:val="009A3330"/>
    <w:rsid w:val="009A7C96"/>
    <w:rsid w:val="009C3DB9"/>
    <w:rsid w:val="009D46E5"/>
    <w:rsid w:val="009D568A"/>
    <w:rsid w:val="009D76C3"/>
    <w:rsid w:val="009F04EC"/>
    <w:rsid w:val="009F2A7C"/>
    <w:rsid w:val="009F3B36"/>
    <w:rsid w:val="009F4523"/>
    <w:rsid w:val="00A019B9"/>
    <w:rsid w:val="00A12508"/>
    <w:rsid w:val="00A1282B"/>
    <w:rsid w:val="00A13A27"/>
    <w:rsid w:val="00A175B6"/>
    <w:rsid w:val="00A21835"/>
    <w:rsid w:val="00A2374B"/>
    <w:rsid w:val="00A27D6E"/>
    <w:rsid w:val="00A328EC"/>
    <w:rsid w:val="00A33A51"/>
    <w:rsid w:val="00A41CA6"/>
    <w:rsid w:val="00A47927"/>
    <w:rsid w:val="00A47FFC"/>
    <w:rsid w:val="00A529CD"/>
    <w:rsid w:val="00A5442F"/>
    <w:rsid w:val="00A54FF9"/>
    <w:rsid w:val="00A56765"/>
    <w:rsid w:val="00A675AC"/>
    <w:rsid w:val="00A703AF"/>
    <w:rsid w:val="00A7581F"/>
    <w:rsid w:val="00A86FDD"/>
    <w:rsid w:val="00A92FB1"/>
    <w:rsid w:val="00A950EF"/>
    <w:rsid w:val="00A95A0C"/>
    <w:rsid w:val="00AA2765"/>
    <w:rsid w:val="00AA4764"/>
    <w:rsid w:val="00AA77B5"/>
    <w:rsid w:val="00AB4326"/>
    <w:rsid w:val="00AB6C5D"/>
    <w:rsid w:val="00AC3401"/>
    <w:rsid w:val="00AC51A7"/>
    <w:rsid w:val="00AD444B"/>
    <w:rsid w:val="00AD5614"/>
    <w:rsid w:val="00AD6C78"/>
    <w:rsid w:val="00AE03C4"/>
    <w:rsid w:val="00AE2EAB"/>
    <w:rsid w:val="00AF060D"/>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45411"/>
    <w:rsid w:val="00B516ED"/>
    <w:rsid w:val="00B57A6A"/>
    <w:rsid w:val="00B72306"/>
    <w:rsid w:val="00B760F1"/>
    <w:rsid w:val="00B7669E"/>
    <w:rsid w:val="00B77DA1"/>
    <w:rsid w:val="00B822A0"/>
    <w:rsid w:val="00B84607"/>
    <w:rsid w:val="00B84FDB"/>
    <w:rsid w:val="00B858AE"/>
    <w:rsid w:val="00B85964"/>
    <w:rsid w:val="00B96250"/>
    <w:rsid w:val="00BA0D55"/>
    <w:rsid w:val="00BA3535"/>
    <w:rsid w:val="00BA37B3"/>
    <w:rsid w:val="00BA4CC6"/>
    <w:rsid w:val="00BA71B6"/>
    <w:rsid w:val="00BB3493"/>
    <w:rsid w:val="00BB7468"/>
    <w:rsid w:val="00BB79B0"/>
    <w:rsid w:val="00BC188A"/>
    <w:rsid w:val="00BC402E"/>
    <w:rsid w:val="00BD0F48"/>
    <w:rsid w:val="00BE6DDB"/>
    <w:rsid w:val="00BE7B73"/>
    <w:rsid w:val="00BF5010"/>
    <w:rsid w:val="00C00664"/>
    <w:rsid w:val="00C03D5F"/>
    <w:rsid w:val="00C1338B"/>
    <w:rsid w:val="00C13791"/>
    <w:rsid w:val="00C14266"/>
    <w:rsid w:val="00C31BB3"/>
    <w:rsid w:val="00C34808"/>
    <w:rsid w:val="00C36977"/>
    <w:rsid w:val="00C467DA"/>
    <w:rsid w:val="00C477D9"/>
    <w:rsid w:val="00C519A8"/>
    <w:rsid w:val="00C60BA3"/>
    <w:rsid w:val="00C623F7"/>
    <w:rsid w:val="00C624BC"/>
    <w:rsid w:val="00C62A81"/>
    <w:rsid w:val="00C64C03"/>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B4A03"/>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36959"/>
    <w:rsid w:val="00D60B16"/>
    <w:rsid w:val="00D60F02"/>
    <w:rsid w:val="00D66E49"/>
    <w:rsid w:val="00D70D71"/>
    <w:rsid w:val="00D72F74"/>
    <w:rsid w:val="00D81563"/>
    <w:rsid w:val="00D85907"/>
    <w:rsid w:val="00D9073E"/>
    <w:rsid w:val="00D9221D"/>
    <w:rsid w:val="00D958DF"/>
    <w:rsid w:val="00D96DA1"/>
    <w:rsid w:val="00DA15B1"/>
    <w:rsid w:val="00DA51E7"/>
    <w:rsid w:val="00DB0260"/>
    <w:rsid w:val="00DB1C78"/>
    <w:rsid w:val="00DB464B"/>
    <w:rsid w:val="00DB7D96"/>
    <w:rsid w:val="00DC23FE"/>
    <w:rsid w:val="00DC59E6"/>
    <w:rsid w:val="00DD150B"/>
    <w:rsid w:val="00DD5025"/>
    <w:rsid w:val="00DF1510"/>
    <w:rsid w:val="00DF2649"/>
    <w:rsid w:val="00E02F1F"/>
    <w:rsid w:val="00E06484"/>
    <w:rsid w:val="00E168BE"/>
    <w:rsid w:val="00E20A7D"/>
    <w:rsid w:val="00E275D8"/>
    <w:rsid w:val="00E30F6A"/>
    <w:rsid w:val="00E3117C"/>
    <w:rsid w:val="00E33444"/>
    <w:rsid w:val="00E375CA"/>
    <w:rsid w:val="00E42621"/>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EF43E9"/>
    <w:rsid w:val="00F04B59"/>
    <w:rsid w:val="00F11741"/>
    <w:rsid w:val="00F12B1C"/>
    <w:rsid w:val="00F13A77"/>
    <w:rsid w:val="00F13CF8"/>
    <w:rsid w:val="00F15855"/>
    <w:rsid w:val="00F200B2"/>
    <w:rsid w:val="00F227DC"/>
    <w:rsid w:val="00F32978"/>
    <w:rsid w:val="00F45CB2"/>
    <w:rsid w:val="00F53854"/>
    <w:rsid w:val="00F544C0"/>
    <w:rsid w:val="00F55332"/>
    <w:rsid w:val="00F6504A"/>
    <w:rsid w:val="00F65519"/>
    <w:rsid w:val="00F713C0"/>
    <w:rsid w:val="00F75DDC"/>
    <w:rsid w:val="00F7792F"/>
    <w:rsid w:val="00F842AA"/>
    <w:rsid w:val="00F8476F"/>
    <w:rsid w:val="00F853E1"/>
    <w:rsid w:val="00F85604"/>
    <w:rsid w:val="00F90645"/>
    <w:rsid w:val="00F94B7A"/>
    <w:rsid w:val="00FA17AC"/>
    <w:rsid w:val="00FA32DE"/>
    <w:rsid w:val="00FA3382"/>
    <w:rsid w:val="00FA59CD"/>
    <w:rsid w:val="00FB1740"/>
    <w:rsid w:val="00FC3DBD"/>
    <w:rsid w:val="00FC5469"/>
    <w:rsid w:val="00FC6D7D"/>
    <w:rsid w:val="00FD16B0"/>
    <w:rsid w:val="00FD4FED"/>
    <w:rsid w:val="00FE0577"/>
    <w:rsid w:val="00FE59EC"/>
    <w:rsid w:val="00FE5B67"/>
    <w:rsid w:val="00FE60D6"/>
    <w:rsid w:val="00FE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C34808"/>
    <w:rPr>
      <w:vertAlign w:val="superscript"/>
    </w:rPr>
  </w:style>
  <w:style w:type="paragraph" w:styleId="ListParagraph">
    <w:name w:val="List Paragraph"/>
    <w:basedOn w:val="Normal"/>
    <w:uiPriority w:val="34"/>
    <w:qFormat/>
    <w:rsid w:val="00956A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C34808"/>
    <w:rPr>
      <w:vertAlign w:val="superscript"/>
    </w:rPr>
  </w:style>
  <w:style w:type="paragraph" w:styleId="ListParagraph">
    <w:name w:val="List Paragraph"/>
    <w:basedOn w:val="Normal"/>
    <w:uiPriority w:val="34"/>
    <w:qFormat/>
    <w:rsid w:val="00956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79967-A268-4FAE-B71C-F1A06720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9</Pages>
  <Words>2432</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2004-01-27T20:32:00Z</cp:lastPrinted>
  <dcterms:created xsi:type="dcterms:W3CDTF">2020-05-28T12:22:00Z</dcterms:created>
  <dcterms:modified xsi:type="dcterms:W3CDTF">2020-05-28T12:22:00Z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20200057-EG</vt:lpwstr>
  </property>
  <property fmtid="{D5CDD505-2E9C-101B-9397-08002B2CF9AE}" pid="3" name="MasterDocument">
    <vt:bool>false</vt:bool>
  </property>
</Properties>
</file>