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64A6D">
            <w:pPr>
              <w:pStyle w:val="MemoHeading"/>
            </w:pPr>
            <w:bookmarkStart w:id="1" w:name="FilingDate"/>
            <w:r>
              <w:t>May 28,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proofErr w:type="spellStart"/>
            <w:r w:rsidR="004E69B5">
              <w:t>Teitzman</w:t>
            </w:r>
            <w:proofErr w:type="spellEnd"/>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64A6D" w:rsidRDefault="00864A6D">
            <w:pPr>
              <w:pStyle w:val="MemoHeading"/>
            </w:pPr>
            <w:bookmarkStart w:id="2" w:name="From"/>
            <w:r>
              <w:t>Division of Economics (Guffey)</w:t>
            </w:r>
          </w:p>
          <w:p w:rsidR="007C0528" w:rsidRDefault="00864A6D">
            <w:pPr>
              <w:pStyle w:val="MemoHeading"/>
            </w:pPr>
            <w:r>
              <w:t>Office of the General Counsel (Stiller)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64A6D">
            <w:pPr>
              <w:pStyle w:val="MemoHeadingRe"/>
            </w:pPr>
            <w:bookmarkStart w:id="3" w:name="Re"/>
            <w:r>
              <w:t>Docket No. 20200121-EI – Petition for approval of revised customer specified lighting tariff,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64A6D" w:rsidP="00F33BD1">
            <w:pPr>
              <w:pStyle w:val="MemoHeading"/>
            </w:pPr>
            <w:bookmarkStart w:id="4" w:name="AgendaDate"/>
            <w:r>
              <w:t>06/09/20</w:t>
            </w:r>
            <w:bookmarkEnd w:id="4"/>
            <w:r w:rsidR="007C0528">
              <w:t xml:space="preserve"> – </w:t>
            </w:r>
            <w:bookmarkStart w:id="5" w:name="PermittedStatus"/>
            <w:r>
              <w:t>Regular Agenda – Tariff Filing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64A6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64A6D">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9559E7">
            <w:pPr>
              <w:pStyle w:val="MemoHeading"/>
            </w:pPr>
            <w:r>
              <w:t>6/12/2020 (60-Day Suspension Date)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64A6D">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CD7870" w:rsidRDefault="009D562B">
      <w:pPr>
        <w:pStyle w:val="BodyText"/>
      </w:pPr>
      <w:r>
        <w:t xml:space="preserve">On April 13, 2020, Tampa Electric Company (TECO or utility) filed a petition </w:t>
      </w:r>
      <w:r w:rsidR="001C2AFB">
        <w:t>seeking</w:t>
      </w:r>
      <w:r>
        <w:t xml:space="preserve"> approval of </w:t>
      </w:r>
      <w:r w:rsidR="001C2AFB">
        <w:t>its</w:t>
      </w:r>
      <w:r>
        <w:t xml:space="preserve"> revised </w:t>
      </w:r>
      <w:r w:rsidR="001C2AFB">
        <w:t>C</w:t>
      </w:r>
      <w:r>
        <w:t xml:space="preserve">ustomer </w:t>
      </w:r>
      <w:r w:rsidR="001C2AFB">
        <w:t>S</w:t>
      </w:r>
      <w:r>
        <w:t xml:space="preserve">pecified </w:t>
      </w:r>
      <w:r w:rsidR="001C2AFB">
        <w:t>L</w:t>
      </w:r>
      <w:r>
        <w:t xml:space="preserve">ighting </w:t>
      </w:r>
      <w:r w:rsidR="001C2AFB">
        <w:t>T</w:t>
      </w:r>
      <w:r>
        <w:t xml:space="preserve">ariff (LS-2 tariff). TECO proposes to revise Tariff Sheet No. 6.830 to enable </w:t>
      </w:r>
      <w:r w:rsidR="00472B4B">
        <w:t>the utility</w:t>
      </w:r>
      <w:r>
        <w:t xml:space="preserve"> to </w:t>
      </w:r>
      <w:r w:rsidR="000D275E">
        <w:t xml:space="preserve">offer </w:t>
      </w:r>
      <w:r w:rsidR="00E87D16">
        <w:t>metered service</w:t>
      </w:r>
      <w:r w:rsidR="004C3A9F">
        <w:t xml:space="preserve"> </w:t>
      </w:r>
      <w:r w:rsidR="001A6267">
        <w:t>to its LS-2 customers</w:t>
      </w:r>
      <w:r w:rsidR="00472B4B">
        <w:t xml:space="preserve">. Currently, the </w:t>
      </w:r>
      <w:r w:rsidR="009726A6">
        <w:t xml:space="preserve">LS-2 </w:t>
      </w:r>
      <w:r w:rsidR="00472B4B">
        <w:t xml:space="preserve">tariff is only </w:t>
      </w:r>
      <w:r w:rsidR="0011041B">
        <w:t>available</w:t>
      </w:r>
      <w:r w:rsidR="00472B4B">
        <w:t xml:space="preserve"> </w:t>
      </w:r>
      <w:r w:rsidR="009726A6">
        <w:t xml:space="preserve">as </w:t>
      </w:r>
      <w:r w:rsidR="00472B4B">
        <w:t xml:space="preserve">non-metered lighting </w:t>
      </w:r>
      <w:r w:rsidR="009726A6">
        <w:t>service</w:t>
      </w:r>
      <w:r w:rsidR="006163BA">
        <w:t>.</w:t>
      </w:r>
      <w:r w:rsidR="009726A6">
        <w:t xml:space="preserve"> The Commission approved the LS-2 tariff in Order No. </w:t>
      </w:r>
      <w:proofErr w:type="gramStart"/>
      <w:r w:rsidR="009726A6">
        <w:t>PSC-2019-0063-TRF.</w:t>
      </w:r>
      <w:proofErr w:type="gramEnd"/>
      <w:r w:rsidR="009726A6">
        <w:rPr>
          <w:rStyle w:val="FootnoteReference"/>
        </w:rPr>
        <w:footnoteReference w:id="1"/>
      </w:r>
    </w:p>
    <w:p w:rsidR="007C0528" w:rsidRDefault="00587FDE" w:rsidP="009D562B">
      <w:pPr>
        <w:jc w:val="both"/>
      </w:pPr>
      <w:r>
        <w:t>During the review of this petition, staff issued a data request to TECO for which responses were received on May 5, 2020.</w:t>
      </w:r>
      <w:r w:rsidR="00631B93">
        <w:t xml:space="preserve"> TECO filed a revision to Tariff Sheet No. 6.830 which corrected a </w:t>
      </w:r>
      <w:r w:rsidR="00252847">
        <w:t>scrivener’s</w:t>
      </w:r>
      <w:r w:rsidR="00631B93">
        <w:t xml:space="preserve"> error on May </w:t>
      </w:r>
      <w:r w:rsidR="009758A4">
        <w:t>8</w:t>
      </w:r>
      <w:r w:rsidR="00631B93">
        <w:t>,</w:t>
      </w:r>
      <w:r w:rsidR="00252847">
        <w:t xml:space="preserve"> 2020.</w:t>
      </w:r>
      <w:r w:rsidR="00631B93">
        <w:t xml:space="preserve"> </w:t>
      </w:r>
      <w:r w:rsidR="00D65C10">
        <w:t xml:space="preserve">The proposed revised Tariff Sheet No. 6.830 in legislative format is shown in Attachment A to this recommendation. </w:t>
      </w:r>
      <w:r w:rsidR="009D562B">
        <w:t>The Commission has jurisdiction over this matter pursuant to Sections 366.03, 366.04, 366.05, and 366.06, F</w:t>
      </w:r>
      <w:r w:rsidR="009559E7">
        <w:t xml:space="preserve">lorida </w:t>
      </w:r>
      <w:r w:rsidR="009D562B">
        <w:t>S</w:t>
      </w:r>
      <w:r w:rsidR="009559E7">
        <w:t>tatutes (F.S.)</w:t>
      </w:r>
      <w:r w:rsidR="009D562B">
        <w:t>.</w:t>
      </w:r>
    </w:p>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9D562B" w:rsidRDefault="009D562B">
      <w:pPr>
        <w:pStyle w:val="IssueHeading"/>
        <w:rPr>
          <w:vanish/>
          <w:specVanish/>
        </w:rPr>
      </w:pPr>
      <w:r w:rsidRPr="004C3641">
        <w:t xml:space="preserve">Issue </w:t>
      </w:r>
      <w:fldSimple w:instr=" SEQ Issue \* MERGEFORMAT ">
        <w:r w:rsidR="008E3BC9">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8E3BC9">
        <w:rPr>
          <w:noProof/>
        </w:rPr>
        <w:instrText>1</w:instrText>
      </w:r>
      <w:r>
        <w:fldChar w:fldCharType="end"/>
      </w:r>
      <w:r>
        <w:tab/>
        <w:instrText xml:space="preserve">(Guffey)" \l 1 </w:instrText>
      </w:r>
      <w:r>
        <w:fldChar w:fldCharType="end"/>
      </w:r>
      <w:r>
        <w:t> </w:t>
      </w:r>
    </w:p>
    <w:p w:rsidR="009D562B" w:rsidRDefault="009D562B">
      <w:pPr>
        <w:pStyle w:val="BodyText"/>
      </w:pPr>
      <w:r>
        <w:t xml:space="preserve"> Should the Commission approve TECO's revised </w:t>
      </w:r>
      <w:r w:rsidR="006C4D18">
        <w:t>C</w:t>
      </w:r>
      <w:r>
        <w:t xml:space="preserve">ustomer </w:t>
      </w:r>
      <w:r w:rsidR="006C4D18">
        <w:t>S</w:t>
      </w:r>
      <w:r>
        <w:t xml:space="preserve">pecified </w:t>
      </w:r>
      <w:r w:rsidR="006C4D18">
        <w:t>L</w:t>
      </w:r>
      <w:r>
        <w:t xml:space="preserve">ighting </w:t>
      </w:r>
      <w:r w:rsidR="006C4D18">
        <w:t>T</w:t>
      </w:r>
      <w:r>
        <w:t xml:space="preserve">ariff </w:t>
      </w:r>
      <w:r w:rsidR="006C4D18">
        <w:t xml:space="preserve">(LS-2) </w:t>
      </w:r>
      <w:r>
        <w:t>Sheet No. 6.830</w:t>
      </w:r>
      <w:r w:rsidR="002F34B8">
        <w:t>,</w:t>
      </w:r>
      <w:r>
        <w:t xml:space="preserve"> as shown in Attachment A?</w:t>
      </w:r>
    </w:p>
    <w:p w:rsidR="009D562B" w:rsidRPr="004C3641" w:rsidRDefault="009D562B">
      <w:pPr>
        <w:pStyle w:val="IssueSubsectionHeading"/>
        <w:rPr>
          <w:vanish/>
          <w:specVanish/>
        </w:rPr>
      </w:pPr>
      <w:r w:rsidRPr="004C3641">
        <w:t>Recommendation: </w:t>
      </w:r>
    </w:p>
    <w:p w:rsidR="009D562B" w:rsidRDefault="009D562B">
      <w:pPr>
        <w:pStyle w:val="BodyText"/>
      </w:pPr>
      <w:r>
        <w:t xml:space="preserve"> Yes. The Commission should approve TECO’s </w:t>
      </w:r>
      <w:r w:rsidR="008E3BC9">
        <w:t>revised</w:t>
      </w:r>
      <w:r>
        <w:t xml:space="preserve"> </w:t>
      </w:r>
      <w:r w:rsidR="006C4D18">
        <w:t xml:space="preserve">LS-2 </w:t>
      </w:r>
      <w:r w:rsidR="008E3BC9">
        <w:t>Sheet No. 6.830</w:t>
      </w:r>
      <w:r>
        <w:t xml:space="preserve">, as shown in Attachment A, effective </w:t>
      </w:r>
      <w:r w:rsidR="008E3BC9">
        <w:t>June 9, 2020</w:t>
      </w:r>
      <w:r>
        <w:t xml:space="preserve">. </w:t>
      </w:r>
      <w:r w:rsidRPr="008F7D5A">
        <w:t xml:space="preserve">The </w:t>
      </w:r>
      <w:r w:rsidR="000816E4" w:rsidRPr="008F7D5A">
        <w:t xml:space="preserve">proposed </w:t>
      </w:r>
      <w:r w:rsidRPr="008F7D5A">
        <w:t xml:space="preserve">LS-2 tariff </w:t>
      </w:r>
      <w:r w:rsidR="000816E4" w:rsidRPr="008F7D5A">
        <w:t xml:space="preserve">revision </w:t>
      </w:r>
      <w:r w:rsidRPr="008F7D5A">
        <w:t xml:space="preserve">allows TECO to </w:t>
      </w:r>
      <w:r w:rsidR="00B567BE">
        <w:t xml:space="preserve">offer </w:t>
      </w:r>
      <w:r w:rsidR="008E3BC9" w:rsidRPr="008F7D5A">
        <w:t>LS-2 customers</w:t>
      </w:r>
      <w:r w:rsidR="00B567BE">
        <w:t xml:space="preserve"> the option to receive metered lighting service</w:t>
      </w:r>
      <w:r w:rsidRPr="008F7D5A">
        <w:t>.</w:t>
      </w:r>
      <w:r>
        <w:t xml:space="preserve"> (Guffey)</w:t>
      </w:r>
    </w:p>
    <w:p w:rsidR="009D562B" w:rsidRPr="004C3641" w:rsidRDefault="009D562B">
      <w:pPr>
        <w:pStyle w:val="IssueSubsectionHeading"/>
        <w:rPr>
          <w:vanish/>
          <w:specVanish/>
        </w:rPr>
      </w:pPr>
      <w:r w:rsidRPr="004C3641">
        <w:t>Staff Analysis: </w:t>
      </w:r>
    </w:p>
    <w:p w:rsidR="007723D6" w:rsidRDefault="009D562B" w:rsidP="008E3BC9">
      <w:pPr>
        <w:pStyle w:val="BodyText"/>
      </w:pPr>
      <w:r>
        <w:t> </w:t>
      </w:r>
      <w:r w:rsidR="007723D6" w:rsidRPr="00FA59C5" w:rsidDel="007723D6">
        <w:t xml:space="preserve"> </w:t>
      </w:r>
      <w:r w:rsidR="009726A6">
        <w:t>TECO offers two outdoor lighting service tariffs:  the Lighting Service (LS-1) tariff and the LS-2 tariff. Under the LS-1 tariff, customers have the option of unmetered lighting service for TECO-owned fixtures or of metered lighting service for customer-owned fixtures.</w:t>
      </w:r>
      <w:r w:rsidR="00DF151A">
        <w:t xml:space="preserve"> The LS-1 tariff lists the </w:t>
      </w:r>
      <w:r w:rsidR="00D65C10">
        <w:t xml:space="preserve">TECO-owned </w:t>
      </w:r>
      <w:r w:rsidR="00DF151A">
        <w:t>fixtures available</w:t>
      </w:r>
      <w:r w:rsidR="00D65C10">
        <w:t xml:space="preserve"> for the unmetered option</w:t>
      </w:r>
      <w:r w:rsidR="008C7AFD">
        <w:t xml:space="preserve"> and the energy is billed based on the estimated usage of the fixture</w:t>
      </w:r>
      <w:r w:rsidR="00DF151A">
        <w:t>.</w:t>
      </w:r>
      <w:r w:rsidR="009726A6">
        <w:t xml:space="preserve"> Under the customer-owned option, TECO provides the energy only and the customer is responsible for maintaining the fixtures.  The customer may own fixtures that </w:t>
      </w:r>
      <w:r w:rsidR="007723D6">
        <w:t xml:space="preserve">are </w:t>
      </w:r>
      <w:r w:rsidR="009726A6">
        <w:t>not offered by TECO. TECO explained that the majority of LS-1 customers take service under the unmetered utility-owned fixtures option; however, approximately 200 customers own</w:t>
      </w:r>
      <w:r w:rsidR="007723D6">
        <w:t xml:space="preserve"> the lighting facilities and use the energy-only rate </w:t>
      </w:r>
      <w:r w:rsidR="005C18AC">
        <w:t>offering</w:t>
      </w:r>
      <w:r w:rsidR="007723D6">
        <w:t xml:space="preserve"> under the LS-1 tariff.</w:t>
      </w:r>
    </w:p>
    <w:p w:rsidR="009726A6" w:rsidRDefault="007723D6" w:rsidP="008E3BC9">
      <w:pPr>
        <w:pStyle w:val="BodyText"/>
      </w:pPr>
      <w:r>
        <w:t xml:space="preserve">The LS-2 tariff allows TECO to offer service for utility-owned specific fixtures or poles that </w:t>
      </w:r>
      <w:r w:rsidR="00E87D16">
        <w:t>are not</w:t>
      </w:r>
      <w:r>
        <w:t xml:space="preserve"> available under the LS-1 tariff. If a customer requests a special or unique fixture, TECO purchases and installs the lighting facilities and bills the customer for the fixture and maintenance cost based on the in-place value of the facilities. Under the current LS-2 tariff, service is unmetered and the energy is billed based on the estimated usage of the fixture.</w:t>
      </w:r>
    </w:p>
    <w:p w:rsidR="00785F0E" w:rsidRDefault="007723D6" w:rsidP="008E3BC9">
      <w:pPr>
        <w:pStyle w:val="BodyText"/>
      </w:pPr>
      <w:r>
        <w:t xml:space="preserve">TECO explained that </w:t>
      </w:r>
      <w:r w:rsidR="007A6D9E">
        <w:t xml:space="preserve">while the LS-1 tariff provides a metered service option, the current LS-2 tariff does not offer a metered service option. </w:t>
      </w:r>
      <w:r w:rsidR="00711874" w:rsidRPr="005453BA">
        <w:t xml:space="preserve">The proposed revision in the LS-2 tariff </w:t>
      </w:r>
      <w:r w:rsidR="00CB558B" w:rsidRPr="005453BA">
        <w:t>adds</w:t>
      </w:r>
      <w:r w:rsidR="00711874" w:rsidRPr="005453BA">
        <w:t xml:space="preserve"> </w:t>
      </w:r>
      <w:r w:rsidR="00D11BED">
        <w:t xml:space="preserve">a </w:t>
      </w:r>
      <w:r w:rsidR="005453BA" w:rsidRPr="005453BA">
        <w:t>section titled S</w:t>
      </w:r>
      <w:r w:rsidR="005453BA" w:rsidRPr="005453BA">
        <w:rPr>
          <w:i/>
        </w:rPr>
        <w:t>pecial C</w:t>
      </w:r>
      <w:r w:rsidR="00CB558B" w:rsidRPr="005453BA">
        <w:rPr>
          <w:i/>
        </w:rPr>
        <w:t>ondition</w:t>
      </w:r>
      <w:r w:rsidR="005453BA" w:rsidRPr="005453BA">
        <w:rPr>
          <w:i/>
        </w:rPr>
        <w:t>s</w:t>
      </w:r>
      <w:r w:rsidR="00CB558B" w:rsidRPr="005453BA">
        <w:t xml:space="preserve"> </w:t>
      </w:r>
      <w:r w:rsidR="005453BA" w:rsidRPr="005453BA">
        <w:t>which outline</w:t>
      </w:r>
      <w:r w:rsidR="00D11BED">
        <w:t>s</w:t>
      </w:r>
      <w:r w:rsidR="005453BA" w:rsidRPr="005453BA">
        <w:t xml:space="preserve"> pricing for</w:t>
      </w:r>
      <w:r w:rsidR="00CB558B" w:rsidRPr="005453BA">
        <w:t xml:space="preserve"> metered</w:t>
      </w:r>
      <w:r w:rsidR="00E87D16" w:rsidRPr="005453BA">
        <w:t xml:space="preserve"> </w:t>
      </w:r>
      <w:r w:rsidR="004C3A9F" w:rsidRPr="005453BA">
        <w:t>service</w:t>
      </w:r>
      <w:r w:rsidR="004C3A9F">
        <w:t xml:space="preserve">. The proposed charges for metered service </w:t>
      </w:r>
      <w:r w:rsidR="00D65C10">
        <w:t>are</w:t>
      </w:r>
      <w:r w:rsidR="004C3A9F">
        <w:t xml:space="preserve"> the same as the</w:t>
      </w:r>
      <w:r w:rsidR="00CB558B">
        <w:t xml:space="preserve"> current</w:t>
      </w:r>
      <w:r w:rsidR="009559E7">
        <w:t>ly approved</w:t>
      </w:r>
      <w:r w:rsidR="00CB558B">
        <w:t xml:space="preserve"> LS-1 </w:t>
      </w:r>
      <w:r w:rsidR="00D01960">
        <w:t xml:space="preserve">metered energy charge of 2.510 </w:t>
      </w:r>
      <w:r w:rsidR="00785F0E">
        <w:t>cents per kilowatt-hour (</w:t>
      </w:r>
      <w:r w:rsidR="0011041B">
        <w:t>k</w:t>
      </w:r>
      <w:r w:rsidR="00D01960">
        <w:t>Wh</w:t>
      </w:r>
      <w:r w:rsidR="00785F0E">
        <w:t>)</w:t>
      </w:r>
      <w:r w:rsidR="00D01960">
        <w:t xml:space="preserve"> and basic service charge of $10.52 per month</w:t>
      </w:r>
      <w:r w:rsidR="00CB558B">
        <w:t xml:space="preserve">. </w:t>
      </w:r>
      <w:r w:rsidR="00D01960">
        <w:t xml:space="preserve">Other charges such as energy conservation, capacity, and environmental charges will also be applicable. </w:t>
      </w:r>
    </w:p>
    <w:p w:rsidR="00785F0E" w:rsidRDefault="007A6D9E" w:rsidP="00785F0E">
      <w:pPr>
        <w:pStyle w:val="BodyText"/>
      </w:pPr>
      <w:r>
        <w:t>TECO explained that the petition was filed in response to LS-1 customers who own metered lighting systems and expressed an interest to transfer ownership and maintenance of the fixtures to TECO. If the fixtures</w:t>
      </w:r>
      <w:r w:rsidR="00E03586">
        <w:t xml:space="preserve"> the customer owns</w:t>
      </w:r>
      <w:r>
        <w:t xml:space="preserve"> are not </w:t>
      </w:r>
      <w:r w:rsidR="00E03586">
        <w:t>offered by the utility</w:t>
      </w:r>
      <w:r>
        <w:t xml:space="preserve"> under the LS-1 tariff, service would have to be </w:t>
      </w:r>
      <w:r w:rsidR="005C18AC">
        <w:t>transferred</w:t>
      </w:r>
      <w:r>
        <w:t xml:space="preserve"> to the LS-2 tariff to allow TECO to take ownership of the lighting facilities.</w:t>
      </w:r>
      <w:r w:rsidR="00785F0E" w:rsidRPr="00785F0E">
        <w:t xml:space="preserve"> </w:t>
      </w:r>
      <w:r w:rsidR="00785F0E">
        <w:t>In response to staff’s data request, TECO stated that an advantage to a customer transferring from LS-1 to LS-2 would be the maintenance, repair, and replacement of their lighting system would be the responsibility of TECO.</w:t>
      </w:r>
    </w:p>
    <w:p w:rsidR="00510D14" w:rsidRDefault="00510D14" w:rsidP="008E3BC9">
      <w:pPr>
        <w:pStyle w:val="BodyText"/>
      </w:pPr>
      <w:r>
        <w:t>Customers taking service under the LS-</w:t>
      </w:r>
      <w:r w:rsidR="000C048A">
        <w:t>2</w:t>
      </w:r>
      <w:r>
        <w:t xml:space="preserve"> tariff are required to sign </w:t>
      </w:r>
      <w:r w:rsidR="00F36DA7">
        <w:t>a</w:t>
      </w:r>
      <w:r>
        <w:t xml:space="preserve"> Bright Choices Outdoor Lighting Agreement (agreement) </w:t>
      </w:r>
      <w:r w:rsidR="00F36DA7">
        <w:t>with</w:t>
      </w:r>
      <w:r>
        <w:t xml:space="preserve"> a minimum </w:t>
      </w:r>
      <w:r w:rsidR="000C048A">
        <w:t>2</w:t>
      </w:r>
      <w:r>
        <w:t>0 year</w:t>
      </w:r>
      <w:r w:rsidR="00D11BED">
        <w:t xml:space="preserve"> </w:t>
      </w:r>
      <w:r w:rsidR="00F36DA7">
        <w:t xml:space="preserve">initial </w:t>
      </w:r>
      <w:r w:rsidR="00D11BED">
        <w:t xml:space="preserve">term </w:t>
      </w:r>
      <w:r w:rsidR="000C048A">
        <w:t>and successive one year terms</w:t>
      </w:r>
      <w:r w:rsidR="00F36DA7">
        <w:t xml:space="preserve"> continuing thereafter</w:t>
      </w:r>
      <w:r w:rsidR="000C048A">
        <w:t xml:space="preserve"> until </w:t>
      </w:r>
      <w:r>
        <w:t>either party provid</w:t>
      </w:r>
      <w:r w:rsidR="000C048A">
        <w:t>e</w:t>
      </w:r>
      <w:r w:rsidR="00D65C10">
        <w:t>s</w:t>
      </w:r>
      <w:r>
        <w:t xml:space="preserve"> the other party</w:t>
      </w:r>
      <w:r w:rsidR="000D275E">
        <w:t xml:space="preserve"> a</w:t>
      </w:r>
      <w:r>
        <w:t xml:space="preserve"> 90 day</w:t>
      </w:r>
      <w:r w:rsidR="000C048A">
        <w:t xml:space="preserve"> </w:t>
      </w:r>
      <w:r>
        <w:t>written notice of termination.</w:t>
      </w:r>
      <w:r w:rsidR="00FE5954">
        <w:t xml:space="preserve"> In response to staff’s data re</w:t>
      </w:r>
      <w:r w:rsidR="00F36DA7">
        <w:t>quest</w:t>
      </w:r>
      <w:r w:rsidR="00FE5954">
        <w:t xml:space="preserve">, TECO stated </w:t>
      </w:r>
      <w:r w:rsidR="00F36DA7">
        <w:t xml:space="preserve">that </w:t>
      </w:r>
      <w:r w:rsidR="00FE5954">
        <w:t>if a</w:t>
      </w:r>
      <w:r w:rsidR="00F36DA7">
        <w:t>n</w:t>
      </w:r>
      <w:r w:rsidR="00FE5954">
        <w:t xml:space="preserve"> LS-1 customer transferred </w:t>
      </w:r>
      <w:r w:rsidR="00FE5954">
        <w:lastRenderedPageBreak/>
        <w:t>to LS-2 and later desires to transfer back to LS-1, an early termination penalty would be applicable</w:t>
      </w:r>
      <w:r w:rsidR="000D275E">
        <w:t>, per</w:t>
      </w:r>
      <w:r w:rsidR="00FE5954">
        <w:t xml:space="preserve"> the</w:t>
      </w:r>
      <w:r w:rsidR="000D275E">
        <w:t xml:space="preserve"> </w:t>
      </w:r>
      <w:r w:rsidR="00FE5954">
        <w:t>agreement.</w:t>
      </w:r>
    </w:p>
    <w:p w:rsidR="00051DD3" w:rsidRPr="00AB58A9" w:rsidRDefault="00051DD3" w:rsidP="008E3BC9">
      <w:pPr>
        <w:pStyle w:val="BodyText"/>
      </w:pPr>
      <w:r>
        <w:t>TECO stated that it currently does not have any customers</w:t>
      </w:r>
      <w:r w:rsidR="00A10EBD">
        <w:t xml:space="preserve"> taking service under</w:t>
      </w:r>
      <w:r>
        <w:t xml:space="preserve"> the LS-2 tariff</w:t>
      </w:r>
      <w:r w:rsidR="0011041B">
        <w:t>,</w:t>
      </w:r>
      <w:r>
        <w:t xml:space="preserve"> but approximately six LS-1 </w:t>
      </w:r>
      <w:proofErr w:type="gramStart"/>
      <w:r>
        <w:t>customers</w:t>
      </w:r>
      <w:proofErr w:type="gramEnd"/>
      <w:r>
        <w:t xml:space="preserve"> have expressed </w:t>
      </w:r>
      <w:r w:rsidR="00A10EBD">
        <w:t xml:space="preserve">some </w:t>
      </w:r>
      <w:r>
        <w:t xml:space="preserve">interest in transferring to </w:t>
      </w:r>
      <w:r w:rsidR="00FE5954">
        <w:t xml:space="preserve">the </w:t>
      </w:r>
      <w:r>
        <w:t>LS-2 tariff</w:t>
      </w:r>
      <w:r w:rsidR="008C7AFD">
        <w:t xml:space="preserve"> to allow TECO to take ownership of the </w:t>
      </w:r>
      <w:r w:rsidR="005C18AC">
        <w:t>facilities</w:t>
      </w:r>
      <w:r>
        <w:t xml:space="preserve">. </w:t>
      </w:r>
      <w:r w:rsidR="00B262AD" w:rsidRPr="00B262AD">
        <w:rPr>
          <w:color w:val="000000"/>
        </w:rPr>
        <w:t>TECO explained that any compensation to the customer for the transferred lighting facilities would be negotiated between the customer and TECO and the negotiated amount would be specified in the agreement.</w:t>
      </w:r>
      <w:r w:rsidR="00584C59" w:rsidRPr="00B262AD">
        <w:rPr>
          <w:color w:val="000000"/>
        </w:rPr>
        <w:t xml:space="preserve"> </w:t>
      </w:r>
      <w:r w:rsidR="0011041B">
        <w:t>The utility states the t</w:t>
      </w:r>
      <w:r>
        <w:t xml:space="preserve">ypes of customers who would be interested in </w:t>
      </w:r>
      <w:r w:rsidR="00FE5954">
        <w:t>transferring</w:t>
      </w:r>
      <w:r>
        <w:t xml:space="preserve"> are municipal </w:t>
      </w:r>
      <w:r w:rsidR="00CB558B">
        <w:t xml:space="preserve">lighting </w:t>
      </w:r>
      <w:r>
        <w:t>systems</w:t>
      </w:r>
      <w:r w:rsidR="00FE5954">
        <w:t>, parking lot</w:t>
      </w:r>
      <w:r w:rsidR="00CB558B">
        <w:t xml:space="preserve"> lighting systems</w:t>
      </w:r>
      <w:r w:rsidR="00FE5954">
        <w:t xml:space="preserve">, and </w:t>
      </w:r>
      <w:r w:rsidR="00DE00CD">
        <w:t xml:space="preserve">lighting in </w:t>
      </w:r>
      <w:r w:rsidR="00FE5954">
        <w:t xml:space="preserve">car lots/business spaces. </w:t>
      </w:r>
      <w:r w:rsidR="00E03586">
        <w:t xml:space="preserve"> TECO explained that if a customer requests their metered lighting system to be take</w:t>
      </w:r>
      <w:r w:rsidR="00E87D16">
        <w:t>n</w:t>
      </w:r>
      <w:r w:rsidR="00E03586">
        <w:t xml:space="preserve"> over by TECO, the utility would evaluate the existing condition and type of lighting equipment and </w:t>
      </w:r>
      <w:r w:rsidR="00B567BE">
        <w:t xml:space="preserve">upgrades needed to </w:t>
      </w:r>
      <w:r w:rsidR="00A10EBD">
        <w:t xml:space="preserve">the </w:t>
      </w:r>
      <w:r w:rsidR="00B567BE">
        <w:t xml:space="preserve">equipment. </w:t>
      </w:r>
    </w:p>
    <w:p w:rsidR="008E3BC9" w:rsidRDefault="008E3BC9" w:rsidP="008E3BC9">
      <w:pPr>
        <w:pStyle w:val="First-LevelSubheading"/>
      </w:pPr>
      <w:r>
        <w:t>Conclusion</w:t>
      </w:r>
    </w:p>
    <w:p w:rsidR="00B262AD" w:rsidRPr="00B262AD" w:rsidRDefault="008E3BC9" w:rsidP="00B262AD">
      <w:pPr>
        <w:pStyle w:val="BodyText"/>
      </w:pPr>
      <w:r>
        <w:t xml:space="preserve">Staff has reviewed TECO’s petition and </w:t>
      </w:r>
      <w:r w:rsidR="00AF2DF4">
        <w:t xml:space="preserve">response to staff’s data request, and </w:t>
      </w:r>
      <w:r>
        <w:t xml:space="preserve">believes the proposed </w:t>
      </w:r>
      <w:r w:rsidR="00FC5D77">
        <w:t xml:space="preserve">revision to the </w:t>
      </w:r>
      <w:r>
        <w:t xml:space="preserve">LS-2 tariff </w:t>
      </w:r>
      <w:r w:rsidR="00B567BE">
        <w:t xml:space="preserve">to allow for metered service, as currently is available under the LS-1 tariff, </w:t>
      </w:r>
      <w:r>
        <w:t xml:space="preserve">is reasonable and appropriate. Staff recommends that </w:t>
      </w:r>
      <w:r w:rsidR="00754965">
        <w:t>the Commission should approve TECO’s revised LS-2 Sheet No. 6.830, as shown in Attachment A, effective June 9, 2020.</w:t>
      </w:r>
    </w:p>
    <w:p w:rsidR="008E3BC9" w:rsidRDefault="008E3BC9">
      <w:pPr>
        <w:pStyle w:val="IssueHeading"/>
        <w:rPr>
          <w:vanish/>
          <w:specVanish/>
        </w:rPr>
      </w:pPr>
      <w:r w:rsidRPr="004C3641">
        <w:rPr>
          <w:b w:val="0"/>
          <w:i w:val="0"/>
        </w:rPr>
        <w:br w:type="page"/>
      </w:r>
      <w:r w:rsidRPr="004C3641">
        <w:lastRenderedPageBreak/>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8E3BC9" w:rsidRDefault="008E3BC9">
      <w:pPr>
        <w:pStyle w:val="BodyText"/>
      </w:pPr>
      <w:r>
        <w:t> Should this docket be closed?</w:t>
      </w:r>
    </w:p>
    <w:p w:rsidR="008E3BC9" w:rsidRPr="004C3641" w:rsidRDefault="008E3BC9">
      <w:pPr>
        <w:pStyle w:val="IssueSubsectionHeading"/>
        <w:rPr>
          <w:vanish/>
          <w:specVanish/>
        </w:rPr>
      </w:pPr>
      <w:r w:rsidRPr="004C3641">
        <w:t>Recommendation: </w:t>
      </w:r>
    </w:p>
    <w:p w:rsidR="008E3BC9" w:rsidRDefault="008E3BC9">
      <w:pPr>
        <w:pStyle w:val="BodyText"/>
      </w:pPr>
      <w:r>
        <w:t xml:space="preserve"> 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 (Stiller) </w:t>
      </w:r>
    </w:p>
    <w:p w:rsidR="008E3BC9" w:rsidRPr="004C3641" w:rsidRDefault="008E3BC9">
      <w:pPr>
        <w:pStyle w:val="IssueSubsectionHeading"/>
        <w:rPr>
          <w:vanish/>
          <w:specVanish/>
        </w:rPr>
      </w:pPr>
      <w:r w:rsidRPr="004C3641">
        <w:t>Staff Analysis: </w:t>
      </w:r>
    </w:p>
    <w:p w:rsidR="008E3BC9" w:rsidRDefault="008E3BC9">
      <w:pPr>
        <w:pStyle w:val="BodyText"/>
      </w:pPr>
      <w:r>
        <w:t> 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w:t>
      </w:r>
    </w:p>
    <w:p w:rsidR="005E71B0" w:rsidRDefault="005E71B0" w:rsidP="00E275D8">
      <w:pPr>
        <w:pStyle w:val="BodyText"/>
        <w:sectPr w:rsidR="005E71B0"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E06484" w:rsidRDefault="001A6267" w:rsidP="00E275D8">
      <w:pPr>
        <w:pStyle w:val="BodyText"/>
      </w:pPr>
      <w:r>
        <w:rPr>
          <w:noProof/>
        </w:rPr>
        <w:lastRenderedPageBreak/>
        <w:drawing>
          <wp:inline distT="0" distB="0" distL="0" distR="0">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830.1.lf.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E06484"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DD8" w:rsidRDefault="00E43DD8">
      <w:r>
        <w:separator/>
      </w:r>
    </w:p>
  </w:endnote>
  <w:endnote w:type="continuationSeparator" w:id="0">
    <w:p w:rsidR="00E43DD8" w:rsidRDefault="00E43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E22E0">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DD8" w:rsidRDefault="00E43DD8">
      <w:r>
        <w:separator/>
      </w:r>
    </w:p>
  </w:footnote>
  <w:footnote w:type="continuationSeparator" w:id="0">
    <w:p w:rsidR="00E43DD8" w:rsidRDefault="00E43DD8">
      <w:r>
        <w:continuationSeparator/>
      </w:r>
    </w:p>
  </w:footnote>
  <w:footnote w:id="1">
    <w:p w:rsidR="009726A6" w:rsidRDefault="009726A6" w:rsidP="009726A6">
      <w:pPr>
        <w:pStyle w:val="FootnoteText"/>
      </w:pPr>
      <w:r>
        <w:rPr>
          <w:rStyle w:val="FootnoteReference"/>
        </w:rPr>
        <w:footnoteRef/>
      </w:r>
      <w:r>
        <w:t xml:space="preserve"> </w:t>
      </w:r>
      <w:proofErr w:type="gramStart"/>
      <w:r>
        <w:t>Order No.</w:t>
      </w:r>
      <w:proofErr w:type="gramEnd"/>
      <w:r>
        <w:t xml:space="preserve"> PSC-2019-0063-TRF-EI, issued February 18, 2019, in Docket No. 20180222-EI, </w:t>
      </w:r>
      <w:r w:rsidRPr="00F612D2">
        <w:rPr>
          <w:i/>
        </w:rPr>
        <w:t>In re:</w:t>
      </w:r>
      <w:r>
        <w:t xml:space="preserve"> </w:t>
      </w:r>
      <w:r w:rsidRPr="00F612D2">
        <w:rPr>
          <w:i/>
        </w:rPr>
        <w:t>Petition for approval of customer specified lighting tariff by Tampa Electric Company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864A6D"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20200121-EI</w:t>
    </w:r>
    <w:bookmarkEnd w:id="14"/>
  </w:p>
  <w:p w:rsidR="00BC402E" w:rsidRDefault="00BC402E">
    <w:pPr>
      <w:pStyle w:val="Header"/>
    </w:pPr>
    <w:r>
      <w:t xml:space="preserve">Date: </w:t>
    </w:r>
    <w:fldSimple w:instr=" REF FilingDate ">
      <w:r w:rsidR="008E3BC9">
        <w:t>May 28, 2020</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8E3BC9">
      <w:t>Docket No.</w:t>
    </w:r>
    <w:r>
      <w:fldChar w:fldCharType="end"/>
    </w:r>
    <w:r>
      <w:t xml:space="preserve"> </w:t>
    </w:r>
    <w:r>
      <w:fldChar w:fldCharType="begin"/>
    </w:r>
    <w:r>
      <w:instrText xml:space="preserve"> REF DocketList</w:instrText>
    </w:r>
    <w:r>
      <w:fldChar w:fldCharType="separate"/>
    </w:r>
    <w:r w:rsidR="008E3BC9">
      <w:t>20200121-EI</w:t>
    </w:r>
    <w:r>
      <w:fldChar w:fldCharType="end"/>
    </w:r>
    <w:r>
      <w:tab/>
      <w:t xml:space="preserve">Issue </w:t>
    </w:r>
    <w:r w:rsidR="00E3064E">
      <w:fldChar w:fldCharType="begin"/>
    </w:r>
    <w:r w:rsidR="00E3064E">
      <w:instrText xml:space="preserve"> Seq Issue \c \* Arabic </w:instrText>
    </w:r>
    <w:r w:rsidR="00E3064E">
      <w:fldChar w:fldCharType="separate"/>
    </w:r>
    <w:r w:rsidR="00EE22E0">
      <w:rPr>
        <w:noProof/>
      </w:rPr>
      <w:t>2</w:t>
    </w:r>
    <w:r w:rsidR="00E3064E">
      <w:rPr>
        <w:noProof/>
      </w:rPr>
      <w:fldChar w:fldCharType="end"/>
    </w:r>
  </w:p>
  <w:p w:rsidR="00BC402E" w:rsidRDefault="00BC402E">
    <w:pPr>
      <w:pStyle w:val="Header"/>
    </w:pPr>
    <w:r>
      <w:t xml:space="preserve">Date: </w:t>
    </w:r>
    <w:fldSimple w:instr=" REF FilingDate ">
      <w:r w:rsidR="008E3BC9">
        <w:t>May 28, 2020</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1B0" w:rsidRDefault="005E71B0"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20200121-EI</w:t>
    </w:r>
    <w:r>
      <w:fldChar w:fldCharType="end"/>
    </w:r>
    <w:r>
      <w:tab/>
      <w:t>Attachment A</w:t>
    </w:r>
  </w:p>
  <w:p w:rsidR="005E71B0" w:rsidRDefault="005E71B0">
    <w:pPr>
      <w:pStyle w:val="Header"/>
    </w:pPr>
    <w:r>
      <w:t xml:space="preserve">Date: </w:t>
    </w:r>
    <w:r w:rsidR="00E3064E">
      <w:fldChar w:fldCharType="begin"/>
    </w:r>
    <w:r w:rsidR="00E3064E">
      <w:instrText xml:space="preserve"> REF FilingDate </w:instrText>
    </w:r>
    <w:r w:rsidR="00E3064E">
      <w:fldChar w:fldCharType="separate"/>
    </w:r>
    <w:r>
      <w:t>May 28, 2020</w:t>
    </w:r>
    <w:r w:rsidR="00E3064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64A6D"/>
    <w:rsid w:val="000043D5"/>
    <w:rsid w:val="00006170"/>
    <w:rsid w:val="00010E37"/>
    <w:rsid w:val="000172DA"/>
    <w:rsid w:val="000247C5"/>
    <w:rsid w:val="000277C2"/>
    <w:rsid w:val="00035B48"/>
    <w:rsid w:val="00036CE2"/>
    <w:rsid w:val="000437FE"/>
    <w:rsid w:val="000513BE"/>
    <w:rsid w:val="00051DD3"/>
    <w:rsid w:val="00053D14"/>
    <w:rsid w:val="00065A06"/>
    <w:rsid w:val="000666F3"/>
    <w:rsid w:val="00070DCB"/>
    <w:rsid w:val="00072CCA"/>
    <w:rsid w:val="00073120"/>
    <w:rsid w:val="000764D0"/>
    <w:rsid w:val="000816E4"/>
    <w:rsid w:val="000828D3"/>
    <w:rsid w:val="000A2B57"/>
    <w:rsid w:val="000A418B"/>
    <w:rsid w:val="000C048A"/>
    <w:rsid w:val="000C4431"/>
    <w:rsid w:val="000D1C06"/>
    <w:rsid w:val="000D275E"/>
    <w:rsid w:val="000D4319"/>
    <w:rsid w:val="000F374A"/>
    <w:rsid w:val="001076AF"/>
    <w:rsid w:val="0011041B"/>
    <w:rsid w:val="00117C8C"/>
    <w:rsid w:val="00124C38"/>
    <w:rsid w:val="00124E2E"/>
    <w:rsid w:val="00125ED4"/>
    <w:rsid w:val="001305E9"/>
    <w:rsid w:val="001307AF"/>
    <w:rsid w:val="00135687"/>
    <w:rsid w:val="0015506E"/>
    <w:rsid w:val="00163031"/>
    <w:rsid w:val="00171A90"/>
    <w:rsid w:val="00180254"/>
    <w:rsid w:val="00191E1F"/>
    <w:rsid w:val="00192943"/>
    <w:rsid w:val="001A6267"/>
    <w:rsid w:val="001A7406"/>
    <w:rsid w:val="001B4FEE"/>
    <w:rsid w:val="001B51C5"/>
    <w:rsid w:val="001B6F3F"/>
    <w:rsid w:val="001C2AFB"/>
    <w:rsid w:val="001C52B5"/>
    <w:rsid w:val="001D0D3E"/>
    <w:rsid w:val="001F2245"/>
    <w:rsid w:val="001F2C63"/>
    <w:rsid w:val="001F48C7"/>
    <w:rsid w:val="001F63F7"/>
    <w:rsid w:val="001F6DA1"/>
    <w:rsid w:val="002044E6"/>
    <w:rsid w:val="00205C82"/>
    <w:rsid w:val="00205DC2"/>
    <w:rsid w:val="00212B17"/>
    <w:rsid w:val="002163B6"/>
    <w:rsid w:val="00220732"/>
    <w:rsid w:val="00221D32"/>
    <w:rsid w:val="00225C3F"/>
    <w:rsid w:val="00252847"/>
    <w:rsid w:val="00263D44"/>
    <w:rsid w:val="002702AD"/>
    <w:rsid w:val="00273A28"/>
    <w:rsid w:val="00292D82"/>
    <w:rsid w:val="002963CB"/>
    <w:rsid w:val="002B4A01"/>
    <w:rsid w:val="002D226D"/>
    <w:rsid w:val="002F34B8"/>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C0D06"/>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2B4B"/>
    <w:rsid w:val="00477026"/>
    <w:rsid w:val="004946D1"/>
    <w:rsid w:val="004A744D"/>
    <w:rsid w:val="004B60BD"/>
    <w:rsid w:val="004C3150"/>
    <w:rsid w:val="004C3641"/>
    <w:rsid w:val="004C3A9F"/>
    <w:rsid w:val="004C4390"/>
    <w:rsid w:val="004C4AF7"/>
    <w:rsid w:val="004D2881"/>
    <w:rsid w:val="004D385F"/>
    <w:rsid w:val="004D5B39"/>
    <w:rsid w:val="004E330D"/>
    <w:rsid w:val="004E5147"/>
    <w:rsid w:val="004E69B5"/>
    <w:rsid w:val="004F5C43"/>
    <w:rsid w:val="0050652D"/>
    <w:rsid w:val="00506C03"/>
    <w:rsid w:val="00510D14"/>
    <w:rsid w:val="00511A11"/>
    <w:rsid w:val="00516496"/>
    <w:rsid w:val="00523B11"/>
    <w:rsid w:val="0052572A"/>
    <w:rsid w:val="00532DFB"/>
    <w:rsid w:val="00543CB3"/>
    <w:rsid w:val="005442E4"/>
    <w:rsid w:val="005453BA"/>
    <w:rsid w:val="0055529B"/>
    <w:rsid w:val="00560FF0"/>
    <w:rsid w:val="005614BD"/>
    <w:rsid w:val="0057154F"/>
    <w:rsid w:val="005763F6"/>
    <w:rsid w:val="00576ED4"/>
    <w:rsid w:val="00580F69"/>
    <w:rsid w:val="00581CA3"/>
    <w:rsid w:val="00584C59"/>
    <w:rsid w:val="00587A44"/>
    <w:rsid w:val="00587FDE"/>
    <w:rsid w:val="00597730"/>
    <w:rsid w:val="005977EC"/>
    <w:rsid w:val="00597DE7"/>
    <w:rsid w:val="005A4AA2"/>
    <w:rsid w:val="005B34B6"/>
    <w:rsid w:val="005B6C8F"/>
    <w:rsid w:val="005B6EC3"/>
    <w:rsid w:val="005C18AC"/>
    <w:rsid w:val="005D0F74"/>
    <w:rsid w:val="005D2E7D"/>
    <w:rsid w:val="005D4A8F"/>
    <w:rsid w:val="005D561B"/>
    <w:rsid w:val="005D5ECF"/>
    <w:rsid w:val="005E71B0"/>
    <w:rsid w:val="005F468D"/>
    <w:rsid w:val="005F69A3"/>
    <w:rsid w:val="00604CC7"/>
    <w:rsid w:val="00615423"/>
    <w:rsid w:val="006163BA"/>
    <w:rsid w:val="006165B2"/>
    <w:rsid w:val="00617276"/>
    <w:rsid w:val="0062527B"/>
    <w:rsid w:val="00625D97"/>
    <w:rsid w:val="00625F1C"/>
    <w:rsid w:val="006279E1"/>
    <w:rsid w:val="00630CEB"/>
    <w:rsid w:val="00631B93"/>
    <w:rsid w:val="00632264"/>
    <w:rsid w:val="006470BC"/>
    <w:rsid w:val="006554D3"/>
    <w:rsid w:val="00667036"/>
    <w:rsid w:val="00673BDB"/>
    <w:rsid w:val="00674341"/>
    <w:rsid w:val="006771B8"/>
    <w:rsid w:val="006812C5"/>
    <w:rsid w:val="006843B6"/>
    <w:rsid w:val="0068481F"/>
    <w:rsid w:val="00696F5D"/>
    <w:rsid w:val="00697249"/>
    <w:rsid w:val="006B3947"/>
    <w:rsid w:val="006B4293"/>
    <w:rsid w:val="006B624F"/>
    <w:rsid w:val="006C0C95"/>
    <w:rsid w:val="006C31E3"/>
    <w:rsid w:val="006C4D18"/>
    <w:rsid w:val="006D18D3"/>
    <w:rsid w:val="006E08CB"/>
    <w:rsid w:val="006E598D"/>
    <w:rsid w:val="0070437D"/>
    <w:rsid w:val="00704CF1"/>
    <w:rsid w:val="00705B04"/>
    <w:rsid w:val="00711874"/>
    <w:rsid w:val="0072491B"/>
    <w:rsid w:val="00724992"/>
    <w:rsid w:val="00734820"/>
    <w:rsid w:val="007349DC"/>
    <w:rsid w:val="0074365E"/>
    <w:rsid w:val="00744B55"/>
    <w:rsid w:val="007515FD"/>
    <w:rsid w:val="00754965"/>
    <w:rsid w:val="00760D80"/>
    <w:rsid w:val="007723D6"/>
    <w:rsid w:val="00780C09"/>
    <w:rsid w:val="00780DDF"/>
    <w:rsid w:val="007834E9"/>
    <w:rsid w:val="00785F0E"/>
    <w:rsid w:val="00787DBC"/>
    <w:rsid w:val="0079019A"/>
    <w:rsid w:val="00792935"/>
    <w:rsid w:val="007A04A1"/>
    <w:rsid w:val="007A1840"/>
    <w:rsid w:val="007A6D9E"/>
    <w:rsid w:val="007C0528"/>
    <w:rsid w:val="007C3D38"/>
    <w:rsid w:val="007D0F35"/>
    <w:rsid w:val="007D194D"/>
    <w:rsid w:val="007D4FEB"/>
    <w:rsid w:val="007D6146"/>
    <w:rsid w:val="007E0CE7"/>
    <w:rsid w:val="007F1193"/>
    <w:rsid w:val="007F417F"/>
    <w:rsid w:val="007F7644"/>
    <w:rsid w:val="008042BD"/>
    <w:rsid w:val="0080501F"/>
    <w:rsid w:val="00816624"/>
    <w:rsid w:val="00822427"/>
    <w:rsid w:val="00822562"/>
    <w:rsid w:val="00823663"/>
    <w:rsid w:val="00832DDC"/>
    <w:rsid w:val="00850BAC"/>
    <w:rsid w:val="00854A3E"/>
    <w:rsid w:val="00855D08"/>
    <w:rsid w:val="00864A6D"/>
    <w:rsid w:val="00874344"/>
    <w:rsid w:val="00882155"/>
    <w:rsid w:val="0088233B"/>
    <w:rsid w:val="0088599E"/>
    <w:rsid w:val="00886C37"/>
    <w:rsid w:val="00892D99"/>
    <w:rsid w:val="00893315"/>
    <w:rsid w:val="008B62AE"/>
    <w:rsid w:val="008C04B5"/>
    <w:rsid w:val="008C14FA"/>
    <w:rsid w:val="008C5A52"/>
    <w:rsid w:val="008C7AFD"/>
    <w:rsid w:val="008C7B0B"/>
    <w:rsid w:val="008D4057"/>
    <w:rsid w:val="008E1F19"/>
    <w:rsid w:val="008E3BC9"/>
    <w:rsid w:val="008F2262"/>
    <w:rsid w:val="008F4D2B"/>
    <w:rsid w:val="008F7736"/>
    <w:rsid w:val="008F7D5A"/>
    <w:rsid w:val="0090019E"/>
    <w:rsid w:val="00901086"/>
    <w:rsid w:val="00901C8A"/>
    <w:rsid w:val="00905886"/>
    <w:rsid w:val="0090589E"/>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559E7"/>
    <w:rsid w:val="009656F2"/>
    <w:rsid w:val="00966A08"/>
    <w:rsid w:val="00971207"/>
    <w:rsid w:val="009726A6"/>
    <w:rsid w:val="009758A4"/>
    <w:rsid w:val="00975CB4"/>
    <w:rsid w:val="0098209D"/>
    <w:rsid w:val="009863B0"/>
    <w:rsid w:val="00987DE1"/>
    <w:rsid w:val="00990571"/>
    <w:rsid w:val="0099673A"/>
    <w:rsid w:val="009A3330"/>
    <w:rsid w:val="009A4FC6"/>
    <w:rsid w:val="009A7C96"/>
    <w:rsid w:val="009C3DB9"/>
    <w:rsid w:val="009D46E5"/>
    <w:rsid w:val="009D562B"/>
    <w:rsid w:val="009D568A"/>
    <w:rsid w:val="009F04EC"/>
    <w:rsid w:val="009F2A7C"/>
    <w:rsid w:val="009F3B36"/>
    <w:rsid w:val="00A019B9"/>
    <w:rsid w:val="00A10EBD"/>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58A9"/>
    <w:rsid w:val="00AB6C5D"/>
    <w:rsid w:val="00AC3401"/>
    <w:rsid w:val="00AC51A7"/>
    <w:rsid w:val="00AD444B"/>
    <w:rsid w:val="00AD5614"/>
    <w:rsid w:val="00AD6C78"/>
    <w:rsid w:val="00AE2EAB"/>
    <w:rsid w:val="00AF2DF4"/>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62AD"/>
    <w:rsid w:val="00B2765A"/>
    <w:rsid w:val="00B3109A"/>
    <w:rsid w:val="00B516ED"/>
    <w:rsid w:val="00B567BE"/>
    <w:rsid w:val="00B57A6A"/>
    <w:rsid w:val="00B760F1"/>
    <w:rsid w:val="00B7669E"/>
    <w:rsid w:val="00B77DA1"/>
    <w:rsid w:val="00B822A0"/>
    <w:rsid w:val="00B858AE"/>
    <w:rsid w:val="00B85964"/>
    <w:rsid w:val="00B96250"/>
    <w:rsid w:val="00B96753"/>
    <w:rsid w:val="00BA0D55"/>
    <w:rsid w:val="00BA239B"/>
    <w:rsid w:val="00BA37B3"/>
    <w:rsid w:val="00BA4CC6"/>
    <w:rsid w:val="00BB3493"/>
    <w:rsid w:val="00BB7468"/>
    <w:rsid w:val="00BC188A"/>
    <w:rsid w:val="00BC402E"/>
    <w:rsid w:val="00BD0F48"/>
    <w:rsid w:val="00BE6DDB"/>
    <w:rsid w:val="00BE7CF8"/>
    <w:rsid w:val="00BF5010"/>
    <w:rsid w:val="00C03D5F"/>
    <w:rsid w:val="00C13791"/>
    <w:rsid w:val="00C31BB3"/>
    <w:rsid w:val="00C36977"/>
    <w:rsid w:val="00C467DA"/>
    <w:rsid w:val="00C477D9"/>
    <w:rsid w:val="00C60BA3"/>
    <w:rsid w:val="00C623F7"/>
    <w:rsid w:val="00C62A81"/>
    <w:rsid w:val="00C65D51"/>
    <w:rsid w:val="00C75BC5"/>
    <w:rsid w:val="00C81670"/>
    <w:rsid w:val="00C81773"/>
    <w:rsid w:val="00C82861"/>
    <w:rsid w:val="00C86896"/>
    <w:rsid w:val="00C907A8"/>
    <w:rsid w:val="00C93211"/>
    <w:rsid w:val="00C942EC"/>
    <w:rsid w:val="00C96047"/>
    <w:rsid w:val="00C979D0"/>
    <w:rsid w:val="00CA0818"/>
    <w:rsid w:val="00CA0D25"/>
    <w:rsid w:val="00CA15C8"/>
    <w:rsid w:val="00CA2C8F"/>
    <w:rsid w:val="00CA30DA"/>
    <w:rsid w:val="00CA3A24"/>
    <w:rsid w:val="00CB1777"/>
    <w:rsid w:val="00CB33E9"/>
    <w:rsid w:val="00CB558B"/>
    <w:rsid w:val="00CC10A9"/>
    <w:rsid w:val="00CD7870"/>
    <w:rsid w:val="00CE2BF8"/>
    <w:rsid w:val="00CE484E"/>
    <w:rsid w:val="00CE656F"/>
    <w:rsid w:val="00CF0DA8"/>
    <w:rsid w:val="00CF2E25"/>
    <w:rsid w:val="00CF4453"/>
    <w:rsid w:val="00CF5D94"/>
    <w:rsid w:val="00CF7E0F"/>
    <w:rsid w:val="00D01960"/>
    <w:rsid w:val="00D034D7"/>
    <w:rsid w:val="00D04BE4"/>
    <w:rsid w:val="00D06FC7"/>
    <w:rsid w:val="00D11BED"/>
    <w:rsid w:val="00D12565"/>
    <w:rsid w:val="00D1313A"/>
    <w:rsid w:val="00D14127"/>
    <w:rsid w:val="00D60B16"/>
    <w:rsid w:val="00D60F02"/>
    <w:rsid w:val="00D65C10"/>
    <w:rsid w:val="00D666A6"/>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E00CD"/>
    <w:rsid w:val="00DF1510"/>
    <w:rsid w:val="00DF151A"/>
    <w:rsid w:val="00E02F1F"/>
    <w:rsid w:val="00E03586"/>
    <w:rsid w:val="00E06484"/>
    <w:rsid w:val="00E20A7D"/>
    <w:rsid w:val="00E275D8"/>
    <w:rsid w:val="00E30F6A"/>
    <w:rsid w:val="00E3117C"/>
    <w:rsid w:val="00E375CA"/>
    <w:rsid w:val="00E425AA"/>
    <w:rsid w:val="00E43DD8"/>
    <w:rsid w:val="00E5364F"/>
    <w:rsid w:val="00E567E8"/>
    <w:rsid w:val="00E64679"/>
    <w:rsid w:val="00E65EBC"/>
    <w:rsid w:val="00E677FE"/>
    <w:rsid w:val="00E73432"/>
    <w:rsid w:val="00E77B0C"/>
    <w:rsid w:val="00E77FB8"/>
    <w:rsid w:val="00E838B0"/>
    <w:rsid w:val="00E86A7C"/>
    <w:rsid w:val="00E878E1"/>
    <w:rsid w:val="00E87D16"/>
    <w:rsid w:val="00E87F2C"/>
    <w:rsid w:val="00E95278"/>
    <w:rsid w:val="00EA2273"/>
    <w:rsid w:val="00EA7C3C"/>
    <w:rsid w:val="00EB2DB3"/>
    <w:rsid w:val="00EC3FBB"/>
    <w:rsid w:val="00EC6B7A"/>
    <w:rsid w:val="00ED3A87"/>
    <w:rsid w:val="00ED5B67"/>
    <w:rsid w:val="00EE22E0"/>
    <w:rsid w:val="00EF264C"/>
    <w:rsid w:val="00EF3FEE"/>
    <w:rsid w:val="00F04B59"/>
    <w:rsid w:val="00F11741"/>
    <w:rsid w:val="00F12B1C"/>
    <w:rsid w:val="00F13CF8"/>
    <w:rsid w:val="00F15855"/>
    <w:rsid w:val="00F200B2"/>
    <w:rsid w:val="00F227DC"/>
    <w:rsid w:val="00F32978"/>
    <w:rsid w:val="00F33BD1"/>
    <w:rsid w:val="00F36DA7"/>
    <w:rsid w:val="00F45CB2"/>
    <w:rsid w:val="00F544C0"/>
    <w:rsid w:val="00F55332"/>
    <w:rsid w:val="00F612D2"/>
    <w:rsid w:val="00F6504A"/>
    <w:rsid w:val="00F65519"/>
    <w:rsid w:val="00F713C0"/>
    <w:rsid w:val="00F75DDC"/>
    <w:rsid w:val="00F7792F"/>
    <w:rsid w:val="00F842AA"/>
    <w:rsid w:val="00F8476F"/>
    <w:rsid w:val="00F853E1"/>
    <w:rsid w:val="00F85604"/>
    <w:rsid w:val="00F94B7A"/>
    <w:rsid w:val="00FA17AC"/>
    <w:rsid w:val="00FA32DE"/>
    <w:rsid w:val="00FA3382"/>
    <w:rsid w:val="00FA59C5"/>
    <w:rsid w:val="00FA59CD"/>
    <w:rsid w:val="00FB1740"/>
    <w:rsid w:val="00FC5469"/>
    <w:rsid w:val="00FC5D77"/>
    <w:rsid w:val="00FC6D7D"/>
    <w:rsid w:val="00FD16B0"/>
    <w:rsid w:val="00FD4FED"/>
    <w:rsid w:val="00FE0577"/>
    <w:rsid w:val="00FE5954"/>
    <w:rsid w:val="00FE59EC"/>
    <w:rsid w:val="00FE5B67"/>
    <w:rsid w:val="00FE60D6"/>
    <w:rsid w:val="00FF6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8E3BC9"/>
    <w:rPr>
      <w:vertAlign w:val="superscript"/>
    </w:rPr>
  </w:style>
  <w:style w:type="character" w:styleId="CommentReference">
    <w:name w:val="annotation reference"/>
    <w:basedOn w:val="DefaultParagraphFont"/>
    <w:semiHidden/>
    <w:unhideWhenUsed/>
    <w:rsid w:val="000D275E"/>
    <w:rPr>
      <w:sz w:val="16"/>
      <w:szCs w:val="16"/>
    </w:rPr>
  </w:style>
  <w:style w:type="paragraph" w:styleId="Revision">
    <w:name w:val="Revision"/>
    <w:hidden/>
    <w:uiPriority w:val="99"/>
    <w:semiHidden/>
    <w:rsid w:val="00B9675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8E3BC9"/>
    <w:rPr>
      <w:vertAlign w:val="superscript"/>
    </w:rPr>
  </w:style>
  <w:style w:type="character" w:styleId="CommentReference">
    <w:name w:val="annotation reference"/>
    <w:basedOn w:val="DefaultParagraphFont"/>
    <w:semiHidden/>
    <w:unhideWhenUsed/>
    <w:rsid w:val="000D275E"/>
    <w:rPr>
      <w:sz w:val="16"/>
      <w:szCs w:val="16"/>
    </w:rPr>
  </w:style>
  <w:style w:type="paragraph" w:styleId="Revision">
    <w:name w:val="Revision"/>
    <w:hidden/>
    <w:uiPriority w:val="99"/>
    <w:semiHidden/>
    <w:rsid w:val="00B967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83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5B52F-789B-4701-9B5B-0B063798D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5</Pages>
  <Words>1080</Words>
  <Characters>6079</Characters>
  <Application>Microsoft Office Word</Application>
  <DocSecurity>0</DocSecurity>
  <Lines>119</Lines>
  <Paragraphs>36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Sevini Guffey</cp:lastModifiedBy>
  <cp:revision>2</cp:revision>
  <cp:lastPrinted>2004-01-27T20:32:00Z</cp:lastPrinted>
  <dcterms:created xsi:type="dcterms:W3CDTF">2020-05-28T13:31:00Z</dcterms:created>
  <dcterms:modified xsi:type="dcterms:W3CDTF">2020-05-28T13:31:00Z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20200121-EI</vt:lpwstr>
  </property>
  <property fmtid="{D5CDD505-2E9C-101B-9397-08002B2CF9AE}" pid="3" name="MasterDocument">
    <vt:bool>false</vt:bool>
  </property>
</Properties>
</file>