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70935" w:rsidP="0075782F">
            <w:pPr>
              <w:pStyle w:val="MemoHeading"/>
            </w:pPr>
            <w:bookmarkStart w:id="1" w:name="FilingDate"/>
            <w:r>
              <w:t>June 24</w:t>
            </w:r>
            <w:r w:rsidR="004B203F">
              <w:t>, 20</w:t>
            </w:r>
            <w:bookmarkEnd w:id="1"/>
            <w:r w:rsidR="0075782F">
              <w:t>20</w:t>
            </w:r>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BA3844" w:rsidRPr="00BA3844" w:rsidRDefault="004B203F" w:rsidP="00BA3844">
            <w:pPr>
              <w:pStyle w:val="MemoHeading"/>
            </w:pPr>
            <w:bookmarkStart w:id="2" w:name="From"/>
            <w:r>
              <w:t>Office of the General Counsel (</w:t>
            </w:r>
            <w:r w:rsidR="00F11B2B">
              <w:t>Cowdery</w:t>
            </w:r>
            <w:r>
              <w:t>)</w:t>
            </w:r>
          </w:p>
          <w:bookmarkEnd w:id="2"/>
          <w:p w:rsidR="00BA3844" w:rsidRPr="00BA3844" w:rsidRDefault="00BA3844" w:rsidP="00F36104">
            <w:r>
              <w:t>Division of Economics (</w:t>
            </w:r>
            <w:r w:rsidR="00F36104">
              <w:t>Coston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4B203F">
            <w:pPr>
              <w:pStyle w:val="MemoHeadingRe"/>
            </w:pPr>
            <w:bookmarkStart w:id="3" w:name="Re"/>
            <w:r>
              <w:t>Docket No. 20190041-WS – Proposed adoption of Rule 25-30.0115, F.A.C., Definition of Landlord and Tenant.</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6A1FFC" w:rsidP="0051687F">
            <w:pPr>
              <w:pStyle w:val="MemoHeading"/>
            </w:pPr>
            <w:r>
              <w:t>0</w:t>
            </w:r>
            <w:r w:rsidR="0051687F">
              <w:t>7/07</w:t>
            </w:r>
            <w:r>
              <w:t>/20</w:t>
            </w:r>
            <w:r w:rsidR="007C0528">
              <w:t xml:space="preserve"> – </w:t>
            </w:r>
            <w:bookmarkStart w:id="4" w:name="PermittedStatus"/>
            <w:r w:rsidR="004B203F">
              <w:t xml:space="preserve">Regular Agenda – </w:t>
            </w:r>
            <w:r w:rsidR="006A7A44">
              <w:t xml:space="preserve">Rule Proposal – </w:t>
            </w:r>
            <w:r w:rsidR="004B203F">
              <w:t>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4B203F">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4B203F">
            <w:pPr>
              <w:pStyle w:val="MemoHeading"/>
            </w:pPr>
            <w:bookmarkStart w:id="6" w:name="PrehearingOfficer"/>
            <w:r>
              <w:t>Administrative</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4B203F" w:rsidP="00506C03">
            <w:pPr>
              <w:pStyle w:val="MemoHeadingLabel"/>
            </w:pPr>
            <w:bookmarkStart w:id="7" w:name="CriticalDatesLabel"/>
            <w:r>
              <w:t>RULE STATUS:</w:t>
            </w:r>
            <w:bookmarkEnd w:id="7"/>
          </w:p>
        </w:tc>
        <w:tc>
          <w:tcPr>
            <w:tcW w:w="5785" w:type="dxa"/>
            <w:tcBorders>
              <w:top w:val="nil"/>
              <w:left w:val="nil"/>
              <w:bottom w:val="nil"/>
              <w:right w:val="nil"/>
            </w:tcBorders>
            <w:shd w:val="clear" w:color="auto" w:fill="auto"/>
          </w:tcPr>
          <w:p w:rsidR="007C0528" w:rsidRDefault="004D34F7">
            <w:pPr>
              <w:pStyle w:val="MemoHeading"/>
            </w:pPr>
            <w:bookmarkStart w:id="8" w:name="CriticalDates"/>
            <w:bookmarkEnd w:id="8"/>
            <w:r>
              <w:t>Proposal may be deferred</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386219">
            <w:pPr>
              <w:pStyle w:val="MemoHeading"/>
            </w:pPr>
            <w:r>
              <w:t>Place immediately prior to Docket No. 20180142-WS</w:t>
            </w:r>
          </w:p>
        </w:tc>
      </w:tr>
    </w:tbl>
    <w:p w:rsidR="007C0528" w:rsidRDefault="007C0528">
      <w:pPr>
        <w:pStyle w:val="BodyText"/>
      </w:pPr>
    </w:p>
    <w:p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921CC9" w:rsidRDefault="00921CC9">
      <w:pPr>
        <w:pStyle w:val="BodyText"/>
      </w:pPr>
      <w:r>
        <w:t xml:space="preserve">This docket concerns whether the Commission should propose </w:t>
      </w:r>
      <w:r w:rsidR="00AC377B">
        <w:t xml:space="preserve">the </w:t>
      </w:r>
      <w:r>
        <w:t xml:space="preserve">adoption of a new rule that would define the terms “landlord” and “tenant” for purposes of </w:t>
      </w:r>
      <w:r w:rsidR="00FE2C1E">
        <w:t>Section 367</w:t>
      </w:r>
      <w:r w:rsidR="00CD268D">
        <w:t>.02</w:t>
      </w:r>
      <w:r w:rsidR="00FE2C1E">
        <w:t>2</w:t>
      </w:r>
      <w:r w:rsidR="00CD268D">
        <w:t xml:space="preserve">(5), Florida Statutes (F.S.), </w:t>
      </w:r>
      <w:r w:rsidR="008818E8">
        <w:t xml:space="preserve">which addresses </w:t>
      </w:r>
      <w:r>
        <w:t>exemption</w:t>
      </w:r>
      <w:r w:rsidR="008818E8">
        <w:t>s</w:t>
      </w:r>
      <w:r>
        <w:t xml:space="preserve"> from </w:t>
      </w:r>
      <w:r w:rsidR="00355376">
        <w:t>Commission water and wastewater utility regulation</w:t>
      </w:r>
      <w:r>
        <w:t xml:space="preserve">. </w:t>
      </w:r>
      <w:r w:rsidR="00FE2C1E">
        <w:t>Section 367</w:t>
      </w:r>
      <w:r w:rsidR="00355376">
        <w:t>.02</w:t>
      </w:r>
      <w:r w:rsidR="00FE2C1E">
        <w:t>2</w:t>
      </w:r>
      <w:r w:rsidR="00355376">
        <w:t xml:space="preserve">(5), F.S., </w:t>
      </w:r>
      <w:r>
        <w:t xml:space="preserve">exempts </w:t>
      </w:r>
      <w:r w:rsidR="00D24D14">
        <w:t>from Commission jurisdiction</w:t>
      </w:r>
      <w:r w:rsidR="00903458">
        <w:t xml:space="preserve"> </w:t>
      </w:r>
      <w:r>
        <w:t>“[l]</w:t>
      </w:r>
      <w:r w:rsidRPr="0002359A">
        <w:t>andlords providing service to their tenants without specific compensation for the service</w:t>
      </w:r>
      <w:r>
        <w:t>.”</w:t>
      </w:r>
    </w:p>
    <w:p w:rsidR="00675515" w:rsidRDefault="00921CC9">
      <w:pPr>
        <w:pStyle w:val="BodyText"/>
      </w:pPr>
      <w:r>
        <w:t xml:space="preserve">The genesis of this docket was </w:t>
      </w:r>
      <w:r w:rsidR="001E28A0">
        <w:t>staff</w:t>
      </w:r>
      <w:r w:rsidR="00CD268D">
        <w:t>’s</w:t>
      </w:r>
      <w:r w:rsidR="001E28A0">
        <w:t xml:space="preserve"> </w:t>
      </w:r>
      <w:r w:rsidR="003A717B">
        <w:t>recommend</w:t>
      </w:r>
      <w:r>
        <w:t>ation</w:t>
      </w:r>
      <w:r w:rsidR="001E28A0">
        <w:t xml:space="preserve"> in Docket No. 20180142</w:t>
      </w:r>
      <w:r w:rsidR="00514341">
        <w:t>-WS</w:t>
      </w:r>
      <w:r w:rsidR="001E28A0">
        <w:t xml:space="preserve"> that the Commission </w:t>
      </w:r>
      <w:r w:rsidR="003A717B">
        <w:t xml:space="preserve">should </w:t>
      </w:r>
      <w:r w:rsidR="00D817C9">
        <w:t xml:space="preserve">issue an order to show cause </w:t>
      </w:r>
      <w:r w:rsidR="001E28A0">
        <w:t>Palm Tree Acres</w:t>
      </w:r>
      <w:r w:rsidR="003572B4">
        <w:t xml:space="preserve"> </w:t>
      </w:r>
      <w:r w:rsidR="00F476F5">
        <w:t xml:space="preserve">Mobile Home Park (Palm Tree Acres) </w:t>
      </w:r>
      <w:r w:rsidR="003572B4">
        <w:t xml:space="preserve">for </w:t>
      </w:r>
      <w:r w:rsidR="00386219">
        <w:t xml:space="preserve">allegedly </w:t>
      </w:r>
      <w:r w:rsidR="003572B4">
        <w:t>providing water and wastewater services without a certificate of authorization</w:t>
      </w:r>
      <w:r w:rsidR="001E28A0">
        <w:t>.</w:t>
      </w:r>
      <w:r w:rsidR="001E28A0">
        <w:rPr>
          <w:rStyle w:val="FootnoteReference"/>
        </w:rPr>
        <w:footnoteReference w:id="1"/>
      </w:r>
      <w:r w:rsidR="001E28A0">
        <w:t xml:space="preserve"> </w:t>
      </w:r>
      <w:r w:rsidR="003A717B">
        <w:t xml:space="preserve">Palm Tree Acres provides water and wastewater service to </w:t>
      </w:r>
      <w:r w:rsidR="00F476F5">
        <w:t xml:space="preserve">residents who lease </w:t>
      </w:r>
      <w:r w:rsidR="00F476F5">
        <w:lastRenderedPageBreak/>
        <w:t>their lots and residents who own their lots.</w:t>
      </w:r>
      <w:r w:rsidR="003A717B">
        <w:t xml:space="preserve"> </w:t>
      </w:r>
      <w:r w:rsidR="006A7A44">
        <w:t>T</w:t>
      </w:r>
      <w:r w:rsidR="00675515">
        <w:t xml:space="preserve">he core issue </w:t>
      </w:r>
      <w:r w:rsidR="00F476F5">
        <w:t>in the show cause docket i</w:t>
      </w:r>
      <w:r w:rsidR="008261AB">
        <w:t>s whether Palm Tree Acres i</w:t>
      </w:r>
      <w:r w:rsidR="0054002F" w:rsidRPr="0054002F">
        <w:t>s a utility</w:t>
      </w:r>
      <w:r w:rsidR="008261AB">
        <w:t xml:space="preserve"> subject to the Commission’s jurisdiction.</w:t>
      </w:r>
      <w:r w:rsidR="000D45F2" w:rsidRPr="000D45F2">
        <w:t xml:space="preserve"> </w:t>
      </w:r>
      <w:r w:rsidR="0054002F" w:rsidRPr="0054002F">
        <w:t xml:space="preserve">Palm Tree Acres </w:t>
      </w:r>
      <w:r w:rsidR="008261AB">
        <w:t>argu</w:t>
      </w:r>
      <w:r w:rsidR="0054002F" w:rsidRPr="0054002F">
        <w:t>e</w:t>
      </w:r>
      <w:r w:rsidR="00F476F5">
        <w:t>d</w:t>
      </w:r>
      <w:r w:rsidR="0054002F" w:rsidRPr="0054002F">
        <w:t xml:space="preserve"> that it </w:t>
      </w:r>
      <w:r w:rsidR="00F476F5">
        <w:t>i</w:t>
      </w:r>
      <w:r w:rsidR="0054002F" w:rsidRPr="0054002F">
        <w:t xml:space="preserve">s </w:t>
      </w:r>
      <w:r>
        <w:t>an exempt landlord</w:t>
      </w:r>
      <w:r w:rsidR="006A7A44">
        <w:t xml:space="preserve"> under</w:t>
      </w:r>
      <w:r w:rsidR="00514341">
        <w:t xml:space="preserve"> Section 367.022(5), </w:t>
      </w:r>
      <w:r w:rsidR="00DC310E">
        <w:t>F</w:t>
      </w:r>
      <w:r>
        <w:t xml:space="preserve">.S. </w:t>
      </w:r>
      <w:r w:rsidR="00675515">
        <w:t xml:space="preserve">Staff and certain residents of Palm Tree Acres argued that Palm Tree Acres </w:t>
      </w:r>
      <w:r w:rsidR="00530566">
        <w:t xml:space="preserve">and </w:t>
      </w:r>
      <w:r w:rsidR="00F476F5">
        <w:t xml:space="preserve">its </w:t>
      </w:r>
      <w:r w:rsidR="00530566">
        <w:t xml:space="preserve">residents that own their lots were not in a landlord-tenant relationship, so Palm Tree Acres </w:t>
      </w:r>
      <w:r w:rsidR="00986EC5">
        <w:t>i</w:t>
      </w:r>
      <w:r w:rsidR="00530566">
        <w:t>s not exempt from the Commission’s jurisdiction under Section 367.022(5), F.S.</w:t>
      </w:r>
      <w:r>
        <w:t xml:space="preserve"> </w:t>
      </w:r>
      <w:r w:rsidR="00EB71F3">
        <w:t>The staff recommendation was scheduled to be heard at the January 8, 2019 Commission Conference.</w:t>
      </w:r>
    </w:p>
    <w:p w:rsidR="00EB71F3" w:rsidRDefault="00921CC9">
      <w:pPr>
        <w:pStyle w:val="BodyText"/>
      </w:pPr>
      <w:r>
        <w:t xml:space="preserve">On January 4, 2019, </w:t>
      </w:r>
      <w:r w:rsidR="0002359A">
        <w:t xml:space="preserve">Palm Tree Acres sent </w:t>
      </w:r>
      <w:r w:rsidR="006A7A44">
        <w:t>the Commission</w:t>
      </w:r>
      <w:r w:rsidR="0002359A">
        <w:t xml:space="preserve"> a letter </w:t>
      </w:r>
      <w:r>
        <w:t xml:space="preserve">requesting that the Commission defer consideration of the </w:t>
      </w:r>
      <w:r w:rsidR="00CD268D">
        <w:t>show cause recommendation</w:t>
      </w:r>
      <w:r>
        <w:t xml:space="preserve"> until the Commission adopts a rule defining landl</w:t>
      </w:r>
      <w:r w:rsidR="001E6CFC">
        <w:t>ord and tenant for purposes of S</w:t>
      </w:r>
      <w:r>
        <w:t>ection 367.022(5), F.S., or until the issue is addressed by the Florida Legislature.  Palm Tree Acres argued</w:t>
      </w:r>
      <w:r w:rsidR="00053183">
        <w:t xml:space="preserve"> that staff’s interpretation</w:t>
      </w:r>
      <w:r w:rsidR="0002359A">
        <w:t xml:space="preserve"> of </w:t>
      </w:r>
      <w:r w:rsidR="000D45F2">
        <w:t xml:space="preserve">“landlord” and “tenant” </w:t>
      </w:r>
      <w:r w:rsidR="006A7A44">
        <w:t xml:space="preserve">in </w:t>
      </w:r>
      <w:r w:rsidR="0002359A">
        <w:t xml:space="preserve">Section 367.022(5), F.S., constituted a rule of general applicability that was not adopted pursuant to the requirements of the </w:t>
      </w:r>
      <w:r w:rsidR="00A9546F">
        <w:t xml:space="preserve">Chapter 120, F.S., </w:t>
      </w:r>
      <w:proofErr w:type="gramStart"/>
      <w:r w:rsidR="00A9546F">
        <w:t>the</w:t>
      </w:r>
      <w:proofErr w:type="gramEnd"/>
      <w:r w:rsidR="00A9546F">
        <w:t xml:space="preserve"> </w:t>
      </w:r>
      <w:r w:rsidR="0002359A">
        <w:t>Administrative Procedure Act</w:t>
      </w:r>
      <w:r w:rsidR="00A9546F">
        <w:t>.</w:t>
      </w:r>
      <w:r w:rsidR="00530566">
        <w:t xml:space="preserve"> </w:t>
      </w:r>
      <w:r w:rsidR="00A9546F">
        <w:t>Palm Tree Acres argue</w:t>
      </w:r>
      <w:r w:rsidR="003A717B">
        <w:t>d</w:t>
      </w:r>
      <w:r w:rsidR="00A9546F">
        <w:t xml:space="preserve"> in its letter and at the January 8, 2019 </w:t>
      </w:r>
      <w:r w:rsidR="003A717B">
        <w:t>Commission</w:t>
      </w:r>
      <w:r w:rsidR="00A9546F">
        <w:t xml:space="preserve"> Conference that</w:t>
      </w:r>
      <w:r w:rsidR="00EA4128">
        <w:t xml:space="preserve"> if the</w:t>
      </w:r>
      <w:r w:rsidR="00053183">
        <w:t xml:space="preserve"> Commission pursued </w:t>
      </w:r>
      <w:r w:rsidR="00EA4128">
        <w:t xml:space="preserve">enforcement action </w:t>
      </w:r>
      <w:r w:rsidR="00986EC5">
        <w:t>under</w:t>
      </w:r>
      <w:r w:rsidR="00EA4128">
        <w:t xml:space="preserve"> staff’s interpretation of Section 367.022(5), F.S., </w:t>
      </w:r>
      <w:r w:rsidR="0002359A">
        <w:t xml:space="preserve">Palm Tree Acres </w:t>
      </w:r>
      <w:r w:rsidR="00053183">
        <w:t>would</w:t>
      </w:r>
      <w:r w:rsidR="0002359A">
        <w:t xml:space="preserve"> initiate an unadopted rule challenge</w:t>
      </w:r>
      <w:r w:rsidR="00EA4128">
        <w:t>.</w:t>
      </w:r>
      <w:r w:rsidR="0002359A">
        <w:t xml:space="preserve"> </w:t>
      </w:r>
    </w:p>
    <w:p w:rsidR="00EB71F3" w:rsidRDefault="00514341">
      <w:pPr>
        <w:pStyle w:val="BodyText"/>
      </w:pPr>
      <w:r>
        <w:t xml:space="preserve">At the January 8, 2019 </w:t>
      </w:r>
      <w:r w:rsidR="003A717B">
        <w:t>Commission</w:t>
      </w:r>
      <w:r>
        <w:t xml:space="preserve"> Conference, t</w:t>
      </w:r>
      <w:r w:rsidR="00EA4128">
        <w:t>he Commission voted to defer consideration of</w:t>
      </w:r>
      <w:r w:rsidR="004F3FB2">
        <w:t xml:space="preserve"> staff’s</w:t>
      </w:r>
      <w:r w:rsidR="00EA4128">
        <w:t xml:space="preserve"> </w:t>
      </w:r>
      <w:r w:rsidR="006A7A44">
        <w:t>recommendation</w:t>
      </w:r>
      <w:r w:rsidR="00530566">
        <w:t xml:space="preserve"> to issue a show cause order</w:t>
      </w:r>
      <w:r w:rsidR="00EA4128">
        <w:t xml:space="preserve"> </w:t>
      </w:r>
      <w:r w:rsidR="00675515">
        <w:t>and initiate</w:t>
      </w:r>
      <w:r w:rsidR="006A7A44">
        <w:t>d</w:t>
      </w:r>
      <w:r w:rsidR="00675515">
        <w:t xml:space="preserve"> rulemaking</w:t>
      </w:r>
      <w:r w:rsidR="00EA4128">
        <w:t xml:space="preserve"> to explore the possibili</w:t>
      </w:r>
      <w:r w:rsidR="00FC2257">
        <w:t xml:space="preserve">ty of adopting a rule defining </w:t>
      </w:r>
      <w:r w:rsidR="00A9546F" w:rsidRPr="00A9546F">
        <w:t>“landlord” and “tenant</w:t>
      </w:r>
      <w:r w:rsidR="00A9546F">
        <w:rPr>
          <w:i/>
        </w:rPr>
        <w:t>”</w:t>
      </w:r>
      <w:r w:rsidR="00EA4128">
        <w:t xml:space="preserve"> </w:t>
      </w:r>
      <w:r w:rsidR="000B25A1">
        <w:t xml:space="preserve">as used </w:t>
      </w:r>
      <w:r w:rsidR="00EA4128">
        <w:t>in Section 367.022(5), F.S.</w:t>
      </w:r>
      <w:r w:rsidR="00EB71F3">
        <w:t xml:space="preserve"> </w:t>
      </w:r>
      <w:r w:rsidR="00675515">
        <w:t>N</w:t>
      </w:r>
      <w:r w:rsidR="00F468FD">
        <w:t xml:space="preserve">otice of </w:t>
      </w:r>
      <w:r w:rsidR="00675515">
        <w:t xml:space="preserve">initiation of rulemaking </w:t>
      </w:r>
      <w:r w:rsidR="00F476F5">
        <w:t>was published</w:t>
      </w:r>
      <w:r w:rsidR="00F468FD">
        <w:t xml:space="preserve"> in the February 15, 2019 edition of the Florida Administrative Register</w:t>
      </w:r>
      <w:r w:rsidR="00F476F5">
        <w:t>.</w:t>
      </w:r>
    </w:p>
    <w:p w:rsidR="00053183" w:rsidRDefault="00F476F5">
      <w:pPr>
        <w:pStyle w:val="BodyText"/>
      </w:pPr>
      <w:r>
        <w:t>On</w:t>
      </w:r>
      <w:r w:rsidR="00053183">
        <w:t xml:space="preserve"> </w:t>
      </w:r>
      <w:r w:rsidR="003A717B">
        <w:t xml:space="preserve">March 4, 2019, </w:t>
      </w:r>
      <w:r w:rsidR="00986EC5">
        <w:t xml:space="preserve">a </w:t>
      </w:r>
      <w:r>
        <w:t>staff rule</w:t>
      </w:r>
      <w:r w:rsidR="00390A3C">
        <w:t xml:space="preserve"> development </w:t>
      </w:r>
      <w:r w:rsidR="00F468FD">
        <w:t>workshop</w:t>
      </w:r>
      <w:r>
        <w:t xml:space="preserve"> was held</w:t>
      </w:r>
      <w:r w:rsidR="00390A3C">
        <w:t>. The workshop</w:t>
      </w:r>
      <w:r w:rsidR="00F468FD">
        <w:t xml:space="preserve"> was attended by </w:t>
      </w:r>
      <w:r w:rsidR="00767ABD">
        <w:t>representatives from the Florida Manufact</w:t>
      </w:r>
      <w:r w:rsidR="00605B3D">
        <w:t>ured Housing Association</w:t>
      </w:r>
      <w:r w:rsidR="007B5A90">
        <w:t>, Inc.</w:t>
      </w:r>
      <w:r w:rsidR="00605B3D">
        <w:t>;</w:t>
      </w:r>
      <w:r w:rsidR="00767ABD">
        <w:t xml:space="preserve"> the </w:t>
      </w:r>
      <w:r w:rsidR="00DF6B22">
        <w:t xml:space="preserve">Goss family, who </w:t>
      </w:r>
      <w:r w:rsidR="00767ABD">
        <w:t xml:space="preserve">owns </w:t>
      </w:r>
      <w:r w:rsidR="00DF6B22">
        <w:t xml:space="preserve">several mobile home parks in Florida, including </w:t>
      </w:r>
      <w:r w:rsidR="00767ABD">
        <w:t xml:space="preserve">Palm Tree </w:t>
      </w:r>
      <w:r w:rsidR="00605B3D">
        <w:t>Acres;</w:t>
      </w:r>
      <w:r w:rsidR="00767ABD">
        <w:t xml:space="preserve"> and the Office of Public Counsel. All three filed </w:t>
      </w:r>
      <w:r w:rsidR="00D52B57">
        <w:t>post-workshop comments</w:t>
      </w:r>
      <w:r w:rsidR="00F468FD">
        <w:t xml:space="preserve"> on March 18, 2019</w:t>
      </w:r>
      <w:r w:rsidR="00D52B57">
        <w:t>.</w:t>
      </w:r>
    </w:p>
    <w:p w:rsidR="0075782F" w:rsidRDefault="000256E8">
      <w:pPr>
        <w:pStyle w:val="BodyText"/>
      </w:pPr>
      <w:r>
        <w:t>A</w:t>
      </w:r>
      <w:r w:rsidR="00F476F5">
        <w:t>t</w:t>
      </w:r>
      <w:r>
        <w:t xml:space="preserve"> the </w:t>
      </w:r>
      <w:r w:rsidR="00CD268D">
        <w:t>October 3</w:t>
      </w:r>
      <w:r>
        <w:t xml:space="preserve">, 2019 </w:t>
      </w:r>
      <w:r w:rsidR="00F476F5">
        <w:t>Commission</w:t>
      </w:r>
      <w:r>
        <w:t xml:space="preserve"> Conference, s</w:t>
      </w:r>
      <w:r w:rsidR="0075782F">
        <w:t xml:space="preserve">taff recommended </w:t>
      </w:r>
      <w:r w:rsidR="000D288E">
        <w:t>that the Commission propose</w:t>
      </w:r>
      <w:r w:rsidR="002C0F3E">
        <w:t xml:space="preserve"> Rule 25-30.0115, F.A.C., </w:t>
      </w:r>
      <w:r w:rsidR="00355376">
        <w:t>to</w:t>
      </w:r>
      <w:r w:rsidR="002C0F3E">
        <w:t xml:space="preserve"> define</w:t>
      </w:r>
      <w:r w:rsidR="000D288E">
        <w:t xml:space="preserve"> the terms</w:t>
      </w:r>
      <w:r w:rsidR="0075782F">
        <w:t xml:space="preserve"> </w:t>
      </w:r>
      <w:r w:rsidR="00F036CA">
        <w:t>“</w:t>
      </w:r>
      <w:r w:rsidR="0075782F" w:rsidRPr="00F036CA">
        <w:t>landlord</w:t>
      </w:r>
      <w:r w:rsidR="00F036CA">
        <w:t>”</w:t>
      </w:r>
      <w:r w:rsidR="0075782F">
        <w:t xml:space="preserve"> and </w:t>
      </w:r>
      <w:r w:rsidR="00F036CA">
        <w:t>“</w:t>
      </w:r>
      <w:r w:rsidR="0075782F" w:rsidRPr="00F036CA">
        <w:t>tenant</w:t>
      </w:r>
      <w:r w:rsidR="00F036CA">
        <w:t>”</w:t>
      </w:r>
      <w:r w:rsidR="0075782F">
        <w:t xml:space="preserve"> as used in Section 367.022(5), F.S</w:t>
      </w:r>
      <w:r>
        <w:t xml:space="preserve">. </w:t>
      </w:r>
      <w:r w:rsidR="0075782F">
        <w:t xml:space="preserve">The Commission voted to defer </w:t>
      </w:r>
      <w:r w:rsidR="002C0F3E">
        <w:t>its de</w:t>
      </w:r>
      <w:r w:rsidR="000D288E">
        <w:t>cision</w:t>
      </w:r>
      <w:r w:rsidR="002C0F3E">
        <w:t xml:space="preserve"> </w:t>
      </w:r>
      <w:r w:rsidR="0075782F">
        <w:t xml:space="preserve">in order to give </w:t>
      </w:r>
      <w:r w:rsidR="00D9425E">
        <w:t xml:space="preserve">the Goss family </w:t>
      </w:r>
      <w:r w:rsidR="00530566">
        <w:t xml:space="preserve">time to pursue legislation to </w:t>
      </w:r>
      <w:r w:rsidR="00FC2257">
        <w:t>resolve the issue</w:t>
      </w:r>
      <w:r w:rsidR="00530566">
        <w:t xml:space="preserve"> </w:t>
      </w:r>
      <w:r w:rsidR="0075782F">
        <w:t xml:space="preserve">during the </w:t>
      </w:r>
      <w:r w:rsidR="00F476F5">
        <w:t>20</w:t>
      </w:r>
      <w:r w:rsidR="0075782F">
        <w:t>20 Florida Legislat</w:t>
      </w:r>
      <w:r w:rsidR="00F476F5">
        <w:t>ive session</w:t>
      </w:r>
      <w:r w:rsidR="0075782F">
        <w:t xml:space="preserve">. </w:t>
      </w:r>
    </w:p>
    <w:p w:rsidR="0075782F" w:rsidRPr="00DF1E71" w:rsidRDefault="00412ACA">
      <w:pPr>
        <w:pStyle w:val="BodyText"/>
      </w:pPr>
      <w:r>
        <w:t>On March 13, 2020, t</w:t>
      </w:r>
      <w:r w:rsidR="004A5EC4" w:rsidRPr="00DF1E71">
        <w:t>he Florida Legislature passed</w:t>
      </w:r>
      <w:r w:rsidR="00FC2257" w:rsidRPr="00DF1E71">
        <w:t xml:space="preserve"> HB 1339</w:t>
      </w:r>
      <w:r w:rsidR="000D288E">
        <w:t>, which a</w:t>
      </w:r>
      <w:r w:rsidR="00F60948">
        <w:t xml:space="preserve">mong other things, </w:t>
      </w:r>
      <w:r w:rsidR="0075782F" w:rsidRPr="00DF1E71">
        <w:t>create</w:t>
      </w:r>
      <w:r w:rsidR="00F60948">
        <w:t>s</w:t>
      </w:r>
      <w:r w:rsidR="0075782F" w:rsidRPr="00DF1E71">
        <w:t xml:space="preserve"> a new exemption </w:t>
      </w:r>
      <w:r w:rsidR="00F60948">
        <w:t xml:space="preserve">from Commission jurisdiction </w:t>
      </w:r>
      <w:r w:rsidR="0075782F" w:rsidRPr="00DF1E71">
        <w:t xml:space="preserve">for </w:t>
      </w:r>
      <w:r w:rsidR="000D288E">
        <w:t xml:space="preserve">owners of </w:t>
      </w:r>
      <w:r w:rsidR="0075782F" w:rsidRPr="00DF1E71">
        <w:t xml:space="preserve">mobile home parks </w:t>
      </w:r>
      <w:r w:rsidR="000D288E">
        <w:t>that operate both as a mobile home park and a mobile home subdivision (as defined in Section 723.003, F.S.) and</w:t>
      </w:r>
      <w:r w:rsidR="00F60948">
        <w:t xml:space="preserve"> provide water and</w:t>
      </w:r>
      <w:r w:rsidR="000D288E">
        <w:t>/or</w:t>
      </w:r>
      <w:r w:rsidR="00F60948">
        <w:t xml:space="preserve"> wastewater services to </w:t>
      </w:r>
      <w:r w:rsidR="000D288E">
        <w:t>a combination of both tenants and lot owners within</w:t>
      </w:r>
      <w:r w:rsidR="00F60948">
        <w:t xml:space="preserve"> the park/subdivision</w:t>
      </w:r>
      <w:r w:rsidR="0075782F" w:rsidRPr="00DF1E71">
        <w:t>.</w:t>
      </w:r>
      <w:r w:rsidR="00EE0A4D" w:rsidRPr="00DF1E71">
        <w:t xml:space="preserve"> The Governor signed the bi</w:t>
      </w:r>
      <w:r w:rsidR="00FC2257" w:rsidRPr="00DF1E71">
        <w:t xml:space="preserve">ll into law on </w:t>
      </w:r>
      <w:r w:rsidR="0051687F">
        <w:t>June</w:t>
      </w:r>
      <w:r w:rsidR="00FC2257" w:rsidRPr="00DF1E71">
        <w:t xml:space="preserve"> </w:t>
      </w:r>
      <w:r w:rsidR="00CB2CF4">
        <w:t>9</w:t>
      </w:r>
      <w:r w:rsidR="00FC2257" w:rsidRPr="00DF1E71">
        <w:t>, 2020</w:t>
      </w:r>
      <w:r w:rsidR="00986EC5">
        <w:t>, and the law</w:t>
      </w:r>
      <w:r w:rsidR="00FC2257" w:rsidRPr="00DF1E71">
        <w:t xml:space="preserve"> takes effect on July </w:t>
      </w:r>
      <w:r w:rsidR="00DF1E71" w:rsidRPr="00DF1E71">
        <w:t>1</w:t>
      </w:r>
      <w:r w:rsidR="00FC2257" w:rsidRPr="00DF1E71">
        <w:t>, 2020.</w:t>
      </w:r>
      <w:r w:rsidR="00EE0A4D" w:rsidRPr="00DF1E71">
        <w:t xml:space="preserve"> </w:t>
      </w:r>
      <w:r w:rsidR="0075782F" w:rsidRPr="00DF1E71">
        <w:t xml:space="preserve"> </w:t>
      </w:r>
      <w:r w:rsidR="00D9425E">
        <w:t>The Goss family is no longer requesting rulemaking.</w:t>
      </w:r>
    </w:p>
    <w:p w:rsidR="007C0528" w:rsidRDefault="00DF6B22" w:rsidP="00DB4DA8">
      <w:pPr>
        <w:pStyle w:val="BodyText"/>
      </w:pPr>
      <w:r>
        <w:t xml:space="preserve">This recommendation addresses whether the Commission should </w:t>
      </w:r>
      <w:r w:rsidR="007B5A90">
        <w:t>close this</w:t>
      </w:r>
      <w:r w:rsidR="00153240">
        <w:t xml:space="preserve"> docket because rulemaking is unnecessary</w:t>
      </w:r>
      <w:r w:rsidR="007B5A90">
        <w:t>.</w:t>
      </w:r>
      <w:r>
        <w:t xml:space="preserve"> </w:t>
      </w:r>
      <w:r w:rsidR="00390A3C">
        <w:t xml:space="preserve">The Commission has jurisdiction </w:t>
      </w:r>
      <w:r w:rsidR="006A7A44">
        <w:t>pursuant to Sections 120.54,</w:t>
      </w:r>
      <w:r w:rsidR="00390A3C">
        <w:t xml:space="preserve"> 367.121</w:t>
      </w:r>
      <w:r w:rsidR="00514341">
        <w:t>(1</w:t>
      </w:r>
      <w:proofErr w:type="gramStart"/>
      <w:r w:rsidR="00514341">
        <w:t>)</w:t>
      </w:r>
      <w:r w:rsidR="00390A3C">
        <w:t>(</w:t>
      </w:r>
      <w:proofErr w:type="gramEnd"/>
      <w:r w:rsidR="00390A3C">
        <w:t>f),</w:t>
      </w:r>
      <w:r w:rsidR="006A7A44">
        <w:t xml:space="preserve"> and 367.022,</w:t>
      </w:r>
      <w:r w:rsidR="00390A3C">
        <w:t xml:space="preserve"> F.S.</w:t>
      </w:r>
    </w:p>
    <w:bookmarkEnd w:id="10"/>
    <w:p w:rsidR="00EA2273" w:rsidRDefault="00EA2273">
      <w:pPr>
        <w:pStyle w:val="RecommendationMajorSectionHeading"/>
        <w:sectPr w:rsidR="00EA2273">
          <w:headerReference w:type="default" r:id="rId10"/>
          <w:footerReference w:type="default" r:id="rId11"/>
          <w:headerReference w:type="first" r:id="rId12"/>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4" w:name="DiscussionOfIssues"/>
      <w:r>
        <w:lastRenderedPageBreak/>
        <w:t xml:space="preserve">Discussion </w:t>
      </w:r>
    </w:p>
    <w:bookmarkEnd w:id="14"/>
    <w:p w:rsidR="004B203F" w:rsidRDefault="004B203F">
      <w:pPr>
        <w:pStyle w:val="IssueHeading"/>
        <w:rPr>
          <w:vanish/>
          <w:specVanish/>
        </w:rPr>
      </w:pPr>
      <w:r w:rsidRPr="004C3641">
        <w:t xml:space="preserve">Issue </w:t>
      </w:r>
      <w:r w:rsidR="003F3391">
        <w:rPr>
          <w:noProof/>
        </w:rPr>
        <w:fldChar w:fldCharType="begin"/>
      </w:r>
      <w:r w:rsidR="003F3391">
        <w:rPr>
          <w:noProof/>
        </w:rPr>
        <w:instrText xml:space="preserve"> SEQ Issue \* MERGEFORMAT </w:instrText>
      </w:r>
      <w:r w:rsidR="003F3391">
        <w:rPr>
          <w:noProof/>
        </w:rPr>
        <w:fldChar w:fldCharType="separate"/>
      </w:r>
      <w:r w:rsidR="004C3EE2">
        <w:rPr>
          <w:noProof/>
        </w:rPr>
        <w:t>1</w:t>
      </w:r>
      <w:r w:rsidR="003F3391">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4C3EE2">
        <w:rPr>
          <w:noProof/>
        </w:rPr>
        <w:instrText>1</w:instrText>
      </w:r>
      <w:r>
        <w:fldChar w:fldCharType="end"/>
      </w:r>
      <w:r>
        <w:tab/>
        <w:instrText xml:space="preserve">" \l 1 </w:instrText>
      </w:r>
      <w:r>
        <w:fldChar w:fldCharType="end"/>
      </w:r>
      <w:r>
        <w:t> </w:t>
      </w:r>
    </w:p>
    <w:p w:rsidR="004B203F" w:rsidRDefault="004B203F">
      <w:pPr>
        <w:pStyle w:val="BodyText"/>
      </w:pPr>
      <w:r>
        <w:t> </w:t>
      </w:r>
      <w:r w:rsidR="00B74C33">
        <w:t xml:space="preserve">Should </w:t>
      </w:r>
      <w:r w:rsidR="00957761">
        <w:t>this docket be closed</w:t>
      </w:r>
      <w:r w:rsidR="00B74C33">
        <w:t>?</w:t>
      </w:r>
    </w:p>
    <w:p w:rsidR="004B203F" w:rsidRPr="004C3641" w:rsidRDefault="004B203F">
      <w:pPr>
        <w:pStyle w:val="IssueSubsectionHeading"/>
        <w:rPr>
          <w:vanish/>
          <w:specVanish/>
        </w:rPr>
      </w:pPr>
      <w:r w:rsidRPr="004C3641">
        <w:t>Recommendation: </w:t>
      </w:r>
    </w:p>
    <w:p w:rsidR="004B203F" w:rsidRDefault="004B203F">
      <w:pPr>
        <w:pStyle w:val="BodyText"/>
      </w:pPr>
      <w:r>
        <w:t> </w:t>
      </w:r>
      <w:r w:rsidR="00957761">
        <w:t>Yes</w:t>
      </w:r>
      <w:r w:rsidR="00EE0A4D">
        <w:t>.</w:t>
      </w:r>
      <w:r w:rsidR="00957761" w:rsidRPr="00957761">
        <w:t xml:space="preserve"> </w:t>
      </w:r>
      <w:r w:rsidR="00957761">
        <w:t xml:space="preserve">Rulemaking to define “landlord” and “tenant” as used in Section 367.022(5), F.S., is unnecessary. </w:t>
      </w:r>
      <w:r w:rsidR="00B74C33">
        <w:t>(</w:t>
      </w:r>
      <w:r w:rsidR="00412ACA">
        <w:t>Cowdery</w:t>
      </w:r>
      <w:r w:rsidR="00A6287E">
        <w:t xml:space="preserve">, </w:t>
      </w:r>
      <w:r w:rsidR="00F36104">
        <w:t>Coston</w:t>
      </w:r>
      <w:r w:rsidR="00B74C33">
        <w:t>)</w:t>
      </w:r>
    </w:p>
    <w:p w:rsidR="004B203F" w:rsidRPr="00874945" w:rsidRDefault="004B203F">
      <w:pPr>
        <w:pStyle w:val="IssueSubsectionHeading"/>
        <w:rPr>
          <w:b w:val="0"/>
          <w:i w:val="0"/>
          <w:vanish/>
          <w:specVanish/>
        </w:rPr>
      </w:pPr>
      <w:r w:rsidRPr="004C3641">
        <w:t>Staff Analysis:</w:t>
      </w:r>
    </w:p>
    <w:p w:rsidR="00BE724A" w:rsidRDefault="004B203F" w:rsidP="00BE724A">
      <w:pPr>
        <w:pStyle w:val="BodyText"/>
      </w:pPr>
      <w:r w:rsidRPr="00874945">
        <w:t> </w:t>
      </w:r>
      <w:r w:rsidR="00F24B36">
        <w:t xml:space="preserve"> </w:t>
      </w:r>
      <w:r w:rsidR="00882DDA">
        <w:t xml:space="preserve">Section 367.022(5), F.S., exempts </w:t>
      </w:r>
      <w:r w:rsidR="00F24B36">
        <w:t xml:space="preserve">from Commission water and wastewater jurisdiction </w:t>
      </w:r>
      <w:r w:rsidR="00882DDA">
        <w:t>“[l]</w:t>
      </w:r>
      <w:r w:rsidR="00882DDA" w:rsidRPr="0002359A">
        <w:t>andlords providing service to their tenants without specific compensation for the service</w:t>
      </w:r>
      <w:r w:rsidR="00882DDA">
        <w:t xml:space="preserve">.” </w:t>
      </w:r>
      <w:r w:rsidR="00F24B36">
        <w:t xml:space="preserve">The Commission initiated rulemaking to define “landlord” and “tenant” under Section 367.022(5), F.S. </w:t>
      </w:r>
    </w:p>
    <w:p w:rsidR="00BE724A" w:rsidRDefault="00FE2C1E" w:rsidP="00BE724A">
      <w:pPr>
        <w:pStyle w:val="BodyText"/>
      </w:pPr>
      <w:r>
        <w:t>During the rule development process</w:t>
      </w:r>
      <w:r w:rsidR="00BE724A">
        <w:t>, t</w:t>
      </w:r>
      <w:r w:rsidR="00D9425E">
        <w:t xml:space="preserve">he Goss family </w:t>
      </w:r>
      <w:r w:rsidR="00BE724A">
        <w:t xml:space="preserve">had </w:t>
      </w:r>
      <w:r w:rsidR="00D9425E">
        <w:t>argued that</w:t>
      </w:r>
      <w:r w:rsidR="0039345B">
        <w:t xml:space="preserve"> </w:t>
      </w:r>
      <w:r w:rsidR="00054386">
        <w:t xml:space="preserve">a </w:t>
      </w:r>
      <w:r w:rsidR="00AC377B">
        <w:t xml:space="preserve">mobile home park owner and lot </w:t>
      </w:r>
      <w:r w:rsidR="0039345B">
        <w:t xml:space="preserve">owners </w:t>
      </w:r>
      <w:r w:rsidR="00054386">
        <w:t>residing in</w:t>
      </w:r>
      <w:r w:rsidR="0039345B">
        <w:t xml:space="preserve"> th</w:t>
      </w:r>
      <w:r w:rsidR="00054386">
        <w:t>e</w:t>
      </w:r>
      <w:r w:rsidR="0039345B">
        <w:t xml:space="preserve"> mobile home park had a landlord-tenant relationship as defined in Section 367.022(5), F.S.</w:t>
      </w:r>
      <w:r w:rsidR="00054386">
        <w:t>, thus exempting the mobile home park owners from Commission jurisdiction.</w:t>
      </w:r>
      <w:r w:rsidR="00FF1F8D">
        <w:t xml:space="preserve"> </w:t>
      </w:r>
      <w:r w:rsidR="00BE724A">
        <w:t xml:space="preserve">Staff disagreed </w:t>
      </w:r>
      <w:r w:rsidR="00A65C99">
        <w:t xml:space="preserve">with this interpretation of Section 367.022(5), F.S., </w:t>
      </w:r>
      <w:r w:rsidR="00BE724A">
        <w:t>and recommended at the October 3, 2019 agenda conference that the Commission propose a new rule that would define the terms “</w:t>
      </w:r>
      <w:r w:rsidR="00BE724A" w:rsidRPr="00F036CA">
        <w:t>landlord</w:t>
      </w:r>
      <w:r w:rsidR="00BE724A">
        <w:t>” and “</w:t>
      </w:r>
      <w:r w:rsidR="00BE724A" w:rsidRPr="00F036CA">
        <w:t>tenant</w:t>
      </w:r>
      <w:r w:rsidR="00BE724A">
        <w:t>” using the plain meaning of those terms as found in Black’s Law Dictionary.</w:t>
      </w:r>
      <w:r w:rsidR="00BE724A">
        <w:rPr>
          <w:rStyle w:val="FootnoteReference"/>
        </w:rPr>
        <w:footnoteReference w:id="2"/>
      </w:r>
      <w:r w:rsidR="00BE724A">
        <w:t xml:space="preserve"> The Commissio</w:t>
      </w:r>
      <w:r>
        <w:t xml:space="preserve">n voted to defer its decision on whether to propose a rule </w:t>
      </w:r>
      <w:r w:rsidR="00BE724A">
        <w:t xml:space="preserve">to give the Goss family time to pursue legislation to resolve the issue during the 2020 Florida Legislative session. </w:t>
      </w:r>
    </w:p>
    <w:p w:rsidR="00A9546F" w:rsidRDefault="008E1406" w:rsidP="0008428B">
      <w:pPr>
        <w:pStyle w:val="BodyText"/>
      </w:pPr>
      <w:r>
        <w:t>The</w:t>
      </w:r>
      <w:r w:rsidR="0039345B">
        <w:t xml:space="preserve"> question </w:t>
      </w:r>
      <w:r w:rsidR="007B5A90">
        <w:t xml:space="preserve">of whether mobile home park owners who provide service to lot owners within the park are exempt from Commission </w:t>
      </w:r>
      <w:r w:rsidR="00E1002D">
        <w:t xml:space="preserve">water and wastewater </w:t>
      </w:r>
      <w:r w:rsidR="007B5A90">
        <w:t xml:space="preserve">regulation </w:t>
      </w:r>
      <w:r w:rsidR="00990B4D">
        <w:t>was addressed</w:t>
      </w:r>
      <w:r w:rsidR="00D870CC">
        <w:t xml:space="preserve"> by HB 1339</w:t>
      </w:r>
      <w:r w:rsidR="00E1002D">
        <w:t>. This law adds a</w:t>
      </w:r>
      <w:r w:rsidR="00A9546F">
        <w:t xml:space="preserve"> new exemption</w:t>
      </w:r>
      <w:r w:rsidR="00D870CC">
        <w:t xml:space="preserve"> to Section 367.022,</w:t>
      </w:r>
      <w:r w:rsidR="00F24B36">
        <w:t xml:space="preserve"> F.S. </w:t>
      </w:r>
      <w:r w:rsidR="00D870CC">
        <w:t xml:space="preserve">Section 367.022(14), F.S., </w:t>
      </w:r>
      <w:r w:rsidR="00386219">
        <w:t>also exempts</w:t>
      </w:r>
      <w:r w:rsidR="00D870CC">
        <w:t>:</w:t>
      </w:r>
    </w:p>
    <w:p w:rsidR="00A9546F" w:rsidRDefault="00A9546F" w:rsidP="00A9546F">
      <w:pPr>
        <w:pStyle w:val="BodyText"/>
        <w:ind w:left="720" w:right="720"/>
      </w:pPr>
      <w:r w:rsidRPr="00A9546F">
        <w:t xml:space="preserve">The owner of a mobile home </w:t>
      </w:r>
      <w:r w:rsidR="000256E8">
        <w:t>p</w:t>
      </w:r>
      <w:r w:rsidRPr="00A9546F">
        <w:t>ark operating both as a mobile home park and a mobile home subdivision, as those terms are defined in s.</w:t>
      </w:r>
      <w:r w:rsidR="00882DDA">
        <w:t xml:space="preserve"> </w:t>
      </w:r>
      <w:r w:rsidRPr="00A9546F">
        <w:t>723.003,</w:t>
      </w:r>
      <w:r w:rsidR="001E10EE">
        <w:rPr>
          <w:rStyle w:val="FootnoteReference"/>
        </w:rPr>
        <w:footnoteReference w:id="3"/>
      </w:r>
      <w:r w:rsidRPr="00A9546F">
        <w:t xml:space="preserve"> who provides service within the park and subdivision to a combination of both tenants and lot owners, provided that the service to tenants is without specific compensation.</w:t>
      </w:r>
    </w:p>
    <w:p w:rsidR="00F93695" w:rsidRDefault="002C0F3E" w:rsidP="00DE1739">
      <w:pPr>
        <w:pStyle w:val="BodyText"/>
      </w:pPr>
      <w:r>
        <w:lastRenderedPageBreak/>
        <w:t>M</w:t>
      </w:r>
      <w:r w:rsidR="00882DDA">
        <w:t>obile home park owners meeting the criteria of Section 367.022(14)</w:t>
      </w:r>
      <w:r w:rsidR="00D870CC">
        <w:t>, F.S.,</w:t>
      </w:r>
      <w:r w:rsidR="00882DDA">
        <w:t xml:space="preserve"> are not subject to regulation by the Commission as a utility nor are they subject to the provisions of Chapter 367, F.S. </w:t>
      </w:r>
      <w:r w:rsidR="00D9425E" w:rsidRPr="00D9425E">
        <w:t>The</w:t>
      </w:r>
      <w:r w:rsidR="00D9425E">
        <w:t xml:space="preserve"> Goss family is no longer requesting rulemaking.</w:t>
      </w:r>
      <w:r w:rsidR="0039345B" w:rsidRPr="00DB4DA8">
        <w:rPr>
          <w:strike/>
        </w:rPr>
        <w:t xml:space="preserve"> </w:t>
      </w:r>
    </w:p>
    <w:p w:rsidR="00513792" w:rsidRDefault="00513792" w:rsidP="00513792">
      <w:pPr>
        <w:pStyle w:val="BodyText"/>
      </w:pPr>
      <w:r>
        <w:t>Moreover, staff does not believe that it is necessary to adopt a rule to define the terms</w:t>
      </w:r>
      <w:r w:rsidR="00D83545">
        <w:t xml:space="preserve"> “</w:t>
      </w:r>
      <w:r>
        <w:t>landlord</w:t>
      </w:r>
      <w:r w:rsidR="00153240">
        <w:t>”</w:t>
      </w:r>
      <w:r>
        <w:t xml:space="preserve"> and </w:t>
      </w:r>
      <w:r w:rsidR="00153240">
        <w:t>“</w:t>
      </w:r>
      <w:r>
        <w:t>tenant</w:t>
      </w:r>
      <w:r w:rsidR="00153240">
        <w:t>”</w:t>
      </w:r>
      <w:r>
        <w:t xml:space="preserve"> as used in Section 367.022(5), F.S.  Section 120.52(16), F.S., defines a “</w:t>
      </w:r>
      <w:r w:rsidRPr="00F036CA">
        <w:t>rule</w:t>
      </w:r>
      <w:r>
        <w:t>” as an “</w:t>
      </w:r>
      <w:r w:rsidRPr="0085358A">
        <w:t>agency statement of general applicability that implements, interpre</w:t>
      </w:r>
      <w:r>
        <w:t>ts, or prescribes law or policy.” Section 120.52(20), F.S., defines an “</w:t>
      </w:r>
      <w:r w:rsidRPr="00F036CA">
        <w:t>unadopted rule</w:t>
      </w:r>
      <w:r>
        <w:t xml:space="preserve">” as any rule that has not been adopted pursuant to the requirements of Section 120.54, F.S. In interpreting and applying these definitions, Florida courts have made clear that agency statements that </w:t>
      </w:r>
      <w:r w:rsidRPr="0008428B">
        <w:t>merely rei</w:t>
      </w:r>
      <w:r>
        <w:t>terate</w:t>
      </w:r>
      <w:r w:rsidRPr="0008428B">
        <w:t xml:space="preserve"> a law, or dec</w:t>
      </w:r>
      <w:r>
        <w:t xml:space="preserve">lare “what is ‘readily apparent’ from the text of a law” are not rules as defined by Section 120.52(16), F.S., and therefore do not need to be adopted through formal rulemaking procedures. </w:t>
      </w:r>
      <w:proofErr w:type="gramStart"/>
      <w:r w:rsidRPr="0008428B">
        <w:rPr>
          <w:i/>
          <w:iCs/>
        </w:rPr>
        <w:t>Grabba-Leaf, LLC v. D</w:t>
      </w:r>
      <w:r>
        <w:rPr>
          <w:i/>
          <w:iCs/>
        </w:rPr>
        <w:t>ep’t of Bus.</w:t>
      </w:r>
      <w:proofErr w:type="gramEnd"/>
      <w:r>
        <w:rPr>
          <w:i/>
          <w:iCs/>
        </w:rPr>
        <w:t xml:space="preserve"> &amp; Prof’l Reg.</w:t>
      </w:r>
      <w:r w:rsidRPr="0008428B">
        <w:t>, 257 So. 3d 1205, 1208 (Fla. 1st DCA 2018)</w:t>
      </w:r>
      <w:r>
        <w:t xml:space="preserve"> (citing </w:t>
      </w:r>
      <w:r>
        <w:rPr>
          <w:i/>
          <w:iCs/>
        </w:rPr>
        <w:t>Amerisure Mut. Ins. Co. v. Dep’</w:t>
      </w:r>
      <w:r w:rsidRPr="0008428B">
        <w:rPr>
          <w:i/>
          <w:iCs/>
        </w:rPr>
        <w:t>t of Fin. Servs.</w:t>
      </w:r>
      <w:r w:rsidRPr="0008428B">
        <w:t>, 156 So.</w:t>
      </w:r>
      <w:r>
        <w:t xml:space="preserve"> </w:t>
      </w:r>
      <w:proofErr w:type="gramStart"/>
      <w:r w:rsidRPr="0008428B">
        <w:t>3d 520, 532 (Fla. 1st DCA 2015); </w:t>
      </w:r>
      <w:r>
        <w:rPr>
          <w:i/>
          <w:iCs/>
        </w:rPr>
        <w:t>St. Francis Hosp., Inc. v. Dep’</w:t>
      </w:r>
      <w:r w:rsidRPr="0008428B">
        <w:rPr>
          <w:i/>
          <w:iCs/>
        </w:rPr>
        <w:t xml:space="preserve">t </w:t>
      </w:r>
      <w:r>
        <w:rPr>
          <w:i/>
          <w:iCs/>
        </w:rPr>
        <w:t>of Health &amp;</w:t>
      </w:r>
      <w:r w:rsidRPr="0008428B">
        <w:rPr>
          <w:i/>
          <w:iCs/>
        </w:rPr>
        <w:t xml:space="preserve"> Rehab.</w:t>
      </w:r>
      <w:proofErr w:type="gramEnd"/>
      <w:r w:rsidRPr="0008428B">
        <w:rPr>
          <w:i/>
          <w:iCs/>
        </w:rPr>
        <w:t xml:space="preserve"> </w:t>
      </w:r>
      <w:proofErr w:type="gramStart"/>
      <w:r w:rsidRPr="0008428B">
        <w:rPr>
          <w:i/>
          <w:iCs/>
        </w:rPr>
        <w:t>Servs.</w:t>
      </w:r>
      <w:r w:rsidRPr="0008428B">
        <w:t>,</w:t>
      </w:r>
      <w:proofErr w:type="gramEnd"/>
      <w:r w:rsidRPr="0008428B">
        <w:t xml:space="preserve"> 553 So.</w:t>
      </w:r>
      <w:r>
        <w:t xml:space="preserve"> </w:t>
      </w:r>
      <w:proofErr w:type="gramStart"/>
      <w:r w:rsidRPr="0008428B">
        <w:t xml:space="preserve">2d 1351, 1354 (Fla. </w:t>
      </w:r>
      <w:r w:rsidRPr="00513792">
        <w:t>1st DCA 1989)).</w:t>
      </w:r>
      <w:proofErr w:type="gramEnd"/>
    </w:p>
    <w:p w:rsidR="00513792" w:rsidRPr="0008428B" w:rsidRDefault="00BE724A" w:rsidP="00513792">
      <w:pPr>
        <w:pStyle w:val="BodyText"/>
      </w:pPr>
      <w:r>
        <w:t>As discussed above</w:t>
      </w:r>
      <w:r w:rsidR="00153240">
        <w:t>, s</w:t>
      </w:r>
      <w:r w:rsidR="00513792">
        <w:t>taff originally recommended that the Commission propose a new rule that would define the terms “</w:t>
      </w:r>
      <w:r w:rsidR="00513792" w:rsidRPr="00F036CA">
        <w:t>landlord</w:t>
      </w:r>
      <w:r w:rsidR="00513792">
        <w:t>” and “</w:t>
      </w:r>
      <w:r w:rsidR="00513792" w:rsidRPr="00F036CA">
        <w:t>tenant</w:t>
      </w:r>
      <w:r w:rsidR="00513792">
        <w:t>” using the plain meaning of those terms as found in Black’s Law Dictionary. Applying the plain meaning of statutory terms is declaring what is readily appar</w:t>
      </w:r>
      <w:r w:rsidR="00153240">
        <w:t xml:space="preserve">ent from the text of the law; </w:t>
      </w:r>
      <w:r w:rsidR="00513792">
        <w:t>therefore</w:t>
      </w:r>
      <w:r w:rsidR="00153240">
        <w:t>,</w:t>
      </w:r>
      <w:r w:rsidR="00513792">
        <w:t xml:space="preserve"> </w:t>
      </w:r>
      <w:r w:rsidR="00964E77">
        <w:t>there is no need to d</w:t>
      </w:r>
      <w:r w:rsidR="00C12278">
        <w:t>efine the terms “landlord” and “</w:t>
      </w:r>
      <w:r w:rsidR="00964E77">
        <w:t>tenant” in a rule.</w:t>
      </w:r>
    </w:p>
    <w:p w:rsidR="00187020" w:rsidRDefault="00513792" w:rsidP="00DE1739">
      <w:pPr>
        <w:pStyle w:val="BodyText"/>
      </w:pPr>
      <w:r>
        <w:t xml:space="preserve">For the reasons set forth above, staff believes that rulemaking to define “landlord” and “tenant” as used in Section 367.022(5), F.S., is unnecessary. </w:t>
      </w:r>
      <w:r w:rsidR="00D870CC">
        <w:t>Thus</w:t>
      </w:r>
      <w:r w:rsidR="003A717B">
        <w:t>, s</w:t>
      </w:r>
      <w:r w:rsidR="00882DDA">
        <w:t xml:space="preserve">taff recommends that </w:t>
      </w:r>
      <w:r w:rsidR="00957761">
        <w:t>this docket should be closed</w:t>
      </w:r>
      <w:r w:rsidR="00DE1739">
        <w:t xml:space="preserve">. </w:t>
      </w:r>
    </w:p>
    <w:sectPr w:rsidR="00187020" w:rsidSect="00187020">
      <w:headerReference w:type="default" r:id="rId13"/>
      <w:footerReference w:type="default" r:id="rId14"/>
      <w:pgSz w:w="12240" w:h="15840" w:code="1"/>
      <w:pgMar w:top="1440" w:right="1440" w:bottom="1440" w:left="1440" w:header="360" w:footer="36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391" w:rsidRDefault="003F3391">
      <w:r>
        <w:separator/>
      </w:r>
    </w:p>
  </w:endnote>
  <w:endnote w:type="continuationSeparator" w:id="0">
    <w:p w:rsidR="003F3391" w:rsidRDefault="003F3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C0361A">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020" w:rsidRDefault="00187020" w:rsidP="00DE1739">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C0361A">
      <w:rPr>
        <w:rStyle w:val="PageNumber"/>
        <w:noProof/>
      </w:rPr>
      <w:t>4</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391" w:rsidRDefault="003F3391">
      <w:r>
        <w:separator/>
      </w:r>
    </w:p>
  </w:footnote>
  <w:footnote w:type="continuationSeparator" w:id="0">
    <w:p w:rsidR="003F3391" w:rsidRDefault="003F3391">
      <w:r>
        <w:continuationSeparator/>
      </w:r>
    </w:p>
  </w:footnote>
  <w:footnote w:id="1">
    <w:p w:rsidR="001E28A0" w:rsidRPr="001E28A0" w:rsidRDefault="001E28A0">
      <w:pPr>
        <w:pStyle w:val="FootnoteText"/>
      </w:pPr>
      <w:r>
        <w:rPr>
          <w:rStyle w:val="FootnoteReference"/>
        </w:rPr>
        <w:footnoteRef/>
      </w:r>
      <w:r>
        <w:t xml:space="preserve"> Document No. 07686-2018, filed in Docket No. 20180142, </w:t>
      </w:r>
      <w:r>
        <w:rPr>
          <w:i/>
        </w:rPr>
        <w:t>Initiation of show cause proceedings against Pal</w:t>
      </w:r>
      <w:r w:rsidR="00792FB5">
        <w:rPr>
          <w:i/>
        </w:rPr>
        <w:t>m</w:t>
      </w:r>
      <w:r>
        <w:rPr>
          <w:i/>
        </w:rPr>
        <w:t xml:space="preserve"> Tree Acres Mobile Home Park, in Pasco County, for Noncompliance with Section 367.031, F.S., and Rule 25-30.033, F.A.C.</w:t>
      </w:r>
    </w:p>
  </w:footnote>
  <w:footnote w:id="2">
    <w:p w:rsidR="00A65C99" w:rsidRPr="00A65C99" w:rsidRDefault="00BE724A" w:rsidP="00A65C99">
      <w:pPr>
        <w:pStyle w:val="Rule"/>
        <w:tabs>
          <w:tab w:val="left" w:pos="360"/>
        </w:tabs>
        <w:spacing w:line="240" w:lineRule="auto"/>
        <w:rPr>
          <w:sz w:val="20"/>
          <w:szCs w:val="20"/>
        </w:rPr>
      </w:pPr>
      <w:r>
        <w:rPr>
          <w:rStyle w:val="FootnoteReference"/>
        </w:rPr>
        <w:footnoteRef/>
      </w:r>
      <w:r w:rsidR="00A65C99">
        <w:t xml:space="preserve"> </w:t>
      </w:r>
      <w:r w:rsidR="00A65C99" w:rsidRPr="00A65C99">
        <w:rPr>
          <w:sz w:val="20"/>
          <w:szCs w:val="20"/>
        </w:rPr>
        <w:t xml:space="preserve">Staff recommended the </w:t>
      </w:r>
      <w:r w:rsidR="00A65C99">
        <w:rPr>
          <w:sz w:val="20"/>
          <w:szCs w:val="20"/>
        </w:rPr>
        <w:t xml:space="preserve">Commission propose the </w:t>
      </w:r>
      <w:r w:rsidR="00A65C99" w:rsidRPr="00A65C99">
        <w:rPr>
          <w:sz w:val="20"/>
          <w:szCs w:val="20"/>
        </w:rPr>
        <w:t>following rule language:</w:t>
      </w:r>
    </w:p>
    <w:p w:rsidR="00A65C99" w:rsidRPr="00A65C99" w:rsidRDefault="00A65C99" w:rsidP="00D019DB">
      <w:pPr>
        <w:pStyle w:val="Rule"/>
        <w:tabs>
          <w:tab w:val="left" w:pos="360"/>
        </w:tabs>
        <w:spacing w:line="240" w:lineRule="auto"/>
        <w:ind w:left="720" w:right="720"/>
        <w:jc w:val="both"/>
        <w:rPr>
          <w:sz w:val="20"/>
          <w:szCs w:val="20"/>
          <w:u w:val="single"/>
        </w:rPr>
      </w:pPr>
      <w:r>
        <w:t xml:space="preserve">    </w:t>
      </w:r>
      <w:r w:rsidRPr="00A65C99">
        <w:rPr>
          <w:sz w:val="20"/>
          <w:szCs w:val="20"/>
          <w:u w:val="single"/>
        </w:rPr>
        <w:t>25-30.0115 Definition of Landlord and Tenant</w:t>
      </w:r>
    </w:p>
    <w:p w:rsidR="00A65C99" w:rsidRPr="00A65C99" w:rsidRDefault="00A65C99" w:rsidP="00D019DB">
      <w:pPr>
        <w:pStyle w:val="Rule"/>
        <w:tabs>
          <w:tab w:val="left" w:pos="360"/>
        </w:tabs>
        <w:spacing w:line="240" w:lineRule="auto"/>
        <w:ind w:left="720" w:right="720"/>
        <w:jc w:val="both"/>
        <w:rPr>
          <w:sz w:val="20"/>
          <w:szCs w:val="20"/>
          <w:u w:val="single"/>
        </w:rPr>
      </w:pPr>
      <w:r w:rsidRPr="00A65C99">
        <w:rPr>
          <w:sz w:val="20"/>
          <w:szCs w:val="20"/>
          <w:u w:val="single"/>
        </w:rPr>
        <w:t>As used in Section 367.022(5), F.S.:</w:t>
      </w:r>
    </w:p>
    <w:p w:rsidR="00A65C99" w:rsidRPr="00A65C99" w:rsidRDefault="00A65C99" w:rsidP="00D019DB">
      <w:pPr>
        <w:pStyle w:val="Rule"/>
        <w:tabs>
          <w:tab w:val="left" w:pos="360"/>
        </w:tabs>
        <w:spacing w:line="240" w:lineRule="auto"/>
        <w:ind w:left="720" w:right="720"/>
        <w:jc w:val="both"/>
        <w:rPr>
          <w:sz w:val="20"/>
          <w:szCs w:val="20"/>
          <w:u w:val="single"/>
        </w:rPr>
      </w:pPr>
      <w:r>
        <w:rPr>
          <w:sz w:val="20"/>
          <w:szCs w:val="20"/>
        </w:rPr>
        <w:t xml:space="preserve">      </w:t>
      </w:r>
      <w:r w:rsidRPr="00A65C99">
        <w:rPr>
          <w:sz w:val="20"/>
          <w:szCs w:val="20"/>
          <w:u w:val="single"/>
        </w:rPr>
        <w:t>(1) “landlord” is the party who conveys a possessory interest in real property to a tenant by way of a lease and who provides water and/or wastewater service to the tenant at that property; and</w:t>
      </w:r>
    </w:p>
    <w:p w:rsidR="00BE724A" w:rsidRDefault="00A65C99" w:rsidP="00D019DB">
      <w:pPr>
        <w:pStyle w:val="Rule"/>
        <w:tabs>
          <w:tab w:val="left" w:pos="360"/>
        </w:tabs>
        <w:spacing w:line="240" w:lineRule="auto"/>
        <w:ind w:left="720" w:right="720"/>
        <w:jc w:val="both"/>
        <w:rPr>
          <w:sz w:val="20"/>
          <w:szCs w:val="20"/>
          <w:u w:val="single"/>
        </w:rPr>
      </w:pPr>
      <w:r>
        <w:rPr>
          <w:sz w:val="20"/>
          <w:szCs w:val="20"/>
        </w:rPr>
        <w:t xml:space="preserve">      </w:t>
      </w:r>
      <w:r w:rsidRPr="00A65C99">
        <w:rPr>
          <w:sz w:val="20"/>
          <w:szCs w:val="20"/>
          <w:u w:val="single"/>
        </w:rPr>
        <w:t>(2) “</w:t>
      </w:r>
      <w:proofErr w:type="gramStart"/>
      <w:r w:rsidRPr="00A65C99">
        <w:rPr>
          <w:sz w:val="20"/>
          <w:szCs w:val="20"/>
          <w:u w:val="single"/>
        </w:rPr>
        <w:t>tenant</w:t>
      </w:r>
      <w:proofErr w:type="gramEnd"/>
      <w:r w:rsidRPr="00A65C99">
        <w:rPr>
          <w:sz w:val="20"/>
          <w:szCs w:val="20"/>
          <w:u w:val="single"/>
        </w:rPr>
        <w:t>” is the party to whom the possessory interest in real property is conveyed by the landlord by way of a lease and who receives water and/or wastewater service from the landlord at that property.</w:t>
      </w:r>
    </w:p>
    <w:p w:rsidR="00A65C99" w:rsidRPr="00A65C99" w:rsidRDefault="00A65C99" w:rsidP="00D019DB">
      <w:pPr>
        <w:pStyle w:val="Rule"/>
        <w:tabs>
          <w:tab w:val="left" w:pos="360"/>
        </w:tabs>
        <w:spacing w:line="240" w:lineRule="auto"/>
        <w:ind w:left="720" w:right="720"/>
        <w:jc w:val="both"/>
        <w:rPr>
          <w:sz w:val="20"/>
          <w:szCs w:val="20"/>
        </w:rPr>
      </w:pPr>
    </w:p>
  </w:footnote>
  <w:footnote w:id="3">
    <w:p w:rsidR="001E10EE" w:rsidRDefault="001E10EE">
      <w:pPr>
        <w:pStyle w:val="FootnoteText"/>
      </w:pPr>
      <w:r>
        <w:rPr>
          <w:rStyle w:val="FootnoteReference"/>
        </w:rPr>
        <w:footnoteRef/>
      </w:r>
      <w:r>
        <w:t xml:space="preserve"> Section 723.003(12), F.S., defines mobile home park as a use of land in which lots or spaces are offered for rent or lease for the placement of mobile homes and in which the primary use of the park is residential.  Section 723.003(14), F.S., defines mobile home subdivision as a subdivision of mobile homes where individual lots are owned by owners and where a portion of the subdivision or the amenities exclusively serving the subdivision are retained by the subdivision developer.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4B203F" w:rsidP="00220732">
    <w:pPr>
      <w:pStyle w:val="Header"/>
      <w:tabs>
        <w:tab w:val="clear" w:pos="4320"/>
        <w:tab w:val="clear" w:pos="8640"/>
        <w:tab w:val="right" w:pos="9360"/>
      </w:tabs>
    </w:pPr>
    <w:bookmarkStart w:id="12" w:name="DocketLabel"/>
    <w:r>
      <w:t>Docket No.</w:t>
    </w:r>
    <w:bookmarkEnd w:id="12"/>
    <w:r w:rsidR="00BC402E">
      <w:t xml:space="preserve"> </w:t>
    </w:r>
    <w:bookmarkStart w:id="13" w:name="DocketList"/>
    <w:r>
      <w:t>20190041-WS</w:t>
    </w:r>
    <w:bookmarkEnd w:id="13"/>
  </w:p>
  <w:p w:rsidR="00BC402E" w:rsidRDefault="00BC402E">
    <w:pPr>
      <w:pStyle w:val="Header"/>
    </w:pPr>
    <w:r>
      <w:t xml:space="preserve">Date: </w:t>
    </w:r>
    <w:r w:rsidR="00E70935">
      <w:t>June 24,</w:t>
    </w:r>
    <w:r w:rsidR="00E95CAC">
      <w:t xml:space="preserve">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219" w:rsidRDefault="00386219">
    <w:pPr>
      <w:pStyle w:val="Header"/>
    </w:pPr>
  </w:p>
  <w:p w:rsidR="00386219" w:rsidRDefault="003862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020" w:rsidRDefault="00187020" w:rsidP="00187020">
    <w:pPr>
      <w:pStyle w:val="Header"/>
      <w:tabs>
        <w:tab w:val="clear" w:pos="4320"/>
        <w:tab w:val="clear" w:pos="8640"/>
        <w:tab w:val="right" w:pos="9360"/>
      </w:tabs>
    </w:pPr>
    <w:r>
      <w:fldChar w:fldCharType="begin"/>
    </w:r>
    <w:r>
      <w:instrText xml:space="preserve"> REF DocketLabel</w:instrText>
    </w:r>
    <w:r>
      <w:fldChar w:fldCharType="separate"/>
    </w:r>
    <w:r w:rsidR="004C3EE2">
      <w:t>Docket No.</w:t>
    </w:r>
    <w:r>
      <w:fldChar w:fldCharType="end"/>
    </w:r>
    <w:r>
      <w:t xml:space="preserve"> </w:t>
    </w:r>
    <w:r>
      <w:fldChar w:fldCharType="begin"/>
    </w:r>
    <w:r>
      <w:instrText xml:space="preserve"> REF DocketList</w:instrText>
    </w:r>
    <w:r>
      <w:fldChar w:fldCharType="separate"/>
    </w:r>
    <w:r w:rsidR="004C3EE2">
      <w:t>20190041-WS</w:t>
    </w:r>
    <w:r>
      <w:fldChar w:fldCharType="end"/>
    </w:r>
    <w:r>
      <w:tab/>
    </w:r>
    <w:r w:rsidR="007D69F0">
      <w:t xml:space="preserve">Issue </w:t>
    </w:r>
    <w:r w:rsidR="00DE1739">
      <w:t>1</w:t>
    </w:r>
  </w:p>
  <w:p w:rsidR="00187020" w:rsidRDefault="00187020" w:rsidP="00187020">
    <w:pPr>
      <w:pStyle w:val="Header"/>
    </w:pPr>
    <w:r>
      <w:t xml:space="preserve">Date: </w:t>
    </w:r>
    <w:r w:rsidR="00D254E4">
      <w:t>June 24</w:t>
    </w:r>
    <w:r w:rsidR="00E95CAC">
      <w:t>,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55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4B203F"/>
    <w:rsid w:val="000002B9"/>
    <w:rsid w:val="000043D5"/>
    <w:rsid w:val="00006170"/>
    <w:rsid w:val="00010E37"/>
    <w:rsid w:val="000172DA"/>
    <w:rsid w:val="0002359A"/>
    <w:rsid w:val="000247C5"/>
    <w:rsid w:val="000256E8"/>
    <w:rsid w:val="000277C2"/>
    <w:rsid w:val="00031F08"/>
    <w:rsid w:val="000349AE"/>
    <w:rsid w:val="00035B48"/>
    <w:rsid w:val="00036CE2"/>
    <w:rsid w:val="000425CF"/>
    <w:rsid w:val="000437FE"/>
    <w:rsid w:val="000513BE"/>
    <w:rsid w:val="00053183"/>
    <w:rsid w:val="00054386"/>
    <w:rsid w:val="00063317"/>
    <w:rsid w:val="00064BDF"/>
    <w:rsid w:val="00065A06"/>
    <w:rsid w:val="000666F3"/>
    <w:rsid w:val="00070DCB"/>
    <w:rsid w:val="00072CCA"/>
    <w:rsid w:val="00073120"/>
    <w:rsid w:val="000764D0"/>
    <w:rsid w:val="000828D3"/>
    <w:rsid w:val="00082A38"/>
    <w:rsid w:val="0008428B"/>
    <w:rsid w:val="00096816"/>
    <w:rsid w:val="000A2B57"/>
    <w:rsid w:val="000A418B"/>
    <w:rsid w:val="000B1B39"/>
    <w:rsid w:val="000B25A1"/>
    <w:rsid w:val="000C150F"/>
    <w:rsid w:val="000C4431"/>
    <w:rsid w:val="000D1C06"/>
    <w:rsid w:val="000D288E"/>
    <w:rsid w:val="000D2A91"/>
    <w:rsid w:val="000D4319"/>
    <w:rsid w:val="000D45F2"/>
    <w:rsid w:val="000E7586"/>
    <w:rsid w:val="000E7D9E"/>
    <w:rsid w:val="000F26C8"/>
    <w:rsid w:val="000F2ADD"/>
    <w:rsid w:val="000F374A"/>
    <w:rsid w:val="00101DCA"/>
    <w:rsid w:val="001076AF"/>
    <w:rsid w:val="00117C8C"/>
    <w:rsid w:val="00121E90"/>
    <w:rsid w:val="00124C38"/>
    <w:rsid w:val="00124E2E"/>
    <w:rsid w:val="00125ED4"/>
    <w:rsid w:val="001305E9"/>
    <w:rsid w:val="001307AF"/>
    <w:rsid w:val="001312BF"/>
    <w:rsid w:val="00135687"/>
    <w:rsid w:val="00153240"/>
    <w:rsid w:val="0015506E"/>
    <w:rsid w:val="00163031"/>
    <w:rsid w:val="00165049"/>
    <w:rsid w:val="00171A90"/>
    <w:rsid w:val="001768DB"/>
    <w:rsid w:val="00180030"/>
    <w:rsid w:val="00180254"/>
    <w:rsid w:val="0018114D"/>
    <w:rsid w:val="00185934"/>
    <w:rsid w:val="00187020"/>
    <w:rsid w:val="00191E1F"/>
    <w:rsid w:val="00192943"/>
    <w:rsid w:val="00195711"/>
    <w:rsid w:val="001A7406"/>
    <w:rsid w:val="001B1FFD"/>
    <w:rsid w:val="001B4FEE"/>
    <w:rsid w:val="001B51C5"/>
    <w:rsid w:val="001B5C8B"/>
    <w:rsid w:val="001B6F3F"/>
    <w:rsid w:val="001C52B5"/>
    <w:rsid w:val="001D0D3E"/>
    <w:rsid w:val="001D135A"/>
    <w:rsid w:val="001D4B6E"/>
    <w:rsid w:val="001E10EE"/>
    <w:rsid w:val="001E28A0"/>
    <w:rsid w:val="001E6CFC"/>
    <w:rsid w:val="001F0784"/>
    <w:rsid w:val="001F2245"/>
    <w:rsid w:val="001F2C63"/>
    <w:rsid w:val="001F48C7"/>
    <w:rsid w:val="001F6DA1"/>
    <w:rsid w:val="002044E6"/>
    <w:rsid w:val="00205C82"/>
    <w:rsid w:val="00205DC2"/>
    <w:rsid w:val="00212B17"/>
    <w:rsid w:val="002163B6"/>
    <w:rsid w:val="00220732"/>
    <w:rsid w:val="00221D32"/>
    <w:rsid w:val="0022458A"/>
    <w:rsid w:val="00225C3F"/>
    <w:rsid w:val="00236957"/>
    <w:rsid w:val="00262BFF"/>
    <w:rsid w:val="00263D44"/>
    <w:rsid w:val="002702AD"/>
    <w:rsid w:val="00271F01"/>
    <w:rsid w:val="00292D82"/>
    <w:rsid w:val="002963CB"/>
    <w:rsid w:val="002B4A01"/>
    <w:rsid w:val="002C0F3E"/>
    <w:rsid w:val="002D226D"/>
    <w:rsid w:val="002E1B57"/>
    <w:rsid w:val="002F6030"/>
    <w:rsid w:val="003037E1"/>
    <w:rsid w:val="00307E51"/>
    <w:rsid w:val="003103EC"/>
    <w:rsid w:val="003140FF"/>
    <w:rsid w:val="003144EF"/>
    <w:rsid w:val="00322F74"/>
    <w:rsid w:val="00325570"/>
    <w:rsid w:val="00340073"/>
    <w:rsid w:val="00346CDF"/>
    <w:rsid w:val="00355376"/>
    <w:rsid w:val="003572B4"/>
    <w:rsid w:val="003632FD"/>
    <w:rsid w:val="00372805"/>
    <w:rsid w:val="00373180"/>
    <w:rsid w:val="00375AB9"/>
    <w:rsid w:val="003821A0"/>
    <w:rsid w:val="003821C1"/>
    <w:rsid w:val="00385B04"/>
    <w:rsid w:val="00386219"/>
    <w:rsid w:val="003864CF"/>
    <w:rsid w:val="00390A3C"/>
    <w:rsid w:val="0039345B"/>
    <w:rsid w:val="003948AE"/>
    <w:rsid w:val="00394CED"/>
    <w:rsid w:val="003A22A6"/>
    <w:rsid w:val="003A5494"/>
    <w:rsid w:val="003A717B"/>
    <w:rsid w:val="003B2510"/>
    <w:rsid w:val="003C2CC4"/>
    <w:rsid w:val="003C3710"/>
    <w:rsid w:val="003D69E2"/>
    <w:rsid w:val="003E0EFC"/>
    <w:rsid w:val="003E4A2B"/>
    <w:rsid w:val="003E4D43"/>
    <w:rsid w:val="003E76C2"/>
    <w:rsid w:val="003F0224"/>
    <w:rsid w:val="003F1679"/>
    <w:rsid w:val="003F21EB"/>
    <w:rsid w:val="003F3391"/>
    <w:rsid w:val="003F3465"/>
    <w:rsid w:val="003F4A35"/>
    <w:rsid w:val="003F7FDD"/>
    <w:rsid w:val="00402481"/>
    <w:rsid w:val="004042B4"/>
    <w:rsid w:val="004073CE"/>
    <w:rsid w:val="00410DC4"/>
    <w:rsid w:val="00412ACA"/>
    <w:rsid w:val="00412DAE"/>
    <w:rsid w:val="004242E6"/>
    <w:rsid w:val="00431598"/>
    <w:rsid w:val="004319AD"/>
    <w:rsid w:val="00431BC2"/>
    <w:rsid w:val="00431BEE"/>
    <w:rsid w:val="004334DC"/>
    <w:rsid w:val="004337D7"/>
    <w:rsid w:val="004426B8"/>
    <w:rsid w:val="0044295A"/>
    <w:rsid w:val="0044440D"/>
    <w:rsid w:val="00444432"/>
    <w:rsid w:val="00471860"/>
    <w:rsid w:val="00477026"/>
    <w:rsid w:val="0049257E"/>
    <w:rsid w:val="004A5EC4"/>
    <w:rsid w:val="004A64B0"/>
    <w:rsid w:val="004A744D"/>
    <w:rsid w:val="004B203F"/>
    <w:rsid w:val="004B60BD"/>
    <w:rsid w:val="004C146E"/>
    <w:rsid w:val="004C3150"/>
    <w:rsid w:val="004C3641"/>
    <w:rsid w:val="004C3EE2"/>
    <w:rsid w:val="004C4390"/>
    <w:rsid w:val="004C4AF7"/>
    <w:rsid w:val="004D1F71"/>
    <w:rsid w:val="004D2881"/>
    <w:rsid w:val="004D34F7"/>
    <w:rsid w:val="004D385F"/>
    <w:rsid w:val="004D3F46"/>
    <w:rsid w:val="004D5B39"/>
    <w:rsid w:val="004E330D"/>
    <w:rsid w:val="004E3608"/>
    <w:rsid w:val="004E5147"/>
    <w:rsid w:val="004E5A98"/>
    <w:rsid w:val="004E69B5"/>
    <w:rsid w:val="004F3FB2"/>
    <w:rsid w:val="004F5C43"/>
    <w:rsid w:val="00504927"/>
    <w:rsid w:val="0050652D"/>
    <w:rsid w:val="00506C03"/>
    <w:rsid w:val="005106A8"/>
    <w:rsid w:val="00511A11"/>
    <w:rsid w:val="00513792"/>
    <w:rsid w:val="00514341"/>
    <w:rsid w:val="00516496"/>
    <w:rsid w:val="0051687F"/>
    <w:rsid w:val="00523B11"/>
    <w:rsid w:val="0052572A"/>
    <w:rsid w:val="00530566"/>
    <w:rsid w:val="00532DFB"/>
    <w:rsid w:val="0054002F"/>
    <w:rsid w:val="0054016F"/>
    <w:rsid w:val="00543CB3"/>
    <w:rsid w:val="005442E4"/>
    <w:rsid w:val="0055529B"/>
    <w:rsid w:val="00560FF0"/>
    <w:rsid w:val="005614BD"/>
    <w:rsid w:val="0057154F"/>
    <w:rsid w:val="00572115"/>
    <w:rsid w:val="00580F69"/>
    <w:rsid w:val="00581CA3"/>
    <w:rsid w:val="00583EAA"/>
    <w:rsid w:val="00587A44"/>
    <w:rsid w:val="00591079"/>
    <w:rsid w:val="005932DF"/>
    <w:rsid w:val="00597730"/>
    <w:rsid w:val="005977EC"/>
    <w:rsid w:val="00597DE7"/>
    <w:rsid w:val="005A4AA2"/>
    <w:rsid w:val="005B34B6"/>
    <w:rsid w:val="005B6C8F"/>
    <w:rsid w:val="005B6EC3"/>
    <w:rsid w:val="005D0F74"/>
    <w:rsid w:val="005D2E7D"/>
    <w:rsid w:val="005D4A8F"/>
    <w:rsid w:val="005D561B"/>
    <w:rsid w:val="005D5ECF"/>
    <w:rsid w:val="005E417C"/>
    <w:rsid w:val="005F468D"/>
    <w:rsid w:val="005F69A3"/>
    <w:rsid w:val="0060424E"/>
    <w:rsid w:val="00604CC7"/>
    <w:rsid w:val="00605B3D"/>
    <w:rsid w:val="00614F48"/>
    <w:rsid w:val="00615423"/>
    <w:rsid w:val="006165B2"/>
    <w:rsid w:val="00617276"/>
    <w:rsid w:val="00617E32"/>
    <w:rsid w:val="0062527B"/>
    <w:rsid w:val="00625D97"/>
    <w:rsid w:val="00625F1C"/>
    <w:rsid w:val="006279E1"/>
    <w:rsid w:val="00630CEB"/>
    <w:rsid w:val="0063152A"/>
    <w:rsid w:val="00632264"/>
    <w:rsid w:val="00644F45"/>
    <w:rsid w:val="006470BC"/>
    <w:rsid w:val="00652241"/>
    <w:rsid w:val="006554D3"/>
    <w:rsid w:val="00667036"/>
    <w:rsid w:val="00673BDB"/>
    <w:rsid w:val="00674341"/>
    <w:rsid w:val="00675515"/>
    <w:rsid w:val="006771B8"/>
    <w:rsid w:val="006843B6"/>
    <w:rsid w:val="0068481F"/>
    <w:rsid w:val="00696F5D"/>
    <w:rsid w:val="00697249"/>
    <w:rsid w:val="00697B79"/>
    <w:rsid w:val="006A1FFC"/>
    <w:rsid w:val="006A2BE4"/>
    <w:rsid w:val="006A2D23"/>
    <w:rsid w:val="006A7A44"/>
    <w:rsid w:val="006B162D"/>
    <w:rsid w:val="006B3947"/>
    <w:rsid w:val="006B4293"/>
    <w:rsid w:val="006B624F"/>
    <w:rsid w:val="006C0C95"/>
    <w:rsid w:val="006C31E3"/>
    <w:rsid w:val="006C7068"/>
    <w:rsid w:val="006D18D3"/>
    <w:rsid w:val="006D629A"/>
    <w:rsid w:val="006E08CB"/>
    <w:rsid w:val="006E598D"/>
    <w:rsid w:val="006F3F1D"/>
    <w:rsid w:val="0070437D"/>
    <w:rsid w:val="00704CF1"/>
    <w:rsid w:val="00705B04"/>
    <w:rsid w:val="007135A7"/>
    <w:rsid w:val="00720B8E"/>
    <w:rsid w:val="00724992"/>
    <w:rsid w:val="00730273"/>
    <w:rsid w:val="0073122C"/>
    <w:rsid w:val="00734820"/>
    <w:rsid w:val="007349DC"/>
    <w:rsid w:val="0074365E"/>
    <w:rsid w:val="00744B55"/>
    <w:rsid w:val="007463AA"/>
    <w:rsid w:val="007515FD"/>
    <w:rsid w:val="00756FDD"/>
    <w:rsid w:val="0075782F"/>
    <w:rsid w:val="00760D1B"/>
    <w:rsid w:val="00760D80"/>
    <w:rsid w:val="00762714"/>
    <w:rsid w:val="00763FF8"/>
    <w:rsid w:val="00767ABD"/>
    <w:rsid w:val="00776732"/>
    <w:rsid w:val="00777A81"/>
    <w:rsid w:val="00780C09"/>
    <w:rsid w:val="00780DDF"/>
    <w:rsid w:val="007834E9"/>
    <w:rsid w:val="00787DBC"/>
    <w:rsid w:val="0079019A"/>
    <w:rsid w:val="00792935"/>
    <w:rsid w:val="00792FB5"/>
    <w:rsid w:val="007A04A1"/>
    <w:rsid w:val="007A1840"/>
    <w:rsid w:val="007A7143"/>
    <w:rsid w:val="007B12F3"/>
    <w:rsid w:val="007B5A90"/>
    <w:rsid w:val="007C0528"/>
    <w:rsid w:val="007C3CBA"/>
    <w:rsid w:val="007C3D38"/>
    <w:rsid w:val="007C7822"/>
    <w:rsid w:val="007C7FE1"/>
    <w:rsid w:val="007D0F35"/>
    <w:rsid w:val="007D17EC"/>
    <w:rsid w:val="007D21DB"/>
    <w:rsid w:val="007D4FEB"/>
    <w:rsid w:val="007D6146"/>
    <w:rsid w:val="007D69F0"/>
    <w:rsid w:val="007E0CE7"/>
    <w:rsid w:val="007E1A3D"/>
    <w:rsid w:val="007E510B"/>
    <w:rsid w:val="007F053D"/>
    <w:rsid w:val="007F1193"/>
    <w:rsid w:val="007F417F"/>
    <w:rsid w:val="007F7644"/>
    <w:rsid w:val="008042BD"/>
    <w:rsid w:val="00804F7B"/>
    <w:rsid w:val="00814D2B"/>
    <w:rsid w:val="00815CAB"/>
    <w:rsid w:val="00816624"/>
    <w:rsid w:val="00817FAB"/>
    <w:rsid w:val="008203B8"/>
    <w:rsid w:val="00822427"/>
    <w:rsid w:val="00822562"/>
    <w:rsid w:val="00823663"/>
    <w:rsid w:val="008261AB"/>
    <w:rsid w:val="0082671C"/>
    <w:rsid w:val="00832DDC"/>
    <w:rsid w:val="00835C40"/>
    <w:rsid w:val="00850BAC"/>
    <w:rsid w:val="0085358A"/>
    <w:rsid w:val="00854A3E"/>
    <w:rsid w:val="00855D08"/>
    <w:rsid w:val="00862DE4"/>
    <w:rsid w:val="00874344"/>
    <w:rsid w:val="00874945"/>
    <w:rsid w:val="00875116"/>
    <w:rsid w:val="008768C9"/>
    <w:rsid w:val="00880E54"/>
    <w:rsid w:val="008818E8"/>
    <w:rsid w:val="00882155"/>
    <w:rsid w:val="0088233B"/>
    <w:rsid w:val="00882DDA"/>
    <w:rsid w:val="0088599E"/>
    <w:rsid w:val="00886327"/>
    <w:rsid w:val="00886C37"/>
    <w:rsid w:val="00892D99"/>
    <w:rsid w:val="00893315"/>
    <w:rsid w:val="008A1504"/>
    <w:rsid w:val="008A7B35"/>
    <w:rsid w:val="008B62AE"/>
    <w:rsid w:val="008C04B5"/>
    <w:rsid w:val="008C14FA"/>
    <w:rsid w:val="008C7B0B"/>
    <w:rsid w:val="008D3C2B"/>
    <w:rsid w:val="008D4057"/>
    <w:rsid w:val="008E1406"/>
    <w:rsid w:val="008E14FE"/>
    <w:rsid w:val="008E1F19"/>
    <w:rsid w:val="008F0AB4"/>
    <w:rsid w:val="008F2262"/>
    <w:rsid w:val="008F4D2B"/>
    <w:rsid w:val="008F7736"/>
    <w:rsid w:val="0090019E"/>
    <w:rsid w:val="00901086"/>
    <w:rsid w:val="00901C8A"/>
    <w:rsid w:val="00903458"/>
    <w:rsid w:val="0090405D"/>
    <w:rsid w:val="00905886"/>
    <w:rsid w:val="009070D6"/>
    <w:rsid w:val="009076C6"/>
    <w:rsid w:val="0091019E"/>
    <w:rsid w:val="009106F1"/>
    <w:rsid w:val="009113B0"/>
    <w:rsid w:val="00912404"/>
    <w:rsid w:val="009145D6"/>
    <w:rsid w:val="00920E64"/>
    <w:rsid w:val="009218CF"/>
    <w:rsid w:val="00921CC9"/>
    <w:rsid w:val="00922002"/>
    <w:rsid w:val="00922DCD"/>
    <w:rsid w:val="00924020"/>
    <w:rsid w:val="009271A7"/>
    <w:rsid w:val="009315B7"/>
    <w:rsid w:val="0093658B"/>
    <w:rsid w:val="009429FF"/>
    <w:rsid w:val="00945BD6"/>
    <w:rsid w:val="009479FB"/>
    <w:rsid w:val="00951C45"/>
    <w:rsid w:val="00957761"/>
    <w:rsid w:val="00963751"/>
    <w:rsid w:val="00964E77"/>
    <w:rsid w:val="009656F2"/>
    <w:rsid w:val="00966A08"/>
    <w:rsid w:val="00971207"/>
    <w:rsid w:val="00975CB4"/>
    <w:rsid w:val="009760B7"/>
    <w:rsid w:val="00982F90"/>
    <w:rsid w:val="009863B0"/>
    <w:rsid w:val="00986EC5"/>
    <w:rsid w:val="00987DE1"/>
    <w:rsid w:val="00990571"/>
    <w:rsid w:val="00990B4D"/>
    <w:rsid w:val="00990F29"/>
    <w:rsid w:val="00991C9B"/>
    <w:rsid w:val="0099673A"/>
    <w:rsid w:val="009A0847"/>
    <w:rsid w:val="009A3330"/>
    <w:rsid w:val="009A72AA"/>
    <w:rsid w:val="009A7C96"/>
    <w:rsid w:val="009B74D9"/>
    <w:rsid w:val="009C05C8"/>
    <w:rsid w:val="009C3DB9"/>
    <w:rsid w:val="009C6FEE"/>
    <w:rsid w:val="009D46E5"/>
    <w:rsid w:val="009D568A"/>
    <w:rsid w:val="009D720F"/>
    <w:rsid w:val="009E22F8"/>
    <w:rsid w:val="009F04EC"/>
    <w:rsid w:val="009F2A7C"/>
    <w:rsid w:val="009F3B36"/>
    <w:rsid w:val="00A019B9"/>
    <w:rsid w:val="00A12508"/>
    <w:rsid w:val="00A1282B"/>
    <w:rsid w:val="00A13A27"/>
    <w:rsid w:val="00A173AB"/>
    <w:rsid w:val="00A175B6"/>
    <w:rsid w:val="00A21835"/>
    <w:rsid w:val="00A2374B"/>
    <w:rsid w:val="00A27D6E"/>
    <w:rsid w:val="00A304A6"/>
    <w:rsid w:val="00A3099E"/>
    <w:rsid w:val="00A328EC"/>
    <w:rsid w:val="00A33A51"/>
    <w:rsid w:val="00A355E9"/>
    <w:rsid w:val="00A41CA6"/>
    <w:rsid w:val="00A47040"/>
    <w:rsid w:val="00A47927"/>
    <w:rsid w:val="00A47FFC"/>
    <w:rsid w:val="00A5442F"/>
    <w:rsid w:val="00A5463D"/>
    <w:rsid w:val="00A54FF9"/>
    <w:rsid w:val="00A56765"/>
    <w:rsid w:val="00A6287E"/>
    <w:rsid w:val="00A65C99"/>
    <w:rsid w:val="00A675AC"/>
    <w:rsid w:val="00A71E68"/>
    <w:rsid w:val="00A73D11"/>
    <w:rsid w:val="00A7581F"/>
    <w:rsid w:val="00A771F4"/>
    <w:rsid w:val="00A77E40"/>
    <w:rsid w:val="00A92FB1"/>
    <w:rsid w:val="00A9546F"/>
    <w:rsid w:val="00A95A0C"/>
    <w:rsid w:val="00AA2765"/>
    <w:rsid w:val="00AA77B5"/>
    <w:rsid w:val="00AB6C5D"/>
    <w:rsid w:val="00AC3401"/>
    <w:rsid w:val="00AC377B"/>
    <w:rsid w:val="00AC51A7"/>
    <w:rsid w:val="00AD0EF9"/>
    <w:rsid w:val="00AD444B"/>
    <w:rsid w:val="00AD53F9"/>
    <w:rsid w:val="00AD5614"/>
    <w:rsid w:val="00AD6C78"/>
    <w:rsid w:val="00AE2EAB"/>
    <w:rsid w:val="00AE3C6B"/>
    <w:rsid w:val="00AF05EC"/>
    <w:rsid w:val="00AF5F89"/>
    <w:rsid w:val="00AF73CB"/>
    <w:rsid w:val="00B002D6"/>
    <w:rsid w:val="00B03379"/>
    <w:rsid w:val="00B05B51"/>
    <w:rsid w:val="00B05BB3"/>
    <w:rsid w:val="00B14E5A"/>
    <w:rsid w:val="00B15370"/>
    <w:rsid w:val="00B16DA4"/>
    <w:rsid w:val="00B17BEB"/>
    <w:rsid w:val="00B21A3C"/>
    <w:rsid w:val="00B223C0"/>
    <w:rsid w:val="00B234ED"/>
    <w:rsid w:val="00B249B2"/>
    <w:rsid w:val="00B25CA3"/>
    <w:rsid w:val="00B2765A"/>
    <w:rsid w:val="00B3109A"/>
    <w:rsid w:val="00B3377E"/>
    <w:rsid w:val="00B422E9"/>
    <w:rsid w:val="00B46419"/>
    <w:rsid w:val="00B516ED"/>
    <w:rsid w:val="00B535C4"/>
    <w:rsid w:val="00B57A6A"/>
    <w:rsid w:val="00B640EB"/>
    <w:rsid w:val="00B74C33"/>
    <w:rsid w:val="00B760F1"/>
    <w:rsid w:val="00B7669E"/>
    <w:rsid w:val="00B76DA7"/>
    <w:rsid w:val="00B77DA1"/>
    <w:rsid w:val="00B822A0"/>
    <w:rsid w:val="00B858AE"/>
    <w:rsid w:val="00B85964"/>
    <w:rsid w:val="00B96016"/>
    <w:rsid w:val="00B96250"/>
    <w:rsid w:val="00BA0D55"/>
    <w:rsid w:val="00BA37B3"/>
    <w:rsid w:val="00BA3844"/>
    <w:rsid w:val="00BA4CC6"/>
    <w:rsid w:val="00BB3493"/>
    <w:rsid w:val="00BB69D5"/>
    <w:rsid w:val="00BB7468"/>
    <w:rsid w:val="00BC0ABD"/>
    <w:rsid w:val="00BC188A"/>
    <w:rsid w:val="00BC20CF"/>
    <w:rsid w:val="00BC402E"/>
    <w:rsid w:val="00BD0F48"/>
    <w:rsid w:val="00BD3F05"/>
    <w:rsid w:val="00BE6DDB"/>
    <w:rsid w:val="00BE724A"/>
    <w:rsid w:val="00BF5010"/>
    <w:rsid w:val="00C020B5"/>
    <w:rsid w:val="00C0361A"/>
    <w:rsid w:val="00C03D5F"/>
    <w:rsid w:val="00C06A97"/>
    <w:rsid w:val="00C12278"/>
    <w:rsid w:val="00C13791"/>
    <w:rsid w:val="00C22470"/>
    <w:rsid w:val="00C31BB3"/>
    <w:rsid w:val="00C36977"/>
    <w:rsid w:val="00C36F66"/>
    <w:rsid w:val="00C4648C"/>
    <w:rsid w:val="00C467DA"/>
    <w:rsid w:val="00C477D9"/>
    <w:rsid w:val="00C52557"/>
    <w:rsid w:val="00C60BA3"/>
    <w:rsid w:val="00C623F7"/>
    <w:rsid w:val="00C62A81"/>
    <w:rsid w:val="00C66137"/>
    <w:rsid w:val="00C72E1A"/>
    <w:rsid w:val="00C75BC5"/>
    <w:rsid w:val="00C81670"/>
    <w:rsid w:val="00C81773"/>
    <w:rsid w:val="00C82861"/>
    <w:rsid w:val="00C86896"/>
    <w:rsid w:val="00C87F0A"/>
    <w:rsid w:val="00C907A8"/>
    <w:rsid w:val="00C93211"/>
    <w:rsid w:val="00C942EC"/>
    <w:rsid w:val="00C96047"/>
    <w:rsid w:val="00C963DE"/>
    <w:rsid w:val="00C979D0"/>
    <w:rsid w:val="00CA0818"/>
    <w:rsid w:val="00CA15C8"/>
    <w:rsid w:val="00CA2C8F"/>
    <w:rsid w:val="00CA30DA"/>
    <w:rsid w:val="00CA3A24"/>
    <w:rsid w:val="00CB1777"/>
    <w:rsid w:val="00CB2CF4"/>
    <w:rsid w:val="00CB33E9"/>
    <w:rsid w:val="00CB34D7"/>
    <w:rsid w:val="00CC10A9"/>
    <w:rsid w:val="00CC1259"/>
    <w:rsid w:val="00CD268D"/>
    <w:rsid w:val="00CE2BF8"/>
    <w:rsid w:val="00CE484E"/>
    <w:rsid w:val="00CE656F"/>
    <w:rsid w:val="00CF0DA8"/>
    <w:rsid w:val="00CF2E25"/>
    <w:rsid w:val="00CF4453"/>
    <w:rsid w:val="00CF5D94"/>
    <w:rsid w:val="00CF7E0F"/>
    <w:rsid w:val="00D019DB"/>
    <w:rsid w:val="00D033C0"/>
    <w:rsid w:val="00D034D7"/>
    <w:rsid w:val="00D04BE4"/>
    <w:rsid w:val="00D06FC7"/>
    <w:rsid w:val="00D12565"/>
    <w:rsid w:val="00D14127"/>
    <w:rsid w:val="00D1642A"/>
    <w:rsid w:val="00D24D14"/>
    <w:rsid w:val="00D254E4"/>
    <w:rsid w:val="00D35A7A"/>
    <w:rsid w:val="00D52B57"/>
    <w:rsid w:val="00D56312"/>
    <w:rsid w:val="00D57592"/>
    <w:rsid w:val="00D60B16"/>
    <w:rsid w:val="00D60F02"/>
    <w:rsid w:val="00D66B5C"/>
    <w:rsid w:val="00D66E49"/>
    <w:rsid w:val="00D7044D"/>
    <w:rsid w:val="00D70D71"/>
    <w:rsid w:val="00D71EA5"/>
    <w:rsid w:val="00D72F74"/>
    <w:rsid w:val="00D81563"/>
    <w:rsid w:val="00D817C9"/>
    <w:rsid w:val="00D83545"/>
    <w:rsid w:val="00D85907"/>
    <w:rsid w:val="00D870CC"/>
    <w:rsid w:val="00D9073E"/>
    <w:rsid w:val="00D9221D"/>
    <w:rsid w:val="00D9425E"/>
    <w:rsid w:val="00D958DF"/>
    <w:rsid w:val="00D96DA1"/>
    <w:rsid w:val="00D976BF"/>
    <w:rsid w:val="00DA51E7"/>
    <w:rsid w:val="00DB0260"/>
    <w:rsid w:val="00DB1C78"/>
    <w:rsid w:val="00DB4DA8"/>
    <w:rsid w:val="00DB7D96"/>
    <w:rsid w:val="00DC23FE"/>
    <w:rsid w:val="00DC2E78"/>
    <w:rsid w:val="00DC310E"/>
    <w:rsid w:val="00DC59E6"/>
    <w:rsid w:val="00DD150B"/>
    <w:rsid w:val="00DD5025"/>
    <w:rsid w:val="00DE1739"/>
    <w:rsid w:val="00DE1C4C"/>
    <w:rsid w:val="00DE2B8F"/>
    <w:rsid w:val="00DF1510"/>
    <w:rsid w:val="00DF1E71"/>
    <w:rsid w:val="00DF23A7"/>
    <w:rsid w:val="00DF6B22"/>
    <w:rsid w:val="00E014C3"/>
    <w:rsid w:val="00E02F1F"/>
    <w:rsid w:val="00E06484"/>
    <w:rsid w:val="00E1002D"/>
    <w:rsid w:val="00E20A7D"/>
    <w:rsid w:val="00E275D8"/>
    <w:rsid w:val="00E30F6A"/>
    <w:rsid w:val="00E3117C"/>
    <w:rsid w:val="00E35BF0"/>
    <w:rsid w:val="00E375CA"/>
    <w:rsid w:val="00E449AA"/>
    <w:rsid w:val="00E5364F"/>
    <w:rsid w:val="00E567E8"/>
    <w:rsid w:val="00E64679"/>
    <w:rsid w:val="00E65EBC"/>
    <w:rsid w:val="00E677FE"/>
    <w:rsid w:val="00E70935"/>
    <w:rsid w:val="00E73432"/>
    <w:rsid w:val="00E77B0C"/>
    <w:rsid w:val="00E77FB8"/>
    <w:rsid w:val="00E81625"/>
    <w:rsid w:val="00E838B0"/>
    <w:rsid w:val="00E86A7C"/>
    <w:rsid w:val="00E878E1"/>
    <w:rsid w:val="00E87F2C"/>
    <w:rsid w:val="00E95278"/>
    <w:rsid w:val="00E95CAC"/>
    <w:rsid w:val="00EA2273"/>
    <w:rsid w:val="00EA4128"/>
    <w:rsid w:val="00EA7C3C"/>
    <w:rsid w:val="00EB2DB3"/>
    <w:rsid w:val="00EB5202"/>
    <w:rsid w:val="00EB71F3"/>
    <w:rsid w:val="00EC3FBB"/>
    <w:rsid w:val="00EC6B7A"/>
    <w:rsid w:val="00EC7EA6"/>
    <w:rsid w:val="00ED2576"/>
    <w:rsid w:val="00ED3A87"/>
    <w:rsid w:val="00ED5B67"/>
    <w:rsid w:val="00EE0A4D"/>
    <w:rsid w:val="00EE4BFB"/>
    <w:rsid w:val="00EF264C"/>
    <w:rsid w:val="00EF3FEE"/>
    <w:rsid w:val="00F036CA"/>
    <w:rsid w:val="00F04B59"/>
    <w:rsid w:val="00F073B9"/>
    <w:rsid w:val="00F10C1F"/>
    <w:rsid w:val="00F11741"/>
    <w:rsid w:val="00F11B2B"/>
    <w:rsid w:val="00F12B1C"/>
    <w:rsid w:val="00F13CF8"/>
    <w:rsid w:val="00F1547B"/>
    <w:rsid w:val="00F15855"/>
    <w:rsid w:val="00F200B2"/>
    <w:rsid w:val="00F227DC"/>
    <w:rsid w:val="00F24B36"/>
    <w:rsid w:val="00F32978"/>
    <w:rsid w:val="00F34A49"/>
    <w:rsid w:val="00F36104"/>
    <w:rsid w:val="00F4090C"/>
    <w:rsid w:val="00F45CB2"/>
    <w:rsid w:val="00F468FD"/>
    <w:rsid w:val="00F476F5"/>
    <w:rsid w:val="00F544C0"/>
    <w:rsid w:val="00F55332"/>
    <w:rsid w:val="00F60948"/>
    <w:rsid w:val="00F6504A"/>
    <w:rsid w:val="00F65519"/>
    <w:rsid w:val="00F713C0"/>
    <w:rsid w:val="00F75157"/>
    <w:rsid w:val="00F75DDC"/>
    <w:rsid w:val="00F7792F"/>
    <w:rsid w:val="00F842AA"/>
    <w:rsid w:val="00F8476F"/>
    <w:rsid w:val="00F853E1"/>
    <w:rsid w:val="00F85604"/>
    <w:rsid w:val="00F93695"/>
    <w:rsid w:val="00F94B7A"/>
    <w:rsid w:val="00FA17AC"/>
    <w:rsid w:val="00FA1D47"/>
    <w:rsid w:val="00FA32DE"/>
    <w:rsid w:val="00FA3382"/>
    <w:rsid w:val="00FA59CD"/>
    <w:rsid w:val="00FB1740"/>
    <w:rsid w:val="00FC1756"/>
    <w:rsid w:val="00FC2257"/>
    <w:rsid w:val="00FC5469"/>
    <w:rsid w:val="00FC6D7D"/>
    <w:rsid w:val="00FD01E6"/>
    <w:rsid w:val="00FD16B0"/>
    <w:rsid w:val="00FD461F"/>
    <w:rsid w:val="00FD4FED"/>
    <w:rsid w:val="00FE0577"/>
    <w:rsid w:val="00FE2C1E"/>
    <w:rsid w:val="00FE59EC"/>
    <w:rsid w:val="00FE5B67"/>
    <w:rsid w:val="00FE60D6"/>
    <w:rsid w:val="00FF1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756"/>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6C7068"/>
    <w:rPr>
      <w:vertAlign w:val="superscript"/>
    </w:rPr>
  </w:style>
  <w:style w:type="paragraph" w:customStyle="1" w:styleId="Rule">
    <w:name w:val="Rule"/>
    <w:link w:val="RuleChar"/>
    <w:rsid w:val="00187020"/>
    <w:pPr>
      <w:widowControl w:val="0"/>
      <w:tabs>
        <w:tab w:val="left" w:pos="720"/>
      </w:tabs>
      <w:spacing w:line="536" w:lineRule="exact"/>
    </w:pPr>
    <w:rPr>
      <w:sz w:val="24"/>
      <w:szCs w:val="24"/>
    </w:rPr>
  </w:style>
  <w:style w:type="character" w:customStyle="1" w:styleId="RuleChar">
    <w:name w:val="Rule Char"/>
    <w:link w:val="Rule"/>
    <w:rsid w:val="00187020"/>
    <w:rPr>
      <w:sz w:val="24"/>
      <w:szCs w:val="24"/>
    </w:rPr>
  </w:style>
  <w:style w:type="paragraph" w:customStyle="1" w:styleId="RuleHeader">
    <w:name w:val="Rule Header"/>
    <w:basedOn w:val="Rule"/>
    <w:rsid w:val="00187020"/>
    <w:pPr>
      <w:jc w:val="right"/>
    </w:pPr>
  </w:style>
  <w:style w:type="character" w:customStyle="1" w:styleId="HeaderChar">
    <w:name w:val="Header Char"/>
    <w:basedOn w:val="DefaultParagraphFont"/>
    <w:link w:val="Header"/>
    <w:uiPriority w:val="99"/>
    <w:rsid w:val="0038621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756"/>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6C7068"/>
    <w:rPr>
      <w:vertAlign w:val="superscript"/>
    </w:rPr>
  </w:style>
  <w:style w:type="paragraph" w:customStyle="1" w:styleId="Rule">
    <w:name w:val="Rule"/>
    <w:link w:val="RuleChar"/>
    <w:rsid w:val="00187020"/>
    <w:pPr>
      <w:widowControl w:val="0"/>
      <w:tabs>
        <w:tab w:val="left" w:pos="720"/>
      </w:tabs>
      <w:spacing w:line="536" w:lineRule="exact"/>
    </w:pPr>
    <w:rPr>
      <w:sz w:val="24"/>
      <w:szCs w:val="24"/>
    </w:rPr>
  </w:style>
  <w:style w:type="character" w:customStyle="1" w:styleId="RuleChar">
    <w:name w:val="Rule Char"/>
    <w:link w:val="Rule"/>
    <w:rsid w:val="00187020"/>
    <w:rPr>
      <w:sz w:val="24"/>
      <w:szCs w:val="24"/>
    </w:rPr>
  </w:style>
  <w:style w:type="paragraph" w:customStyle="1" w:styleId="RuleHeader">
    <w:name w:val="Rule Header"/>
    <w:basedOn w:val="Rule"/>
    <w:rsid w:val="00187020"/>
    <w:pPr>
      <w:jc w:val="right"/>
    </w:pPr>
  </w:style>
  <w:style w:type="character" w:customStyle="1" w:styleId="HeaderChar">
    <w:name w:val="Header Char"/>
    <w:basedOn w:val="DefaultParagraphFont"/>
    <w:link w:val="Header"/>
    <w:uiPriority w:val="99"/>
    <w:rsid w:val="003862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48696">
      <w:bodyDiv w:val="1"/>
      <w:marLeft w:val="0"/>
      <w:marRight w:val="0"/>
      <w:marTop w:val="0"/>
      <w:marBottom w:val="0"/>
      <w:divBdr>
        <w:top w:val="none" w:sz="0" w:space="0" w:color="auto"/>
        <w:left w:val="none" w:sz="0" w:space="0" w:color="auto"/>
        <w:bottom w:val="none" w:sz="0" w:space="0" w:color="auto"/>
        <w:right w:val="none" w:sz="0" w:space="0" w:color="auto"/>
      </w:divBdr>
    </w:div>
    <w:div w:id="200938942">
      <w:bodyDiv w:val="1"/>
      <w:marLeft w:val="0"/>
      <w:marRight w:val="0"/>
      <w:marTop w:val="0"/>
      <w:marBottom w:val="0"/>
      <w:divBdr>
        <w:top w:val="none" w:sz="0" w:space="0" w:color="auto"/>
        <w:left w:val="none" w:sz="0" w:space="0" w:color="auto"/>
        <w:bottom w:val="none" w:sz="0" w:space="0" w:color="auto"/>
        <w:right w:val="none" w:sz="0" w:space="0" w:color="auto"/>
      </w:divBdr>
    </w:div>
    <w:div w:id="301007372">
      <w:bodyDiv w:val="1"/>
      <w:marLeft w:val="0"/>
      <w:marRight w:val="0"/>
      <w:marTop w:val="0"/>
      <w:marBottom w:val="0"/>
      <w:divBdr>
        <w:top w:val="none" w:sz="0" w:space="0" w:color="auto"/>
        <w:left w:val="none" w:sz="0" w:space="0" w:color="auto"/>
        <w:bottom w:val="none" w:sz="0" w:space="0" w:color="auto"/>
        <w:right w:val="none" w:sz="0" w:space="0" w:color="auto"/>
      </w:divBdr>
    </w:div>
    <w:div w:id="349722610">
      <w:bodyDiv w:val="1"/>
      <w:marLeft w:val="0"/>
      <w:marRight w:val="0"/>
      <w:marTop w:val="0"/>
      <w:marBottom w:val="0"/>
      <w:divBdr>
        <w:top w:val="none" w:sz="0" w:space="0" w:color="auto"/>
        <w:left w:val="none" w:sz="0" w:space="0" w:color="auto"/>
        <w:bottom w:val="none" w:sz="0" w:space="0" w:color="auto"/>
        <w:right w:val="none" w:sz="0" w:space="0" w:color="auto"/>
      </w:divBdr>
    </w:div>
    <w:div w:id="394351585">
      <w:bodyDiv w:val="1"/>
      <w:marLeft w:val="0"/>
      <w:marRight w:val="0"/>
      <w:marTop w:val="0"/>
      <w:marBottom w:val="0"/>
      <w:divBdr>
        <w:top w:val="none" w:sz="0" w:space="0" w:color="auto"/>
        <w:left w:val="none" w:sz="0" w:space="0" w:color="auto"/>
        <w:bottom w:val="none" w:sz="0" w:space="0" w:color="auto"/>
        <w:right w:val="none" w:sz="0" w:space="0" w:color="auto"/>
      </w:divBdr>
    </w:div>
    <w:div w:id="932934108">
      <w:bodyDiv w:val="1"/>
      <w:marLeft w:val="0"/>
      <w:marRight w:val="0"/>
      <w:marTop w:val="0"/>
      <w:marBottom w:val="0"/>
      <w:divBdr>
        <w:top w:val="none" w:sz="0" w:space="0" w:color="auto"/>
        <w:left w:val="none" w:sz="0" w:space="0" w:color="auto"/>
        <w:bottom w:val="none" w:sz="0" w:space="0" w:color="auto"/>
        <w:right w:val="none" w:sz="0" w:space="0" w:color="auto"/>
      </w:divBdr>
    </w:div>
    <w:div w:id="1173297465">
      <w:bodyDiv w:val="1"/>
      <w:marLeft w:val="0"/>
      <w:marRight w:val="0"/>
      <w:marTop w:val="0"/>
      <w:marBottom w:val="0"/>
      <w:divBdr>
        <w:top w:val="none" w:sz="0" w:space="0" w:color="auto"/>
        <w:left w:val="none" w:sz="0" w:space="0" w:color="auto"/>
        <w:bottom w:val="none" w:sz="0" w:space="0" w:color="auto"/>
        <w:right w:val="none" w:sz="0" w:space="0" w:color="auto"/>
      </w:divBdr>
    </w:div>
    <w:div w:id="1660765711">
      <w:bodyDiv w:val="1"/>
      <w:marLeft w:val="0"/>
      <w:marRight w:val="0"/>
      <w:marTop w:val="0"/>
      <w:marBottom w:val="0"/>
      <w:divBdr>
        <w:top w:val="none" w:sz="0" w:space="0" w:color="auto"/>
        <w:left w:val="none" w:sz="0" w:space="0" w:color="auto"/>
        <w:bottom w:val="none" w:sz="0" w:space="0" w:color="auto"/>
        <w:right w:val="none" w:sz="0" w:space="0" w:color="auto"/>
      </w:divBdr>
    </w:div>
    <w:div w:id="1771579568">
      <w:bodyDiv w:val="1"/>
      <w:marLeft w:val="0"/>
      <w:marRight w:val="0"/>
      <w:marTop w:val="0"/>
      <w:marBottom w:val="0"/>
      <w:divBdr>
        <w:top w:val="none" w:sz="0" w:space="0" w:color="auto"/>
        <w:left w:val="none" w:sz="0" w:space="0" w:color="auto"/>
        <w:bottom w:val="none" w:sz="0" w:space="0" w:color="auto"/>
        <w:right w:val="none" w:sz="0" w:space="0" w:color="auto"/>
      </w:divBdr>
      <w:divsChild>
        <w:div w:id="1471052540">
          <w:marLeft w:val="0"/>
          <w:marRight w:val="0"/>
          <w:marTop w:val="0"/>
          <w:marBottom w:val="0"/>
          <w:divBdr>
            <w:top w:val="none" w:sz="0" w:space="0" w:color="auto"/>
            <w:left w:val="none" w:sz="0" w:space="0" w:color="auto"/>
            <w:bottom w:val="none" w:sz="0" w:space="0" w:color="auto"/>
            <w:right w:val="none" w:sz="0" w:space="0" w:color="auto"/>
          </w:divBdr>
        </w:div>
        <w:div w:id="1022124322">
          <w:marLeft w:val="0"/>
          <w:marRight w:val="0"/>
          <w:marTop w:val="240"/>
          <w:marBottom w:val="0"/>
          <w:divBdr>
            <w:top w:val="none" w:sz="0" w:space="0" w:color="auto"/>
            <w:left w:val="none" w:sz="0" w:space="0" w:color="auto"/>
            <w:bottom w:val="none" w:sz="0" w:space="0" w:color="auto"/>
            <w:right w:val="none" w:sz="0" w:space="0" w:color="auto"/>
          </w:divBdr>
        </w:div>
      </w:divsChild>
    </w:div>
    <w:div w:id="194414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EAFB1-02F5-4A1D-9415-8E71CDE82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4</Pages>
  <Words>1322</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8695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Julie Phillips</dc:creator>
  <cp:lastModifiedBy>Julie Phillips</cp:lastModifiedBy>
  <cp:revision>2</cp:revision>
  <cp:lastPrinted>2020-03-26T16:13:00Z</cp:lastPrinted>
  <dcterms:created xsi:type="dcterms:W3CDTF">2020-06-24T12:41:00Z</dcterms:created>
  <dcterms:modified xsi:type="dcterms:W3CDTF">2020-06-24T12:41:00Z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20190041-WS</vt:lpwstr>
  </property>
  <property fmtid="{D5CDD505-2E9C-101B-9397-08002B2CF9AE}" pid="3" name="MasterDocument">
    <vt:bool>false</vt:bool>
  </property>
</Properties>
</file>