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7837F55"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57BA841" w14:textId="77777777" w:rsidR="007C0528" w:rsidRDefault="007C0528" w:rsidP="00532DFB">
            <w:pPr>
              <w:pStyle w:val="MastHeadState"/>
            </w:pPr>
            <w:bookmarkStart w:id="0" w:name="_GoBack"/>
            <w:bookmarkEnd w:id="0"/>
            <w:r>
              <w:t>State of Florida</w:t>
            </w:r>
          </w:p>
          <w:p w14:paraId="63F28D3E" w14:textId="77777777" w:rsidR="007C0528" w:rsidRDefault="00072CCA">
            <w:pPr>
              <w:jc w:val="center"/>
            </w:pPr>
            <w:r>
              <w:rPr>
                <w:noProof/>
              </w:rPr>
              <w:drawing>
                <wp:inline distT="0" distB="0" distL="0" distR="0" wp14:anchorId="06B0AC06" wp14:editId="42C4149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B21763D"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DC1DF84" w14:textId="77777777" w:rsidR="007C0528" w:rsidRDefault="007C0528">
            <w:pPr>
              <w:pStyle w:val="MastHeadPSC"/>
            </w:pPr>
            <w:r>
              <w:t>Public Service Commission</w:t>
            </w:r>
          </w:p>
          <w:p w14:paraId="11A8D7BF" w14:textId="77777777" w:rsidR="007C0528" w:rsidRDefault="007C0528">
            <w:pPr>
              <w:pStyle w:val="MastHeadAddress"/>
            </w:pPr>
            <w:r>
              <w:t>Capital Circle Office Center ● 2540 Shumard Oak Boulevard</w:t>
            </w:r>
            <w:r>
              <w:br/>
              <w:t>Tallahassee, Florida 32399-0850</w:t>
            </w:r>
          </w:p>
          <w:p w14:paraId="1569798E" w14:textId="77777777" w:rsidR="007C0528" w:rsidRDefault="007C0528">
            <w:pPr>
              <w:pStyle w:val="MastHeadMemorandum"/>
            </w:pPr>
            <w:r>
              <w:t>-M-E-M-O-R-A-N-D-U-M-</w:t>
            </w:r>
          </w:p>
          <w:p w14:paraId="0A68F4C9" w14:textId="77777777" w:rsidR="007C0528" w:rsidRDefault="007C0528">
            <w:pPr>
              <w:pStyle w:val="MemoHeading"/>
            </w:pPr>
          </w:p>
        </w:tc>
      </w:tr>
      <w:tr w:rsidR="007C0528" w14:paraId="042BBC03"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AB8E88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2BE28AF" w14:textId="77777777" w:rsidR="007C0528" w:rsidRDefault="00566252">
            <w:pPr>
              <w:pStyle w:val="MemoHeading"/>
            </w:pPr>
            <w:bookmarkStart w:id="1" w:name="FilingDate"/>
            <w:r>
              <w:t>June</w:t>
            </w:r>
            <w:r w:rsidR="009D44FB">
              <w:t xml:space="preserve"> 2</w:t>
            </w:r>
            <w:r>
              <w:t>4</w:t>
            </w:r>
            <w:r w:rsidR="009D44FB">
              <w:t>, 2020</w:t>
            </w:r>
            <w:bookmarkEnd w:id="1"/>
          </w:p>
        </w:tc>
      </w:tr>
      <w:tr w:rsidR="007C0528" w14:paraId="040930A9" w14:textId="77777777">
        <w:tc>
          <w:tcPr>
            <w:tcW w:w="1254" w:type="dxa"/>
            <w:tcBorders>
              <w:top w:val="nil"/>
              <w:left w:val="nil"/>
              <w:bottom w:val="nil"/>
              <w:right w:val="nil"/>
            </w:tcBorders>
            <w:shd w:val="clear" w:color="auto" w:fill="auto"/>
            <w:tcMar>
              <w:top w:w="288" w:type="dxa"/>
              <w:bottom w:w="0" w:type="dxa"/>
              <w:right w:w="0" w:type="dxa"/>
            </w:tcMar>
          </w:tcPr>
          <w:p w14:paraId="1CD86B1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5908348" w14:textId="77777777" w:rsidR="007C0528" w:rsidRDefault="007C0528" w:rsidP="0093658B">
            <w:pPr>
              <w:pStyle w:val="MemoHeading"/>
            </w:pPr>
            <w:r>
              <w:t>Office of Commission Clerk (</w:t>
            </w:r>
            <w:r w:rsidR="004E69B5">
              <w:t>Teitzman</w:t>
            </w:r>
            <w:r>
              <w:t>)</w:t>
            </w:r>
          </w:p>
        </w:tc>
      </w:tr>
      <w:tr w:rsidR="007C0528" w14:paraId="5748D8D4" w14:textId="77777777">
        <w:tc>
          <w:tcPr>
            <w:tcW w:w="1254" w:type="dxa"/>
            <w:tcBorders>
              <w:top w:val="nil"/>
              <w:left w:val="nil"/>
              <w:bottom w:val="nil"/>
              <w:right w:val="nil"/>
            </w:tcBorders>
            <w:shd w:val="clear" w:color="auto" w:fill="auto"/>
            <w:tcMar>
              <w:top w:w="288" w:type="dxa"/>
              <w:right w:w="0" w:type="dxa"/>
            </w:tcMar>
          </w:tcPr>
          <w:p w14:paraId="6F9C6C2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5EEE0D2D" w14:textId="77777777" w:rsidR="009D44FB" w:rsidRDefault="009D44FB">
            <w:pPr>
              <w:pStyle w:val="MemoHeading"/>
            </w:pPr>
            <w:bookmarkStart w:id="2" w:name="From"/>
            <w:r>
              <w:t>Office of the General Counsel (Weisenfeld, Tan)</w:t>
            </w:r>
          </w:p>
          <w:p w14:paraId="6D7C5EAC" w14:textId="77777777" w:rsidR="007C0528" w:rsidRDefault="009D44FB">
            <w:pPr>
              <w:pStyle w:val="MemoHeading"/>
            </w:pPr>
            <w:r>
              <w:t>Office of Industry Development and Market Analysis (Deas, Yglesias de Ayala)</w:t>
            </w:r>
            <w:bookmarkEnd w:id="2"/>
          </w:p>
        </w:tc>
      </w:tr>
      <w:tr w:rsidR="007C0528" w14:paraId="4B212916" w14:textId="77777777">
        <w:tc>
          <w:tcPr>
            <w:tcW w:w="1254" w:type="dxa"/>
            <w:tcBorders>
              <w:top w:val="nil"/>
              <w:left w:val="nil"/>
              <w:bottom w:val="nil"/>
              <w:right w:val="nil"/>
            </w:tcBorders>
            <w:shd w:val="clear" w:color="auto" w:fill="auto"/>
            <w:tcMar>
              <w:top w:w="288" w:type="dxa"/>
              <w:right w:w="0" w:type="dxa"/>
            </w:tcMar>
          </w:tcPr>
          <w:p w14:paraId="20B33008"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54675C8" w14:textId="77777777" w:rsidR="007C0528" w:rsidRDefault="009D44FB">
            <w:pPr>
              <w:pStyle w:val="MemoHeadingRe"/>
            </w:pPr>
            <w:bookmarkStart w:id="3" w:name="Re"/>
            <w:r>
              <w:t xml:space="preserve">Docket No. 20200147-TP – Petition </w:t>
            </w:r>
            <w:r w:rsidR="006C0DE7">
              <w:t xml:space="preserve">for </w:t>
            </w:r>
            <w:r>
              <w:t>designation as an eligible telecommunications carrier (ETC) in the State of Florida</w:t>
            </w:r>
            <w:r w:rsidR="006C0DE7">
              <w:t xml:space="preserve"> by TruConnect Communications, Inc</w:t>
            </w:r>
            <w:r>
              <w:t>.</w:t>
            </w:r>
            <w:bookmarkEnd w:id="3"/>
          </w:p>
        </w:tc>
      </w:tr>
      <w:tr w:rsidR="007C0528" w14:paraId="5202C250" w14:textId="77777777">
        <w:tc>
          <w:tcPr>
            <w:tcW w:w="1254" w:type="dxa"/>
            <w:tcBorders>
              <w:top w:val="nil"/>
              <w:left w:val="nil"/>
              <w:bottom w:val="nil"/>
              <w:right w:val="nil"/>
            </w:tcBorders>
            <w:shd w:val="clear" w:color="auto" w:fill="auto"/>
            <w:tcMar>
              <w:top w:w="288" w:type="dxa"/>
              <w:bottom w:w="0" w:type="dxa"/>
              <w:right w:w="0" w:type="dxa"/>
            </w:tcMar>
          </w:tcPr>
          <w:p w14:paraId="52320A0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4B6C079" w14:textId="77777777" w:rsidR="007C0528" w:rsidRDefault="009D44FB">
            <w:pPr>
              <w:pStyle w:val="MemoHeading"/>
            </w:pPr>
            <w:bookmarkStart w:id="4" w:name="AgendaDate"/>
            <w:r>
              <w:t>07/07/20</w:t>
            </w:r>
            <w:bookmarkEnd w:id="4"/>
            <w:r w:rsidR="007C0528">
              <w:t xml:space="preserve"> – </w:t>
            </w:r>
            <w:bookmarkStart w:id="5" w:name="PermittedStatus"/>
            <w:r>
              <w:t xml:space="preserve">Regular Agenda – </w:t>
            </w:r>
            <w:r w:rsidR="00E6200E">
              <w:t xml:space="preserve">Proposed Agency Action  –  </w:t>
            </w:r>
            <w:r>
              <w:t>Interested Persons May Participate</w:t>
            </w:r>
            <w:bookmarkEnd w:id="5"/>
          </w:p>
        </w:tc>
      </w:tr>
      <w:tr w:rsidR="007C0528" w14:paraId="0B05883B" w14:textId="77777777">
        <w:tc>
          <w:tcPr>
            <w:tcW w:w="3690" w:type="dxa"/>
            <w:gridSpan w:val="3"/>
            <w:tcBorders>
              <w:top w:val="nil"/>
              <w:left w:val="nil"/>
              <w:bottom w:val="nil"/>
              <w:right w:val="nil"/>
            </w:tcBorders>
            <w:shd w:val="clear" w:color="auto" w:fill="auto"/>
            <w:tcMar>
              <w:top w:w="288" w:type="dxa"/>
              <w:bottom w:w="0" w:type="dxa"/>
              <w:right w:w="0" w:type="dxa"/>
            </w:tcMar>
          </w:tcPr>
          <w:p w14:paraId="4EE5678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1C19888" w14:textId="77777777" w:rsidR="007C0528" w:rsidRDefault="009D44FB">
            <w:pPr>
              <w:pStyle w:val="MemoHeading"/>
            </w:pPr>
            <w:bookmarkStart w:id="6" w:name="CommissionersAssigned"/>
            <w:r>
              <w:t>All Commissioners</w:t>
            </w:r>
            <w:bookmarkEnd w:id="6"/>
          </w:p>
        </w:tc>
      </w:tr>
      <w:tr w:rsidR="007C0528" w14:paraId="5BB66CAE" w14:textId="77777777">
        <w:tc>
          <w:tcPr>
            <w:tcW w:w="3690" w:type="dxa"/>
            <w:gridSpan w:val="3"/>
            <w:tcBorders>
              <w:top w:val="nil"/>
              <w:left w:val="nil"/>
              <w:bottom w:val="nil"/>
              <w:right w:val="nil"/>
            </w:tcBorders>
            <w:shd w:val="clear" w:color="auto" w:fill="auto"/>
            <w:tcMar>
              <w:top w:w="288" w:type="dxa"/>
              <w:bottom w:w="0" w:type="dxa"/>
              <w:right w:w="0" w:type="dxa"/>
            </w:tcMar>
          </w:tcPr>
          <w:p w14:paraId="6E47E55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7365DB9" w14:textId="77777777" w:rsidR="007C0528" w:rsidRDefault="009D44FB">
            <w:pPr>
              <w:pStyle w:val="MemoHeading"/>
            </w:pPr>
            <w:bookmarkStart w:id="7" w:name="PrehearingOfficer"/>
            <w:r>
              <w:t>Graham</w:t>
            </w:r>
            <w:bookmarkEnd w:id="7"/>
          </w:p>
        </w:tc>
      </w:tr>
      <w:tr w:rsidR="007C0528" w14:paraId="62B7F4D9"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0742D53"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3FB8207" w14:textId="77777777" w:rsidR="007C0528" w:rsidRDefault="009D44FB">
            <w:pPr>
              <w:pStyle w:val="MemoHeading"/>
            </w:pPr>
            <w:bookmarkStart w:id="9" w:name="CriticalDates"/>
            <w:r>
              <w:t>None</w:t>
            </w:r>
            <w:bookmarkEnd w:id="9"/>
          </w:p>
        </w:tc>
      </w:tr>
      <w:tr w:rsidR="007C0528" w14:paraId="01FB654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63917E9"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17570F87" w14:textId="77777777" w:rsidR="007C0528" w:rsidRDefault="009D44FB">
            <w:pPr>
              <w:pStyle w:val="MemoHeading"/>
            </w:pPr>
            <w:bookmarkStart w:id="10" w:name="SpecialInstructions"/>
            <w:r>
              <w:t>None</w:t>
            </w:r>
            <w:bookmarkEnd w:id="10"/>
          </w:p>
        </w:tc>
      </w:tr>
    </w:tbl>
    <w:p w14:paraId="2468B686" w14:textId="77777777" w:rsidR="007C0528" w:rsidRDefault="007C0528">
      <w:pPr>
        <w:pStyle w:val="BodyText"/>
      </w:pPr>
    </w:p>
    <w:p w14:paraId="602EFDD5" w14:textId="77777777" w:rsidR="00182FCD" w:rsidRDefault="007C0528" w:rsidP="00182FCD">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bookmarkEnd w:id="12"/>
    </w:p>
    <w:p w14:paraId="05CCCC58" w14:textId="7509B925" w:rsidR="00AA7866" w:rsidRDefault="008C2A49" w:rsidP="00A036DC">
      <w:pPr>
        <w:jc w:val="both"/>
      </w:pPr>
      <w:r w:rsidRPr="00182FCD">
        <w:t>TruConnect Communications, Inc. (TruConnect</w:t>
      </w:r>
      <w:r w:rsidR="000951EF">
        <w:t xml:space="preserve"> or Company</w:t>
      </w:r>
      <w:r w:rsidRPr="00182FCD">
        <w:t xml:space="preserve">) is a provider of </w:t>
      </w:r>
      <w:r w:rsidR="000951EF">
        <w:t>commercial mobile radio service</w:t>
      </w:r>
      <w:r w:rsidR="003C5220">
        <w:t xml:space="preserve">. The </w:t>
      </w:r>
      <w:r w:rsidR="00D60B21">
        <w:t xml:space="preserve">Company </w:t>
      </w:r>
      <w:r w:rsidR="003C5220" w:rsidRPr="00182FCD">
        <w:rPr>
          <w:rFonts w:ascii="TimesNewRomanPSMT" w:hAnsi="TimesNewRomanPSMT"/>
        </w:rPr>
        <w:t>us</w:t>
      </w:r>
      <w:r w:rsidR="00D60B21">
        <w:rPr>
          <w:rFonts w:ascii="TimesNewRomanPSMT" w:hAnsi="TimesNewRomanPSMT"/>
        </w:rPr>
        <w:t xml:space="preserve">es </w:t>
      </w:r>
      <w:r w:rsidR="003C5220" w:rsidRPr="00182FCD">
        <w:rPr>
          <w:rFonts w:ascii="TimesNewRomanPSMT" w:hAnsi="TimesNewRomanPSMT"/>
        </w:rPr>
        <w:t xml:space="preserve">the underlying wireless networks of facilities-based providers on a wholesale basis to </w:t>
      </w:r>
      <w:r w:rsidR="00D60B21">
        <w:t xml:space="preserve">provide its customers with </w:t>
      </w:r>
      <w:r w:rsidR="00D60B21" w:rsidRPr="00182FCD">
        <w:t>prepaid wireless telecommun</w:t>
      </w:r>
      <w:r w:rsidR="00D60B21">
        <w:t>i</w:t>
      </w:r>
      <w:r w:rsidR="00D60B21" w:rsidRPr="00182FCD">
        <w:t>cations services</w:t>
      </w:r>
      <w:r w:rsidR="00D60B21">
        <w:t xml:space="preserve"> </w:t>
      </w:r>
      <w:r w:rsidR="003C5220" w:rsidRPr="00182FCD">
        <w:rPr>
          <w:rFonts w:ascii="TimesNewRomanPSMT" w:hAnsi="TimesNewRomanPSMT"/>
        </w:rPr>
        <w:t>nationwide.</w:t>
      </w:r>
      <w:r w:rsidR="003C5220">
        <w:rPr>
          <w:rFonts w:ascii="TimesNewRomanPSMT" w:hAnsi="TimesNewRomanPSMT"/>
        </w:rPr>
        <w:t xml:space="preserve"> </w:t>
      </w:r>
      <w:r w:rsidR="000951EF">
        <w:t xml:space="preserve">TruConnect is a subsidiary of </w:t>
      </w:r>
      <w:r w:rsidR="003C5220">
        <w:t>TSC Acquisition Corporation (TSC).</w:t>
      </w:r>
      <w:r w:rsidR="00A036DC">
        <w:rPr>
          <w:rStyle w:val="FootnoteReference"/>
        </w:rPr>
        <w:footnoteReference w:id="1"/>
      </w:r>
      <w:r w:rsidR="003C5220">
        <w:t xml:space="preserve"> </w:t>
      </w:r>
      <w:proofErr w:type="spellStart"/>
      <w:r w:rsidR="00A036DC" w:rsidRPr="00182FCD">
        <w:t>TruConnect</w:t>
      </w:r>
      <w:proofErr w:type="spellEnd"/>
      <w:r w:rsidR="00A036DC" w:rsidRPr="00182FCD">
        <w:t xml:space="preserve"> is currently designated and operating as a wireless eligible telecommunications carrier</w:t>
      </w:r>
      <w:r w:rsidR="00A036DC">
        <w:t xml:space="preserve"> (ETC)</w:t>
      </w:r>
      <w:r w:rsidR="00A036DC" w:rsidRPr="00182FCD">
        <w:t xml:space="preserve"> in California and the U.S. Virgin Islands.</w:t>
      </w:r>
      <w:r w:rsidR="00A036DC">
        <w:t xml:space="preserve"> </w:t>
      </w:r>
    </w:p>
    <w:p w14:paraId="1CC7F807" w14:textId="77777777" w:rsidR="00AA7866" w:rsidRDefault="00AA7866" w:rsidP="00A036DC">
      <w:pPr>
        <w:jc w:val="both"/>
      </w:pPr>
    </w:p>
    <w:p w14:paraId="3E82F6E4" w14:textId="6F6C66C2" w:rsidR="00A036DC" w:rsidRPr="00497720" w:rsidRDefault="00A036DC" w:rsidP="00A036DC">
      <w:pPr>
        <w:jc w:val="both"/>
      </w:pPr>
      <w:r>
        <w:lastRenderedPageBreak/>
        <w:t xml:space="preserve">ETC designation is a requirement for telecommunications carriers to receive federal Universal Service Funds (USF) for the Lifeline and High Cost programs. The Lifeline program enables low-income households to obtain and maintain </w:t>
      </w:r>
      <w:r w:rsidR="00AA1241">
        <w:t xml:space="preserve">basic </w:t>
      </w:r>
      <w:r>
        <w:t xml:space="preserve">telephone </w:t>
      </w:r>
      <w:r w:rsidR="00AA1241">
        <w:t xml:space="preserve">and broadband </w:t>
      </w:r>
      <w:r>
        <w:t>service</w:t>
      </w:r>
      <w:r w:rsidR="003F76E2">
        <w:t>s, and</w:t>
      </w:r>
      <w:r w:rsidR="00AA1241">
        <w:t xml:space="preserve"> offers</w:t>
      </w:r>
      <w:r>
        <w:t xml:space="preserve"> qualifying households </w:t>
      </w:r>
      <w:r w:rsidR="00AA1241">
        <w:t xml:space="preserve">a </w:t>
      </w:r>
      <w:r>
        <w:t>discount on their monthly bills. The High Cost program, known as the Connect America Fund (CAF), helps carriers provide voice and broadband service in remote and underserved communities.</w:t>
      </w:r>
    </w:p>
    <w:p w14:paraId="41465435" w14:textId="77777777" w:rsidR="00B418AE" w:rsidRDefault="00B418AE" w:rsidP="008A0C93">
      <w:pPr>
        <w:pStyle w:val="NormalWeb"/>
        <w:jc w:val="both"/>
      </w:pPr>
    </w:p>
    <w:p w14:paraId="421944C1" w14:textId="1110A932" w:rsidR="002B4097" w:rsidRPr="008A0C93" w:rsidRDefault="00B418AE" w:rsidP="008A0C93">
      <w:pPr>
        <w:autoSpaceDE w:val="0"/>
        <w:autoSpaceDN w:val="0"/>
        <w:adjustRightInd w:val="0"/>
        <w:jc w:val="both"/>
      </w:pPr>
      <w:r>
        <w:rPr>
          <w:rFonts w:ascii="TimesNewRomanPSMT" w:hAnsi="TimesNewRomanPSMT"/>
        </w:rPr>
        <w:t>In</w:t>
      </w:r>
      <w:r w:rsidRPr="00B418AE">
        <w:rPr>
          <w:rFonts w:ascii="TimesNewRomanPSMT" w:hAnsi="TimesNewRomanPSMT"/>
        </w:rPr>
        <w:t xml:space="preserve"> August of 2013</w:t>
      </w:r>
      <w:r>
        <w:rPr>
          <w:rFonts w:ascii="TimesNewRomanPSMT" w:hAnsi="TimesNewRomanPSMT"/>
        </w:rPr>
        <w:t xml:space="preserve">, TruConnect filed a petition with the Federal Communications Commission (FCC) seeking designation </w:t>
      </w:r>
      <w:r w:rsidR="00AD0038">
        <w:rPr>
          <w:rFonts w:ascii="TimesNewRomanPSMT" w:hAnsi="TimesNewRomanPSMT"/>
        </w:rPr>
        <w:t>a</w:t>
      </w:r>
      <w:r>
        <w:rPr>
          <w:rFonts w:ascii="TimesNewRomanPSMT" w:hAnsi="TimesNewRomanPSMT"/>
        </w:rPr>
        <w:t>s an ETC</w:t>
      </w:r>
      <w:r w:rsidR="005F20EA">
        <w:rPr>
          <w:rFonts w:ascii="TimesNewRomanPSMT" w:hAnsi="TimesNewRomanPSMT"/>
        </w:rPr>
        <w:t xml:space="preserve"> </w:t>
      </w:r>
      <w:r>
        <w:rPr>
          <w:rFonts w:ascii="TimesNewRomanPSMT" w:hAnsi="TimesNewRomanPSMT"/>
        </w:rPr>
        <w:t>in the State of Florida</w:t>
      </w:r>
      <w:r w:rsidR="007D5F13">
        <w:rPr>
          <w:rFonts w:ascii="TimesNewRomanPSMT" w:hAnsi="TimesNewRomanPSMT"/>
        </w:rPr>
        <w:t xml:space="preserve"> </w:t>
      </w:r>
      <w:r w:rsidR="007D5F13" w:rsidRPr="000951EF">
        <w:rPr>
          <w:rFonts w:ascii="TimesNewRomanPSMT" w:hAnsi="TimesNewRomanPSMT"/>
        </w:rPr>
        <w:t>to provide Lifeline service to qualifying consumers</w:t>
      </w:r>
      <w:r w:rsidR="00AA7866">
        <w:rPr>
          <w:rFonts w:ascii="TimesNewRomanPSMT" w:hAnsi="TimesNewRomanPSMT"/>
        </w:rPr>
        <w:t>. TruCo</w:t>
      </w:r>
      <w:r w:rsidR="008010EB">
        <w:rPr>
          <w:rFonts w:ascii="TimesNewRomanPSMT" w:hAnsi="TimesNewRomanPSMT"/>
        </w:rPr>
        <w:t xml:space="preserve">nnect asserts that the FCC </w:t>
      </w:r>
      <w:r w:rsidR="008010EB">
        <w:t>has not processed any pending wireless ETC petitions since 2012.</w:t>
      </w:r>
      <w:r w:rsidR="00AA7866">
        <w:rPr>
          <w:rFonts w:ascii="TimesNewRomanPSMT" w:hAnsi="TimesNewRomanPSMT"/>
        </w:rPr>
        <w:t xml:space="preserve"> </w:t>
      </w:r>
      <w:r w:rsidR="00CF0605" w:rsidRPr="002039FF">
        <w:rPr>
          <w:rFonts w:ascii="TimesNewRomanPSMT" w:hAnsi="TimesNewRomanPSMT"/>
        </w:rPr>
        <w:t xml:space="preserve">Since </w:t>
      </w:r>
      <w:proofErr w:type="spellStart"/>
      <w:r w:rsidR="00CF0605" w:rsidRPr="002039FF">
        <w:rPr>
          <w:rFonts w:ascii="TimesNewRomanPSMT" w:hAnsi="TimesNewRomanPSMT"/>
        </w:rPr>
        <w:t>TruConnect</w:t>
      </w:r>
      <w:proofErr w:type="spellEnd"/>
      <w:r w:rsidR="00CF0605" w:rsidRPr="002039FF">
        <w:rPr>
          <w:rFonts w:ascii="TimesNewRomanPSMT" w:hAnsi="TimesNewRomanPSMT"/>
        </w:rPr>
        <w:t xml:space="preserve"> has not received an</w:t>
      </w:r>
      <w:r w:rsidR="00CF0605">
        <w:rPr>
          <w:rFonts w:ascii="TimesNewRomanPSMT" w:hAnsi="TimesNewRomanPSMT"/>
        </w:rPr>
        <w:t xml:space="preserve"> </w:t>
      </w:r>
      <w:r w:rsidR="00A036DC">
        <w:rPr>
          <w:rFonts w:ascii="TimesNewRomanPSMT" w:hAnsi="TimesNewRomanPSMT"/>
        </w:rPr>
        <w:t>ETC</w:t>
      </w:r>
      <w:r w:rsidR="00817B8B" w:rsidRPr="00560FDD">
        <w:rPr>
          <w:rFonts w:ascii="TimesNewRomanPSMT" w:hAnsi="TimesNewRomanPSMT"/>
        </w:rPr>
        <w:t xml:space="preserve"> determination from the FCC</w:t>
      </w:r>
      <w:r w:rsidR="004E2CD2" w:rsidRPr="00560FDD">
        <w:rPr>
          <w:rFonts w:ascii="TimesNewRomanPSMT" w:hAnsi="TimesNewRomanPSMT"/>
        </w:rPr>
        <w:t>,</w:t>
      </w:r>
      <w:r w:rsidR="004E2CD2">
        <w:rPr>
          <w:rFonts w:ascii="TimesNewRomanPSMT" w:hAnsi="TimesNewRomanPSMT"/>
        </w:rPr>
        <w:t xml:space="preserve"> on </w:t>
      </w:r>
      <w:r w:rsidR="004E2CD2">
        <w:t xml:space="preserve">May 8, 2020, </w:t>
      </w:r>
      <w:r w:rsidR="005F20EA" w:rsidRPr="005F20EA">
        <w:rPr>
          <w:rFonts w:ascii="TimesNewRomanPSMT" w:hAnsi="TimesNewRomanPSMT"/>
        </w:rPr>
        <w:t xml:space="preserve">TruConnect </w:t>
      </w:r>
      <w:r w:rsidR="00F728ED">
        <w:rPr>
          <w:rFonts w:ascii="TimesNewRomanPSMT" w:hAnsi="TimesNewRomanPSMT"/>
        </w:rPr>
        <w:t xml:space="preserve">filed </w:t>
      </w:r>
      <w:r w:rsidR="008C2A49">
        <w:t xml:space="preserve">a petition with the Florida Public Service Commission </w:t>
      </w:r>
      <w:r w:rsidR="005F20EA">
        <w:t xml:space="preserve">(Commission) </w:t>
      </w:r>
      <w:r>
        <w:t>seeking designation as an ETC in the State of Florida.</w:t>
      </w:r>
      <w:r w:rsidR="008C2A49">
        <w:rPr>
          <w:rStyle w:val="FootnoteReference"/>
        </w:rPr>
        <w:footnoteReference w:id="2"/>
      </w:r>
      <w:r w:rsidR="00B15DDE">
        <w:t xml:space="preserve"> Without either a </w:t>
      </w:r>
      <w:r w:rsidR="0021134A">
        <w:t xml:space="preserve">state or </w:t>
      </w:r>
      <w:r w:rsidR="00B15DDE">
        <w:t>federal ETC designation, a telecommunication</w:t>
      </w:r>
      <w:r w:rsidR="007236B2">
        <w:t>s</w:t>
      </w:r>
      <w:r w:rsidR="00B15DDE">
        <w:t xml:space="preserve"> company </w:t>
      </w:r>
      <w:r w:rsidR="0021134A">
        <w:t xml:space="preserve">is not eligible </w:t>
      </w:r>
      <w:r w:rsidR="007236B2">
        <w:t xml:space="preserve">to receive </w:t>
      </w:r>
      <w:r w:rsidR="00B15DDE">
        <w:t xml:space="preserve">reimbursement from </w:t>
      </w:r>
      <w:r w:rsidR="007236B2">
        <w:t xml:space="preserve">the </w:t>
      </w:r>
      <w:r w:rsidR="00B15DDE">
        <w:t xml:space="preserve">USF </w:t>
      </w:r>
      <w:r w:rsidR="0021134A">
        <w:t>for providing a Lifeline discount</w:t>
      </w:r>
      <w:r w:rsidR="002E3F8B">
        <w:t xml:space="preserve"> to a qualifying</w:t>
      </w:r>
      <w:r w:rsidR="0021134A">
        <w:t xml:space="preserve"> customer</w:t>
      </w:r>
      <w:r w:rsidR="00B15DDE">
        <w:t>.</w:t>
      </w:r>
      <w:r w:rsidR="00632393">
        <w:t xml:space="preserve"> In its petition,</w:t>
      </w:r>
      <w:r w:rsidR="005F20EA">
        <w:t xml:space="preserve"> </w:t>
      </w:r>
      <w:r w:rsidR="000951EF" w:rsidRPr="000951EF">
        <w:rPr>
          <w:rFonts w:ascii="TimesNewRomanPSMT" w:hAnsi="TimesNewRomanPSMT"/>
        </w:rPr>
        <w:t xml:space="preserve">TruConnect </w:t>
      </w:r>
      <w:r w:rsidR="008010EB">
        <w:rPr>
          <w:rFonts w:ascii="TimesNewRomanPSMT" w:hAnsi="TimesNewRomanPSMT"/>
        </w:rPr>
        <w:t>requests that the Commission reassert jurisdiction over wireless ETC designation</w:t>
      </w:r>
      <w:r w:rsidR="00CF0605" w:rsidRPr="002039FF">
        <w:rPr>
          <w:rFonts w:ascii="TimesNewRomanPSMT" w:hAnsi="TimesNewRomanPSMT"/>
        </w:rPr>
        <w:t>,</w:t>
      </w:r>
      <w:r w:rsidR="008010EB">
        <w:rPr>
          <w:rFonts w:ascii="TimesNewRomanPSMT" w:hAnsi="TimesNewRomanPSMT"/>
        </w:rPr>
        <w:t xml:space="preserve"> and </w:t>
      </w:r>
      <w:r w:rsidR="000951EF" w:rsidRPr="000951EF">
        <w:rPr>
          <w:rFonts w:ascii="TimesNewRomanPSMT" w:hAnsi="TimesNewRomanPSMT"/>
        </w:rPr>
        <w:t xml:space="preserve">seeks ETC designation to provide Lifeline service </w:t>
      </w:r>
      <w:r w:rsidR="003326BE" w:rsidRPr="000951EF">
        <w:rPr>
          <w:rFonts w:ascii="TimesNewRomanPSMT" w:hAnsi="TimesNewRomanPSMT"/>
        </w:rPr>
        <w:t xml:space="preserve">solely </w:t>
      </w:r>
      <w:r w:rsidR="000951EF" w:rsidRPr="000951EF">
        <w:rPr>
          <w:rFonts w:ascii="TimesNewRomanPSMT" w:hAnsi="TimesNewRomanPSMT"/>
        </w:rPr>
        <w:t>to qualifying Florida consumers</w:t>
      </w:r>
      <w:r w:rsidR="004567DB">
        <w:rPr>
          <w:rFonts w:ascii="TimesNewRomanPSMT" w:hAnsi="TimesNewRomanPSMT"/>
        </w:rPr>
        <w:t xml:space="preserve">. TruConnect </w:t>
      </w:r>
      <w:r w:rsidR="000951EF" w:rsidRPr="000951EF">
        <w:rPr>
          <w:rFonts w:ascii="TimesNewRomanPSMT" w:hAnsi="TimesNewRomanPSMT"/>
        </w:rPr>
        <w:t xml:space="preserve">will </w:t>
      </w:r>
      <w:r w:rsidR="004567DB">
        <w:rPr>
          <w:rFonts w:ascii="TimesNewRomanPSMT" w:hAnsi="TimesNewRomanPSMT"/>
        </w:rPr>
        <w:t xml:space="preserve">only seek reimbursement of </w:t>
      </w:r>
      <w:r w:rsidR="001B32A9">
        <w:rPr>
          <w:rFonts w:ascii="TimesNewRomanPSMT" w:hAnsi="TimesNewRomanPSMT"/>
        </w:rPr>
        <w:t xml:space="preserve">federal </w:t>
      </w:r>
      <w:r w:rsidR="000951EF" w:rsidRPr="000951EF">
        <w:rPr>
          <w:rFonts w:ascii="TimesNewRomanPSMT" w:hAnsi="TimesNewRomanPSMT"/>
        </w:rPr>
        <w:t xml:space="preserve">funds </w:t>
      </w:r>
      <w:r w:rsidR="004567DB">
        <w:rPr>
          <w:rFonts w:ascii="TimesNewRomanPSMT" w:hAnsi="TimesNewRomanPSMT"/>
        </w:rPr>
        <w:t xml:space="preserve">from the Lifeline program, and will not seek support </w:t>
      </w:r>
      <w:r w:rsidR="000951EF" w:rsidRPr="000951EF">
        <w:rPr>
          <w:rFonts w:ascii="TimesNewRomanPSMT" w:hAnsi="TimesNewRomanPSMT"/>
        </w:rPr>
        <w:t xml:space="preserve">from </w:t>
      </w:r>
      <w:r w:rsidR="001B32A9">
        <w:rPr>
          <w:rFonts w:ascii="TimesNewRomanPSMT" w:hAnsi="TimesNewRomanPSMT"/>
        </w:rPr>
        <w:t>either the Link-Up or High-Cost programs</w:t>
      </w:r>
      <w:r w:rsidR="005F20EA">
        <w:rPr>
          <w:rFonts w:ascii="TimesNewRomanPSMT" w:hAnsi="TimesNewRomanPSMT"/>
        </w:rPr>
        <w:t>.</w:t>
      </w:r>
      <w:bookmarkStart w:id="14" w:name="DiscussionOfIssues"/>
    </w:p>
    <w:p w14:paraId="5E6F6F3C" w14:textId="77777777" w:rsidR="002C00AD" w:rsidRDefault="002C00AD">
      <w:pPr>
        <w:rPr>
          <w:rFonts w:ascii="Arial" w:hAnsi="Arial" w:cs="Arial"/>
          <w:b/>
          <w:bCs/>
          <w:kern w:val="32"/>
          <w:szCs w:val="32"/>
        </w:rPr>
      </w:pPr>
    </w:p>
    <w:p w14:paraId="740B49CE" w14:textId="25DDB027" w:rsidR="00752955" w:rsidRDefault="00752955" w:rsidP="008A0C93">
      <w:pPr>
        <w:pStyle w:val="BodyText"/>
      </w:pPr>
      <w:r>
        <w:t>Section 214(e</w:t>
      </w:r>
      <w:proofErr w:type="gramStart"/>
      <w:r>
        <w:t>)(</w:t>
      </w:r>
      <w:proofErr w:type="gramEnd"/>
      <w:r>
        <w:t>2) of the Telecommunications Act of 1996 authorizes state commissions to designate common carriers as an ETC. In cases where a state commission lacks jurisdiction, Section 214(e</w:t>
      </w:r>
      <w:proofErr w:type="gramStart"/>
      <w:r>
        <w:t>)(</w:t>
      </w:r>
      <w:proofErr w:type="gramEnd"/>
      <w:r>
        <w:t xml:space="preserve">6) provides that the FCC will make such ETC designations. </w:t>
      </w:r>
      <w:r w:rsidR="003326BE">
        <w:t>Relevant to TruConnect’s petition</w:t>
      </w:r>
      <w:r w:rsidR="00D40F3B">
        <w:t>,</w:t>
      </w:r>
      <w:r w:rsidR="003326BE">
        <w:t xml:space="preserve"> </w:t>
      </w:r>
      <w:r>
        <w:t>Section 364.011</w:t>
      </w:r>
      <w:r w:rsidR="003326BE">
        <w:t xml:space="preserve">(4), </w:t>
      </w:r>
      <w:r>
        <w:t xml:space="preserve">Florida Statutes (F.S.), </w:t>
      </w:r>
      <w:r w:rsidR="003326BE">
        <w:t>exempts w</w:t>
      </w:r>
      <w:r>
        <w:t>ireless telecommunications, including commercial mobile radio service provide</w:t>
      </w:r>
      <w:r w:rsidRPr="002039FF">
        <w:t>rs</w:t>
      </w:r>
      <w:r w:rsidR="00CF0605" w:rsidRPr="002039FF">
        <w:t>,</w:t>
      </w:r>
      <w:r w:rsidR="00B15DDE" w:rsidRPr="002039FF">
        <w:t xml:space="preserve"> from Commission jurisdiction and oversight</w:t>
      </w:r>
      <w:r w:rsidR="00D40F3B" w:rsidRPr="002039FF">
        <w:t>.</w:t>
      </w:r>
    </w:p>
    <w:p w14:paraId="701B4B16" w14:textId="6BE17F4E" w:rsidR="00752955" w:rsidRDefault="00752955" w:rsidP="009B26CC">
      <w:pPr>
        <w:rPr>
          <w:rFonts w:ascii="Arial" w:hAnsi="Arial" w:cs="Arial"/>
          <w:b/>
          <w:bCs/>
          <w:kern w:val="32"/>
          <w:szCs w:val="32"/>
        </w:rPr>
        <w:sectPr w:rsidR="00752955" w:rsidSect="00DE1E6A">
          <w:headerReference w:type="default" r:id="rId10"/>
          <w:footerReference w:type="default" r:id="rId11"/>
          <w:pgSz w:w="12240" w:h="15840" w:code="1"/>
          <w:pgMar w:top="1584" w:right="1440" w:bottom="1440" w:left="1440" w:header="720" w:footer="720" w:gutter="0"/>
          <w:cols w:space="720"/>
          <w:formProt w:val="0"/>
          <w:titlePg/>
          <w:docGrid w:linePitch="360"/>
        </w:sectPr>
      </w:pPr>
    </w:p>
    <w:p w14:paraId="621C7085" w14:textId="77777777" w:rsidR="002B4097" w:rsidRDefault="002B4097">
      <w:pPr>
        <w:rPr>
          <w:rFonts w:ascii="Arial" w:hAnsi="Arial" w:cs="Arial"/>
          <w:b/>
          <w:bCs/>
          <w:kern w:val="32"/>
          <w:szCs w:val="32"/>
        </w:rPr>
      </w:pPr>
    </w:p>
    <w:p w14:paraId="78157CF3" w14:textId="77777777" w:rsidR="007C0528" w:rsidRDefault="007C0528">
      <w:pPr>
        <w:pStyle w:val="RecommendationMajorSectionHeading"/>
      </w:pPr>
      <w:r>
        <w:t>Discussion of Issues</w:t>
      </w:r>
    </w:p>
    <w:bookmarkEnd w:id="14"/>
    <w:p w14:paraId="6B675FED" w14:textId="77777777" w:rsidR="009D44FB" w:rsidRPr="008C2A49" w:rsidRDefault="009D44FB" w:rsidP="00817B8B">
      <w:pPr>
        <w:pStyle w:val="IssueHeading"/>
        <w:rPr>
          <w:rFonts w:ascii="Times New Roman" w:hAnsi="Times New Roman" w:cs="Times New Roman"/>
          <w:b w:val="0"/>
          <w:bCs w:val="0"/>
          <w:vanish/>
          <w:specVanish/>
        </w:rPr>
      </w:pPr>
      <w:r w:rsidRPr="004C3641">
        <w:t xml:space="preserve">Issue </w:t>
      </w:r>
      <w:r w:rsidR="001F3A8B">
        <w:fldChar w:fldCharType="begin"/>
      </w:r>
      <w:r w:rsidR="001F3A8B">
        <w:instrText xml:space="preserve"> SEQ Issue \* MERGEFORMAT </w:instrText>
      </w:r>
      <w:r w:rsidR="001F3A8B">
        <w:fldChar w:fldCharType="separate"/>
      </w:r>
      <w:r w:rsidR="00B86597">
        <w:rPr>
          <w:noProof/>
        </w:rPr>
        <w:t>1</w:t>
      </w:r>
      <w:r w:rsidR="001F3A8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6597">
        <w:rPr>
          <w:noProof/>
        </w:rPr>
        <w:instrText>1</w:instrText>
      </w:r>
      <w:r>
        <w:fldChar w:fldCharType="end"/>
      </w:r>
      <w:r>
        <w:tab/>
        <w:instrText xml:space="preserve">" \l 1 </w:instrText>
      </w:r>
      <w:r>
        <w:fldChar w:fldCharType="end"/>
      </w:r>
      <w:r>
        <w:t> </w:t>
      </w:r>
    </w:p>
    <w:p w14:paraId="77D7E56E" w14:textId="77777777" w:rsidR="009D44FB" w:rsidRPr="008C2A49" w:rsidRDefault="009D44FB" w:rsidP="00817B8B">
      <w:pPr>
        <w:pStyle w:val="BodyText"/>
      </w:pPr>
      <w:r w:rsidRPr="008C2A49">
        <w:t> </w:t>
      </w:r>
      <w:r w:rsidR="008C2A49" w:rsidRPr="008C2A49">
        <w:t xml:space="preserve">Should the Commission grant TruConnect Communications, Inc. ETC status in Florida? </w:t>
      </w:r>
    </w:p>
    <w:p w14:paraId="3089A12D" w14:textId="77777777" w:rsidR="009D44FB" w:rsidRPr="004C3641" w:rsidRDefault="009D44FB" w:rsidP="00817B8B">
      <w:pPr>
        <w:pStyle w:val="IssueSubsectionHeading"/>
        <w:rPr>
          <w:vanish/>
          <w:specVanish/>
        </w:rPr>
      </w:pPr>
      <w:r w:rsidRPr="004C3641">
        <w:t>Recommendation: </w:t>
      </w:r>
    </w:p>
    <w:p w14:paraId="2AF90AB3" w14:textId="77777777" w:rsidR="009D44FB" w:rsidRDefault="009D44FB" w:rsidP="00817B8B">
      <w:pPr>
        <w:pStyle w:val="BodyText"/>
      </w:pPr>
      <w:r>
        <w:t> </w:t>
      </w:r>
      <w:r w:rsidR="008C2A49">
        <w:t>No</w:t>
      </w:r>
      <w:r w:rsidR="003326BE">
        <w:t>. S</w:t>
      </w:r>
      <w:r w:rsidR="008C2A49">
        <w:t xml:space="preserve">taff recommends that the Commission should not grant TruConnect </w:t>
      </w:r>
      <w:r w:rsidR="00826399" w:rsidRPr="008C2A49">
        <w:t>Communications, Inc.</w:t>
      </w:r>
      <w:r w:rsidR="00826399">
        <w:t xml:space="preserve"> </w:t>
      </w:r>
      <w:r w:rsidR="008C2A49">
        <w:t>ETC status in Florida.</w:t>
      </w:r>
      <w:r w:rsidR="00B418AE">
        <w:t xml:space="preserve"> (Weisenfeld, Deas, Yglesias de Ayala)</w:t>
      </w:r>
    </w:p>
    <w:p w14:paraId="2F1C3637" w14:textId="77777777" w:rsidR="009D44FB" w:rsidRPr="004C3641" w:rsidRDefault="009D44FB">
      <w:pPr>
        <w:pStyle w:val="IssueSubsectionHeading"/>
        <w:rPr>
          <w:vanish/>
          <w:specVanish/>
        </w:rPr>
      </w:pPr>
      <w:r w:rsidRPr="004C3641">
        <w:t>Staff Analysis: </w:t>
      </w:r>
    </w:p>
    <w:p w14:paraId="6858B6DE" w14:textId="77777777" w:rsidR="00446063" w:rsidRDefault="009D44FB" w:rsidP="00446063">
      <w:pPr>
        <w:pStyle w:val="BodyText"/>
      </w:pPr>
      <w:r>
        <w:t> </w:t>
      </w:r>
    </w:p>
    <w:p w14:paraId="2E6C4927" w14:textId="11F0B7C1" w:rsidR="00632393" w:rsidRDefault="004448C9" w:rsidP="008A0C93">
      <w:pPr>
        <w:autoSpaceDE w:val="0"/>
        <w:autoSpaceDN w:val="0"/>
        <w:adjustRightInd w:val="0"/>
        <w:jc w:val="both"/>
      </w:pPr>
      <w:r>
        <w:t xml:space="preserve">Pursuant to federal law, </w:t>
      </w:r>
      <w:r w:rsidR="00D40F3B">
        <w:t>the Commission has</w:t>
      </w:r>
      <w:r>
        <w:t xml:space="preserve"> the authority to designate carriers as ETCs if they meet certain requirements.</w:t>
      </w:r>
      <w:r w:rsidR="002039FF">
        <w:rPr>
          <w:rStyle w:val="FootnoteReference"/>
        </w:rPr>
        <w:footnoteReference w:id="3"/>
      </w:r>
      <w:r>
        <w:t xml:space="preserve"> </w:t>
      </w:r>
      <w:r w:rsidR="00632393">
        <w:t>In 2011, the Florida Legislature removed the Commission’s authority to designate wireless providers as ETCs.</w:t>
      </w:r>
      <w:r w:rsidR="00632393">
        <w:rPr>
          <w:rStyle w:val="FootnoteReference"/>
        </w:rPr>
        <w:footnoteReference w:id="4"/>
      </w:r>
      <w:r w:rsidR="00632393">
        <w:t xml:space="preserve"> </w:t>
      </w:r>
      <w:r w:rsidR="002A0419">
        <w:t>Consequently</w:t>
      </w:r>
      <w:r w:rsidR="00632393">
        <w:t xml:space="preserve">, effective July 1, 2012, the Commission evaluates </w:t>
      </w:r>
      <w:r w:rsidR="003326BE">
        <w:t xml:space="preserve">only </w:t>
      </w:r>
      <w:r w:rsidR="00632393">
        <w:t>wireline ETC applications</w:t>
      </w:r>
      <w:r w:rsidR="003326BE">
        <w:t>. W</w:t>
      </w:r>
      <w:r w:rsidR="00632393">
        <w:t xml:space="preserve">ireless providers must apply </w:t>
      </w:r>
      <w:r w:rsidR="003326BE">
        <w:t xml:space="preserve">directly </w:t>
      </w:r>
      <w:r w:rsidR="00632393">
        <w:t>with the FCC for Florida ETC designation.</w:t>
      </w:r>
      <w:r w:rsidR="00ED13E9">
        <w:t xml:space="preserve"> Most recently, the Commission concluded it did not have jurisdiction to designate a satellite company as an ETC in Florida</w:t>
      </w:r>
      <w:r>
        <w:t xml:space="preserve"> because like wireless providers, a satellite provider is not a wireline provider</w:t>
      </w:r>
      <w:r w:rsidR="00ED13E9">
        <w:t>.</w:t>
      </w:r>
      <w:r w:rsidR="009C3006">
        <w:rPr>
          <w:rStyle w:val="FootnoteReference"/>
        </w:rPr>
        <w:footnoteReference w:id="5"/>
      </w:r>
      <w:r w:rsidR="002A0419">
        <w:t xml:space="preserve"> </w:t>
      </w:r>
      <w:r w:rsidR="00632393">
        <w:t>Furthermore, Section 364.011</w:t>
      </w:r>
      <w:r>
        <w:t>(4)</w:t>
      </w:r>
      <w:r w:rsidR="00632393">
        <w:t>, F.S., provides that w</w:t>
      </w:r>
      <w:r w:rsidR="00632393" w:rsidRPr="00A50EBF">
        <w:t>ireless telecommunications, including commercial mobile radio service providers</w:t>
      </w:r>
      <w:r w:rsidR="00632393">
        <w:t>, are exempt from oversight by the Commission.</w:t>
      </w:r>
    </w:p>
    <w:p w14:paraId="0B3F233B" w14:textId="77777777" w:rsidR="00B15DDE" w:rsidRDefault="00B15DDE" w:rsidP="008A0C93">
      <w:pPr>
        <w:autoSpaceDE w:val="0"/>
        <w:autoSpaceDN w:val="0"/>
        <w:adjustRightInd w:val="0"/>
        <w:jc w:val="both"/>
      </w:pPr>
    </w:p>
    <w:p w14:paraId="10373B8B" w14:textId="5419276E" w:rsidR="002C00AD" w:rsidRDefault="00B418AE" w:rsidP="00D44E4F">
      <w:pPr>
        <w:pStyle w:val="BodyText"/>
        <w:sectPr w:rsidR="002C00AD" w:rsidSect="00DE1E6A">
          <w:headerReference w:type="first" r:id="rId12"/>
          <w:pgSz w:w="12240" w:h="15840" w:code="1"/>
          <w:pgMar w:top="1584" w:right="1440" w:bottom="1440" w:left="1440" w:header="720" w:footer="720" w:gutter="0"/>
          <w:cols w:space="720"/>
          <w:formProt w:val="0"/>
          <w:titlePg/>
          <w:docGrid w:linePitch="360"/>
        </w:sectPr>
      </w:pPr>
      <w:r>
        <w:t>TruConnect is</w:t>
      </w:r>
      <w:r w:rsidR="00446063" w:rsidRPr="00446063">
        <w:t xml:space="preserve"> </w:t>
      </w:r>
      <w:r w:rsidR="00446063">
        <w:t xml:space="preserve">a </w:t>
      </w:r>
      <w:r w:rsidR="002A0419" w:rsidRPr="00182FCD">
        <w:t xml:space="preserve">provider of </w:t>
      </w:r>
      <w:r w:rsidR="002A0419">
        <w:t>commercial mobile radio service</w:t>
      </w:r>
      <w:r>
        <w:t>.</w:t>
      </w:r>
      <w:r w:rsidR="002A0419">
        <w:t xml:space="preserve"> </w:t>
      </w:r>
      <w:r w:rsidR="003E5F71">
        <w:t xml:space="preserve">As a </w:t>
      </w:r>
      <w:r w:rsidR="00606F99">
        <w:t>commercial</w:t>
      </w:r>
      <w:r w:rsidR="003E5F71">
        <w:t xml:space="preserve"> mobile radio service provider, TruConnect is considered a wireless provider</w:t>
      </w:r>
      <w:r w:rsidR="00D40F3B">
        <w:t xml:space="preserve"> and therefore exempt from Commission jurisdiction</w:t>
      </w:r>
      <w:r w:rsidR="00E91D72">
        <w:t>, and should continue to seek ETC designation in Florida from the FCC</w:t>
      </w:r>
      <w:r w:rsidR="003E5F71">
        <w:t xml:space="preserve">. </w:t>
      </w:r>
      <w:r w:rsidR="002A0419">
        <w:t>Accordingly</w:t>
      </w:r>
      <w:r w:rsidR="00446063">
        <w:t xml:space="preserve">, </w:t>
      </w:r>
      <w:r w:rsidR="00632393">
        <w:t>staff recommend</w:t>
      </w:r>
      <w:r w:rsidR="00E91D72">
        <w:t>s</w:t>
      </w:r>
      <w:r w:rsidR="00446063">
        <w:t xml:space="preserve"> </w:t>
      </w:r>
      <w:r w:rsidR="00632393">
        <w:t xml:space="preserve">that the Commission </w:t>
      </w:r>
      <w:r w:rsidR="00E91D72">
        <w:t>deny</w:t>
      </w:r>
      <w:r w:rsidR="00446063">
        <w:t xml:space="preserve"> </w:t>
      </w:r>
      <w:proofErr w:type="spellStart"/>
      <w:r w:rsidR="00632393">
        <w:t>TruConnect</w:t>
      </w:r>
      <w:proofErr w:type="spellEnd"/>
      <w:r w:rsidR="00446063">
        <w:t xml:space="preserve"> </w:t>
      </w:r>
      <w:proofErr w:type="spellStart"/>
      <w:r w:rsidR="00446063">
        <w:t>ETC</w:t>
      </w:r>
      <w:proofErr w:type="spellEnd"/>
      <w:r w:rsidR="00446063">
        <w:t xml:space="preserve"> </w:t>
      </w:r>
      <w:r w:rsidR="00C949F1">
        <w:t>designation</w:t>
      </w:r>
      <w:r w:rsidR="00446063">
        <w:t xml:space="preserve"> in Florida</w:t>
      </w:r>
      <w:r w:rsidR="00632393">
        <w:t xml:space="preserve">, </w:t>
      </w:r>
      <w:r w:rsidR="00446063">
        <w:t xml:space="preserve">because </w:t>
      </w:r>
      <w:r w:rsidR="002A0419">
        <w:t>the</w:t>
      </w:r>
      <w:r w:rsidR="00446063">
        <w:t xml:space="preserve"> Commission </w:t>
      </w:r>
      <w:r w:rsidR="00C949F1">
        <w:t xml:space="preserve">has authority to </w:t>
      </w:r>
      <w:r w:rsidR="00446063">
        <w:t>evaluate</w:t>
      </w:r>
      <w:r w:rsidR="003326BE">
        <w:t xml:space="preserve"> only</w:t>
      </w:r>
      <w:r w:rsidR="00E91D72">
        <w:t xml:space="preserve"> wireline ETC applications.</w:t>
      </w:r>
    </w:p>
    <w:p w14:paraId="31F4044F" w14:textId="77777777" w:rsidR="009D44FB" w:rsidRDefault="009D44FB">
      <w:pPr>
        <w:pStyle w:val="IssueHeading"/>
        <w:rPr>
          <w:vanish/>
          <w:specVanish/>
        </w:rPr>
      </w:pPr>
      <w:r w:rsidRPr="004C3641">
        <w:lastRenderedPageBreak/>
        <w:t xml:space="preserve">Issue </w:t>
      </w:r>
      <w:r w:rsidR="001F3A8B">
        <w:fldChar w:fldCharType="begin"/>
      </w:r>
      <w:r w:rsidR="001F3A8B">
        <w:instrText xml:space="preserve"> SEQ Issue \* MERGEFORMAT </w:instrText>
      </w:r>
      <w:r w:rsidR="001F3A8B">
        <w:fldChar w:fldCharType="separate"/>
      </w:r>
      <w:r w:rsidR="00B86597">
        <w:rPr>
          <w:noProof/>
        </w:rPr>
        <w:t>2</w:t>
      </w:r>
      <w:r w:rsidR="001F3A8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B86597">
        <w:rPr>
          <w:noProof/>
        </w:rPr>
        <w:instrText>2</w:instrText>
      </w:r>
      <w:r>
        <w:fldChar w:fldCharType="end"/>
      </w:r>
      <w:r>
        <w:tab/>
        <w:instrText xml:space="preserve">" \l 1 </w:instrText>
      </w:r>
      <w:r>
        <w:fldChar w:fldCharType="end"/>
      </w:r>
      <w:r>
        <w:t> </w:t>
      </w:r>
    </w:p>
    <w:p w14:paraId="7956291B" w14:textId="77777777" w:rsidR="009D44FB" w:rsidRDefault="009D44FB">
      <w:pPr>
        <w:pStyle w:val="BodyText"/>
      </w:pPr>
      <w:r>
        <w:t> </w:t>
      </w:r>
      <w:r w:rsidR="00B418AE">
        <w:t>Should this docket be closed?</w:t>
      </w:r>
    </w:p>
    <w:p w14:paraId="7973EBEA" w14:textId="77777777" w:rsidR="009D44FB" w:rsidRPr="004C3641" w:rsidRDefault="009D44FB">
      <w:pPr>
        <w:pStyle w:val="IssueSubsectionHeading"/>
        <w:rPr>
          <w:vanish/>
          <w:specVanish/>
        </w:rPr>
      </w:pPr>
      <w:r w:rsidRPr="004C3641">
        <w:t>Recommendation: </w:t>
      </w:r>
    </w:p>
    <w:p w14:paraId="6F2E5AA1" w14:textId="77777777" w:rsidR="009D44FB" w:rsidRDefault="009D44FB" w:rsidP="00AD0038">
      <w:pPr>
        <w:pStyle w:val="BodyText"/>
      </w:pPr>
      <w:r>
        <w:t> </w:t>
      </w:r>
      <w:r w:rsidR="003E5F71">
        <w:t xml:space="preserve">Yes. </w:t>
      </w:r>
      <w:r w:rsidR="00B418AE">
        <w:t>If no person whose substantial interests are affected by the proposed agency action files a protest within 21 days of the issuance of the</w:t>
      </w:r>
      <w:r w:rsidR="00D23975">
        <w:t xml:space="preserve"> </w:t>
      </w:r>
      <w:r w:rsidR="002E5AF2">
        <w:t>P</w:t>
      </w:r>
      <w:r w:rsidR="00D23975">
        <w:t xml:space="preserve">roposed </w:t>
      </w:r>
      <w:r w:rsidR="002E5AF2">
        <w:t>A</w:t>
      </w:r>
      <w:r w:rsidR="00D23975">
        <w:t xml:space="preserve">gency </w:t>
      </w:r>
      <w:r w:rsidR="002E5AF2">
        <w:t>A</w:t>
      </w:r>
      <w:r w:rsidR="00D23975">
        <w:t>ction</w:t>
      </w:r>
      <w:r w:rsidR="00B418AE">
        <w:t xml:space="preserve"> </w:t>
      </w:r>
      <w:r w:rsidR="002E5AF2">
        <w:t>O</w:t>
      </w:r>
      <w:r w:rsidR="00B418AE">
        <w:t>rder, this docket should be closed upon the issuance of a</w:t>
      </w:r>
      <w:r w:rsidR="002E5AF2">
        <w:t xml:space="preserve"> </w:t>
      </w:r>
      <w:r w:rsidR="003E5F71">
        <w:t>c</w:t>
      </w:r>
      <w:r w:rsidR="00B418AE">
        <w:t xml:space="preserve">onsummating </w:t>
      </w:r>
      <w:r w:rsidR="003E5F71">
        <w:t>o</w:t>
      </w:r>
      <w:r w:rsidR="00B418AE">
        <w:t>rder. (Weisenfeld)</w:t>
      </w:r>
    </w:p>
    <w:p w14:paraId="6057BE9C" w14:textId="77777777" w:rsidR="009D44FB" w:rsidRPr="004C3641" w:rsidRDefault="009D44FB">
      <w:pPr>
        <w:pStyle w:val="IssueSubsectionHeading"/>
        <w:rPr>
          <w:vanish/>
          <w:specVanish/>
        </w:rPr>
      </w:pPr>
      <w:r w:rsidRPr="004C3641">
        <w:t>Staff Analysis: </w:t>
      </w:r>
    </w:p>
    <w:p w14:paraId="213844B6" w14:textId="77777777" w:rsidR="00E06484" w:rsidRDefault="009D44FB" w:rsidP="00AD0038">
      <w:pPr>
        <w:pStyle w:val="BodyText"/>
        <w:jc w:val="left"/>
      </w:pPr>
      <w:r>
        <w:t> </w:t>
      </w:r>
      <w:r w:rsidR="00AD0038">
        <w:t xml:space="preserve">At the conclusion of the protest period, if no protest is filed, this docket should be closed upon the issuance of a </w:t>
      </w:r>
      <w:r w:rsidR="003E5F71">
        <w:t>c</w:t>
      </w:r>
      <w:r w:rsidR="00AD0038">
        <w:t xml:space="preserve">onsummating </w:t>
      </w:r>
      <w:r w:rsidR="003E5F71">
        <w:t>o</w:t>
      </w:r>
      <w:r w:rsidR="00AD0038">
        <w:t>rder.</w:t>
      </w:r>
    </w:p>
    <w:sectPr w:rsidR="00E06484" w:rsidSect="00DE1E6A">
      <w:headerReference w:type="first" r:id="rId13"/>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F12D6" w14:textId="77777777" w:rsidR="008F516F" w:rsidRDefault="008F516F">
      <w:r>
        <w:separator/>
      </w:r>
    </w:p>
  </w:endnote>
  <w:endnote w:type="continuationSeparator" w:id="0">
    <w:p w14:paraId="0D8E254F" w14:textId="77777777" w:rsidR="008F516F" w:rsidRDefault="008F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22684" w14:textId="77777777" w:rsidR="003764D3" w:rsidRDefault="003764D3" w:rsidP="003764D3">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A165C">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87E1B" w14:textId="77777777" w:rsidR="008F516F" w:rsidRDefault="008F516F">
      <w:r>
        <w:separator/>
      </w:r>
    </w:p>
  </w:footnote>
  <w:footnote w:type="continuationSeparator" w:id="0">
    <w:p w14:paraId="4352DE7C" w14:textId="77777777" w:rsidR="008F516F" w:rsidRDefault="008F516F">
      <w:r>
        <w:continuationSeparator/>
      </w:r>
    </w:p>
  </w:footnote>
  <w:footnote w:id="1">
    <w:p w14:paraId="6CADD06F" w14:textId="77777777" w:rsidR="00A036DC" w:rsidRPr="003C3EDA" w:rsidRDefault="00A036DC" w:rsidP="00A036DC">
      <w:pPr>
        <w:pStyle w:val="NormalWeb"/>
        <w:jc w:val="both"/>
        <w:rPr>
          <w:sz w:val="20"/>
          <w:szCs w:val="20"/>
        </w:rPr>
      </w:pPr>
      <w:r w:rsidRPr="003C3EDA">
        <w:rPr>
          <w:rStyle w:val="FootnoteReference"/>
          <w:sz w:val="20"/>
          <w:szCs w:val="20"/>
        </w:rPr>
        <w:footnoteRef/>
      </w:r>
      <w:r w:rsidRPr="003C3EDA">
        <w:rPr>
          <w:sz w:val="20"/>
          <w:szCs w:val="20"/>
        </w:rPr>
        <w:t xml:space="preserve"> TSC also owns Sage Telecom Communications, LLC d/b/a TruConnect (</w:t>
      </w:r>
      <w:r w:rsidRPr="003C3EDA">
        <w:rPr>
          <w:rFonts w:ascii="TimesNewRomanPSMT" w:hAnsi="TimesNewRomanPSMT"/>
          <w:sz w:val="20"/>
          <w:szCs w:val="20"/>
        </w:rPr>
        <w:t xml:space="preserve">Sage </w:t>
      </w:r>
      <w:r w:rsidRPr="003C3EDA">
        <w:rPr>
          <w:sz w:val="20"/>
          <w:szCs w:val="20"/>
        </w:rPr>
        <w:t>d/b/a TruConnect</w:t>
      </w:r>
      <w:r w:rsidRPr="003C3EDA">
        <w:rPr>
          <w:rFonts w:ascii="TimesNewRomanPSMT" w:hAnsi="TimesNewRomanPSMT"/>
          <w:sz w:val="20"/>
          <w:szCs w:val="20"/>
        </w:rPr>
        <w:t>)</w:t>
      </w:r>
      <w:r w:rsidRPr="003C3EDA">
        <w:rPr>
          <w:sz w:val="20"/>
          <w:szCs w:val="20"/>
        </w:rPr>
        <w:t>. Sage d/b/a TruConnect is designated and operating as a wireless ETC in 28 states, as well as in Puerto Rico.</w:t>
      </w:r>
    </w:p>
    <w:p w14:paraId="6322336D" w14:textId="77777777" w:rsidR="00A036DC" w:rsidRDefault="00A036DC" w:rsidP="00A036DC">
      <w:pPr>
        <w:pStyle w:val="FootnoteText"/>
      </w:pPr>
    </w:p>
  </w:footnote>
  <w:footnote w:id="2">
    <w:p w14:paraId="321BB53D" w14:textId="44BB98CB" w:rsidR="008C2A49" w:rsidRDefault="008C2A49">
      <w:pPr>
        <w:pStyle w:val="FootnoteText"/>
      </w:pPr>
      <w:r>
        <w:rPr>
          <w:rStyle w:val="FootnoteReference"/>
        </w:rPr>
        <w:footnoteRef/>
      </w:r>
      <w:r>
        <w:t xml:space="preserve"> TruConnect’s petition </w:t>
      </w:r>
      <w:r w:rsidR="009C3006">
        <w:t>filed with the Commissio</w:t>
      </w:r>
      <w:r w:rsidR="00EA009C">
        <w:t>n</w:t>
      </w:r>
      <w:r w:rsidR="001D3A80">
        <w:t xml:space="preserve"> (</w:t>
      </w:r>
      <w:r w:rsidR="00EA009C">
        <w:t>Petition for Declaratory Ruling and Designation as an Eligible Telecommunications Carrier)</w:t>
      </w:r>
      <w:r w:rsidR="009C3006">
        <w:t xml:space="preserve"> </w:t>
      </w:r>
      <w:r>
        <w:t>was not treated as a petition for declaratory statement</w:t>
      </w:r>
      <w:r w:rsidR="003326BE">
        <w:t xml:space="preserve"> because it was not filed under Section 120.565, F.S., </w:t>
      </w:r>
      <w:proofErr w:type="gramStart"/>
      <w:r w:rsidR="003326BE">
        <w:t>the</w:t>
      </w:r>
      <w:proofErr w:type="gramEnd"/>
      <w:r w:rsidR="003326BE">
        <w:t xml:space="preserve"> statute that governs petitions for declaratory statement.</w:t>
      </w:r>
    </w:p>
  </w:footnote>
  <w:footnote w:id="3">
    <w:p w14:paraId="476A63D4" w14:textId="5AC61F4F" w:rsidR="002039FF" w:rsidRDefault="002039FF">
      <w:pPr>
        <w:pStyle w:val="FootnoteText"/>
      </w:pPr>
      <w:r>
        <w:rPr>
          <w:rStyle w:val="FootnoteReference"/>
        </w:rPr>
        <w:footnoteRef/>
      </w:r>
      <w:r>
        <w:t xml:space="preserve"> Section 214(e</w:t>
      </w:r>
      <w:proofErr w:type="gramStart"/>
      <w:r>
        <w:t>)(</w:t>
      </w:r>
      <w:proofErr w:type="gramEnd"/>
      <w:r>
        <w:t>2) of the Telecommunications Act of 1996.</w:t>
      </w:r>
    </w:p>
  </w:footnote>
  <w:footnote w:id="4">
    <w:p w14:paraId="6C04BA6D" w14:textId="77777777" w:rsidR="00632393" w:rsidRPr="00D60B21" w:rsidRDefault="00632393" w:rsidP="00D60B21">
      <w:pPr>
        <w:pStyle w:val="FootnoteText"/>
      </w:pPr>
      <w:r w:rsidRPr="00D60B21">
        <w:rPr>
          <w:rStyle w:val="FootnoteReference"/>
        </w:rPr>
        <w:footnoteRef/>
      </w:r>
      <w:r w:rsidRPr="00D60B21">
        <w:t xml:space="preserve"> 2011 FL H.B. 1231, Adopted May 5, 2011.</w:t>
      </w:r>
    </w:p>
  </w:footnote>
  <w:footnote w:id="5">
    <w:p w14:paraId="0C70DC90" w14:textId="77777777" w:rsidR="009C3006" w:rsidRPr="00D60B21" w:rsidRDefault="009C3006" w:rsidP="00D60B21">
      <w:pPr>
        <w:jc w:val="both"/>
        <w:rPr>
          <w:i/>
          <w:iCs/>
        </w:rPr>
      </w:pPr>
      <w:r w:rsidRPr="00D60B21">
        <w:rPr>
          <w:rStyle w:val="FootnoteReference"/>
          <w:sz w:val="20"/>
          <w:szCs w:val="20"/>
        </w:rPr>
        <w:footnoteRef/>
      </w:r>
      <w:r w:rsidRPr="00D60B21">
        <w:rPr>
          <w:sz w:val="20"/>
          <w:szCs w:val="20"/>
        </w:rPr>
        <w:t xml:space="preserve"> </w:t>
      </w:r>
      <w:proofErr w:type="gramStart"/>
      <w:r w:rsidR="00D60B21" w:rsidRPr="00D60B21">
        <w:rPr>
          <w:sz w:val="20"/>
          <w:szCs w:val="20"/>
        </w:rPr>
        <w:t>Order No.</w:t>
      </w:r>
      <w:proofErr w:type="gramEnd"/>
      <w:r w:rsidR="00D60B21" w:rsidRPr="00D60B21">
        <w:rPr>
          <w:sz w:val="20"/>
          <w:szCs w:val="20"/>
        </w:rPr>
        <w:t xml:space="preserve"> PSC-2018-0531-PAA-TC, issued November 13, 2018, in Docket No. 20180180-TX, In re: </w:t>
      </w:r>
      <w:r w:rsidR="00D60B21" w:rsidRPr="00D60B21">
        <w:rPr>
          <w:i/>
          <w:iCs/>
          <w:sz w:val="20"/>
          <w:szCs w:val="20"/>
        </w:rPr>
        <w:t xml:space="preserve">Application for limited designation as an eligible telecommunications carrier (ETC) to receive Connect America Fund Phase II Auction (Auction 903) support for voice and broadband services with request for expedited consideration by </w:t>
      </w:r>
      <w:proofErr w:type="spellStart"/>
      <w:r w:rsidR="00D60B21" w:rsidRPr="00D60B21">
        <w:rPr>
          <w:i/>
          <w:iCs/>
          <w:sz w:val="20"/>
          <w:szCs w:val="20"/>
        </w:rPr>
        <w:t>Viasat</w:t>
      </w:r>
      <w:proofErr w:type="spellEnd"/>
      <w:r w:rsidR="00D60B21" w:rsidRPr="00D60B21">
        <w:rPr>
          <w:i/>
          <w:iCs/>
          <w:sz w:val="20"/>
          <w:szCs w:val="20"/>
        </w:rPr>
        <w:t xml:space="preserve"> Carrier Services,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4846F" w14:textId="77777777" w:rsidR="00B86597" w:rsidRDefault="00B86597" w:rsidP="00B8659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20200147-TP</w:t>
    </w:r>
    <w:r>
      <w:fldChar w:fldCharType="end"/>
    </w:r>
    <w:r>
      <w:tab/>
    </w:r>
  </w:p>
  <w:p w14:paraId="01F5F97B" w14:textId="33FFC189" w:rsidR="00BC402E" w:rsidRDefault="00B86597">
    <w:pPr>
      <w:pStyle w:val="Header"/>
    </w:pPr>
    <w:r>
      <w:t xml:space="preserve">Date: </w:t>
    </w:r>
    <w:r w:rsidR="001F3A8B">
      <w:fldChar w:fldCharType="begin"/>
    </w:r>
    <w:r w:rsidR="001F3A8B">
      <w:instrText xml:space="preserve"> REF FilingDate </w:instrText>
    </w:r>
    <w:r w:rsidR="001F3A8B">
      <w:fldChar w:fldCharType="separate"/>
    </w:r>
    <w:r>
      <w:t>June 24, 2020</w:t>
    </w:r>
    <w:r w:rsidR="001F3A8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AEEFF" w14:textId="2B872570" w:rsidR="002C00AD" w:rsidRDefault="00B86597" w:rsidP="002C00AD">
    <w:pPr>
      <w:pStyle w:val="Header"/>
      <w:tabs>
        <w:tab w:val="clear" w:pos="4320"/>
        <w:tab w:val="clear" w:pos="8640"/>
        <w:tab w:val="left" w:pos="7200"/>
        <w:tab w:val="left" w:pos="7920"/>
        <w:tab w:val="right" w:pos="9360"/>
      </w:tabs>
    </w:pPr>
    <w:r>
      <w:t>Docket No. 20200147</w:t>
    </w:r>
    <w:r w:rsidR="004D519A">
      <w:t>-TP</w:t>
    </w:r>
    <w:r w:rsidR="002C00AD">
      <w:tab/>
    </w:r>
    <w:r>
      <w:tab/>
    </w:r>
    <w:r w:rsidR="002C00AD">
      <w:tab/>
      <w:t>Issue 1</w:t>
    </w:r>
    <w:r w:rsidR="002C00AD">
      <w:tab/>
    </w:r>
  </w:p>
  <w:p w14:paraId="3B5FA892" w14:textId="77777777" w:rsidR="002C00AD" w:rsidRDefault="002C00AD" w:rsidP="002C00AD">
    <w:pPr>
      <w:pStyle w:val="Header"/>
      <w:tabs>
        <w:tab w:val="left" w:pos="7200"/>
      </w:tabs>
    </w:pPr>
    <w:r>
      <w:t xml:space="preserve">Date: </w:t>
    </w:r>
    <w:r w:rsidR="001F3A8B">
      <w:fldChar w:fldCharType="begin"/>
    </w:r>
    <w:r w:rsidR="001F3A8B">
      <w:instrText xml:space="preserve"> RE</w:instrText>
    </w:r>
    <w:r w:rsidR="001F3A8B">
      <w:instrText xml:space="preserve">F FilingDate </w:instrText>
    </w:r>
    <w:r w:rsidR="001F3A8B">
      <w:fldChar w:fldCharType="separate"/>
    </w:r>
    <w:r w:rsidR="00B86597">
      <w:t>June 24, 2020</w:t>
    </w:r>
    <w:r w:rsidR="001F3A8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968EA" w14:textId="22E2A371" w:rsidR="002C00AD" w:rsidRDefault="009B3E65" w:rsidP="002C00AD">
    <w:pPr>
      <w:pStyle w:val="Header"/>
      <w:tabs>
        <w:tab w:val="clear" w:pos="4320"/>
        <w:tab w:val="clear" w:pos="8640"/>
        <w:tab w:val="left" w:pos="7200"/>
        <w:tab w:val="left" w:pos="7920"/>
        <w:tab w:val="right" w:pos="9360"/>
      </w:tabs>
    </w:pPr>
    <w:r>
      <w:t>Docket No. 20200147</w:t>
    </w:r>
    <w:r w:rsidR="004D519A">
      <w:t>-TP</w:t>
    </w:r>
    <w:r w:rsidR="002C00AD">
      <w:tab/>
    </w:r>
    <w:r>
      <w:tab/>
    </w:r>
    <w:r>
      <w:tab/>
    </w:r>
    <w:r w:rsidR="002C00AD">
      <w:t>Issue 2</w:t>
    </w:r>
    <w:r w:rsidR="002C00AD">
      <w:tab/>
    </w:r>
  </w:p>
  <w:p w14:paraId="0B4AB83F" w14:textId="77777777" w:rsidR="002C00AD" w:rsidRDefault="002C00AD" w:rsidP="002C00AD">
    <w:pPr>
      <w:pStyle w:val="Header"/>
      <w:tabs>
        <w:tab w:val="left" w:pos="7200"/>
      </w:tabs>
    </w:pPr>
    <w:r>
      <w:t xml:space="preserve">Date: </w:t>
    </w:r>
    <w:r w:rsidR="001F3A8B">
      <w:fldChar w:fldCharType="begin"/>
    </w:r>
    <w:r w:rsidR="001F3A8B">
      <w:instrText xml:space="preserve"> REF FilingDate </w:instrText>
    </w:r>
    <w:r w:rsidR="001F3A8B">
      <w:fldChar w:fldCharType="separate"/>
    </w:r>
    <w:r w:rsidR="00B86597">
      <w:t>June 24, 2020</w:t>
    </w:r>
    <w:r w:rsidR="001F3A8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hley Weisenfeld">
    <w15:presenceInfo w15:providerId="AD" w15:userId="S::aw19v@my.fsu.edu::26e7ea77-39c8-463a-abfa-6d9b7b72c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D44FB"/>
    <w:rsid w:val="000041DB"/>
    <w:rsid w:val="000043D5"/>
    <w:rsid w:val="00006170"/>
    <w:rsid w:val="00010E37"/>
    <w:rsid w:val="000172DA"/>
    <w:rsid w:val="000209D2"/>
    <w:rsid w:val="000247C5"/>
    <w:rsid w:val="000277C2"/>
    <w:rsid w:val="00035B48"/>
    <w:rsid w:val="00036CE2"/>
    <w:rsid w:val="000437FE"/>
    <w:rsid w:val="000513BE"/>
    <w:rsid w:val="00065A06"/>
    <w:rsid w:val="000666F3"/>
    <w:rsid w:val="00070DCB"/>
    <w:rsid w:val="00072CCA"/>
    <w:rsid w:val="00073120"/>
    <w:rsid w:val="000764D0"/>
    <w:rsid w:val="000828D3"/>
    <w:rsid w:val="00083068"/>
    <w:rsid w:val="000951EF"/>
    <w:rsid w:val="000A2B57"/>
    <w:rsid w:val="000A418B"/>
    <w:rsid w:val="000C4431"/>
    <w:rsid w:val="000D1C06"/>
    <w:rsid w:val="000D4319"/>
    <w:rsid w:val="000E07E1"/>
    <w:rsid w:val="000F374A"/>
    <w:rsid w:val="001076AF"/>
    <w:rsid w:val="00117C8C"/>
    <w:rsid w:val="00124C38"/>
    <w:rsid w:val="00124E2E"/>
    <w:rsid w:val="00125ED4"/>
    <w:rsid w:val="001305E9"/>
    <w:rsid w:val="001307AF"/>
    <w:rsid w:val="00135687"/>
    <w:rsid w:val="0015506E"/>
    <w:rsid w:val="00160792"/>
    <w:rsid w:val="00163031"/>
    <w:rsid w:val="00171A90"/>
    <w:rsid w:val="0017495D"/>
    <w:rsid w:val="00180254"/>
    <w:rsid w:val="00182FCD"/>
    <w:rsid w:val="00191E1F"/>
    <w:rsid w:val="00192943"/>
    <w:rsid w:val="001A4F1A"/>
    <w:rsid w:val="001A62AB"/>
    <w:rsid w:val="001A7406"/>
    <w:rsid w:val="001B32A9"/>
    <w:rsid w:val="001B4FEE"/>
    <w:rsid w:val="001B51C5"/>
    <w:rsid w:val="001B6F3F"/>
    <w:rsid w:val="001C52B5"/>
    <w:rsid w:val="001D0D3E"/>
    <w:rsid w:val="001D3A80"/>
    <w:rsid w:val="001F2245"/>
    <w:rsid w:val="001F2C63"/>
    <w:rsid w:val="001F48C7"/>
    <w:rsid w:val="001F6DA1"/>
    <w:rsid w:val="002039FF"/>
    <w:rsid w:val="002044E6"/>
    <w:rsid w:val="00205C82"/>
    <w:rsid w:val="00205DC2"/>
    <w:rsid w:val="0021134A"/>
    <w:rsid w:val="00212B17"/>
    <w:rsid w:val="002163B6"/>
    <w:rsid w:val="00220732"/>
    <w:rsid w:val="00221D32"/>
    <w:rsid w:val="0022472E"/>
    <w:rsid w:val="00225C3F"/>
    <w:rsid w:val="00263D44"/>
    <w:rsid w:val="002702AD"/>
    <w:rsid w:val="00280471"/>
    <w:rsid w:val="00292D82"/>
    <w:rsid w:val="002963CB"/>
    <w:rsid w:val="002A0419"/>
    <w:rsid w:val="002B4097"/>
    <w:rsid w:val="002B4A01"/>
    <w:rsid w:val="002C00AD"/>
    <w:rsid w:val="002D226D"/>
    <w:rsid w:val="002E3F8B"/>
    <w:rsid w:val="002E5AF2"/>
    <w:rsid w:val="002E6F8D"/>
    <w:rsid w:val="002F6030"/>
    <w:rsid w:val="003037E1"/>
    <w:rsid w:val="00307E51"/>
    <w:rsid w:val="003103EC"/>
    <w:rsid w:val="003144EF"/>
    <w:rsid w:val="00322F74"/>
    <w:rsid w:val="003326BE"/>
    <w:rsid w:val="00332F7D"/>
    <w:rsid w:val="00340073"/>
    <w:rsid w:val="003632FD"/>
    <w:rsid w:val="00372805"/>
    <w:rsid w:val="00373180"/>
    <w:rsid w:val="00375AB9"/>
    <w:rsid w:val="003764D3"/>
    <w:rsid w:val="003821A0"/>
    <w:rsid w:val="00385B04"/>
    <w:rsid w:val="003864CF"/>
    <w:rsid w:val="003948AE"/>
    <w:rsid w:val="003A22A6"/>
    <w:rsid w:val="003A5494"/>
    <w:rsid w:val="003B2510"/>
    <w:rsid w:val="003C2CC4"/>
    <w:rsid w:val="003C3710"/>
    <w:rsid w:val="003C5220"/>
    <w:rsid w:val="003E0EFC"/>
    <w:rsid w:val="003E4A2B"/>
    <w:rsid w:val="003E5F71"/>
    <w:rsid w:val="003E76C2"/>
    <w:rsid w:val="003F1679"/>
    <w:rsid w:val="003F21EB"/>
    <w:rsid w:val="003F4A35"/>
    <w:rsid w:val="003F76E2"/>
    <w:rsid w:val="003F7FDD"/>
    <w:rsid w:val="00402481"/>
    <w:rsid w:val="004042B4"/>
    <w:rsid w:val="00410DC4"/>
    <w:rsid w:val="00412DAE"/>
    <w:rsid w:val="004242E6"/>
    <w:rsid w:val="00431598"/>
    <w:rsid w:val="004319AD"/>
    <w:rsid w:val="00440440"/>
    <w:rsid w:val="004426B8"/>
    <w:rsid w:val="00444432"/>
    <w:rsid w:val="004448C9"/>
    <w:rsid w:val="004451B2"/>
    <w:rsid w:val="00446063"/>
    <w:rsid w:val="00452191"/>
    <w:rsid w:val="004567DB"/>
    <w:rsid w:val="00471860"/>
    <w:rsid w:val="00473483"/>
    <w:rsid w:val="00477026"/>
    <w:rsid w:val="004A744D"/>
    <w:rsid w:val="004B60BD"/>
    <w:rsid w:val="004C3150"/>
    <w:rsid w:val="004C3641"/>
    <w:rsid w:val="004C4390"/>
    <w:rsid w:val="004C4AF7"/>
    <w:rsid w:val="004D2881"/>
    <w:rsid w:val="004D385F"/>
    <w:rsid w:val="004D519A"/>
    <w:rsid w:val="004D5B39"/>
    <w:rsid w:val="004E2CD2"/>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DD"/>
    <w:rsid w:val="00560FF0"/>
    <w:rsid w:val="005614BD"/>
    <w:rsid w:val="00566252"/>
    <w:rsid w:val="0057154F"/>
    <w:rsid w:val="005765F1"/>
    <w:rsid w:val="00580F69"/>
    <w:rsid w:val="00581CA3"/>
    <w:rsid w:val="00587A44"/>
    <w:rsid w:val="0059540B"/>
    <w:rsid w:val="00597730"/>
    <w:rsid w:val="005977EC"/>
    <w:rsid w:val="00597DE7"/>
    <w:rsid w:val="005A4AA2"/>
    <w:rsid w:val="005B34B6"/>
    <w:rsid w:val="005B3C08"/>
    <w:rsid w:val="005B6C8F"/>
    <w:rsid w:val="005B6EC3"/>
    <w:rsid w:val="005D0F74"/>
    <w:rsid w:val="005D2E7D"/>
    <w:rsid w:val="005D4A8F"/>
    <w:rsid w:val="005D561B"/>
    <w:rsid w:val="005D5ECF"/>
    <w:rsid w:val="005D6FF9"/>
    <w:rsid w:val="005F20EA"/>
    <w:rsid w:val="005F468D"/>
    <w:rsid w:val="005F69A3"/>
    <w:rsid w:val="00604CC7"/>
    <w:rsid w:val="00605E14"/>
    <w:rsid w:val="00606F99"/>
    <w:rsid w:val="00615423"/>
    <w:rsid w:val="006165B2"/>
    <w:rsid w:val="00617276"/>
    <w:rsid w:val="0062527B"/>
    <w:rsid w:val="00625D97"/>
    <w:rsid w:val="00625F1C"/>
    <w:rsid w:val="006279E1"/>
    <w:rsid w:val="00630CEB"/>
    <w:rsid w:val="00632264"/>
    <w:rsid w:val="00632393"/>
    <w:rsid w:val="006470BC"/>
    <w:rsid w:val="00651EC2"/>
    <w:rsid w:val="006554D3"/>
    <w:rsid w:val="00667036"/>
    <w:rsid w:val="00673931"/>
    <w:rsid w:val="00673BDB"/>
    <w:rsid w:val="00674341"/>
    <w:rsid w:val="006771B8"/>
    <w:rsid w:val="006843B6"/>
    <w:rsid w:val="0068481F"/>
    <w:rsid w:val="00696F5D"/>
    <w:rsid w:val="00697249"/>
    <w:rsid w:val="006B3947"/>
    <w:rsid w:val="006B4293"/>
    <w:rsid w:val="006B624F"/>
    <w:rsid w:val="006C0C95"/>
    <w:rsid w:val="006C0DE7"/>
    <w:rsid w:val="006C31E3"/>
    <w:rsid w:val="006D18D3"/>
    <w:rsid w:val="006E08CB"/>
    <w:rsid w:val="006E598D"/>
    <w:rsid w:val="006E5CAD"/>
    <w:rsid w:val="0070437D"/>
    <w:rsid w:val="00704CF1"/>
    <w:rsid w:val="00705B04"/>
    <w:rsid w:val="00710D91"/>
    <w:rsid w:val="007236B2"/>
    <w:rsid w:val="007247CB"/>
    <w:rsid w:val="00724992"/>
    <w:rsid w:val="00734820"/>
    <w:rsid w:val="007349DC"/>
    <w:rsid w:val="0074365E"/>
    <w:rsid w:val="00744B55"/>
    <w:rsid w:val="007515FD"/>
    <w:rsid w:val="00752955"/>
    <w:rsid w:val="00760D80"/>
    <w:rsid w:val="00773D16"/>
    <w:rsid w:val="00780C09"/>
    <w:rsid w:val="00780DDF"/>
    <w:rsid w:val="007834E9"/>
    <w:rsid w:val="00787297"/>
    <w:rsid w:val="00787DBC"/>
    <w:rsid w:val="0079019A"/>
    <w:rsid w:val="00792935"/>
    <w:rsid w:val="007A04A1"/>
    <w:rsid w:val="007A1840"/>
    <w:rsid w:val="007C0528"/>
    <w:rsid w:val="007C3D38"/>
    <w:rsid w:val="007D0F35"/>
    <w:rsid w:val="007D4FEB"/>
    <w:rsid w:val="007D5F13"/>
    <w:rsid w:val="007D6146"/>
    <w:rsid w:val="007E0CE7"/>
    <w:rsid w:val="007E381D"/>
    <w:rsid w:val="007F1193"/>
    <w:rsid w:val="007F417F"/>
    <w:rsid w:val="007F7644"/>
    <w:rsid w:val="008010EB"/>
    <w:rsid w:val="008042BD"/>
    <w:rsid w:val="00816624"/>
    <w:rsid w:val="00817B8B"/>
    <w:rsid w:val="00822427"/>
    <w:rsid w:val="00822562"/>
    <w:rsid w:val="00823663"/>
    <w:rsid w:val="00826399"/>
    <w:rsid w:val="00832DDC"/>
    <w:rsid w:val="00850BAC"/>
    <w:rsid w:val="00854A3E"/>
    <w:rsid w:val="00855D08"/>
    <w:rsid w:val="00874344"/>
    <w:rsid w:val="00882155"/>
    <w:rsid w:val="0088233B"/>
    <w:rsid w:val="0088599E"/>
    <w:rsid w:val="00886C37"/>
    <w:rsid w:val="00892D99"/>
    <w:rsid w:val="00893315"/>
    <w:rsid w:val="008A0C93"/>
    <w:rsid w:val="008B62AE"/>
    <w:rsid w:val="008B713B"/>
    <w:rsid w:val="008C04B5"/>
    <w:rsid w:val="008C14FA"/>
    <w:rsid w:val="008C2A49"/>
    <w:rsid w:val="008C7B0B"/>
    <w:rsid w:val="008D4057"/>
    <w:rsid w:val="008E1F19"/>
    <w:rsid w:val="008F2262"/>
    <w:rsid w:val="008F4D2B"/>
    <w:rsid w:val="008F516F"/>
    <w:rsid w:val="008F7736"/>
    <w:rsid w:val="0090019E"/>
    <w:rsid w:val="00901086"/>
    <w:rsid w:val="00901C8A"/>
    <w:rsid w:val="00905886"/>
    <w:rsid w:val="00905A3B"/>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26CC"/>
    <w:rsid w:val="009B3E65"/>
    <w:rsid w:val="009C3006"/>
    <w:rsid w:val="009C3DB9"/>
    <w:rsid w:val="009D44FB"/>
    <w:rsid w:val="009D46E5"/>
    <w:rsid w:val="009D568A"/>
    <w:rsid w:val="009E3A90"/>
    <w:rsid w:val="009F04EC"/>
    <w:rsid w:val="009F2A7C"/>
    <w:rsid w:val="009F3B36"/>
    <w:rsid w:val="00A019B9"/>
    <w:rsid w:val="00A036DC"/>
    <w:rsid w:val="00A12508"/>
    <w:rsid w:val="00A1282B"/>
    <w:rsid w:val="00A13A27"/>
    <w:rsid w:val="00A175B6"/>
    <w:rsid w:val="00A21835"/>
    <w:rsid w:val="00A2374B"/>
    <w:rsid w:val="00A23BD8"/>
    <w:rsid w:val="00A27D6E"/>
    <w:rsid w:val="00A328EC"/>
    <w:rsid w:val="00A33A51"/>
    <w:rsid w:val="00A37705"/>
    <w:rsid w:val="00A41CA6"/>
    <w:rsid w:val="00A43889"/>
    <w:rsid w:val="00A47927"/>
    <w:rsid w:val="00A47FFC"/>
    <w:rsid w:val="00A5442F"/>
    <w:rsid w:val="00A54FF9"/>
    <w:rsid w:val="00A56450"/>
    <w:rsid w:val="00A56765"/>
    <w:rsid w:val="00A675AC"/>
    <w:rsid w:val="00A7581F"/>
    <w:rsid w:val="00A92FB1"/>
    <w:rsid w:val="00A95A0C"/>
    <w:rsid w:val="00AA1241"/>
    <w:rsid w:val="00AA2765"/>
    <w:rsid w:val="00AA77B5"/>
    <w:rsid w:val="00AA7866"/>
    <w:rsid w:val="00AB6C5D"/>
    <w:rsid w:val="00AC3401"/>
    <w:rsid w:val="00AC51A7"/>
    <w:rsid w:val="00AD0038"/>
    <w:rsid w:val="00AD444B"/>
    <w:rsid w:val="00AD5614"/>
    <w:rsid w:val="00AD6C78"/>
    <w:rsid w:val="00AE2EAB"/>
    <w:rsid w:val="00AF5572"/>
    <w:rsid w:val="00AF5F89"/>
    <w:rsid w:val="00AF73CB"/>
    <w:rsid w:val="00B002D6"/>
    <w:rsid w:val="00B03379"/>
    <w:rsid w:val="00B05B51"/>
    <w:rsid w:val="00B14E5A"/>
    <w:rsid w:val="00B15370"/>
    <w:rsid w:val="00B15DDE"/>
    <w:rsid w:val="00B16DA4"/>
    <w:rsid w:val="00B17BEB"/>
    <w:rsid w:val="00B21A3C"/>
    <w:rsid w:val="00B223C0"/>
    <w:rsid w:val="00B234ED"/>
    <w:rsid w:val="00B249B2"/>
    <w:rsid w:val="00B25CA3"/>
    <w:rsid w:val="00B2765A"/>
    <w:rsid w:val="00B3109A"/>
    <w:rsid w:val="00B418AE"/>
    <w:rsid w:val="00B42481"/>
    <w:rsid w:val="00B516ED"/>
    <w:rsid w:val="00B57A6A"/>
    <w:rsid w:val="00B760F1"/>
    <w:rsid w:val="00B7669E"/>
    <w:rsid w:val="00B77DA1"/>
    <w:rsid w:val="00B822A0"/>
    <w:rsid w:val="00B858AE"/>
    <w:rsid w:val="00B85964"/>
    <w:rsid w:val="00B86597"/>
    <w:rsid w:val="00B96250"/>
    <w:rsid w:val="00BA0D55"/>
    <w:rsid w:val="00BA37B3"/>
    <w:rsid w:val="00BA4CC6"/>
    <w:rsid w:val="00BB3493"/>
    <w:rsid w:val="00BB7468"/>
    <w:rsid w:val="00BC188A"/>
    <w:rsid w:val="00BC402E"/>
    <w:rsid w:val="00BD0F48"/>
    <w:rsid w:val="00BE2CD9"/>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2FF3"/>
    <w:rsid w:val="00C86896"/>
    <w:rsid w:val="00C907A8"/>
    <w:rsid w:val="00C93211"/>
    <w:rsid w:val="00C942EC"/>
    <w:rsid w:val="00C949F1"/>
    <w:rsid w:val="00C96047"/>
    <w:rsid w:val="00C9673D"/>
    <w:rsid w:val="00C979D0"/>
    <w:rsid w:val="00CA0818"/>
    <w:rsid w:val="00CA15C8"/>
    <w:rsid w:val="00CA165C"/>
    <w:rsid w:val="00CA2C8F"/>
    <w:rsid w:val="00CA30DA"/>
    <w:rsid w:val="00CA3A24"/>
    <w:rsid w:val="00CA767D"/>
    <w:rsid w:val="00CB1777"/>
    <w:rsid w:val="00CB33E9"/>
    <w:rsid w:val="00CC10A9"/>
    <w:rsid w:val="00CE2BF8"/>
    <w:rsid w:val="00CE484E"/>
    <w:rsid w:val="00CE656F"/>
    <w:rsid w:val="00CF0605"/>
    <w:rsid w:val="00CF0DA8"/>
    <w:rsid w:val="00CF2E25"/>
    <w:rsid w:val="00CF4453"/>
    <w:rsid w:val="00CF5D94"/>
    <w:rsid w:val="00CF7E0F"/>
    <w:rsid w:val="00D034D7"/>
    <w:rsid w:val="00D04BE4"/>
    <w:rsid w:val="00D06FC7"/>
    <w:rsid w:val="00D12565"/>
    <w:rsid w:val="00D14127"/>
    <w:rsid w:val="00D17BB6"/>
    <w:rsid w:val="00D23975"/>
    <w:rsid w:val="00D40F3B"/>
    <w:rsid w:val="00D44E4F"/>
    <w:rsid w:val="00D60B16"/>
    <w:rsid w:val="00D60B21"/>
    <w:rsid w:val="00D60F02"/>
    <w:rsid w:val="00D66E49"/>
    <w:rsid w:val="00D70760"/>
    <w:rsid w:val="00D70D71"/>
    <w:rsid w:val="00D72F74"/>
    <w:rsid w:val="00D81563"/>
    <w:rsid w:val="00D85907"/>
    <w:rsid w:val="00D9073E"/>
    <w:rsid w:val="00D9221D"/>
    <w:rsid w:val="00D958DF"/>
    <w:rsid w:val="00D96DA1"/>
    <w:rsid w:val="00DA0B14"/>
    <w:rsid w:val="00DA51E7"/>
    <w:rsid w:val="00DB0260"/>
    <w:rsid w:val="00DB1C78"/>
    <w:rsid w:val="00DB7D96"/>
    <w:rsid w:val="00DC0C28"/>
    <w:rsid w:val="00DC23FE"/>
    <w:rsid w:val="00DC59E6"/>
    <w:rsid w:val="00DD150B"/>
    <w:rsid w:val="00DD5025"/>
    <w:rsid w:val="00DE1E6A"/>
    <w:rsid w:val="00DE3054"/>
    <w:rsid w:val="00DF1510"/>
    <w:rsid w:val="00E02F1F"/>
    <w:rsid w:val="00E06484"/>
    <w:rsid w:val="00E20A7D"/>
    <w:rsid w:val="00E275D8"/>
    <w:rsid w:val="00E30F6A"/>
    <w:rsid w:val="00E3117C"/>
    <w:rsid w:val="00E375CA"/>
    <w:rsid w:val="00E5364F"/>
    <w:rsid w:val="00E567E8"/>
    <w:rsid w:val="00E6200E"/>
    <w:rsid w:val="00E64679"/>
    <w:rsid w:val="00E65EBC"/>
    <w:rsid w:val="00E6669B"/>
    <w:rsid w:val="00E677FE"/>
    <w:rsid w:val="00E73432"/>
    <w:rsid w:val="00E77B0C"/>
    <w:rsid w:val="00E77FB8"/>
    <w:rsid w:val="00E838B0"/>
    <w:rsid w:val="00E86A7C"/>
    <w:rsid w:val="00E878E1"/>
    <w:rsid w:val="00E87F2C"/>
    <w:rsid w:val="00E91D72"/>
    <w:rsid w:val="00E95278"/>
    <w:rsid w:val="00EA009C"/>
    <w:rsid w:val="00EA2273"/>
    <w:rsid w:val="00EA7C3C"/>
    <w:rsid w:val="00EB2DB3"/>
    <w:rsid w:val="00EC3FBB"/>
    <w:rsid w:val="00EC6B7A"/>
    <w:rsid w:val="00ED13E9"/>
    <w:rsid w:val="00ED341E"/>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28ED"/>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F3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8C2A49"/>
    <w:rPr>
      <w:vertAlign w:val="superscript"/>
    </w:rPr>
  </w:style>
  <w:style w:type="character" w:customStyle="1" w:styleId="FootnoteTextChar">
    <w:name w:val="Footnote Text Char"/>
    <w:basedOn w:val="DefaultParagraphFont"/>
    <w:link w:val="FootnoteText"/>
    <w:rsid w:val="00B418AE"/>
  </w:style>
  <w:style w:type="character" w:styleId="CommentReference">
    <w:name w:val="annotation reference"/>
    <w:basedOn w:val="DefaultParagraphFont"/>
    <w:semiHidden/>
    <w:unhideWhenUsed/>
    <w:rsid w:val="00DA0B1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8C2A49"/>
    <w:rPr>
      <w:vertAlign w:val="superscript"/>
    </w:rPr>
  </w:style>
  <w:style w:type="character" w:customStyle="1" w:styleId="FootnoteTextChar">
    <w:name w:val="Footnote Text Char"/>
    <w:basedOn w:val="DefaultParagraphFont"/>
    <w:link w:val="FootnoteText"/>
    <w:rsid w:val="00B418AE"/>
  </w:style>
  <w:style w:type="character" w:styleId="CommentReference">
    <w:name w:val="annotation reference"/>
    <w:basedOn w:val="DefaultParagraphFont"/>
    <w:semiHidden/>
    <w:unhideWhenUsed/>
    <w:rsid w:val="00DA0B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8001">
      <w:bodyDiv w:val="1"/>
      <w:marLeft w:val="0"/>
      <w:marRight w:val="0"/>
      <w:marTop w:val="0"/>
      <w:marBottom w:val="0"/>
      <w:divBdr>
        <w:top w:val="none" w:sz="0" w:space="0" w:color="auto"/>
        <w:left w:val="none" w:sz="0" w:space="0" w:color="auto"/>
        <w:bottom w:val="none" w:sz="0" w:space="0" w:color="auto"/>
        <w:right w:val="none" w:sz="0" w:space="0" w:color="auto"/>
      </w:divBdr>
    </w:div>
    <w:div w:id="123739789">
      <w:bodyDiv w:val="1"/>
      <w:marLeft w:val="0"/>
      <w:marRight w:val="0"/>
      <w:marTop w:val="0"/>
      <w:marBottom w:val="0"/>
      <w:divBdr>
        <w:top w:val="none" w:sz="0" w:space="0" w:color="auto"/>
        <w:left w:val="none" w:sz="0" w:space="0" w:color="auto"/>
        <w:bottom w:val="none" w:sz="0" w:space="0" w:color="auto"/>
        <w:right w:val="none" w:sz="0" w:space="0" w:color="auto"/>
      </w:divBdr>
      <w:divsChild>
        <w:div w:id="1794244902">
          <w:marLeft w:val="0"/>
          <w:marRight w:val="0"/>
          <w:marTop w:val="0"/>
          <w:marBottom w:val="0"/>
          <w:divBdr>
            <w:top w:val="none" w:sz="0" w:space="0" w:color="auto"/>
            <w:left w:val="none" w:sz="0" w:space="0" w:color="auto"/>
            <w:bottom w:val="none" w:sz="0" w:space="0" w:color="auto"/>
            <w:right w:val="none" w:sz="0" w:space="0" w:color="auto"/>
          </w:divBdr>
          <w:divsChild>
            <w:div w:id="1162429988">
              <w:marLeft w:val="0"/>
              <w:marRight w:val="0"/>
              <w:marTop w:val="0"/>
              <w:marBottom w:val="0"/>
              <w:divBdr>
                <w:top w:val="none" w:sz="0" w:space="0" w:color="auto"/>
                <w:left w:val="none" w:sz="0" w:space="0" w:color="auto"/>
                <w:bottom w:val="none" w:sz="0" w:space="0" w:color="auto"/>
                <w:right w:val="none" w:sz="0" w:space="0" w:color="auto"/>
              </w:divBdr>
              <w:divsChild>
                <w:div w:id="21439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3248">
      <w:bodyDiv w:val="1"/>
      <w:marLeft w:val="0"/>
      <w:marRight w:val="0"/>
      <w:marTop w:val="0"/>
      <w:marBottom w:val="0"/>
      <w:divBdr>
        <w:top w:val="none" w:sz="0" w:space="0" w:color="auto"/>
        <w:left w:val="none" w:sz="0" w:space="0" w:color="auto"/>
        <w:bottom w:val="none" w:sz="0" w:space="0" w:color="auto"/>
        <w:right w:val="none" w:sz="0" w:space="0" w:color="auto"/>
      </w:divBdr>
    </w:div>
    <w:div w:id="171260057">
      <w:bodyDiv w:val="1"/>
      <w:marLeft w:val="0"/>
      <w:marRight w:val="0"/>
      <w:marTop w:val="0"/>
      <w:marBottom w:val="0"/>
      <w:divBdr>
        <w:top w:val="none" w:sz="0" w:space="0" w:color="auto"/>
        <w:left w:val="none" w:sz="0" w:space="0" w:color="auto"/>
        <w:bottom w:val="none" w:sz="0" w:space="0" w:color="auto"/>
        <w:right w:val="none" w:sz="0" w:space="0" w:color="auto"/>
      </w:divBdr>
    </w:div>
    <w:div w:id="249239923">
      <w:bodyDiv w:val="1"/>
      <w:marLeft w:val="0"/>
      <w:marRight w:val="0"/>
      <w:marTop w:val="0"/>
      <w:marBottom w:val="0"/>
      <w:divBdr>
        <w:top w:val="none" w:sz="0" w:space="0" w:color="auto"/>
        <w:left w:val="none" w:sz="0" w:space="0" w:color="auto"/>
        <w:bottom w:val="none" w:sz="0" w:space="0" w:color="auto"/>
        <w:right w:val="none" w:sz="0" w:space="0" w:color="auto"/>
      </w:divBdr>
      <w:divsChild>
        <w:div w:id="506209600">
          <w:marLeft w:val="0"/>
          <w:marRight w:val="0"/>
          <w:marTop w:val="0"/>
          <w:marBottom w:val="0"/>
          <w:divBdr>
            <w:top w:val="none" w:sz="0" w:space="0" w:color="auto"/>
            <w:left w:val="none" w:sz="0" w:space="0" w:color="auto"/>
            <w:bottom w:val="none" w:sz="0" w:space="0" w:color="auto"/>
            <w:right w:val="none" w:sz="0" w:space="0" w:color="auto"/>
          </w:divBdr>
          <w:divsChild>
            <w:div w:id="317732281">
              <w:marLeft w:val="0"/>
              <w:marRight w:val="0"/>
              <w:marTop w:val="0"/>
              <w:marBottom w:val="0"/>
              <w:divBdr>
                <w:top w:val="none" w:sz="0" w:space="0" w:color="auto"/>
                <w:left w:val="none" w:sz="0" w:space="0" w:color="auto"/>
                <w:bottom w:val="none" w:sz="0" w:space="0" w:color="auto"/>
                <w:right w:val="none" w:sz="0" w:space="0" w:color="auto"/>
              </w:divBdr>
              <w:divsChild>
                <w:div w:id="13920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9634">
      <w:bodyDiv w:val="1"/>
      <w:marLeft w:val="0"/>
      <w:marRight w:val="0"/>
      <w:marTop w:val="0"/>
      <w:marBottom w:val="0"/>
      <w:divBdr>
        <w:top w:val="none" w:sz="0" w:space="0" w:color="auto"/>
        <w:left w:val="none" w:sz="0" w:space="0" w:color="auto"/>
        <w:bottom w:val="none" w:sz="0" w:space="0" w:color="auto"/>
        <w:right w:val="none" w:sz="0" w:space="0" w:color="auto"/>
      </w:divBdr>
      <w:divsChild>
        <w:div w:id="155730395">
          <w:marLeft w:val="0"/>
          <w:marRight w:val="0"/>
          <w:marTop w:val="0"/>
          <w:marBottom w:val="0"/>
          <w:divBdr>
            <w:top w:val="none" w:sz="0" w:space="0" w:color="auto"/>
            <w:left w:val="none" w:sz="0" w:space="0" w:color="auto"/>
            <w:bottom w:val="none" w:sz="0" w:space="0" w:color="auto"/>
            <w:right w:val="none" w:sz="0" w:space="0" w:color="auto"/>
          </w:divBdr>
          <w:divsChild>
            <w:div w:id="1131509131">
              <w:marLeft w:val="0"/>
              <w:marRight w:val="0"/>
              <w:marTop w:val="0"/>
              <w:marBottom w:val="0"/>
              <w:divBdr>
                <w:top w:val="none" w:sz="0" w:space="0" w:color="auto"/>
                <w:left w:val="none" w:sz="0" w:space="0" w:color="auto"/>
                <w:bottom w:val="none" w:sz="0" w:space="0" w:color="auto"/>
                <w:right w:val="none" w:sz="0" w:space="0" w:color="auto"/>
              </w:divBdr>
              <w:divsChild>
                <w:div w:id="8234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69161">
      <w:bodyDiv w:val="1"/>
      <w:marLeft w:val="0"/>
      <w:marRight w:val="0"/>
      <w:marTop w:val="0"/>
      <w:marBottom w:val="0"/>
      <w:divBdr>
        <w:top w:val="none" w:sz="0" w:space="0" w:color="auto"/>
        <w:left w:val="none" w:sz="0" w:space="0" w:color="auto"/>
        <w:bottom w:val="none" w:sz="0" w:space="0" w:color="auto"/>
        <w:right w:val="none" w:sz="0" w:space="0" w:color="auto"/>
      </w:divBdr>
      <w:divsChild>
        <w:div w:id="553391924">
          <w:marLeft w:val="0"/>
          <w:marRight w:val="0"/>
          <w:marTop w:val="0"/>
          <w:marBottom w:val="0"/>
          <w:divBdr>
            <w:top w:val="none" w:sz="0" w:space="0" w:color="auto"/>
            <w:left w:val="none" w:sz="0" w:space="0" w:color="auto"/>
            <w:bottom w:val="none" w:sz="0" w:space="0" w:color="auto"/>
            <w:right w:val="none" w:sz="0" w:space="0" w:color="auto"/>
          </w:divBdr>
          <w:divsChild>
            <w:div w:id="1263998885">
              <w:marLeft w:val="0"/>
              <w:marRight w:val="0"/>
              <w:marTop w:val="0"/>
              <w:marBottom w:val="0"/>
              <w:divBdr>
                <w:top w:val="none" w:sz="0" w:space="0" w:color="auto"/>
                <w:left w:val="none" w:sz="0" w:space="0" w:color="auto"/>
                <w:bottom w:val="none" w:sz="0" w:space="0" w:color="auto"/>
                <w:right w:val="none" w:sz="0" w:space="0" w:color="auto"/>
              </w:divBdr>
              <w:divsChild>
                <w:div w:id="1199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3743">
      <w:bodyDiv w:val="1"/>
      <w:marLeft w:val="0"/>
      <w:marRight w:val="0"/>
      <w:marTop w:val="0"/>
      <w:marBottom w:val="0"/>
      <w:divBdr>
        <w:top w:val="none" w:sz="0" w:space="0" w:color="auto"/>
        <w:left w:val="none" w:sz="0" w:space="0" w:color="auto"/>
        <w:bottom w:val="none" w:sz="0" w:space="0" w:color="auto"/>
        <w:right w:val="none" w:sz="0" w:space="0" w:color="auto"/>
      </w:divBdr>
    </w:div>
    <w:div w:id="988099833">
      <w:bodyDiv w:val="1"/>
      <w:marLeft w:val="0"/>
      <w:marRight w:val="0"/>
      <w:marTop w:val="0"/>
      <w:marBottom w:val="0"/>
      <w:divBdr>
        <w:top w:val="none" w:sz="0" w:space="0" w:color="auto"/>
        <w:left w:val="none" w:sz="0" w:space="0" w:color="auto"/>
        <w:bottom w:val="none" w:sz="0" w:space="0" w:color="auto"/>
        <w:right w:val="none" w:sz="0" w:space="0" w:color="auto"/>
      </w:divBdr>
      <w:divsChild>
        <w:div w:id="684524432">
          <w:marLeft w:val="0"/>
          <w:marRight w:val="0"/>
          <w:marTop w:val="0"/>
          <w:marBottom w:val="0"/>
          <w:divBdr>
            <w:top w:val="none" w:sz="0" w:space="0" w:color="auto"/>
            <w:left w:val="none" w:sz="0" w:space="0" w:color="auto"/>
            <w:bottom w:val="none" w:sz="0" w:space="0" w:color="auto"/>
            <w:right w:val="none" w:sz="0" w:space="0" w:color="auto"/>
          </w:divBdr>
          <w:divsChild>
            <w:div w:id="779228379">
              <w:marLeft w:val="0"/>
              <w:marRight w:val="0"/>
              <w:marTop w:val="0"/>
              <w:marBottom w:val="0"/>
              <w:divBdr>
                <w:top w:val="none" w:sz="0" w:space="0" w:color="auto"/>
                <w:left w:val="none" w:sz="0" w:space="0" w:color="auto"/>
                <w:bottom w:val="none" w:sz="0" w:space="0" w:color="auto"/>
                <w:right w:val="none" w:sz="0" w:space="0" w:color="auto"/>
              </w:divBdr>
              <w:divsChild>
                <w:div w:id="10938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6126">
      <w:bodyDiv w:val="1"/>
      <w:marLeft w:val="0"/>
      <w:marRight w:val="0"/>
      <w:marTop w:val="0"/>
      <w:marBottom w:val="0"/>
      <w:divBdr>
        <w:top w:val="none" w:sz="0" w:space="0" w:color="auto"/>
        <w:left w:val="none" w:sz="0" w:space="0" w:color="auto"/>
        <w:bottom w:val="none" w:sz="0" w:space="0" w:color="auto"/>
        <w:right w:val="none" w:sz="0" w:space="0" w:color="auto"/>
      </w:divBdr>
      <w:divsChild>
        <w:div w:id="1727410528">
          <w:marLeft w:val="0"/>
          <w:marRight w:val="0"/>
          <w:marTop w:val="0"/>
          <w:marBottom w:val="0"/>
          <w:divBdr>
            <w:top w:val="none" w:sz="0" w:space="0" w:color="auto"/>
            <w:left w:val="none" w:sz="0" w:space="0" w:color="auto"/>
            <w:bottom w:val="none" w:sz="0" w:space="0" w:color="auto"/>
            <w:right w:val="none" w:sz="0" w:space="0" w:color="auto"/>
          </w:divBdr>
          <w:divsChild>
            <w:div w:id="2020615130">
              <w:marLeft w:val="0"/>
              <w:marRight w:val="0"/>
              <w:marTop w:val="0"/>
              <w:marBottom w:val="0"/>
              <w:divBdr>
                <w:top w:val="none" w:sz="0" w:space="0" w:color="auto"/>
                <w:left w:val="none" w:sz="0" w:space="0" w:color="auto"/>
                <w:bottom w:val="none" w:sz="0" w:space="0" w:color="auto"/>
                <w:right w:val="none" w:sz="0" w:space="0" w:color="auto"/>
              </w:divBdr>
              <w:divsChild>
                <w:div w:id="10061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3417">
      <w:bodyDiv w:val="1"/>
      <w:marLeft w:val="0"/>
      <w:marRight w:val="0"/>
      <w:marTop w:val="0"/>
      <w:marBottom w:val="0"/>
      <w:divBdr>
        <w:top w:val="none" w:sz="0" w:space="0" w:color="auto"/>
        <w:left w:val="none" w:sz="0" w:space="0" w:color="auto"/>
        <w:bottom w:val="none" w:sz="0" w:space="0" w:color="auto"/>
        <w:right w:val="none" w:sz="0" w:space="0" w:color="auto"/>
      </w:divBdr>
      <w:divsChild>
        <w:div w:id="1428043028">
          <w:marLeft w:val="0"/>
          <w:marRight w:val="0"/>
          <w:marTop w:val="0"/>
          <w:marBottom w:val="0"/>
          <w:divBdr>
            <w:top w:val="none" w:sz="0" w:space="0" w:color="auto"/>
            <w:left w:val="none" w:sz="0" w:space="0" w:color="auto"/>
            <w:bottom w:val="none" w:sz="0" w:space="0" w:color="auto"/>
            <w:right w:val="none" w:sz="0" w:space="0" w:color="auto"/>
          </w:divBdr>
          <w:divsChild>
            <w:div w:id="248082724">
              <w:marLeft w:val="0"/>
              <w:marRight w:val="0"/>
              <w:marTop w:val="0"/>
              <w:marBottom w:val="0"/>
              <w:divBdr>
                <w:top w:val="none" w:sz="0" w:space="0" w:color="auto"/>
                <w:left w:val="none" w:sz="0" w:space="0" w:color="auto"/>
                <w:bottom w:val="none" w:sz="0" w:space="0" w:color="auto"/>
                <w:right w:val="none" w:sz="0" w:space="0" w:color="auto"/>
              </w:divBdr>
              <w:divsChild>
                <w:div w:id="22679884">
                  <w:marLeft w:val="0"/>
                  <w:marRight w:val="0"/>
                  <w:marTop w:val="0"/>
                  <w:marBottom w:val="0"/>
                  <w:divBdr>
                    <w:top w:val="none" w:sz="0" w:space="0" w:color="auto"/>
                    <w:left w:val="none" w:sz="0" w:space="0" w:color="auto"/>
                    <w:bottom w:val="none" w:sz="0" w:space="0" w:color="auto"/>
                    <w:right w:val="none" w:sz="0" w:space="0" w:color="auto"/>
                  </w:divBdr>
                </w:div>
              </w:divsChild>
            </w:div>
            <w:div w:id="67387032">
              <w:marLeft w:val="0"/>
              <w:marRight w:val="0"/>
              <w:marTop w:val="0"/>
              <w:marBottom w:val="0"/>
              <w:divBdr>
                <w:top w:val="none" w:sz="0" w:space="0" w:color="auto"/>
                <w:left w:val="none" w:sz="0" w:space="0" w:color="auto"/>
                <w:bottom w:val="none" w:sz="0" w:space="0" w:color="auto"/>
                <w:right w:val="none" w:sz="0" w:space="0" w:color="auto"/>
              </w:divBdr>
              <w:divsChild>
                <w:div w:id="607854047">
                  <w:marLeft w:val="0"/>
                  <w:marRight w:val="0"/>
                  <w:marTop w:val="0"/>
                  <w:marBottom w:val="0"/>
                  <w:divBdr>
                    <w:top w:val="none" w:sz="0" w:space="0" w:color="auto"/>
                    <w:left w:val="none" w:sz="0" w:space="0" w:color="auto"/>
                    <w:bottom w:val="none" w:sz="0" w:space="0" w:color="auto"/>
                    <w:right w:val="none" w:sz="0" w:space="0" w:color="auto"/>
                  </w:divBdr>
                </w:div>
              </w:divsChild>
            </w:div>
            <w:div w:id="1877042719">
              <w:marLeft w:val="0"/>
              <w:marRight w:val="0"/>
              <w:marTop w:val="0"/>
              <w:marBottom w:val="0"/>
              <w:divBdr>
                <w:top w:val="none" w:sz="0" w:space="0" w:color="auto"/>
                <w:left w:val="none" w:sz="0" w:space="0" w:color="auto"/>
                <w:bottom w:val="none" w:sz="0" w:space="0" w:color="auto"/>
                <w:right w:val="none" w:sz="0" w:space="0" w:color="auto"/>
              </w:divBdr>
              <w:divsChild>
                <w:div w:id="19801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6948">
      <w:bodyDiv w:val="1"/>
      <w:marLeft w:val="0"/>
      <w:marRight w:val="0"/>
      <w:marTop w:val="0"/>
      <w:marBottom w:val="0"/>
      <w:divBdr>
        <w:top w:val="none" w:sz="0" w:space="0" w:color="auto"/>
        <w:left w:val="none" w:sz="0" w:space="0" w:color="auto"/>
        <w:bottom w:val="none" w:sz="0" w:space="0" w:color="auto"/>
        <w:right w:val="none" w:sz="0" w:space="0" w:color="auto"/>
      </w:divBdr>
      <w:divsChild>
        <w:div w:id="305163791">
          <w:marLeft w:val="0"/>
          <w:marRight w:val="0"/>
          <w:marTop w:val="0"/>
          <w:marBottom w:val="0"/>
          <w:divBdr>
            <w:top w:val="none" w:sz="0" w:space="0" w:color="auto"/>
            <w:left w:val="none" w:sz="0" w:space="0" w:color="auto"/>
            <w:bottom w:val="none" w:sz="0" w:space="0" w:color="auto"/>
            <w:right w:val="none" w:sz="0" w:space="0" w:color="auto"/>
          </w:divBdr>
          <w:divsChild>
            <w:div w:id="983508972">
              <w:marLeft w:val="0"/>
              <w:marRight w:val="0"/>
              <w:marTop w:val="0"/>
              <w:marBottom w:val="0"/>
              <w:divBdr>
                <w:top w:val="none" w:sz="0" w:space="0" w:color="auto"/>
                <w:left w:val="none" w:sz="0" w:space="0" w:color="auto"/>
                <w:bottom w:val="none" w:sz="0" w:space="0" w:color="auto"/>
                <w:right w:val="none" w:sz="0" w:space="0" w:color="auto"/>
              </w:divBdr>
              <w:divsChild>
                <w:div w:id="2420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175">
      <w:bodyDiv w:val="1"/>
      <w:marLeft w:val="0"/>
      <w:marRight w:val="0"/>
      <w:marTop w:val="0"/>
      <w:marBottom w:val="0"/>
      <w:divBdr>
        <w:top w:val="none" w:sz="0" w:space="0" w:color="auto"/>
        <w:left w:val="none" w:sz="0" w:space="0" w:color="auto"/>
        <w:bottom w:val="none" w:sz="0" w:space="0" w:color="auto"/>
        <w:right w:val="none" w:sz="0" w:space="0" w:color="auto"/>
      </w:divBdr>
      <w:divsChild>
        <w:div w:id="1547259318">
          <w:marLeft w:val="0"/>
          <w:marRight w:val="0"/>
          <w:marTop w:val="0"/>
          <w:marBottom w:val="0"/>
          <w:divBdr>
            <w:top w:val="none" w:sz="0" w:space="0" w:color="auto"/>
            <w:left w:val="none" w:sz="0" w:space="0" w:color="auto"/>
            <w:bottom w:val="none" w:sz="0" w:space="0" w:color="auto"/>
            <w:right w:val="none" w:sz="0" w:space="0" w:color="auto"/>
          </w:divBdr>
          <w:divsChild>
            <w:div w:id="181869115">
              <w:marLeft w:val="0"/>
              <w:marRight w:val="0"/>
              <w:marTop w:val="0"/>
              <w:marBottom w:val="0"/>
              <w:divBdr>
                <w:top w:val="none" w:sz="0" w:space="0" w:color="auto"/>
                <w:left w:val="none" w:sz="0" w:space="0" w:color="auto"/>
                <w:bottom w:val="none" w:sz="0" w:space="0" w:color="auto"/>
                <w:right w:val="none" w:sz="0" w:space="0" w:color="auto"/>
              </w:divBdr>
              <w:divsChild>
                <w:div w:id="12048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9623">
      <w:bodyDiv w:val="1"/>
      <w:marLeft w:val="0"/>
      <w:marRight w:val="0"/>
      <w:marTop w:val="0"/>
      <w:marBottom w:val="0"/>
      <w:divBdr>
        <w:top w:val="none" w:sz="0" w:space="0" w:color="auto"/>
        <w:left w:val="none" w:sz="0" w:space="0" w:color="auto"/>
        <w:bottom w:val="none" w:sz="0" w:space="0" w:color="auto"/>
        <w:right w:val="none" w:sz="0" w:space="0" w:color="auto"/>
      </w:divBdr>
      <w:divsChild>
        <w:div w:id="1030298549">
          <w:marLeft w:val="0"/>
          <w:marRight w:val="0"/>
          <w:marTop w:val="0"/>
          <w:marBottom w:val="0"/>
          <w:divBdr>
            <w:top w:val="none" w:sz="0" w:space="0" w:color="auto"/>
            <w:left w:val="none" w:sz="0" w:space="0" w:color="auto"/>
            <w:bottom w:val="none" w:sz="0" w:space="0" w:color="auto"/>
            <w:right w:val="none" w:sz="0" w:space="0" w:color="auto"/>
          </w:divBdr>
          <w:divsChild>
            <w:div w:id="1260869553">
              <w:marLeft w:val="0"/>
              <w:marRight w:val="0"/>
              <w:marTop w:val="0"/>
              <w:marBottom w:val="0"/>
              <w:divBdr>
                <w:top w:val="none" w:sz="0" w:space="0" w:color="auto"/>
                <w:left w:val="none" w:sz="0" w:space="0" w:color="auto"/>
                <w:bottom w:val="none" w:sz="0" w:space="0" w:color="auto"/>
                <w:right w:val="none" w:sz="0" w:space="0" w:color="auto"/>
              </w:divBdr>
              <w:divsChild>
                <w:div w:id="42626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7844">
      <w:bodyDiv w:val="1"/>
      <w:marLeft w:val="0"/>
      <w:marRight w:val="0"/>
      <w:marTop w:val="0"/>
      <w:marBottom w:val="0"/>
      <w:divBdr>
        <w:top w:val="none" w:sz="0" w:space="0" w:color="auto"/>
        <w:left w:val="none" w:sz="0" w:space="0" w:color="auto"/>
        <w:bottom w:val="none" w:sz="0" w:space="0" w:color="auto"/>
        <w:right w:val="none" w:sz="0" w:space="0" w:color="auto"/>
      </w:divBdr>
      <w:divsChild>
        <w:div w:id="858272137">
          <w:marLeft w:val="0"/>
          <w:marRight w:val="0"/>
          <w:marTop w:val="0"/>
          <w:marBottom w:val="0"/>
          <w:divBdr>
            <w:top w:val="none" w:sz="0" w:space="0" w:color="auto"/>
            <w:left w:val="none" w:sz="0" w:space="0" w:color="auto"/>
            <w:bottom w:val="none" w:sz="0" w:space="0" w:color="auto"/>
            <w:right w:val="none" w:sz="0" w:space="0" w:color="auto"/>
          </w:divBdr>
          <w:divsChild>
            <w:div w:id="1261838476">
              <w:marLeft w:val="0"/>
              <w:marRight w:val="0"/>
              <w:marTop w:val="0"/>
              <w:marBottom w:val="0"/>
              <w:divBdr>
                <w:top w:val="none" w:sz="0" w:space="0" w:color="auto"/>
                <w:left w:val="none" w:sz="0" w:space="0" w:color="auto"/>
                <w:bottom w:val="none" w:sz="0" w:space="0" w:color="auto"/>
                <w:right w:val="none" w:sz="0" w:space="0" w:color="auto"/>
              </w:divBdr>
              <w:divsChild>
                <w:div w:id="21174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4025">
      <w:bodyDiv w:val="1"/>
      <w:marLeft w:val="0"/>
      <w:marRight w:val="0"/>
      <w:marTop w:val="0"/>
      <w:marBottom w:val="0"/>
      <w:divBdr>
        <w:top w:val="none" w:sz="0" w:space="0" w:color="auto"/>
        <w:left w:val="none" w:sz="0" w:space="0" w:color="auto"/>
        <w:bottom w:val="none" w:sz="0" w:space="0" w:color="auto"/>
        <w:right w:val="none" w:sz="0" w:space="0" w:color="auto"/>
      </w:divBdr>
      <w:divsChild>
        <w:div w:id="1239710565">
          <w:marLeft w:val="0"/>
          <w:marRight w:val="0"/>
          <w:marTop w:val="0"/>
          <w:marBottom w:val="0"/>
          <w:divBdr>
            <w:top w:val="none" w:sz="0" w:space="0" w:color="auto"/>
            <w:left w:val="none" w:sz="0" w:space="0" w:color="auto"/>
            <w:bottom w:val="none" w:sz="0" w:space="0" w:color="auto"/>
            <w:right w:val="none" w:sz="0" w:space="0" w:color="auto"/>
          </w:divBdr>
          <w:divsChild>
            <w:div w:id="2116703737">
              <w:marLeft w:val="0"/>
              <w:marRight w:val="0"/>
              <w:marTop w:val="0"/>
              <w:marBottom w:val="0"/>
              <w:divBdr>
                <w:top w:val="none" w:sz="0" w:space="0" w:color="auto"/>
                <w:left w:val="none" w:sz="0" w:space="0" w:color="auto"/>
                <w:bottom w:val="none" w:sz="0" w:space="0" w:color="auto"/>
                <w:right w:val="none" w:sz="0" w:space="0" w:color="auto"/>
              </w:divBdr>
              <w:divsChild>
                <w:div w:id="18915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073EC-BA63-445F-8F0E-C0034D74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745</Words>
  <Characters>4738</Characters>
  <Application>Microsoft Office Word</Application>
  <DocSecurity>0</DocSecurity>
  <Lines>100</Lines>
  <Paragraphs>49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Cathy Fisher</dc:creator>
  <cp:lastModifiedBy>Cathy Fisher</cp:lastModifiedBy>
  <cp:revision>2</cp:revision>
  <cp:lastPrinted>2020-06-22T14:08:00Z</cp:lastPrinted>
  <dcterms:created xsi:type="dcterms:W3CDTF">2020-06-24T14:10:00Z</dcterms:created>
  <dcterms:modified xsi:type="dcterms:W3CDTF">2020-06-24T14:10:00Z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20200147-TP</vt:lpwstr>
  </property>
  <property fmtid="{D5CDD505-2E9C-101B-9397-08002B2CF9AE}" pid="3" name="MasterDocument">
    <vt:bool>false</vt:bool>
  </property>
</Properties>
</file>