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43B178E9"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745C8B12" w14:textId="77777777" w:rsidR="007C0528" w:rsidRDefault="007C0528" w:rsidP="00532DFB">
            <w:pPr>
              <w:pStyle w:val="MastHeadState"/>
            </w:pPr>
            <w:bookmarkStart w:id="0" w:name="_GoBack"/>
            <w:bookmarkEnd w:id="0"/>
            <w:r>
              <w:t>State of Florida</w:t>
            </w:r>
          </w:p>
          <w:p w14:paraId="1D50345E" w14:textId="77777777" w:rsidR="007C0528" w:rsidRDefault="00072CCA">
            <w:pPr>
              <w:jc w:val="center"/>
            </w:pPr>
            <w:r>
              <w:rPr>
                <w:noProof/>
              </w:rPr>
              <w:drawing>
                <wp:inline distT="0" distB="0" distL="0" distR="0" wp14:anchorId="0F33AAF4" wp14:editId="4C320C56">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28F5B352"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74ED1AF7" w14:textId="77777777" w:rsidR="007C0528" w:rsidRDefault="007C0528">
            <w:pPr>
              <w:pStyle w:val="MastHeadPSC"/>
            </w:pPr>
            <w:r>
              <w:t>Public Service Commission</w:t>
            </w:r>
          </w:p>
          <w:p w14:paraId="47306F30" w14:textId="77777777" w:rsidR="007C0528" w:rsidRDefault="007C0528">
            <w:pPr>
              <w:pStyle w:val="MastHeadAddress"/>
            </w:pPr>
            <w:r>
              <w:t>Capital Circle Office Center ● 2540 Shumard Oak Boulevard</w:t>
            </w:r>
            <w:r>
              <w:br/>
              <w:t>Tallahassee, Florida 32399-0850</w:t>
            </w:r>
          </w:p>
          <w:p w14:paraId="28266F36" w14:textId="77777777" w:rsidR="007C0528" w:rsidRDefault="007C0528">
            <w:pPr>
              <w:pStyle w:val="MastHeadMemorandum"/>
            </w:pPr>
            <w:r>
              <w:t>-M-E-M-O-R-A-N-D-U-M-</w:t>
            </w:r>
          </w:p>
          <w:p w14:paraId="65853E3C" w14:textId="77777777" w:rsidR="007C0528" w:rsidRDefault="007C0528">
            <w:pPr>
              <w:pStyle w:val="MemoHeading"/>
            </w:pPr>
          </w:p>
        </w:tc>
      </w:tr>
      <w:tr w:rsidR="007C0528" w14:paraId="3BA67197"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0A7858D1"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5F3F90E" w14:textId="77777777" w:rsidR="007C0528" w:rsidRDefault="00E8461E">
            <w:pPr>
              <w:pStyle w:val="MemoHeading"/>
            </w:pPr>
            <w:bookmarkStart w:id="1" w:name="FilingDate"/>
            <w:r>
              <w:t>June</w:t>
            </w:r>
            <w:r w:rsidR="003A3B00">
              <w:t xml:space="preserve"> 24, 2020</w:t>
            </w:r>
            <w:bookmarkEnd w:id="1"/>
          </w:p>
        </w:tc>
      </w:tr>
      <w:tr w:rsidR="007C0528" w14:paraId="6F69D588" w14:textId="77777777">
        <w:tc>
          <w:tcPr>
            <w:tcW w:w="1254" w:type="dxa"/>
            <w:tcBorders>
              <w:top w:val="nil"/>
              <w:left w:val="nil"/>
              <w:bottom w:val="nil"/>
              <w:right w:val="nil"/>
            </w:tcBorders>
            <w:shd w:val="clear" w:color="auto" w:fill="auto"/>
            <w:tcMar>
              <w:top w:w="288" w:type="dxa"/>
              <w:bottom w:w="0" w:type="dxa"/>
              <w:right w:w="0" w:type="dxa"/>
            </w:tcMar>
          </w:tcPr>
          <w:p w14:paraId="7B609015"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42847ADA" w14:textId="77777777" w:rsidR="007C0528" w:rsidRDefault="007C0528" w:rsidP="0093658B">
            <w:pPr>
              <w:pStyle w:val="MemoHeading"/>
            </w:pPr>
            <w:r>
              <w:t>Office of Commission Clerk (</w:t>
            </w:r>
            <w:r w:rsidR="004E69B5">
              <w:t>Teitzman</w:t>
            </w:r>
            <w:r>
              <w:t>)</w:t>
            </w:r>
          </w:p>
        </w:tc>
      </w:tr>
      <w:tr w:rsidR="007C0528" w14:paraId="40DD7C99" w14:textId="77777777">
        <w:tc>
          <w:tcPr>
            <w:tcW w:w="1254" w:type="dxa"/>
            <w:tcBorders>
              <w:top w:val="nil"/>
              <w:left w:val="nil"/>
              <w:bottom w:val="nil"/>
              <w:right w:val="nil"/>
            </w:tcBorders>
            <w:shd w:val="clear" w:color="auto" w:fill="auto"/>
            <w:tcMar>
              <w:top w:w="288" w:type="dxa"/>
              <w:right w:w="0" w:type="dxa"/>
            </w:tcMar>
          </w:tcPr>
          <w:p w14:paraId="4A31C887"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72E6C246" w14:textId="77777777" w:rsidR="003A3B00" w:rsidRDefault="006347D9">
            <w:pPr>
              <w:pStyle w:val="MemoHeading"/>
            </w:pPr>
            <w:bookmarkStart w:id="2" w:name="From"/>
            <w:r>
              <w:t>Division of Economics (Hampson</w:t>
            </w:r>
            <w:r w:rsidR="003A3B00">
              <w:t>, Guffey)</w:t>
            </w:r>
          </w:p>
          <w:p w14:paraId="19B7F277" w14:textId="77777777" w:rsidR="007C0528" w:rsidRDefault="003A3B00">
            <w:pPr>
              <w:pStyle w:val="MemoHeading"/>
            </w:pPr>
            <w:r>
              <w:t>Office of the General Counsel (Brownless)</w:t>
            </w:r>
            <w:bookmarkEnd w:id="2"/>
          </w:p>
        </w:tc>
      </w:tr>
      <w:tr w:rsidR="007C0528" w14:paraId="56A63BE6" w14:textId="77777777">
        <w:tc>
          <w:tcPr>
            <w:tcW w:w="1254" w:type="dxa"/>
            <w:tcBorders>
              <w:top w:val="nil"/>
              <w:left w:val="nil"/>
              <w:bottom w:val="nil"/>
              <w:right w:val="nil"/>
            </w:tcBorders>
            <w:shd w:val="clear" w:color="auto" w:fill="auto"/>
            <w:tcMar>
              <w:top w:w="288" w:type="dxa"/>
              <w:right w:w="0" w:type="dxa"/>
            </w:tcMar>
          </w:tcPr>
          <w:p w14:paraId="0C01CA5C"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3BBCD78E" w14:textId="77777777" w:rsidR="007C0528" w:rsidRDefault="003A3B00">
            <w:pPr>
              <w:pStyle w:val="MemoHeadingRe"/>
            </w:pPr>
            <w:bookmarkStart w:id="3" w:name="Re"/>
            <w:r>
              <w:t>Docket No. 20200116-EU – Joint petition for approval of extension of territorial agreement and first amendment to territorial agreement, by Tampa Electric Company and Sumter Electric Cooperative, Inc.</w:t>
            </w:r>
            <w:bookmarkEnd w:id="3"/>
          </w:p>
        </w:tc>
      </w:tr>
      <w:tr w:rsidR="007C0528" w14:paraId="3962604F" w14:textId="77777777">
        <w:tc>
          <w:tcPr>
            <w:tcW w:w="1254" w:type="dxa"/>
            <w:tcBorders>
              <w:top w:val="nil"/>
              <w:left w:val="nil"/>
              <w:bottom w:val="nil"/>
              <w:right w:val="nil"/>
            </w:tcBorders>
            <w:shd w:val="clear" w:color="auto" w:fill="auto"/>
            <w:tcMar>
              <w:top w:w="288" w:type="dxa"/>
              <w:bottom w:w="0" w:type="dxa"/>
              <w:right w:w="0" w:type="dxa"/>
            </w:tcMar>
          </w:tcPr>
          <w:p w14:paraId="4254D42D"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4B5C9239" w14:textId="77777777" w:rsidR="007C0528" w:rsidRDefault="003A3B00" w:rsidP="00E8461E">
            <w:pPr>
              <w:pStyle w:val="MemoHeading"/>
            </w:pPr>
            <w:bookmarkStart w:id="4" w:name="AgendaDate"/>
            <w:r>
              <w:t>07/07/20</w:t>
            </w:r>
            <w:bookmarkEnd w:id="4"/>
            <w:r w:rsidR="007C0528">
              <w:t xml:space="preserve"> – </w:t>
            </w:r>
            <w:bookmarkStart w:id="5" w:name="PermittedStatus"/>
            <w:r>
              <w:t>Regular Agenda –</w:t>
            </w:r>
            <w:r w:rsidR="00E8461E">
              <w:t xml:space="preserve"> Proposed Agency Action – </w:t>
            </w:r>
            <w:r>
              <w:t>Interested Persons May Participate</w:t>
            </w:r>
            <w:bookmarkEnd w:id="5"/>
          </w:p>
        </w:tc>
      </w:tr>
      <w:tr w:rsidR="007C0528" w14:paraId="16373DD0" w14:textId="77777777">
        <w:tc>
          <w:tcPr>
            <w:tcW w:w="3690" w:type="dxa"/>
            <w:gridSpan w:val="3"/>
            <w:tcBorders>
              <w:top w:val="nil"/>
              <w:left w:val="nil"/>
              <w:bottom w:val="nil"/>
              <w:right w:val="nil"/>
            </w:tcBorders>
            <w:shd w:val="clear" w:color="auto" w:fill="auto"/>
            <w:tcMar>
              <w:top w:w="288" w:type="dxa"/>
              <w:bottom w:w="0" w:type="dxa"/>
              <w:right w:w="0" w:type="dxa"/>
            </w:tcMar>
          </w:tcPr>
          <w:p w14:paraId="0E159B1B"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6DEC1D91" w14:textId="77777777" w:rsidR="007C0528" w:rsidRDefault="003A3B00">
            <w:pPr>
              <w:pStyle w:val="MemoHeading"/>
            </w:pPr>
            <w:bookmarkStart w:id="6" w:name="CommissionersAssigned"/>
            <w:r>
              <w:t>All Commissioners</w:t>
            </w:r>
            <w:bookmarkEnd w:id="6"/>
          </w:p>
        </w:tc>
      </w:tr>
      <w:tr w:rsidR="007C0528" w14:paraId="4223CA5A" w14:textId="77777777">
        <w:tc>
          <w:tcPr>
            <w:tcW w:w="3690" w:type="dxa"/>
            <w:gridSpan w:val="3"/>
            <w:tcBorders>
              <w:top w:val="nil"/>
              <w:left w:val="nil"/>
              <w:bottom w:val="nil"/>
              <w:right w:val="nil"/>
            </w:tcBorders>
            <w:shd w:val="clear" w:color="auto" w:fill="auto"/>
            <w:tcMar>
              <w:top w:w="288" w:type="dxa"/>
              <w:bottom w:w="0" w:type="dxa"/>
              <w:right w:w="0" w:type="dxa"/>
            </w:tcMar>
          </w:tcPr>
          <w:p w14:paraId="604B0B09"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39F33422" w14:textId="77777777" w:rsidR="007C0528" w:rsidRDefault="003A3B00">
            <w:pPr>
              <w:pStyle w:val="MemoHeading"/>
            </w:pPr>
            <w:bookmarkStart w:id="7" w:name="PrehearingOfficer"/>
            <w:r>
              <w:t>Fay</w:t>
            </w:r>
            <w:bookmarkEnd w:id="7"/>
          </w:p>
        </w:tc>
      </w:tr>
      <w:tr w:rsidR="007C0528" w14:paraId="6D803298"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7216BBE7"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6D338B9F" w14:textId="77777777" w:rsidR="007C0528" w:rsidRDefault="003A3B00">
            <w:pPr>
              <w:pStyle w:val="MemoHeading"/>
            </w:pPr>
            <w:bookmarkStart w:id="9" w:name="CriticalDates"/>
            <w:r>
              <w:t>None</w:t>
            </w:r>
            <w:bookmarkEnd w:id="9"/>
          </w:p>
        </w:tc>
      </w:tr>
      <w:tr w:rsidR="007C0528" w14:paraId="0D96C498"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6A21D758"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2F4F3AFD" w14:textId="77777777" w:rsidR="007C0528" w:rsidRDefault="003A3B00">
            <w:pPr>
              <w:pStyle w:val="MemoHeading"/>
            </w:pPr>
            <w:bookmarkStart w:id="10" w:name="SpecialInstructions"/>
            <w:r>
              <w:t>None</w:t>
            </w:r>
            <w:bookmarkEnd w:id="10"/>
          </w:p>
        </w:tc>
      </w:tr>
    </w:tbl>
    <w:p w14:paraId="6C00B609" w14:textId="77777777" w:rsidR="007C0528" w:rsidRDefault="007C0528">
      <w:pPr>
        <w:pStyle w:val="BodyText"/>
      </w:pPr>
    </w:p>
    <w:p w14:paraId="725467A9"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2B19A9EB" w14:textId="77777777" w:rsidR="003A3B00" w:rsidRDefault="003A3B00" w:rsidP="002024F6">
      <w:pPr>
        <w:jc w:val="both"/>
      </w:pPr>
      <w:r>
        <w:t>On April 2, 2020</w:t>
      </w:r>
      <w:r w:rsidR="000240C4">
        <w:t>,</w:t>
      </w:r>
      <w:r>
        <w:t xml:space="preserve"> Tampa Electric Company (T</w:t>
      </w:r>
      <w:r w:rsidR="000A34EC">
        <w:t>ECO</w:t>
      </w:r>
      <w:r>
        <w:t>) and Sumter Electric Cooperative, Inc. (SECO), collectively the joint p</w:t>
      </w:r>
      <w:r w:rsidR="00B4690A">
        <w:t xml:space="preserve">etitioners, filed a petition </w:t>
      </w:r>
      <w:r>
        <w:t>seek</w:t>
      </w:r>
      <w:r w:rsidR="00B4690A">
        <w:t>ing</w:t>
      </w:r>
      <w:r>
        <w:t xml:space="preserve"> Commission approval of a 15-year extension of the parties’</w:t>
      </w:r>
      <w:r w:rsidR="00761D27">
        <w:t xml:space="preserve"> </w:t>
      </w:r>
      <w:r w:rsidR="000240C4">
        <w:t xml:space="preserve">current </w:t>
      </w:r>
      <w:r w:rsidR="00761D27">
        <w:t>Commission-approved</w:t>
      </w:r>
      <w:r>
        <w:t xml:space="preserve"> Territorial Agreement</w:t>
      </w:r>
      <w:r w:rsidR="00B4690A">
        <w:t xml:space="preserve"> in Lake, Polk, and Sumter </w:t>
      </w:r>
      <w:r w:rsidR="000240C4">
        <w:t>c</w:t>
      </w:r>
      <w:r w:rsidR="00B4690A">
        <w:t>ounties</w:t>
      </w:r>
      <w:r>
        <w:t xml:space="preserve"> and</w:t>
      </w:r>
      <w:r w:rsidR="00761D27">
        <w:t xml:space="preserve"> </w:t>
      </w:r>
      <w:r>
        <w:t>approval of the First Amendment to the Territorial Agreement (</w:t>
      </w:r>
      <w:r w:rsidR="00761D27">
        <w:t xml:space="preserve">First </w:t>
      </w:r>
      <w:r>
        <w:t xml:space="preserve">Amendment). </w:t>
      </w:r>
    </w:p>
    <w:p w14:paraId="12986907" w14:textId="77777777" w:rsidR="007465B2" w:rsidRDefault="007465B2" w:rsidP="002024F6">
      <w:pPr>
        <w:jc w:val="both"/>
      </w:pPr>
    </w:p>
    <w:p w14:paraId="7C01DE0C" w14:textId="77777777" w:rsidR="003A3B00" w:rsidRDefault="00B4690A" w:rsidP="002024F6">
      <w:pPr>
        <w:jc w:val="both"/>
      </w:pPr>
      <w:r>
        <w:t xml:space="preserve">In </w:t>
      </w:r>
      <w:r w:rsidR="003A3B00">
        <w:t>1994</w:t>
      </w:r>
      <w:r w:rsidR="000A34EC">
        <w:t>,</w:t>
      </w:r>
      <w:r w:rsidR="003A3B00">
        <w:t xml:space="preserve"> the Commission approved the joint petitioners’ Territorial Agreement in </w:t>
      </w:r>
      <w:r w:rsidR="003A3B00" w:rsidRPr="005D2AFF">
        <w:t xml:space="preserve">Order No. </w:t>
      </w:r>
      <w:proofErr w:type="gramStart"/>
      <w:r w:rsidR="003A3B00" w:rsidRPr="005D2AFF">
        <w:t>PSC-1994-1397-FOF-EU</w:t>
      </w:r>
      <w:r w:rsidR="003A3B00">
        <w:t xml:space="preserve"> </w:t>
      </w:r>
      <w:r w:rsidR="00414A4F">
        <w:t>(</w:t>
      </w:r>
      <w:r w:rsidR="00F35901">
        <w:t xml:space="preserve">1994 </w:t>
      </w:r>
      <w:r w:rsidR="003A3B00">
        <w:t>Order).</w:t>
      </w:r>
      <w:proofErr w:type="gramEnd"/>
      <w:r w:rsidR="003A3B00">
        <w:rPr>
          <w:rStyle w:val="FootnoteReference"/>
        </w:rPr>
        <w:footnoteReference w:id="1"/>
      </w:r>
      <w:r w:rsidR="003A3B00">
        <w:t xml:space="preserve"> The </w:t>
      </w:r>
      <w:r w:rsidR="00343EB0">
        <w:t xml:space="preserve">current </w:t>
      </w:r>
      <w:r w:rsidR="003A3B00">
        <w:t>Territorial Agreement and map depicting the current service areas of T</w:t>
      </w:r>
      <w:r w:rsidR="000A34EC">
        <w:t>ECO</w:t>
      </w:r>
      <w:r w:rsidR="003A3B00">
        <w:t xml:space="preserve"> and SECO </w:t>
      </w:r>
      <w:proofErr w:type="gramStart"/>
      <w:r w:rsidR="003A3B00">
        <w:t>are provided</w:t>
      </w:r>
      <w:proofErr w:type="gramEnd"/>
      <w:r w:rsidR="003A3B00">
        <w:t xml:space="preserve"> in Attachment A to this </w:t>
      </w:r>
      <w:r w:rsidR="003A3B00">
        <w:lastRenderedPageBreak/>
        <w:t xml:space="preserve">recommendation. The </w:t>
      </w:r>
      <w:r w:rsidR="003C03EE">
        <w:t xml:space="preserve">proposed </w:t>
      </w:r>
      <w:r w:rsidR="00AD3A4E">
        <w:t xml:space="preserve">First </w:t>
      </w:r>
      <w:r w:rsidR="003A3B00">
        <w:t xml:space="preserve">Amendment to the Territorial Agreement seeks to modify </w:t>
      </w:r>
      <w:r w:rsidR="003C03EE">
        <w:t xml:space="preserve">certain limited provisions of </w:t>
      </w:r>
      <w:r w:rsidR="003A3B00">
        <w:t xml:space="preserve">the </w:t>
      </w:r>
      <w:r w:rsidR="003C03EE">
        <w:t>Territorial A</w:t>
      </w:r>
      <w:r w:rsidR="003A3B00">
        <w:t>gr</w:t>
      </w:r>
      <w:r w:rsidR="00F35901">
        <w:t>eement to comply with the 1994</w:t>
      </w:r>
      <w:r w:rsidR="00E66E9E">
        <w:t xml:space="preserve"> Order, remove</w:t>
      </w:r>
      <w:r w:rsidR="003A3B00">
        <w:t xml:space="preserve"> unnecessary language, and standardize d</w:t>
      </w:r>
      <w:r w:rsidR="00E8461E">
        <w:t>epreciation rates for facility</w:t>
      </w:r>
      <w:r w:rsidR="003A3B00">
        <w:t xml:space="preserve"> transfers. The Amendment </w:t>
      </w:r>
      <w:proofErr w:type="gramStart"/>
      <w:r w:rsidR="003A3B00">
        <w:t>is provided</w:t>
      </w:r>
      <w:proofErr w:type="gramEnd"/>
      <w:r w:rsidR="003A3B00">
        <w:t xml:space="preserve"> in Attachment B to this recommendation. </w:t>
      </w:r>
    </w:p>
    <w:p w14:paraId="6EB06E83" w14:textId="77777777" w:rsidR="003A3B00" w:rsidRDefault="003A3B00" w:rsidP="002024F6">
      <w:pPr>
        <w:jc w:val="both"/>
      </w:pPr>
    </w:p>
    <w:p w14:paraId="018C970C" w14:textId="77777777" w:rsidR="003A3B00" w:rsidRDefault="003A3B00" w:rsidP="002024F6">
      <w:pPr>
        <w:jc w:val="both"/>
      </w:pPr>
      <w:r>
        <w:t xml:space="preserve">During the review of this joint petition, staff issued one data request to the joint petitioners on April 21, 2020, for which responses </w:t>
      </w:r>
      <w:proofErr w:type="gramStart"/>
      <w:r>
        <w:t>were received</w:t>
      </w:r>
      <w:proofErr w:type="gramEnd"/>
      <w:r>
        <w:t xml:space="preserve"> on May 4, 2020. The Commission has jurisdiction over this matter pursuant to Section 366.04, Florida Statutes (F.S.)</w:t>
      </w:r>
      <w:r w:rsidR="007465B2">
        <w:t>.</w:t>
      </w:r>
    </w:p>
    <w:p w14:paraId="098B59CA" w14:textId="77777777" w:rsidR="003A3B00" w:rsidRDefault="003A3B00" w:rsidP="002024F6">
      <w:pPr>
        <w:jc w:val="both"/>
      </w:pPr>
    </w:p>
    <w:bookmarkEnd w:id="12"/>
    <w:p w14:paraId="4200573A" w14:textId="77777777" w:rsidR="00EA2273" w:rsidRDefault="00EA2273" w:rsidP="003A3B00">
      <w:pPr>
        <w:pStyle w:val="RecommendationMajorSectionHeading"/>
        <w:jc w:val="left"/>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14:paraId="221F1DEE" w14:textId="77777777" w:rsidR="007C0528" w:rsidRDefault="007C0528">
      <w:pPr>
        <w:pStyle w:val="RecommendationMajorSectionHeading"/>
      </w:pPr>
      <w:bookmarkStart w:id="16" w:name="DiscussionOfIssues"/>
      <w:r>
        <w:lastRenderedPageBreak/>
        <w:t>Discussion of Issues</w:t>
      </w:r>
    </w:p>
    <w:bookmarkEnd w:id="16"/>
    <w:p w14:paraId="1ECC0B21" w14:textId="77777777" w:rsidR="003A3B00" w:rsidRDefault="003A3B00">
      <w:pPr>
        <w:pStyle w:val="IssueHeading"/>
        <w:rPr>
          <w:vanish/>
          <w:specVanish/>
        </w:rPr>
      </w:pPr>
      <w:r w:rsidRPr="004C3641">
        <w:t xml:space="preserve">Issue </w:t>
      </w:r>
      <w:r w:rsidR="0036532B">
        <w:fldChar w:fldCharType="begin"/>
      </w:r>
      <w:r w:rsidR="0036532B">
        <w:instrText xml:space="preserve"> SEQ Issue \* MERGEFORMAT </w:instrText>
      </w:r>
      <w:r w:rsidR="0036532B">
        <w:fldChar w:fldCharType="separate"/>
      </w:r>
      <w:r w:rsidR="00AA418F">
        <w:rPr>
          <w:noProof/>
        </w:rPr>
        <w:t>1</w:t>
      </w:r>
      <w:r w:rsidR="0036532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A418F">
        <w:rPr>
          <w:noProof/>
        </w:rPr>
        <w:instrText>1</w:instrText>
      </w:r>
      <w:r>
        <w:fldChar w:fldCharType="end"/>
      </w:r>
      <w:r>
        <w:tab/>
        <w:instrText xml:space="preserve">(Hampson, Guffey)" \l 1 </w:instrText>
      </w:r>
      <w:r>
        <w:fldChar w:fldCharType="end"/>
      </w:r>
      <w:r>
        <w:t> </w:t>
      </w:r>
    </w:p>
    <w:p w14:paraId="14D3B866" w14:textId="77777777" w:rsidR="003A3B00" w:rsidRDefault="003A3B00" w:rsidP="002024F6">
      <w:pPr>
        <w:pStyle w:val="BodyText"/>
      </w:pPr>
      <w:r>
        <w:t> Should the Commission approve the extension of the Territorial Agreement between T</w:t>
      </w:r>
      <w:r w:rsidR="000A34EC">
        <w:t>ECO</w:t>
      </w:r>
      <w:r>
        <w:t xml:space="preserve"> and S</w:t>
      </w:r>
      <w:r w:rsidR="00B4690A">
        <w:t>ECO</w:t>
      </w:r>
      <w:r>
        <w:t xml:space="preserve"> and approve the proposed First Amendment to the Territorial Agreement?</w:t>
      </w:r>
    </w:p>
    <w:p w14:paraId="1955D881" w14:textId="77777777" w:rsidR="003A3B00" w:rsidRPr="004C3641" w:rsidRDefault="003A3B00" w:rsidP="002024F6">
      <w:pPr>
        <w:pStyle w:val="IssueSubsectionHeading"/>
        <w:rPr>
          <w:vanish/>
          <w:specVanish/>
        </w:rPr>
      </w:pPr>
      <w:r w:rsidRPr="004C3641">
        <w:t>Recommendation: </w:t>
      </w:r>
    </w:p>
    <w:p w14:paraId="0D5F903A" w14:textId="77777777" w:rsidR="003A3B00" w:rsidRDefault="003A3B00" w:rsidP="002024F6">
      <w:pPr>
        <w:pStyle w:val="BodyText"/>
      </w:pPr>
      <w:r>
        <w:t> Yes, the Commission should approve the</w:t>
      </w:r>
      <w:r w:rsidR="00666B9F">
        <w:t xml:space="preserve"> 15-year</w:t>
      </w:r>
      <w:r>
        <w:t xml:space="preserve"> extension of the Territorial Agreement between T</w:t>
      </w:r>
      <w:r w:rsidR="000A34EC">
        <w:t>ECO</w:t>
      </w:r>
      <w:r>
        <w:t xml:space="preserve"> and S</w:t>
      </w:r>
      <w:r w:rsidR="00B4690A">
        <w:t>ECO</w:t>
      </w:r>
      <w:r>
        <w:t xml:space="preserve"> and approve the proposed </w:t>
      </w:r>
      <w:r w:rsidR="000A34EC">
        <w:t xml:space="preserve">First </w:t>
      </w:r>
      <w:r>
        <w:t xml:space="preserve">Amendment to the Territorial Agreement. </w:t>
      </w:r>
      <w:proofErr w:type="gramStart"/>
      <w:r>
        <w:t>The proposed extension and First Amendment to the Territorial Agreement are in the public interest and will avoid uneconomic duplication of facilities.</w:t>
      </w:r>
      <w:proofErr w:type="gramEnd"/>
      <w:r>
        <w:t xml:space="preserve"> (Hampson, Guffey)</w:t>
      </w:r>
    </w:p>
    <w:p w14:paraId="262CBFDD" w14:textId="77777777" w:rsidR="003A3B00" w:rsidRPr="004C3641" w:rsidRDefault="003A3B00" w:rsidP="002024F6">
      <w:pPr>
        <w:pStyle w:val="IssueSubsectionHeading"/>
        <w:rPr>
          <w:vanish/>
          <w:specVanish/>
        </w:rPr>
      </w:pPr>
      <w:r w:rsidRPr="004C3641">
        <w:t>Staff Analysis: </w:t>
      </w:r>
    </w:p>
    <w:p w14:paraId="1DC93D01" w14:textId="77777777" w:rsidR="003A3B00" w:rsidRPr="00E8310D" w:rsidRDefault="003A3B00" w:rsidP="002024F6">
      <w:pPr>
        <w:jc w:val="both"/>
      </w:pPr>
      <w:r>
        <w:t> </w:t>
      </w:r>
      <w:r w:rsidRPr="00E8310D">
        <w:t>Pursuant to Section 366.04(2</w:t>
      </w:r>
      <w:proofErr w:type="gramStart"/>
      <w:r w:rsidRPr="00E8310D">
        <w:t>)(</w:t>
      </w:r>
      <w:proofErr w:type="gramEnd"/>
      <w:r w:rsidRPr="00E8310D">
        <w:t xml:space="preserve">d), F.S., and Rule 25-6.0440, Florida Administrative Code (F.A.C.), the Commission has the jurisdiction to approve territorial agreements between and among rural electric cooperatives, municipal electric utilities, and other electric utilities. Unless the Commission determines that the agreement will cause a detriment to the public interest, the agreement </w:t>
      </w:r>
      <w:proofErr w:type="gramStart"/>
      <w:r w:rsidRPr="00E8310D">
        <w:t>should be approved</w:t>
      </w:r>
      <w:proofErr w:type="gramEnd"/>
      <w:r w:rsidRPr="00E8310D">
        <w:t>.</w:t>
      </w:r>
      <w:r w:rsidRPr="00E8310D">
        <w:rPr>
          <w:vertAlign w:val="superscript"/>
        </w:rPr>
        <w:footnoteReference w:id="2"/>
      </w:r>
    </w:p>
    <w:p w14:paraId="4C362049" w14:textId="77777777" w:rsidR="000240C4" w:rsidRDefault="000240C4" w:rsidP="002024F6">
      <w:pPr>
        <w:pStyle w:val="First-LevelSubheading"/>
      </w:pPr>
    </w:p>
    <w:p w14:paraId="538170F4" w14:textId="77777777" w:rsidR="003A3B00" w:rsidRDefault="003A3B00" w:rsidP="002024F6">
      <w:pPr>
        <w:pStyle w:val="First-LevelSubheading"/>
      </w:pPr>
      <w:r>
        <w:t>Territorial Agreement Extension</w:t>
      </w:r>
    </w:p>
    <w:p w14:paraId="27D711B7" w14:textId="77777777" w:rsidR="003A3B00" w:rsidRDefault="003A3B00" w:rsidP="002024F6">
      <w:pPr>
        <w:jc w:val="both"/>
      </w:pPr>
      <w:r>
        <w:t xml:space="preserve">Section 5.1 of the Territorial Agreement states it shall remain in effect for a period of 25 years, </w:t>
      </w:r>
      <w:r w:rsidR="00761D27">
        <w:t xml:space="preserve">with the option to </w:t>
      </w:r>
      <w:proofErr w:type="gramStart"/>
      <w:r w:rsidR="000240C4">
        <w:t xml:space="preserve">be </w:t>
      </w:r>
      <w:r>
        <w:t>renewed</w:t>
      </w:r>
      <w:proofErr w:type="gramEnd"/>
      <w:r>
        <w:t xml:space="preserve"> for periods of 15 years</w:t>
      </w:r>
      <w:r w:rsidR="000A34EC">
        <w:t>,</w:t>
      </w:r>
      <w:r>
        <w:t xml:space="preserve"> unless either party gives written notice</w:t>
      </w:r>
      <w:r w:rsidR="00B4690A">
        <w:t xml:space="preserve"> to terminate the agreement</w:t>
      </w:r>
      <w:r>
        <w:t xml:space="preserve">. </w:t>
      </w:r>
      <w:r w:rsidR="00761D27">
        <w:t xml:space="preserve">Further, Section 5.1 and Article IV </w:t>
      </w:r>
      <w:r w:rsidR="000A78E4">
        <w:t>state</w:t>
      </w:r>
      <w:r w:rsidR="00761D27">
        <w:t xml:space="preserve"> that each renewal of the Territorial Agreement require</w:t>
      </w:r>
      <w:r w:rsidR="000A78E4">
        <w:t>s</w:t>
      </w:r>
      <w:r w:rsidR="00761D27">
        <w:t xml:space="preserve"> prerequisite approval of the Commission. </w:t>
      </w:r>
      <w:r w:rsidR="00343EB0">
        <w:t xml:space="preserve">The initial 25-year term of the Territorial Agreement ended in </w:t>
      </w:r>
      <w:r w:rsidR="00666B9F">
        <w:t>December</w:t>
      </w:r>
      <w:r w:rsidR="00343EB0">
        <w:t xml:space="preserve"> 2019. </w:t>
      </w:r>
      <w:r>
        <w:t xml:space="preserve">The joint </w:t>
      </w:r>
      <w:proofErr w:type="gramStart"/>
      <w:r>
        <w:t>petitioners</w:t>
      </w:r>
      <w:proofErr w:type="gramEnd"/>
      <w:r>
        <w:t xml:space="preserve"> desire for the Territorial Agreement to extend for 15 years</w:t>
      </w:r>
      <w:r w:rsidR="003C03EE">
        <w:t xml:space="preserve"> through </w:t>
      </w:r>
      <w:r w:rsidR="007936F2">
        <w:t>December</w:t>
      </w:r>
      <w:r w:rsidR="003C03EE">
        <w:t xml:space="preserve"> 2034</w:t>
      </w:r>
      <w:r>
        <w:t xml:space="preserve">, </w:t>
      </w:r>
      <w:r w:rsidR="00761D27">
        <w:t>stating that</w:t>
      </w:r>
      <w:r>
        <w:t xml:space="preserve"> the agreement has worked well for </w:t>
      </w:r>
      <w:r w:rsidR="00761D27">
        <w:t>both TECO and SECO</w:t>
      </w:r>
      <w:r>
        <w:t xml:space="preserve"> and their abilit</w:t>
      </w:r>
      <w:r w:rsidR="002D44FC">
        <w:t>y</w:t>
      </w:r>
      <w:r>
        <w:t xml:space="preserve"> to provide safe and reliable electric service. </w:t>
      </w:r>
      <w:r w:rsidR="007936F2">
        <w:t xml:space="preserve">The parties’ agreed upon desire to renew the Territorial agreement for an additional 15 years </w:t>
      </w:r>
      <w:proofErr w:type="gramStart"/>
      <w:r w:rsidR="007936F2">
        <w:t>is provided for</w:t>
      </w:r>
      <w:proofErr w:type="gramEnd"/>
      <w:r w:rsidR="007936F2">
        <w:t xml:space="preserve"> in the First Amendment.</w:t>
      </w:r>
    </w:p>
    <w:p w14:paraId="00CF617E" w14:textId="77777777" w:rsidR="003A3B00" w:rsidRDefault="003A3B00" w:rsidP="002024F6">
      <w:pPr>
        <w:jc w:val="both"/>
      </w:pPr>
    </w:p>
    <w:p w14:paraId="2EDBC13E" w14:textId="77EBB3E1" w:rsidR="003A3B00" w:rsidRDefault="008F76A5" w:rsidP="002024F6">
      <w:pPr>
        <w:jc w:val="both"/>
      </w:pPr>
      <w:r>
        <w:t>T</w:t>
      </w:r>
      <w:r w:rsidR="003A3B00">
        <w:t>he maps and legal descriptions defining the boundaries of the Territorial Agreement remain the same</w:t>
      </w:r>
      <w:r w:rsidR="003C03EE">
        <w:t xml:space="preserve"> and</w:t>
      </w:r>
      <w:r w:rsidR="003A3B00">
        <w:t xml:space="preserve"> no customers </w:t>
      </w:r>
      <w:proofErr w:type="gramStart"/>
      <w:r w:rsidR="003A3B00">
        <w:t>will be transferred or otherwise affected by the proposed extension of the Territorial Agreement</w:t>
      </w:r>
      <w:proofErr w:type="gramEnd"/>
      <w:r w:rsidR="003A3B00">
        <w:t>. As such, there are no customers to notify regarding cha</w:t>
      </w:r>
      <w:r w:rsidR="0057253E">
        <w:t>nges in service. Additionally, p</w:t>
      </w:r>
      <w:r w:rsidR="003A3B00">
        <w:t xml:space="preserve">aragraph </w:t>
      </w:r>
      <w:proofErr w:type="gramStart"/>
      <w:r w:rsidR="003A3B00">
        <w:t>7</w:t>
      </w:r>
      <w:proofErr w:type="gramEnd"/>
      <w:r w:rsidR="003A3B00">
        <w:t xml:space="preserve"> of the petition states that there is no reasonable likelihood the extension will decrease electric service reliability.</w:t>
      </w:r>
    </w:p>
    <w:p w14:paraId="3F913048" w14:textId="77777777" w:rsidR="000240C4" w:rsidRDefault="000240C4" w:rsidP="002024F6">
      <w:pPr>
        <w:jc w:val="both"/>
        <w:rPr>
          <w:rFonts w:ascii="Arial" w:hAnsi="Arial" w:cs="Arial"/>
          <w:b/>
        </w:rPr>
      </w:pPr>
    </w:p>
    <w:p w14:paraId="3FF60772" w14:textId="77777777" w:rsidR="003A3B00" w:rsidRPr="00297A7C" w:rsidRDefault="003A3B00" w:rsidP="002024F6">
      <w:pPr>
        <w:jc w:val="both"/>
        <w:rPr>
          <w:rFonts w:ascii="Arial" w:hAnsi="Arial" w:cs="Arial"/>
          <w:b/>
        </w:rPr>
      </w:pPr>
      <w:r>
        <w:rPr>
          <w:rFonts w:ascii="Arial" w:hAnsi="Arial" w:cs="Arial"/>
          <w:b/>
        </w:rPr>
        <w:t>First Amendment to the Territorial Agreement</w:t>
      </w:r>
    </w:p>
    <w:p w14:paraId="5C8874EF" w14:textId="5BBE8F4F" w:rsidR="003A3B00" w:rsidRDefault="003A3B00" w:rsidP="002024F6">
      <w:pPr>
        <w:jc w:val="both"/>
      </w:pPr>
      <w:r>
        <w:t xml:space="preserve">The joint petitioners have proposed a First Amendment to the Territorial Agreement. The </w:t>
      </w:r>
      <w:r w:rsidR="002D44FC">
        <w:t xml:space="preserve">First </w:t>
      </w:r>
      <w:r>
        <w:t xml:space="preserve">Amendment consists of </w:t>
      </w:r>
      <w:r w:rsidR="00AA418F">
        <w:t xml:space="preserve">four </w:t>
      </w:r>
      <w:r>
        <w:t>modifications</w:t>
      </w:r>
      <w:r w:rsidR="0057253E">
        <w:t xml:space="preserve"> to the Territorial Agreement</w:t>
      </w:r>
      <w:r w:rsidR="000A78E4">
        <w:t>.</w:t>
      </w:r>
      <w:r>
        <w:t xml:space="preserve"> T</w:t>
      </w:r>
      <w:r w:rsidR="00B32BC7">
        <w:t>wo of the</w:t>
      </w:r>
      <w:r>
        <w:t xml:space="preserve"> modification</w:t>
      </w:r>
      <w:r w:rsidR="007936F2">
        <w:t>s</w:t>
      </w:r>
      <w:r>
        <w:t xml:space="preserve"> </w:t>
      </w:r>
      <w:r w:rsidR="00ED6C63">
        <w:t>are</w:t>
      </w:r>
      <w:r w:rsidR="00B32BC7">
        <w:t xml:space="preserve"> result</w:t>
      </w:r>
      <w:r w:rsidR="00ED6C63">
        <w:t>s</w:t>
      </w:r>
      <w:r w:rsidR="00B32BC7">
        <w:t xml:space="preserve"> of the Commission</w:t>
      </w:r>
      <w:r w:rsidR="003C03EE">
        <w:t>’</w:t>
      </w:r>
      <w:r w:rsidR="00B32BC7">
        <w:t>s decision in the 1994 Order. The first</w:t>
      </w:r>
      <w:r w:rsidR="00C4055C">
        <w:t xml:space="preserve"> modification</w:t>
      </w:r>
      <w:r w:rsidR="00B32BC7">
        <w:t xml:space="preserve"> addresses </w:t>
      </w:r>
      <w:r>
        <w:t>the language of Section 2.2</w:t>
      </w:r>
      <w:r w:rsidR="007936F2">
        <w:t xml:space="preserve"> of the Territorial Agreement.</w:t>
      </w:r>
      <w:r>
        <w:t xml:space="preserve"> </w:t>
      </w:r>
      <w:r w:rsidR="000A78E4">
        <w:t>Th</w:t>
      </w:r>
      <w:r w:rsidR="00B32BC7">
        <w:t xml:space="preserve">e current </w:t>
      </w:r>
      <w:r w:rsidR="000A78E4">
        <w:t>language required the filing of all interim service agreements</w:t>
      </w:r>
      <w:r w:rsidR="00B32BC7">
        <w:t xml:space="preserve"> with the Commission</w:t>
      </w:r>
      <w:r w:rsidR="000A78E4">
        <w:t xml:space="preserve">. However, in </w:t>
      </w:r>
      <w:r w:rsidR="00C4055C">
        <w:t>p</w:t>
      </w:r>
      <w:r>
        <w:t xml:space="preserve">aragraph 4 of the </w:t>
      </w:r>
      <w:r w:rsidR="00F35901">
        <w:t xml:space="preserve">1994 </w:t>
      </w:r>
      <w:r>
        <w:t>Order</w:t>
      </w:r>
      <w:r w:rsidR="000A78E4">
        <w:t>, the Commission</w:t>
      </w:r>
      <w:r>
        <w:t xml:space="preserve"> directed </w:t>
      </w:r>
      <w:r w:rsidR="000A78E4">
        <w:t xml:space="preserve">the joint petitioners </w:t>
      </w:r>
      <w:proofErr w:type="gramStart"/>
      <w:r w:rsidR="000A78E4">
        <w:t xml:space="preserve">to </w:t>
      </w:r>
      <w:r>
        <w:t xml:space="preserve">only </w:t>
      </w:r>
      <w:r w:rsidR="000A78E4">
        <w:t>file</w:t>
      </w:r>
      <w:proofErr w:type="gramEnd"/>
      <w:r w:rsidR="002D44FC">
        <w:t xml:space="preserve"> with the Commission</w:t>
      </w:r>
      <w:r w:rsidR="000A78E4">
        <w:t xml:space="preserve"> </w:t>
      </w:r>
      <w:r>
        <w:t>interim service agreements expected to last for more than one year.</w:t>
      </w:r>
      <w:r w:rsidR="000A78E4">
        <w:t xml:space="preserve"> </w:t>
      </w:r>
      <w:r w:rsidR="007936F2">
        <w:t xml:space="preserve">Interim service could occur in an </w:t>
      </w:r>
      <w:r w:rsidR="00B66286">
        <w:t>exceptional</w:t>
      </w:r>
      <w:r w:rsidR="007936F2">
        <w:t xml:space="preserve"> circumstance when </w:t>
      </w:r>
      <w:r w:rsidR="00B66286">
        <w:t xml:space="preserve">a new customer due to economic or </w:t>
      </w:r>
      <w:r w:rsidR="00B66286">
        <w:lastRenderedPageBreak/>
        <w:t xml:space="preserve">engineering constraints </w:t>
      </w:r>
      <w:proofErr w:type="gramStart"/>
      <w:r w:rsidR="00B66286">
        <w:t>could not be immediate</w:t>
      </w:r>
      <w:r w:rsidR="008F76A5">
        <w:t>ly served</w:t>
      </w:r>
      <w:proofErr w:type="gramEnd"/>
      <w:r w:rsidR="00B66286">
        <w:t xml:space="preserve"> by the utility in whose service territory the customer is located.</w:t>
      </w:r>
    </w:p>
    <w:p w14:paraId="79FACA77" w14:textId="77777777" w:rsidR="00B32BC7" w:rsidRDefault="00B32BC7" w:rsidP="002024F6">
      <w:pPr>
        <w:jc w:val="both"/>
      </w:pPr>
    </w:p>
    <w:p w14:paraId="253628AD" w14:textId="77777777" w:rsidR="00B32BC7" w:rsidRDefault="00B32BC7" w:rsidP="002024F6">
      <w:pPr>
        <w:jc w:val="both"/>
      </w:pPr>
      <w:r>
        <w:t xml:space="preserve">The second modification </w:t>
      </w:r>
      <w:r w:rsidR="00B66286">
        <w:t>resulting from</w:t>
      </w:r>
      <w:r>
        <w:t xml:space="preserve"> the 1994 Order </w:t>
      </w:r>
      <w:r w:rsidR="00B66286">
        <w:t>addresses the filing of annual reports to the Commission</w:t>
      </w:r>
      <w:r>
        <w:t>. Currently, Section 4.1</w:t>
      </w:r>
      <w:r w:rsidR="007465B2">
        <w:t xml:space="preserve"> </w:t>
      </w:r>
      <w:r w:rsidR="00C4055C">
        <w:t xml:space="preserve">of the Territorial Agreement </w:t>
      </w:r>
      <w:r>
        <w:t xml:space="preserve">states that the joint petitioners would file annual reports to the Commission on the status of the </w:t>
      </w:r>
      <w:r w:rsidR="00C4055C">
        <w:t xml:space="preserve">Territorial </w:t>
      </w:r>
      <w:r w:rsidR="00B66286">
        <w:t>A</w:t>
      </w:r>
      <w:r>
        <w:t xml:space="preserve">greement. However, in </w:t>
      </w:r>
      <w:r w:rsidR="00C4055C">
        <w:t>p</w:t>
      </w:r>
      <w:r>
        <w:t xml:space="preserve">aragraph 5 of the 1994 Order, the Commission declined to require the filing of annual reports.  As such, the joint petitioners removed this requirement in </w:t>
      </w:r>
      <w:r w:rsidR="00B66286">
        <w:t xml:space="preserve">the </w:t>
      </w:r>
      <w:r>
        <w:t>proposed First Amendment</w:t>
      </w:r>
      <w:r w:rsidR="007465B2">
        <w:t>.</w:t>
      </w:r>
    </w:p>
    <w:p w14:paraId="29C328A0" w14:textId="77777777" w:rsidR="003A3B00" w:rsidRDefault="003A3B00" w:rsidP="002024F6">
      <w:pPr>
        <w:jc w:val="both"/>
      </w:pPr>
    </w:p>
    <w:p w14:paraId="3EFA494F" w14:textId="77777777" w:rsidR="003A3B00" w:rsidRDefault="003A3B00" w:rsidP="002024F6">
      <w:pPr>
        <w:jc w:val="both"/>
      </w:pPr>
      <w:r>
        <w:t xml:space="preserve">The </w:t>
      </w:r>
      <w:r w:rsidR="00B66286">
        <w:t>third</w:t>
      </w:r>
      <w:r>
        <w:t xml:space="preserve"> modification removes Section 2.3 </w:t>
      </w:r>
      <w:r w:rsidR="00B66286">
        <w:t>of the Territorial Agreement</w:t>
      </w:r>
      <w:r>
        <w:t xml:space="preserve">. Section 2.3 relates solely to SECO and </w:t>
      </w:r>
      <w:r w:rsidR="000A78E4">
        <w:t>was</w:t>
      </w:r>
      <w:r>
        <w:t xml:space="preserve"> meant to preserve its 503(c</w:t>
      </w:r>
      <w:proofErr w:type="gramStart"/>
      <w:r>
        <w:t>)(</w:t>
      </w:r>
      <w:proofErr w:type="gramEnd"/>
      <w:r>
        <w:t xml:space="preserve">12) tax status. Paragraph </w:t>
      </w:r>
      <w:proofErr w:type="gramStart"/>
      <w:r>
        <w:t>9</w:t>
      </w:r>
      <w:proofErr w:type="gramEnd"/>
      <w:r w:rsidR="000A34EC">
        <w:t>,</w:t>
      </w:r>
      <w:r>
        <w:t xml:space="preserve"> Subsection b</w:t>
      </w:r>
      <w:r w:rsidR="000A34EC">
        <w:t xml:space="preserve">, </w:t>
      </w:r>
      <w:r>
        <w:t xml:space="preserve">of the petition states </w:t>
      </w:r>
      <w:r w:rsidR="00B66286">
        <w:t xml:space="preserve">that </w:t>
      </w:r>
      <w:r>
        <w:t xml:space="preserve">SECO “does not have a significant concern that its non-profit status would be jeopardized by the circumstances described in Section 2.3.” Furthermore, SECO </w:t>
      </w:r>
      <w:r w:rsidR="000A78E4">
        <w:t>states</w:t>
      </w:r>
      <w:r w:rsidR="00C4055C">
        <w:t xml:space="preserve"> that</w:t>
      </w:r>
      <w:r w:rsidR="000A78E4">
        <w:t xml:space="preserve"> it </w:t>
      </w:r>
      <w:r>
        <w:t xml:space="preserve">has not included this language </w:t>
      </w:r>
      <w:proofErr w:type="gramStart"/>
      <w:r>
        <w:t>in more recent territorial agreements</w:t>
      </w:r>
      <w:proofErr w:type="gramEnd"/>
      <w:r>
        <w:t>.</w:t>
      </w:r>
    </w:p>
    <w:p w14:paraId="22DB249B" w14:textId="77777777" w:rsidR="003A3B00" w:rsidRDefault="003A3B00" w:rsidP="002024F6">
      <w:pPr>
        <w:jc w:val="both"/>
      </w:pPr>
    </w:p>
    <w:p w14:paraId="4C181E08" w14:textId="0ED8BB8F" w:rsidR="003A3B00" w:rsidRDefault="003A3B00" w:rsidP="002024F6">
      <w:pPr>
        <w:jc w:val="both"/>
      </w:pPr>
      <w:r>
        <w:t xml:space="preserve">The </w:t>
      </w:r>
      <w:r w:rsidR="00B66286">
        <w:t>fo</w:t>
      </w:r>
      <w:r w:rsidR="001F106B">
        <w:t>u</w:t>
      </w:r>
      <w:r w:rsidR="00B66286">
        <w:t>rth</w:t>
      </w:r>
      <w:r>
        <w:t xml:space="preserve"> modification is to Section 2.4 of the Territorial </w:t>
      </w:r>
      <w:proofErr w:type="gramStart"/>
      <w:r>
        <w:t>Agreement</w:t>
      </w:r>
      <w:r w:rsidR="00666B9F">
        <w:t xml:space="preserve"> which</w:t>
      </w:r>
      <w:proofErr w:type="gramEnd"/>
      <w:r w:rsidR="00666B9F">
        <w:t xml:space="preserve"> addresses deprec</w:t>
      </w:r>
      <w:r w:rsidR="005A768B">
        <w:t>i</w:t>
      </w:r>
      <w:r w:rsidR="00666B9F">
        <w:t>ation rates to be used in the calculation for any potential facilities</w:t>
      </w:r>
      <w:r w:rsidR="00C4055C">
        <w:t xml:space="preserve"> or asset</w:t>
      </w:r>
      <w:r w:rsidR="00666B9F">
        <w:t xml:space="preserve"> transfers. This modification</w:t>
      </w:r>
      <w:r>
        <w:t xml:space="preserve"> sets T</w:t>
      </w:r>
      <w:r w:rsidR="000A34EC">
        <w:t>ECO</w:t>
      </w:r>
      <w:r>
        <w:t>’s depreciation rate</w:t>
      </w:r>
      <w:r w:rsidR="0057253E">
        <w:t>s</w:t>
      </w:r>
      <w:r>
        <w:t xml:space="preserve"> as the standard to </w:t>
      </w:r>
      <w:proofErr w:type="gramStart"/>
      <w:r>
        <w:t>be used</w:t>
      </w:r>
      <w:proofErr w:type="gramEnd"/>
      <w:r>
        <w:t xml:space="preserve"> by</w:t>
      </w:r>
      <w:r w:rsidR="000A34EC">
        <w:t xml:space="preserve"> the joint petitioners</w:t>
      </w:r>
      <w:r>
        <w:t xml:space="preserve">. Additionally, the modification clarifies that reintegration costs are to be included, where required by sound utility practice. </w:t>
      </w:r>
      <w:r w:rsidR="00C4055C">
        <w:t>T</w:t>
      </w:r>
      <w:r>
        <w:t>he joint petitioners explained that</w:t>
      </w:r>
      <w:r w:rsidR="00604887">
        <w:t xml:space="preserve"> SECO is required to use a 30-year depreciation schedule</w:t>
      </w:r>
      <w:r w:rsidR="00382A67">
        <w:t>,</w:t>
      </w:r>
      <w:r w:rsidR="00604887">
        <w:t xml:space="preserve"> while</w:t>
      </w:r>
      <w:r>
        <w:t xml:space="preserve"> </w:t>
      </w:r>
      <w:r w:rsidR="00382A67">
        <w:t xml:space="preserve">TECO’s </w:t>
      </w:r>
      <w:r w:rsidR="00604887">
        <w:t>Commission</w:t>
      </w:r>
      <w:r w:rsidR="00C4055C">
        <w:t>-</w:t>
      </w:r>
      <w:r w:rsidR="00604887">
        <w:t xml:space="preserve">approved </w:t>
      </w:r>
      <w:r>
        <w:t>deprecia</w:t>
      </w:r>
      <w:r w:rsidR="00B4690A">
        <w:t>tion rate</w:t>
      </w:r>
      <w:r w:rsidR="00604887">
        <w:t>s</w:t>
      </w:r>
      <w:r w:rsidR="00382A67">
        <w:t xml:space="preserve"> vary </w:t>
      </w:r>
      <w:r w:rsidR="00604887">
        <w:t>depending on the specific</w:t>
      </w:r>
      <w:r w:rsidR="00382A67">
        <w:t xml:space="preserve"> assets.</w:t>
      </w:r>
      <w:r w:rsidR="00C4055C">
        <w:rPr>
          <w:rStyle w:val="FootnoteReference"/>
        </w:rPr>
        <w:footnoteReference w:id="3"/>
      </w:r>
      <w:r w:rsidR="00382A67">
        <w:t xml:space="preserve"> Therefore, using TECO’s rates ensure</w:t>
      </w:r>
      <w:r w:rsidR="008F76A5">
        <w:t>s</w:t>
      </w:r>
      <w:r w:rsidR="00382A67">
        <w:t xml:space="preserve"> </w:t>
      </w:r>
      <w:r w:rsidR="00B32BC7">
        <w:t>consistency</w:t>
      </w:r>
      <w:r w:rsidR="00382A67">
        <w:t xml:space="preserve"> with Commission Orders.</w:t>
      </w:r>
      <w:r w:rsidR="00A656BB">
        <w:t xml:space="preserve"> </w:t>
      </w:r>
      <w:r>
        <w:t xml:space="preserve">The joint petitioners state that establishing a single standard for depreciation rates is a fair and reasonable approach. </w:t>
      </w:r>
    </w:p>
    <w:p w14:paraId="5444FCEF" w14:textId="77777777" w:rsidR="003A3B00" w:rsidRDefault="003A3B00" w:rsidP="002024F6">
      <w:pPr>
        <w:jc w:val="both"/>
      </w:pPr>
    </w:p>
    <w:p w14:paraId="75A84978" w14:textId="77777777" w:rsidR="003A3B00" w:rsidRPr="00297A7C" w:rsidRDefault="003A3B00" w:rsidP="002024F6">
      <w:pPr>
        <w:jc w:val="both"/>
        <w:rPr>
          <w:rFonts w:ascii="Arial" w:hAnsi="Arial" w:cs="Arial"/>
          <w:b/>
        </w:rPr>
      </w:pPr>
      <w:r>
        <w:rPr>
          <w:rFonts w:ascii="Arial" w:hAnsi="Arial" w:cs="Arial"/>
          <w:b/>
        </w:rPr>
        <w:t>Conclusion</w:t>
      </w:r>
    </w:p>
    <w:p w14:paraId="541768F8" w14:textId="2EC924ED" w:rsidR="002D44FC" w:rsidRDefault="003A3B00" w:rsidP="002D44FC">
      <w:pPr>
        <w:jc w:val="both"/>
      </w:pPr>
      <w:r>
        <w:t>After review of the joint petition and the</w:t>
      </w:r>
      <w:r w:rsidR="00B32BC7">
        <w:t xml:space="preserve"> joint</w:t>
      </w:r>
      <w:r>
        <w:t xml:space="preserve"> petitioners’ responses to Commission staff’s data request, staff believes that the requested </w:t>
      </w:r>
      <w:r w:rsidR="00666B9F">
        <w:t xml:space="preserve">15-year </w:t>
      </w:r>
      <w:r>
        <w:t xml:space="preserve">extension </w:t>
      </w:r>
      <w:r w:rsidR="00666B9F">
        <w:t xml:space="preserve">(December 2019 through December 2034) </w:t>
      </w:r>
      <w:r>
        <w:t>will enable T</w:t>
      </w:r>
      <w:r w:rsidR="000A34EC">
        <w:t>ECO</w:t>
      </w:r>
      <w:r>
        <w:t xml:space="preserve"> and SECO to avoid unnecessary duplication of facilities and to serve their customers in an efficient manner. </w:t>
      </w:r>
      <w:r w:rsidR="002D44FC">
        <w:t>T</w:t>
      </w:r>
      <w:r>
        <w:t>he</w:t>
      </w:r>
      <w:r w:rsidR="002D44FC">
        <w:t xml:space="preserve"> changes made in the First</w:t>
      </w:r>
      <w:r>
        <w:t xml:space="preserve"> Amendment will bring the Territorial Agreement</w:t>
      </w:r>
      <w:r w:rsidR="00F35901">
        <w:t xml:space="preserve"> into compliance with the 1994</w:t>
      </w:r>
      <w:r>
        <w:t xml:space="preserve"> Order, remove obsolete language, and provide a fair and reasonable method for </w:t>
      </w:r>
      <w:r w:rsidR="00666B9F">
        <w:t xml:space="preserve">any </w:t>
      </w:r>
      <w:r w:rsidR="00C44241">
        <w:t xml:space="preserve">future transfers of </w:t>
      </w:r>
      <w:r>
        <w:t xml:space="preserve">facilities. </w:t>
      </w:r>
    </w:p>
    <w:p w14:paraId="2122CCFC" w14:textId="77777777" w:rsidR="002D44FC" w:rsidRDefault="002D44FC" w:rsidP="002D44FC">
      <w:pPr>
        <w:jc w:val="both"/>
      </w:pPr>
    </w:p>
    <w:p w14:paraId="4F1E9FAF" w14:textId="77777777" w:rsidR="003A3B00" w:rsidRDefault="003A3B00" w:rsidP="002D44FC">
      <w:pPr>
        <w:jc w:val="both"/>
      </w:pPr>
      <w:r>
        <w:t xml:space="preserve">As such, Commission staff </w:t>
      </w:r>
      <w:r w:rsidR="002D44FC">
        <w:t>recommends</w:t>
      </w:r>
      <w:r>
        <w:t xml:space="preserve"> that t</w:t>
      </w:r>
      <w:r w:rsidR="002D44FC">
        <w:t>he</w:t>
      </w:r>
      <w:r w:rsidR="002D44FC" w:rsidRPr="002D44FC">
        <w:t xml:space="preserve"> </w:t>
      </w:r>
      <w:r w:rsidR="002D44FC">
        <w:t xml:space="preserve">Commission should approve the extension of the Territorial Agreement between TECO and SECO and approve the proposed First Amendment to the Territorial Agreement. </w:t>
      </w:r>
      <w:proofErr w:type="gramStart"/>
      <w:r w:rsidR="002D44FC">
        <w:t>The proposed extension and First Amendment to the Territorial Agreement are in the public interest and will avoid uneconomic duplication of facilities.</w:t>
      </w:r>
      <w:proofErr w:type="gramEnd"/>
    </w:p>
    <w:p w14:paraId="64E0E8FE" w14:textId="77777777" w:rsidR="003A3B00" w:rsidRDefault="003A3B00" w:rsidP="002024F6">
      <w:pPr>
        <w:pStyle w:val="IssueHeading"/>
        <w:rPr>
          <w:vanish/>
          <w:specVanish/>
        </w:rPr>
      </w:pPr>
      <w:r w:rsidRPr="004C3641">
        <w:rPr>
          <w:b w:val="0"/>
          <w:i w:val="0"/>
        </w:rPr>
        <w:br w:type="page"/>
      </w:r>
      <w:r w:rsidRPr="004C3641">
        <w:lastRenderedPageBreak/>
        <w:t xml:space="preserve">Issue </w:t>
      </w:r>
      <w:r w:rsidR="0036532B">
        <w:fldChar w:fldCharType="begin"/>
      </w:r>
      <w:r w:rsidR="0036532B">
        <w:instrText xml:space="preserve"> SEQ Issue \* MERGEFORMAT </w:instrText>
      </w:r>
      <w:r w:rsidR="0036532B">
        <w:fldChar w:fldCharType="separate"/>
      </w:r>
      <w:r w:rsidR="00AA418F">
        <w:rPr>
          <w:noProof/>
        </w:rPr>
        <w:t>2</w:t>
      </w:r>
      <w:r w:rsidR="0036532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A418F">
        <w:rPr>
          <w:noProof/>
        </w:rPr>
        <w:instrText>2</w:instrText>
      </w:r>
      <w:r>
        <w:fldChar w:fldCharType="end"/>
      </w:r>
      <w:r>
        <w:tab/>
        <w:instrText xml:space="preserve">" \l 1 </w:instrText>
      </w:r>
      <w:r>
        <w:fldChar w:fldCharType="end"/>
      </w:r>
      <w:r>
        <w:t> </w:t>
      </w:r>
    </w:p>
    <w:p w14:paraId="2357521C" w14:textId="77777777" w:rsidR="003A3B00" w:rsidRDefault="003A3B00">
      <w:pPr>
        <w:pStyle w:val="BodyText"/>
      </w:pPr>
      <w:r>
        <w:t> </w:t>
      </w:r>
      <w:proofErr w:type="gramStart"/>
      <w:r>
        <w:t>Should this docket be closed</w:t>
      </w:r>
      <w:proofErr w:type="gramEnd"/>
      <w:r>
        <w:t>?</w:t>
      </w:r>
    </w:p>
    <w:p w14:paraId="67F5BCFC" w14:textId="77777777" w:rsidR="003A3B00" w:rsidRPr="004C3641" w:rsidRDefault="003A3B00">
      <w:pPr>
        <w:pStyle w:val="IssueSubsectionHeading"/>
        <w:rPr>
          <w:vanish/>
          <w:specVanish/>
        </w:rPr>
      </w:pPr>
      <w:r w:rsidRPr="004C3641">
        <w:t>Recommendation: </w:t>
      </w:r>
    </w:p>
    <w:p w14:paraId="595FEDF5" w14:textId="77777777" w:rsidR="003A3B00" w:rsidRDefault="003A3B00">
      <w:pPr>
        <w:pStyle w:val="BodyText"/>
      </w:pPr>
      <w:r>
        <w:t> </w:t>
      </w:r>
      <w:r w:rsidR="008F76A5">
        <w:t xml:space="preserve">If </w:t>
      </w:r>
      <w:proofErr w:type="gramStart"/>
      <w:r w:rsidR="008F76A5">
        <w:t>no protest is filed by a person</w:t>
      </w:r>
      <w:proofErr w:type="gramEnd"/>
      <w:r w:rsidR="008F76A5">
        <w:t xml:space="preserve"> whose substantial interests are affected within 21 days of the issuance of the Order, this docket should be closed upon the issuance of the Consummating Order. </w:t>
      </w:r>
      <w:r>
        <w:t>(Brownless)</w:t>
      </w:r>
    </w:p>
    <w:p w14:paraId="5038A4BF" w14:textId="77777777" w:rsidR="003A3B00" w:rsidRPr="004C3641" w:rsidRDefault="003A3B00">
      <w:pPr>
        <w:pStyle w:val="IssueSubsectionHeading"/>
        <w:rPr>
          <w:vanish/>
          <w:specVanish/>
        </w:rPr>
      </w:pPr>
      <w:r w:rsidRPr="004C3641">
        <w:t>Staff Analysis: </w:t>
      </w:r>
    </w:p>
    <w:p w14:paraId="28151DF0" w14:textId="77777777" w:rsidR="00656330" w:rsidRDefault="003A3B00" w:rsidP="003A3B00">
      <w:pPr>
        <w:pStyle w:val="BodyText"/>
        <w:sectPr w:rsidR="00656330"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w:t>
      </w:r>
      <w:r w:rsidR="008F76A5">
        <w:t xml:space="preserve">If </w:t>
      </w:r>
      <w:proofErr w:type="gramStart"/>
      <w:r w:rsidR="008F76A5">
        <w:t>no protest is filed by a person</w:t>
      </w:r>
      <w:proofErr w:type="gramEnd"/>
      <w:r w:rsidR="008F76A5">
        <w:t xml:space="preserve"> whose substantial interests are affected within 21 days of the issuance of the Order, this docket should be closed upon the issuance of the Consummating Order.</w:t>
      </w:r>
    </w:p>
    <w:p w14:paraId="4D2A3EE7" w14:textId="77777777" w:rsidR="00656330" w:rsidRDefault="00656330" w:rsidP="003A3B00">
      <w:pPr>
        <w:pStyle w:val="BodyText"/>
        <w:sectPr w:rsidR="00656330"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71013D6" wp14:editId="7ED5D55A">
            <wp:extent cx="5935345" cy="7573010"/>
            <wp:effectExtent l="0" t="0" r="8255" b="8890"/>
            <wp:docPr id="2" name="Picture 2" descr="I:\00MASTER FOLDER\TEMPORARY STAFF WORKFILES\Technical Staff\Corey\2020\Docket 20200116\Pages from 11561-1994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0MASTER FOLDER\TEMPORARY STAFF WORKFILES\Technical Staff\Corey\2020\Docket 20200116\Pages from 11561-1994_Page_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573010"/>
                    </a:xfrm>
                    <a:prstGeom prst="rect">
                      <a:avLst/>
                    </a:prstGeom>
                    <a:noFill/>
                    <a:ln>
                      <a:noFill/>
                    </a:ln>
                  </pic:spPr>
                </pic:pic>
              </a:graphicData>
            </a:graphic>
          </wp:inline>
        </w:drawing>
      </w:r>
      <w:r>
        <w:rPr>
          <w:noProof/>
        </w:rPr>
        <w:lastRenderedPageBreak/>
        <w:drawing>
          <wp:inline distT="0" distB="0" distL="0" distR="0" wp14:anchorId="6C66CB03" wp14:editId="3E8732E4">
            <wp:extent cx="5935345" cy="7564755"/>
            <wp:effectExtent l="0" t="0" r="8255" b="0"/>
            <wp:docPr id="3" name="Picture 3" descr="I:\00MASTER FOLDER\TEMPORARY STAFF WORKFILES\Technical Staff\Corey\2020\Docket 20200116\Pages from 11561-1994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0MASTER FOLDER\TEMPORARY STAFF WORKFILES\Technical Staff\Corey\2020\Docket 20200116\Pages from 11561-1994_Page_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r>
        <w:rPr>
          <w:noProof/>
        </w:rPr>
        <w:lastRenderedPageBreak/>
        <w:drawing>
          <wp:inline distT="0" distB="0" distL="0" distR="0" wp14:anchorId="63B837F5" wp14:editId="2D4797C2">
            <wp:extent cx="5935345" cy="7573010"/>
            <wp:effectExtent l="0" t="0" r="8255" b="8890"/>
            <wp:docPr id="4" name="Picture 4" descr="I:\00MASTER FOLDER\TEMPORARY STAFF WORKFILES\Technical Staff\Corey\2020\Docket 20200116\Pages from 11561-1994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0MASTER FOLDER\TEMPORARY STAFF WORKFILES\Technical Staff\Corey\2020\Docket 20200116\Pages from 11561-1994_Page_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7573010"/>
                    </a:xfrm>
                    <a:prstGeom prst="rect">
                      <a:avLst/>
                    </a:prstGeom>
                    <a:noFill/>
                    <a:ln>
                      <a:noFill/>
                    </a:ln>
                  </pic:spPr>
                </pic:pic>
              </a:graphicData>
            </a:graphic>
          </wp:inline>
        </w:drawing>
      </w:r>
      <w:r>
        <w:rPr>
          <w:noProof/>
        </w:rPr>
        <w:lastRenderedPageBreak/>
        <w:drawing>
          <wp:inline distT="0" distB="0" distL="0" distR="0" wp14:anchorId="2E95BA94" wp14:editId="41239615">
            <wp:extent cx="5935345" cy="7564755"/>
            <wp:effectExtent l="0" t="0" r="8255" b="0"/>
            <wp:docPr id="5" name="Picture 5" descr="I:\00MASTER FOLDER\TEMPORARY STAFF WORKFILES\Technical Staff\Corey\2020\Docket 20200116\Pages from 11561-1994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MASTER FOLDER\TEMPORARY STAFF WORKFILES\Technical Staff\Corey\2020\Docket 20200116\Pages from 11561-1994_Page_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r>
        <w:rPr>
          <w:noProof/>
        </w:rPr>
        <w:lastRenderedPageBreak/>
        <w:drawing>
          <wp:inline distT="0" distB="0" distL="0" distR="0" wp14:anchorId="0D418710" wp14:editId="25E725B7">
            <wp:extent cx="5935345" cy="7556500"/>
            <wp:effectExtent l="0" t="0" r="8255" b="6350"/>
            <wp:docPr id="6" name="Picture 6" descr="I:\00MASTER FOLDER\TEMPORARY STAFF WORKFILES\Technical Staff\Corey\2020\Docket 20200116\Pages from 11561-1994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0MASTER FOLDER\TEMPORARY STAFF WORKFILES\Technical Staff\Corey\2020\Docket 20200116\Pages from 11561-1994_Page_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7556500"/>
                    </a:xfrm>
                    <a:prstGeom prst="rect">
                      <a:avLst/>
                    </a:prstGeom>
                    <a:noFill/>
                    <a:ln>
                      <a:noFill/>
                    </a:ln>
                  </pic:spPr>
                </pic:pic>
              </a:graphicData>
            </a:graphic>
          </wp:inline>
        </w:drawing>
      </w:r>
      <w:r>
        <w:rPr>
          <w:noProof/>
        </w:rPr>
        <w:lastRenderedPageBreak/>
        <w:drawing>
          <wp:inline distT="0" distB="0" distL="0" distR="0" wp14:anchorId="2F9E9A19" wp14:editId="728A88E5">
            <wp:extent cx="5935345" cy="7564755"/>
            <wp:effectExtent l="0" t="0" r="8255" b="0"/>
            <wp:docPr id="16" name="Picture 16" descr="I:\00MASTER FOLDER\TEMPORARY STAFF WORKFILES\Technical Staff\Corey\2020\Docket 20200116\Pages from 11561-1994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00MASTER FOLDER\TEMPORARY STAFF WORKFILES\Technical Staff\Corey\2020\Docket 20200116\Pages from 11561-1994_Page_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r>
        <w:rPr>
          <w:noProof/>
        </w:rPr>
        <w:lastRenderedPageBreak/>
        <w:drawing>
          <wp:inline distT="0" distB="0" distL="0" distR="0" wp14:anchorId="47B2B4E6" wp14:editId="2DD2B133">
            <wp:extent cx="5935345" cy="7564755"/>
            <wp:effectExtent l="0" t="0" r="8255" b="0"/>
            <wp:docPr id="17" name="Picture 17" descr="I:\00MASTER FOLDER\TEMPORARY STAFF WORKFILES\Technical Staff\Corey\2020\Docket 20200116\Pages from 11561-1994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00MASTER FOLDER\TEMPORARY STAFF WORKFILES\Technical Staff\Corey\2020\Docket 20200116\Pages from 11561-1994_Page_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r>
        <w:rPr>
          <w:noProof/>
        </w:rPr>
        <w:lastRenderedPageBreak/>
        <w:drawing>
          <wp:inline distT="0" distB="0" distL="0" distR="0" wp14:anchorId="06E4BC9C" wp14:editId="1024604D">
            <wp:extent cx="5935345" cy="7564755"/>
            <wp:effectExtent l="0" t="0" r="8255" b="0"/>
            <wp:docPr id="18" name="Picture 18" descr="I:\00MASTER FOLDER\TEMPORARY STAFF WORKFILES\Technical Staff\Corey\2020\Docket 20200116\Pages from 11561-1994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00MASTER FOLDER\TEMPORARY STAFF WORKFILES\Technical Staff\Corey\2020\Docket 20200116\Pages from 11561-1994_Page_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r>
        <w:rPr>
          <w:noProof/>
        </w:rPr>
        <w:lastRenderedPageBreak/>
        <w:drawing>
          <wp:inline distT="0" distB="0" distL="0" distR="0" wp14:anchorId="5E8F2337" wp14:editId="3446EC7E">
            <wp:extent cx="5935345" cy="7564755"/>
            <wp:effectExtent l="0" t="0" r="8255" b="0"/>
            <wp:docPr id="7" name="Picture 7" descr="I:\00MASTER FOLDER\TEMPORARY STAFF WORKFILES\Technical Staff\Corey\2020\Docket 20200116\Pages from 11561-1994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00MASTER FOLDER\TEMPORARY STAFF WORKFILES\Technical Staff\Corey\2020\Docket 20200116\Pages from 11561-1994_Page_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r>
        <w:rPr>
          <w:noProof/>
        </w:rPr>
        <w:lastRenderedPageBreak/>
        <w:drawing>
          <wp:inline distT="0" distB="0" distL="0" distR="0" wp14:anchorId="1FEB6CC0" wp14:editId="25B7C676">
            <wp:extent cx="5935345" cy="7573010"/>
            <wp:effectExtent l="0" t="0" r="8255" b="8890"/>
            <wp:docPr id="8" name="Picture 8" descr="I:\00MASTER FOLDER\TEMPORARY STAFF WORKFILES\Technical Staff\Corey\2020\Docket 20200116\Pages from 11561-1994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00MASTER FOLDER\TEMPORARY STAFF WORKFILES\Technical Staff\Corey\2020\Docket 20200116\Pages from 11561-1994_Page_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345" cy="7573010"/>
                    </a:xfrm>
                    <a:prstGeom prst="rect">
                      <a:avLst/>
                    </a:prstGeom>
                    <a:noFill/>
                    <a:ln>
                      <a:noFill/>
                    </a:ln>
                  </pic:spPr>
                </pic:pic>
              </a:graphicData>
            </a:graphic>
          </wp:inline>
        </w:drawing>
      </w:r>
      <w:r>
        <w:rPr>
          <w:noProof/>
        </w:rPr>
        <w:lastRenderedPageBreak/>
        <w:drawing>
          <wp:inline distT="0" distB="0" distL="0" distR="0" wp14:anchorId="16456600" wp14:editId="7F66CC43">
            <wp:extent cx="5935345" cy="7564755"/>
            <wp:effectExtent l="0" t="0" r="8255" b="0"/>
            <wp:docPr id="9" name="Picture 9" descr="I:\00MASTER FOLDER\TEMPORARY STAFF WORKFILES\Technical Staff\Corey\2020\Docket 20200116\Pages from 11561-1994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00MASTER FOLDER\TEMPORARY STAFF WORKFILES\Technical Staff\Corey\2020\Docket 20200116\Pages from 11561-1994_Page_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r>
        <w:rPr>
          <w:noProof/>
        </w:rPr>
        <w:lastRenderedPageBreak/>
        <w:drawing>
          <wp:inline distT="0" distB="0" distL="0" distR="0" wp14:anchorId="25B7245F" wp14:editId="7DFB1811">
            <wp:extent cx="5935345" cy="7564755"/>
            <wp:effectExtent l="0" t="0" r="8255" b="0"/>
            <wp:docPr id="10" name="Picture 10" descr="I:\00MASTER FOLDER\TEMPORARY STAFF WORKFILES\Technical Staff\Corey\2020\Docket 20200116\Pages from 11561-1994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00MASTER FOLDER\TEMPORARY STAFF WORKFILES\Technical Staff\Corey\2020\Docket 20200116\Pages from 11561-1994_Page_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r>
        <w:rPr>
          <w:noProof/>
        </w:rPr>
        <w:lastRenderedPageBreak/>
        <w:drawing>
          <wp:inline distT="0" distB="0" distL="0" distR="0" wp14:anchorId="24D72FED" wp14:editId="6E56525D">
            <wp:extent cx="5935345" cy="7573010"/>
            <wp:effectExtent l="0" t="0" r="8255" b="8890"/>
            <wp:docPr id="11" name="Picture 11" descr="I:\00MASTER FOLDER\TEMPORARY STAFF WORKFILES\Technical Staff\Corey\2020\Docket 20200116\Pages from 11561-1994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00MASTER FOLDER\TEMPORARY STAFF WORKFILES\Technical Staff\Corey\2020\Docket 20200116\Pages from 11561-1994_Page_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345" cy="7573010"/>
                    </a:xfrm>
                    <a:prstGeom prst="rect">
                      <a:avLst/>
                    </a:prstGeom>
                    <a:noFill/>
                    <a:ln>
                      <a:noFill/>
                    </a:ln>
                  </pic:spPr>
                </pic:pic>
              </a:graphicData>
            </a:graphic>
          </wp:inline>
        </w:drawing>
      </w:r>
      <w:r>
        <w:rPr>
          <w:noProof/>
        </w:rPr>
        <w:lastRenderedPageBreak/>
        <w:drawing>
          <wp:inline distT="0" distB="0" distL="0" distR="0" wp14:anchorId="00A2ADA1" wp14:editId="7BEBA611">
            <wp:extent cx="5935345" cy="7573010"/>
            <wp:effectExtent l="0" t="0" r="8255" b="8890"/>
            <wp:docPr id="12" name="Picture 12" descr="I:\00MASTER FOLDER\TEMPORARY STAFF WORKFILES\Technical Staff\Corey\2020\Docket 20200116\Pages from 11561-1994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00MASTER FOLDER\TEMPORARY STAFF WORKFILES\Technical Staff\Corey\2020\Docket 20200116\Pages from 11561-1994_Page_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345" cy="7573010"/>
                    </a:xfrm>
                    <a:prstGeom prst="rect">
                      <a:avLst/>
                    </a:prstGeom>
                    <a:noFill/>
                    <a:ln>
                      <a:noFill/>
                    </a:ln>
                  </pic:spPr>
                </pic:pic>
              </a:graphicData>
            </a:graphic>
          </wp:inline>
        </w:drawing>
      </w:r>
      <w:r>
        <w:rPr>
          <w:noProof/>
        </w:rPr>
        <w:lastRenderedPageBreak/>
        <w:drawing>
          <wp:inline distT="0" distB="0" distL="0" distR="0" wp14:anchorId="1A4EDD4E" wp14:editId="5E8CB367">
            <wp:extent cx="5935345" cy="7589520"/>
            <wp:effectExtent l="0" t="0" r="8255" b="0"/>
            <wp:docPr id="13" name="Picture 13" descr="I:\00MASTER FOLDER\TEMPORARY STAFF WORKFILES\Technical Staff\Corey\2020\Docket 20200116\Pages from 11561-1994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00MASTER FOLDER\TEMPORARY STAFF WORKFILES\Technical Staff\Corey\2020\Docket 20200116\Pages from 11561-1994_Page_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45" cy="7589520"/>
                    </a:xfrm>
                    <a:prstGeom prst="rect">
                      <a:avLst/>
                    </a:prstGeom>
                    <a:noFill/>
                    <a:ln>
                      <a:noFill/>
                    </a:ln>
                  </pic:spPr>
                </pic:pic>
              </a:graphicData>
            </a:graphic>
          </wp:inline>
        </w:drawing>
      </w:r>
      <w:r>
        <w:rPr>
          <w:noProof/>
        </w:rPr>
        <w:lastRenderedPageBreak/>
        <w:drawing>
          <wp:inline distT="0" distB="0" distL="0" distR="0" wp14:anchorId="56CB6DDA" wp14:editId="55423290">
            <wp:extent cx="5935345" cy="4663440"/>
            <wp:effectExtent l="0" t="0" r="8255" b="3810"/>
            <wp:docPr id="14" name="Picture 14" descr="I:\00MASTER FOLDER\TEMPORARY STAFF WORKFILES\Technical Staff\Corey\2020\Docket 20200116\Pages from 11561-1994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00MASTER FOLDER\TEMPORARY STAFF WORKFILES\Technical Staff\Corey\2020\Docket 20200116\Pages from 11561-1994_Page_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5345" cy="4663440"/>
                    </a:xfrm>
                    <a:prstGeom prst="rect">
                      <a:avLst/>
                    </a:prstGeom>
                    <a:noFill/>
                    <a:ln>
                      <a:noFill/>
                    </a:ln>
                  </pic:spPr>
                </pic:pic>
              </a:graphicData>
            </a:graphic>
          </wp:inline>
        </w:drawing>
      </w:r>
      <w:r>
        <w:rPr>
          <w:noProof/>
        </w:rPr>
        <w:lastRenderedPageBreak/>
        <w:drawing>
          <wp:inline distT="0" distB="0" distL="0" distR="0" wp14:anchorId="679AAD81" wp14:editId="33FF1CFC">
            <wp:extent cx="5935345" cy="4663440"/>
            <wp:effectExtent l="0" t="0" r="8255" b="3810"/>
            <wp:docPr id="15" name="Picture 15" descr="I:\00MASTER FOLDER\TEMPORARY STAFF WORKFILES\Technical Staff\Corey\2020\Docket 20200116\Pages from 11561-1994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00MASTER FOLDER\TEMPORARY STAFF WORKFILES\Technical Staff\Corey\2020\Docket 20200116\Pages from 11561-1994_Page_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5345" cy="4663440"/>
                    </a:xfrm>
                    <a:prstGeom prst="rect">
                      <a:avLst/>
                    </a:prstGeom>
                    <a:noFill/>
                    <a:ln>
                      <a:noFill/>
                    </a:ln>
                  </pic:spPr>
                </pic:pic>
              </a:graphicData>
            </a:graphic>
          </wp:inline>
        </w:drawing>
      </w:r>
    </w:p>
    <w:p w14:paraId="68BBFF07" w14:textId="77777777" w:rsidR="00656330" w:rsidRDefault="00534C8A" w:rsidP="003A3B00">
      <w:pPr>
        <w:pStyle w:val="BodyText"/>
      </w:pPr>
      <w:r>
        <w:rPr>
          <w:noProof/>
        </w:rPr>
        <w:lastRenderedPageBreak/>
        <w:drawing>
          <wp:inline distT="0" distB="0" distL="0" distR="0" wp14:anchorId="5D07B155" wp14:editId="0B2AF627">
            <wp:extent cx="5943600" cy="7683500"/>
            <wp:effectExtent l="0" t="0" r="0" b="0"/>
            <wp:docPr id="22" name="Picture 22" descr="I:\00MASTER FOLDER\TEMPORARY STAFF WORKFILES\Technical Staff\Corey\2020\Docket 20200116\Pages from 01732-202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00MASTER FOLDER\TEMPORARY STAFF WORKFILES\Technical Staff\Corey\2020\Docket 20200116\Pages from 01732-2020_Page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Pr>
          <w:noProof/>
        </w:rPr>
        <w:lastRenderedPageBreak/>
        <w:drawing>
          <wp:inline distT="0" distB="0" distL="0" distR="0" wp14:anchorId="0A31FBB4" wp14:editId="3A91F172">
            <wp:extent cx="5943600" cy="7683500"/>
            <wp:effectExtent l="0" t="0" r="0" b="0"/>
            <wp:docPr id="19" name="Picture 19" descr="I:\00MASTER FOLDER\TEMPORARY STAFF WORKFILES\Technical Staff\Corey\2020\Docket 20200116\Pages from 01732-20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00MASTER FOLDER\TEMPORARY STAFF WORKFILES\Technical Staff\Corey\2020\Docket 20200116\Pages from 01732-2020_Page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Pr>
          <w:noProof/>
        </w:rPr>
        <w:lastRenderedPageBreak/>
        <w:drawing>
          <wp:inline distT="0" distB="0" distL="0" distR="0" wp14:anchorId="0BE88014" wp14:editId="718634B0">
            <wp:extent cx="5943600" cy="7683500"/>
            <wp:effectExtent l="0" t="0" r="0" b="0"/>
            <wp:docPr id="20" name="Picture 20" descr="I:\00MASTER FOLDER\TEMPORARY STAFF WORKFILES\Technical Staff\Corey\2020\Docket 20200116\Pages from 01732-202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00MASTER FOLDER\TEMPORARY STAFF WORKFILES\Technical Staff\Corey\2020\Docket 20200116\Pages from 01732-2020_Page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Pr>
          <w:noProof/>
        </w:rPr>
        <w:lastRenderedPageBreak/>
        <w:drawing>
          <wp:inline distT="0" distB="0" distL="0" distR="0" wp14:anchorId="44A03155" wp14:editId="50916B36">
            <wp:extent cx="5943600" cy="7683500"/>
            <wp:effectExtent l="0" t="0" r="0" b="0"/>
            <wp:docPr id="21" name="Picture 21" descr="I:\00MASTER FOLDER\TEMPORARY STAFF WORKFILES\Technical Staff\Corey\2020\Docket 20200116\Pages from 01732-202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00MASTER FOLDER\TEMPORARY STAFF WORKFILES\Technical Staff\Corey\2020\Docket 20200116\Pages from 01732-2020_Page_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sectPr w:rsidR="00656330" w:rsidSect="0068481F">
      <w:headerReference w:type="default" r:id="rId3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1D411" w14:textId="77777777" w:rsidR="00FB4052" w:rsidRDefault="00FB4052">
      <w:r>
        <w:separator/>
      </w:r>
    </w:p>
  </w:endnote>
  <w:endnote w:type="continuationSeparator" w:id="0">
    <w:p w14:paraId="5DAF8CAE" w14:textId="77777777" w:rsidR="00FB4052" w:rsidRDefault="00FB4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67CF3" w14:textId="77777777"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86F71">
      <w:rPr>
        <w:rStyle w:val="PageNumber"/>
        <w:noProof/>
      </w:rPr>
      <w:t>26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8EF97" w14:textId="77777777"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40D6A" w14:textId="77777777" w:rsidR="00FB4052" w:rsidRDefault="00FB4052">
      <w:r>
        <w:separator/>
      </w:r>
    </w:p>
  </w:footnote>
  <w:footnote w:type="continuationSeparator" w:id="0">
    <w:p w14:paraId="0FFCC0B1" w14:textId="77777777" w:rsidR="00FB4052" w:rsidRDefault="00FB4052">
      <w:r>
        <w:continuationSeparator/>
      </w:r>
    </w:p>
  </w:footnote>
  <w:footnote w:id="1">
    <w:p w14:paraId="0A528CC7" w14:textId="77777777" w:rsidR="003A3B00" w:rsidRPr="00C44241" w:rsidRDefault="003A3B00" w:rsidP="003A3B00">
      <w:pPr>
        <w:pStyle w:val="FootnoteText"/>
        <w:rPr>
          <w:i/>
        </w:rPr>
      </w:pPr>
      <w:r w:rsidRPr="00C44241">
        <w:rPr>
          <w:rStyle w:val="FootnoteReference"/>
        </w:rPr>
        <w:footnoteRef/>
      </w:r>
      <w:r w:rsidRPr="00C44241">
        <w:t xml:space="preserve"> </w:t>
      </w:r>
      <w:proofErr w:type="gramStart"/>
      <w:r w:rsidRPr="00C44241">
        <w:t>Order No.</w:t>
      </w:r>
      <w:proofErr w:type="gramEnd"/>
      <w:r w:rsidRPr="00C44241">
        <w:t xml:space="preserve"> PSC-1994-1397-FOF-EU, issued November 16, 1994</w:t>
      </w:r>
      <w:r w:rsidR="007465B2" w:rsidRPr="00C44241">
        <w:t>,</w:t>
      </w:r>
      <w:r w:rsidRPr="00C44241">
        <w:t xml:space="preserve"> in Docket No. 19940947-EU, </w:t>
      </w:r>
      <w:r w:rsidRPr="00C44241">
        <w:rPr>
          <w:i/>
        </w:rPr>
        <w:t xml:space="preserve">In </w:t>
      </w:r>
      <w:proofErr w:type="gramStart"/>
      <w:r w:rsidRPr="00C44241">
        <w:rPr>
          <w:i/>
        </w:rPr>
        <w:t>re: Joint</w:t>
      </w:r>
      <w:proofErr w:type="gramEnd"/>
      <w:r w:rsidRPr="00C44241">
        <w:rPr>
          <w:i/>
        </w:rPr>
        <w:t xml:space="preserve"> petition for approval of territorial agreement between Tampa Electric Company and Sumter Electric Cooperative, Inc.</w:t>
      </w:r>
    </w:p>
  </w:footnote>
  <w:footnote w:id="2">
    <w:p w14:paraId="1BEF77CD" w14:textId="77777777" w:rsidR="003A3B00" w:rsidRDefault="003A3B00" w:rsidP="003A3B00">
      <w:pPr>
        <w:pStyle w:val="FootnoteText"/>
      </w:pPr>
      <w:r>
        <w:rPr>
          <w:rStyle w:val="FootnoteReference"/>
        </w:rPr>
        <w:footnoteRef/>
      </w:r>
      <w:r>
        <w:t xml:space="preserve"> </w:t>
      </w:r>
      <w:r w:rsidRPr="00E57159">
        <w:rPr>
          <w:u w:val="single"/>
        </w:rPr>
        <w:t>Utilities Commission of the City of New Smyrna Beach v. Florida Public Service Commission</w:t>
      </w:r>
      <w:r w:rsidRPr="00E57159">
        <w:t xml:space="preserve">, 469 So. </w:t>
      </w:r>
      <w:proofErr w:type="gramStart"/>
      <w:r w:rsidRPr="00E57159">
        <w:t>2d 731 (Fla. 1985)</w:t>
      </w:r>
      <w:r w:rsidR="008F76A5" w:rsidRPr="00E57159">
        <w:t>.</w:t>
      </w:r>
      <w:proofErr w:type="gramEnd"/>
    </w:p>
  </w:footnote>
  <w:footnote w:id="3">
    <w:p w14:paraId="4CD3AE37" w14:textId="77777777" w:rsidR="00C4055C" w:rsidRPr="00E57159" w:rsidRDefault="00C4055C" w:rsidP="00C4055C">
      <w:pPr>
        <w:pStyle w:val="FootnoteText"/>
      </w:pPr>
      <w:r>
        <w:rPr>
          <w:rStyle w:val="FootnoteReference"/>
        </w:rPr>
        <w:footnoteRef/>
      </w:r>
      <w:r>
        <w:t xml:space="preserve"> </w:t>
      </w:r>
      <w:r w:rsidRPr="00E57159">
        <w:t>Response No. 1 to staff’s first data request (Document No. 02374-2020).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6FC34" w14:textId="77777777" w:rsidR="00BC402E" w:rsidRDefault="003A3B0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20200116-EU</w:t>
    </w:r>
    <w:bookmarkEnd w:id="15"/>
  </w:p>
  <w:p w14:paraId="4FF631EE" w14:textId="77777777" w:rsidR="00BC402E" w:rsidRDefault="00BC402E">
    <w:pPr>
      <w:pStyle w:val="Header"/>
    </w:pPr>
    <w:r>
      <w:t xml:space="preserve">Date: </w:t>
    </w:r>
    <w:r w:rsidR="0036532B">
      <w:fldChar w:fldCharType="begin"/>
    </w:r>
    <w:r w:rsidR="0036532B">
      <w:instrText xml:space="preserve"> REF FilingDate </w:instrText>
    </w:r>
    <w:r w:rsidR="0036532B">
      <w:fldChar w:fldCharType="separate"/>
    </w:r>
    <w:r w:rsidR="00AA418F">
      <w:t>June 24, 2020</w:t>
    </w:r>
    <w:r w:rsidR="0036532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ACA45" w14:textId="77777777"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A418F">
      <w:t>Docket No.</w:t>
    </w:r>
    <w:r>
      <w:fldChar w:fldCharType="end"/>
    </w:r>
    <w:r>
      <w:t xml:space="preserve"> </w:t>
    </w:r>
    <w:r>
      <w:fldChar w:fldCharType="begin"/>
    </w:r>
    <w:r>
      <w:instrText xml:space="preserve"> REF DocketList</w:instrText>
    </w:r>
    <w:r>
      <w:fldChar w:fldCharType="separate"/>
    </w:r>
    <w:r w:rsidR="00AA418F">
      <w:t>20200116-EU</w:t>
    </w:r>
    <w:r>
      <w:fldChar w:fldCharType="end"/>
    </w:r>
    <w:r>
      <w:tab/>
      <w:t xml:space="preserve">Issue </w:t>
    </w:r>
    <w:fldSimple w:instr=" Seq Issue \c \* Arabic ">
      <w:r w:rsidR="00186F71">
        <w:rPr>
          <w:noProof/>
        </w:rPr>
        <w:t>2</w:t>
      </w:r>
    </w:fldSimple>
  </w:p>
  <w:p w14:paraId="508E94A1" w14:textId="77777777" w:rsidR="00BC402E" w:rsidRDefault="00BC402E">
    <w:pPr>
      <w:pStyle w:val="Header"/>
    </w:pPr>
    <w:r>
      <w:t xml:space="preserve">Date: </w:t>
    </w:r>
    <w:r w:rsidR="0036532B">
      <w:fldChar w:fldCharType="begin"/>
    </w:r>
    <w:r w:rsidR="0036532B">
      <w:instrText xml:space="preserve"> REF FilingDate </w:instrText>
    </w:r>
    <w:r w:rsidR="0036532B">
      <w:fldChar w:fldCharType="separate"/>
    </w:r>
    <w:r w:rsidR="00AA418F">
      <w:t>June 24, 2020</w:t>
    </w:r>
    <w:r w:rsidR="0036532B">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6B083" w14:textId="77777777"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12488" w14:textId="77777777" w:rsidR="00F34F53" w:rsidRDefault="00656330" w:rsidP="00220732">
    <w:pPr>
      <w:pStyle w:val="Header"/>
      <w:tabs>
        <w:tab w:val="clear" w:pos="4320"/>
        <w:tab w:val="clear" w:pos="8640"/>
        <w:tab w:val="right" w:pos="9360"/>
      </w:tabs>
    </w:pPr>
    <w:r>
      <w:fldChar w:fldCharType="begin"/>
    </w:r>
    <w:r>
      <w:instrText xml:space="preserve"> REF DocketLabel</w:instrText>
    </w:r>
    <w:r>
      <w:fldChar w:fldCharType="separate"/>
    </w:r>
    <w:r w:rsidR="00AA418F">
      <w:t>Docket No.</w:t>
    </w:r>
    <w:r>
      <w:fldChar w:fldCharType="end"/>
    </w:r>
    <w:r>
      <w:t xml:space="preserve"> </w:t>
    </w:r>
    <w:r>
      <w:fldChar w:fldCharType="begin"/>
    </w:r>
    <w:r>
      <w:instrText xml:space="preserve"> REF DocketList</w:instrText>
    </w:r>
    <w:r>
      <w:fldChar w:fldCharType="separate"/>
    </w:r>
    <w:r w:rsidR="00AA418F">
      <w:t>20200116-EU</w:t>
    </w:r>
    <w:r>
      <w:fldChar w:fldCharType="end"/>
    </w:r>
    <w:r>
      <w:tab/>
      <w:t>Attachment A</w:t>
    </w:r>
  </w:p>
  <w:p w14:paraId="4F633B8A" w14:textId="77777777" w:rsidR="00656330" w:rsidRDefault="00656330" w:rsidP="00534C8A">
    <w:pPr>
      <w:pStyle w:val="Header"/>
      <w:tabs>
        <w:tab w:val="clear" w:pos="8640"/>
        <w:tab w:val="right" w:pos="9360"/>
      </w:tabs>
    </w:pPr>
    <w:r>
      <w:t xml:space="preserve">Date: </w:t>
    </w:r>
    <w:r w:rsidR="0036532B">
      <w:fldChar w:fldCharType="begin"/>
    </w:r>
    <w:r w:rsidR="0036532B">
      <w:instrText xml:space="preserve"> REF FilingDate </w:instrText>
    </w:r>
    <w:r w:rsidR="0036532B">
      <w:fldChar w:fldCharType="separate"/>
    </w:r>
    <w:r w:rsidR="00AA418F">
      <w:t>June 24, 2020</w:t>
    </w:r>
    <w:r w:rsidR="0036532B">
      <w:fldChar w:fldCharType="end"/>
    </w:r>
    <w:r w:rsidR="00534C8A">
      <w:tab/>
    </w:r>
    <w:r w:rsidR="00534C8A">
      <w:tab/>
    </w:r>
    <w:r w:rsidR="00F34F53">
      <w:t xml:space="preserve">Page </w:t>
    </w:r>
    <w:r w:rsidR="00F34F53">
      <w:fldChar w:fldCharType="begin"/>
    </w:r>
    <w:r w:rsidR="00F34F53">
      <w:instrText xml:space="preserve"> =</w:instrText>
    </w:r>
    <w:r w:rsidR="00F34F53">
      <w:fldChar w:fldCharType="begin"/>
    </w:r>
    <w:r w:rsidR="00F34F53">
      <w:instrText xml:space="preserve"> PAGE   \* MERGEFORMAT </w:instrText>
    </w:r>
    <w:r w:rsidR="00F34F53">
      <w:fldChar w:fldCharType="separate"/>
    </w:r>
    <w:r w:rsidR="00186F71">
      <w:rPr>
        <w:noProof/>
      </w:rPr>
      <w:instrText>22</w:instrText>
    </w:r>
    <w:r w:rsidR="00F34F53">
      <w:rPr>
        <w:noProof/>
      </w:rPr>
      <w:fldChar w:fldCharType="end"/>
    </w:r>
    <w:r w:rsidR="00F34F53">
      <w:instrText xml:space="preserve">-5 </w:instrText>
    </w:r>
    <w:r w:rsidR="00F34F53">
      <w:fldChar w:fldCharType="separate"/>
    </w:r>
    <w:r w:rsidR="00186F71">
      <w:rPr>
        <w:noProof/>
      </w:rPr>
      <w:t>17</w:t>
    </w:r>
    <w:r w:rsidR="00F34F53">
      <w:fldChar w:fldCharType="end"/>
    </w:r>
    <w:r w:rsidR="00F34F53">
      <w:t xml:space="preserve"> of </w:t>
    </w:r>
    <w:r w:rsidR="00534C8A">
      <w:t>17</w:t>
    </w:r>
    <w:r w:rsidR="00F34F53">
      <w:fldChar w:fldCharType="begin"/>
    </w:r>
    <w:r w:rsidR="00F34F53">
      <w:instrText xml:space="preserve">{ ={PAGE}-1}   \* MERGEFORMAT </w:instrText>
    </w:r>
    <w:r w:rsidR="00F34F53">
      <w:fldChar w:fldCharType="separate"/>
    </w:r>
    <w:r w:rsidR="00F34F53">
      <w:rPr>
        <w:noProof/>
      </w:rPr>
      <w:t>6</w:t>
    </w:r>
    <w:r w:rsidR="00F34F5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97F19" w14:textId="77777777" w:rsidR="00656330" w:rsidRDefault="00656330" w:rsidP="00220732">
    <w:pPr>
      <w:pStyle w:val="Header"/>
      <w:tabs>
        <w:tab w:val="clear" w:pos="4320"/>
        <w:tab w:val="clear" w:pos="8640"/>
        <w:tab w:val="right" w:pos="9360"/>
      </w:tabs>
    </w:pPr>
    <w:r>
      <w:fldChar w:fldCharType="begin"/>
    </w:r>
    <w:r>
      <w:instrText xml:space="preserve"> REF DocketLabel</w:instrText>
    </w:r>
    <w:r>
      <w:fldChar w:fldCharType="separate"/>
    </w:r>
    <w:r w:rsidR="00AA418F">
      <w:t>Docket No.</w:t>
    </w:r>
    <w:r>
      <w:fldChar w:fldCharType="end"/>
    </w:r>
    <w:r>
      <w:t xml:space="preserve"> </w:t>
    </w:r>
    <w:r>
      <w:fldChar w:fldCharType="begin"/>
    </w:r>
    <w:r>
      <w:instrText xml:space="preserve"> REF DocketList</w:instrText>
    </w:r>
    <w:r>
      <w:fldChar w:fldCharType="separate"/>
    </w:r>
    <w:r w:rsidR="00AA418F">
      <w:t>20200116-EU</w:t>
    </w:r>
    <w:r>
      <w:fldChar w:fldCharType="end"/>
    </w:r>
    <w:r>
      <w:tab/>
      <w:t>Attachment B</w:t>
    </w:r>
  </w:p>
  <w:p w14:paraId="5A8D9A80" w14:textId="77777777" w:rsidR="00656330" w:rsidRDefault="00656330" w:rsidP="00534C8A">
    <w:pPr>
      <w:pStyle w:val="Header"/>
      <w:tabs>
        <w:tab w:val="clear" w:pos="8640"/>
        <w:tab w:val="right" w:pos="9360"/>
      </w:tabs>
    </w:pPr>
    <w:r>
      <w:t xml:space="preserve">Date: </w:t>
    </w:r>
    <w:r w:rsidR="0036532B">
      <w:fldChar w:fldCharType="begin"/>
    </w:r>
    <w:r w:rsidR="0036532B">
      <w:instrText xml:space="preserve"> REF FilingDate </w:instrText>
    </w:r>
    <w:r w:rsidR="0036532B">
      <w:fldChar w:fldCharType="separate"/>
    </w:r>
    <w:r w:rsidR="00AA418F">
      <w:t>June 24, 2020</w:t>
    </w:r>
    <w:r w:rsidR="0036532B">
      <w:fldChar w:fldCharType="end"/>
    </w:r>
    <w:r w:rsidR="00534C8A">
      <w:tab/>
    </w:r>
    <w:r w:rsidR="00534C8A">
      <w:tab/>
      <w:t xml:space="preserve">Page </w:t>
    </w:r>
    <w:r w:rsidR="00534C8A">
      <w:fldChar w:fldCharType="begin"/>
    </w:r>
    <w:r w:rsidR="00534C8A">
      <w:instrText xml:space="preserve"> =</w:instrText>
    </w:r>
    <w:r w:rsidR="00534C8A">
      <w:fldChar w:fldCharType="begin"/>
    </w:r>
    <w:r w:rsidR="00534C8A">
      <w:instrText xml:space="preserve"> PAGE   \* MERGEFORMAT </w:instrText>
    </w:r>
    <w:r w:rsidR="00534C8A">
      <w:fldChar w:fldCharType="separate"/>
    </w:r>
    <w:r w:rsidR="00186F71">
      <w:rPr>
        <w:noProof/>
      </w:rPr>
      <w:instrText>26</w:instrText>
    </w:r>
    <w:r w:rsidR="00534C8A">
      <w:rPr>
        <w:noProof/>
      </w:rPr>
      <w:fldChar w:fldCharType="end"/>
    </w:r>
    <w:r w:rsidR="00534C8A">
      <w:instrText xml:space="preserve">-22 </w:instrText>
    </w:r>
    <w:r w:rsidR="00534C8A">
      <w:fldChar w:fldCharType="separate"/>
    </w:r>
    <w:r w:rsidR="00186F71">
      <w:rPr>
        <w:noProof/>
      </w:rPr>
      <w:t>4</w:t>
    </w:r>
    <w:r w:rsidR="00534C8A">
      <w:fldChar w:fldCharType="end"/>
    </w:r>
    <w:r w:rsidR="00534C8A">
      <w:t xml:space="preserve"> of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0"/>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A3B00"/>
    <w:rsid w:val="000043D5"/>
    <w:rsid w:val="00006170"/>
    <w:rsid w:val="00010E37"/>
    <w:rsid w:val="000172DA"/>
    <w:rsid w:val="000240C4"/>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34EC"/>
    <w:rsid w:val="000A418B"/>
    <w:rsid w:val="000A78E4"/>
    <w:rsid w:val="000C4431"/>
    <w:rsid w:val="000D1C06"/>
    <w:rsid w:val="000D4319"/>
    <w:rsid w:val="000F374A"/>
    <w:rsid w:val="00105B4F"/>
    <w:rsid w:val="001076AF"/>
    <w:rsid w:val="00117C8C"/>
    <w:rsid w:val="00124C38"/>
    <w:rsid w:val="00124E2E"/>
    <w:rsid w:val="00125ED4"/>
    <w:rsid w:val="001305E9"/>
    <w:rsid w:val="001307AF"/>
    <w:rsid w:val="00135687"/>
    <w:rsid w:val="0015506E"/>
    <w:rsid w:val="00163031"/>
    <w:rsid w:val="00171A90"/>
    <w:rsid w:val="00180254"/>
    <w:rsid w:val="00186F71"/>
    <w:rsid w:val="00191E1F"/>
    <w:rsid w:val="00192943"/>
    <w:rsid w:val="001A7406"/>
    <w:rsid w:val="001B4FEE"/>
    <w:rsid w:val="001B51C5"/>
    <w:rsid w:val="001B6F3F"/>
    <w:rsid w:val="001C52B5"/>
    <w:rsid w:val="001D0D3E"/>
    <w:rsid w:val="001D460E"/>
    <w:rsid w:val="001F106B"/>
    <w:rsid w:val="001F2245"/>
    <w:rsid w:val="001F2C63"/>
    <w:rsid w:val="001F48C7"/>
    <w:rsid w:val="001F6DA1"/>
    <w:rsid w:val="002024F6"/>
    <w:rsid w:val="002044E6"/>
    <w:rsid w:val="00205C82"/>
    <w:rsid w:val="00205DC2"/>
    <w:rsid w:val="00212B17"/>
    <w:rsid w:val="002163B6"/>
    <w:rsid w:val="00220732"/>
    <w:rsid w:val="00221D32"/>
    <w:rsid w:val="00225C3F"/>
    <w:rsid w:val="00263D44"/>
    <w:rsid w:val="002702AD"/>
    <w:rsid w:val="00281443"/>
    <w:rsid w:val="00292D82"/>
    <w:rsid w:val="002963CB"/>
    <w:rsid w:val="002B4A01"/>
    <w:rsid w:val="002D226D"/>
    <w:rsid w:val="002D44FC"/>
    <w:rsid w:val="002F6030"/>
    <w:rsid w:val="003037E1"/>
    <w:rsid w:val="00303D39"/>
    <w:rsid w:val="00307E51"/>
    <w:rsid w:val="003103EC"/>
    <w:rsid w:val="003144EF"/>
    <w:rsid w:val="00322F74"/>
    <w:rsid w:val="00340073"/>
    <w:rsid w:val="00343EB0"/>
    <w:rsid w:val="003632FD"/>
    <w:rsid w:val="00372805"/>
    <w:rsid w:val="00373180"/>
    <w:rsid w:val="00375AB9"/>
    <w:rsid w:val="003821A0"/>
    <w:rsid w:val="00382A67"/>
    <w:rsid w:val="00385B04"/>
    <w:rsid w:val="003864CF"/>
    <w:rsid w:val="003948AE"/>
    <w:rsid w:val="003A22A6"/>
    <w:rsid w:val="003A3B00"/>
    <w:rsid w:val="003A5494"/>
    <w:rsid w:val="003B2510"/>
    <w:rsid w:val="003C03EE"/>
    <w:rsid w:val="003C2CC4"/>
    <w:rsid w:val="003C3710"/>
    <w:rsid w:val="003E0EFC"/>
    <w:rsid w:val="003E4A2B"/>
    <w:rsid w:val="003E76C2"/>
    <w:rsid w:val="003F1679"/>
    <w:rsid w:val="003F21EB"/>
    <w:rsid w:val="003F4A35"/>
    <w:rsid w:val="003F7FDD"/>
    <w:rsid w:val="00402481"/>
    <w:rsid w:val="004042B4"/>
    <w:rsid w:val="00410DC4"/>
    <w:rsid w:val="00412DAE"/>
    <w:rsid w:val="00414A4F"/>
    <w:rsid w:val="004242E6"/>
    <w:rsid w:val="00431598"/>
    <w:rsid w:val="004319AD"/>
    <w:rsid w:val="004426B8"/>
    <w:rsid w:val="00444432"/>
    <w:rsid w:val="004627C7"/>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34C8A"/>
    <w:rsid w:val="00543CB3"/>
    <w:rsid w:val="005442E4"/>
    <w:rsid w:val="0055529B"/>
    <w:rsid w:val="00560FF0"/>
    <w:rsid w:val="005614BD"/>
    <w:rsid w:val="0057154F"/>
    <w:rsid w:val="0057253E"/>
    <w:rsid w:val="00580F69"/>
    <w:rsid w:val="00581CA3"/>
    <w:rsid w:val="00587A44"/>
    <w:rsid w:val="00597730"/>
    <w:rsid w:val="005977EC"/>
    <w:rsid w:val="00597DE7"/>
    <w:rsid w:val="005A4AA2"/>
    <w:rsid w:val="005A768B"/>
    <w:rsid w:val="005B34B6"/>
    <w:rsid w:val="005B60B4"/>
    <w:rsid w:val="005B6C8F"/>
    <w:rsid w:val="005B6EC3"/>
    <w:rsid w:val="005D0F74"/>
    <w:rsid w:val="005D2E7D"/>
    <w:rsid w:val="005D4A8F"/>
    <w:rsid w:val="005D561B"/>
    <w:rsid w:val="005D5ECF"/>
    <w:rsid w:val="005F468D"/>
    <w:rsid w:val="005F69A3"/>
    <w:rsid w:val="00604887"/>
    <w:rsid w:val="00604CC7"/>
    <w:rsid w:val="00615423"/>
    <w:rsid w:val="006165B2"/>
    <w:rsid w:val="00617276"/>
    <w:rsid w:val="0062527B"/>
    <w:rsid w:val="00625D97"/>
    <w:rsid w:val="00625F1C"/>
    <w:rsid w:val="006279E1"/>
    <w:rsid w:val="00630CEB"/>
    <w:rsid w:val="00632264"/>
    <w:rsid w:val="006347D9"/>
    <w:rsid w:val="006470BC"/>
    <w:rsid w:val="006554D3"/>
    <w:rsid w:val="00656330"/>
    <w:rsid w:val="00666B9F"/>
    <w:rsid w:val="00667036"/>
    <w:rsid w:val="00672747"/>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465B2"/>
    <w:rsid w:val="007515FD"/>
    <w:rsid w:val="00760D80"/>
    <w:rsid w:val="00761D27"/>
    <w:rsid w:val="00780C09"/>
    <w:rsid w:val="00780DDF"/>
    <w:rsid w:val="007834E9"/>
    <w:rsid w:val="00787DBC"/>
    <w:rsid w:val="0079019A"/>
    <w:rsid w:val="00792935"/>
    <w:rsid w:val="007936F2"/>
    <w:rsid w:val="007A04A1"/>
    <w:rsid w:val="007A1840"/>
    <w:rsid w:val="007A4487"/>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B7A13"/>
    <w:rsid w:val="008C04B5"/>
    <w:rsid w:val="008C14FA"/>
    <w:rsid w:val="008C7B0B"/>
    <w:rsid w:val="008D4057"/>
    <w:rsid w:val="008D7ECC"/>
    <w:rsid w:val="008E1F19"/>
    <w:rsid w:val="008F2262"/>
    <w:rsid w:val="008F4D2B"/>
    <w:rsid w:val="008F76A5"/>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54994"/>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56BB"/>
    <w:rsid w:val="00A675AC"/>
    <w:rsid w:val="00A7581F"/>
    <w:rsid w:val="00A76ED0"/>
    <w:rsid w:val="00A92FB1"/>
    <w:rsid w:val="00A95A0C"/>
    <w:rsid w:val="00AA2765"/>
    <w:rsid w:val="00AA418F"/>
    <w:rsid w:val="00AA77B5"/>
    <w:rsid w:val="00AB6C5D"/>
    <w:rsid w:val="00AC3401"/>
    <w:rsid w:val="00AC51A7"/>
    <w:rsid w:val="00AD3A4E"/>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2BC7"/>
    <w:rsid w:val="00B4690A"/>
    <w:rsid w:val="00B516ED"/>
    <w:rsid w:val="00B57A6A"/>
    <w:rsid w:val="00B66286"/>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055C"/>
    <w:rsid w:val="00C44241"/>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DF3635"/>
    <w:rsid w:val="00E02F1F"/>
    <w:rsid w:val="00E06484"/>
    <w:rsid w:val="00E20A7D"/>
    <w:rsid w:val="00E275D8"/>
    <w:rsid w:val="00E30F6A"/>
    <w:rsid w:val="00E3117C"/>
    <w:rsid w:val="00E375CA"/>
    <w:rsid w:val="00E5364F"/>
    <w:rsid w:val="00E567E8"/>
    <w:rsid w:val="00E57159"/>
    <w:rsid w:val="00E64679"/>
    <w:rsid w:val="00E65EBC"/>
    <w:rsid w:val="00E66E9E"/>
    <w:rsid w:val="00E677FE"/>
    <w:rsid w:val="00E73432"/>
    <w:rsid w:val="00E77B0C"/>
    <w:rsid w:val="00E77FB8"/>
    <w:rsid w:val="00E838B0"/>
    <w:rsid w:val="00E8461E"/>
    <w:rsid w:val="00E86A7C"/>
    <w:rsid w:val="00E878E1"/>
    <w:rsid w:val="00E87F2C"/>
    <w:rsid w:val="00E95278"/>
    <w:rsid w:val="00EA2273"/>
    <w:rsid w:val="00EA7C3C"/>
    <w:rsid w:val="00EB2DB3"/>
    <w:rsid w:val="00EC3FBB"/>
    <w:rsid w:val="00EC6B7A"/>
    <w:rsid w:val="00ED3A87"/>
    <w:rsid w:val="00ED5B67"/>
    <w:rsid w:val="00ED6C63"/>
    <w:rsid w:val="00EF264C"/>
    <w:rsid w:val="00EF3FEE"/>
    <w:rsid w:val="00F04B59"/>
    <w:rsid w:val="00F11741"/>
    <w:rsid w:val="00F12B1C"/>
    <w:rsid w:val="00F13CF8"/>
    <w:rsid w:val="00F15855"/>
    <w:rsid w:val="00F200B2"/>
    <w:rsid w:val="00F227DC"/>
    <w:rsid w:val="00F32978"/>
    <w:rsid w:val="00F34F53"/>
    <w:rsid w:val="00F35901"/>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B4052"/>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422B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3A3B00"/>
  </w:style>
  <w:style w:type="character" w:styleId="FootnoteReference">
    <w:name w:val="footnote reference"/>
    <w:basedOn w:val="DefaultParagraphFont"/>
    <w:unhideWhenUsed/>
    <w:rsid w:val="003A3B0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3A3B00"/>
  </w:style>
  <w:style w:type="character" w:styleId="FootnoteReference">
    <w:name w:val="footnote reference"/>
    <w:basedOn w:val="DefaultParagraphFont"/>
    <w:unhideWhenUsed/>
    <w:rsid w:val="003A3B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A0623-6EEB-4FBA-A9E3-4E05E5109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26</Pages>
  <Words>1214</Words>
  <Characters>7287</Characters>
  <Application>Microsoft Office Word</Application>
  <DocSecurity>0</DocSecurity>
  <Lines>151</Lines>
  <Paragraphs>51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Corey Hampson</dc:creator>
  <cp:lastModifiedBy>Sevini Guffey</cp:lastModifiedBy>
  <cp:revision>2</cp:revision>
  <cp:lastPrinted>2020-06-22T18:30:00Z</cp:lastPrinted>
  <dcterms:created xsi:type="dcterms:W3CDTF">2020-06-24T14:07:00Z</dcterms:created>
  <dcterms:modified xsi:type="dcterms:W3CDTF">2020-06-24T14:07:00Z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20200116-EU</vt:lpwstr>
  </property>
  <property fmtid="{D5CDD505-2E9C-101B-9397-08002B2CF9AE}" pid="3" name="MasterDocument">
    <vt:bool>false</vt:bool>
  </property>
</Properties>
</file>