
<file path=[Content_Types].xml><?xml version="1.0" encoding="utf-8"?>
<Types xmlns="http://schemas.openxmlformats.org/package/2006/content-types">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CB5276" w:rsidRDefault="00BE1962" w:rsidP="00BE1962">
      <w:pPr>
        <w:pStyle w:val="OrderHeading"/>
      </w:pPr>
      <w:r>
        <w:t>BEFORE THE FLORIDA PUBLIC SERVICE COMMISSION</w:t>
      </w:r>
    </w:p>
    <w:p w:rsidR="00BE1962" w:rsidRDefault="00BE1962" w:rsidP="00BE1962">
      <w:pPr>
        <w:pStyle w:val="OrderBody"/>
      </w:pPr>
    </w:p>
    <w:p w:rsidR="00BE1962" w:rsidRDefault="00BE1962" w:rsidP="00BE1962">
      <w:pPr>
        <w:pStyle w:val="OrderBody"/>
      </w:pPr>
    </w:p>
    <w:tbl>
      <w:tblPr>
        <w:tblW w:w="0" w:type="auto"/>
        <w:tblBorders>
          <w:insideV w:val="double" w:sz="4" w:space="0" w:color="auto"/>
        </w:tblBorders>
        <w:tblLook w:val="01E0" w:firstRow="1" w:lastRow="1" w:firstColumn="1" w:lastColumn="1" w:noHBand="0" w:noVBand="0"/>
      </w:tblPr>
      <w:tblGrid>
        <w:gridCol w:w="4788"/>
        <w:gridCol w:w="4788"/>
      </w:tblGrid>
      <w:tr w:rsidR="00BE1962" w:rsidRPr="00C63FCF" w:rsidTr="00C63FCF">
        <w:trPr>
          <w:trHeight w:val="828"/>
        </w:trPr>
        <w:tc>
          <w:tcPr>
            <w:tcW w:w="4788" w:type="dxa"/>
            <w:tcBorders>
              <w:bottom w:val="single" w:sz="8" w:space="0" w:color="auto"/>
              <w:right w:val="double" w:sz="6" w:space="0" w:color="auto"/>
            </w:tcBorders>
            <w:shd w:val="clear" w:color="auto" w:fill="auto"/>
          </w:tcPr>
          <w:p w:rsidR="00BE1962" w:rsidRDefault="00BE1962" w:rsidP="00C63FCF">
            <w:pPr>
              <w:pStyle w:val="OrderBody"/>
              <w:tabs>
                <w:tab w:val="center" w:pos="4320"/>
                <w:tab w:val="right" w:pos="8640"/>
              </w:tabs>
              <w:jc w:val="left"/>
            </w:pPr>
            <w:r>
              <w:t xml:space="preserve">In re: </w:t>
            </w:r>
            <w:bookmarkStart w:id="0" w:name="SSInRe"/>
            <w:bookmarkEnd w:id="0"/>
            <w:r>
              <w:t>Petition for approval of new standard offer for purchase of firm capacity and energy from renewable energy facilities or small qualifying facilities and rate schedule QS-2, by Gulf Power Company.</w:t>
            </w:r>
          </w:p>
        </w:tc>
        <w:tc>
          <w:tcPr>
            <w:tcW w:w="4788" w:type="dxa"/>
            <w:tcBorders>
              <w:left w:val="double" w:sz="6" w:space="0" w:color="auto"/>
            </w:tcBorders>
            <w:shd w:val="clear" w:color="auto" w:fill="auto"/>
          </w:tcPr>
          <w:p w:rsidR="00BE1962" w:rsidRDefault="00BE1962" w:rsidP="00BE1962">
            <w:pPr>
              <w:pStyle w:val="OrderBody"/>
            </w:pPr>
            <w:r>
              <w:t xml:space="preserve">DOCKET NO. </w:t>
            </w:r>
            <w:bookmarkStart w:id="1" w:name="SSDocketNo"/>
            <w:bookmarkEnd w:id="1"/>
            <w:r>
              <w:t>20200115-EQ</w:t>
            </w:r>
          </w:p>
          <w:p w:rsidR="00BE1962" w:rsidRDefault="00BE1962" w:rsidP="00C63FCF">
            <w:pPr>
              <w:pStyle w:val="OrderBody"/>
              <w:tabs>
                <w:tab w:val="center" w:pos="4320"/>
                <w:tab w:val="right" w:pos="8640"/>
              </w:tabs>
              <w:jc w:val="left"/>
            </w:pPr>
            <w:r>
              <w:t xml:space="preserve">ORDER NO. </w:t>
            </w:r>
            <w:bookmarkStart w:id="2" w:name="OrderNo0213"/>
            <w:r w:rsidR="00134EA9">
              <w:t>PSC-2020-0213-PAA-EQ</w:t>
            </w:r>
            <w:bookmarkEnd w:id="2"/>
          </w:p>
          <w:p w:rsidR="00BE1962" w:rsidRDefault="00BE1962" w:rsidP="00C63FCF">
            <w:pPr>
              <w:pStyle w:val="OrderBody"/>
              <w:tabs>
                <w:tab w:val="center" w:pos="4320"/>
                <w:tab w:val="right" w:pos="8640"/>
              </w:tabs>
              <w:jc w:val="left"/>
            </w:pPr>
            <w:r>
              <w:t xml:space="preserve">ISSUED: </w:t>
            </w:r>
            <w:r w:rsidR="00134EA9">
              <w:t>June 26, 2020</w:t>
            </w:r>
          </w:p>
        </w:tc>
      </w:tr>
    </w:tbl>
    <w:p w:rsidR="00BE1962" w:rsidRDefault="00BE1962" w:rsidP="00BE1962"/>
    <w:p w:rsidR="00BE1962" w:rsidRDefault="00BE1962" w:rsidP="00BE1962"/>
    <w:p w:rsidR="00BE1962" w:rsidRDefault="00BE1962" w:rsidP="00B67A43">
      <w:pPr>
        <w:ind w:firstLine="720"/>
        <w:jc w:val="both"/>
      </w:pPr>
      <w:bookmarkStart w:id="3" w:name="Commissioners"/>
      <w:bookmarkEnd w:id="3"/>
      <w:r>
        <w:t>The following Commissioners participated in the disposition of this matter:</w:t>
      </w:r>
    </w:p>
    <w:p w:rsidR="00BE1962" w:rsidRDefault="00BE1962" w:rsidP="00B67A43"/>
    <w:p w:rsidR="00BE1962" w:rsidRDefault="00BE1962" w:rsidP="00B67A43">
      <w:pPr>
        <w:jc w:val="center"/>
      </w:pPr>
      <w:r>
        <w:t>GARY F. CLARK, Chairman</w:t>
      </w:r>
    </w:p>
    <w:p w:rsidR="00BE1962" w:rsidRDefault="00BE1962" w:rsidP="00B67A43">
      <w:pPr>
        <w:jc w:val="center"/>
      </w:pPr>
      <w:r>
        <w:t>ART GRAHAM</w:t>
      </w:r>
    </w:p>
    <w:p w:rsidR="00BE1962" w:rsidRDefault="00BE1962" w:rsidP="00B67A43">
      <w:pPr>
        <w:jc w:val="center"/>
      </w:pPr>
      <w:r>
        <w:t>JULIE I. BROWN</w:t>
      </w:r>
    </w:p>
    <w:p w:rsidR="00BE1962" w:rsidRDefault="00BE1962" w:rsidP="00B67A43">
      <w:pPr>
        <w:jc w:val="center"/>
      </w:pPr>
      <w:r>
        <w:t>DONALD J. POLMANN</w:t>
      </w:r>
    </w:p>
    <w:p w:rsidR="00BE1962" w:rsidRDefault="00BE1962" w:rsidP="00B67A43">
      <w:pPr>
        <w:jc w:val="center"/>
      </w:pPr>
      <w:r>
        <w:t>ANDREW GILES FAY</w:t>
      </w:r>
    </w:p>
    <w:p w:rsidR="00BE1962" w:rsidRDefault="00BE1962" w:rsidP="00B67A43"/>
    <w:bookmarkStart w:id="4" w:name="OrderText"/>
    <w:bookmarkEnd w:id="4"/>
    <w:p w:rsidR="00BE1962" w:rsidRPr="003E4B2D" w:rsidRDefault="00BE1962">
      <w:pPr>
        <w:pStyle w:val="OrderBody"/>
        <w:jc w:val="center"/>
        <w:rPr>
          <w:u w:val="single"/>
        </w:rPr>
      </w:pPr>
      <w:r w:rsidRPr="003E4B2D">
        <w:rPr>
          <w:lang w:val="en-CA"/>
        </w:rPr>
        <w:fldChar w:fldCharType="begin"/>
      </w:r>
      <w:r w:rsidRPr="003E4B2D">
        <w:rPr>
          <w:lang w:val="en-CA"/>
        </w:rPr>
        <w:instrText xml:space="preserve"> SEQ CHAPTER \h \r 1</w:instrText>
      </w:r>
      <w:r w:rsidRPr="003E4B2D">
        <w:fldChar w:fldCharType="end"/>
      </w:r>
      <w:r w:rsidRPr="003E4B2D">
        <w:rPr>
          <w:u w:val="single"/>
        </w:rPr>
        <w:t>NOTICE OF PROPOSED AGENCY ACTION</w:t>
      </w:r>
    </w:p>
    <w:p w:rsidR="00BE1962" w:rsidRPr="003E4B2D" w:rsidRDefault="00BE1962" w:rsidP="00156E32">
      <w:pPr>
        <w:pStyle w:val="OrderBody"/>
        <w:jc w:val="center"/>
        <w:rPr>
          <w:u w:val="single"/>
        </w:rPr>
      </w:pPr>
      <w:r w:rsidRPr="003E4B2D">
        <w:rPr>
          <w:u w:val="single"/>
        </w:rPr>
        <w:t>ORDER</w:t>
      </w:r>
      <w:bookmarkStart w:id="5" w:name="OrderTitle"/>
      <w:r w:rsidR="003C7D05">
        <w:rPr>
          <w:u w:val="single"/>
        </w:rPr>
        <w:t xml:space="preserve"> APPROVING GULF POWER COMPANY’S </w:t>
      </w:r>
      <w:r w:rsidR="00156E32">
        <w:rPr>
          <w:u w:val="single"/>
        </w:rPr>
        <w:br/>
      </w:r>
      <w:r w:rsidR="003C7D05">
        <w:rPr>
          <w:u w:val="single"/>
        </w:rPr>
        <w:t>STANDARD OFFER CONTRACT</w:t>
      </w:r>
      <w:r w:rsidR="00156E32">
        <w:rPr>
          <w:u w:val="single"/>
        </w:rPr>
        <w:t xml:space="preserve"> </w:t>
      </w:r>
      <w:r w:rsidR="003C7D05">
        <w:rPr>
          <w:u w:val="single"/>
        </w:rPr>
        <w:t xml:space="preserve">AND RATE SCHEDULE QS-2 </w:t>
      </w:r>
      <w:r>
        <w:rPr>
          <w:u w:val="single"/>
        </w:rPr>
        <w:t xml:space="preserve"> </w:t>
      </w:r>
      <w:bookmarkEnd w:id="5"/>
    </w:p>
    <w:p w:rsidR="00BE1962" w:rsidRPr="003E4B2D" w:rsidRDefault="00BE1962">
      <w:pPr>
        <w:pStyle w:val="OrderBody"/>
      </w:pPr>
    </w:p>
    <w:p w:rsidR="00BE1962" w:rsidRPr="003E4B2D" w:rsidRDefault="00BE1962">
      <w:pPr>
        <w:pStyle w:val="OrderBody"/>
      </w:pPr>
    </w:p>
    <w:p w:rsidR="00BE1962" w:rsidRPr="003E4B2D" w:rsidRDefault="00BE1962">
      <w:pPr>
        <w:pStyle w:val="OrderBody"/>
      </w:pPr>
      <w:r w:rsidRPr="003E4B2D">
        <w:t>BY THE COMMISSION:</w:t>
      </w:r>
    </w:p>
    <w:p w:rsidR="00BE1962" w:rsidRPr="003E4B2D" w:rsidRDefault="00BE1962">
      <w:pPr>
        <w:pStyle w:val="OrderBody"/>
      </w:pPr>
    </w:p>
    <w:p w:rsidR="00BE1962" w:rsidRDefault="00BE1962">
      <w:pPr>
        <w:pStyle w:val="OrderBody"/>
      </w:pPr>
      <w:r w:rsidRPr="003E4B2D">
        <w:tab/>
        <w:t xml:space="preserve">NOTICE is hereby given by the Florida Public Service Commission </w:t>
      </w:r>
      <w:r w:rsidR="00877229">
        <w:t xml:space="preserve">(Commission) </w:t>
      </w:r>
      <w:r w:rsidRPr="003E4B2D">
        <w:t>that the action discussed herein is preliminary in nature and will become final unless a person whose interests are substantially affected files a petition for a formal proceeding, pursuant to Rule 25-22.029, Florida Administrative Code</w:t>
      </w:r>
      <w:r>
        <w:t xml:space="preserve"> (F.A.C.)</w:t>
      </w:r>
      <w:r w:rsidRPr="003E4B2D">
        <w:t>.</w:t>
      </w:r>
    </w:p>
    <w:p w:rsidR="003C7D05" w:rsidRDefault="003C7D05" w:rsidP="003C7D05"/>
    <w:p w:rsidR="003C7D05" w:rsidRDefault="003C7D05" w:rsidP="003C7D05">
      <w:pPr>
        <w:keepNext/>
        <w:jc w:val="center"/>
        <w:outlineLvl w:val="0"/>
        <w:rPr>
          <w:b/>
          <w:bCs/>
          <w:kern w:val="32"/>
          <w:szCs w:val="32"/>
        </w:rPr>
      </w:pPr>
      <w:r w:rsidRPr="00A0666A">
        <w:rPr>
          <w:b/>
          <w:bCs/>
          <w:kern w:val="32"/>
          <w:szCs w:val="32"/>
        </w:rPr>
        <w:t>Background</w:t>
      </w:r>
    </w:p>
    <w:p w:rsidR="003C7D05" w:rsidRPr="00A0666A" w:rsidRDefault="003C7D05" w:rsidP="003C7D05">
      <w:pPr>
        <w:keepNext/>
        <w:jc w:val="center"/>
        <w:outlineLvl w:val="0"/>
        <w:rPr>
          <w:b/>
          <w:bCs/>
          <w:kern w:val="32"/>
          <w:szCs w:val="32"/>
        </w:rPr>
      </w:pPr>
    </w:p>
    <w:p w:rsidR="001F0BB5" w:rsidRDefault="00BE1962" w:rsidP="001F0BB5">
      <w:pPr>
        <w:jc w:val="both"/>
      </w:pPr>
      <w:r>
        <w:tab/>
      </w:r>
      <w:r w:rsidRPr="00F25948">
        <w:t xml:space="preserve">Section 366.91(3), Florida Statutes (F.S.), requires each investor-owned utility (IOU) to continuously offer to purchase capacity and energy from renewable generating facilities and small qualifying facilities. Rules 25-17.200 through 25-17.310, </w:t>
      </w:r>
      <w:r w:rsidR="001F0BB5">
        <w:t>F.A.C.</w:t>
      </w:r>
      <w:r w:rsidRPr="00F25948">
        <w:t xml:space="preserve">, implement the statute and require each IOU to file with </w:t>
      </w:r>
      <w:r w:rsidR="001F0BB5">
        <w:t>this</w:t>
      </w:r>
      <w:r w:rsidRPr="00F25948">
        <w:t xml:space="preserve"> Commission, by April 1 of each year, a revised standard offer contract based on the next avoidable fossil fueled generating unit of each technology type identified in the utility’s current Ten-Year Site Plan</w:t>
      </w:r>
      <w:r>
        <w:t xml:space="preserve"> (TYSP)</w:t>
      </w:r>
      <w:r w:rsidRPr="00F25948">
        <w:t>. On April l, 2020, Gulf Power Company (G</w:t>
      </w:r>
      <w:r>
        <w:t>ulf</w:t>
      </w:r>
      <w:r w:rsidRPr="00F25948">
        <w:t xml:space="preserve">) filed a petition for approval of its new standard offer contract, based on its 2020 </w:t>
      </w:r>
      <w:r>
        <w:t>TYSP</w:t>
      </w:r>
      <w:r w:rsidRPr="00F25948">
        <w:t>.</w:t>
      </w:r>
      <w:r>
        <w:t xml:space="preserve"> On May 1, 2020, Gulf filed revisions to its proposed tariff sheets to correct a calculation error.</w:t>
      </w:r>
      <w:r w:rsidRPr="00F25948">
        <w:t xml:space="preserve"> </w:t>
      </w:r>
      <w:r w:rsidR="006A0E7A">
        <w:t>We have</w:t>
      </w:r>
      <w:r w:rsidRPr="00F25948">
        <w:t xml:space="preserve"> jurisdiction over this standard offer contract pursuant to Sections 366.04 through 366.055, and 366.91, F.S.</w:t>
      </w:r>
    </w:p>
    <w:p w:rsidR="001F0BB5" w:rsidRDefault="001F0BB5" w:rsidP="001F0BB5">
      <w:pPr>
        <w:jc w:val="both"/>
      </w:pPr>
    </w:p>
    <w:p w:rsidR="001F0BB5" w:rsidRDefault="001F0BB5" w:rsidP="001F0BB5">
      <w:pPr>
        <w:jc w:val="both"/>
      </w:pPr>
    </w:p>
    <w:p w:rsidR="001F0BB5" w:rsidRDefault="001F0BB5" w:rsidP="001F0BB5">
      <w:pPr>
        <w:jc w:val="both"/>
      </w:pPr>
    </w:p>
    <w:p w:rsidR="00BE1962" w:rsidRDefault="00BE1962" w:rsidP="00BE1962"/>
    <w:p w:rsidR="001F0BB5" w:rsidRPr="00A0666A" w:rsidRDefault="001F0BB5" w:rsidP="001F0BB5">
      <w:pPr>
        <w:spacing w:after="240"/>
        <w:jc w:val="center"/>
        <w:outlineLvl w:val="0"/>
        <w:rPr>
          <w:b/>
          <w:bCs/>
          <w:i/>
          <w:kern w:val="32"/>
          <w:szCs w:val="32"/>
        </w:rPr>
      </w:pPr>
      <w:r w:rsidRPr="00A0666A">
        <w:rPr>
          <w:b/>
          <w:bCs/>
          <w:kern w:val="32"/>
          <w:szCs w:val="32"/>
        </w:rPr>
        <w:lastRenderedPageBreak/>
        <w:t>Review</w:t>
      </w:r>
    </w:p>
    <w:p w:rsidR="00BE1962" w:rsidRPr="00BE1962" w:rsidRDefault="00BE1962" w:rsidP="001F0BB5">
      <w:pPr>
        <w:spacing w:after="240"/>
        <w:ind w:firstLine="720"/>
        <w:jc w:val="both"/>
      </w:pPr>
      <w:r w:rsidRPr="00BE1962">
        <w:t xml:space="preserve">Section 366.91(3), F.S., and Rule 25-17.250, F.A.C., require that Gulf, an IOU, continuously make available a standard offer contract for the purchase of firm capacity and energy from renewable generating facilities (RF) and small qualifying facilities (QF) with design capacities of 100 kilowatts (kW) or less. Pursuant to Rules 25-17.250(1) and (3), F.A.C., the standard offer contract must provide a term of at least 10 years, and the payment terms must be based on the utility’s next avoidable fossil-fueled generating unit identified in its most recent TYSP, or if no avoided unit is identified, its next avoidable planned purchase. </w:t>
      </w:r>
    </w:p>
    <w:p w:rsidR="00BE1962" w:rsidRPr="00BE1962" w:rsidRDefault="00BE1962" w:rsidP="00BE1962">
      <w:pPr>
        <w:spacing w:after="240"/>
        <w:jc w:val="both"/>
      </w:pPr>
      <w:r>
        <w:tab/>
      </w:r>
      <w:r w:rsidRPr="00BE1962">
        <w:t xml:space="preserve">Gulf submitted a joint TYSP with Florida Power &amp; Light Company (FPL) for 2020, as the companies plan to merge into a single remaining entity by 2022. As the combined TYSP does not feature an avoidable fossil-fueled generating unit or planned purchases that could be deferred during the planning period, Gulf could opt to offer only a standard contract for energy payments based on its as-available energy cost. However, to encourage renewable generation, Gulf has identified a 1,991 megawatt (MW) natural gas-fired combined cycle unit (CC) as the next planned generating unit, the same as identified in the FPL Standard Offer Contract. The projected in-service date of the unit is June 1, 2030. </w:t>
      </w:r>
      <w:r w:rsidR="001F0BB5">
        <w:t>We</w:t>
      </w:r>
      <w:r w:rsidRPr="00BE1962">
        <w:t xml:space="preserve"> </w:t>
      </w:r>
      <w:r w:rsidR="001F0BB5">
        <w:t>have</w:t>
      </w:r>
      <w:r w:rsidRPr="00BE1962">
        <w:t xml:space="preserve"> approved using a unit outside of the TYSP planning period previously.</w:t>
      </w:r>
      <w:r w:rsidRPr="00BE1962">
        <w:rPr>
          <w:vertAlign w:val="superscript"/>
        </w:rPr>
        <w:footnoteReference w:id="1"/>
      </w:r>
    </w:p>
    <w:p w:rsidR="00BE1962" w:rsidRPr="00BE1962" w:rsidRDefault="00BE1962" w:rsidP="00BE1962">
      <w:pPr>
        <w:spacing w:after="240"/>
        <w:jc w:val="both"/>
      </w:pPr>
      <w:r>
        <w:tab/>
      </w:r>
      <w:r w:rsidRPr="00BE1962">
        <w:t xml:space="preserve">Gulf’s new standard offer contract and associated rate schedule QS-2, included as Attachment A, would replace its prior standard offer contract and associated rate schedule REF-1. They are functionally identical to FPL’s except for those economic factors that, per </w:t>
      </w:r>
      <w:r w:rsidRPr="003618D2">
        <w:t>Commission</w:t>
      </w:r>
      <w:r w:rsidRPr="00BE1962">
        <w:t xml:space="preserve"> Rules, must be utility specific, and some geographic differences. An example of a specific economic factor is the incremental after tax cost of capital, which is 6.95 percent for Gulf, while it is 7.52 percent for FPL. This results in different payment values from the FPL Standard Offer Contract because certain values are calculated from these factors. For the geographic differences, the referenced time zone has been changed from “Eastern” to “Central” and the “Value of Capacity Location” map on Tariff Sheet No. 9.81.12 shows the value at locations corresponding to Gulf’s generators rather than FPL’s.</w:t>
      </w:r>
    </w:p>
    <w:p w:rsidR="00BE1962" w:rsidRPr="00BE1962" w:rsidRDefault="00BE1962" w:rsidP="00BE1962">
      <w:pPr>
        <w:spacing w:after="240"/>
        <w:jc w:val="both"/>
      </w:pPr>
      <w:r>
        <w:tab/>
      </w:r>
      <w:r w:rsidRPr="00BE1962">
        <w:t>Under Gulf’s standard offer contract, the RF/QF operator commits to certain minimum performance requirements based on the identified avoided unit, such as being operational and delivering an agreed upon amount of capacity by the in-service date of the avoided unit, and thereby becomes eligible for capacity payments in addition to payments received for energy. The standard offer contract may also serve as a starting point for negotiation of contract terms by providing payment information to an RF/QF operator, in a situation where one or both parties desire particular contract terms other than those established in the standard offer.</w:t>
      </w:r>
    </w:p>
    <w:p w:rsidR="00BE1962" w:rsidRPr="00BE1962" w:rsidRDefault="00BE1962" w:rsidP="00BE1962">
      <w:pPr>
        <w:spacing w:after="240"/>
        <w:jc w:val="both"/>
      </w:pPr>
      <w:r>
        <w:tab/>
      </w:r>
      <w:r w:rsidRPr="00BE1962">
        <w:t xml:space="preserve">In order to promote renewable generation, </w:t>
      </w:r>
      <w:r w:rsidR="001F0BB5">
        <w:t>we</w:t>
      </w:r>
      <w:r w:rsidRPr="00BE1962">
        <w:t xml:space="preserve"> requ</w:t>
      </w:r>
      <w:r w:rsidR="001F0BB5">
        <w:t>ire</w:t>
      </w:r>
      <w:r w:rsidRPr="00BE1962">
        <w:t xml:space="preserve"> the IOU to offer multiple options for capacity payments, including the options to receive early or levelized payments. If the RF/QF operator elects to receive capacity payments under the normal or levelized contract options, it will receive as-available energy payments only until the in-service date of the avoided unit (in </w:t>
      </w:r>
      <w:r w:rsidRPr="00BE1962">
        <w:lastRenderedPageBreak/>
        <w:t>this case June 1, 2030), and thereafter, begin receiving capacity payments in addition to the energy payments. If either the early or early levelized option is selected, then the operator will begin receiving capacity payments earlier than the in-service date of the avoided unit. However, payments made under the early capacity payment options tend to be lower in the later years of the contract term because the net present value (NPV) of the total payments must remain equal for all contract payment options.</w:t>
      </w:r>
    </w:p>
    <w:p w:rsidR="00BE1962" w:rsidRPr="00BE1962" w:rsidRDefault="00BE1962" w:rsidP="00BE1962">
      <w:pPr>
        <w:jc w:val="both"/>
      </w:pPr>
      <w:r>
        <w:tab/>
      </w:r>
      <w:r w:rsidRPr="00BE1962">
        <w:t xml:space="preserve">Table 1 contains Gulf’s estimates of the annual payments for each payment option available under the new standard offer contract to an operator with a 50 MW facility operating at a capacity factor of 94 percent, which is the minimum capacity factor required under the contract to qualify for full capacity payments. Normal and levelized capacity payments begin with the projected in-service date of the avoided unit (June 1, 2030), while early and early levelized capacity payments begin in 2026 for this example. </w:t>
      </w:r>
    </w:p>
    <w:p w:rsidR="00BE1962" w:rsidRPr="00BE1962" w:rsidRDefault="00BE1962" w:rsidP="00BE1962"/>
    <w:p w:rsidR="00BE1962" w:rsidRPr="00BE1962" w:rsidRDefault="00BE1962" w:rsidP="00BE1962">
      <w:pPr>
        <w:keepNext/>
        <w:jc w:val="center"/>
        <w:rPr>
          <w:rFonts w:ascii="Arial" w:hAnsi="Arial" w:cs="Arial"/>
          <w:b/>
        </w:rPr>
      </w:pPr>
      <w:r w:rsidRPr="00BE1962">
        <w:rPr>
          <w:rFonts w:ascii="Arial" w:hAnsi="Arial" w:cs="Arial"/>
          <w:b/>
        </w:rPr>
        <w:lastRenderedPageBreak/>
        <w:t>Table 1 - Estimated Annual Payments to a 50 MW Renewable Facility</w:t>
      </w:r>
    </w:p>
    <w:p w:rsidR="00BE1962" w:rsidRPr="00BE1962" w:rsidRDefault="00BE1962" w:rsidP="00BE1962">
      <w:pPr>
        <w:keepNext/>
        <w:jc w:val="center"/>
        <w:rPr>
          <w:rFonts w:ascii="Arial" w:hAnsi="Arial" w:cs="Arial"/>
          <w:b/>
        </w:rPr>
      </w:pPr>
      <w:r w:rsidRPr="00BE1962">
        <w:rPr>
          <w:rFonts w:ascii="Arial" w:hAnsi="Arial" w:cs="Arial"/>
          <w:b/>
        </w:rPr>
        <w:t>(94% Capacity Factor)</w:t>
      </w:r>
    </w:p>
    <w:tbl>
      <w:tblPr>
        <w:tblStyle w:val="TableGrid"/>
        <w:tblW w:w="9759" w:type="dxa"/>
        <w:tblLook w:val="04A0" w:firstRow="1" w:lastRow="0" w:firstColumn="1" w:lastColumn="0" w:noHBand="0" w:noVBand="1"/>
      </w:tblPr>
      <w:tblGrid>
        <w:gridCol w:w="1543"/>
        <w:gridCol w:w="1832"/>
        <w:gridCol w:w="1596"/>
        <w:gridCol w:w="1596"/>
        <w:gridCol w:w="1596"/>
        <w:gridCol w:w="1596"/>
      </w:tblGrid>
      <w:tr w:rsidR="00BE1962" w:rsidRPr="00BE1962" w:rsidTr="002571B1">
        <w:tc>
          <w:tcPr>
            <w:tcW w:w="1543" w:type="dxa"/>
            <w:vMerge w:val="restart"/>
            <w:vAlign w:val="center"/>
          </w:tcPr>
          <w:p w:rsidR="00BE1962" w:rsidRPr="00BE1962" w:rsidRDefault="00BE1962" w:rsidP="00BE1962">
            <w:pPr>
              <w:keepNext/>
              <w:contextualSpacing/>
              <w:jc w:val="center"/>
              <w:outlineLvl w:val="0"/>
              <w:rPr>
                <w:bCs/>
                <w:kern w:val="32"/>
              </w:rPr>
            </w:pPr>
            <w:r w:rsidRPr="00BE1962">
              <w:rPr>
                <w:bCs/>
                <w:kern w:val="32"/>
              </w:rPr>
              <w:t>Year</w:t>
            </w:r>
          </w:p>
        </w:tc>
        <w:tc>
          <w:tcPr>
            <w:tcW w:w="1832" w:type="dxa"/>
            <w:vMerge w:val="restart"/>
            <w:vAlign w:val="center"/>
          </w:tcPr>
          <w:p w:rsidR="00BE1962" w:rsidRPr="00BE1962" w:rsidRDefault="00BE1962" w:rsidP="00BE1962">
            <w:pPr>
              <w:keepNext/>
              <w:contextualSpacing/>
              <w:jc w:val="center"/>
              <w:outlineLvl w:val="0"/>
              <w:rPr>
                <w:bCs/>
                <w:kern w:val="32"/>
              </w:rPr>
            </w:pPr>
            <w:r w:rsidRPr="00BE1962">
              <w:rPr>
                <w:bCs/>
                <w:kern w:val="32"/>
              </w:rPr>
              <w:t>Energy</w:t>
            </w:r>
          </w:p>
          <w:p w:rsidR="00BE1962" w:rsidRPr="00BE1962" w:rsidRDefault="00BE1962" w:rsidP="00BE1962">
            <w:pPr>
              <w:keepNext/>
              <w:contextualSpacing/>
              <w:jc w:val="center"/>
              <w:outlineLvl w:val="0"/>
              <w:rPr>
                <w:bCs/>
                <w:kern w:val="32"/>
              </w:rPr>
            </w:pPr>
            <w:r w:rsidRPr="00BE1962">
              <w:rPr>
                <w:bCs/>
                <w:kern w:val="32"/>
              </w:rPr>
              <w:t>Payment</w:t>
            </w:r>
          </w:p>
        </w:tc>
        <w:tc>
          <w:tcPr>
            <w:tcW w:w="6384" w:type="dxa"/>
            <w:gridSpan w:val="4"/>
            <w:vAlign w:val="center"/>
          </w:tcPr>
          <w:p w:rsidR="00BE1962" w:rsidRPr="00BE1962" w:rsidRDefault="00BE1962" w:rsidP="00BE1962">
            <w:pPr>
              <w:keepNext/>
              <w:contextualSpacing/>
              <w:jc w:val="center"/>
              <w:outlineLvl w:val="0"/>
              <w:rPr>
                <w:bCs/>
                <w:kern w:val="32"/>
              </w:rPr>
            </w:pPr>
            <w:r w:rsidRPr="00BE1962">
              <w:rPr>
                <w:bCs/>
                <w:kern w:val="32"/>
              </w:rPr>
              <w:t>Capacity Payment (By Type)</w:t>
            </w:r>
          </w:p>
        </w:tc>
      </w:tr>
      <w:tr w:rsidR="00BE1962" w:rsidRPr="00BE1962" w:rsidTr="002571B1">
        <w:tc>
          <w:tcPr>
            <w:tcW w:w="1543" w:type="dxa"/>
            <w:vMerge/>
            <w:vAlign w:val="center"/>
          </w:tcPr>
          <w:p w:rsidR="00BE1962" w:rsidRPr="00BE1962" w:rsidRDefault="00BE1962" w:rsidP="00BE1962">
            <w:pPr>
              <w:keepNext/>
              <w:contextualSpacing/>
              <w:jc w:val="center"/>
              <w:outlineLvl w:val="0"/>
              <w:rPr>
                <w:bCs/>
                <w:kern w:val="32"/>
              </w:rPr>
            </w:pPr>
          </w:p>
        </w:tc>
        <w:tc>
          <w:tcPr>
            <w:tcW w:w="1832" w:type="dxa"/>
            <w:vMerge/>
            <w:vAlign w:val="center"/>
          </w:tcPr>
          <w:p w:rsidR="00BE1962" w:rsidRPr="00BE1962" w:rsidRDefault="00BE1962" w:rsidP="00BE1962">
            <w:pPr>
              <w:keepNext/>
              <w:contextualSpacing/>
              <w:jc w:val="center"/>
              <w:outlineLvl w:val="0"/>
              <w:rPr>
                <w:bCs/>
                <w:kern w:val="32"/>
              </w:rPr>
            </w:pPr>
          </w:p>
        </w:tc>
        <w:tc>
          <w:tcPr>
            <w:tcW w:w="1596" w:type="dxa"/>
            <w:vAlign w:val="center"/>
          </w:tcPr>
          <w:p w:rsidR="00BE1962" w:rsidRPr="00BE1962" w:rsidRDefault="00BE1962" w:rsidP="00BE1962">
            <w:pPr>
              <w:keepNext/>
              <w:contextualSpacing/>
              <w:jc w:val="center"/>
              <w:outlineLvl w:val="0"/>
              <w:rPr>
                <w:bCs/>
                <w:kern w:val="32"/>
              </w:rPr>
            </w:pPr>
            <w:r w:rsidRPr="00BE1962">
              <w:rPr>
                <w:bCs/>
                <w:kern w:val="32"/>
              </w:rPr>
              <w:t>Normal</w:t>
            </w:r>
          </w:p>
        </w:tc>
        <w:tc>
          <w:tcPr>
            <w:tcW w:w="1596" w:type="dxa"/>
            <w:vAlign w:val="center"/>
          </w:tcPr>
          <w:p w:rsidR="00BE1962" w:rsidRPr="00BE1962" w:rsidRDefault="00BE1962" w:rsidP="00BE1962">
            <w:pPr>
              <w:keepNext/>
              <w:contextualSpacing/>
              <w:jc w:val="center"/>
              <w:outlineLvl w:val="0"/>
              <w:rPr>
                <w:bCs/>
                <w:kern w:val="32"/>
              </w:rPr>
            </w:pPr>
            <w:r w:rsidRPr="00BE1962">
              <w:rPr>
                <w:bCs/>
                <w:kern w:val="32"/>
              </w:rPr>
              <w:t>Levelized</w:t>
            </w:r>
          </w:p>
        </w:tc>
        <w:tc>
          <w:tcPr>
            <w:tcW w:w="1596" w:type="dxa"/>
            <w:vAlign w:val="center"/>
          </w:tcPr>
          <w:p w:rsidR="00BE1962" w:rsidRPr="00BE1962" w:rsidRDefault="00BE1962" w:rsidP="00BE1962">
            <w:pPr>
              <w:keepNext/>
              <w:contextualSpacing/>
              <w:jc w:val="center"/>
              <w:outlineLvl w:val="0"/>
              <w:rPr>
                <w:bCs/>
                <w:kern w:val="32"/>
              </w:rPr>
            </w:pPr>
            <w:r w:rsidRPr="00BE1962">
              <w:rPr>
                <w:bCs/>
                <w:kern w:val="32"/>
              </w:rPr>
              <w:t>Early</w:t>
            </w:r>
          </w:p>
        </w:tc>
        <w:tc>
          <w:tcPr>
            <w:tcW w:w="1596" w:type="dxa"/>
            <w:vAlign w:val="center"/>
          </w:tcPr>
          <w:p w:rsidR="00BE1962" w:rsidRPr="00BE1962" w:rsidRDefault="00BE1962" w:rsidP="00BE1962">
            <w:pPr>
              <w:keepNext/>
              <w:contextualSpacing/>
              <w:jc w:val="center"/>
              <w:outlineLvl w:val="0"/>
              <w:rPr>
                <w:bCs/>
                <w:kern w:val="32"/>
              </w:rPr>
            </w:pPr>
            <w:r w:rsidRPr="00BE1962">
              <w:rPr>
                <w:bCs/>
                <w:kern w:val="32"/>
              </w:rPr>
              <w:t>Early Levelized</w:t>
            </w:r>
          </w:p>
        </w:tc>
      </w:tr>
      <w:tr w:rsidR="00BE1962" w:rsidRPr="00BE1962" w:rsidTr="002571B1">
        <w:tc>
          <w:tcPr>
            <w:tcW w:w="1543" w:type="dxa"/>
            <w:vMerge/>
            <w:vAlign w:val="center"/>
          </w:tcPr>
          <w:p w:rsidR="00BE1962" w:rsidRPr="00BE1962" w:rsidRDefault="00BE1962" w:rsidP="00BE1962">
            <w:pPr>
              <w:keepNext/>
              <w:contextualSpacing/>
              <w:jc w:val="center"/>
              <w:outlineLvl w:val="0"/>
              <w:rPr>
                <w:bCs/>
                <w:kern w:val="32"/>
              </w:rPr>
            </w:pPr>
          </w:p>
        </w:tc>
        <w:tc>
          <w:tcPr>
            <w:tcW w:w="1832" w:type="dxa"/>
            <w:vAlign w:val="center"/>
          </w:tcPr>
          <w:p w:rsidR="00BE1962" w:rsidRPr="00BE1962" w:rsidRDefault="00BE1962" w:rsidP="00BE1962">
            <w:pPr>
              <w:keepNext/>
              <w:contextualSpacing/>
              <w:jc w:val="center"/>
              <w:outlineLvl w:val="0"/>
              <w:rPr>
                <w:bCs/>
                <w:kern w:val="32"/>
              </w:rPr>
            </w:pPr>
            <w:r w:rsidRPr="00BE1962">
              <w:rPr>
                <w:bCs/>
                <w:kern w:val="32"/>
              </w:rPr>
              <w:t>($000)</w:t>
            </w:r>
          </w:p>
        </w:tc>
        <w:tc>
          <w:tcPr>
            <w:tcW w:w="1596" w:type="dxa"/>
            <w:vAlign w:val="center"/>
          </w:tcPr>
          <w:p w:rsidR="00BE1962" w:rsidRPr="00BE1962" w:rsidRDefault="00BE1962" w:rsidP="00BE1962">
            <w:pPr>
              <w:keepNext/>
              <w:contextualSpacing/>
              <w:jc w:val="center"/>
              <w:outlineLvl w:val="0"/>
              <w:rPr>
                <w:bCs/>
                <w:kern w:val="32"/>
              </w:rPr>
            </w:pPr>
            <w:r w:rsidRPr="00BE1962">
              <w:rPr>
                <w:bCs/>
                <w:kern w:val="32"/>
              </w:rPr>
              <w:t>($000)</w:t>
            </w:r>
          </w:p>
        </w:tc>
        <w:tc>
          <w:tcPr>
            <w:tcW w:w="1596" w:type="dxa"/>
            <w:vAlign w:val="center"/>
          </w:tcPr>
          <w:p w:rsidR="00BE1962" w:rsidRPr="00BE1962" w:rsidRDefault="00BE1962" w:rsidP="00BE1962">
            <w:pPr>
              <w:keepNext/>
              <w:contextualSpacing/>
              <w:jc w:val="center"/>
              <w:outlineLvl w:val="0"/>
              <w:rPr>
                <w:bCs/>
                <w:kern w:val="32"/>
              </w:rPr>
            </w:pPr>
            <w:r w:rsidRPr="00BE1962">
              <w:rPr>
                <w:bCs/>
                <w:kern w:val="32"/>
              </w:rPr>
              <w:t>($000)</w:t>
            </w:r>
          </w:p>
        </w:tc>
        <w:tc>
          <w:tcPr>
            <w:tcW w:w="1596" w:type="dxa"/>
            <w:vAlign w:val="center"/>
          </w:tcPr>
          <w:p w:rsidR="00BE1962" w:rsidRPr="00BE1962" w:rsidRDefault="00BE1962" w:rsidP="00BE1962">
            <w:pPr>
              <w:keepNext/>
              <w:contextualSpacing/>
              <w:jc w:val="center"/>
              <w:outlineLvl w:val="0"/>
              <w:rPr>
                <w:bCs/>
                <w:kern w:val="32"/>
              </w:rPr>
            </w:pPr>
            <w:r w:rsidRPr="00BE1962">
              <w:rPr>
                <w:bCs/>
                <w:kern w:val="32"/>
              </w:rPr>
              <w:t>($000)</w:t>
            </w:r>
          </w:p>
        </w:tc>
        <w:tc>
          <w:tcPr>
            <w:tcW w:w="1596" w:type="dxa"/>
            <w:vAlign w:val="center"/>
          </w:tcPr>
          <w:p w:rsidR="00BE1962" w:rsidRPr="00BE1962" w:rsidRDefault="00BE1962" w:rsidP="00BE1962">
            <w:pPr>
              <w:keepNext/>
              <w:contextualSpacing/>
              <w:jc w:val="center"/>
              <w:outlineLvl w:val="0"/>
              <w:rPr>
                <w:bCs/>
                <w:kern w:val="32"/>
              </w:rPr>
            </w:pPr>
            <w:r w:rsidRPr="00BE1962">
              <w:rPr>
                <w:bCs/>
                <w:kern w:val="32"/>
              </w:rPr>
              <w:t>($000)</w:t>
            </w:r>
          </w:p>
        </w:tc>
      </w:tr>
      <w:tr w:rsidR="00BE1962" w:rsidRPr="00BE1962" w:rsidTr="002571B1">
        <w:tc>
          <w:tcPr>
            <w:tcW w:w="1543" w:type="dxa"/>
            <w:vAlign w:val="bottom"/>
          </w:tcPr>
          <w:p w:rsidR="00BE1962" w:rsidRPr="00BE1962" w:rsidRDefault="00BE1962" w:rsidP="00BE1962">
            <w:pPr>
              <w:keepNext/>
              <w:jc w:val="center"/>
              <w:rPr>
                <w:color w:val="000000"/>
              </w:rPr>
            </w:pPr>
            <w:r w:rsidRPr="00BE1962">
              <w:rPr>
                <w:color w:val="000000"/>
              </w:rPr>
              <w:t>2021</w:t>
            </w:r>
          </w:p>
        </w:tc>
        <w:tc>
          <w:tcPr>
            <w:tcW w:w="1832" w:type="dxa"/>
            <w:vAlign w:val="bottom"/>
          </w:tcPr>
          <w:p w:rsidR="00BE1962" w:rsidRPr="00BE1962" w:rsidRDefault="00BE1962" w:rsidP="00BE1962">
            <w:pPr>
              <w:jc w:val="right"/>
              <w:rPr>
                <w:color w:val="000000"/>
              </w:rPr>
            </w:pPr>
            <w:r w:rsidRPr="00BE1962">
              <w:rPr>
                <w:color w:val="000000"/>
              </w:rPr>
              <w:t>6,908</w:t>
            </w:r>
          </w:p>
        </w:tc>
        <w:tc>
          <w:tcPr>
            <w:tcW w:w="1596" w:type="dxa"/>
            <w:vAlign w:val="bottom"/>
          </w:tcPr>
          <w:p w:rsidR="00BE1962" w:rsidRPr="00BE1962" w:rsidRDefault="00BE1962" w:rsidP="00BE1962">
            <w:pPr>
              <w:jc w:val="center"/>
              <w:rPr>
                <w:color w:val="000000"/>
              </w:rPr>
            </w:pPr>
            <w:r w:rsidRPr="00BE1962">
              <w:rPr>
                <w:rFonts w:ascii="Cambria Math" w:hAnsi="Cambria Math" w:cs="Cambria Math"/>
                <w:color w:val="000000"/>
              </w:rPr>
              <w:t>‐</w:t>
            </w:r>
          </w:p>
        </w:tc>
        <w:tc>
          <w:tcPr>
            <w:tcW w:w="1596" w:type="dxa"/>
            <w:vAlign w:val="bottom"/>
          </w:tcPr>
          <w:p w:rsidR="00BE1962" w:rsidRPr="00BE1962" w:rsidRDefault="00BE1962" w:rsidP="00BE1962">
            <w:pPr>
              <w:jc w:val="center"/>
              <w:rPr>
                <w:color w:val="000000"/>
              </w:rPr>
            </w:pPr>
            <w:r w:rsidRPr="00BE1962">
              <w:rPr>
                <w:rFonts w:ascii="Cambria Math" w:hAnsi="Cambria Math" w:cs="Cambria Math"/>
                <w:color w:val="000000"/>
              </w:rPr>
              <w:t>‐</w:t>
            </w:r>
          </w:p>
        </w:tc>
        <w:tc>
          <w:tcPr>
            <w:tcW w:w="1596" w:type="dxa"/>
            <w:shd w:val="clear" w:color="auto" w:fill="auto"/>
            <w:vAlign w:val="bottom"/>
          </w:tcPr>
          <w:p w:rsidR="00BE1962" w:rsidRPr="00BE1962" w:rsidRDefault="00BE1962" w:rsidP="00BE1962">
            <w:pPr>
              <w:jc w:val="center"/>
              <w:rPr>
                <w:color w:val="000000"/>
              </w:rPr>
            </w:pPr>
            <w:r w:rsidRPr="00BE1962">
              <w:rPr>
                <w:rFonts w:ascii="Cambria Math" w:hAnsi="Cambria Math" w:cs="Cambria Math"/>
                <w:color w:val="000000"/>
              </w:rPr>
              <w:t>‐</w:t>
            </w:r>
          </w:p>
        </w:tc>
        <w:tc>
          <w:tcPr>
            <w:tcW w:w="1596" w:type="dxa"/>
            <w:shd w:val="clear" w:color="auto" w:fill="auto"/>
            <w:vAlign w:val="bottom"/>
          </w:tcPr>
          <w:p w:rsidR="00BE1962" w:rsidRPr="00BE1962" w:rsidRDefault="00BE1962" w:rsidP="00BE1962">
            <w:pPr>
              <w:jc w:val="center"/>
              <w:rPr>
                <w:color w:val="000000"/>
              </w:rPr>
            </w:pPr>
            <w:r w:rsidRPr="00BE1962">
              <w:rPr>
                <w:rFonts w:ascii="Cambria Math" w:hAnsi="Cambria Math" w:cs="Cambria Math"/>
                <w:color w:val="000000"/>
              </w:rPr>
              <w:t>‐</w:t>
            </w:r>
          </w:p>
        </w:tc>
      </w:tr>
      <w:tr w:rsidR="00BE1962" w:rsidRPr="00BE1962" w:rsidTr="002571B1">
        <w:tc>
          <w:tcPr>
            <w:tcW w:w="1543" w:type="dxa"/>
            <w:vAlign w:val="bottom"/>
          </w:tcPr>
          <w:p w:rsidR="00BE1962" w:rsidRPr="00BE1962" w:rsidRDefault="00BE1962" w:rsidP="00BE1962">
            <w:pPr>
              <w:keepNext/>
              <w:jc w:val="center"/>
              <w:rPr>
                <w:color w:val="000000"/>
              </w:rPr>
            </w:pPr>
            <w:r w:rsidRPr="00BE1962">
              <w:rPr>
                <w:color w:val="000000"/>
              </w:rPr>
              <w:t>2022</w:t>
            </w:r>
          </w:p>
        </w:tc>
        <w:tc>
          <w:tcPr>
            <w:tcW w:w="1832" w:type="dxa"/>
            <w:vAlign w:val="bottom"/>
          </w:tcPr>
          <w:p w:rsidR="00BE1962" w:rsidRPr="00BE1962" w:rsidRDefault="00BE1962" w:rsidP="00BE1962">
            <w:pPr>
              <w:jc w:val="right"/>
              <w:rPr>
                <w:color w:val="000000"/>
              </w:rPr>
            </w:pPr>
            <w:r w:rsidRPr="00BE1962">
              <w:rPr>
                <w:color w:val="000000"/>
              </w:rPr>
              <w:t>6,933</w:t>
            </w:r>
          </w:p>
        </w:tc>
        <w:tc>
          <w:tcPr>
            <w:tcW w:w="1596" w:type="dxa"/>
            <w:vAlign w:val="bottom"/>
          </w:tcPr>
          <w:p w:rsidR="00BE1962" w:rsidRPr="00BE1962" w:rsidRDefault="00BE1962" w:rsidP="00BE1962">
            <w:pPr>
              <w:jc w:val="center"/>
              <w:rPr>
                <w:color w:val="000000"/>
              </w:rPr>
            </w:pPr>
            <w:r w:rsidRPr="00BE1962">
              <w:rPr>
                <w:rFonts w:ascii="Cambria Math" w:hAnsi="Cambria Math" w:cs="Cambria Math"/>
                <w:color w:val="000000"/>
              </w:rPr>
              <w:t>‐</w:t>
            </w:r>
          </w:p>
        </w:tc>
        <w:tc>
          <w:tcPr>
            <w:tcW w:w="1596" w:type="dxa"/>
            <w:vAlign w:val="bottom"/>
          </w:tcPr>
          <w:p w:rsidR="00BE1962" w:rsidRPr="00BE1962" w:rsidRDefault="00BE1962" w:rsidP="00BE1962">
            <w:pPr>
              <w:jc w:val="center"/>
              <w:rPr>
                <w:color w:val="000000"/>
              </w:rPr>
            </w:pPr>
            <w:r w:rsidRPr="00BE1962">
              <w:rPr>
                <w:rFonts w:ascii="Cambria Math" w:hAnsi="Cambria Math" w:cs="Cambria Math"/>
                <w:color w:val="000000"/>
              </w:rPr>
              <w:t>‐</w:t>
            </w:r>
          </w:p>
        </w:tc>
        <w:tc>
          <w:tcPr>
            <w:tcW w:w="1596" w:type="dxa"/>
            <w:shd w:val="clear" w:color="auto" w:fill="auto"/>
            <w:vAlign w:val="bottom"/>
          </w:tcPr>
          <w:p w:rsidR="00BE1962" w:rsidRPr="00BE1962" w:rsidRDefault="00BE1962" w:rsidP="00BE1962">
            <w:pPr>
              <w:jc w:val="center"/>
              <w:rPr>
                <w:color w:val="000000"/>
              </w:rPr>
            </w:pPr>
            <w:r w:rsidRPr="00BE1962">
              <w:rPr>
                <w:rFonts w:ascii="Cambria Math" w:hAnsi="Cambria Math" w:cs="Cambria Math"/>
                <w:color w:val="000000"/>
              </w:rPr>
              <w:t>‐</w:t>
            </w:r>
          </w:p>
        </w:tc>
        <w:tc>
          <w:tcPr>
            <w:tcW w:w="1596" w:type="dxa"/>
            <w:shd w:val="clear" w:color="auto" w:fill="auto"/>
            <w:vAlign w:val="bottom"/>
          </w:tcPr>
          <w:p w:rsidR="00BE1962" w:rsidRPr="00BE1962" w:rsidRDefault="00BE1962" w:rsidP="00BE1962">
            <w:pPr>
              <w:jc w:val="center"/>
              <w:rPr>
                <w:color w:val="000000"/>
              </w:rPr>
            </w:pPr>
            <w:r w:rsidRPr="00BE1962">
              <w:rPr>
                <w:rFonts w:ascii="Cambria Math" w:hAnsi="Cambria Math" w:cs="Cambria Math"/>
                <w:color w:val="000000"/>
              </w:rPr>
              <w:t>‐</w:t>
            </w:r>
          </w:p>
        </w:tc>
      </w:tr>
      <w:tr w:rsidR="00BE1962" w:rsidRPr="00BE1962" w:rsidTr="002571B1">
        <w:tc>
          <w:tcPr>
            <w:tcW w:w="1543" w:type="dxa"/>
            <w:vAlign w:val="bottom"/>
          </w:tcPr>
          <w:p w:rsidR="00BE1962" w:rsidRPr="00BE1962" w:rsidRDefault="00BE1962" w:rsidP="00BE1962">
            <w:pPr>
              <w:keepNext/>
              <w:jc w:val="center"/>
              <w:rPr>
                <w:color w:val="000000"/>
              </w:rPr>
            </w:pPr>
            <w:r w:rsidRPr="00BE1962">
              <w:rPr>
                <w:color w:val="000000"/>
              </w:rPr>
              <w:t>2023</w:t>
            </w:r>
          </w:p>
        </w:tc>
        <w:tc>
          <w:tcPr>
            <w:tcW w:w="1832" w:type="dxa"/>
            <w:vAlign w:val="bottom"/>
          </w:tcPr>
          <w:p w:rsidR="00BE1962" w:rsidRPr="00BE1962" w:rsidRDefault="00BE1962" w:rsidP="00BE1962">
            <w:pPr>
              <w:jc w:val="right"/>
              <w:rPr>
                <w:color w:val="000000"/>
              </w:rPr>
            </w:pPr>
            <w:r w:rsidRPr="00BE1962">
              <w:rPr>
                <w:color w:val="000000"/>
              </w:rPr>
              <w:t>8,038</w:t>
            </w:r>
          </w:p>
        </w:tc>
        <w:tc>
          <w:tcPr>
            <w:tcW w:w="1596" w:type="dxa"/>
            <w:vAlign w:val="bottom"/>
          </w:tcPr>
          <w:p w:rsidR="00BE1962" w:rsidRPr="00BE1962" w:rsidRDefault="00BE1962" w:rsidP="00BE1962">
            <w:pPr>
              <w:jc w:val="center"/>
              <w:rPr>
                <w:color w:val="000000"/>
              </w:rPr>
            </w:pPr>
            <w:r w:rsidRPr="00BE1962">
              <w:rPr>
                <w:rFonts w:ascii="Cambria Math" w:hAnsi="Cambria Math" w:cs="Cambria Math"/>
                <w:color w:val="000000"/>
              </w:rPr>
              <w:t>‐</w:t>
            </w:r>
          </w:p>
        </w:tc>
        <w:tc>
          <w:tcPr>
            <w:tcW w:w="1596" w:type="dxa"/>
            <w:vAlign w:val="bottom"/>
          </w:tcPr>
          <w:p w:rsidR="00BE1962" w:rsidRPr="00BE1962" w:rsidRDefault="00BE1962" w:rsidP="00BE1962">
            <w:pPr>
              <w:jc w:val="center"/>
              <w:rPr>
                <w:color w:val="000000"/>
              </w:rPr>
            </w:pPr>
            <w:r w:rsidRPr="00BE1962">
              <w:rPr>
                <w:rFonts w:ascii="Cambria Math" w:hAnsi="Cambria Math" w:cs="Cambria Math"/>
                <w:color w:val="000000"/>
              </w:rPr>
              <w:t>‐</w:t>
            </w:r>
          </w:p>
        </w:tc>
        <w:tc>
          <w:tcPr>
            <w:tcW w:w="1596" w:type="dxa"/>
            <w:shd w:val="clear" w:color="auto" w:fill="auto"/>
            <w:vAlign w:val="bottom"/>
          </w:tcPr>
          <w:p w:rsidR="00BE1962" w:rsidRPr="00BE1962" w:rsidRDefault="00BE1962" w:rsidP="00BE1962">
            <w:pPr>
              <w:jc w:val="center"/>
              <w:rPr>
                <w:color w:val="000000"/>
              </w:rPr>
            </w:pPr>
            <w:r w:rsidRPr="00BE1962">
              <w:rPr>
                <w:rFonts w:ascii="Cambria Math" w:hAnsi="Cambria Math" w:cs="Cambria Math"/>
                <w:color w:val="000000"/>
              </w:rPr>
              <w:t>‐</w:t>
            </w:r>
          </w:p>
        </w:tc>
        <w:tc>
          <w:tcPr>
            <w:tcW w:w="1596" w:type="dxa"/>
            <w:shd w:val="clear" w:color="auto" w:fill="auto"/>
            <w:vAlign w:val="bottom"/>
          </w:tcPr>
          <w:p w:rsidR="00BE1962" w:rsidRPr="00BE1962" w:rsidRDefault="00BE1962" w:rsidP="00BE1962">
            <w:pPr>
              <w:jc w:val="center"/>
              <w:rPr>
                <w:color w:val="000000"/>
              </w:rPr>
            </w:pPr>
            <w:r w:rsidRPr="00BE1962">
              <w:rPr>
                <w:rFonts w:ascii="Cambria Math" w:hAnsi="Cambria Math" w:cs="Cambria Math"/>
                <w:color w:val="000000"/>
              </w:rPr>
              <w:t>‐</w:t>
            </w:r>
          </w:p>
        </w:tc>
      </w:tr>
      <w:tr w:rsidR="00BE1962" w:rsidRPr="00BE1962" w:rsidTr="002571B1">
        <w:tc>
          <w:tcPr>
            <w:tcW w:w="1543" w:type="dxa"/>
            <w:vAlign w:val="bottom"/>
          </w:tcPr>
          <w:p w:rsidR="00BE1962" w:rsidRPr="00BE1962" w:rsidRDefault="00BE1962" w:rsidP="00BE1962">
            <w:pPr>
              <w:keepNext/>
              <w:jc w:val="center"/>
              <w:rPr>
                <w:color w:val="000000"/>
              </w:rPr>
            </w:pPr>
            <w:r w:rsidRPr="00BE1962">
              <w:rPr>
                <w:color w:val="000000"/>
              </w:rPr>
              <w:t>2024</w:t>
            </w:r>
          </w:p>
        </w:tc>
        <w:tc>
          <w:tcPr>
            <w:tcW w:w="1832" w:type="dxa"/>
            <w:vAlign w:val="bottom"/>
          </w:tcPr>
          <w:p w:rsidR="00BE1962" w:rsidRPr="00BE1962" w:rsidRDefault="00BE1962" w:rsidP="00BE1962">
            <w:pPr>
              <w:jc w:val="right"/>
              <w:rPr>
                <w:color w:val="000000"/>
              </w:rPr>
            </w:pPr>
            <w:r w:rsidRPr="00BE1962">
              <w:rPr>
                <w:color w:val="000000"/>
              </w:rPr>
              <w:t>8,709</w:t>
            </w:r>
          </w:p>
        </w:tc>
        <w:tc>
          <w:tcPr>
            <w:tcW w:w="1596" w:type="dxa"/>
            <w:vAlign w:val="bottom"/>
          </w:tcPr>
          <w:p w:rsidR="00BE1962" w:rsidRPr="00BE1962" w:rsidRDefault="00BE1962" w:rsidP="00BE1962">
            <w:pPr>
              <w:jc w:val="center"/>
              <w:rPr>
                <w:color w:val="000000"/>
              </w:rPr>
            </w:pPr>
            <w:r w:rsidRPr="00BE1962">
              <w:rPr>
                <w:rFonts w:ascii="Cambria Math" w:hAnsi="Cambria Math" w:cs="Cambria Math"/>
                <w:color w:val="000000"/>
              </w:rPr>
              <w:t>‐</w:t>
            </w:r>
          </w:p>
        </w:tc>
        <w:tc>
          <w:tcPr>
            <w:tcW w:w="1596" w:type="dxa"/>
            <w:vAlign w:val="bottom"/>
          </w:tcPr>
          <w:p w:rsidR="00BE1962" w:rsidRPr="00BE1962" w:rsidRDefault="00BE1962" w:rsidP="00BE1962">
            <w:pPr>
              <w:jc w:val="center"/>
              <w:rPr>
                <w:color w:val="000000"/>
              </w:rPr>
            </w:pPr>
            <w:r w:rsidRPr="00BE1962">
              <w:rPr>
                <w:rFonts w:ascii="Cambria Math" w:hAnsi="Cambria Math" w:cs="Cambria Math"/>
                <w:color w:val="000000"/>
              </w:rPr>
              <w:t>‐</w:t>
            </w:r>
          </w:p>
        </w:tc>
        <w:tc>
          <w:tcPr>
            <w:tcW w:w="1596" w:type="dxa"/>
            <w:shd w:val="clear" w:color="auto" w:fill="auto"/>
            <w:vAlign w:val="bottom"/>
          </w:tcPr>
          <w:p w:rsidR="00BE1962" w:rsidRPr="00BE1962" w:rsidRDefault="00BE1962" w:rsidP="00BE1962">
            <w:pPr>
              <w:jc w:val="center"/>
              <w:rPr>
                <w:color w:val="000000"/>
              </w:rPr>
            </w:pPr>
            <w:r w:rsidRPr="00BE1962">
              <w:rPr>
                <w:rFonts w:ascii="Cambria Math" w:hAnsi="Cambria Math" w:cs="Cambria Math"/>
                <w:color w:val="000000"/>
              </w:rPr>
              <w:t>‐</w:t>
            </w:r>
          </w:p>
        </w:tc>
        <w:tc>
          <w:tcPr>
            <w:tcW w:w="1596" w:type="dxa"/>
            <w:shd w:val="clear" w:color="auto" w:fill="auto"/>
            <w:vAlign w:val="bottom"/>
          </w:tcPr>
          <w:p w:rsidR="00BE1962" w:rsidRPr="00BE1962" w:rsidRDefault="00BE1962" w:rsidP="00BE1962">
            <w:pPr>
              <w:jc w:val="center"/>
              <w:rPr>
                <w:color w:val="000000"/>
              </w:rPr>
            </w:pPr>
            <w:r w:rsidRPr="00BE1962">
              <w:rPr>
                <w:rFonts w:ascii="Cambria Math" w:hAnsi="Cambria Math" w:cs="Cambria Math"/>
                <w:color w:val="000000"/>
              </w:rPr>
              <w:t>‐</w:t>
            </w:r>
          </w:p>
        </w:tc>
      </w:tr>
      <w:tr w:rsidR="00BE1962" w:rsidRPr="00BE1962" w:rsidTr="002571B1">
        <w:tc>
          <w:tcPr>
            <w:tcW w:w="1543" w:type="dxa"/>
            <w:vAlign w:val="bottom"/>
          </w:tcPr>
          <w:p w:rsidR="00BE1962" w:rsidRPr="00BE1962" w:rsidRDefault="00BE1962" w:rsidP="00BE1962">
            <w:pPr>
              <w:keepNext/>
              <w:jc w:val="center"/>
              <w:rPr>
                <w:color w:val="000000"/>
              </w:rPr>
            </w:pPr>
            <w:r w:rsidRPr="00BE1962">
              <w:rPr>
                <w:color w:val="000000"/>
              </w:rPr>
              <w:t>2025</w:t>
            </w:r>
          </w:p>
        </w:tc>
        <w:tc>
          <w:tcPr>
            <w:tcW w:w="1832" w:type="dxa"/>
            <w:vAlign w:val="bottom"/>
          </w:tcPr>
          <w:p w:rsidR="00BE1962" w:rsidRPr="00BE1962" w:rsidRDefault="00BE1962" w:rsidP="00BE1962">
            <w:pPr>
              <w:jc w:val="right"/>
              <w:rPr>
                <w:color w:val="000000"/>
              </w:rPr>
            </w:pPr>
            <w:r w:rsidRPr="00BE1962">
              <w:rPr>
                <w:color w:val="000000"/>
              </w:rPr>
              <w:t>9,648</w:t>
            </w:r>
          </w:p>
        </w:tc>
        <w:tc>
          <w:tcPr>
            <w:tcW w:w="1596" w:type="dxa"/>
            <w:vAlign w:val="bottom"/>
          </w:tcPr>
          <w:p w:rsidR="00BE1962" w:rsidRPr="00BE1962" w:rsidRDefault="00BE1962" w:rsidP="00BE1962">
            <w:pPr>
              <w:jc w:val="center"/>
              <w:rPr>
                <w:color w:val="000000"/>
              </w:rPr>
            </w:pPr>
            <w:r w:rsidRPr="00BE1962">
              <w:rPr>
                <w:rFonts w:ascii="Cambria Math" w:hAnsi="Cambria Math" w:cs="Cambria Math"/>
                <w:color w:val="000000"/>
              </w:rPr>
              <w:t>‐</w:t>
            </w:r>
          </w:p>
        </w:tc>
        <w:tc>
          <w:tcPr>
            <w:tcW w:w="1596" w:type="dxa"/>
            <w:vAlign w:val="bottom"/>
          </w:tcPr>
          <w:p w:rsidR="00BE1962" w:rsidRPr="00BE1962" w:rsidRDefault="00BE1962" w:rsidP="00BE1962">
            <w:pPr>
              <w:jc w:val="center"/>
              <w:rPr>
                <w:color w:val="000000"/>
              </w:rPr>
            </w:pPr>
            <w:r w:rsidRPr="00BE1962">
              <w:rPr>
                <w:rFonts w:ascii="Cambria Math" w:hAnsi="Cambria Math" w:cs="Cambria Math"/>
                <w:color w:val="000000"/>
              </w:rPr>
              <w:t>‐</w:t>
            </w:r>
          </w:p>
        </w:tc>
        <w:tc>
          <w:tcPr>
            <w:tcW w:w="1596" w:type="dxa"/>
            <w:shd w:val="clear" w:color="auto" w:fill="auto"/>
            <w:vAlign w:val="bottom"/>
          </w:tcPr>
          <w:p w:rsidR="00BE1962" w:rsidRPr="00BE1962" w:rsidRDefault="00BE1962" w:rsidP="00BE1962">
            <w:pPr>
              <w:jc w:val="center"/>
              <w:rPr>
                <w:color w:val="000000"/>
              </w:rPr>
            </w:pPr>
            <w:r w:rsidRPr="00BE1962">
              <w:rPr>
                <w:rFonts w:ascii="Cambria Math" w:hAnsi="Cambria Math" w:cs="Cambria Math"/>
                <w:color w:val="000000"/>
              </w:rPr>
              <w:t>‐</w:t>
            </w:r>
          </w:p>
        </w:tc>
        <w:tc>
          <w:tcPr>
            <w:tcW w:w="1596" w:type="dxa"/>
            <w:shd w:val="clear" w:color="auto" w:fill="auto"/>
            <w:vAlign w:val="bottom"/>
          </w:tcPr>
          <w:p w:rsidR="00BE1962" w:rsidRPr="00BE1962" w:rsidRDefault="00BE1962" w:rsidP="00BE1962">
            <w:pPr>
              <w:jc w:val="center"/>
              <w:rPr>
                <w:color w:val="000000"/>
              </w:rPr>
            </w:pPr>
            <w:r w:rsidRPr="00BE1962">
              <w:rPr>
                <w:rFonts w:ascii="Cambria Math" w:hAnsi="Cambria Math" w:cs="Cambria Math"/>
                <w:color w:val="000000"/>
              </w:rPr>
              <w:t>‐</w:t>
            </w:r>
          </w:p>
        </w:tc>
      </w:tr>
      <w:tr w:rsidR="00BE1962" w:rsidRPr="00BE1962" w:rsidTr="002571B1">
        <w:tc>
          <w:tcPr>
            <w:tcW w:w="1543" w:type="dxa"/>
            <w:vAlign w:val="bottom"/>
          </w:tcPr>
          <w:p w:rsidR="00BE1962" w:rsidRPr="00BE1962" w:rsidRDefault="00BE1962" w:rsidP="00BE1962">
            <w:pPr>
              <w:keepNext/>
              <w:jc w:val="center"/>
              <w:rPr>
                <w:color w:val="000000"/>
              </w:rPr>
            </w:pPr>
            <w:r w:rsidRPr="00BE1962">
              <w:rPr>
                <w:color w:val="000000"/>
              </w:rPr>
              <w:t>2026</w:t>
            </w:r>
          </w:p>
        </w:tc>
        <w:tc>
          <w:tcPr>
            <w:tcW w:w="1832" w:type="dxa"/>
            <w:vAlign w:val="bottom"/>
          </w:tcPr>
          <w:p w:rsidR="00BE1962" w:rsidRPr="00BE1962" w:rsidRDefault="00BE1962" w:rsidP="00BE1962">
            <w:pPr>
              <w:jc w:val="right"/>
              <w:rPr>
                <w:color w:val="000000"/>
              </w:rPr>
            </w:pPr>
            <w:r w:rsidRPr="00BE1962">
              <w:rPr>
                <w:color w:val="000000"/>
              </w:rPr>
              <w:t>10,212</w:t>
            </w:r>
          </w:p>
        </w:tc>
        <w:tc>
          <w:tcPr>
            <w:tcW w:w="1596" w:type="dxa"/>
            <w:vAlign w:val="bottom"/>
          </w:tcPr>
          <w:p w:rsidR="00BE1962" w:rsidRPr="00BE1962" w:rsidRDefault="00BE1962" w:rsidP="00BE1962">
            <w:pPr>
              <w:jc w:val="center"/>
              <w:rPr>
                <w:color w:val="000000"/>
              </w:rPr>
            </w:pPr>
            <w:r w:rsidRPr="00BE1962">
              <w:rPr>
                <w:rFonts w:ascii="Cambria Math" w:hAnsi="Cambria Math" w:cs="Cambria Math"/>
                <w:color w:val="000000"/>
              </w:rPr>
              <w:t>‐</w:t>
            </w:r>
          </w:p>
        </w:tc>
        <w:tc>
          <w:tcPr>
            <w:tcW w:w="1596" w:type="dxa"/>
            <w:vAlign w:val="bottom"/>
          </w:tcPr>
          <w:p w:rsidR="00BE1962" w:rsidRPr="00BE1962" w:rsidRDefault="00BE1962" w:rsidP="00BE1962">
            <w:pPr>
              <w:jc w:val="center"/>
              <w:rPr>
                <w:color w:val="000000"/>
              </w:rPr>
            </w:pPr>
            <w:r w:rsidRPr="00BE1962">
              <w:rPr>
                <w:rFonts w:ascii="Cambria Math" w:hAnsi="Cambria Math" w:cs="Cambria Math"/>
                <w:color w:val="000000"/>
              </w:rPr>
              <w:t>‐</w:t>
            </w:r>
          </w:p>
        </w:tc>
        <w:tc>
          <w:tcPr>
            <w:tcW w:w="1596" w:type="dxa"/>
            <w:shd w:val="clear" w:color="auto" w:fill="auto"/>
            <w:vAlign w:val="bottom"/>
          </w:tcPr>
          <w:p w:rsidR="00BE1962" w:rsidRPr="00BE1962" w:rsidRDefault="00BE1962" w:rsidP="00BE1962">
            <w:pPr>
              <w:jc w:val="right"/>
              <w:rPr>
                <w:color w:val="000000"/>
              </w:rPr>
            </w:pPr>
            <w:r w:rsidRPr="00BE1962">
              <w:rPr>
                <w:color w:val="000000"/>
              </w:rPr>
              <w:t>1,965</w:t>
            </w:r>
          </w:p>
        </w:tc>
        <w:tc>
          <w:tcPr>
            <w:tcW w:w="1596" w:type="dxa"/>
            <w:shd w:val="clear" w:color="auto" w:fill="auto"/>
            <w:vAlign w:val="bottom"/>
          </w:tcPr>
          <w:p w:rsidR="00BE1962" w:rsidRPr="00BE1962" w:rsidRDefault="00BE1962" w:rsidP="00BE1962">
            <w:pPr>
              <w:jc w:val="right"/>
              <w:rPr>
                <w:color w:val="000000"/>
              </w:rPr>
            </w:pPr>
            <w:r w:rsidRPr="00BE1962">
              <w:rPr>
                <w:color w:val="000000"/>
              </w:rPr>
              <w:t>2,210</w:t>
            </w:r>
          </w:p>
        </w:tc>
      </w:tr>
      <w:tr w:rsidR="00BE1962" w:rsidRPr="00BE1962" w:rsidTr="002571B1">
        <w:tc>
          <w:tcPr>
            <w:tcW w:w="1543" w:type="dxa"/>
            <w:vAlign w:val="bottom"/>
          </w:tcPr>
          <w:p w:rsidR="00BE1962" w:rsidRPr="00BE1962" w:rsidRDefault="00BE1962" w:rsidP="00BE1962">
            <w:pPr>
              <w:keepNext/>
              <w:jc w:val="center"/>
              <w:rPr>
                <w:color w:val="000000"/>
              </w:rPr>
            </w:pPr>
            <w:r w:rsidRPr="00BE1962">
              <w:rPr>
                <w:color w:val="000000"/>
              </w:rPr>
              <w:t>2027</w:t>
            </w:r>
          </w:p>
        </w:tc>
        <w:tc>
          <w:tcPr>
            <w:tcW w:w="1832" w:type="dxa"/>
            <w:vAlign w:val="bottom"/>
          </w:tcPr>
          <w:p w:rsidR="00BE1962" w:rsidRPr="00BE1962" w:rsidRDefault="00BE1962" w:rsidP="00BE1962">
            <w:pPr>
              <w:jc w:val="right"/>
              <w:rPr>
                <w:color w:val="000000"/>
              </w:rPr>
            </w:pPr>
            <w:r w:rsidRPr="00BE1962">
              <w:rPr>
                <w:color w:val="000000"/>
              </w:rPr>
              <w:t>10,639</w:t>
            </w:r>
          </w:p>
        </w:tc>
        <w:tc>
          <w:tcPr>
            <w:tcW w:w="1596" w:type="dxa"/>
            <w:vAlign w:val="bottom"/>
          </w:tcPr>
          <w:p w:rsidR="00BE1962" w:rsidRPr="00BE1962" w:rsidRDefault="00BE1962" w:rsidP="00BE1962">
            <w:pPr>
              <w:jc w:val="center"/>
              <w:rPr>
                <w:color w:val="000000"/>
              </w:rPr>
            </w:pPr>
            <w:r w:rsidRPr="00BE1962">
              <w:rPr>
                <w:rFonts w:ascii="Cambria Math" w:hAnsi="Cambria Math" w:cs="Cambria Math"/>
                <w:color w:val="000000"/>
              </w:rPr>
              <w:t>‐</w:t>
            </w:r>
          </w:p>
        </w:tc>
        <w:tc>
          <w:tcPr>
            <w:tcW w:w="1596" w:type="dxa"/>
            <w:vAlign w:val="bottom"/>
          </w:tcPr>
          <w:p w:rsidR="00BE1962" w:rsidRPr="00BE1962" w:rsidRDefault="00BE1962" w:rsidP="00BE1962">
            <w:pPr>
              <w:jc w:val="center"/>
              <w:rPr>
                <w:color w:val="000000"/>
              </w:rPr>
            </w:pPr>
            <w:r w:rsidRPr="00BE1962">
              <w:rPr>
                <w:rFonts w:ascii="Cambria Math" w:hAnsi="Cambria Math" w:cs="Cambria Math"/>
                <w:color w:val="000000"/>
              </w:rPr>
              <w:t>‐</w:t>
            </w:r>
          </w:p>
        </w:tc>
        <w:tc>
          <w:tcPr>
            <w:tcW w:w="1596" w:type="dxa"/>
            <w:shd w:val="clear" w:color="auto" w:fill="auto"/>
            <w:vAlign w:val="bottom"/>
          </w:tcPr>
          <w:p w:rsidR="00BE1962" w:rsidRPr="00BE1962" w:rsidRDefault="00BE1962" w:rsidP="00BE1962">
            <w:pPr>
              <w:jc w:val="right"/>
              <w:rPr>
                <w:color w:val="000000"/>
              </w:rPr>
            </w:pPr>
            <w:r w:rsidRPr="00BE1962">
              <w:rPr>
                <w:color w:val="000000"/>
              </w:rPr>
              <w:t>2,004</w:t>
            </w:r>
          </w:p>
        </w:tc>
        <w:tc>
          <w:tcPr>
            <w:tcW w:w="1596" w:type="dxa"/>
            <w:shd w:val="clear" w:color="auto" w:fill="auto"/>
            <w:vAlign w:val="bottom"/>
          </w:tcPr>
          <w:p w:rsidR="00BE1962" w:rsidRPr="00BE1962" w:rsidRDefault="00BE1962" w:rsidP="00BE1962">
            <w:pPr>
              <w:jc w:val="right"/>
              <w:rPr>
                <w:color w:val="000000"/>
              </w:rPr>
            </w:pPr>
            <w:r w:rsidRPr="00BE1962">
              <w:rPr>
                <w:color w:val="000000"/>
              </w:rPr>
              <w:t>2,210</w:t>
            </w:r>
          </w:p>
        </w:tc>
      </w:tr>
      <w:tr w:rsidR="00BE1962" w:rsidRPr="00BE1962" w:rsidTr="002571B1">
        <w:tc>
          <w:tcPr>
            <w:tcW w:w="1543" w:type="dxa"/>
            <w:vAlign w:val="bottom"/>
          </w:tcPr>
          <w:p w:rsidR="00BE1962" w:rsidRPr="00BE1962" w:rsidRDefault="00BE1962" w:rsidP="00BE1962">
            <w:pPr>
              <w:keepNext/>
              <w:jc w:val="center"/>
              <w:rPr>
                <w:color w:val="000000"/>
              </w:rPr>
            </w:pPr>
            <w:r w:rsidRPr="00BE1962">
              <w:rPr>
                <w:color w:val="000000"/>
              </w:rPr>
              <w:t>2028</w:t>
            </w:r>
          </w:p>
        </w:tc>
        <w:tc>
          <w:tcPr>
            <w:tcW w:w="1832" w:type="dxa"/>
            <w:vAlign w:val="bottom"/>
          </w:tcPr>
          <w:p w:rsidR="00BE1962" w:rsidRPr="00BE1962" w:rsidRDefault="00BE1962" w:rsidP="00BE1962">
            <w:pPr>
              <w:jc w:val="right"/>
              <w:rPr>
                <w:color w:val="000000"/>
              </w:rPr>
            </w:pPr>
            <w:r w:rsidRPr="00BE1962">
              <w:rPr>
                <w:color w:val="000000"/>
              </w:rPr>
              <w:t>11,517</w:t>
            </w:r>
          </w:p>
        </w:tc>
        <w:tc>
          <w:tcPr>
            <w:tcW w:w="1596" w:type="dxa"/>
            <w:vAlign w:val="bottom"/>
          </w:tcPr>
          <w:p w:rsidR="00BE1962" w:rsidRPr="00BE1962" w:rsidRDefault="00BE1962" w:rsidP="00BE1962">
            <w:pPr>
              <w:jc w:val="center"/>
              <w:rPr>
                <w:color w:val="000000"/>
              </w:rPr>
            </w:pPr>
            <w:r w:rsidRPr="00BE1962">
              <w:rPr>
                <w:rFonts w:ascii="Cambria Math" w:hAnsi="Cambria Math" w:cs="Cambria Math"/>
                <w:color w:val="000000"/>
              </w:rPr>
              <w:t>‐</w:t>
            </w:r>
          </w:p>
        </w:tc>
        <w:tc>
          <w:tcPr>
            <w:tcW w:w="1596" w:type="dxa"/>
            <w:vAlign w:val="bottom"/>
          </w:tcPr>
          <w:p w:rsidR="00BE1962" w:rsidRPr="00BE1962" w:rsidRDefault="00BE1962" w:rsidP="00BE1962">
            <w:pPr>
              <w:jc w:val="center"/>
              <w:rPr>
                <w:color w:val="000000"/>
              </w:rPr>
            </w:pPr>
            <w:r w:rsidRPr="00BE1962">
              <w:rPr>
                <w:rFonts w:ascii="Cambria Math" w:hAnsi="Cambria Math" w:cs="Cambria Math"/>
                <w:color w:val="000000"/>
              </w:rPr>
              <w:t>‐</w:t>
            </w:r>
          </w:p>
        </w:tc>
        <w:tc>
          <w:tcPr>
            <w:tcW w:w="1596" w:type="dxa"/>
            <w:shd w:val="clear" w:color="auto" w:fill="auto"/>
            <w:vAlign w:val="bottom"/>
          </w:tcPr>
          <w:p w:rsidR="00BE1962" w:rsidRPr="00BE1962" w:rsidRDefault="00BE1962" w:rsidP="00BE1962">
            <w:pPr>
              <w:jc w:val="right"/>
              <w:rPr>
                <w:color w:val="000000"/>
              </w:rPr>
            </w:pPr>
            <w:r w:rsidRPr="00BE1962">
              <w:rPr>
                <w:color w:val="000000"/>
              </w:rPr>
              <w:t>2,044</w:t>
            </w:r>
          </w:p>
        </w:tc>
        <w:tc>
          <w:tcPr>
            <w:tcW w:w="1596" w:type="dxa"/>
            <w:shd w:val="clear" w:color="auto" w:fill="auto"/>
            <w:vAlign w:val="bottom"/>
          </w:tcPr>
          <w:p w:rsidR="00BE1962" w:rsidRPr="00BE1962" w:rsidRDefault="00BE1962" w:rsidP="00BE1962">
            <w:pPr>
              <w:jc w:val="right"/>
              <w:rPr>
                <w:color w:val="000000"/>
              </w:rPr>
            </w:pPr>
            <w:r w:rsidRPr="00BE1962">
              <w:rPr>
                <w:color w:val="000000"/>
              </w:rPr>
              <w:t>2,210</w:t>
            </w:r>
          </w:p>
        </w:tc>
      </w:tr>
      <w:tr w:rsidR="00BE1962" w:rsidRPr="00BE1962" w:rsidTr="002571B1">
        <w:tc>
          <w:tcPr>
            <w:tcW w:w="1543" w:type="dxa"/>
            <w:vAlign w:val="bottom"/>
          </w:tcPr>
          <w:p w:rsidR="00BE1962" w:rsidRPr="00BE1962" w:rsidRDefault="00BE1962" w:rsidP="00BE1962">
            <w:pPr>
              <w:keepNext/>
              <w:jc w:val="center"/>
              <w:rPr>
                <w:color w:val="000000"/>
              </w:rPr>
            </w:pPr>
            <w:r w:rsidRPr="00BE1962">
              <w:rPr>
                <w:color w:val="000000"/>
              </w:rPr>
              <w:t>2029</w:t>
            </w:r>
          </w:p>
        </w:tc>
        <w:tc>
          <w:tcPr>
            <w:tcW w:w="1832" w:type="dxa"/>
            <w:vAlign w:val="bottom"/>
          </w:tcPr>
          <w:p w:rsidR="00BE1962" w:rsidRPr="00BE1962" w:rsidRDefault="00BE1962" w:rsidP="00BE1962">
            <w:pPr>
              <w:jc w:val="right"/>
              <w:rPr>
                <w:color w:val="000000"/>
              </w:rPr>
            </w:pPr>
            <w:r w:rsidRPr="00BE1962">
              <w:rPr>
                <w:color w:val="000000"/>
              </w:rPr>
              <w:t>11,540</w:t>
            </w:r>
          </w:p>
        </w:tc>
        <w:tc>
          <w:tcPr>
            <w:tcW w:w="1596" w:type="dxa"/>
            <w:vAlign w:val="bottom"/>
          </w:tcPr>
          <w:p w:rsidR="00BE1962" w:rsidRPr="00BE1962" w:rsidRDefault="00BE1962" w:rsidP="00BE1962">
            <w:pPr>
              <w:jc w:val="center"/>
              <w:rPr>
                <w:color w:val="000000"/>
              </w:rPr>
            </w:pPr>
            <w:r w:rsidRPr="00BE1962">
              <w:rPr>
                <w:rFonts w:ascii="Cambria Math" w:hAnsi="Cambria Math" w:cs="Cambria Math"/>
                <w:color w:val="000000"/>
              </w:rPr>
              <w:t>‐</w:t>
            </w:r>
          </w:p>
        </w:tc>
        <w:tc>
          <w:tcPr>
            <w:tcW w:w="1596" w:type="dxa"/>
            <w:vAlign w:val="bottom"/>
          </w:tcPr>
          <w:p w:rsidR="00BE1962" w:rsidRPr="00BE1962" w:rsidRDefault="00BE1962" w:rsidP="00BE1962">
            <w:pPr>
              <w:jc w:val="center"/>
              <w:rPr>
                <w:color w:val="000000"/>
              </w:rPr>
            </w:pPr>
            <w:r w:rsidRPr="00BE1962">
              <w:rPr>
                <w:rFonts w:ascii="Cambria Math" w:hAnsi="Cambria Math" w:cs="Cambria Math"/>
                <w:color w:val="000000"/>
              </w:rPr>
              <w:t>‐</w:t>
            </w:r>
          </w:p>
        </w:tc>
        <w:tc>
          <w:tcPr>
            <w:tcW w:w="1596" w:type="dxa"/>
            <w:shd w:val="clear" w:color="auto" w:fill="auto"/>
            <w:vAlign w:val="bottom"/>
          </w:tcPr>
          <w:p w:rsidR="00BE1962" w:rsidRPr="00BE1962" w:rsidRDefault="00BE1962" w:rsidP="00BE1962">
            <w:pPr>
              <w:jc w:val="right"/>
              <w:rPr>
                <w:color w:val="000000"/>
              </w:rPr>
            </w:pPr>
            <w:r w:rsidRPr="00BE1962">
              <w:rPr>
                <w:color w:val="000000"/>
              </w:rPr>
              <w:t>2,085</w:t>
            </w:r>
          </w:p>
        </w:tc>
        <w:tc>
          <w:tcPr>
            <w:tcW w:w="1596" w:type="dxa"/>
            <w:shd w:val="clear" w:color="auto" w:fill="auto"/>
            <w:vAlign w:val="bottom"/>
          </w:tcPr>
          <w:p w:rsidR="00BE1962" w:rsidRPr="00BE1962" w:rsidRDefault="00BE1962" w:rsidP="00BE1962">
            <w:pPr>
              <w:jc w:val="right"/>
              <w:rPr>
                <w:color w:val="000000"/>
              </w:rPr>
            </w:pPr>
            <w:r w:rsidRPr="00BE1962">
              <w:rPr>
                <w:color w:val="000000"/>
              </w:rPr>
              <w:t>2,210</w:t>
            </w:r>
          </w:p>
        </w:tc>
      </w:tr>
      <w:tr w:rsidR="00BE1962" w:rsidRPr="00BE1962" w:rsidTr="002571B1">
        <w:tc>
          <w:tcPr>
            <w:tcW w:w="1543" w:type="dxa"/>
            <w:vAlign w:val="bottom"/>
          </w:tcPr>
          <w:p w:rsidR="00BE1962" w:rsidRPr="00BE1962" w:rsidRDefault="00BE1962" w:rsidP="00BE1962">
            <w:pPr>
              <w:keepNext/>
              <w:jc w:val="center"/>
              <w:rPr>
                <w:color w:val="000000"/>
              </w:rPr>
            </w:pPr>
            <w:r w:rsidRPr="00BE1962">
              <w:rPr>
                <w:color w:val="000000"/>
              </w:rPr>
              <w:t>2030</w:t>
            </w:r>
          </w:p>
        </w:tc>
        <w:tc>
          <w:tcPr>
            <w:tcW w:w="1832" w:type="dxa"/>
            <w:vAlign w:val="bottom"/>
          </w:tcPr>
          <w:p w:rsidR="00BE1962" w:rsidRPr="00BE1962" w:rsidRDefault="00BE1962" w:rsidP="00BE1962">
            <w:pPr>
              <w:jc w:val="right"/>
              <w:rPr>
                <w:color w:val="000000"/>
              </w:rPr>
            </w:pPr>
            <w:r w:rsidRPr="00BE1962">
              <w:rPr>
                <w:color w:val="000000"/>
              </w:rPr>
              <w:t>11,280</w:t>
            </w:r>
          </w:p>
        </w:tc>
        <w:tc>
          <w:tcPr>
            <w:tcW w:w="1596" w:type="dxa"/>
            <w:vAlign w:val="bottom"/>
          </w:tcPr>
          <w:p w:rsidR="00BE1962" w:rsidRPr="00BE1962" w:rsidRDefault="00BE1962" w:rsidP="00BE1962">
            <w:pPr>
              <w:jc w:val="right"/>
              <w:rPr>
                <w:color w:val="000000"/>
              </w:rPr>
            </w:pPr>
            <w:r w:rsidRPr="00BE1962">
              <w:rPr>
                <w:color w:val="000000"/>
              </w:rPr>
              <w:t>3,205</w:t>
            </w:r>
          </w:p>
        </w:tc>
        <w:tc>
          <w:tcPr>
            <w:tcW w:w="1596" w:type="dxa"/>
            <w:vAlign w:val="bottom"/>
          </w:tcPr>
          <w:p w:rsidR="00BE1962" w:rsidRPr="00BE1962" w:rsidRDefault="00BE1962" w:rsidP="00BE1962">
            <w:pPr>
              <w:jc w:val="right"/>
              <w:rPr>
                <w:color w:val="000000"/>
              </w:rPr>
            </w:pPr>
            <w:r w:rsidRPr="00BE1962">
              <w:rPr>
                <w:color w:val="000000"/>
              </w:rPr>
              <w:t>3,515</w:t>
            </w:r>
          </w:p>
        </w:tc>
        <w:tc>
          <w:tcPr>
            <w:tcW w:w="1596" w:type="dxa"/>
            <w:shd w:val="clear" w:color="auto" w:fill="auto"/>
            <w:vAlign w:val="bottom"/>
          </w:tcPr>
          <w:p w:rsidR="00BE1962" w:rsidRPr="00BE1962" w:rsidRDefault="00BE1962" w:rsidP="00BE1962">
            <w:pPr>
              <w:jc w:val="right"/>
              <w:rPr>
                <w:color w:val="000000"/>
              </w:rPr>
            </w:pPr>
            <w:r w:rsidRPr="00BE1962">
              <w:rPr>
                <w:color w:val="000000"/>
              </w:rPr>
              <w:t>2,127</w:t>
            </w:r>
          </w:p>
        </w:tc>
        <w:tc>
          <w:tcPr>
            <w:tcW w:w="1596" w:type="dxa"/>
            <w:shd w:val="clear" w:color="auto" w:fill="auto"/>
            <w:vAlign w:val="bottom"/>
          </w:tcPr>
          <w:p w:rsidR="00BE1962" w:rsidRPr="00BE1962" w:rsidRDefault="00BE1962" w:rsidP="00BE1962">
            <w:pPr>
              <w:jc w:val="right"/>
              <w:rPr>
                <w:color w:val="000000"/>
              </w:rPr>
            </w:pPr>
            <w:r w:rsidRPr="00BE1962">
              <w:rPr>
                <w:color w:val="000000"/>
              </w:rPr>
              <w:t>2,210</w:t>
            </w:r>
          </w:p>
        </w:tc>
      </w:tr>
      <w:tr w:rsidR="00BE1962" w:rsidRPr="00BE1962" w:rsidTr="002571B1">
        <w:tc>
          <w:tcPr>
            <w:tcW w:w="1543" w:type="dxa"/>
            <w:vAlign w:val="bottom"/>
          </w:tcPr>
          <w:p w:rsidR="00BE1962" w:rsidRPr="00BE1962" w:rsidRDefault="00BE1962" w:rsidP="00BE1962">
            <w:pPr>
              <w:keepNext/>
              <w:jc w:val="center"/>
              <w:rPr>
                <w:color w:val="000000"/>
              </w:rPr>
            </w:pPr>
            <w:r w:rsidRPr="00BE1962">
              <w:rPr>
                <w:color w:val="000000"/>
              </w:rPr>
              <w:t>2031</w:t>
            </w:r>
          </w:p>
        </w:tc>
        <w:tc>
          <w:tcPr>
            <w:tcW w:w="1832" w:type="dxa"/>
            <w:vAlign w:val="bottom"/>
          </w:tcPr>
          <w:p w:rsidR="00BE1962" w:rsidRPr="00BE1962" w:rsidRDefault="00BE1962" w:rsidP="00BE1962">
            <w:pPr>
              <w:jc w:val="right"/>
              <w:rPr>
                <w:color w:val="000000"/>
              </w:rPr>
            </w:pPr>
            <w:r w:rsidRPr="00BE1962">
              <w:rPr>
                <w:color w:val="000000"/>
              </w:rPr>
              <w:t>11,075</w:t>
            </w:r>
          </w:p>
        </w:tc>
        <w:tc>
          <w:tcPr>
            <w:tcW w:w="1596" w:type="dxa"/>
            <w:vAlign w:val="bottom"/>
          </w:tcPr>
          <w:p w:rsidR="00BE1962" w:rsidRPr="00BE1962" w:rsidRDefault="00BE1962" w:rsidP="00BE1962">
            <w:pPr>
              <w:jc w:val="right"/>
              <w:rPr>
                <w:color w:val="000000"/>
              </w:rPr>
            </w:pPr>
            <w:r w:rsidRPr="00BE1962">
              <w:rPr>
                <w:color w:val="000000"/>
              </w:rPr>
              <w:t>3,273</w:t>
            </w:r>
          </w:p>
        </w:tc>
        <w:tc>
          <w:tcPr>
            <w:tcW w:w="1596" w:type="dxa"/>
            <w:vAlign w:val="bottom"/>
          </w:tcPr>
          <w:p w:rsidR="00BE1962" w:rsidRPr="00BE1962" w:rsidRDefault="00BE1962" w:rsidP="00BE1962">
            <w:pPr>
              <w:jc w:val="right"/>
              <w:rPr>
                <w:color w:val="000000"/>
              </w:rPr>
            </w:pPr>
            <w:r w:rsidRPr="00BE1962">
              <w:rPr>
                <w:color w:val="000000"/>
              </w:rPr>
              <w:t>3,515</w:t>
            </w:r>
          </w:p>
        </w:tc>
        <w:tc>
          <w:tcPr>
            <w:tcW w:w="1596" w:type="dxa"/>
            <w:shd w:val="clear" w:color="auto" w:fill="auto"/>
            <w:vAlign w:val="bottom"/>
          </w:tcPr>
          <w:p w:rsidR="00BE1962" w:rsidRPr="00BE1962" w:rsidRDefault="00BE1962" w:rsidP="00BE1962">
            <w:pPr>
              <w:jc w:val="right"/>
              <w:rPr>
                <w:color w:val="000000"/>
              </w:rPr>
            </w:pPr>
            <w:r w:rsidRPr="00BE1962">
              <w:rPr>
                <w:color w:val="000000"/>
              </w:rPr>
              <w:t>2,170</w:t>
            </w:r>
          </w:p>
        </w:tc>
        <w:tc>
          <w:tcPr>
            <w:tcW w:w="1596" w:type="dxa"/>
            <w:shd w:val="clear" w:color="auto" w:fill="auto"/>
            <w:vAlign w:val="bottom"/>
          </w:tcPr>
          <w:p w:rsidR="00BE1962" w:rsidRPr="00BE1962" w:rsidRDefault="00BE1962" w:rsidP="00BE1962">
            <w:pPr>
              <w:jc w:val="right"/>
              <w:rPr>
                <w:color w:val="000000"/>
              </w:rPr>
            </w:pPr>
            <w:r w:rsidRPr="00BE1962">
              <w:rPr>
                <w:color w:val="000000"/>
              </w:rPr>
              <w:t>2,210</w:t>
            </w:r>
          </w:p>
        </w:tc>
      </w:tr>
      <w:tr w:rsidR="00BE1962" w:rsidRPr="00BE1962" w:rsidTr="002571B1">
        <w:tc>
          <w:tcPr>
            <w:tcW w:w="1543" w:type="dxa"/>
            <w:vAlign w:val="bottom"/>
          </w:tcPr>
          <w:p w:rsidR="00BE1962" w:rsidRPr="00BE1962" w:rsidRDefault="00BE1962" w:rsidP="00BE1962">
            <w:pPr>
              <w:keepNext/>
              <w:jc w:val="center"/>
              <w:rPr>
                <w:color w:val="000000"/>
              </w:rPr>
            </w:pPr>
            <w:r w:rsidRPr="00BE1962">
              <w:rPr>
                <w:color w:val="000000"/>
              </w:rPr>
              <w:t>2032</w:t>
            </w:r>
          </w:p>
        </w:tc>
        <w:tc>
          <w:tcPr>
            <w:tcW w:w="1832" w:type="dxa"/>
            <w:vAlign w:val="bottom"/>
          </w:tcPr>
          <w:p w:rsidR="00BE1962" w:rsidRPr="00BE1962" w:rsidRDefault="00BE1962" w:rsidP="00BE1962">
            <w:pPr>
              <w:jc w:val="right"/>
              <w:rPr>
                <w:color w:val="000000"/>
              </w:rPr>
            </w:pPr>
            <w:r w:rsidRPr="00BE1962">
              <w:rPr>
                <w:color w:val="000000"/>
              </w:rPr>
              <w:t>11,309</w:t>
            </w:r>
          </w:p>
        </w:tc>
        <w:tc>
          <w:tcPr>
            <w:tcW w:w="1596" w:type="dxa"/>
            <w:vAlign w:val="bottom"/>
          </w:tcPr>
          <w:p w:rsidR="00BE1962" w:rsidRPr="00BE1962" w:rsidRDefault="00BE1962" w:rsidP="00BE1962">
            <w:pPr>
              <w:jc w:val="right"/>
              <w:rPr>
                <w:color w:val="000000"/>
              </w:rPr>
            </w:pPr>
            <w:r w:rsidRPr="00BE1962">
              <w:rPr>
                <w:color w:val="000000"/>
              </w:rPr>
              <w:t>3,341</w:t>
            </w:r>
          </w:p>
        </w:tc>
        <w:tc>
          <w:tcPr>
            <w:tcW w:w="1596" w:type="dxa"/>
            <w:vAlign w:val="bottom"/>
          </w:tcPr>
          <w:p w:rsidR="00BE1962" w:rsidRPr="00BE1962" w:rsidRDefault="00BE1962" w:rsidP="00BE1962">
            <w:pPr>
              <w:jc w:val="right"/>
              <w:rPr>
                <w:color w:val="000000"/>
              </w:rPr>
            </w:pPr>
            <w:r w:rsidRPr="00BE1962">
              <w:rPr>
                <w:color w:val="000000"/>
              </w:rPr>
              <w:t>3,515</w:t>
            </w:r>
          </w:p>
        </w:tc>
        <w:tc>
          <w:tcPr>
            <w:tcW w:w="1596" w:type="dxa"/>
            <w:shd w:val="clear" w:color="auto" w:fill="auto"/>
            <w:vAlign w:val="bottom"/>
          </w:tcPr>
          <w:p w:rsidR="00BE1962" w:rsidRPr="00BE1962" w:rsidRDefault="00BE1962" w:rsidP="00BE1962">
            <w:pPr>
              <w:jc w:val="right"/>
              <w:rPr>
                <w:color w:val="000000"/>
              </w:rPr>
            </w:pPr>
            <w:r w:rsidRPr="00BE1962">
              <w:rPr>
                <w:color w:val="000000"/>
              </w:rPr>
              <w:t>2,213</w:t>
            </w:r>
          </w:p>
        </w:tc>
        <w:tc>
          <w:tcPr>
            <w:tcW w:w="1596" w:type="dxa"/>
            <w:shd w:val="clear" w:color="auto" w:fill="auto"/>
            <w:vAlign w:val="bottom"/>
          </w:tcPr>
          <w:p w:rsidR="00BE1962" w:rsidRPr="00BE1962" w:rsidRDefault="00BE1962" w:rsidP="00BE1962">
            <w:pPr>
              <w:jc w:val="right"/>
              <w:rPr>
                <w:color w:val="000000"/>
              </w:rPr>
            </w:pPr>
            <w:r w:rsidRPr="00BE1962">
              <w:rPr>
                <w:color w:val="000000"/>
              </w:rPr>
              <w:t>2,210</w:t>
            </w:r>
          </w:p>
        </w:tc>
      </w:tr>
      <w:tr w:rsidR="00BE1962" w:rsidRPr="00BE1962" w:rsidTr="002571B1">
        <w:tc>
          <w:tcPr>
            <w:tcW w:w="1543" w:type="dxa"/>
            <w:vAlign w:val="bottom"/>
          </w:tcPr>
          <w:p w:rsidR="00BE1962" w:rsidRPr="00BE1962" w:rsidRDefault="00BE1962" w:rsidP="00BE1962">
            <w:pPr>
              <w:keepNext/>
              <w:jc w:val="center"/>
              <w:rPr>
                <w:color w:val="000000"/>
              </w:rPr>
            </w:pPr>
            <w:r w:rsidRPr="00BE1962">
              <w:rPr>
                <w:color w:val="000000"/>
              </w:rPr>
              <w:t>2033</w:t>
            </w:r>
          </w:p>
        </w:tc>
        <w:tc>
          <w:tcPr>
            <w:tcW w:w="1832" w:type="dxa"/>
            <w:vAlign w:val="bottom"/>
          </w:tcPr>
          <w:p w:rsidR="00BE1962" w:rsidRPr="00BE1962" w:rsidRDefault="00BE1962" w:rsidP="00BE1962">
            <w:pPr>
              <w:jc w:val="right"/>
              <w:rPr>
                <w:color w:val="000000"/>
              </w:rPr>
            </w:pPr>
            <w:r w:rsidRPr="00BE1962">
              <w:rPr>
                <w:color w:val="000000"/>
              </w:rPr>
              <w:t>11,481</w:t>
            </w:r>
          </w:p>
        </w:tc>
        <w:tc>
          <w:tcPr>
            <w:tcW w:w="1596" w:type="dxa"/>
            <w:vAlign w:val="bottom"/>
          </w:tcPr>
          <w:p w:rsidR="00BE1962" w:rsidRPr="00BE1962" w:rsidRDefault="00BE1962" w:rsidP="00BE1962">
            <w:pPr>
              <w:jc w:val="right"/>
              <w:rPr>
                <w:color w:val="000000"/>
              </w:rPr>
            </w:pPr>
            <w:r w:rsidRPr="00BE1962">
              <w:rPr>
                <w:color w:val="000000"/>
              </w:rPr>
              <w:t>3,412</w:t>
            </w:r>
          </w:p>
        </w:tc>
        <w:tc>
          <w:tcPr>
            <w:tcW w:w="1596" w:type="dxa"/>
            <w:vAlign w:val="bottom"/>
          </w:tcPr>
          <w:p w:rsidR="00BE1962" w:rsidRPr="00BE1962" w:rsidRDefault="00BE1962" w:rsidP="00BE1962">
            <w:pPr>
              <w:jc w:val="right"/>
              <w:rPr>
                <w:color w:val="000000"/>
              </w:rPr>
            </w:pPr>
            <w:r w:rsidRPr="00BE1962">
              <w:rPr>
                <w:color w:val="000000"/>
              </w:rPr>
              <w:t>3,515</w:t>
            </w:r>
          </w:p>
        </w:tc>
        <w:tc>
          <w:tcPr>
            <w:tcW w:w="1596" w:type="dxa"/>
            <w:shd w:val="clear" w:color="auto" w:fill="auto"/>
            <w:vAlign w:val="bottom"/>
          </w:tcPr>
          <w:p w:rsidR="00BE1962" w:rsidRPr="00BE1962" w:rsidRDefault="00BE1962" w:rsidP="00BE1962">
            <w:pPr>
              <w:jc w:val="right"/>
              <w:rPr>
                <w:color w:val="000000"/>
              </w:rPr>
            </w:pPr>
            <w:r w:rsidRPr="00BE1962">
              <w:rPr>
                <w:color w:val="000000"/>
              </w:rPr>
              <w:t>2,257</w:t>
            </w:r>
          </w:p>
        </w:tc>
        <w:tc>
          <w:tcPr>
            <w:tcW w:w="1596" w:type="dxa"/>
            <w:shd w:val="clear" w:color="auto" w:fill="auto"/>
            <w:vAlign w:val="bottom"/>
          </w:tcPr>
          <w:p w:rsidR="00BE1962" w:rsidRPr="00BE1962" w:rsidRDefault="00BE1962" w:rsidP="00BE1962">
            <w:pPr>
              <w:jc w:val="right"/>
              <w:rPr>
                <w:color w:val="000000"/>
              </w:rPr>
            </w:pPr>
            <w:r w:rsidRPr="00BE1962">
              <w:rPr>
                <w:color w:val="000000"/>
              </w:rPr>
              <w:t>2,210</w:t>
            </w:r>
          </w:p>
        </w:tc>
      </w:tr>
      <w:tr w:rsidR="00BE1962" w:rsidRPr="00BE1962" w:rsidTr="002571B1">
        <w:tc>
          <w:tcPr>
            <w:tcW w:w="1543" w:type="dxa"/>
            <w:vAlign w:val="bottom"/>
          </w:tcPr>
          <w:p w:rsidR="00BE1962" w:rsidRPr="00BE1962" w:rsidRDefault="00BE1962" w:rsidP="00BE1962">
            <w:pPr>
              <w:keepNext/>
              <w:jc w:val="center"/>
              <w:rPr>
                <w:color w:val="000000"/>
              </w:rPr>
            </w:pPr>
            <w:r w:rsidRPr="00BE1962">
              <w:rPr>
                <w:color w:val="000000"/>
              </w:rPr>
              <w:t>2034</w:t>
            </w:r>
          </w:p>
        </w:tc>
        <w:tc>
          <w:tcPr>
            <w:tcW w:w="1832" w:type="dxa"/>
            <w:vAlign w:val="bottom"/>
          </w:tcPr>
          <w:p w:rsidR="00BE1962" w:rsidRPr="00BE1962" w:rsidRDefault="00BE1962" w:rsidP="00BE1962">
            <w:pPr>
              <w:jc w:val="right"/>
              <w:rPr>
                <w:color w:val="000000"/>
              </w:rPr>
            </w:pPr>
            <w:r w:rsidRPr="00BE1962">
              <w:rPr>
                <w:color w:val="000000"/>
              </w:rPr>
              <w:t>11,672</w:t>
            </w:r>
          </w:p>
        </w:tc>
        <w:tc>
          <w:tcPr>
            <w:tcW w:w="1596" w:type="dxa"/>
            <w:vAlign w:val="bottom"/>
          </w:tcPr>
          <w:p w:rsidR="00BE1962" w:rsidRPr="00BE1962" w:rsidRDefault="00BE1962" w:rsidP="00BE1962">
            <w:pPr>
              <w:jc w:val="right"/>
              <w:rPr>
                <w:color w:val="000000"/>
              </w:rPr>
            </w:pPr>
            <w:r w:rsidRPr="00BE1962">
              <w:rPr>
                <w:color w:val="000000"/>
              </w:rPr>
              <w:t>3,483</w:t>
            </w:r>
          </w:p>
        </w:tc>
        <w:tc>
          <w:tcPr>
            <w:tcW w:w="1596" w:type="dxa"/>
            <w:vAlign w:val="bottom"/>
          </w:tcPr>
          <w:p w:rsidR="00BE1962" w:rsidRPr="00BE1962" w:rsidRDefault="00BE1962" w:rsidP="00BE1962">
            <w:pPr>
              <w:jc w:val="right"/>
              <w:rPr>
                <w:color w:val="000000"/>
              </w:rPr>
            </w:pPr>
            <w:r w:rsidRPr="00BE1962">
              <w:rPr>
                <w:color w:val="000000"/>
              </w:rPr>
              <w:t>3,515</w:t>
            </w:r>
          </w:p>
        </w:tc>
        <w:tc>
          <w:tcPr>
            <w:tcW w:w="1596" w:type="dxa"/>
            <w:shd w:val="clear" w:color="auto" w:fill="auto"/>
            <w:vAlign w:val="bottom"/>
          </w:tcPr>
          <w:p w:rsidR="00BE1962" w:rsidRPr="00BE1962" w:rsidRDefault="00BE1962" w:rsidP="00BE1962">
            <w:pPr>
              <w:jc w:val="right"/>
              <w:rPr>
                <w:color w:val="000000"/>
              </w:rPr>
            </w:pPr>
            <w:r w:rsidRPr="00BE1962">
              <w:rPr>
                <w:color w:val="000000"/>
              </w:rPr>
              <w:t>2,302</w:t>
            </w:r>
          </w:p>
        </w:tc>
        <w:tc>
          <w:tcPr>
            <w:tcW w:w="1596" w:type="dxa"/>
            <w:shd w:val="clear" w:color="auto" w:fill="auto"/>
            <w:vAlign w:val="bottom"/>
          </w:tcPr>
          <w:p w:rsidR="00BE1962" w:rsidRPr="00BE1962" w:rsidRDefault="00BE1962" w:rsidP="00BE1962">
            <w:pPr>
              <w:jc w:val="right"/>
              <w:rPr>
                <w:color w:val="000000"/>
              </w:rPr>
            </w:pPr>
            <w:r w:rsidRPr="00BE1962">
              <w:rPr>
                <w:color w:val="000000"/>
              </w:rPr>
              <w:t>2,210</w:t>
            </w:r>
          </w:p>
        </w:tc>
      </w:tr>
      <w:tr w:rsidR="00BE1962" w:rsidRPr="00BE1962" w:rsidTr="002571B1">
        <w:tc>
          <w:tcPr>
            <w:tcW w:w="1543" w:type="dxa"/>
            <w:vAlign w:val="bottom"/>
          </w:tcPr>
          <w:p w:rsidR="00BE1962" w:rsidRPr="00BE1962" w:rsidRDefault="00BE1962" w:rsidP="00BE1962">
            <w:pPr>
              <w:keepNext/>
              <w:jc w:val="center"/>
              <w:rPr>
                <w:color w:val="000000"/>
              </w:rPr>
            </w:pPr>
            <w:r w:rsidRPr="00BE1962">
              <w:rPr>
                <w:color w:val="000000"/>
              </w:rPr>
              <w:t>2035</w:t>
            </w:r>
          </w:p>
        </w:tc>
        <w:tc>
          <w:tcPr>
            <w:tcW w:w="1832" w:type="dxa"/>
            <w:vAlign w:val="bottom"/>
          </w:tcPr>
          <w:p w:rsidR="00BE1962" w:rsidRPr="00BE1962" w:rsidRDefault="00BE1962" w:rsidP="00BE1962">
            <w:pPr>
              <w:jc w:val="right"/>
              <w:rPr>
                <w:color w:val="000000"/>
              </w:rPr>
            </w:pPr>
            <w:r w:rsidRPr="00BE1962">
              <w:rPr>
                <w:color w:val="000000"/>
              </w:rPr>
              <w:t>11,850</w:t>
            </w:r>
          </w:p>
        </w:tc>
        <w:tc>
          <w:tcPr>
            <w:tcW w:w="1596" w:type="dxa"/>
            <w:vAlign w:val="bottom"/>
          </w:tcPr>
          <w:p w:rsidR="00BE1962" w:rsidRPr="00BE1962" w:rsidRDefault="00BE1962" w:rsidP="00BE1962">
            <w:pPr>
              <w:jc w:val="right"/>
              <w:rPr>
                <w:color w:val="000000"/>
              </w:rPr>
            </w:pPr>
            <w:r w:rsidRPr="00BE1962">
              <w:rPr>
                <w:color w:val="000000"/>
              </w:rPr>
              <w:t>3,556</w:t>
            </w:r>
          </w:p>
        </w:tc>
        <w:tc>
          <w:tcPr>
            <w:tcW w:w="1596" w:type="dxa"/>
            <w:vAlign w:val="bottom"/>
          </w:tcPr>
          <w:p w:rsidR="00BE1962" w:rsidRPr="00BE1962" w:rsidRDefault="00BE1962" w:rsidP="00BE1962">
            <w:pPr>
              <w:jc w:val="right"/>
              <w:rPr>
                <w:color w:val="000000"/>
              </w:rPr>
            </w:pPr>
            <w:r w:rsidRPr="00BE1962">
              <w:rPr>
                <w:color w:val="000000"/>
              </w:rPr>
              <w:t>3,515</w:t>
            </w:r>
          </w:p>
        </w:tc>
        <w:tc>
          <w:tcPr>
            <w:tcW w:w="1596" w:type="dxa"/>
            <w:shd w:val="clear" w:color="auto" w:fill="auto"/>
            <w:vAlign w:val="bottom"/>
          </w:tcPr>
          <w:p w:rsidR="00BE1962" w:rsidRPr="00BE1962" w:rsidRDefault="00BE1962" w:rsidP="00BE1962">
            <w:pPr>
              <w:jc w:val="right"/>
              <w:rPr>
                <w:color w:val="000000"/>
              </w:rPr>
            </w:pPr>
            <w:r w:rsidRPr="00BE1962">
              <w:rPr>
                <w:color w:val="000000"/>
              </w:rPr>
              <w:t>2,348</w:t>
            </w:r>
          </w:p>
        </w:tc>
        <w:tc>
          <w:tcPr>
            <w:tcW w:w="1596" w:type="dxa"/>
            <w:shd w:val="clear" w:color="auto" w:fill="auto"/>
            <w:vAlign w:val="bottom"/>
          </w:tcPr>
          <w:p w:rsidR="00BE1962" w:rsidRPr="00BE1962" w:rsidRDefault="00BE1962" w:rsidP="00BE1962">
            <w:pPr>
              <w:jc w:val="right"/>
              <w:rPr>
                <w:color w:val="000000"/>
              </w:rPr>
            </w:pPr>
            <w:r w:rsidRPr="00BE1962">
              <w:rPr>
                <w:color w:val="000000"/>
              </w:rPr>
              <w:t>2,210</w:t>
            </w:r>
          </w:p>
        </w:tc>
      </w:tr>
      <w:tr w:rsidR="00BE1962" w:rsidRPr="00BE1962" w:rsidTr="002571B1">
        <w:tc>
          <w:tcPr>
            <w:tcW w:w="1543" w:type="dxa"/>
            <w:vAlign w:val="bottom"/>
          </w:tcPr>
          <w:p w:rsidR="00BE1962" w:rsidRPr="00BE1962" w:rsidRDefault="00BE1962" w:rsidP="00BE1962">
            <w:pPr>
              <w:keepNext/>
              <w:jc w:val="center"/>
              <w:rPr>
                <w:color w:val="000000"/>
              </w:rPr>
            </w:pPr>
            <w:r w:rsidRPr="00BE1962">
              <w:rPr>
                <w:color w:val="000000"/>
              </w:rPr>
              <w:t>2036</w:t>
            </w:r>
          </w:p>
        </w:tc>
        <w:tc>
          <w:tcPr>
            <w:tcW w:w="1832" w:type="dxa"/>
            <w:vAlign w:val="bottom"/>
          </w:tcPr>
          <w:p w:rsidR="00BE1962" w:rsidRPr="00BE1962" w:rsidRDefault="00BE1962" w:rsidP="00BE1962">
            <w:pPr>
              <w:jc w:val="right"/>
              <w:rPr>
                <w:color w:val="000000"/>
              </w:rPr>
            </w:pPr>
            <w:r w:rsidRPr="00BE1962">
              <w:rPr>
                <w:color w:val="000000"/>
              </w:rPr>
              <w:t>12,048</w:t>
            </w:r>
          </w:p>
        </w:tc>
        <w:tc>
          <w:tcPr>
            <w:tcW w:w="1596" w:type="dxa"/>
            <w:vAlign w:val="bottom"/>
          </w:tcPr>
          <w:p w:rsidR="00BE1962" w:rsidRPr="00BE1962" w:rsidRDefault="00BE1962" w:rsidP="00BE1962">
            <w:pPr>
              <w:jc w:val="right"/>
              <w:rPr>
                <w:color w:val="000000"/>
              </w:rPr>
            </w:pPr>
            <w:r w:rsidRPr="00BE1962">
              <w:rPr>
                <w:color w:val="000000"/>
              </w:rPr>
              <w:t>3,631</w:t>
            </w:r>
          </w:p>
        </w:tc>
        <w:tc>
          <w:tcPr>
            <w:tcW w:w="1596" w:type="dxa"/>
            <w:vAlign w:val="bottom"/>
          </w:tcPr>
          <w:p w:rsidR="00BE1962" w:rsidRPr="00BE1962" w:rsidRDefault="00BE1962" w:rsidP="00BE1962">
            <w:pPr>
              <w:jc w:val="right"/>
              <w:rPr>
                <w:color w:val="000000"/>
              </w:rPr>
            </w:pPr>
            <w:r w:rsidRPr="00BE1962">
              <w:rPr>
                <w:color w:val="000000"/>
              </w:rPr>
              <w:t>3,515</w:t>
            </w:r>
          </w:p>
        </w:tc>
        <w:tc>
          <w:tcPr>
            <w:tcW w:w="1596" w:type="dxa"/>
            <w:shd w:val="clear" w:color="auto" w:fill="auto"/>
            <w:vAlign w:val="bottom"/>
          </w:tcPr>
          <w:p w:rsidR="00BE1962" w:rsidRPr="00BE1962" w:rsidRDefault="00BE1962" w:rsidP="00BE1962">
            <w:pPr>
              <w:jc w:val="right"/>
              <w:rPr>
                <w:color w:val="000000"/>
              </w:rPr>
            </w:pPr>
            <w:r w:rsidRPr="00BE1962">
              <w:rPr>
                <w:color w:val="000000"/>
              </w:rPr>
              <w:t>2,395</w:t>
            </w:r>
          </w:p>
        </w:tc>
        <w:tc>
          <w:tcPr>
            <w:tcW w:w="1596" w:type="dxa"/>
            <w:shd w:val="clear" w:color="auto" w:fill="auto"/>
            <w:vAlign w:val="bottom"/>
          </w:tcPr>
          <w:p w:rsidR="00BE1962" w:rsidRPr="00BE1962" w:rsidRDefault="00BE1962" w:rsidP="00BE1962">
            <w:pPr>
              <w:jc w:val="right"/>
              <w:rPr>
                <w:color w:val="000000"/>
              </w:rPr>
            </w:pPr>
            <w:r w:rsidRPr="00BE1962">
              <w:rPr>
                <w:color w:val="000000"/>
              </w:rPr>
              <w:t>2,210</w:t>
            </w:r>
          </w:p>
        </w:tc>
      </w:tr>
      <w:tr w:rsidR="00BE1962" w:rsidRPr="00BE1962" w:rsidTr="002571B1">
        <w:tc>
          <w:tcPr>
            <w:tcW w:w="1543" w:type="dxa"/>
            <w:vAlign w:val="bottom"/>
          </w:tcPr>
          <w:p w:rsidR="00BE1962" w:rsidRPr="00BE1962" w:rsidRDefault="00BE1962" w:rsidP="00BE1962">
            <w:pPr>
              <w:keepNext/>
              <w:jc w:val="center"/>
              <w:rPr>
                <w:color w:val="000000"/>
              </w:rPr>
            </w:pPr>
            <w:r w:rsidRPr="00BE1962">
              <w:rPr>
                <w:color w:val="000000"/>
              </w:rPr>
              <w:t>2037</w:t>
            </w:r>
          </w:p>
        </w:tc>
        <w:tc>
          <w:tcPr>
            <w:tcW w:w="1832" w:type="dxa"/>
            <w:vAlign w:val="bottom"/>
          </w:tcPr>
          <w:p w:rsidR="00BE1962" w:rsidRPr="00BE1962" w:rsidRDefault="00BE1962" w:rsidP="00BE1962">
            <w:pPr>
              <w:jc w:val="right"/>
              <w:rPr>
                <w:color w:val="000000"/>
              </w:rPr>
            </w:pPr>
            <w:r w:rsidRPr="00BE1962">
              <w:rPr>
                <w:color w:val="000000"/>
              </w:rPr>
              <w:t>12,168</w:t>
            </w:r>
          </w:p>
        </w:tc>
        <w:tc>
          <w:tcPr>
            <w:tcW w:w="1596" w:type="dxa"/>
            <w:vAlign w:val="bottom"/>
          </w:tcPr>
          <w:p w:rsidR="00BE1962" w:rsidRPr="00BE1962" w:rsidRDefault="00BE1962" w:rsidP="00BE1962">
            <w:pPr>
              <w:jc w:val="right"/>
              <w:rPr>
                <w:color w:val="000000"/>
              </w:rPr>
            </w:pPr>
            <w:r w:rsidRPr="00BE1962">
              <w:rPr>
                <w:color w:val="000000"/>
              </w:rPr>
              <w:t>3,707</w:t>
            </w:r>
          </w:p>
        </w:tc>
        <w:tc>
          <w:tcPr>
            <w:tcW w:w="1596" w:type="dxa"/>
            <w:vAlign w:val="bottom"/>
          </w:tcPr>
          <w:p w:rsidR="00BE1962" w:rsidRPr="00BE1962" w:rsidRDefault="00BE1962" w:rsidP="00BE1962">
            <w:pPr>
              <w:jc w:val="right"/>
              <w:rPr>
                <w:color w:val="000000"/>
              </w:rPr>
            </w:pPr>
            <w:r w:rsidRPr="00BE1962">
              <w:rPr>
                <w:color w:val="000000"/>
              </w:rPr>
              <w:t>3,515</w:t>
            </w:r>
          </w:p>
        </w:tc>
        <w:tc>
          <w:tcPr>
            <w:tcW w:w="1596" w:type="dxa"/>
            <w:shd w:val="clear" w:color="auto" w:fill="auto"/>
            <w:vAlign w:val="bottom"/>
          </w:tcPr>
          <w:p w:rsidR="00BE1962" w:rsidRPr="00BE1962" w:rsidRDefault="00BE1962" w:rsidP="00BE1962">
            <w:pPr>
              <w:jc w:val="right"/>
              <w:rPr>
                <w:color w:val="000000"/>
              </w:rPr>
            </w:pPr>
            <w:r w:rsidRPr="00BE1962">
              <w:rPr>
                <w:color w:val="000000"/>
              </w:rPr>
              <w:t>2,443</w:t>
            </w:r>
          </w:p>
        </w:tc>
        <w:tc>
          <w:tcPr>
            <w:tcW w:w="1596" w:type="dxa"/>
            <w:shd w:val="clear" w:color="auto" w:fill="auto"/>
            <w:vAlign w:val="bottom"/>
          </w:tcPr>
          <w:p w:rsidR="00BE1962" w:rsidRPr="00BE1962" w:rsidRDefault="00BE1962" w:rsidP="00BE1962">
            <w:pPr>
              <w:jc w:val="right"/>
              <w:rPr>
                <w:color w:val="000000"/>
              </w:rPr>
            </w:pPr>
            <w:r w:rsidRPr="00BE1962">
              <w:rPr>
                <w:color w:val="000000"/>
              </w:rPr>
              <w:t>2,210</w:t>
            </w:r>
          </w:p>
        </w:tc>
      </w:tr>
      <w:tr w:rsidR="00BE1962" w:rsidRPr="00BE1962" w:rsidTr="002571B1">
        <w:tc>
          <w:tcPr>
            <w:tcW w:w="1543" w:type="dxa"/>
            <w:vAlign w:val="bottom"/>
          </w:tcPr>
          <w:p w:rsidR="00BE1962" w:rsidRPr="00BE1962" w:rsidRDefault="00BE1962" w:rsidP="00BE1962">
            <w:pPr>
              <w:keepNext/>
              <w:jc w:val="center"/>
              <w:rPr>
                <w:color w:val="000000"/>
              </w:rPr>
            </w:pPr>
            <w:r w:rsidRPr="00BE1962">
              <w:rPr>
                <w:color w:val="000000"/>
              </w:rPr>
              <w:t>2038</w:t>
            </w:r>
          </w:p>
        </w:tc>
        <w:tc>
          <w:tcPr>
            <w:tcW w:w="1832" w:type="dxa"/>
            <w:vAlign w:val="bottom"/>
          </w:tcPr>
          <w:p w:rsidR="00BE1962" w:rsidRPr="00BE1962" w:rsidRDefault="00BE1962" w:rsidP="00BE1962">
            <w:pPr>
              <w:jc w:val="right"/>
              <w:rPr>
                <w:color w:val="000000"/>
              </w:rPr>
            </w:pPr>
            <w:r w:rsidRPr="00BE1962">
              <w:rPr>
                <w:color w:val="000000"/>
              </w:rPr>
              <w:t>12,309</w:t>
            </w:r>
          </w:p>
        </w:tc>
        <w:tc>
          <w:tcPr>
            <w:tcW w:w="1596" w:type="dxa"/>
            <w:vAlign w:val="bottom"/>
          </w:tcPr>
          <w:p w:rsidR="00BE1962" w:rsidRPr="00BE1962" w:rsidRDefault="00BE1962" w:rsidP="00BE1962">
            <w:pPr>
              <w:jc w:val="right"/>
              <w:rPr>
                <w:color w:val="000000"/>
              </w:rPr>
            </w:pPr>
            <w:r w:rsidRPr="00BE1962">
              <w:rPr>
                <w:color w:val="000000"/>
              </w:rPr>
              <w:t>3,785</w:t>
            </w:r>
          </w:p>
        </w:tc>
        <w:tc>
          <w:tcPr>
            <w:tcW w:w="1596" w:type="dxa"/>
            <w:vAlign w:val="bottom"/>
          </w:tcPr>
          <w:p w:rsidR="00BE1962" w:rsidRPr="00BE1962" w:rsidRDefault="00BE1962" w:rsidP="00BE1962">
            <w:pPr>
              <w:jc w:val="right"/>
              <w:rPr>
                <w:color w:val="000000"/>
              </w:rPr>
            </w:pPr>
            <w:r w:rsidRPr="00BE1962">
              <w:rPr>
                <w:color w:val="000000"/>
              </w:rPr>
              <w:t>3,515</w:t>
            </w:r>
          </w:p>
        </w:tc>
        <w:tc>
          <w:tcPr>
            <w:tcW w:w="1596" w:type="dxa"/>
            <w:shd w:val="clear" w:color="auto" w:fill="auto"/>
            <w:vAlign w:val="bottom"/>
          </w:tcPr>
          <w:p w:rsidR="00BE1962" w:rsidRPr="00BE1962" w:rsidRDefault="00BE1962" w:rsidP="00BE1962">
            <w:pPr>
              <w:jc w:val="right"/>
              <w:rPr>
                <w:color w:val="000000"/>
              </w:rPr>
            </w:pPr>
            <w:r w:rsidRPr="00BE1962">
              <w:rPr>
                <w:color w:val="000000"/>
              </w:rPr>
              <w:t>2,492</w:t>
            </w:r>
          </w:p>
        </w:tc>
        <w:tc>
          <w:tcPr>
            <w:tcW w:w="1596" w:type="dxa"/>
            <w:shd w:val="clear" w:color="auto" w:fill="auto"/>
            <w:vAlign w:val="bottom"/>
          </w:tcPr>
          <w:p w:rsidR="00BE1962" w:rsidRPr="00BE1962" w:rsidRDefault="00BE1962" w:rsidP="00BE1962">
            <w:pPr>
              <w:jc w:val="right"/>
              <w:rPr>
                <w:color w:val="000000"/>
              </w:rPr>
            </w:pPr>
            <w:r w:rsidRPr="00BE1962">
              <w:rPr>
                <w:color w:val="000000"/>
              </w:rPr>
              <w:t>2,210</w:t>
            </w:r>
          </w:p>
        </w:tc>
      </w:tr>
      <w:tr w:rsidR="00BE1962" w:rsidRPr="00BE1962" w:rsidTr="002571B1">
        <w:tc>
          <w:tcPr>
            <w:tcW w:w="1543" w:type="dxa"/>
            <w:vAlign w:val="bottom"/>
          </w:tcPr>
          <w:p w:rsidR="00BE1962" w:rsidRPr="00BE1962" w:rsidRDefault="00BE1962" w:rsidP="00BE1962">
            <w:pPr>
              <w:keepNext/>
              <w:jc w:val="center"/>
              <w:rPr>
                <w:color w:val="000000"/>
              </w:rPr>
            </w:pPr>
            <w:r w:rsidRPr="00BE1962">
              <w:rPr>
                <w:color w:val="000000"/>
              </w:rPr>
              <w:t>2039</w:t>
            </w:r>
          </w:p>
        </w:tc>
        <w:tc>
          <w:tcPr>
            <w:tcW w:w="1832" w:type="dxa"/>
            <w:vAlign w:val="bottom"/>
          </w:tcPr>
          <w:p w:rsidR="00BE1962" w:rsidRPr="00BE1962" w:rsidRDefault="00BE1962" w:rsidP="00BE1962">
            <w:pPr>
              <w:jc w:val="right"/>
              <w:rPr>
                <w:color w:val="000000"/>
              </w:rPr>
            </w:pPr>
            <w:r w:rsidRPr="00BE1962">
              <w:rPr>
                <w:color w:val="000000"/>
              </w:rPr>
              <w:t>12,437</w:t>
            </w:r>
          </w:p>
        </w:tc>
        <w:tc>
          <w:tcPr>
            <w:tcW w:w="1596" w:type="dxa"/>
            <w:vAlign w:val="bottom"/>
          </w:tcPr>
          <w:p w:rsidR="00BE1962" w:rsidRPr="00BE1962" w:rsidRDefault="00BE1962" w:rsidP="00BE1962">
            <w:pPr>
              <w:jc w:val="right"/>
              <w:rPr>
                <w:color w:val="000000"/>
              </w:rPr>
            </w:pPr>
            <w:r w:rsidRPr="00BE1962">
              <w:rPr>
                <w:color w:val="000000"/>
              </w:rPr>
              <w:t>3,865</w:t>
            </w:r>
          </w:p>
        </w:tc>
        <w:tc>
          <w:tcPr>
            <w:tcW w:w="1596" w:type="dxa"/>
            <w:vAlign w:val="bottom"/>
          </w:tcPr>
          <w:p w:rsidR="00BE1962" w:rsidRPr="00BE1962" w:rsidRDefault="00BE1962" w:rsidP="00BE1962">
            <w:pPr>
              <w:jc w:val="right"/>
              <w:rPr>
                <w:color w:val="000000"/>
              </w:rPr>
            </w:pPr>
            <w:r w:rsidRPr="00BE1962">
              <w:rPr>
                <w:color w:val="000000"/>
              </w:rPr>
              <w:t>3,515</w:t>
            </w:r>
          </w:p>
        </w:tc>
        <w:tc>
          <w:tcPr>
            <w:tcW w:w="1596" w:type="dxa"/>
            <w:shd w:val="clear" w:color="auto" w:fill="auto"/>
            <w:vAlign w:val="bottom"/>
          </w:tcPr>
          <w:p w:rsidR="00BE1962" w:rsidRPr="00BE1962" w:rsidRDefault="00BE1962" w:rsidP="00BE1962">
            <w:pPr>
              <w:jc w:val="right"/>
              <w:rPr>
                <w:color w:val="000000"/>
              </w:rPr>
            </w:pPr>
            <w:r w:rsidRPr="00BE1962">
              <w:rPr>
                <w:color w:val="000000"/>
              </w:rPr>
              <w:t>2,542</w:t>
            </w:r>
          </w:p>
        </w:tc>
        <w:tc>
          <w:tcPr>
            <w:tcW w:w="1596" w:type="dxa"/>
            <w:shd w:val="clear" w:color="auto" w:fill="auto"/>
            <w:vAlign w:val="bottom"/>
          </w:tcPr>
          <w:p w:rsidR="00BE1962" w:rsidRPr="00BE1962" w:rsidRDefault="00BE1962" w:rsidP="00BE1962">
            <w:pPr>
              <w:jc w:val="right"/>
              <w:rPr>
                <w:color w:val="000000"/>
              </w:rPr>
            </w:pPr>
            <w:r w:rsidRPr="00BE1962">
              <w:rPr>
                <w:color w:val="000000"/>
              </w:rPr>
              <w:t>2,210</w:t>
            </w:r>
          </w:p>
        </w:tc>
      </w:tr>
      <w:tr w:rsidR="00BE1962" w:rsidRPr="00BE1962" w:rsidTr="002571B1">
        <w:tc>
          <w:tcPr>
            <w:tcW w:w="1543" w:type="dxa"/>
            <w:vAlign w:val="bottom"/>
          </w:tcPr>
          <w:p w:rsidR="00BE1962" w:rsidRPr="00BE1962" w:rsidRDefault="00BE1962" w:rsidP="00BE1962">
            <w:pPr>
              <w:keepNext/>
              <w:jc w:val="center"/>
              <w:rPr>
                <w:color w:val="000000"/>
              </w:rPr>
            </w:pPr>
            <w:r w:rsidRPr="00BE1962">
              <w:rPr>
                <w:color w:val="000000"/>
              </w:rPr>
              <w:t>2040</w:t>
            </w:r>
          </w:p>
        </w:tc>
        <w:tc>
          <w:tcPr>
            <w:tcW w:w="1832" w:type="dxa"/>
            <w:vAlign w:val="bottom"/>
          </w:tcPr>
          <w:p w:rsidR="00BE1962" w:rsidRPr="00BE1962" w:rsidRDefault="00BE1962" w:rsidP="00BE1962">
            <w:pPr>
              <w:jc w:val="right"/>
              <w:rPr>
                <w:color w:val="000000"/>
              </w:rPr>
            </w:pPr>
            <w:r w:rsidRPr="00BE1962">
              <w:rPr>
                <w:color w:val="000000"/>
              </w:rPr>
              <w:t>12,586</w:t>
            </w:r>
          </w:p>
        </w:tc>
        <w:tc>
          <w:tcPr>
            <w:tcW w:w="1596" w:type="dxa"/>
            <w:vAlign w:val="bottom"/>
          </w:tcPr>
          <w:p w:rsidR="00BE1962" w:rsidRPr="00BE1962" w:rsidRDefault="00BE1962" w:rsidP="00BE1962">
            <w:pPr>
              <w:jc w:val="right"/>
              <w:rPr>
                <w:color w:val="000000"/>
              </w:rPr>
            </w:pPr>
            <w:r w:rsidRPr="00BE1962">
              <w:rPr>
                <w:color w:val="000000"/>
              </w:rPr>
              <w:t>3,946</w:t>
            </w:r>
          </w:p>
        </w:tc>
        <w:tc>
          <w:tcPr>
            <w:tcW w:w="1596" w:type="dxa"/>
            <w:vAlign w:val="bottom"/>
          </w:tcPr>
          <w:p w:rsidR="00BE1962" w:rsidRPr="00BE1962" w:rsidRDefault="00BE1962" w:rsidP="00BE1962">
            <w:pPr>
              <w:jc w:val="right"/>
              <w:rPr>
                <w:color w:val="000000"/>
              </w:rPr>
            </w:pPr>
            <w:r w:rsidRPr="00BE1962">
              <w:rPr>
                <w:color w:val="000000"/>
              </w:rPr>
              <w:t>3,515</w:t>
            </w:r>
          </w:p>
        </w:tc>
        <w:tc>
          <w:tcPr>
            <w:tcW w:w="1596" w:type="dxa"/>
            <w:shd w:val="clear" w:color="auto" w:fill="auto"/>
            <w:vAlign w:val="bottom"/>
          </w:tcPr>
          <w:p w:rsidR="00BE1962" w:rsidRPr="00BE1962" w:rsidRDefault="00BE1962" w:rsidP="00BE1962">
            <w:pPr>
              <w:jc w:val="right"/>
              <w:rPr>
                <w:color w:val="000000"/>
              </w:rPr>
            </w:pPr>
            <w:r w:rsidRPr="00BE1962">
              <w:rPr>
                <w:color w:val="000000"/>
              </w:rPr>
              <w:t>2,593</w:t>
            </w:r>
          </w:p>
        </w:tc>
        <w:tc>
          <w:tcPr>
            <w:tcW w:w="1596" w:type="dxa"/>
            <w:shd w:val="clear" w:color="auto" w:fill="auto"/>
            <w:vAlign w:val="bottom"/>
          </w:tcPr>
          <w:p w:rsidR="00BE1962" w:rsidRPr="00BE1962" w:rsidRDefault="00BE1962" w:rsidP="00BE1962">
            <w:pPr>
              <w:jc w:val="right"/>
              <w:rPr>
                <w:color w:val="000000"/>
              </w:rPr>
            </w:pPr>
            <w:r w:rsidRPr="00BE1962">
              <w:rPr>
                <w:color w:val="000000"/>
              </w:rPr>
              <w:t>2,210</w:t>
            </w:r>
          </w:p>
        </w:tc>
      </w:tr>
      <w:tr w:rsidR="00BE1962" w:rsidRPr="00BE1962" w:rsidTr="002571B1">
        <w:tc>
          <w:tcPr>
            <w:tcW w:w="1543" w:type="dxa"/>
            <w:vAlign w:val="bottom"/>
          </w:tcPr>
          <w:p w:rsidR="00BE1962" w:rsidRPr="00BE1962" w:rsidRDefault="00BE1962" w:rsidP="00BE1962">
            <w:pPr>
              <w:keepNext/>
              <w:jc w:val="center"/>
              <w:rPr>
                <w:color w:val="000000"/>
              </w:rPr>
            </w:pPr>
            <w:r w:rsidRPr="00BE1962">
              <w:rPr>
                <w:color w:val="000000"/>
              </w:rPr>
              <w:t>Total</w:t>
            </w:r>
          </w:p>
        </w:tc>
        <w:tc>
          <w:tcPr>
            <w:tcW w:w="1832" w:type="dxa"/>
          </w:tcPr>
          <w:p w:rsidR="00BE1962" w:rsidRPr="00BE1962" w:rsidRDefault="00BE1962" w:rsidP="00BE1962">
            <w:pPr>
              <w:keepNext/>
              <w:contextualSpacing/>
              <w:jc w:val="right"/>
              <w:outlineLvl w:val="0"/>
              <w:rPr>
                <w:bCs/>
                <w:kern w:val="32"/>
              </w:rPr>
            </w:pPr>
            <w:r w:rsidRPr="00BE1962">
              <w:rPr>
                <w:bCs/>
                <w:kern w:val="32"/>
              </w:rPr>
              <w:t>214,358</w:t>
            </w:r>
          </w:p>
        </w:tc>
        <w:tc>
          <w:tcPr>
            <w:tcW w:w="1596" w:type="dxa"/>
          </w:tcPr>
          <w:p w:rsidR="00BE1962" w:rsidRPr="00BE1962" w:rsidRDefault="00BE1962" w:rsidP="00BE1962">
            <w:pPr>
              <w:keepNext/>
              <w:contextualSpacing/>
              <w:jc w:val="right"/>
              <w:outlineLvl w:val="0"/>
              <w:rPr>
                <w:bCs/>
                <w:kern w:val="32"/>
              </w:rPr>
            </w:pPr>
            <w:r w:rsidRPr="00BE1962">
              <w:rPr>
                <w:bCs/>
                <w:kern w:val="32"/>
              </w:rPr>
              <w:t>39,206</w:t>
            </w:r>
          </w:p>
        </w:tc>
        <w:tc>
          <w:tcPr>
            <w:tcW w:w="1596" w:type="dxa"/>
          </w:tcPr>
          <w:p w:rsidR="00BE1962" w:rsidRPr="00BE1962" w:rsidRDefault="00BE1962" w:rsidP="00BE1962">
            <w:pPr>
              <w:keepNext/>
              <w:contextualSpacing/>
              <w:jc w:val="right"/>
              <w:outlineLvl w:val="0"/>
              <w:rPr>
                <w:bCs/>
                <w:kern w:val="32"/>
              </w:rPr>
            </w:pPr>
            <w:r w:rsidRPr="00BE1962">
              <w:rPr>
                <w:bCs/>
                <w:kern w:val="32"/>
              </w:rPr>
              <w:t>38,665</w:t>
            </w:r>
          </w:p>
        </w:tc>
        <w:tc>
          <w:tcPr>
            <w:tcW w:w="1596" w:type="dxa"/>
            <w:shd w:val="clear" w:color="auto" w:fill="auto"/>
            <w:vAlign w:val="bottom"/>
          </w:tcPr>
          <w:p w:rsidR="00BE1962" w:rsidRPr="00BE1962" w:rsidRDefault="00BE1962" w:rsidP="00BE1962">
            <w:pPr>
              <w:jc w:val="right"/>
              <w:rPr>
                <w:color w:val="000000"/>
              </w:rPr>
            </w:pPr>
            <w:r w:rsidRPr="00BE1962">
              <w:rPr>
                <w:color w:val="000000"/>
              </w:rPr>
              <w:t>33,982</w:t>
            </w:r>
          </w:p>
        </w:tc>
        <w:tc>
          <w:tcPr>
            <w:tcW w:w="1596" w:type="dxa"/>
            <w:shd w:val="clear" w:color="auto" w:fill="auto"/>
            <w:vAlign w:val="bottom"/>
          </w:tcPr>
          <w:p w:rsidR="00BE1962" w:rsidRPr="00BE1962" w:rsidRDefault="00BE1962" w:rsidP="00BE1962">
            <w:pPr>
              <w:jc w:val="right"/>
              <w:rPr>
                <w:color w:val="000000"/>
              </w:rPr>
            </w:pPr>
            <w:r w:rsidRPr="00BE1962">
              <w:rPr>
                <w:color w:val="000000"/>
              </w:rPr>
              <w:t>33,157</w:t>
            </w:r>
          </w:p>
        </w:tc>
      </w:tr>
      <w:tr w:rsidR="00BE1962" w:rsidRPr="00BE1962" w:rsidTr="002571B1">
        <w:tc>
          <w:tcPr>
            <w:tcW w:w="1543" w:type="dxa"/>
            <w:vAlign w:val="bottom"/>
          </w:tcPr>
          <w:p w:rsidR="00BE1962" w:rsidRPr="00BE1962" w:rsidRDefault="00BE1962" w:rsidP="00BE1962">
            <w:pPr>
              <w:keepNext/>
              <w:jc w:val="center"/>
              <w:rPr>
                <w:color w:val="000000"/>
              </w:rPr>
            </w:pPr>
            <w:r w:rsidRPr="00BE1962">
              <w:rPr>
                <w:color w:val="000000"/>
              </w:rPr>
              <w:t>Total (NPV)</w:t>
            </w:r>
          </w:p>
        </w:tc>
        <w:tc>
          <w:tcPr>
            <w:tcW w:w="1832" w:type="dxa"/>
          </w:tcPr>
          <w:p w:rsidR="00BE1962" w:rsidRPr="00BE1962" w:rsidRDefault="00BE1962" w:rsidP="00BE1962">
            <w:pPr>
              <w:keepNext/>
              <w:contextualSpacing/>
              <w:jc w:val="right"/>
              <w:outlineLvl w:val="0"/>
              <w:rPr>
                <w:bCs/>
                <w:kern w:val="32"/>
              </w:rPr>
            </w:pPr>
            <w:r w:rsidRPr="00BE1962">
              <w:rPr>
                <w:bCs/>
                <w:kern w:val="32"/>
              </w:rPr>
              <w:t>107,338</w:t>
            </w:r>
          </w:p>
        </w:tc>
        <w:tc>
          <w:tcPr>
            <w:tcW w:w="1596" w:type="dxa"/>
          </w:tcPr>
          <w:p w:rsidR="00BE1962" w:rsidRPr="00BE1962" w:rsidRDefault="00BE1962" w:rsidP="00BE1962">
            <w:pPr>
              <w:keepNext/>
              <w:contextualSpacing/>
              <w:jc w:val="right"/>
              <w:outlineLvl w:val="0"/>
              <w:rPr>
                <w:bCs/>
                <w:kern w:val="32"/>
              </w:rPr>
            </w:pPr>
            <w:r w:rsidRPr="00BE1962">
              <w:rPr>
                <w:bCs/>
                <w:kern w:val="32"/>
              </w:rPr>
              <w:t>14,433</w:t>
            </w:r>
          </w:p>
        </w:tc>
        <w:tc>
          <w:tcPr>
            <w:tcW w:w="1596" w:type="dxa"/>
          </w:tcPr>
          <w:p w:rsidR="00BE1962" w:rsidRPr="00BE1962" w:rsidRDefault="00BE1962" w:rsidP="00BE1962">
            <w:pPr>
              <w:keepNext/>
              <w:contextualSpacing/>
              <w:jc w:val="right"/>
              <w:outlineLvl w:val="0"/>
              <w:rPr>
                <w:bCs/>
                <w:kern w:val="32"/>
              </w:rPr>
            </w:pPr>
            <w:r w:rsidRPr="00BE1962">
              <w:rPr>
                <w:bCs/>
                <w:kern w:val="32"/>
              </w:rPr>
              <w:t>14,433</w:t>
            </w:r>
          </w:p>
        </w:tc>
        <w:tc>
          <w:tcPr>
            <w:tcW w:w="1596" w:type="dxa"/>
            <w:shd w:val="clear" w:color="auto" w:fill="auto"/>
            <w:vAlign w:val="bottom"/>
          </w:tcPr>
          <w:p w:rsidR="00BE1962" w:rsidRPr="00BE1962" w:rsidRDefault="00BE1962" w:rsidP="00BE1962">
            <w:pPr>
              <w:jc w:val="right"/>
              <w:rPr>
                <w:color w:val="000000"/>
              </w:rPr>
            </w:pPr>
            <w:r w:rsidRPr="00BE1962">
              <w:t>14,433</w:t>
            </w:r>
          </w:p>
        </w:tc>
        <w:tc>
          <w:tcPr>
            <w:tcW w:w="1596" w:type="dxa"/>
            <w:shd w:val="clear" w:color="auto" w:fill="auto"/>
          </w:tcPr>
          <w:p w:rsidR="00BE1962" w:rsidRPr="00BE1962" w:rsidRDefault="00BE1962" w:rsidP="00BE1962">
            <w:pPr>
              <w:keepNext/>
              <w:contextualSpacing/>
              <w:jc w:val="right"/>
              <w:outlineLvl w:val="0"/>
              <w:rPr>
                <w:bCs/>
                <w:kern w:val="32"/>
              </w:rPr>
            </w:pPr>
            <w:r w:rsidRPr="00BE1962">
              <w:rPr>
                <w:bCs/>
                <w:kern w:val="32"/>
              </w:rPr>
              <w:t>14,433</w:t>
            </w:r>
          </w:p>
        </w:tc>
      </w:tr>
    </w:tbl>
    <w:p w:rsidR="00BE1962" w:rsidRPr="00BE1962" w:rsidRDefault="00BE1962" w:rsidP="00BE1962">
      <w:pPr>
        <w:spacing w:after="240"/>
        <w:contextualSpacing/>
        <w:jc w:val="both"/>
        <w:outlineLvl w:val="0"/>
        <w:rPr>
          <w:bCs/>
          <w:kern w:val="32"/>
          <w:sz w:val="20"/>
          <w:szCs w:val="20"/>
        </w:rPr>
      </w:pPr>
      <w:r w:rsidRPr="00BE1962">
        <w:rPr>
          <w:bCs/>
          <w:kern w:val="32"/>
          <w:sz w:val="20"/>
          <w:szCs w:val="20"/>
        </w:rPr>
        <w:t xml:space="preserve">Source: Gulf’s Amended Response to </w:t>
      </w:r>
      <w:r w:rsidR="001F0BB5">
        <w:rPr>
          <w:bCs/>
          <w:kern w:val="32"/>
          <w:sz w:val="20"/>
          <w:szCs w:val="20"/>
        </w:rPr>
        <w:t xml:space="preserve">Our </w:t>
      </w:r>
      <w:r w:rsidRPr="00BE1962">
        <w:rPr>
          <w:bCs/>
          <w:kern w:val="32"/>
          <w:sz w:val="20"/>
          <w:szCs w:val="20"/>
        </w:rPr>
        <w:t>Staff’s First Data Request</w:t>
      </w:r>
      <w:r w:rsidRPr="00BE1962">
        <w:rPr>
          <w:bCs/>
          <w:kern w:val="32"/>
          <w:szCs w:val="32"/>
          <w:vertAlign w:val="superscript"/>
        </w:rPr>
        <w:footnoteReference w:id="2"/>
      </w:r>
    </w:p>
    <w:p w:rsidR="001F0BB5" w:rsidRDefault="001F0BB5" w:rsidP="00BE1962">
      <w:pPr>
        <w:jc w:val="both"/>
        <w:outlineLvl w:val="2"/>
        <w:rPr>
          <w:b/>
          <w:bCs/>
          <w:iCs/>
          <w:szCs w:val="28"/>
        </w:rPr>
      </w:pPr>
    </w:p>
    <w:p w:rsidR="001F0BB5" w:rsidRPr="00A0666A" w:rsidRDefault="001F0BB5" w:rsidP="001F0BB5">
      <w:pPr>
        <w:jc w:val="center"/>
        <w:outlineLvl w:val="2"/>
        <w:rPr>
          <w:b/>
          <w:bCs/>
          <w:iCs/>
          <w:szCs w:val="28"/>
        </w:rPr>
      </w:pPr>
      <w:r w:rsidRPr="00A0666A">
        <w:rPr>
          <w:b/>
          <w:bCs/>
          <w:iCs/>
          <w:szCs w:val="28"/>
        </w:rPr>
        <w:t>Decision</w:t>
      </w:r>
    </w:p>
    <w:p w:rsidR="00BE1962" w:rsidRPr="00877229" w:rsidRDefault="00BE1962" w:rsidP="00BE1962">
      <w:pPr>
        <w:jc w:val="both"/>
        <w:outlineLvl w:val="2"/>
        <w:rPr>
          <w:b/>
          <w:bCs/>
          <w:iCs/>
          <w:szCs w:val="28"/>
        </w:rPr>
      </w:pPr>
    </w:p>
    <w:p w:rsidR="00BE1962" w:rsidRDefault="00BE1962" w:rsidP="001F0BB5">
      <w:pPr>
        <w:jc w:val="both"/>
      </w:pPr>
      <w:r>
        <w:tab/>
      </w:r>
      <w:r w:rsidRPr="00BE1962">
        <w:t xml:space="preserve">The provisions of Gulf’s new standard offer contract and associated rate schedule conform to all requirements of Rules 25-17.200 through 25-17.310, F.A.C. The new standard offer contract provides flexibility in the arrangements for payments so that a developer of renewable generation may select the payment stream best suited to its financial needs. Accordingly, </w:t>
      </w:r>
      <w:r w:rsidR="001F0BB5">
        <w:t>we hereby</w:t>
      </w:r>
      <w:r w:rsidRPr="00BE1962">
        <w:t xml:space="preserve"> </w:t>
      </w:r>
      <w:r w:rsidR="001F0BB5">
        <w:t>approve Gulf’s</w:t>
      </w:r>
      <w:r w:rsidRPr="00BE1962">
        <w:t xml:space="preserve"> new standard offer co</w:t>
      </w:r>
      <w:r w:rsidR="001F0BB5">
        <w:t>ntract and rate schedule QS-2</w:t>
      </w:r>
      <w:r w:rsidRPr="00BE1962">
        <w:t>, with the prior standard offer contract and rate schedule REF-1 being cancelled.</w:t>
      </w:r>
    </w:p>
    <w:p w:rsidR="00BE1962" w:rsidRDefault="00BE1962" w:rsidP="00BE1962"/>
    <w:p w:rsidR="001F0BB5" w:rsidRDefault="001F0BB5" w:rsidP="00BE1962"/>
    <w:p w:rsidR="001F0BB5" w:rsidRDefault="001F0BB5" w:rsidP="00BE1962"/>
    <w:p w:rsidR="001F0BB5" w:rsidRDefault="001F0BB5" w:rsidP="00BE1962"/>
    <w:p w:rsidR="0034085B" w:rsidRDefault="0034085B" w:rsidP="0034085B">
      <w:pPr>
        <w:pStyle w:val="OrderBody"/>
      </w:pPr>
      <w:r>
        <w:lastRenderedPageBreak/>
        <w:tab/>
        <w:t>Based on the foregoing, it is</w:t>
      </w:r>
    </w:p>
    <w:p w:rsidR="0034085B" w:rsidRDefault="0034085B" w:rsidP="0034085B">
      <w:pPr>
        <w:pStyle w:val="OrderBody"/>
      </w:pPr>
    </w:p>
    <w:p w:rsidR="0034085B" w:rsidRDefault="0034085B" w:rsidP="0034085B">
      <w:pPr>
        <w:pStyle w:val="OrderBody"/>
      </w:pPr>
      <w:r>
        <w:tab/>
        <w:t>ORDERED by the Florida Public Service Commission that</w:t>
      </w:r>
      <w:r w:rsidR="001F0BB5">
        <w:t xml:space="preserve"> Gulf Power Company’s </w:t>
      </w:r>
      <w:r w:rsidR="001F0BB5" w:rsidRPr="00BE1962">
        <w:t>new standard offer co</w:t>
      </w:r>
      <w:r w:rsidR="001F0BB5">
        <w:t>ntract and rate schedule QS-2 are approved. It is further</w:t>
      </w:r>
    </w:p>
    <w:p w:rsidR="001F0BB5" w:rsidRDefault="001F0BB5" w:rsidP="0034085B">
      <w:pPr>
        <w:pStyle w:val="OrderBody"/>
      </w:pPr>
    </w:p>
    <w:p w:rsidR="001F0BB5" w:rsidRDefault="001F0BB5" w:rsidP="0034085B">
      <w:pPr>
        <w:pStyle w:val="OrderBody"/>
      </w:pPr>
      <w:r>
        <w:tab/>
        <w:t xml:space="preserve">ORDERED that Gulf Power Company’s </w:t>
      </w:r>
      <w:r w:rsidRPr="001F0BB5">
        <w:t>prior standard offer contract and rate schedule REF-1</w:t>
      </w:r>
      <w:r>
        <w:t xml:space="preserve"> are cancelled. It is further </w:t>
      </w:r>
    </w:p>
    <w:p w:rsidR="0034085B" w:rsidRDefault="0034085B" w:rsidP="0034085B">
      <w:pPr>
        <w:pStyle w:val="OrderBody"/>
      </w:pPr>
    </w:p>
    <w:p w:rsidR="0034085B" w:rsidRDefault="0034085B" w:rsidP="0034085B">
      <w:pPr>
        <w:pStyle w:val="OrderBody"/>
      </w:pPr>
      <w:r>
        <w:tab/>
        <w:t xml:space="preserve">ORDERED that the provisions of this Order, issued as proposed agency action, shall become final and effective upon the issuance of a Consummating Order unless an appropriate petition, in the form provided by Rule 28-106.201, Florida Administrative Code, is received by the Commission Clerk, 2540 Shumard Oak Boulevard, Tallahassee, Florida 32399-0850, by the close of business on the date set forth in the “Notice of Further Proceedings” attached hereto.  </w:t>
      </w:r>
      <w:r w:rsidR="001F0BB5">
        <w:t xml:space="preserve">Potential signatories should be aware that, if a timely protest is filed, Gulf Power Company’s standard offer contract may subsequently be revised. </w:t>
      </w:r>
      <w:r>
        <w:t>It is further</w:t>
      </w:r>
    </w:p>
    <w:p w:rsidR="0034085B" w:rsidRDefault="0034085B" w:rsidP="0034085B">
      <w:pPr>
        <w:pStyle w:val="OrderBody"/>
      </w:pPr>
    </w:p>
    <w:p w:rsidR="0034085B" w:rsidRDefault="0034085B" w:rsidP="0034085B">
      <w:pPr>
        <w:pStyle w:val="OrderBody"/>
      </w:pPr>
      <w:r>
        <w:tab/>
        <w:t>ORDERED that in the event this Order becomes final, this docket shall be closed.</w:t>
      </w:r>
    </w:p>
    <w:p w:rsidR="0034085B" w:rsidRDefault="0034085B" w:rsidP="0034085B">
      <w:pPr>
        <w:pStyle w:val="OrderBody"/>
      </w:pPr>
    </w:p>
    <w:p w:rsidR="0034085B" w:rsidRDefault="0034085B" w:rsidP="0034085B">
      <w:pPr>
        <w:pStyle w:val="OrderBody"/>
        <w:keepNext/>
        <w:keepLines/>
      </w:pPr>
      <w:r>
        <w:tab/>
        <w:t xml:space="preserve">By ORDER of the Florida Public Service Commission this </w:t>
      </w:r>
      <w:bookmarkStart w:id="6" w:name="replaceDate"/>
      <w:bookmarkEnd w:id="6"/>
      <w:r w:rsidR="00134EA9">
        <w:rPr>
          <w:u w:val="single"/>
        </w:rPr>
        <w:t>26th</w:t>
      </w:r>
      <w:r w:rsidR="00134EA9">
        <w:t xml:space="preserve"> day of </w:t>
      </w:r>
      <w:r w:rsidR="00134EA9">
        <w:rPr>
          <w:u w:val="single"/>
        </w:rPr>
        <w:t>June</w:t>
      </w:r>
      <w:r w:rsidR="00134EA9">
        <w:t xml:space="preserve">, </w:t>
      </w:r>
      <w:r w:rsidR="00134EA9">
        <w:rPr>
          <w:u w:val="single"/>
        </w:rPr>
        <w:t>2020</w:t>
      </w:r>
      <w:r w:rsidR="00134EA9">
        <w:t>.</w:t>
      </w:r>
    </w:p>
    <w:p w:rsidR="00134EA9" w:rsidRPr="00134EA9" w:rsidRDefault="00134EA9" w:rsidP="0034085B">
      <w:pPr>
        <w:pStyle w:val="OrderBody"/>
        <w:keepNext/>
        <w:keepLines/>
      </w:pPr>
    </w:p>
    <w:p w:rsidR="0034085B" w:rsidRDefault="0034085B" w:rsidP="0034085B">
      <w:pPr>
        <w:pStyle w:val="OrderBody"/>
        <w:keepNext/>
        <w:keepLines/>
      </w:pPr>
    </w:p>
    <w:p w:rsidR="001F0BB5" w:rsidRDefault="001F0BB5" w:rsidP="0034085B">
      <w:pPr>
        <w:pStyle w:val="OrderBody"/>
        <w:keepNext/>
        <w:keepLines/>
      </w:pPr>
    </w:p>
    <w:p w:rsidR="0034085B" w:rsidRDefault="0034085B" w:rsidP="0034085B">
      <w:pPr>
        <w:pStyle w:val="OrderBody"/>
        <w:keepNext/>
        <w:keepLines/>
      </w:pPr>
    </w:p>
    <w:tbl>
      <w:tblPr>
        <w:tblW w:w="4720" w:type="dxa"/>
        <w:tblInd w:w="3800" w:type="dxa"/>
        <w:tblLayout w:type="fixed"/>
        <w:tblLook w:val="0000" w:firstRow="0" w:lastRow="0" w:firstColumn="0" w:lastColumn="0" w:noHBand="0" w:noVBand="0"/>
      </w:tblPr>
      <w:tblGrid>
        <w:gridCol w:w="686"/>
        <w:gridCol w:w="4034"/>
      </w:tblGrid>
      <w:tr w:rsidR="0034085B" w:rsidTr="0034085B">
        <w:tc>
          <w:tcPr>
            <w:tcW w:w="720" w:type="dxa"/>
            <w:shd w:val="clear" w:color="auto" w:fill="auto"/>
          </w:tcPr>
          <w:p w:rsidR="0034085B" w:rsidRDefault="0034085B" w:rsidP="0034085B">
            <w:pPr>
              <w:pStyle w:val="OrderBody"/>
              <w:keepNext/>
              <w:keepLines/>
            </w:pPr>
            <w:bookmarkStart w:id="7" w:name="bkmrkSignature" w:colFirst="0" w:colLast="0"/>
          </w:p>
        </w:tc>
        <w:tc>
          <w:tcPr>
            <w:tcW w:w="4320" w:type="dxa"/>
            <w:tcBorders>
              <w:bottom w:val="single" w:sz="4" w:space="0" w:color="auto"/>
            </w:tcBorders>
            <w:shd w:val="clear" w:color="auto" w:fill="auto"/>
          </w:tcPr>
          <w:p w:rsidR="0034085B" w:rsidRDefault="00F159FD" w:rsidP="0034085B">
            <w:pPr>
              <w:pStyle w:val="OrderBody"/>
              <w:keepNext/>
              <w:keepLines/>
            </w:pPr>
            <w:r>
              <w:t>/s/ Adam J. Teitzman</w:t>
            </w:r>
            <w:bookmarkStart w:id="8" w:name="_GoBack"/>
            <w:bookmarkEnd w:id="8"/>
          </w:p>
        </w:tc>
      </w:tr>
      <w:bookmarkEnd w:id="7"/>
      <w:tr w:rsidR="0034085B" w:rsidTr="0034085B">
        <w:tc>
          <w:tcPr>
            <w:tcW w:w="720" w:type="dxa"/>
            <w:shd w:val="clear" w:color="auto" w:fill="auto"/>
          </w:tcPr>
          <w:p w:rsidR="0034085B" w:rsidRDefault="0034085B" w:rsidP="0034085B">
            <w:pPr>
              <w:pStyle w:val="OrderBody"/>
              <w:keepNext/>
              <w:keepLines/>
            </w:pPr>
          </w:p>
        </w:tc>
        <w:tc>
          <w:tcPr>
            <w:tcW w:w="4320" w:type="dxa"/>
            <w:tcBorders>
              <w:top w:val="single" w:sz="4" w:space="0" w:color="auto"/>
            </w:tcBorders>
            <w:shd w:val="clear" w:color="auto" w:fill="auto"/>
          </w:tcPr>
          <w:p w:rsidR="0034085B" w:rsidRDefault="0034085B" w:rsidP="0034085B">
            <w:pPr>
              <w:pStyle w:val="OrderBody"/>
              <w:keepNext/>
              <w:keepLines/>
            </w:pPr>
            <w:r>
              <w:t>ADAM J. TEITZMAN</w:t>
            </w:r>
          </w:p>
          <w:p w:rsidR="0034085B" w:rsidRDefault="0034085B" w:rsidP="0034085B">
            <w:pPr>
              <w:pStyle w:val="OrderBody"/>
              <w:keepNext/>
              <w:keepLines/>
            </w:pPr>
            <w:r>
              <w:t>Commission Clerk</w:t>
            </w:r>
          </w:p>
        </w:tc>
      </w:tr>
    </w:tbl>
    <w:p w:rsidR="0034085B" w:rsidRDefault="0034085B" w:rsidP="0034085B">
      <w:pPr>
        <w:pStyle w:val="OrderSigInfo"/>
        <w:keepNext/>
        <w:keepLines/>
      </w:pPr>
      <w:r>
        <w:t>Florida Public Service Commission</w:t>
      </w:r>
    </w:p>
    <w:p w:rsidR="0034085B" w:rsidRDefault="0034085B" w:rsidP="0034085B">
      <w:pPr>
        <w:pStyle w:val="OrderSigInfo"/>
        <w:keepNext/>
        <w:keepLines/>
      </w:pPr>
      <w:r>
        <w:t>2540 Shumard Oak Boulevard</w:t>
      </w:r>
    </w:p>
    <w:p w:rsidR="0034085B" w:rsidRDefault="0034085B" w:rsidP="0034085B">
      <w:pPr>
        <w:pStyle w:val="OrderSigInfo"/>
        <w:keepNext/>
        <w:keepLines/>
      </w:pPr>
      <w:r>
        <w:t>Tallahassee, Florida 32399</w:t>
      </w:r>
    </w:p>
    <w:p w:rsidR="0034085B" w:rsidRDefault="0034085B" w:rsidP="0034085B">
      <w:pPr>
        <w:pStyle w:val="OrderSigInfo"/>
        <w:keepNext/>
        <w:keepLines/>
      </w:pPr>
      <w:r>
        <w:t>(850) 413</w:t>
      </w:r>
      <w:r>
        <w:noBreakHyphen/>
        <w:t>6770</w:t>
      </w:r>
    </w:p>
    <w:p w:rsidR="0034085B" w:rsidRDefault="0034085B" w:rsidP="0034085B">
      <w:pPr>
        <w:pStyle w:val="OrderSigInfo"/>
        <w:keepNext/>
        <w:keepLines/>
      </w:pPr>
      <w:r>
        <w:t>www.floridapsc.com</w:t>
      </w:r>
    </w:p>
    <w:p w:rsidR="0034085B" w:rsidRDefault="0034085B" w:rsidP="0034085B">
      <w:pPr>
        <w:pStyle w:val="OrderSigInfo"/>
        <w:keepNext/>
        <w:keepLines/>
      </w:pPr>
    </w:p>
    <w:p w:rsidR="0034085B" w:rsidRDefault="0034085B" w:rsidP="0034085B">
      <w:pPr>
        <w:pStyle w:val="OrderSigInfo"/>
        <w:keepNext/>
        <w:keepLines/>
      </w:pPr>
      <w:r>
        <w:t>Copies furnished:  A copy of this document is provided to the parties of record at the time of issuance and, if applicable, interested persons.</w:t>
      </w:r>
    </w:p>
    <w:p w:rsidR="0034085B" w:rsidRDefault="0034085B" w:rsidP="0034085B">
      <w:pPr>
        <w:pStyle w:val="OrderBody"/>
        <w:keepNext/>
        <w:keepLines/>
      </w:pPr>
    </w:p>
    <w:p w:rsidR="001F0BB5" w:rsidRDefault="001F0BB5" w:rsidP="0034085B">
      <w:pPr>
        <w:pStyle w:val="OrderBody"/>
        <w:keepNext/>
        <w:keepLines/>
      </w:pPr>
    </w:p>
    <w:p w:rsidR="0034085B" w:rsidRDefault="0034085B" w:rsidP="0034085B">
      <w:pPr>
        <w:pStyle w:val="OrderBody"/>
        <w:keepNext/>
        <w:keepLines/>
      </w:pPr>
      <w:r>
        <w:t>AJW</w:t>
      </w:r>
    </w:p>
    <w:p w:rsidR="001F0BB5" w:rsidRDefault="001F0BB5" w:rsidP="0034085B">
      <w:pPr>
        <w:pStyle w:val="OrderBody"/>
      </w:pPr>
    </w:p>
    <w:p w:rsidR="001F0BB5" w:rsidRDefault="001F0BB5" w:rsidP="0034085B">
      <w:pPr>
        <w:pStyle w:val="OrderBody"/>
      </w:pPr>
    </w:p>
    <w:p w:rsidR="001F0BB5" w:rsidRDefault="001F0BB5" w:rsidP="0034085B">
      <w:pPr>
        <w:pStyle w:val="OrderBody"/>
      </w:pPr>
    </w:p>
    <w:p w:rsidR="001F0BB5" w:rsidRDefault="001F0BB5" w:rsidP="0034085B">
      <w:pPr>
        <w:pStyle w:val="OrderBody"/>
      </w:pPr>
    </w:p>
    <w:p w:rsidR="005B5BC0" w:rsidRDefault="005B5BC0" w:rsidP="0034085B">
      <w:pPr>
        <w:pStyle w:val="OrderBody"/>
      </w:pPr>
    </w:p>
    <w:p w:rsidR="005B5BC0" w:rsidRDefault="005B5BC0" w:rsidP="0034085B">
      <w:pPr>
        <w:pStyle w:val="OrderBody"/>
      </w:pPr>
    </w:p>
    <w:p w:rsidR="001F0BB5" w:rsidRDefault="001F0BB5" w:rsidP="0034085B">
      <w:pPr>
        <w:pStyle w:val="OrderBody"/>
      </w:pPr>
    </w:p>
    <w:p w:rsidR="0034085B" w:rsidRDefault="0034085B" w:rsidP="0034085B">
      <w:pPr>
        <w:pStyle w:val="CenterUnderline"/>
      </w:pPr>
      <w:r>
        <w:lastRenderedPageBreak/>
        <w:t>NOTICE OF FURTHER PROCEEDINGS OR JUDICIAL REVIEW</w:t>
      </w:r>
    </w:p>
    <w:p w:rsidR="0034085B" w:rsidRDefault="0034085B" w:rsidP="0034085B">
      <w:pPr>
        <w:pStyle w:val="CenterUnderline"/>
        <w:rPr>
          <w:u w:val="none"/>
        </w:rPr>
      </w:pPr>
    </w:p>
    <w:p w:rsidR="0034085B" w:rsidRDefault="0034085B" w:rsidP="0034085B">
      <w:pPr>
        <w:pStyle w:val="OrderBody"/>
      </w:pPr>
      <w:r>
        <w:tab/>
        <w:t>The Florida Public Service Commission is required by Section 120.569(1), Florida Statutes, to notify parties of any administrative hearing that is available under Section 120.57, Florida Statutes, as well as the procedures and time limits that apply.  This notice should not be construed to mean all requests for an administrative hearing will be granted or result in the relief sought.</w:t>
      </w:r>
    </w:p>
    <w:p w:rsidR="0034085B" w:rsidRDefault="0034085B" w:rsidP="0034085B">
      <w:pPr>
        <w:pStyle w:val="OrderBody"/>
      </w:pPr>
    </w:p>
    <w:p w:rsidR="0034085B" w:rsidRDefault="0034085B" w:rsidP="0034085B">
      <w:pPr>
        <w:pStyle w:val="OrderBody"/>
      </w:pPr>
      <w:r>
        <w:tab/>
        <w:t>Mediation may be available on a case-by-case basis.  If mediation is conducted, it does not affect a substantially interested person's right to a hearing.</w:t>
      </w:r>
    </w:p>
    <w:p w:rsidR="0034085B" w:rsidRDefault="0034085B" w:rsidP="0034085B">
      <w:pPr>
        <w:pStyle w:val="OrderBody"/>
      </w:pPr>
    </w:p>
    <w:p w:rsidR="0034085B" w:rsidRDefault="0034085B" w:rsidP="0034085B">
      <w:pPr>
        <w:pStyle w:val="OrderBody"/>
      </w:pPr>
      <w:r>
        <w:tab/>
        <w:t xml:space="preserve">The action proposed herein is preliminary in nature. Any person whose substantial interests are affected by the action proposed by this order may file a petition for a formal proceeding, in the form provided by Rule 28-106.201, Florida Administrative Code.  This petition must be received by the Office of Commission Clerk, 2540 Shumard Oak Boulevard, Tallahassee, Florida 32399-0850, by the close of business on </w:t>
      </w:r>
      <w:r w:rsidR="00134EA9">
        <w:rPr>
          <w:u w:val="single"/>
        </w:rPr>
        <w:t>July 17, 2020</w:t>
      </w:r>
      <w:r>
        <w:t>.</w:t>
      </w:r>
    </w:p>
    <w:p w:rsidR="0034085B" w:rsidRDefault="0034085B" w:rsidP="0034085B">
      <w:pPr>
        <w:pStyle w:val="OrderBody"/>
      </w:pPr>
    </w:p>
    <w:p w:rsidR="0034085B" w:rsidRDefault="0034085B" w:rsidP="0034085B">
      <w:pPr>
        <w:pStyle w:val="OrderBody"/>
      </w:pPr>
      <w:r>
        <w:tab/>
        <w:t>In the absence of such a petition, this order shall become final and effective upon the issuance of a Consummating Order.</w:t>
      </w:r>
    </w:p>
    <w:p w:rsidR="0034085B" w:rsidRDefault="0034085B" w:rsidP="0034085B">
      <w:pPr>
        <w:pStyle w:val="OrderBody"/>
      </w:pPr>
    </w:p>
    <w:p w:rsidR="0034085B" w:rsidRDefault="0034085B" w:rsidP="0034085B">
      <w:pPr>
        <w:pStyle w:val="OrderBody"/>
      </w:pPr>
      <w:r>
        <w:tab/>
        <w:t>Any objection or protest filed in this/these docket(s) before the issuance date of this order is considered abandoned unless it satisfies the foregoing conditions and is renewed within the specified protest period.</w:t>
      </w:r>
    </w:p>
    <w:p w:rsidR="0034085B" w:rsidRDefault="0034085B" w:rsidP="0034085B">
      <w:pPr>
        <w:pStyle w:val="OrderBody"/>
        <w:sectPr w:rsidR="0034085B">
          <w:headerReference w:type="default" r:id="rId6"/>
          <w:footerReference w:type="first" r:id="rId7"/>
          <w:pgSz w:w="12240" w:h="15840" w:code="1"/>
          <w:pgMar w:top="1440" w:right="1440" w:bottom="1440" w:left="1440" w:header="720" w:footer="720" w:gutter="0"/>
          <w:cols w:space="720"/>
          <w:titlePg/>
          <w:docGrid w:linePitch="360"/>
        </w:sectPr>
      </w:pPr>
    </w:p>
    <w:p w:rsidR="0034085B" w:rsidRDefault="0034085B" w:rsidP="0034085B">
      <w:pPr>
        <w:pStyle w:val="OrderBody"/>
      </w:pPr>
    </w:p>
    <w:p w:rsidR="0034085B" w:rsidRDefault="0034085B" w:rsidP="0034085B">
      <w:pPr>
        <w:pStyle w:val="OrderBody"/>
      </w:pPr>
      <w:r>
        <w:rPr>
          <w:noProof/>
        </w:rPr>
        <w:drawing>
          <wp:inline distT="0" distB="0" distL="0" distR="0" wp14:anchorId="24B311DD" wp14:editId="04C11099">
            <wp:extent cx="5943600" cy="7689850"/>
            <wp:effectExtent l="0" t="0" r="0" b="6350"/>
            <wp:docPr id="1" name="Picture 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stretch>
                      <a:fillRect/>
                    </a:stretch>
                  </pic:blipFill>
                  <pic:spPr>
                    <a:xfrm>
                      <a:off x="0" y="0"/>
                      <a:ext cx="5943600" cy="7689850"/>
                    </a:xfrm>
                    <a:prstGeom prst="rect">
                      <a:avLst/>
                    </a:prstGeom>
                  </pic:spPr>
                </pic:pic>
              </a:graphicData>
            </a:graphic>
          </wp:inline>
        </w:drawing>
      </w:r>
    </w:p>
    <w:p w:rsidR="0034085B" w:rsidRDefault="0034085B" w:rsidP="0034085B">
      <w:pPr>
        <w:pStyle w:val="OrderBody"/>
      </w:pPr>
      <w:r>
        <w:rPr>
          <w:noProof/>
        </w:rPr>
        <w:lastRenderedPageBreak/>
        <w:drawing>
          <wp:inline distT="0" distB="0" distL="0" distR="0" wp14:anchorId="6EE89F7C" wp14:editId="6D3B436B">
            <wp:extent cx="5827222" cy="7589520"/>
            <wp:effectExtent l="0" t="0" r="2540" b="0"/>
            <wp:docPr id="2" name="Picture 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stretch>
                      <a:fillRect/>
                    </a:stretch>
                  </pic:blipFill>
                  <pic:spPr>
                    <a:xfrm>
                      <a:off x="0" y="0"/>
                      <a:ext cx="5827659" cy="7590090"/>
                    </a:xfrm>
                    <a:prstGeom prst="rect">
                      <a:avLst/>
                    </a:prstGeom>
                  </pic:spPr>
                </pic:pic>
              </a:graphicData>
            </a:graphic>
          </wp:inline>
        </w:drawing>
      </w:r>
    </w:p>
    <w:p w:rsidR="0034085B" w:rsidRDefault="0034085B" w:rsidP="0034085B">
      <w:pPr>
        <w:pStyle w:val="OrderBody"/>
      </w:pPr>
      <w:r>
        <w:rPr>
          <w:noProof/>
        </w:rPr>
        <w:lastRenderedPageBreak/>
        <w:drawing>
          <wp:inline distT="0" distB="0" distL="0" distR="0" wp14:anchorId="3D9822D4" wp14:editId="107CEA8C">
            <wp:extent cx="5943600" cy="7689850"/>
            <wp:effectExtent l="0" t="0" r="0" b="6350"/>
            <wp:docPr id="3" name="Picture 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stretch>
                      <a:fillRect/>
                    </a:stretch>
                  </pic:blipFill>
                  <pic:spPr>
                    <a:xfrm>
                      <a:off x="0" y="0"/>
                      <a:ext cx="5943600" cy="7689850"/>
                    </a:xfrm>
                    <a:prstGeom prst="rect">
                      <a:avLst/>
                    </a:prstGeom>
                  </pic:spPr>
                </pic:pic>
              </a:graphicData>
            </a:graphic>
          </wp:inline>
        </w:drawing>
      </w:r>
    </w:p>
    <w:p w:rsidR="0034085B" w:rsidRDefault="0034085B" w:rsidP="0034085B">
      <w:pPr>
        <w:pStyle w:val="OrderBody"/>
      </w:pPr>
    </w:p>
    <w:p w:rsidR="0034085B" w:rsidRDefault="0034085B" w:rsidP="0034085B">
      <w:pPr>
        <w:pStyle w:val="OrderBody"/>
      </w:pPr>
      <w:r>
        <w:rPr>
          <w:noProof/>
        </w:rPr>
        <w:lastRenderedPageBreak/>
        <w:drawing>
          <wp:inline distT="0" distB="0" distL="0" distR="0" wp14:anchorId="0E978739" wp14:editId="662B400A">
            <wp:extent cx="5943600" cy="7689850"/>
            <wp:effectExtent l="0" t="0" r="0" b="6350"/>
            <wp:docPr id="4" name="Picture 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stretch>
                      <a:fillRect/>
                    </a:stretch>
                  </pic:blipFill>
                  <pic:spPr>
                    <a:xfrm>
                      <a:off x="0" y="0"/>
                      <a:ext cx="5943600" cy="7689850"/>
                    </a:xfrm>
                    <a:prstGeom prst="rect">
                      <a:avLst/>
                    </a:prstGeom>
                  </pic:spPr>
                </pic:pic>
              </a:graphicData>
            </a:graphic>
          </wp:inline>
        </w:drawing>
      </w:r>
    </w:p>
    <w:p w:rsidR="0034085B" w:rsidRDefault="0034085B" w:rsidP="0034085B">
      <w:pPr>
        <w:pStyle w:val="OrderBody"/>
      </w:pPr>
    </w:p>
    <w:p w:rsidR="0034085B" w:rsidRDefault="0034085B" w:rsidP="0034085B">
      <w:pPr>
        <w:pStyle w:val="OrderBody"/>
      </w:pPr>
      <w:r>
        <w:rPr>
          <w:noProof/>
        </w:rPr>
        <w:lastRenderedPageBreak/>
        <w:drawing>
          <wp:inline distT="0" distB="0" distL="0" distR="0" wp14:anchorId="0544CC37" wp14:editId="3B5B0391">
            <wp:extent cx="5943600" cy="7689850"/>
            <wp:effectExtent l="0" t="0" r="0" b="6350"/>
            <wp:docPr id="5" name="Picture 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stretch>
                      <a:fillRect/>
                    </a:stretch>
                  </pic:blipFill>
                  <pic:spPr>
                    <a:xfrm>
                      <a:off x="0" y="0"/>
                      <a:ext cx="5943600" cy="7689850"/>
                    </a:xfrm>
                    <a:prstGeom prst="rect">
                      <a:avLst/>
                    </a:prstGeom>
                  </pic:spPr>
                </pic:pic>
              </a:graphicData>
            </a:graphic>
          </wp:inline>
        </w:drawing>
      </w:r>
    </w:p>
    <w:p w:rsidR="0034085B" w:rsidRDefault="0034085B" w:rsidP="0034085B">
      <w:pPr>
        <w:pStyle w:val="OrderBody"/>
      </w:pPr>
    </w:p>
    <w:p w:rsidR="0034085B" w:rsidRDefault="0034085B" w:rsidP="0034085B">
      <w:pPr>
        <w:pStyle w:val="OrderBody"/>
      </w:pPr>
      <w:r>
        <w:rPr>
          <w:noProof/>
        </w:rPr>
        <w:lastRenderedPageBreak/>
        <w:drawing>
          <wp:inline distT="0" distB="0" distL="0" distR="0" wp14:anchorId="52DC16BD" wp14:editId="60614519">
            <wp:extent cx="5943600" cy="7689850"/>
            <wp:effectExtent l="0" t="0" r="0" b="6350"/>
            <wp:docPr id="6" name="Picture 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stretch>
                      <a:fillRect/>
                    </a:stretch>
                  </pic:blipFill>
                  <pic:spPr>
                    <a:xfrm>
                      <a:off x="0" y="0"/>
                      <a:ext cx="5943600" cy="7689850"/>
                    </a:xfrm>
                    <a:prstGeom prst="rect">
                      <a:avLst/>
                    </a:prstGeom>
                  </pic:spPr>
                </pic:pic>
              </a:graphicData>
            </a:graphic>
          </wp:inline>
        </w:drawing>
      </w:r>
    </w:p>
    <w:p w:rsidR="0034085B" w:rsidRDefault="0034085B" w:rsidP="0034085B">
      <w:pPr>
        <w:pStyle w:val="OrderBody"/>
      </w:pPr>
    </w:p>
    <w:p w:rsidR="0034085B" w:rsidRDefault="0034085B" w:rsidP="0034085B">
      <w:pPr>
        <w:pStyle w:val="OrderBody"/>
      </w:pPr>
      <w:r>
        <w:rPr>
          <w:noProof/>
        </w:rPr>
        <w:lastRenderedPageBreak/>
        <w:drawing>
          <wp:inline distT="0" distB="0" distL="0" distR="0" wp14:anchorId="77321723" wp14:editId="57AE98B8">
            <wp:extent cx="5943600" cy="7689850"/>
            <wp:effectExtent l="0" t="0" r="0" b="6350"/>
            <wp:docPr id="7" name="Picture 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5943600" cy="7689850"/>
                    </a:xfrm>
                    <a:prstGeom prst="rect">
                      <a:avLst/>
                    </a:prstGeom>
                  </pic:spPr>
                </pic:pic>
              </a:graphicData>
            </a:graphic>
          </wp:inline>
        </w:drawing>
      </w:r>
    </w:p>
    <w:p w:rsidR="0034085B" w:rsidRDefault="0034085B" w:rsidP="0034085B">
      <w:pPr>
        <w:pStyle w:val="OrderBody"/>
      </w:pPr>
    </w:p>
    <w:p w:rsidR="0034085B" w:rsidRDefault="0034085B" w:rsidP="0034085B">
      <w:pPr>
        <w:pStyle w:val="OrderBody"/>
      </w:pPr>
      <w:r>
        <w:rPr>
          <w:noProof/>
        </w:rPr>
        <w:lastRenderedPageBreak/>
        <w:drawing>
          <wp:inline distT="0" distB="0" distL="0" distR="0" wp14:anchorId="61F49C6B" wp14:editId="0021B108">
            <wp:extent cx="5943600" cy="7689850"/>
            <wp:effectExtent l="0" t="0" r="0" b="6350"/>
            <wp:docPr id="8" name="Picture 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tretch>
                      <a:fillRect/>
                    </a:stretch>
                  </pic:blipFill>
                  <pic:spPr>
                    <a:xfrm>
                      <a:off x="0" y="0"/>
                      <a:ext cx="5943600" cy="7689850"/>
                    </a:xfrm>
                    <a:prstGeom prst="rect">
                      <a:avLst/>
                    </a:prstGeom>
                  </pic:spPr>
                </pic:pic>
              </a:graphicData>
            </a:graphic>
          </wp:inline>
        </w:drawing>
      </w:r>
    </w:p>
    <w:p w:rsidR="0034085B" w:rsidRDefault="0034085B" w:rsidP="0034085B">
      <w:pPr>
        <w:pStyle w:val="OrderBody"/>
      </w:pPr>
    </w:p>
    <w:p w:rsidR="0034085B" w:rsidRDefault="0034085B" w:rsidP="0034085B">
      <w:pPr>
        <w:pStyle w:val="OrderBody"/>
      </w:pPr>
      <w:r>
        <w:rPr>
          <w:noProof/>
        </w:rPr>
        <w:lastRenderedPageBreak/>
        <w:drawing>
          <wp:inline distT="0" distB="0" distL="0" distR="0" wp14:anchorId="3126AC41" wp14:editId="33AB073D">
            <wp:extent cx="5943600" cy="7689850"/>
            <wp:effectExtent l="0" t="0" r="0" b="6350"/>
            <wp:docPr id="9" name="Picture 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5943600" cy="7689850"/>
                    </a:xfrm>
                    <a:prstGeom prst="rect">
                      <a:avLst/>
                    </a:prstGeom>
                  </pic:spPr>
                </pic:pic>
              </a:graphicData>
            </a:graphic>
          </wp:inline>
        </w:drawing>
      </w:r>
    </w:p>
    <w:p w:rsidR="0034085B" w:rsidRDefault="0034085B" w:rsidP="0034085B">
      <w:pPr>
        <w:pStyle w:val="OrderBody"/>
      </w:pPr>
    </w:p>
    <w:p w:rsidR="0034085B" w:rsidRDefault="0034085B" w:rsidP="0034085B">
      <w:pPr>
        <w:pStyle w:val="OrderBody"/>
      </w:pPr>
      <w:r>
        <w:rPr>
          <w:noProof/>
        </w:rPr>
        <w:lastRenderedPageBreak/>
        <w:drawing>
          <wp:inline distT="0" distB="0" distL="0" distR="0" wp14:anchorId="1A93348B" wp14:editId="1C536CF3">
            <wp:extent cx="5943600" cy="7689850"/>
            <wp:effectExtent l="0" t="0" r="0" b="6350"/>
            <wp:docPr id="10" name="Picture 1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5943600" cy="7689850"/>
                    </a:xfrm>
                    <a:prstGeom prst="rect">
                      <a:avLst/>
                    </a:prstGeom>
                  </pic:spPr>
                </pic:pic>
              </a:graphicData>
            </a:graphic>
          </wp:inline>
        </w:drawing>
      </w:r>
    </w:p>
    <w:p w:rsidR="0034085B" w:rsidRDefault="0034085B" w:rsidP="0034085B">
      <w:pPr>
        <w:pStyle w:val="OrderBody"/>
      </w:pPr>
    </w:p>
    <w:p w:rsidR="0034085B" w:rsidRDefault="00687D29" w:rsidP="0034085B">
      <w:pPr>
        <w:pStyle w:val="OrderBody"/>
      </w:pPr>
      <w:r>
        <w:rPr>
          <w:noProof/>
        </w:rPr>
        <w:lastRenderedPageBreak/>
        <w:drawing>
          <wp:inline distT="0" distB="0" distL="0" distR="0" wp14:anchorId="65EAD67E" wp14:editId="7D337C02">
            <wp:extent cx="5943600" cy="7689850"/>
            <wp:effectExtent l="0" t="0" r="0" b="6350"/>
            <wp:docPr id="11" name="Picture 1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tretch>
                      <a:fillRect/>
                    </a:stretch>
                  </pic:blipFill>
                  <pic:spPr>
                    <a:xfrm>
                      <a:off x="0" y="0"/>
                      <a:ext cx="5943600" cy="7689850"/>
                    </a:xfrm>
                    <a:prstGeom prst="rect">
                      <a:avLst/>
                    </a:prstGeom>
                  </pic:spPr>
                </pic:pic>
              </a:graphicData>
            </a:graphic>
          </wp:inline>
        </w:drawing>
      </w:r>
    </w:p>
    <w:p w:rsidR="00687D29" w:rsidRDefault="00687D29" w:rsidP="0034085B">
      <w:pPr>
        <w:pStyle w:val="OrderBody"/>
      </w:pPr>
    </w:p>
    <w:p w:rsidR="00687D29" w:rsidRDefault="00687D29" w:rsidP="0034085B">
      <w:pPr>
        <w:pStyle w:val="OrderBody"/>
      </w:pPr>
      <w:r>
        <w:rPr>
          <w:noProof/>
        </w:rPr>
        <w:lastRenderedPageBreak/>
        <w:drawing>
          <wp:inline distT="0" distB="0" distL="0" distR="0" wp14:anchorId="50233B36" wp14:editId="72A3665F">
            <wp:extent cx="5943600" cy="7689850"/>
            <wp:effectExtent l="0" t="0" r="0" b="6350"/>
            <wp:docPr id="12" name="Picture 1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5943600" cy="7689850"/>
                    </a:xfrm>
                    <a:prstGeom prst="rect">
                      <a:avLst/>
                    </a:prstGeom>
                  </pic:spPr>
                </pic:pic>
              </a:graphicData>
            </a:graphic>
          </wp:inline>
        </w:drawing>
      </w:r>
    </w:p>
    <w:p w:rsidR="00687D29" w:rsidRDefault="00687D29" w:rsidP="0034085B">
      <w:pPr>
        <w:pStyle w:val="OrderBody"/>
      </w:pPr>
    </w:p>
    <w:p w:rsidR="00687D29" w:rsidRDefault="00687D29" w:rsidP="0034085B">
      <w:pPr>
        <w:pStyle w:val="OrderBody"/>
      </w:pPr>
      <w:r>
        <w:rPr>
          <w:noProof/>
        </w:rPr>
        <w:lastRenderedPageBreak/>
        <w:drawing>
          <wp:inline distT="0" distB="0" distL="0" distR="0" wp14:anchorId="5A094A86" wp14:editId="317CE739">
            <wp:extent cx="5943600" cy="7689850"/>
            <wp:effectExtent l="0" t="0" r="0" b="6350"/>
            <wp:docPr id="13" name="Picture 1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5943600" cy="7689850"/>
                    </a:xfrm>
                    <a:prstGeom prst="rect">
                      <a:avLst/>
                    </a:prstGeom>
                  </pic:spPr>
                </pic:pic>
              </a:graphicData>
            </a:graphic>
          </wp:inline>
        </w:drawing>
      </w:r>
    </w:p>
    <w:p w:rsidR="00687D29" w:rsidRDefault="00687D29" w:rsidP="0034085B">
      <w:pPr>
        <w:pStyle w:val="OrderBody"/>
      </w:pPr>
    </w:p>
    <w:p w:rsidR="00687D29" w:rsidRDefault="00687D29" w:rsidP="0034085B">
      <w:pPr>
        <w:pStyle w:val="OrderBody"/>
      </w:pPr>
      <w:r>
        <w:rPr>
          <w:noProof/>
        </w:rPr>
        <w:lastRenderedPageBreak/>
        <w:drawing>
          <wp:inline distT="0" distB="0" distL="0" distR="0" wp14:anchorId="70DE8E02" wp14:editId="24FACC87">
            <wp:extent cx="5943600" cy="7689850"/>
            <wp:effectExtent l="0" t="0" r="0" b="6350"/>
            <wp:docPr id="14" name="Picture 1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stretch>
                      <a:fillRect/>
                    </a:stretch>
                  </pic:blipFill>
                  <pic:spPr>
                    <a:xfrm>
                      <a:off x="0" y="0"/>
                      <a:ext cx="5943600" cy="7689850"/>
                    </a:xfrm>
                    <a:prstGeom prst="rect">
                      <a:avLst/>
                    </a:prstGeom>
                  </pic:spPr>
                </pic:pic>
              </a:graphicData>
            </a:graphic>
          </wp:inline>
        </w:drawing>
      </w:r>
    </w:p>
    <w:p w:rsidR="00687D29" w:rsidRDefault="00687D29" w:rsidP="0034085B">
      <w:pPr>
        <w:pStyle w:val="OrderBody"/>
      </w:pPr>
    </w:p>
    <w:p w:rsidR="00687D29" w:rsidRDefault="00687D29" w:rsidP="0034085B">
      <w:pPr>
        <w:pStyle w:val="OrderBody"/>
      </w:pPr>
      <w:r>
        <w:rPr>
          <w:noProof/>
        </w:rPr>
        <w:lastRenderedPageBreak/>
        <w:drawing>
          <wp:inline distT="0" distB="0" distL="0" distR="0" wp14:anchorId="6AF77EE3" wp14:editId="33CBC44D">
            <wp:extent cx="5943600" cy="7689850"/>
            <wp:effectExtent l="0" t="0" r="0" b="6350"/>
            <wp:docPr id="15" name="Picture 1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stretch>
                      <a:fillRect/>
                    </a:stretch>
                  </pic:blipFill>
                  <pic:spPr>
                    <a:xfrm>
                      <a:off x="0" y="0"/>
                      <a:ext cx="5943600" cy="7689850"/>
                    </a:xfrm>
                    <a:prstGeom prst="rect">
                      <a:avLst/>
                    </a:prstGeom>
                  </pic:spPr>
                </pic:pic>
              </a:graphicData>
            </a:graphic>
          </wp:inline>
        </w:drawing>
      </w:r>
    </w:p>
    <w:p w:rsidR="00687D29" w:rsidRDefault="00687D29" w:rsidP="0034085B">
      <w:pPr>
        <w:pStyle w:val="OrderBody"/>
      </w:pPr>
    </w:p>
    <w:p w:rsidR="00687D29" w:rsidRDefault="00687D29" w:rsidP="0034085B">
      <w:pPr>
        <w:pStyle w:val="OrderBody"/>
      </w:pPr>
      <w:r>
        <w:rPr>
          <w:noProof/>
        </w:rPr>
        <w:lastRenderedPageBreak/>
        <w:drawing>
          <wp:inline distT="0" distB="0" distL="0" distR="0" wp14:anchorId="6B6A0FB6" wp14:editId="5EE9AB75">
            <wp:extent cx="5943600" cy="7691755"/>
            <wp:effectExtent l="0" t="0" r="0" b="4445"/>
            <wp:docPr id="16" name="Picture 1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stretch>
                      <a:fillRect/>
                    </a:stretch>
                  </pic:blipFill>
                  <pic:spPr>
                    <a:xfrm>
                      <a:off x="0" y="0"/>
                      <a:ext cx="5943600" cy="7691755"/>
                    </a:xfrm>
                    <a:prstGeom prst="rect">
                      <a:avLst/>
                    </a:prstGeom>
                  </pic:spPr>
                </pic:pic>
              </a:graphicData>
            </a:graphic>
          </wp:inline>
        </w:drawing>
      </w:r>
    </w:p>
    <w:p w:rsidR="00687D29" w:rsidRDefault="00687D29" w:rsidP="0034085B">
      <w:pPr>
        <w:pStyle w:val="OrderBody"/>
      </w:pPr>
    </w:p>
    <w:p w:rsidR="00687D29" w:rsidRDefault="00687D29" w:rsidP="0034085B">
      <w:pPr>
        <w:pStyle w:val="OrderBody"/>
      </w:pPr>
      <w:r>
        <w:rPr>
          <w:noProof/>
        </w:rPr>
        <w:lastRenderedPageBreak/>
        <w:drawing>
          <wp:inline distT="0" distB="0" distL="0" distR="0" wp14:anchorId="58D9B5FF" wp14:editId="3327F01F">
            <wp:extent cx="5943600" cy="7691755"/>
            <wp:effectExtent l="0" t="0" r="0" b="4445"/>
            <wp:docPr id="17" name="Picture 1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tretch>
                      <a:fillRect/>
                    </a:stretch>
                  </pic:blipFill>
                  <pic:spPr>
                    <a:xfrm>
                      <a:off x="0" y="0"/>
                      <a:ext cx="5943600" cy="7691755"/>
                    </a:xfrm>
                    <a:prstGeom prst="rect">
                      <a:avLst/>
                    </a:prstGeom>
                  </pic:spPr>
                </pic:pic>
              </a:graphicData>
            </a:graphic>
          </wp:inline>
        </w:drawing>
      </w:r>
    </w:p>
    <w:p w:rsidR="00687D29" w:rsidRDefault="00687D29" w:rsidP="0034085B">
      <w:pPr>
        <w:pStyle w:val="OrderBody"/>
      </w:pPr>
    </w:p>
    <w:p w:rsidR="00687D29" w:rsidRDefault="00687D29" w:rsidP="0034085B">
      <w:pPr>
        <w:pStyle w:val="OrderBody"/>
      </w:pPr>
      <w:r>
        <w:rPr>
          <w:noProof/>
        </w:rPr>
        <w:lastRenderedPageBreak/>
        <w:drawing>
          <wp:inline distT="0" distB="0" distL="0" distR="0" wp14:anchorId="0A7E7510" wp14:editId="305DAD06">
            <wp:extent cx="5943600" cy="7689850"/>
            <wp:effectExtent l="0" t="0" r="0" b="6350"/>
            <wp:docPr id="18" name="Picture 1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tretch>
                      <a:fillRect/>
                    </a:stretch>
                  </pic:blipFill>
                  <pic:spPr>
                    <a:xfrm>
                      <a:off x="0" y="0"/>
                      <a:ext cx="5943600" cy="7689850"/>
                    </a:xfrm>
                    <a:prstGeom prst="rect">
                      <a:avLst/>
                    </a:prstGeom>
                  </pic:spPr>
                </pic:pic>
              </a:graphicData>
            </a:graphic>
          </wp:inline>
        </w:drawing>
      </w:r>
    </w:p>
    <w:p w:rsidR="00687D29" w:rsidRDefault="00687D29" w:rsidP="0034085B">
      <w:pPr>
        <w:pStyle w:val="OrderBody"/>
      </w:pPr>
    </w:p>
    <w:p w:rsidR="00687D29" w:rsidRDefault="00687D29" w:rsidP="0034085B">
      <w:pPr>
        <w:pStyle w:val="OrderBody"/>
      </w:pPr>
      <w:r>
        <w:rPr>
          <w:noProof/>
        </w:rPr>
        <w:lastRenderedPageBreak/>
        <w:drawing>
          <wp:inline distT="0" distB="0" distL="0" distR="0" wp14:anchorId="77EA9793" wp14:editId="7DC5E23A">
            <wp:extent cx="5943600" cy="7691755"/>
            <wp:effectExtent l="0" t="0" r="0" b="4445"/>
            <wp:docPr id="19" name="Picture 1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stretch>
                      <a:fillRect/>
                    </a:stretch>
                  </pic:blipFill>
                  <pic:spPr>
                    <a:xfrm>
                      <a:off x="0" y="0"/>
                      <a:ext cx="5943600" cy="7691755"/>
                    </a:xfrm>
                    <a:prstGeom prst="rect">
                      <a:avLst/>
                    </a:prstGeom>
                  </pic:spPr>
                </pic:pic>
              </a:graphicData>
            </a:graphic>
          </wp:inline>
        </w:drawing>
      </w:r>
    </w:p>
    <w:p w:rsidR="00687D29" w:rsidRDefault="00687D29" w:rsidP="0034085B">
      <w:pPr>
        <w:pStyle w:val="OrderBody"/>
      </w:pPr>
    </w:p>
    <w:p w:rsidR="00687D29" w:rsidRDefault="00687D29" w:rsidP="0034085B">
      <w:pPr>
        <w:pStyle w:val="OrderBody"/>
      </w:pPr>
      <w:r>
        <w:rPr>
          <w:noProof/>
        </w:rPr>
        <w:lastRenderedPageBreak/>
        <w:drawing>
          <wp:inline distT="0" distB="0" distL="0" distR="0" wp14:anchorId="74901CA0" wp14:editId="57A72BB9">
            <wp:extent cx="5943600" cy="7689850"/>
            <wp:effectExtent l="0" t="0" r="0" b="6350"/>
            <wp:docPr id="20" name="Picture 2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stretch>
                      <a:fillRect/>
                    </a:stretch>
                  </pic:blipFill>
                  <pic:spPr>
                    <a:xfrm>
                      <a:off x="0" y="0"/>
                      <a:ext cx="5943600" cy="7689850"/>
                    </a:xfrm>
                    <a:prstGeom prst="rect">
                      <a:avLst/>
                    </a:prstGeom>
                  </pic:spPr>
                </pic:pic>
              </a:graphicData>
            </a:graphic>
          </wp:inline>
        </w:drawing>
      </w:r>
    </w:p>
    <w:p w:rsidR="00687D29" w:rsidRDefault="00687D29" w:rsidP="0034085B">
      <w:pPr>
        <w:pStyle w:val="OrderBody"/>
      </w:pPr>
    </w:p>
    <w:p w:rsidR="00687D29" w:rsidRDefault="00687D29" w:rsidP="0034085B">
      <w:pPr>
        <w:pStyle w:val="OrderBody"/>
      </w:pPr>
      <w:r>
        <w:rPr>
          <w:noProof/>
        </w:rPr>
        <w:lastRenderedPageBreak/>
        <w:drawing>
          <wp:inline distT="0" distB="0" distL="0" distR="0" wp14:anchorId="256A9F88" wp14:editId="0676E7C5">
            <wp:extent cx="5943600" cy="7689850"/>
            <wp:effectExtent l="0" t="0" r="0" b="6350"/>
            <wp:docPr id="21" name="Picture 2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stretch>
                      <a:fillRect/>
                    </a:stretch>
                  </pic:blipFill>
                  <pic:spPr>
                    <a:xfrm>
                      <a:off x="0" y="0"/>
                      <a:ext cx="5943600" cy="7689850"/>
                    </a:xfrm>
                    <a:prstGeom prst="rect">
                      <a:avLst/>
                    </a:prstGeom>
                  </pic:spPr>
                </pic:pic>
              </a:graphicData>
            </a:graphic>
          </wp:inline>
        </w:drawing>
      </w:r>
    </w:p>
    <w:p w:rsidR="00687D29" w:rsidRDefault="00687D29" w:rsidP="0034085B">
      <w:pPr>
        <w:pStyle w:val="OrderBody"/>
      </w:pPr>
    </w:p>
    <w:p w:rsidR="00687D29" w:rsidRDefault="00687D29" w:rsidP="0034085B">
      <w:pPr>
        <w:pStyle w:val="OrderBody"/>
      </w:pPr>
      <w:r>
        <w:rPr>
          <w:noProof/>
        </w:rPr>
        <w:lastRenderedPageBreak/>
        <w:drawing>
          <wp:inline distT="0" distB="0" distL="0" distR="0" wp14:anchorId="346E7967" wp14:editId="0D34326C">
            <wp:extent cx="5943600" cy="7691755"/>
            <wp:effectExtent l="0" t="0" r="0" b="4445"/>
            <wp:docPr id="22" name="Picture 2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tretch>
                      <a:fillRect/>
                    </a:stretch>
                  </pic:blipFill>
                  <pic:spPr>
                    <a:xfrm>
                      <a:off x="0" y="0"/>
                      <a:ext cx="5943600" cy="7691755"/>
                    </a:xfrm>
                    <a:prstGeom prst="rect">
                      <a:avLst/>
                    </a:prstGeom>
                  </pic:spPr>
                </pic:pic>
              </a:graphicData>
            </a:graphic>
          </wp:inline>
        </w:drawing>
      </w:r>
    </w:p>
    <w:p w:rsidR="00687D29" w:rsidRDefault="00687D29" w:rsidP="0034085B">
      <w:pPr>
        <w:pStyle w:val="OrderBody"/>
      </w:pPr>
    </w:p>
    <w:p w:rsidR="00687D29" w:rsidRDefault="00687D29" w:rsidP="0034085B">
      <w:pPr>
        <w:pStyle w:val="OrderBody"/>
      </w:pPr>
      <w:r>
        <w:rPr>
          <w:noProof/>
        </w:rPr>
        <w:lastRenderedPageBreak/>
        <w:drawing>
          <wp:inline distT="0" distB="0" distL="0" distR="0" wp14:anchorId="2306FA12" wp14:editId="5DB45888">
            <wp:extent cx="5943600" cy="7689850"/>
            <wp:effectExtent l="0" t="0" r="0" b="6350"/>
            <wp:docPr id="23" name="Picture 2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stretch>
                      <a:fillRect/>
                    </a:stretch>
                  </pic:blipFill>
                  <pic:spPr>
                    <a:xfrm>
                      <a:off x="0" y="0"/>
                      <a:ext cx="5943600" cy="7689850"/>
                    </a:xfrm>
                    <a:prstGeom prst="rect">
                      <a:avLst/>
                    </a:prstGeom>
                  </pic:spPr>
                </pic:pic>
              </a:graphicData>
            </a:graphic>
          </wp:inline>
        </w:drawing>
      </w:r>
    </w:p>
    <w:p w:rsidR="00687D29" w:rsidRDefault="00687D29" w:rsidP="0034085B">
      <w:pPr>
        <w:pStyle w:val="OrderBody"/>
      </w:pPr>
    </w:p>
    <w:p w:rsidR="00687D29" w:rsidRDefault="00687D29" w:rsidP="0034085B">
      <w:pPr>
        <w:pStyle w:val="OrderBody"/>
      </w:pPr>
      <w:r>
        <w:rPr>
          <w:noProof/>
        </w:rPr>
        <w:lastRenderedPageBreak/>
        <w:drawing>
          <wp:inline distT="0" distB="0" distL="0" distR="0" wp14:anchorId="457E4DC7" wp14:editId="197A9CF8">
            <wp:extent cx="5943600" cy="7691755"/>
            <wp:effectExtent l="0" t="0" r="0" b="4445"/>
            <wp:docPr id="24" name="Picture 2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stretch>
                      <a:fillRect/>
                    </a:stretch>
                  </pic:blipFill>
                  <pic:spPr>
                    <a:xfrm>
                      <a:off x="0" y="0"/>
                      <a:ext cx="5943600" cy="7691755"/>
                    </a:xfrm>
                    <a:prstGeom prst="rect">
                      <a:avLst/>
                    </a:prstGeom>
                  </pic:spPr>
                </pic:pic>
              </a:graphicData>
            </a:graphic>
          </wp:inline>
        </w:drawing>
      </w:r>
    </w:p>
    <w:p w:rsidR="00687D29" w:rsidRDefault="00687D29" w:rsidP="0034085B">
      <w:pPr>
        <w:pStyle w:val="OrderBody"/>
      </w:pPr>
    </w:p>
    <w:p w:rsidR="00687D29" w:rsidRDefault="00687D29" w:rsidP="0034085B">
      <w:pPr>
        <w:pStyle w:val="OrderBody"/>
      </w:pPr>
      <w:r>
        <w:rPr>
          <w:noProof/>
        </w:rPr>
        <w:lastRenderedPageBreak/>
        <w:drawing>
          <wp:inline distT="0" distB="0" distL="0" distR="0" wp14:anchorId="6F7DB1F1" wp14:editId="442053D3">
            <wp:extent cx="5943600" cy="7691755"/>
            <wp:effectExtent l="0" t="0" r="0" b="4445"/>
            <wp:docPr id="25" name="Picture 2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stretch>
                      <a:fillRect/>
                    </a:stretch>
                  </pic:blipFill>
                  <pic:spPr>
                    <a:xfrm>
                      <a:off x="0" y="0"/>
                      <a:ext cx="5943600" cy="7691755"/>
                    </a:xfrm>
                    <a:prstGeom prst="rect">
                      <a:avLst/>
                    </a:prstGeom>
                  </pic:spPr>
                </pic:pic>
              </a:graphicData>
            </a:graphic>
          </wp:inline>
        </w:drawing>
      </w:r>
    </w:p>
    <w:p w:rsidR="00687D29" w:rsidRDefault="00687D29" w:rsidP="0034085B">
      <w:pPr>
        <w:pStyle w:val="OrderBody"/>
      </w:pPr>
    </w:p>
    <w:p w:rsidR="00687D29" w:rsidRDefault="00687D29" w:rsidP="0034085B">
      <w:pPr>
        <w:pStyle w:val="OrderBody"/>
      </w:pPr>
      <w:r>
        <w:rPr>
          <w:noProof/>
        </w:rPr>
        <w:lastRenderedPageBreak/>
        <w:drawing>
          <wp:inline distT="0" distB="0" distL="0" distR="0" wp14:anchorId="4CEF4D3E" wp14:editId="13732947">
            <wp:extent cx="5943600" cy="7689850"/>
            <wp:effectExtent l="0" t="0" r="0" b="6350"/>
            <wp:docPr id="26" name="Picture 2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stretch>
                      <a:fillRect/>
                    </a:stretch>
                  </pic:blipFill>
                  <pic:spPr>
                    <a:xfrm>
                      <a:off x="0" y="0"/>
                      <a:ext cx="5943600" cy="7689850"/>
                    </a:xfrm>
                    <a:prstGeom prst="rect">
                      <a:avLst/>
                    </a:prstGeom>
                  </pic:spPr>
                </pic:pic>
              </a:graphicData>
            </a:graphic>
          </wp:inline>
        </w:drawing>
      </w:r>
    </w:p>
    <w:p w:rsidR="00687D29" w:rsidRDefault="00687D29" w:rsidP="0034085B">
      <w:pPr>
        <w:pStyle w:val="OrderBody"/>
      </w:pPr>
    </w:p>
    <w:p w:rsidR="00687D29" w:rsidRDefault="00687D29" w:rsidP="0034085B">
      <w:pPr>
        <w:pStyle w:val="OrderBody"/>
      </w:pPr>
      <w:r>
        <w:rPr>
          <w:noProof/>
        </w:rPr>
        <w:lastRenderedPageBreak/>
        <w:drawing>
          <wp:inline distT="0" distB="0" distL="0" distR="0" wp14:anchorId="7E61EA45" wp14:editId="0D6560FD">
            <wp:extent cx="5943600" cy="7691755"/>
            <wp:effectExtent l="0" t="0" r="0" b="4445"/>
            <wp:docPr id="27" name="Picture 2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stretch>
                      <a:fillRect/>
                    </a:stretch>
                  </pic:blipFill>
                  <pic:spPr>
                    <a:xfrm>
                      <a:off x="0" y="0"/>
                      <a:ext cx="5943600" cy="7691755"/>
                    </a:xfrm>
                    <a:prstGeom prst="rect">
                      <a:avLst/>
                    </a:prstGeom>
                  </pic:spPr>
                </pic:pic>
              </a:graphicData>
            </a:graphic>
          </wp:inline>
        </w:drawing>
      </w:r>
    </w:p>
    <w:p w:rsidR="00687D29" w:rsidRDefault="00687D29" w:rsidP="0034085B">
      <w:pPr>
        <w:pStyle w:val="OrderBody"/>
      </w:pPr>
    </w:p>
    <w:p w:rsidR="00687D29" w:rsidRDefault="00687D29" w:rsidP="0034085B">
      <w:pPr>
        <w:pStyle w:val="OrderBody"/>
      </w:pPr>
      <w:r>
        <w:rPr>
          <w:noProof/>
        </w:rPr>
        <w:lastRenderedPageBreak/>
        <w:drawing>
          <wp:inline distT="0" distB="0" distL="0" distR="0" wp14:anchorId="7B92B78D" wp14:editId="4698A065">
            <wp:extent cx="5943600" cy="7691755"/>
            <wp:effectExtent l="0" t="0" r="0" b="4445"/>
            <wp:docPr id="28" name="Picture 2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stretch>
                      <a:fillRect/>
                    </a:stretch>
                  </pic:blipFill>
                  <pic:spPr>
                    <a:xfrm>
                      <a:off x="0" y="0"/>
                      <a:ext cx="5943600" cy="7691755"/>
                    </a:xfrm>
                    <a:prstGeom prst="rect">
                      <a:avLst/>
                    </a:prstGeom>
                  </pic:spPr>
                </pic:pic>
              </a:graphicData>
            </a:graphic>
          </wp:inline>
        </w:drawing>
      </w:r>
    </w:p>
    <w:p w:rsidR="00687D29" w:rsidRDefault="00687D29" w:rsidP="0034085B">
      <w:pPr>
        <w:pStyle w:val="OrderBody"/>
      </w:pPr>
    </w:p>
    <w:p w:rsidR="00687D29" w:rsidRDefault="00687D29" w:rsidP="0034085B">
      <w:pPr>
        <w:pStyle w:val="OrderBody"/>
      </w:pPr>
      <w:r>
        <w:rPr>
          <w:noProof/>
        </w:rPr>
        <w:lastRenderedPageBreak/>
        <w:drawing>
          <wp:inline distT="0" distB="0" distL="0" distR="0" wp14:anchorId="5229F010" wp14:editId="2DEB652A">
            <wp:extent cx="5943600" cy="7691755"/>
            <wp:effectExtent l="0" t="0" r="0" b="4445"/>
            <wp:docPr id="29" name="Picture 2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stretch>
                      <a:fillRect/>
                    </a:stretch>
                  </pic:blipFill>
                  <pic:spPr>
                    <a:xfrm>
                      <a:off x="0" y="0"/>
                      <a:ext cx="5943600" cy="7691755"/>
                    </a:xfrm>
                    <a:prstGeom prst="rect">
                      <a:avLst/>
                    </a:prstGeom>
                  </pic:spPr>
                </pic:pic>
              </a:graphicData>
            </a:graphic>
          </wp:inline>
        </w:drawing>
      </w:r>
    </w:p>
    <w:p w:rsidR="00687D29" w:rsidRDefault="00687D29" w:rsidP="0034085B">
      <w:pPr>
        <w:pStyle w:val="OrderBody"/>
      </w:pPr>
    </w:p>
    <w:p w:rsidR="00687D29" w:rsidRDefault="00687D29" w:rsidP="0034085B">
      <w:pPr>
        <w:pStyle w:val="OrderBody"/>
      </w:pPr>
      <w:r>
        <w:rPr>
          <w:noProof/>
        </w:rPr>
        <w:lastRenderedPageBreak/>
        <w:drawing>
          <wp:inline distT="0" distB="0" distL="0" distR="0" wp14:anchorId="5639E71E" wp14:editId="066441DE">
            <wp:extent cx="5943600" cy="7691755"/>
            <wp:effectExtent l="0" t="0" r="0" b="4445"/>
            <wp:docPr id="30" name="Picture 3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a:stretch>
                      <a:fillRect/>
                    </a:stretch>
                  </pic:blipFill>
                  <pic:spPr>
                    <a:xfrm>
                      <a:off x="0" y="0"/>
                      <a:ext cx="5943600" cy="7691755"/>
                    </a:xfrm>
                    <a:prstGeom prst="rect">
                      <a:avLst/>
                    </a:prstGeom>
                  </pic:spPr>
                </pic:pic>
              </a:graphicData>
            </a:graphic>
          </wp:inline>
        </w:drawing>
      </w:r>
    </w:p>
    <w:p w:rsidR="00687D29" w:rsidRDefault="00687D29" w:rsidP="0034085B">
      <w:pPr>
        <w:pStyle w:val="OrderBody"/>
      </w:pPr>
    </w:p>
    <w:p w:rsidR="00687D29" w:rsidRDefault="00687D29" w:rsidP="0034085B">
      <w:pPr>
        <w:pStyle w:val="OrderBody"/>
      </w:pPr>
      <w:r>
        <w:rPr>
          <w:noProof/>
        </w:rPr>
        <w:lastRenderedPageBreak/>
        <w:drawing>
          <wp:inline distT="0" distB="0" distL="0" distR="0" wp14:anchorId="78234FB6" wp14:editId="7DB5DF64">
            <wp:extent cx="5943600" cy="7691755"/>
            <wp:effectExtent l="0" t="0" r="0" b="4445"/>
            <wp:docPr id="31" name="Picture 3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stretch>
                      <a:fillRect/>
                    </a:stretch>
                  </pic:blipFill>
                  <pic:spPr>
                    <a:xfrm>
                      <a:off x="0" y="0"/>
                      <a:ext cx="5943600" cy="7691755"/>
                    </a:xfrm>
                    <a:prstGeom prst="rect">
                      <a:avLst/>
                    </a:prstGeom>
                  </pic:spPr>
                </pic:pic>
              </a:graphicData>
            </a:graphic>
          </wp:inline>
        </w:drawing>
      </w:r>
    </w:p>
    <w:p w:rsidR="00687D29" w:rsidRDefault="00687D29" w:rsidP="0034085B">
      <w:pPr>
        <w:pStyle w:val="OrderBody"/>
      </w:pPr>
    </w:p>
    <w:p w:rsidR="00687D29" w:rsidRDefault="00687D29" w:rsidP="0034085B">
      <w:pPr>
        <w:pStyle w:val="OrderBody"/>
      </w:pPr>
      <w:r>
        <w:rPr>
          <w:noProof/>
        </w:rPr>
        <w:lastRenderedPageBreak/>
        <w:drawing>
          <wp:inline distT="0" distB="0" distL="0" distR="0" wp14:anchorId="2D5312A6" wp14:editId="66FF3561">
            <wp:extent cx="5943600" cy="7691755"/>
            <wp:effectExtent l="0" t="0" r="0" b="4445"/>
            <wp:docPr id="32" name="Picture 3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a:stretch>
                      <a:fillRect/>
                    </a:stretch>
                  </pic:blipFill>
                  <pic:spPr>
                    <a:xfrm>
                      <a:off x="0" y="0"/>
                      <a:ext cx="5943600" cy="7691755"/>
                    </a:xfrm>
                    <a:prstGeom prst="rect">
                      <a:avLst/>
                    </a:prstGeom>
                  </pic:spPr>
                </pic:pic>
              </a:graphicData>
            </a:graphic>
          </wp:inline>
        </w:drawing>
      </w:r>
    </w:p>
    <w:p w:rsidR="00687D29" w:rsidRDefault="00687D29" w:rsidP="0034085B">
      <w:pPr>
        <w:pStyle w:val="OrderBody"/>
      </w:pPr>
    </w:p>
    <w:p w:rsidR="00687D29" w:rsidRDefault="00687D29" w:rsidP="0034085B">
      <w:pPr>
        <w:pStyle w:val="OrderBody"/>
      </w:pPr>
      <w:r>
        <w:rPr>
          <w:noProof/>
        </w:rPr>
        <w:lastRenderedPageBreak/>
        <w:drawing>
          <wp:inline distT="0" distB="0" distL="0" distR="0" wp14:anchorId="3B849A94" wp14:editId="692AF123">
            <wp:extent cx="5943600" cy="7689850"/>
            <wp:effectExtent l="0" t="0" r="0" b="6350"/>
            <wp:docPr id="33" name="Picture 3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stretch>
                      <a:fillRect/>
                    </a:stretch>
                  </pic:blipFill>
                  <pic:spPr>
                    <a:xfrm>
                      <a:off x="0" y="0"/>
                      <a:ext cx="5943600" cy="7689850"/>
                    </a:xfrm>
                    <a:prstGeom prst="rect">
                      <a:avLst/>
                    </a:prstGeom>
                  </pic:spPr>
                </pic:pic>
              </a:graphicData>
            </a:graphic>
          </wp:inline>
        </w:drawing>
      </w:r>
    </w:p>
    <w:p w:rsidR="00687D29" w:rsidRDefault="00687D29" w:rsidP="0034085B">
      <w:pPr>
        <w:pStyle w:val="OrderBody"/>
      </w:pPr>
    </w:p>
    <w:p w:rsidR="00687D29" w:rsidRDefault="001662B7" w:rsidP="0034085B">
      <w:pPr>
        <w:pStyle w:val="OrderBody"/>
      </w:pPr>
      <w:r>
        <w:rPr>
          <w:noProof/>
        </w:rPr>
        <w:lastRenderedPageBreak/>
        <w:drawing>
          <wp:inline distT="0" distB="0" distL="0" distR="0" wp14:anchorId="4A3EF654" wp14:editId="6C7CCF8D">
            <wp:extent cx="5943600" cy="7689850"/>
            <wp:effectExtent l="0" t="0" r="0" b="6350"/>
            <wp:docPr id="34" name="Picture 3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a:stretch>
                      <a:fillRect/>
                    </a:stretch>
                  </pic:blipFill>
                  <pic:spPr>
                    <a:xfrm>
                      <a:off x="0" y="0"/>
                      <a:ext cx="5943600" cy="7689850"/>
                    </a:xfrm>
                    <a:prstGeom prst="rect">
                      <a:avLst/>
                    </a:prstGeom>
                  </pic:spPr>
                </pic:pic>
              </a:graphicData>
            </a:graphic>
          </wp:inline>
        </w:drawing>
      </w:r>
    </w:p>
    <w:p w:rsidR="001662B7" w:rsidRDefault="001662B7" w:rsidP="0034085B">
      <w:pPr>
        <w:pStyle w:val="OrderBody"/>
      </w:pPr>
    </w:p>
    <w:p w:rsidR="001662B7" w:rsidRDefault="001662B7" w:rsidP="0034085B">
      <w:pPr>
        <w:pStyle w:val="OrderBody"/>
      </w:pPr>
      <w:r>
        <w:rPr>
          <w:noProof/>
        </w:rPr>
        <w:lastRenderedPageBreak/>
        <w:drawing>
          <wp:inline distT="0" distB="0" distL="0" distR="0" wp14:anchorId="50FCB0BB" wp14:editId="0914DF83">
            <wp:extent cx="5943600" cy="7689850"/>
            <wp:effectExtent l="0" t="0" r="0" b="6350"/>
            <wp:docPr id="35" name="Picture 3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stretch>
                      <a:fillRect/>
                    </a:stretch>
                  </pic:blipFill>
                  <pic:spPr>
                    <a:xfrm>
                      <a:off x="0" y="0"/>
                      <a:ext cx="5943600" cy="7689850"/>
                    </a:xfrm>
                    <a:prstGeom prst="rect">
                      <a:avLst/>
                    </a:prstGeom>
                  </pic:spPr>
                </pic:pic>
              </a:graphicData>
            </a:graphic>
          </wp:inline>
        </w:drawing>
      </w:r>
    </w:p>
    <w:p w:rsidR="001662B7" w:rsidRDefault="001662B7" w:rsidP="0034085B">
      <w:pPr>
        <w:pStyle w:val="OrderBody"/>
      </w:pPr>
    </w:p>
    <w:p w:rsidR="001662B7" w:rsidRDefault="001662B7" w:rsidP="0034085B">
      <w:pPr>
        <w:pStyle w:val="OrderBody"/>
      </w:pPr>
      <w:r>
        <w:rPr>
          <w:noProof/>
        </w:rPr>
        <w:lastRenderedPageBreak/>
        <w:drawing>
          <wp:inline distT="0" distB="0" distL="0" distR="0" wp14:anchorId="323E8D6D" wp14:editId="24C449F1">
            <wp:extent cx="5943600" cy="7689850"/>
            <wp:effectExtent l="0" t="0" r="0" b="6350"/>
            <wp:docPr id="36" name="Picture 3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a:stretch>
                      <a:fillRect/>
                    </a:stretch>
                  </pic:blipFill>
                  <pic:spPr>
                    <a:xfrm>
                      <a:off x="0" y="0"/>
                      <a:ext cx="5943600" cy="7689850"/>
                    </a:xfrm>
                    <a:prstGeom prst="rect">
                      <a:avLst/>
                    </a:prstGeom>
                  </pic:spPr>
                </pic:pic>
              </a:graphicData>
            </a:graphic>
          </wp:inline>
        </w:drawing>
      </w:r>
    </w:p>
    <w:p w:rsidR="001662B7" w:rsidRDefault="001662B7" w:rsidP="0034085B">
      <w:pPr>
        <w:pStyle w:val="OrderBody"/>
      </w:pPr>
    </w:p>
    <w:p w:rsidR="001662B7" w:rsidRDefault="001662B7" w:rsidP="0034085B">
      <w:pPr>
        <w:pStyle w:val="OrderBody"/>
      </w:pPr>
      <w:r>
        <w:rPr>
          <w:noProof/>
        </w:rPr>
        <w:lastRenderedPageBreak/>
        <w:drawing>
          <wp:inline distT="0" distB="0" distL="0" distR="0" wp14:anchorId="4F4BA633" wp14:editId="2433C2A1">
            <wp:extent cx="5943600" cy="7691755"/>
            <wp:effectExtent l="0" t="0" r="0" b="4445"/>
            <wp:docPr id="37" name="Picture 3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a:stretch>
                      <a:fillRect/>
                    </a:stretch>
                  </pic:blipFill>
                  <pic:spPr>
                    <a:xfrm>
                      <a:off x="0" y="0"/>
                      <a:ext cx="5943600" cy="7691755"/>
                    </a:xfrm>
                    <a:prstGeom prst="rect">
                      <a:avLst/>
                    </a:prstGeom>
                  </pic:spPr>
                </pic:pic>
              </a:graphicData>
            </a:graphic>
          </wp:inline>
        </w:drawing>
      </w:r>
    </w:p>
    <w:p w:rsidR="001662B7" w:rsidRDefault="001662B7" w:rsidP="0034085B">
      <w:pPr>
        <w:pStyle w:val="OrderBody"/>
      </w:pPr>
    </w:p>
    <w:p w:rsidR="001662B7" w:rsidRDefault="001662B7" w:rsidP="0034085B">
      <w:pPr>
        <w:pStyle w:val="OrderBody"/>
      </w:pPr>
      <w:r>
        <w:rPr>
          <w:noProof/>
        </w:rPr>
        <w:lastRenderedPageBreak/>
        <w:drawing>
          <wp:inline distT="0" distB="0" distL="0" distR="0" wp14:anchorId="39A8A88B" wp14:editId="1656C1CD">
            <wp:extent cx="5943600" cy="7691755"/>
            <wp:effectExtent l="0" t="0" r="0" b="4445"/>
            <wp:docPr id="38" name="Picture 3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a:stretch>
                      <a:fillRect/>
                    </a:stretch>
                  </pic:blipFill>
                  <pic:spPr>
                    <a:xfrm>
                      <a:off x="0" y="0"/>
                      <a:ext cx="5943600" cy="7691755"/>
                    </a:xfrm>
                    <a:prstGeom prst="rect">
                      <a:avLst/>
                    </a:prstGeom>
                  </pic:spPr>
                </pic:pic>
              </a:graphicData>
            </a:graphic>
          </wp:inline>
        </w:drawing>
      </w:r>
    </w:p>
    <w:p w:rsidR="001662B7" w:rsidRDefault="001662B7" w:rsidP="0034085B">
      <w:pPr>
        <w:pStyle w:val="OrderBody"/>
      </w:pPr>
    </w:p>
    <w:p w:rsidR="001662B7" w:rsidRDefault="001662B7" w:rsidP="0034085B">
      <w:pPr>
        <w:pStyle w:val="OrderBody"/>
      </w:pPr>
      <w:r>
        <w:rPr>
          <w:noProof/>
        </w:rPr>
        <w:lastRenderedPageBreak/>
        <w:drawing>
          <wp:inline distT="0" distB="0" distL="0" distR="0" wp14:anchorId="19101169" wp14:editId="1878B7E6">
            <wp:extent cx="5943600" cy="7691755"/>
            <wp:effectExtent l="0" t="0" r="0" b="4445"/>
            <wp:docPr id="39" name="Picture 3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a:stretch>
                      <a:fillRect/>
                    </a:stretch>
                  </pic:blipFill>
                  <pic:spPr>
                    <a:xfrm>
                      <a:off x="0" y="0"/>
                      <a:ext cx="5943600" cy="7691755"/>
                    </a:xfrm>
                    <a:prstGeom prst="rect">
                      <a:avLst/>
                    </a:prstGeom>
                  </pic:spPr>
                </pic:pic>
              </a:graphicData>
            </a:graphic>
          </wp:inline>
        </w:drawing>
      </w:r>
    </w:p>
    <w:p w:rsidR="001662B7" w:rsidRDefault="001662B7" w:rsidP="0034085B">
      <w:pPr>
        <w:pStyle w:val="OrderBody"/>
      </w:pPr>
    </w:p>
    <w:p w:rsidR="001662B7" w:rsidRDefault="001662B7" w:rsidP="0034085B">
      <w:pPr>
        <w:pStyle w:val="OrderBody"/>
      </w:pPr>
      <w:r>
        <w:rPr>
          <w:noProof/>
        </w:rPr>
        <w:lastRenderedPageBreak/>
        <w:drawing>
          <wp:inline distT="0" distB="0" distL="0" distR="0" wp14:anchorId="021589D1" wp14:editId="0F54D917">
            <wp:extent cx="5943600" cy="7691755"/>
            <wp:effectExtent l="0" t="0" r="0" b="4445"/>
            <wp:docPr id="40" name="Picture 4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a:stretch>
                      <a:fillRect/>
                    </a:stretch>
                  </pic:blipFill>
                  <pic:spPr>
                    <a:xfrm>
                      <a:off x="0" y="0"/>
                      <a:ext cx="5943600" cy="7691755"/>
                    </a:xfrm>
                    <a:prstGeom prst="rect">
                      <a:avLst/>
                    </a:prstGeom>
                  </pic:spPr>
                </pic:pic>
              </a:graphicData>
            </a:graphic>
          </wp:inline>
        </w:drawing>
      </w:r>
    </w:p>
    <w:p w:rsidR="001662B7" w:rsidRDefault="001662B7" w:rsidP="0034085B">
      <w:pPr>
        <w:pStyle w:val="OrderBody"/>
      </w:pPr>
    </w:p>
    <w:p w:rsidR="001662B7" w:rsidRDefault="001662B7" w:rsidP="0034085B">
      <w:pPr>
        <w:pStyle w:val="OrderBody"/>
      </w:pPr>
      <w:r>
        <w:rPr>
          <w:noProof/>
        </w:rPr>
        <w:lastRenderedPageBreak/>
        <w:drawing>
          <wp:inline distT="0" distB="0" distL="0" distR="0" wp14:anchorId="1A4C2F3C" wp14:editId="77BCC7A4">
            <wp:extent cx="5943600" cy="7689850"/>
            <wp:effectExtent l="0" t="0" r="0" b="6350"/>
            <wp:docPr id="41" name="Picture 4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a:stretch>
                      <a:fillRect/>
                    </a:stretch>
                  </pic:blipFill>
                  <pic:spPr>
                    <a:xfrm>
                      <a:off x="0" y="0"/>
                      <a:ext cx="5943600" cy="7689850"/>
                    </a:xfrm>
                    <a:prstGeom prst="rect">
                      <a:avLst/>
                    </a:prstGeom>
                  </pic:spPr>
                </pic:pic>
              </a:graphicData>
            </a:graphic>
          </wp:inline>
        </w:drawing>
      </w:r>
    </w:p>
    <w:p w:rsidR="001662B7" w:rsidRDefault="001662B7" w:rsidP="0034085B">
      <w:pPr>
        <w:pStyle w:val="OrderBody"/>
      </w:pPr>
    </w:p>
    <w:p w:rsidR="001662B7" w:rsidRPr="0034085B" w:rsidRDefault="001662B7" w:rsidP="0034085B">
      <w:pPr>
        <w:pStyle w:val="OrderBody"/>
      </w:pPr>
      <w:r>
        <w:rPr>
          <w:noProof/>
        </w:rPr>
        <w:lastRenderedPageBreak/>
        <w:drawing>
          <wp:inline distT="0" distB="0" distL="0" distR="0" wp14:anchorId="58113CFE" wp14:editId="285DCE8A">
            <wp:extent cx="5943600" cy="7691755"/>
            <wp:effectExtent l="0" t="0" r="0" b="4445"/>
            <wp:docPr id="42" name="Picture 4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
                    <a:stretch>
                      <a:fillRect/>
                    </a:stretch>
                  </pic:blipFill>
                  <pic:spPr>
                    <a:xfrm>
                      <a:off x="0" y="0"/>
                      <a:ext cx="5943600" cy="7691755"/>
                    </a:xfrm>
                    <a:prstGeom prst="rect">
                      <a:avLst/>
                    </a:prstGeom>
                  </pic:spPr>
                </pic:pic>
              </a:graphicData>
            </a:graphic>
          </wp:inline>
        </w:drawing>
      </w:r>
    </w:p>
    <w:sectPr w:rsidR="001662B7" w:rsidRPr="0034085B">
      <w:headerReference w:type="default" r:id="rId50"/>
      <w:headerReference w:type="first" r:id="rId51"/>
      <w:pgSz w:w="12240" w:h="15840" w:code="1"/>
      <w:pgMar w:top="1440" w:right="1440" w:bottom="1440" w:left="1440"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BE1962" w:rsidRDefault="00BE1962">
      <w:r>
        <w:separator/>
      </w:r>
    </w:p>
  </w:endnote>
  <w:endnote w:type="continuationSeparator" w:id="0">
    <w:p w:rsidR="00BE1962" w:rsidRDefault="00BE196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Math">
    <w:panose1 w:val="02040503050406030204"/>
    <w:charset w:val="00"/>
    <w:family w:val="roman"/>
    <w:pitch w:val="variable"/>
    <w:sig w:usb0="E00006FF" w:usb1="420024FF" w:usb2="02000000" w:usb3="00000000" w:csb0="0000019F"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A6EFD" w:rsidRDefault="00FA6EFD">
    <w:pPr>
      <w:pStyle w:val="Footer"/>
    </w:pPr>
  </w:p>
  <w:p w:rsidR="00FA6EFD" w:rsidRDefault="00FA6EFD">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BE1962" w:rsidRDefault="00BE1962">
      <w:r>
        <w:separator/>
      </w:r>
    </w:p>
  </w:footnote>
  <w:footnote w:type="continuationSeparator" w:id="0">
    <w:p w:rsidR="00BE1962" w:rsidRDefault="00BE1962">
      <w:r>
        <w:continuationSeparator/>
      </w:r>
    </w:p>
  </w:footnote>
  <w:footnote w:id="1">
    <w:p w:rsidR="00BE1962" w:rsidRDefault="00BE1962" w:rsidP="00BE1962">
      <w:pPr>
        <w:pStyle w:val="FootnoteText"/>
      </w:pPr>
      <w:r>
        <w:rPr>
          <w:rStyle w:val="FootnoteReference"/>
        </w:rPr>
        <w:footnoteRef/>
      </w:r>
      <w:r w:rsidR="00877229">
        <w:t xml:space="preserve"> </w:t>
      </w:r>
      <w:r>
        <w:t xml:space="preserve">Order No. </w:t>
      </w:r>
      <w:r w:rsidRPr="006B386D">
        <w:t>PSC-2018-0316-PAA-EQ</w:t>
      </w:r>
      <w:r>
        <w:t xml:space="preserve">, issued June 20, 2018, in Docket No. </w:t>
      </w:r>
      <w:r w:rsidRPr="006B386D">
        <w:t>20180083</w:t>
      </w:r>
      <w:r>
        <w:t xml:space="preserve">-EQ, In re: </w:t>
      </w:r>
      <w:r w:rsidRPr="00914B03">
        <w:rPr>
          <w:i/>
          <w:iCs/>
        </w:rPr>
        <w:t>Petition for approval of</w:t>
      </w:r>
      <w:r>
        <w:rPr>
          <w:i/>
          <w:iCs/>
        </w:rPr>
        <w:t xml:space="preserve"> </w:t>
      </w:r>
      <w:r w:rsidRPr="00914B03">
        <w:rPr>
          <w:i/>
          <w:iCs/>
        </w:rPr>
        <w:t>renewable energy tariff and standard offer contract, by Florida Power &amp; Light Company</w:t>
      </w:r>
      <w:r>
        <w:t>.</w:t>
      </w:r>
    </w:p>
  </w:footnote>
  <w:footnote w:id="2">
    <w:p w:rsidR="00BE1962" w:rsidRDefault="00BE1962" w:rsidP="00BE1962">
      <w:pPr>
        <w:pStyle w:val="FootnoteText"/>
      </w:pPr>
      <w:r>
        <w:rPr>
          <w:rStyle w:val="FootnoteReference"/>
        </w:rPr>
        <w:footnoteRef/>
      </w:r>
      <w:r w:rsidR="001F0BB5">
        <w:t xml:space="preserve"> </w:t>
      </w:r>
      <w:r>
        <w:t xml:space="preserve">Document </w:t>
      </w:r>
      <w:r w:rsidRPr="000270F1">
        <w:t>No. 02347-2020, filed May 1, 2020 in Docket</w:t>
      </w:r>
      <w:r>
        <w:t xml:space="preserve"> No. </w:t>
      </w:r>
      <w:r w:rsidRPr="004D62A2">
        <w:t>20200115</w:t>
      </w:r>
      <w:r>
        <w:t>-EQ.</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A6EFD" w:rsidRDefault="00FA6EFD">
    <w:pPr>
      <w:pStyle w:val="OrderHeader"/>
    </w:pPr>
    <w:r>
      <w:t xml:space="preserve">ORDER NO. </w:t>
    </w:r>
    <w:fldSimple w:instr=" REF OrderNo0213 ">
      <w:r w:rsidR="00F159FD">
        <w:t>PSC-2020-0213-PAA-EQ</w:t>
      </w:r>
    </w:fldSimple>
  </w:p>
  <w:p w:rsidR="00FA6EFD" w:rsidRDefault="00BE1962">
    <w:pPr>
      <w:pStyle w:val="OrderHeader"/>
    </w:pPr>
    <w:bookmarkStart w:id="9" w:name="HeaderDocketNo"/>
    <w:bookmarkEnd w:id="9"/>
    <w:r>
      <w:t>DOCKET NO. 20200115-EQ</w:t>
    </w:r>
  </w:p>
  <w:p w:rsidR="00FA6EFD" w:rsidRDefault="00FA6EFD">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F159FD">
      <w:rPr>
        <w:rStyle w:val="PageNumber"/>
        <w:noProof/>
      </w:rPr>
      <w:t>6</w:t>
    </w:r>
    <w:r>
      <w:rPr>
        <w:rStyle w:val="PageNumber"/>
      </w:rPr>
      <w:fldChar w:fldCharType="end"/>
    </w:r>
  </w:p>
  <w:p w:rsidR="00FA6EFD" w:rsidRDefault="00FA6EFD">
    <w:pPr>
      <w:pStyle w:val="OrderHeader"/>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C440D" w:rsidRDefault="005C440D" w:rsidP="005C440D">
    <w:pPr>
      <w:pStyle w:val="OrderHeader"/>
      <w:tabs>
        <w:tab w:val="left" w:pos="7200"/>
      </w:tabs>
    </w:pPr>
    <w:r>
      <w:t xml:space="preserve">ORDER NO. </w:t>
    </w:r>
    <w:r w:rsidR="00134EA9">
      <w:t>PSC-2020-0213-PAA-EQ</w:t>
    </w:r>
    <w:r>
      <w:tab/>
    </w:r>
    <w:r>
      <w:tab/>
      <w:t>Attachment A</w:t>
    </w:r>
  </w:p>
  <w:p w:rsidR="005C440D" w:rsidRDefault="005C440D">
    <w:pPr>
      <w:pStyle w:val="OrderHeader"/>
    </w:pPr>
    <w:r>
      <w:t>DOCKET NO. 20200115-EQ</w:t>
    </w:r>
  </w:p>
  <w:p w:rsidR="005C440D" w:rsidRDefault="005C440D">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F159FD">
      <w:rPr>
        <w:rStyle w:val="PageNumber"/>
        <w:noProof/>
      </w:rPr>
      <w:t>21</w:t>
    </w:r>
    <w:r>
      <w:rPr>
        <w:rStyle w:val="PageNumber"/>
      </w:rPr>
      <w:fldChar w:fldCharType="end"/>
    </w:r>
  </w:p>
  <w:p w:rsidR="005C440D" w:rsidRDefault="005C440D">
    <w:pPr>
      <w:pStyle w:val="OrderHeader"/>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4085B" w:rsidRDefault="0034085B" w:rsidP="0034085B">
    <w:pPr>
      <w:pStyle w:val="OrderHeader"/>
      <w:tabs>
        <w:tab w:val="left" w:pos="7200"/>
      </w:tabs>
    </w:pPr>
    <w:r>
      <w:t xml:space="preserve">ORDER NO. </w:t>
    </w:r>
    <w:r w:rsidR="00134EA9">
      <w:t>PSC-2020-0213-PAA-EQ</w:t>
    </w:r>
    <w:r>
      <w:tab/>
    </w:r>
    <w:r w:rsidR="00134EA9">
      <w:t xml:space="preserve">                                                                    </w:t>
    </w:r>
    <w:r>
      <w:t>Attachment A</w:t>
    </w:r>
  </w:p>
  <w:p w:rsidR="0034085B" w:rsidRDefault="0034085B" w:rsidP="0034085B">
    <w:pPr>
      <w:pStyle w:val="OrderHeader"/>
    </w:pPr>
    <w:r>
      <w:t>DOCKET NO. 20200115-EQ</w:t>
    </w:r>
  </w:p>
  <w:p w:rsidR="0034085B" w:rsidRDefault="0034085B" w:rsidP="0034085B">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F159FD">
      <w:rPr>
        <w:rStyle w:val="PageNumber"/>
        <w:noProof/>
      </w:rPr>
      <w:t>7</w:t>
    </w:r>
    <w:r>
      <w:rPr>
        <w:rStyle w:val="PageNumber"/>
      </w:rPr>
      <w:fldChar w:fldCharType="end"/>
    </w:r>
  </w:p>
  <w:p w:rsidR="0034085B" w:rsidRDefault="0034085B">
    <w:pPr>
      <w:pStyle w:val="Heade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20"/>
  <w:removePersonalInformation/>
  <w:removeDateAndTime/>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rawingGridHorizontalSpacing w:val="120"/>
  <w:displayHorizontalDrawingGridEvery w:val="2"/>
  <w:displayVerticalDrawingGridEvery w:val="2"/>
  <w:characterSpacingControl w:val="doNotCompress"/>
  <w:hdrShapeDefaults>
    <o:shapedefaults v:ext="edit" spidmax="8193"/>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dgnword-docGUID" w:val="{2602033C-50AE-4923-ACD2-6D1619DC4E4C}"/>
    <w:docVar w:name="dgnword-eventsink" w:val="374508672"/>
    <w:docVar w:name="Dockets" w:val="20200115-EQ"/>
  </w:docVars>
  <w:rsids>
    <w:rsidRoot w:val="00BE1962"/>
    <w:rsid w:val="000022B8"/>
    <w:rsid w:val="00025C9D"/>
    <w:rsid w:val="0003433F"/>
    <w:rsid w:val="00035A8C"/>
    <w:rsid w:val="00036BDD"/>
    <w:rsid w:val="00053AB9"/>
    <w:rsid w:val="00056229"/>
    <w:rsid w:val="00057AF1"/>
    <w:rsid w:val="00065FC2"/>
    <w:rsid w:val="00067685"/>
    <w:rsid w:val="00067B07"/>
    <w:rsid w:val="000730D7"/>
    <w:rsid w:val="00076E6B"/>
    <w:rsid w:val="00081AE4"/>
    <w:rsid w:val="0008247D"/>
    <w:rsid w:val="00090AFC"/>
    <w:rsid w:val="00096507"/>
    <w:rsid w:val="000B783E"/>
    <w:rsid w:val="000B7D81"/>
    <w:rsid w:val="000C1994"/>
    <w:rsid w:val="000C6926"/>
    <w:rsid w:val="000D02B8"/>
    <w:rsid w:val="000D06E8"/>
    <w:rsid w:val="000D78FB"/>
    <w:rsid w:val="000E050C"/>
    <w:rsid w:val="000E20F0"/>
    <w:rsid w:val="000E344D"/>
    <w:rsid w:val="000E3F6D"/>
    <w:rsid w:val="000E7A2A"/>
    <w:rsid w:val="000F359F"/>
    <w:rsid w:val="000F3B2C"/>
    <w:rsid w:val="000F3F6C"/>
    <w:rsid w:val="000F63EB"/>
    <w:rsid w:val="000F648A"/>
    <w:rsid w:val="000F7BE3"/>
    <w:rsid w:val="001052BA"/>
    <w:rsid w:val="001107B3"/>
    <w:rsid w:val="001114B1"/>
    <w:rsid w:val="001139D8"/>
    <w:rsid w:val="00116AD3"/>
    <w:rsid w:val="00121957"/>
    <w:rsid w:val="0012387E"/>
    <w:rsid w:val="00126593"/>
    <w:rsid w:val="00134EA9"/>
    <w:rsid w:val="00136087"/>
    <w:rsid w:val="00142A96"/>
    <w:rsid w:val="001513DE"/>
    <w:rsid w:val="00154A71"/>
    <w:rsid w:val="00156E32"/>
    <w:rsid w:val="001655D4"/>
    <w:rsid w:val="001662B7"/>
    <w:rsid w:val="00187E32"/>
    <w:rsid w:val="00194A97"/>
    <w:rsid w:val="00194E81"/>
    <w:rsid w:val="001A15E7"/>
    <w:rsid w:val="001A33C9"/>
    <w:rsid w:val="001A58F3"/>
    <w:rsid w:val="001B034E"/>
    <w:rsid w:val="001C2847"/>
    <w:rsid w:val="001C3BB5"/>
    <w:rsid w:val="001C3F8C"/>
    <w:rsid w:val="001C6097"/>
    <w:rsid w:val="001C7126"/>
    <w:rsid w:val="001D008A"/>
    <w:rsid w:val="001E0152"/>
    <w:rsid w:val="001E0FF5"/>
    <w:rsid w:val="001F0BB5"/>
    <w:rsid w:val="001F4CA3"/>
    <w:rsid w:val="002002ED"/>
    <w:rsid w:val="002170E5"/>
    <w:rsid w:val="00220D57"/>
    <w:rsid w:val="0022721A"/>
    <w:rsid w:val="00230BB9"/>
    <w:rsid w:val="00241CEF"/>
    <w:rsid w:val="0025124E"/>
    <w:rsid w:val="00252B30"/>
    <w:rsid w:val="002613E4"/>
    <w:rsid w:val="0026544B"/>
    <w:rsid w:val="00276CDC"/>
    <w:rsid w:val="00277655"/>
    <w:rsid w:val="002824B7"/>
    <w:rsid w:val="00282AC4"/>
    <w:rsid w:val="00293DC9"/>
    <w:rsid w:val="002A11AC"/>
    <w:rsid w:val="002A6F30"/>
    <w:rsid w:val="002B3111"/>
    <w:rsid w:val="002C2096"/>
    <w:rsid w:val="002C7908"/>
    <w:rsid w:val="002D391B"/>
    <w:rsid w:val="002D4B1F"/>
    <w:rsid w:val="002D7D15"/>
    <w:rsid w:val="002E1B2E"/>
    <w:rsid w:val="002E27EB"/>
    <w:rsid w:val="002F2A9D"/>
    <w:rsid w:val="002F31C2"/>
    <w:rsid w:val="002F7BF6"/>
    <w:rsid w:val="00303FDE"/>
    <w:rsid w:val="00313C5B"/>
    <w:rsid w:val="003140E8"/>
    <w:rsid w:val="003231C7"/>
    <w:rsid w:val="00323839"/>
    <w:rsid w:val="003270C4"/>
    <w:rsid w:val="00331ED0"/>
    <w:rsid w:val="00332B0A"/>
    <w:rsid w:val="00333A41"/>
    <w:rsid w:val="0034085B"/>
    <w:rsid w:val="00345434"/>
    <w:rsid w:val="0035495B"/>
    <w:rsid w:val="00354CFD"/>
    <w:rsid w:val="00355A93"/>
    <w:rsid w:val="00361522"/>
    <w:rsid w:val="003618D2"/>
    <w:rsid w:val="0037196E"/>
    <w:rsid w:val="003744F5"/>
    <w:rsid w:val="003875A9"/>
    <w:rsid w:val="00387BDE"/>
    <w:rsid w:val="00390DD8"/>
    <w:rsid w:val="00394DC6"/>
    <w:rsid w:val="00397C3E"/>
    <w:rsid w:val="003B1A09"/>
    <w:rsid w:val="003C7D05"/>
    <w:rsid w:val="003D1912"/>
    <w:rsid w:val="003D4CCA"/>
    <w:rsid w:val="003D52A6"/>
    <w:rsid w:val="003D6416"/>
    <w:rsid w:val="003E1D48"/>
    <w:rsid w:val="003E711F"/>
    <w:rsid w:val="003F1D2B"/>
    <w:rsid w:val="00411DF2"/>
    <w:rsid w:val="00411E8F"/>
    <w:rsid w:val="004247F5"/>
    <w:rsid w:val="0042527B"/>
    <w:rsid w:val="00427EAC"/>
    <w:rsid w:val="004431B4"/>
    <w:rsid w:val="0045537F"/>
    <w:rsid w:val="00457DC7"/>
    <w:rsid w:val="004640B3"/>
    <w:rsid w:val="00472BCC"/>
    <w:rsid w:val="004A25CD"/>
    <w:rsid w:val="004A26CC"/>
    <w:rsid w:val="004B2108"/>
    <w:rsid w:val="004B3A2B"/>
    <w:rsid w:val="004B70D3"/>
    <w:rsid w:val="004C312D"/>
    <w:rsid w:val="004D2D1B"/>
    <w:rsid w:val="004D5067"/>
    <w:rsid w:val="004D6838"/>
    <w:rsid w:val="004D72BC"/>
    <w:rsid w:val="004E469D"/>
    <w:rsid w:val="004E7F4F"/>
    <w:rsid w:val="004F2DDE"/>
    <w:rsid w:val="004F7826"/>
    <w:rsid w:val="0050097F"/>
    <w:rsid w:val="00514B1F"/>
    <w:rsid w:val="00523C5C"/>
    <w:rsid w:val="00525E93"/>
    <w:rsid w:val="0052671D"/>
    <w:rsid w:val="005300C0"/>
    <w:rsid w:val="00540E6B"/>
    <w:rsid w:val="0055595D"/>
    <w:rsid w:val="00556A10"/>
    <w:rsid w:val="00557F50"/>
    <w:rsid w:val="00561127"/>
    <w:rsid w:val="00571D3D"/>
    <w:rsid w:val="0058264B"/>
    <w:rsid w:val="005868AA"/>
    <w:rsid w:val="00590845"/>
    <w:rsid w:val="005963C2"/>
    <w:rsid w:val="005A0D69"/>
    <w:rsid w:val="005A31F4"/>
    <w:rsid w:val="005A73EA"/>
    <w:rsid w:val="005B45F7"/>
    <w:rsid w:val="005B5BC0"/>
    <w:rsid w:val="005B63EA"/>
    <w:rsid w:val="005C1A88"/>
    <w:rsid w:val="005C440D"/>
    <w:rsid w:val="005C5033"/>
    <w:rsid w:val="005E751B"/>
    <w:rsid w:val="005F3354"/>
    <w:rsid w:val="0060005E"/>
    <w:rsid w:val="0060095B"/>
    <w:rsid w:val="00601266"/>
    <w:rsid w:val="00610221"/>
    <w:rsid w:val="00610E73"/>
    <w:rsid w:val="00616DF2"/>
    <w:rsid w:val="0063168D"/>
    <w:rsid w:val="00647025"/>
    <w:rsid w:val="0064730A"/>
    <w:rsid w:val="006531A4"/>
    <w:rsid w:val="00660774"/>
    <w:rsid w:val="0066389A"/>
    <w:rsid w:val="0066495C"/>
    <w:rsid w:val="00665CC7"/>
    <w:rsid w:val="00672612"/>
    <w:rsid w:val="00677F18"/>
    <w:rsid w:val="00687D29"/>
    <w:rsid w:val="00693483"/>
    <w:rsid w:val="006A0BF3"/>
    <w:rsid w:val="006A0E7A"/>
    <w:rsid w:val="006B0036"/>
    <w:rsid w:val="006B0DA6"/>
    <w:rsid w:val="006C547E"/>
    <w:rsid w:val="006D2B51"/>
    <w:rsid w:val="006D5575"/>
    <w:rsid w:val="006D7191"/>
    <w:rsid w:val="006E42BE"/>
    <w:rsid w:val="006E5D4D"/>
    <w:rsid w:val="006E6D16"/>
    <w:rsid w:val="006F323F"/>
    <w:rsid w:val="00703F2A"/>
    <w:rsid w:val="00704C5D"/>
    <w:rsid w:val="007072BC"/>
    <w:rsid w:val="00715275"/>
    <w:rsid w:val="00721B44"/>
    <w:rsid w:val="007232A2"/>
    <w:rsid w:val="00726366"/>
    <w:rsid w:val="00733B6B"/>
    <w:rsid w:val="00740808"/>
    <w:rsid w:val="007467C4"/>
    <w:rsid w:val="0076170F"/>
    <w:rsid w:val="0076669C"/>
    <w:rsid w:val="00766E46"/>
    <w:rsid w:val="00777727"/>
    <w:rsid w:val="0078166A"/>
    <w:rsid w:val="00782B79"/>
    <w:rsid w:val="00783811"/>
    <w:rsid w:val="007865E9"/>
    <w:rsid w:val="0079237D"/>
    <w:rsid w:val="00792383"/>
    <w:rsid w:val="00792DE5"/>
    <w:rsid w:val="00794D5A"/>
    <w:rsid w:val="00794DD9"/>
    <w:rsid w:val="007A060F"/>
    <w:rsid w:val="007B350E"/>
    <w:rsid w:val="007C0FBC"/>
    <w:rsid w:val="007C36E3"/>
    <w:rsid w:val="007C7134"/>
    <w:rsid w:val="007D3D20"/>
    <w:rsid w:val="007D742E"/>
    <w:rsid w:val="007E3AFD"/>
    <w:rsid w:val="00801DAD"/>
    <w:rsid w:val="00803189"/>
    <w:rsid w:val="00804E7A"/>
    <w:rsid w:val="00805FBB"/>
    <w:rsid w:val="008169A4"/>
    <w:rsid w:val="008278FE"/>
    <w:rsid w:val="00832598"/>
    <w:rsid w:val="0083397E"/>
    <w:rsid w:val="0083534B"/>
    <w:rsid w:val="00842035"/>
    <w:rsid w:val="00842602"/>
    <w:rsid w:val="008449F0"/>
    <w:rsid w:val="00847B45"/>
    <w:rsid w:val="00863A66"/>
    <w:rsid w:val="008703D7"/>
    <w:rsid w:val="00874429"/>
    <w:rsid w:val="00875D22"/>
    <w:rsid w:val="00877229"/>
    <w:rsid w:val="00883D9A"/>
    <w:rsid w:val="008919EF"/>
    <w:rsid w:val="00892B20"/>
    <w:rsid w:val="008931BC"/>
    <w:rsid w:val="0089695B"/>
    <w:rsid w:val="008A12EC"/>
    <w:rsid w:val="008B19A6"/>
    <w:rsid w:val="008B4EFB"/>
    <w:rsid w:val="008C21C8"/>
    <w:rsid w:val="008C6375"/>
    <w:rsid w:val="008C6A5B"/>
    <w:rsid w:val="008D498D"/>
    <w:rsid w:val="008D6D36"/>
    <w:rsid w:val="008E0693"/>
    <w:rsid w:val="008E26A5"/>
    <w:rsid w:val="008E42D2"/>
    <w:rsid w:val="008E6328"/>
    <w:rsid w:val="008F578F"/>
    <w:rsid w:val="009040EE"/>
    <w:rsid w:val="009057FD"/>
    <w:rsid w:val="00906FBA"/>
    <w:rsid w:val="009163E8"/>
    <w:rsid w:val="009228C7"/>
    <w:rsid w:val="00922A7F"/>
    <w:rsid w:val="00923A5E"/>
    <w:rsid w:val="00924FE7"/>
    <w:rsid w:val="00926E27"/>
    <w:rsid w:val="00931C8C"/>
    <w:rsid w:val="00943D21"/>
    <w:rsid w:val="0094504B"/>
    <w:rsid w:val="00964A38"/>
    <w:rsid w:val="00966A9D"/>
    <w:rsid w:val="0096742B"/>
    <w:rsid w:val="009718C5"/>
    <w:rsid w:val="009924CF"/>
    <w:rsid w:val="00994100"/>
    <w:rsid w:val="009A55FA"/>
    <w:rsid w:val="009A6B17"/>
    <w:rsid w:val="009D4C29"/>
    <w:rsid w:val="009F6AD2"/>
    <w:rsid w:val="00A00D8D"/>
    <w:rsid w:val="00A01BB6"/>
    <w:rsid w:val="00A01D76"/>
    <w:rsid w:val="00A4303C"/>
    <w:rsid w:val="00A46CAF"/>
    <w:rsid w:val="00A470FD"/>
    <w:rsid w:val="00A50B5E"/>
    <w:rsid w:val="00A62DAB"/>
    <w:rsid w:val="00A6757A"/>
    <w:rsid w:val="00A726A6"/>
    <w:rsid w:val="00A74842"/>
    <w:rsid w:val="00A97535"/>
    <w:rsid w:val="00AA2BAA"/>
    <w:rsid w:val="00AA6516"/>
    <w:rsid w:val="00AA73F1"/>
    <w:rsid w:val="00AB0E1A"/>
    <w:rsid w:val="00AB1A30"/>
    <w:rsid w:val="00AB3C36"/>
    <w:rsid w:val="00AB3D30"/>
    <w:rsid w:val="00AD10EB"/>
    <w:rsid w:val="00AD1ED3"/>
    <w:rsid w:val="00B019C1"/>
    <w:rsid w:val="00B02001"/>
    <w:rsid w:val="00B03C50"/>
    <w:rsid w:val="00B0777D"/>
    <w:rsid w:val="00B11576"/>
    <w:rsid w:val="00B1195F"/>
    <w:rsid w:val="00B14D10"/>
    <w:rsid w:val="00B209C7"/>
    <w:rsid w:val="00B3644F"/>
    <w:rsid w:val="00B4057A"/>
    <w:rsid w:val="00B40894"/>
    <w:rsid w:val="00B41039"/>
    <w:rsid w:val="00B42987"/>
    <w:rsid w:val="00B444AE"/>
    <w:rsid w:val="00B45E75"/>
    <w:rsid w:val="00B50876"/>
    <w:rsid w:val="00B51074"/>
    <w:rsid w:val="00B54DAA"/>
    <w:rsid w:val="00B552E0"/>
    <w:rsid w:val="00B55AB0"/>
    <w:rsid w:val="00B55EE5"/>
    <w:rsid w:val="00B67A43"/>
    <w:rsid w:val="00B71D1F"/>
    <w:rsid w:val="00B72CFF"/>
    <w:rsid w:val="00B73DE6"/>
    <w:rsid w:val="00B761CD"/>
    <w:rsid w:val="00B86EF0"/>
    <w:rsid w:val="00B96969"/>
    <w:rsid w:val="00B97900"/>
    <w:rsid w:val="00BA1229"/>
    <w:rsid w:val="00BA44A8"/>
    <w:rsid w:val="00BA49C5"/>
    <w:rsid w:val="00BC786E"/>
    <w:rsid w:val="00BD5C92"/>
    <w:rsid w:val="00BE1962"/>
    <w:rsid w:val="00BE50E6"/>
    <w:rsid w:val="00BE7A0C"/>
    <w:rsid w:val="00BF6691"/>
    <w:rsid w:val="00C028FC"/>
    <w:rsid w:val="00C037F2"/>
    <w:rsid w:val="00C0386D"/>
    <w:rsid w:val="00C065A1"/>
    <w:rsid w:val="00C10ED5"/>
    <w:rsid w:val="00C151A6"/>
    <w:rsid w:val="00C24098"/>
    <w:rsid w:val="00C30A4E"/>
    <w:rsid w:val="00C411F3"/>
    <w:rsid w:val="00C44105"/>
    <w:rsid w:val="00C55A33"/>
    <w:rsid w:val="00C66692"/>
    <w:rsid w:val="00C673B5"/>
    <w:rsid w:val="00C7063D"/>
    <w:rsid w:val="00C830BC"/>
    <w:rsid w:val="00C8524D"/>
    <w:rsid w:val="00C90904"/>
    <w:rsid w:val="00C91123"/>
    <w:rsid w:val="00CA71FF"/>
    <w:rsid w:val="00CB5276"/>
    <w:rsid w:val="00CB5BFC"/>
    <w:rsid w:val="00CB68D7"/>
    <w:rsid w:val="00CB785B"/>
    <w:rsid w:val="00CC7E68"/>
    <w:rsid w:val="00CD7132"/>
    <w:rsid w:val="00CE0E6F"/>
    <w:rsid w:val="00CE3B21"/>
    <w:rsid w:val="00CE56FC"/>
    <w:rsid w:val="00CE7A4D"/>
    <w:rsid w:val="00CF32D2"/>
    <w:rsid w:val="00CF4CFE"/>
    <w:rsid w:val="00D02E0F"/>
    <w:rsid w:val="00D03EE8"/>
    <w:rsid w:val="00D13535"/>
    <w:rsid w:val="00D15497"/>
    <w:rsid w:val="00D17B79"/>
    <w:rsid w:val="00D23FEA"/>
    <w:rsid w:val="00D269CA"/>
    <w:rsid w:val="00D27069"/>
    <w:rsid w:val="00D30B48"/>
    <w:rsid w:val="00D3168A"/>
    <w:rsid w:val="00D46FAA"/>
    <w:rsid w:val="00D47A40"/>
    <w:rsid w:val="00D51D33"/>
    <w:rsid w:val="00D57BB2"/>
    <w:rsid w:val="00D57E57"/>
    <w:rsid w:val="00D70752"/>
    <w:rsid w:val="00D80E2D"/>
    <w:rsid w:val="00D84D5E"/>
    <w:rsid w:val="00D8560E"/>
    <w:rsid w:val="00D8758F"/>
    <w:rsid w:val="00DA4EDD"/>
    <w:rsid w:val="00DA6B78"/>
    <w:rsid w:val="00DC1D94"/>
    <w:rsid w:val="00DC42CF"/>
    <w:rsid w:val="00DE057F"/>
    <w:rsid w:val="00DE2082"/>
    <w:rsid w:val="00DE2289"/>
    <w:rsid w:val="00DF09A7"/>
    <w:rsid w:val="00DF2B51"/>
    <w:rsid w:val="00E001D6"/>
    <w:rsid w:val="00E03A76"/>
    <w:rsid w:val="00E04410"/>
    <w:rsid w:val="00E07484"/>
    <w:rsid w:val="00E11351"/>
    <w:rsid w:val="00E4225C"/>
    <w:rsid w:val="00E44879"/>
    <w:rsid w:val="00E72914"/>
    <w:rsid w:val="00E75AE0"/>
    <w:rsid w:val="00E83C1F"/>
    <w:rsid w:val="00E85684"/>
    <w:rsid w:val="00E8794B"/>
    <w:rsid w:val="00E97656"/>
    <w:rsid w:val="00EA172C"/>
    <w:rsid w:val="00EA259B"/>
    <w:rsid w:val="00EA35A3"/>
    <w:rsid w:val="00EA3E6A"/>
    <w:rsid w:val="00EB18EF"/>
    <w:rsid w:val="00EB7951"/>
    <w:rsid w:val="00ED6A79"/>
    <w:rsid w:val="00EE17DF"/>
    <w:rsid w:val="00EF1482"/>
    <w:rsid w:val="00EF4621"/>
    <w:rsid w:val="00EF4D52"/>
    <w:rsid w:val="00EF6312"/>
    <w:rsid w:val="00F038B0"/>
    <w:rsid w:val="00F05F34"/>
    <w:rsid w:val="00F159FD"/>
    <w:rsid w:val="00F22B27"/>
    <w:rsid w:val="00F234A7"/>
    <w:rsid w:val="00F277B6"/>
    <w:rsid w:val="00F27DA5"/>
    <w:rsid w:val="00F37E07"/>
    <w:rsid w:val="00F4182A"/>
    <w:rsid w:val="00F54380"/>
    <w:rsid w:val="00F54B47"/>
    <w:rsid w:val="00F61247"/>
    <w:rsid w:val="00F63191"/>
    <w:rsid w:val="00F6702E"/>
    <w:rsid w:val="00F70E84"/>
    <w:rsid w:val="00FA092B"/>
    <w:rsid w:val="00FA4F6C"/>
    <w:rsid w:val="00FA6EFD"/>
    <w:rsid w:val="00FB3791"/>
    <w:rsid w:val="00FB6780"/>
    <w:rsid w:val="00FB74EA"/>
    <w:rsid w:val="00FD2C9E"/>
    <w:rsid w:val="00FD4786"/>
    <w:rsid w:val="00FD616C"/>
    <w:rsid w:val="00FE53F2"/>
    <w:rsid w:val="00FF0A00"/>
    <w:rsid w:val="00FF1C57"/>
    <w:rsid w:val="00FF258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8193"/>
    <o:shapelayout v:ext="edit">
      <o:idmap v:ext="edit" data="1"/>
    </o:shapelayout>
  </w:shapeDefaults>
  <w:decimalSymbol w:val="."/>
  <w:listSeparator w:val=","/>
  <w14:docId w14:val="1314BAD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CD7132"/>
    <w:rPr>
      <w:sz w:val="24"/>
      <w:szCs w:val="24"/>
    </w:rPr>
  </w:style>
  <w:style w:type="paragraph" w:styleId="Heading1">
    <w:name w:val="heading 1"/>
    <w:basedOn w:val="Normal"/>
    <w:next w:val="BodyText"/>
    <w:link w:val="Heading1Char"/>
    <w:qFormat/>
    <w:rsid w:val="00CD7132"/>
    <w:pPr>
      <w:keepNext/>
      <w:spacing w:after="240"/>
      <w:jc w:val="both"/>
      <w:outlineLvl w:val="0"/>
    </w:pPr>
    <w:rPr>
      <w:rFonts w:cs="Arial"/>
      <w:bCs/>
      <w:kern w:val="32"/>
      <w:szCs w:val="32"/>
    </w:rPr>
  </w:style>
  <w:style w:type="paragraph" w:styleId="Heading2">
    <w:name w:val="heading 2"/>
    <w:basedOn w:val="Normal"/>
    <w:next w:val="BodyText"/>
    <w:link w:val="Heading2Char"/>
    <w:qFormat/>
    <w:rsid w:val="00CD7132"/>
    <w:pPr>
      <w:keepNext/>
      <w:spacing w:after="240"/>
      <w:jc w:val="both"/>
      <w:outlineLvl w:val="1"/>
    </w:pPr>
    <w:rPr>
      <w:rFonts w:cs="Arial"/>
      <w:bCs/>
      <w:iCs/>
      <w:szCs w:val="28"/>
    </w:rPr>
  </w:style>
  <w:style w:type="paragraph" w:styleId="Heading3">
    <w:name w:val="heading 3"/>
    <w:basedOn w:val="BodyText"/>
    <w:next w:val="BodyText"/>
    <w:link w:val="Heading3Char"/>
    <w:qFormat/>
    <w:rsid w:val="00CD7132"/>
    <w:pPr>
      <w:spacing w:after="240"/>
      <w:ind w:firstLine="720"/>
      <w:jc w:val="both"/>
      <w:outlineLvl w:val="2"/>
    </w:pPr>
  </w:style>
  <w:style w:type="paragraph" w:styleId="Heading4">
    <w:name w:val="heading 4"/>
    <w:basedOn w:val="Normal"/>
    <w:next w:val="Normal"/>
    <w:link w:val="Heading4Char"/>
    <w:qFormat/>
    <w:rsid w:val="00CD7132"/>
    <w:pPr>
      <w:keepNext/>
      <w:spacing w:before="240" w:after="60"/>
      <w:outlineLvl w:val="3"/>
    </w:pPr>
    <w:rPr>
      <w:b/>
      <w:bCs/>
      <w:sz w:val="28"/>
      <w:szCs w:val="28"/>
    </w:rPr>
  </w:style>
  <w:style w:type="paragraph" w:styleId="Heading5">
    <w:name w:val="heading 5"/>
    <w:basedOn w:val="Normal"/>
    <w:next w:val="Normal"/>
    <w:link w:val="Heading5Char"/>
    <w:qFormat/>
    <w:rsid w:val="00CD7132"/>
    <w:pPr>
      <w:spacing w:before="240" w:after="60"/>
      <w:outlineLvl w:val="4"/>
    </w:pPr>
    <w:rPr>
      <w:b/>
      <w:bCs/>
      <w:i/>
      <w:iCs/>
      <w:sz w:val="26"/>
      <w:szCs w:val="26"/>
    </w:rPr>
  </w:style>
  <w:style w:type="paragraph" w:styleId="Heading6">
    <w:name w:val="heading 6"/>
    <w:basedOn w:val="Normal"/>
    <w:next w:val="Normal"/>
    <w:link w:val="Heading6Char"/>
    <w:qFormat/>
    <w:rsid w:val="00CD7132"/>
    <w:pPr>
      <w:spacing w:before="240" w:after="60"/>
      <w:outlineLvl w:val="5"/>
    </w:pPr>
    <w:rPr>
      <w:b/>
      <w:bCs/>
      <w:sz w:val="22"/>
      <w:szCs w:val="22"/>
    </w:rPr>
  </w:style>
  <w:style w:type="paragraph" w:styleId="Heading7">
    <w:name w:val="heading 7"/>
    <w:basedOn w:val="Normal"/>
    <w:next w:val="Normal"/>
    <w:link w:val="Heading7Char"/>
    <w:qFormat/>
    <w:rsid w:val="00CD7132"/>
    <w:pPr>
      <w:spacing w:before="240" w:after="60"/>
      <w:outlineLvl w:val="6"/>
    </w:pPr>
  </w:style>
  <w:style w:type="paragraph" w:styleId="Heading8">
    <w:name w:val="heading 8"/>
    <w:basedOn w:val="Normal"/>
    <w:next w:val="Normal"/>
    <w:link w:val="Heading8Char"/>
    <w:qFormat/>
    <w:rsid w:val="00CD7132"/>
    <w:pPr>
      <w:spacing w:before="240" w:after="60"/>
      <w:outlineLvl w:val="7"/>
    </w:pPr>
    <w:rPr>
      <w:i/>
      <w:iCs/>
    </w:rPr>
  </w:style>
  <w:style w:type="paragraph" w:styleId="Heading9">
    <w:name w:val="heading 9"/>
    <w:basedOn w:val="Normal"/>
    <w:next w:val="Normal"/>
    <w:link w:val="Heading9Char"/>
    <w:qFormat/>
    <w:rsid w:val="00CD7132"/>
    <w:pPr>
      <w:spacing w:before="240" w:after="60"/>
      <w:outlineLvl w:val="8"/>
    </w:pPr>
    <w:rPr>
      <w:rFonts w:ascii="Arial" w:hAnsi="Arial" w:cs="Arial"/>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rsid w:val="00CD7132"/>
    <w:pPr>
      <w:tabs>
        <w:tab w:val="center" w:pos="4320"/>
        <w:tab w:val="right" w:pos="8640"/>
      </w:tabs>
    </w:pPr>
  </w:style>
  <w:style w:type="paragraph" w:customStyle="1" w:styleId="OrderBody">
    <w:name w:val="Order Body"/>
    <w:basedOn w:val="Normal"/>
    <w:link w:val="OrderBodyChar"/>
    <w:rsid w:val="00CD7132"/>
    <w:pPr>
      <w:jc w:val="both"/>
    </w:pPr>
  </w:style>
  <w:style w:type="character" w:customStyle="1" w:styleId="OrderBodyChar">
    <w:name w:val="Order Body Char"/>
    <w:link w:val="OrderBody"/>
    <w:rsid w:val="00CD7132"/>
    <w:rPr>
      <w:sz w:val="24"/>
      <w:szCs w:val="24"/>
    </w:rPr>
  </w:style>
  <w:style w:type="paragraph" w:customStyle="1" w:styleId="OrderHeader">
    <w:name w:val="Order Header"/>
    <w:basedOn w:val="Header"/>
    <w:rsid w:val="00CD7132"/>
    <w:pPr>
      <w:jc w:val="both"/>
    </w:pPr>
  </w:style>
  <w:style w:type="character" w:styleId="PageNumber">
    <w:name w:val="page number"/>
    <w:rsid w:val="00CD7132"/>
  </w:style>
  <w:style w:type="paragraph" w:styleId="Header">
    <w:name w:val="header"/>
    <w:basedOn w:val="Normal"/>
    <w:rsid w:val="00CD7132"/>
    <w:pPr>
      <w:tabs>
        <w:tab w:val="center" w:pos="4320"/>
        <w:tab w:val="right" w:pos="8640"/>
      </w:tabs>
    </w:pPr>
  </w:style>
  <w:style w:type="paragraph" w:customStyle="1" w:styleId="CenterUnderline">
    <w:name w:val="CenterUnderline"/>
    <w:basedOn w:val="Normal"/>
    <w:rsid w:val="00CD7132"/>
    <w:pPr>
      <w:jc w:val="center"/>
    </w:pPr>
    <w:rPr>
      <w:u w:val="single"/>
    </w:rPr>
  </w:style>
  <w:style w:type="character" w:styleId="FootnoteReference">
    <w:name w:val="footnote reference"/>
    <w:rsid w:val="00CD7132"/>
    <w:rPr>
      <w:vertAlign w:val="superscript"/>
    </w:rPr>
  </w:style>
  <w:style w:type="paragraph" w:styleId="FootnoteText">
    <w:name w:val="footnote text"/>
    <w:basedOn w:val="Normal"/>
    <w:rsid w:val="00CD7132"/>
    <w:pPr>
      <w:jc w:val="both"/>
    </w:pPr>
    <w:rPr>
      <w:sz w:val="20"/>
      <w:szCs w:val="20"/>
    </w:rPr>
  </w:style>
  <w:style w:type="paragraph" w:customStyle="1" w:styleId="Level3">
    <w:name w:val="Level 3"/>
    <w:basedOn w:val="Normal"/>
    <w:rsid w:val="00CD7132"/>
    <w:pPr>
      <w:widowControl w:val="0"/>
      <w:autoSpaceDE w:val="0"/>
      <w:autoSpaceDN w:val="0"/>
      <w:adjustRightInd w:val="0"/>
      <w:ind w:left="2160" w:hanging="720"/>
      <w:outlineLvl w:val="2"/>
    </w:pPr>
  </w:style>
  <w:style w:type="paragraph" w:customStyle="1" w:styleId="OrderDouble">
    <w:name w:val="Order Double"/>
    <w:basedOn w:val="OrderBody"/>
    <w:rsid w:val="00CD7132"/>
    <w:pPr>
      <w:spacing w:line="480" w:lineRule="auto"/>
      <w:jc w:val="left"/>
    </w:pPr>
  </w:style>
  <w:style w:type="paragraph" w:customStyle="1" w:styleId="OrderDoubleJustified">
    <w:name w:val="Order Double Justified"/>
    <w:basedOn w:val="OrderDouble"/>
    <w:rsid w:val="00CD7132"/>
    <w:pPr>
      <w:jc w:val="both"/>
    </w:pPr>
  </w:style>
  <w:style w:type="paragraph" w:customStyle="1" w:styleId="OrderHanging">
    <w:name w:val="Order Hanging"/>
    <w:basedOn w:val="Normal"/>
    <w:rsid w:val="00CD7132"/>
    <w:pPr>
      <w:ind w:left="1440" w:hanging="1440"/>
      <w:jc w:val="both"/>
    </w:pPr>
    <w:rPr>
      <w:szCs w:val="20"/>
    </w:rPr>
  </w:style>
  <w:style w:type="paragraph" w:customStyle="1" w:styleId="OrderHanging2">
    <w:name w:val="Order Hanging 2"/>
    <w:basedOn w:val="Normal"/>
    <w:rsid w:val="00CD7132"/>
    <w:pPr>
      <w:ind w:left="2880" w:hanging="2880"/>
      <w:jc w:val="both"/>
    </w:pPr>
  </w:style>
  <w:style w:type="paragraph" w:customStyle="1" w:styleId="OrderHeading">
    <w:name w:val="Order Heading"/>
    <w:basedOn w:val="Normal"/>
    <w:rsid w:val="00CD7132"/>
    <w:pPr>
      <w:jc w:val="center"/>
    </w:pPr>
  </w:style>
  <w:style w:type="paragraph" w:customStyle="1" w:styleId="OrderSigInfo">
    <w:name w:val="Order Sig Info"/>
    <w:basedOn w:val="OrderBody"/>
    <w:next w:val="OrderBody"/>
    <w:rsid w:val="00CD7132"/>
    <w:pPr>
      <w:ind w:left="4464"/>
    </w:pPr>
    <w:rPr>
      <w:szCs w:val="20"/>
    </w:rPr>
  </w:style>
  <w:style w:type="paragraph" w:customStyle="1" w:styleId="OrderFootNote">
    <w:name w:val="OrderFootNote"/>
    <w:basedOn w:val="FootnoteText"/>
    <w:rsid w:val="00CD7132"/>
    <w:pPr>
      <w:spacing w:after="240"/>
      <w:ind w:firstLine="432"/>
    </w:pPr>
  </w:style>
  <w:style w:type="table" w:styleId="TableGrid">
    <w:name w:val="Table Grid"/>
    <w:basedOn w:val="TableNormal"/>
    <w:rsid w:val="00CD713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ertificateofServiceBody">
    <w:name w:val="Certificate of Service Body"/>
    <w:basedOn w:val="Normal"/>
    <w:next w:val="Normal"/>
    <w:rsid w:val="00CD7132"/>
    <w:pPr>
      <w:jc w:val="both"/>
    </w:pPr>
  </w:style>
  <w:style w:type="character" w:customStyle="1" w:styleId="Heading1Char">
    <w:name w:val="Heading 1 Char"/>
    <w:link w:val="Heading1"/>
    <w:rsid w:val="00CD7132"/>
    <w:rPr>
      <w:rFonts w:cs="Arial"/>
      <w:bCs/>
      <w:kern w:val="32"/>
      <w:sz w:val="24"/>
      <w:szCs w:val="32"/>
    </w:rPr>
  </w:style>
  <w:style w:type="character" w:customStyle="1" w:styleId="Heading9Char">
    <w:name w:val="Heading 9 Char"/>
    <w:link w:val="Heading9"/>
    <w:rsid w:val="00CD7132"/>
    <w:rPr>
      <w:rFonts w:ascii="Arial" w:hAnsi="Arial" w:cs="Arial"/>
      <w:sz w:val="22"/>
      <w:szCs w:val="22"/>
    </w:rPr>
  </w:style>
  <w:style w:type="paragraph" w:styleId="BodyText">
    <w:name w:val="Body Text"/>
    <w:basedOn w:val="Normal"/>
    <w:link w:val="BodyTextChar"/>
    <w:rsid w:val="00CD7132"/>
    <w:pPr>
      <w:spacing w:after="120"/>
    </w:pPr>
  </w:style>
  <w:style w:type="character" w:customStyle="1" w:styleId="BodyTextChar">
    <w:name w:val="Body Text Char"/>
    <w:link w:val="BodyText"/>
    <w:rsid w:val="00CD7132"/>
    <w:rPr>
      <w:sz w:val="24"/>
      <w:szCs w:val="24"/>
    </w:rPr>
  </w:style>
  <w:style w:type="character" w:customStyle="1" w:styleId="Heading2Char">
    <w:name w:val="Heading 2 Char"/>
    <w:link w:val="Heading2"/>
    <w:rsid w:val="00CD7132"/>
    <w:rPr>
      <w:rFonts w:cs="Arial"/>
      <w:bCs/>
      <w:iCs/>
      <w:sz w:val="24"/>
      <w:szCs w:val="28"/>
    </w:rPr>
  </w:style>
  <w:style w:type="character" w:customStyle="1" w:styleId="Heading3Char">
    <w:name w:val="Heading 3 Char"/>
    <w:link w:val="Heading3"/>
    <w:rsid w:val="00CD7132"/>
    <w:rPr>
      <w:sz w:val="24"/>
      <w:szCs w:val="24"/>
    </w:rPr>
  </w:style>
  <w:style w:type="character" w:customStyle="1" w:styleId="Heading4Char">
    <w:name w:val="Heading 4 Char"/>
    <w:link w:val="Heading4"/>
    <w:rsid w:val="00CD7132"/>
    <w:rPr>
      <w:b/>
      <w:bCs/>
      <w:sz w:val="28"/>
      <w:szCs w:val="28"/>
    </w:rPr>
  </w:style>
  <w:style w:type="character" w:customStyle="1" w:styleId="Heading5Char">
    <w:name w:val="Heading 5 Char"/>
    <w:link w:val="Heading5"/>
    <w:rsid w:val="00CD7132"/>
    <w:rPr>
      <w:b/>
      <w:bCs/>
      <w:i/>
      <w:iCs/>
      <w:sz w:val="26"/>
      <w:szCs w:val="26"/>
    </w:rPr>
  </w:style>
  <w:style w:type="character" w:customStyle="1" w:styleId="Heading6Char">
    <w:name w:val="Heading 6 Char"/>
    <w:link w:val="Heading6"/>
    <w:rsid w:val="00CD7132"/>
    <w:rPr>
      <w:b/>
      <w:bCs/>
      <w:sz w:val="22"/>
      <w:szCs w:val="22"/>
    </w:rPr>
  </w:style>
  <w:style w:type="character" w:customStyle="1" w:styleId="Heading7Char">
    <w:name w:val="Heading 7 Char"/>
    <w:link w:val="Heading7"/>
    <w:rsid w:val="00CD7132"/>
    <w:rPr>
      <w:sz w:val="24"/>
      <w:szCs w:val="24"/>
    </w:rPr>
  </w:style>
  <w:style w:type="character" w:customStyle="1" w:styleId="Heading8Char">
    <w:name w:val="Heading 8 Char"/>
    <w:link w:val="Heading8"/>
    <w:rsid w:val="00CD7132"/>
    <w:rPr>
      <w:i/>
      <w:iCs/>
      <w:sz w:val="24"/>
      <w:szCs w:val="24"/>
    </w:rPr>
  </w:style>
  <w:style w:type="paragraph" w:customStyle="1" w:styleId="RecommendationMajorSectionHeading">
    <w:name w:val="Recommendation Major Section Heading"/>
    <w:basedOn w:val="Heading1"/>
    <w:next w:val="BodyText"/>
    <w:rsid w:val="00BE1962"/>
    <w:pPr>
      <w:jc w:val="center"/>
    </w:pPr>
    <w:rPr>
      <w:rFonts w:ascii="Arial" w:hAnsi="Arial"/>
      <w:b/>
    </w:rPr>
  </w:style>
  <w:style w:type="paragraph" w:styleId="BalloonText">
    <w:name w:val="Balloon Text"/>
    <w:basedOn w:val="Normal"/>
    <w:link w:val="BalloonTextChar"/>
    <w:semiHidden/>
    <w:unhideWhenUsed/>
    <w:rsid w:val="0034085B"/>
    <w:rPr>
      <w:rFonts w:ascii="Tahoma" w:hAnsi="Tahoma" w:cs="Tahoma"/>
      <w:sz w:val="16"/>
      <w:szCs w:val="16"/>
    </w:rPr>
  </w:style>
  <w:style w:type="character" w:customStyle="1" w:styleId="BalloonTextChar">
    <w:name w:val="Balloon Text Char"/>
    <w:basedOn w:val="DefaultParagraphFont"/>
    <w:link w:val="BalloonText"/>
    <w:semiHidden/>
    <w:rsid w:val="0034085B"/>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442503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6.JPG"/><Relationship Id="rId18" Type="http://schemas.openxmlformats.org/officeDocument/2006/relationships/image" Target="media/image11.JPG"/><Relationship Id="rId26" Type="http://schemas.openxmlformats.org/officeDocument/2006/relationships/image" Target="media/image19.JPG"/><Relationship Id="rId39" Type="http://schemas.openxmlformats.org/officeDocument/2006/relationships/image" Target="media/image32.JPG"/><Relationship Id="rId3" Type="http://schemas.openxmlformats.org/officeDocument/2006/relationships/webSettings" Target="webSettings.xml"/><Relationship Id="rId21" Type="http://schemas.openxmlformats.org/officeDocument/2006/relationships/image" Target="media/image14.JPG"/><Relationship Id="rId34" Type="http://schemas.openxmlformats.org/officeDocument/2006/relationships/image" Target="media/image27.JPG"/><Relationship Id="rId42" Type="http://schemas.openxmlformats.org/officeDocument/2006/relationships/image" Target="media/image35.JPG"/><Relationship Id="rId47" Type="http://schemas.openxmlformats.org/officeDocument/2006/relationships/image" Target="media/image40.JPG"/><Relationship Id="rId50" Type="http://schemas.openxmlformats.org/officeDocument/2006/relationships/header" Target="header2.xml"/><Relationship Id="rId7" Type="http://schemas.openxmlformats.org/officeDocument/2006/relationships/footer" Target="footer1.xml"/><Relationship Id="rId12" Type="http://schemas.openxmlformats.org/officeDocument/2006/relationships/image" Target="media/image5.JPG"/><Relationship Id="rId17" Type="http://schemas.openxmlformats.org/officeDocument/2006/relationships/image" Target="media/image10.JPG"/><Relationship Id="rId25" Type="http://schemas.openxmlformats.org/officeDocument/2006/relationships/image" Target="media/image18.JPG"/><Relationship Id="rId33" Type="http://schemas.openxmlformats.org/officeDocument/2006/relationships/image" Target="media/image26.JPG"/><Relationship Id="rId38" Type="http://schemas.openxmlformats.org/officeDocument/2006/relationships/image" Target="media/image31.JPG"/><Relationship Id="rId46" Type="http://schemas.openxmlformats.org/officeDocument/2006/relationships/image" Target="media/image39.JPG"/><Relationship Id="rId2" Type="http://schemas.openxmlformats.org/officeDocument/2006/relationships/settings" Target="settings.xml"/><Relationship Id="rId16" Type="http://schemas.openxmlformats.org/officeDocument/2006/relationships/image" Target="media/image9.JPG"/><Relationship Id="rId20" Type="http://schemas.openxmlformats.org/officeDocument/2006/relationships/image" Target="media/image13.JPG"/><Relationship Id="rId29" Type="http://schemas.openxmlformats.org/officeDocument/2006/relationships/image" Target="media/image22.JPG"/><Relationship Id="rId41" Type="http://schemas.openxmlformats.org/officeDocument/2006/relationships/image" Target="media/image34.JPG"/><Relationship Id="rId1" Type="http://schemas.openxmlformats.org/officeDocument/2006/relationships/styles" Target="styles.xml"/><Relationship Id="rId6" Type="http://schemas.openxmlformats.org/officeDocument/2006/relationships/header" Target="header1.xml"/><Relationship Id="rId11" Type="http://schemas.openxmlformats.org/officeDocument/2006/relationships/image" Target="media/image4.JPG"/><Relationship Id="rId24" Type="http://schemas.openxmlformats.org/officeDocument/2006/relationships/image" Target="media/image17.JPG"/><Relationship Id="rId32" Type="http://schemas.openxmlformats.org/officeDocument/2006/relationships/image" Target="media/image25.JPG"/><Relationship Id="rId37" Type="http://schemas.openxmlformats.org/officeDocument/2006/relationships/image" Target="media/image30.JPG"/><Relationship Id="rId40" Type="http://schemas.openxmlformats.org/officeDocument/2006/relationships/image" Target="media/image33.JPG"/><Relationship Id="rId45" Type="http://schemas.openxmlformats.org/officeDocument/2006/relationships/image" Target="media/image38.JPG"/><Relationship Id="rId53" Type="http://schemas.openxmlformats.org/officeDocument/2006/relationships/theme" Target="theme/theme1.xml"/><Relationship Id="rId5" Type="http://schemas.openxmlformats.org/officeDocument/2006/relationships/endnotes" Target="endnotes.xml"/><Relationship Id="rId15" Type="http://schemas.openxmlformats.org/officeDocument/2006/relationships/image" Target="media/image8.JPG"/><Relationship Id="rId23" Type="http://schemas.openxmlformats.org/officeDocument/2006/relationships/image" Target="media/image16.JPG"/><Relationship Id="rId28" Type="http://schemas.openxmlformats.org/officeDocument/2006/relationships/image" Target="media/image21.JPG"/><Relationship Id="rId36" Type="http://schemas.openxmlformats.org/officeDocument/2006/relationships/image" Target="media/image29.JPG"/><Relationship Id="rId49" Type="http://schemas.openxmlformats.org/officeDocument/2006/relationships/image" Target="media/image42.JPG"/><Relationship Id="rId10" Type="http://schemas.openxmlformats.org/officeDocument/2006/relationships/image" Target="media/image3.JPG"/><Relationship Id="rId19" Type="http://schemas.openxmlformats.org/officeDocument/2006/relationships/image" Target="media/image12.JPG"/><Relationship Id="rId31" Type="http://schemas.openxmlformats.org/officeDocument/2006/relationships/image" Target="media/image24.JPG"/><Relationship Id="rId44" Type="http://schemas.openxmlformats.org/officeDocument/2006/relationships/image" Target="media/image37.JPG"/><Relationship Id="rId52" Type="http://schemas.openxmlformats.org/officeDocument/2006/relationships/fontTable" Target="fontTable.xml"/><Relationship Id="rId4" Type="http://schemas.openxmlformats.org/officeDocument/2006/relationships/footnotes" Target="footnotes.xml"/><Relationship Id="rId9" Type="http://schemas.openxmlformats.org/officeDocument/2006/relationships/image" Target="media/image2.JPG"/><Relationship Id="rId14" Type="http://schemas.openxmlformats.org/officeDocument/2006/relationships/image" Target="media/image7.JPG"/><Relationship Id="rId22" Type="http://schemas.openxmlformats.org/officeDocument/2006/relationships/image" Target="media/image15.JPG"/><Relationship Id="rId27" Type="http://schemas.openxmlformats.org/officeDocument/2006/relationships/image" Target="media/image20.JPG"/><Relationship Id="rId30" Type="http://schemas.openxmlformats.org/officeDocument/2006/relationships/image" Target="media/image23.JPG"/><Relationship Id="rId35" Type="http://schemas.openxmlformats.org/officeDocument/2006/relationships/image" Target="media/image28.JPG"/><Relationship Id="rId43" Type="http://schemas.openxmlformats.org/officeDocument/2006/relationships/image" Target="media/image36.JPG"/><Relationship Id="rId48" Type="http://schemas.openxmlformats.org/officeDocument/2006/relationships/image" Target="media/image41.JPG"/><Relationship Id="rId8" Type="http://schemas.openxmlformats.org/officeDocument/2006/relationships/image" Target="media/image1.JPG"/><Relationship Id="rId51" Type="http://schemas.openxmlformats.org/officeDocument/2006/relationships/header" Target="header3.xml"/></Relationships>
</file>

<file path=word/_rels/settings.xml.rels><?xml version="1.0" encoding="UTF-8" standalone="yes"?>
<Relationships xmlns="http://schemas.openxmlformats.org/package/2006/relationships"><Relationship Id="rId1" Type="http://schemas.openxmlformats.org/officeDocument/2006/relationships/attachedTemplate" Target="file:///S:\APPS\MSWord\Templates\PSC-GCL\Orders%20with%20Chairman%20Clark,%20Graham,%20Brown,%20Polmann,%20and%20Fay.dot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Orders with Chairman Clark, Graham, Brown, Polmann, and Fay</Template>
  <TotalTime>0</TotalTime>
  <Pages>48</Pages>
  <Words>1596</Words>
  <Characters>9099</Characters>
  <Application>Microsoft Office Word</Application>
  <DocSecurity>0</DocSecurity>
  <Lines>75</Lines>
  <Paragraphs>21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10674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cp:lastModifiedBy/>
  <cp:revision>1</cp:revision>
  <dcterms:created xsi:type="dcterms:W3CDTF">2020-06-26T15:36:00Z</dcterms:created>
  <dcterms:modified xsi:type="dcterms:W3CDTF">2020-06-26T16:26:00Z</dcterms:modified>
</cp:coreProperties>
</file>