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071B0" w:rsidP="00C071B0">
      <w:pPr>
        <w:pStyle w:val="OrderHeading"/>
      </w:pPr>
      <w:r>
        <w:t>BEFORE THE FLORIDA PUBLIC SERVICE COMMISSION</w:t>
      </w:r>
    </w:p>
    <w:p w:rsidR="00C071B0" w:rsidRDefault="00C071B0" w:rsidP="00C071B0">
      <w:pPr>
        <w:pStyle w:val="OrderBody"/>
      </w:pPr>
    </w:p>
    <w:p w:rsidR="00C071B0" w:rsidRDefault="00C071B0" w:rsidP="00C071B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071B0" w:rsidRPr="00C63FCF" w:rsidTr="00C63FCF">
        <w:trPr>
          <w:trHeight w:val="828"/>
        </w:trPr>
        <w:tc>
          <w:tcPr>
            <w:tcW w:w="4788" w:type="dxa"/>
            <w:tcBorders>
              <w:bottom w:val="nil"/>
              <w:right w:val="double" w:sz="6" w:space="0" w:color="auto"/>
            </w:tcBorders>
            <w:shd w:val="clear" w:color="auto" w:fill="auto"/>
          </w:tcPr>
          <w:p w:rsidR="00C071B0" w:rsidRDefault="00C071B0" w:rsidP="00C63FCF">
            <w:pPr>
              <w:pStyle w:val="OrderBody"/>
              <w:tabs>
                <w:tab w:val="center" w:pos="4320"/>
                <w:tab w:val="right" w:pos="8640"/>
              </w:tabs>
              <w:jc w:val="left"/>
            </w:pPr>
            <w:r>
              <w:t xml:space="preserve">In re: </w:t>
            </w:r>
            <w:bookmarkStart w:id="0" w:name="SMInRe"/>
            <w:bookmarkEnd w:id="0"/>
            <w:r>
              <w:t>Review of 2020-2029 Storm Protection Plan pursuant to Rule 25-6.030, F.A.C., Tampa Electric Company.</w:t>
            </w:r>
          </w:p>
          <w:p w:rsidR="00C071B0" w:rsidRDefault="00C071B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C071B0" w:rsidRDefault="00C071B0" w:rsidP="00C63FCF">
            <w:pPr>
              <w:pStyle w:val="OrderBody"/>
              <w:tabs>
                <w:tab w:val="center" w:pos="4320"/>
                <w:tab w:val="right" w:pos="8640"/>
              </w:tabs>
              <w:jc w:val="left"/>
            </w:pPr>
            <w:r>
              <w:t xml:space="preserve">DOCKET NO. </w:t>
            </w:r>
            <w:bookmarkStart w:id="1" w:name="SMDocketNo"/>
            <w:bookmarkEnd w:id="1"/>
            <w:r>
              <w:t>20200067-EI</w:t>
            </w:r>
          </w:p>
        </w:tc>
      </w:tr>
      <w:tr w:rsidR="00C071B0" w:rsidRPr="00C63FCF" w:rsidTr="00C63FCF">
        <w:trPr>
          <w:trHeight w:val="828"/>
        </w:trPr>
        <w:tc>
          <w:tcPr>
            <w:tcW w:w="4788" w:type="dxa"/>
            <w:tcBorders>
              <w:bottom w:val="nil"/>
              <w:right w:val="double" w:sz="6" w:space="0" w:color="auto"/>
            </w:tcBorders>
            <w:shd w:val="clear" w:color="auto" w:fill="auto"/>
          </w:tcPr>
          <w:p w:rsidR="00C071B0" w:rsidRDefault="00C071B0" w:rsidP="00C63FCF">
            <w:pPr>
              <w:pStyle w:val="OrderBody"/>
              <w:tabs>
                <w:tab w:val="center" w:pos="4320"/>
                <w:tab w:val="right" w:pos="8640"/>
              </w:tabs>
              <w:jc w:val="left"/>
            </w:pPr>
            <w:r>
              <w:t>In re: Review of 2020-2029 Storm Protection Plan pursuant to Rule 25-6.030, F.A.C., Duke Energy Florida, LLC</w:t>
            </w:r>
            <w:r w:rsidR="001141D8">
              <w:t>.</w:t>
            </w:r>
          </w:p>
          <w:p w:rsidR="00C071B0" w:rsidRDefault="00C071B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C071B0" w:rsidRDefault="00C071B0" w:rsidP="00C63FCF">
            <w:pPr>
              <w:pStyle w:val="OrderBody"/>
              <w:tabs>
                <w:tab w:val="center" w:pos="4320"/>
                <w:tab w:val="right" w:pos="8640"/>
              </w:tabs>
              <w:jc w:val="left"/>
            </w:pPr>
            <w:r>
              <w:t>DOCKET NO. 20200069-EI</w:t>
            </w:r>
          </w:p>
          <w:p w:rsidR="00C071B0" w:rsidRDefault="00C071B0" w:rsidP="00C63FCF">
            <w:pPr>
              <w:pStyle w:val="OrderBody"/>
              <w:tabs>
                <w:tab w:val="center" w:pos="4320"/>
                <w:tab w:val="right" w:pos="8640"/>
              </w:tabs>
              <w:jc w:val="left"/>
            </w:pPr>
          </w:p>
        </w:tc>
      </w:tr>
      <w:tr w:rsidR="00C071B0" w:rsidRPr="00C63FCF" w:rsidTr="00C63FCF">
        <w:trPr>
          <w:trHeight w:val="828"/>
        </w:trPr>
        <w:tc>
          <w:tcPr>
            <w:tcW w:w="4788" w:type="dxa"/>
            <w:tcBorders>
              <w:bottom w:val="nil"/>
              <w:right w:val="double" w:sz="6" w:space="0" w:color="auto"/>
            </w:tcBorders>
            <w:shd w:val="clear" w:color="auto" w:fill="auto"/>
          </w:tcPr>
          <w:p w:rsidR="00C071B0" w:rsidRDefault="00C071B0" w:rsidP="00C63FCF">
            <w:pPr>
              <w:pStyle w:val="OrderBody"/>
              <w:tabs>
                <w:tab w:val="center" w:pos="4320"/>
                <w:tab w:val="right" w:pos="8640"/>
              </w:tabs>
              <w:jc w:val="left"/>
            </w:pPr>
            <w:r>
              <w:t>In re: Review of 2020-2029 Storm Protection Plan pursuant to Rule 25-6.030, F.A.C., Gulf Power Company.</w:t>
            </w:r>
          </w:p>
          <w:p w:rsidR="00C071B0" w:rsidRDefault="00C071B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C071B0" w:rsidRDefault="00C071B0" w:rsidP="00C63FCF">
            <w:pPr>
              <w:pStyle w:val="OrderBody"/>
              <w:tabs>
                <w:tab w:val="center" w:pos="4320"/>
                <w:tab w:val="right" w:pos="8640"/>
              </w:tabs>
              <w:jc w:val="left"/>
            </w:pPr>
            <w:r>
              <w:t>DOCKET NO. 20200070-EI</w:t>
            </w:r>
          </w:p>
          <w:p w:rsidR="00C071B0" w:rsidRDefault="00C071B0" w:rsidP="00C63FCF">
            <w:pPr>
              <w:pStyle w:val="OrderBody"/>
              <w:tabs>
                <w:tab w:val="center" w:pos="4320"/>
                <w:tab w:val="right" w:pos="8640"/>
              </w:tabs>
              <w:jc w:val="left"/>
            </w:pPr>
          </w:p>
        </w:tc>
      </w:tr>
      <w:tr w:rsidR="00C071B0" w:rsidRPr="00C63FCF" w:rsidTr="00C63FCF">
        <w:trPr>
          <w:trHeight w:val="828"/>
        </w:trPr>
        <w:tc>
          <w:tcPr>
            <w:tcW w:w="4788" w:type="dxa"/>
            <w:tcBorders>
              <w:top w:val="nil"/>
              <w:bottom w:val="single" w:sz="8" w:space="0" w:color="auto"/>
              <w:right w:val="double" w:sz="6" w:space="0" w:color="auto"/>
            </w:tcBorders>
            <w:shd w:val="clear" w:color="auto" w:fill="auto"/>
          </w:tcPr>
          <w:p w:rsidR="00C071B0" w:rsidRDefault="00C071B0" w:rsidP="00C63FCF">
            <w:pPr>
              <w:pStyle w:val="OrderBody"/>
              <w:tabs>
                <w:tab w:val="center" w:pos="4320"/>
                <w:tab w:val="right" w:pos="8640"/>
              </w:tabs>
              <w:jc w:val="left"/>
            </w:pPr>
            <w:r>
              <w:t>In re: Review of 2020-2029 Storm Protection Plan pursuant to Rule 25-6.030, F.A.C., Florida Power &amp; Light Company.</w:t>
            </w:r>
          </w:p>
        </w:tc>
        <w:tc>
          <w:tcPr>
            <w:tcW w:w="4788" w:type="dxa"/>
            <w:tcBorders>
              <w:left w:val="double" w:sz="6" w:space="0" w:color="auto"/>
            </w:tcBorders>
            <w:shd w:val="clear" w:color="auto" w:fill="auto"/>
          </w:tcPr>
          <w:p w:rsidR="00C071B0" w:rsidRDefault="00C071B0" w:rsidP="00C071B0">
            <w:pPr>
              <w:pStyle w:val="OrderBody"/>
            </w:pPr>
            <w:r>
              <w:t xml:space="preserve">DOCKET NO. </w:t>
            </w:r>
            <w:bookmarkStart w:id="2" w:name="SMDocketNo2"/>
            <w:bookmarkEnd w:id="2"/>
            <w:r>
              <w:t>20200071-EI</w:t>
            </w:r>
          </w:p>
          <w:p w:rsidR="00C071B0" w:rsidRDefault="00C071B0" w:rsidP="00C63FCF">
            <w:pPr>
              <w:pStyle w:val="OrderBody"/>
              <w:tabs>
                <w:tab w:val="center" w:pos="4320"/>
                <w:tab w:val="right" w:pos="8640"/>
              </w:tabs>
              <w:jc w:val="left"/>
            </w:pPr>
            <w:r>
              <w:t xml:space="preserve">ORDER NO. </w:t>
            </w:r>
            <w:bookmarkStart w:id="3" w:name="OrderNo0233"/>
            <w:r w:rsidR="00054B50">
              <w:t>PSC-2020-0233-PCO-EI</w:t>
            </w:r>
            <w:bookmarkEnd w:id="3"/>
          </w:p>
          <w:p w:rsidR="00C071B0" w:rsidRDefault="00C071B0" w:rsidP="00C63FCF">
            <w:pPr>
              <w:pStyle w:val="OrderBody"/>
              <w:tabs>
                <w:tab w:val="center" w:pos="4320"/>
                <w:tab w:val="right" w:pos="8640"/>
              </w:tabs>
              <w:jc w:val="left"/>
            </w:pPr>
            <w:r>
              <w:t xml:space="preserve">ISSUED: </w:t>
            </w:r>
            <w:r w:rsidR="00054B50">
              <w:t>July 14, 2020</w:t>
            </w:r>
          </w:p>
          <w:p w:rsidR="00C071B0" w:rsidRDefault="00C071B0" w:rsidP="00C63FCF">
            <w:pPr>
              <w:pStyle w:val="OrderBody"/>
              <w:tabs>
                <w:tab w:val="center" w:pos="4320"/>
                <w:tab w:val="right" w:pos="8640"/>
              </w:tabs>
              <w:jc w:val="left"/>
            </w:pPr>
          </w:p>
        </w:tc>
      </w:tr>
    </w:tbl>
    <w:p w:rsidR="00C071B0" w:rsidRDefault="00C071B0" w:rsidP="00C071B0"/>
    <w:p w:rsidR="00C071B0" w:rsidRDefault="00C071B0" w:rsidP="00C071B0"/>
    <w:p w:rsidR="00C071B0" w:rsidRDefault="00C071B0" w:rsidP="00C071B0">
      <w:pPr>
        <w:pStyle w:val="CenterUnderline"/>
      </w:pPr>
      <w:bookmarkStart w:id="4" w:name="Commissioners"/>
      <w:bookmarkEnd w:id="4"/>
      <w:r>
        <w:t>ORDER</w:t>
      </w:r>
      <w:bookmarkStart w:id="5" w:name="OrderTitle"/>
      <w:r>
        <w:t xml:space="preserve"> GRANTING INTERVENTION TO </w:t>
      </w:r>
    </w:p>
    <w:p w:rsidR="00CB5276" w:rsidRDefault="00C071B0" w:rsidP="00C071B0">
      <w:pPr>
        <w:pStyle w:val="CenterUnderline"/>
      </w:pPr>
      <w:r>
        <w:t xml:space="preserve">FLORIDA INDUSTRIAL POWER USERS GROUP </w:t>
      </w:r>
      <w:bookmarkEnd w:id="5"/>
    </w:p>
    <w:p w:rsidR="00C071B0" w:rsidRDefault="00C071B0" w:rsidP="00C071B0">
      <w:pPr>
        <w:pStyle w:val="CenterUnderline"/>
      </w:pPr>
    </w:p>
    <w:p w:rsidR="00196004" w:rsidRDefault="00196004" w:rsidP="00C071B0">
      <w:pPr>
        <w:jc w:val="both"/>
      </w:pPr>
      <w:bookmarkStart w:id="6" w:name="OrderText"/>
      <w:bookmarkEnd w:id="6"/>
    </w:p>
    <w:p w:rsidR="00196004" w:rsidRDefault="00196004" w:rsidP="00C071B0">
      <w:pPr>
        <w:jc w:val="both"/>
      </w:pPr>
      <w:r>
        <w:tab/>
        <w:t>Section 366.96(3), F.S., requires each public utility to file a transmission and distribution storm protection plan</w:t>
      </w:r>
      <w:r w:rsidR="006228A6">
        <w:t xml:space="preserve"> (SPP)</w:t>
      </w:r>
      <w:r>
        <w:t xml:space="preserve"> that covers the immediate 10-year planning period, and explains the systematic approach the utility will follow to achieve the objectives of reducing restoration costs and outage times associated with extreme weather events and enhancing reliability. Pursuant to Sections 366.96(5) and 366.96(6), F.S., every three years the Florida Public Service Commission (Commission) is required to determin</w:t>
      </w:r>
      <w:r w:rsidRPr="00C91CCA">
        <w:t xml:space="preserve">e whether it is in the public interest to approve, approve with modification, or deny each utility’s transmission and distribution storm protection plan filed in accordance with </w:t>
      </w:r>
      <w:r w:rsidR="005C3BEF" w:rsidRPr="00C91CCA">
        <w:t>Rule 25-6.030, F</w:t>
      </w:r>
      <w:r w:rsidR="00C91CCA" w:rsidRPr="00C91CCA">
        <w:t>lorida Administrative Code</w:t>
      </w:r>
      <w:r w:rsidR="00C91CCA">
        <w:t xml:space="preserve"> (F.A.C.)</w:t>
      </w:r>
      <w:r w:rsidR="00C91CCA" w:rsidRPr="00C91CCA">
        <w:t>.</w:t>
      </w:r>
    </w:p>
    <w:p w:rsidR="00196004" w:rsidRDefault="00196004" w:rsidP="00C071B0">
      <w:pPr>
        <w:jc w:val="both"/>
      </w:pPr>
    </w:p>
    <w:p w:rsidR="00C071B0" w:rsidRDefault="00C91CCA" w:rsidP="00C8747F">
      <w:pPr>
        <w:ind w:firstLine="720"/>
        <w:jc w:val="both"/>
      </w:pPr>
      <w:r>
        <w:t xml:space="preserve">By petition dated June 23, 2020, </w:t>
      </w:r>
      <w:r w:rsidRPr="00EB5771">
        <w:t xml:space="preserve">the </w:t>
      </w:r>
      <w:r>
        <w:t>Florida Industrial Power Users Group (FIPUG)</w:t>
      </w:r>
      <w:r w:rsidRPr="00EB5771">
        <w:t xml:space="preserve"> requested permission to intervene in</w:t>
      </w:r>
      <w:r>
        <w:t xml:space="preserve"> Docket Nos. 20200067-EI, 20200069-EI, 20200070-EI, and 20200071-EI.</w:t>
      </w:r>
      <w:r w:rsidR="00196004">
        <w:t xml:space="preserve"> </w:t>
      </w:r>
      <w:r>
        <w:t>These</w:t>
      </w:r>
      <w:r w:rsidR="00196004">
        <w:t xml:space="preserve"> dockets have been consolidated for the purpose of hearing</w:t>
      </w:r>
      <w:r w:rsidR="00C8747F">
        <w:t xml:space="preserve"> by</w:t>
      </w:r>
      <w:r w:rsidR="00196004">
        <w:t xml:space="preserve"> Order No. PSC-2020-0073-PCO-EI, issued March 11, 2020, as modified by Order No</w:t>
      </w:r>
      <w:r w:rsidR="009D33EA">
        <w:t>.</w:t>
      </w:r>
      <w:r w:rsidR="00196004">
        <w:t xml:space="preserve"> </w:t>
      </w:r>
      <w:r w:rsidR="009D33EA">
        <w:t>PSC-</w:t>
      </w:r>
      <w:r w:rsidR="00196004">
        <w:t>2020-0122-PCO-EI</w:t>
      </w:r>
      <w:r w:rsidR="001141D8">
        <w:t>,</w:t>
      </w:r>
      <w:r w:rsidR="00196004">
        <w:t xml:space="preserve"> issued on April 22, 2020.</w:t>
      </w:r>
      <w:r w:rsidR="001141D8">
        <w:rPr>
          <w:rStyle w:val="FootnoteReference"/>
        </w:rPr>
        <w:footnoteReference w:id="1"/>
      </w:r>
      <w:r w:rsidR="00196004">
        <w:t xml:space="preserve"> These dockets are currently sch</w:t>
      </w:r>
      <w:r w:rsidR="00230DFE">
        <w:t xml:space="preserve">eduled for hearing on August 10 to </w:t>
      </w:r>
      <w:r w:rsidR="00196004">
        <w:t>13, 2020.</w:t>
      </w:r>
      <w:r w:rsidR="00CE49F8">
        <w:t xml:space="preserve"> </w:t>
      </w:r>
    </w:p>
    <w:p w:rsidR="0042269E" w:rsidRDefault="0042269E" w:rsidP="00C071B0">
      <w:pPr>
        <w:jc w:val="both"/>
      </w:pPr>
    </w:p>
    <w:p w:rsidR="00C8747F" w:rsidRDefault="00C8747F" w:rsidP="00C071B0">
      <w:pPr>
        <w:jc w:val="both"/>
      </w:pPr>
    </w:p>
    <w:p w:rsidR="00C8747F" w:rsidRDefault="00C8747F" w:rsidP="00C071B0">
      <w:pPr>
        <w:jc w:val="both"/>
      </w:pPr>
    </w:p>
    <w:p w:rsidR="00C8747F" w:rsidRDefault="00C8747F" w:rsidP="00C071B0">
      <w:pPr>
        <w:jc w:val="both"/>
      </w:pPr>
    </w:p>
    <w:p w:rsidR="00C071B0" w:rsidRPr="00173CF1" w:rsidRDefault="00C071B0" w:rsidP="00C071B0">
      <w:pPr>
        <w:jc w:val="both"/>
        <w:rPr>
          <w:u w:val="single"/>
        </w:rPr>
      </w:pPr>
      <w:r w:rsidRPr="00173CF1">
        <w:rPr>
          <w:u w:val="single"/>
        </w:rPr>
        <w:lastRenderedPageBreak/>
        <w:t>Petition for Intervention</w:t>
      </w:r>
    </w:p>
    <w:p w:rsidR="00C071B0" w:rsidRDefault="00C071B0" w:rsidP="00C071B0">
      <w:pPr>
        <w:jc w:val="both"/>
      </w:pPr>
    </w:p>
    <w:p w:rsidR="003C2672" w:rsidRDefault="00CE49F8" w:rsidP="00B96076">
      <w:pPr>
        <w:ind w:firstLine="720"/>
        <w:jc w:val="both"/>
      </w:pPr>
      <w:r>
        <w:t xml:space="preserve">FIPUG states that it is an </w:t>
      </w:r>
      <w:r w:rsidR="00EA4DBD">
        <w:t xml:space="preserve">association </w:t>
      </w:r>
      <w:r w:rsidR="00E774F5">
        <w:t>of businesses consisting of large</w:t>
      </w:r>
      <w:r w:rsidR="00EA4DBD">
        <w:t xml:space="preserve"> users of electricity in Florida, a substantial number of whom receive electricity from </w:t>
      </w:r>
      <w:r>
        <w:t>Tampa Electric Company (</w:t>
      </w:r>
      <w:r w:rsidR="00EA4DBD">
        <w:t>TECO</w:t>
      </w:r>
      <w:r>
        <w:t>)</w:t>
      </w:r>
      <w:r w:rsidR="00EA4DBD">
        <w:t xml:space="preserve">, </w:t>
      </w:r>
      <w:r>
        <w:t>Duke Energy Florida, LLC (</w:t>
      </w:r>
      <w:r w:rsidR="00EA4DBD">
        <w:t>DEF</w:t>
      </w:r>
      <w:r>
        <w:t>)</w:t>
      </w:r>
      <w:r w:rsidR="00EA4DBD">
        <w:t>, Gulf</w:t>
      </w:r>
      <w:r>
        <w:t xml:space="preserve"> Power Company (Gulf)</w:t>
      </w:r>
      <w:r w:rsidR="00EA4DBD">
        <w:t xml:space="preserve">, and </w:t>
      </w:r>
      <w:r>
        <w:t>Florida Power &amp; Light Company (</w:t>
      </w:r>
      <w:r w:rsidR="00EA4DBD">
        <w:t>FPL</w:t>
      </w:r>
      <w:r>
        <w:t>)</w:t>
      </w:r>
      <w:r w:rsidR="00EA4DBD">
        <w:t>.</w:t>
      </w:r>
      <w:r w:rsidR="00C071B0">
        <w:t xml:space="preserve">  </w:t>
      </w:r>
      <w:r w:rsidR="00040B85">
        <w:t xml:space="preserve"> </w:t>
      </w:r>
    </w:p>
    <w:p w:rsidR="003C2672" w:rsidRDefault="003C2672" w:rsidP="00B96076">
      <w:pPr>
        <w:ind w:firstLine="720"/>
        <w:jc w:val="both"/>
      </w:pPr>
    </w:p>
    <w:p w:rsidR="003F01FD" w:rsidRDefault="008D5578" w:rsidP="00C071B0">
      <w:pPr>
        <w:ind w:firstLine="720"/>
        <w:jc w:val="both"/>
      </w:pPr>
      <w:r>
        <w:t>FIPUG alleges that the cost of electricity constitutes a significant portion of FIPUG members’ overall costs of production and/or operations</w:t>
      </w:r>
      <w:r w:rsidR="000A3A47">
        <w:t>,</w:t>
      </w:r>
      <w:r>
        <w:t xml:space="preserve"> and that its members require adequate, reasonably-priced electricity in order to compete in their respective markets and to conduct business effectively and efficiently</w:t>
      </w:r>
      <w:r w:rsidR="00E774F5">
        <w:t xml:space="preserve">. </w:t>
      </w:r>
      <w:r w:rsidR="00B96076">
        <w:t xml:space="preserve">Thus, FIPUG argues </w:t>
      </w:r>
      <w:r w:rsidR="005600EE">
        <w:t xml:space="preserve">that </w:t>
      </w:r>
      <w:r w:rsidR="00B96076">
        <w:t>t</w:t>
      </w:r>
      <w:r w:rsidR="00EC38FC">
        <w:t xml:space="preserve">he </w:t>
      </w:r>
      <w:r w:rsidR="006228A6">
        <w:t xml:space="preserve">outcome of </w:t>
      </w:r>
      <w:r w:rsidR="006E7D9D">
        <w:t xml:space="preserve">this case </w:t>
      </w:r>
      <w:r w:rsidR="00B96076">
        <w:t xml:space="preserve">will have a direct and substantial impact on </w:t>
      </w:r>
      <w:r w:rsidR="005600EE">
        <w:t xml:space="preserve">its </w:t>
      </w:r>
      <w:r w:rsidR="00B96076" w:rsidRPr="005600EE">
        <w:t>members</w:t>
      </w:r>
      <w:r w:rsidR="00B96076">
        <w:t>.</w:t>
      </w:r>
      <w:r w:rsidR="001334EA">
        <w:t xml:space="preserve"> </w:t>
      </w:r>
      <w:r w:rsidR="00F63922">
        <w:t>FIPUG further states that the subject matter of this docket is within FIPUG's general scope of interest and activity. FIPUG</w:t>
      </w:r>
      <w:r w:rsidR="000A3A47">
        <w:t xml:space="preserve"> states that it</w:t>
      </w:r>
      <w:r w:rsidR="00F63922">
        <w:t xml:space="preserve"> routinely appears on behalf of its members in cases concerning utility regulation, as the cost of electricity represents a significant portion of its members' production and/or operational costs. As such, </w:t>
      </w:r>
      <w:r w:rsidR="000A3A47">
        <w:t xml:space="preserve">FIPUG argues that </w:t>
      </w:r>
      <w:r w:rsidR="00F63922">
        <w:t>the subject matter of the instant docket, the evaluation of TECO’s, DEF’s, Gulf’s, and FPL</w:t>
      </w:r>
      <w:r w:rsidR="000A3A47">
        <w:t>’</w:t>
      </w:r>
      <w:r w:rsidR="00F63922">
        <w:t>s re</w:t>
      </w:r>
      <w:r w:rsidR="00F63922" w:rsidRPr="00C91CCA">
        <w:t>quest for Commission review and approval of activities related to its 2020-2029 SPP, is well within FIPUG</w:t>
      </w:r>
      <w:r w:rsidR="000E55FA" w:rsidRPr="00C91CCA">
        <w:t>’</w:t>
      </w:r>
      <w:r w:rsidR="00F63922" w:rsidRPr="00C91CCA">
        <w:t>s scope of interest and activity.</w:t>
      </w:r>
      <w:r w:rsidR="003F01FD" w:rsidRPr="00C91CCA">
        <w:t xml:space="preserve"> Finally, FIPUG states that the relief it is seeking is of the type appropriate for it to receive on behalf of its members pursuant to Rule 28-106.205(1), </w:t>
      </w:r>
      <w:r w:rsidR="00C91CCA">
        <w:t>F.A.C</w:t>
      </w:r>
      <w:r w:rsidR="003F01FD" w:rsidRPr="00C91CCA">
        <w:t>.</w:t>
      </w:r>
      <w:r w:rsidR="003F01FD">
        <w:t xml:space="preserve"> </w:t>
      </w:r>
    </w:p>
    <w:p w:rsidR="00855D89" w:rsidRDefault="00855D89" w:rsidP="00C071B0">
      <w:pPr>
        <w:ind w:firstLine="720"/>
        <w:jc w:val="both"/>
      </w:pPr>
    </w:p>
    <w:p w:rsidR="00F52422" w:rsidRPr="00F52422" w:rsidRDefault="00F25F6F" w:rsidP="00C071B0">
      <w:pPr>
        <w:ind w:firstLine="720"/>
        <w:jc w:val="both"/>
      </w:pPr>
      <w:r w:rsidRPr="00F52422">
        <w:t xml:space="preserve">In accordance with Rule 28-106.204(3), F.A.C., FIPUG represents that it has conferred with the parties to this proceeding regarding </w:t>
      </w:r>
      <w:r w:rsidR="00A32683">
        <w:t>it</w:t>
      </w:r>
      <w:r w:rsidR="00A32683" w:rsidRPr="00F52422">
        <w:t xml:space="preserve">s </w:t>
      </w:r>
      <w:r w:rsidRPr="00F52422">
        <w:t>petition</w:t>
      </w:r>
      <w:r w:rsidR="006E5F82">
        <w:t>,</w:t>
      </w:r>
      <w:r w:rsidRPr="00F52422">
        <w:t xml:space="preserve"> and that all parties take no position on FIPUG’s intervention.</w:t>
      </w:r>
    </w:p>
    <w:p w:rsidR="00F52422" w:rsidRDefault="00F52422" w:rsidP="00F52422">
      <w:pPr>
        <w:ind w:firstLine="720"/>
        <w:jc w:val="both"/>
      </w:pPr>
    </w:p>
    <w:p w:rsidR="00C071B0" w:rsidRPr="00173CF1" w:rsidRDefault="00C071B0" w:rsidP="00C071B0">
      <w:pPr>
        <w:jc w:val="both"/>
        <w:rPr>
          <w:u w:val="single"/>
        </w:rPr>
      </w:pPr>
      <w:r w:rsidRPr="00173CF1">
        <w:rPr>
          <w:u w:val="single"/>
        </w:rPr>
        <w:t>Standards for Intervention</w:t>
      </w:r>
    </w:p>
    <w:p w:rsidR="00C071B0" w:rsidRDefault="00C071B0" w:rsidP="00C071B0">
      <w:pPr>
        <w:jc w:val="both"/>
      </w:pPr>
    </w:p>
    <w:p w:rsidR="00C071B0" w:rsidRDefault="00C071B0" w:rsidP="00C071B0">
      <w:pPr>
        <w:ind w:firstLine="720"/>
        <w:jc w:val="both"/>
      </w:pPr>
      <w:r>
        <w:t xml:space="preserve">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w:t>
      </w:r>
      <w:r w:rsidR="000E55FA">
        <w:t>R</w:t>
      </w:r>
      <w:r>
        <w:t>ule, or that the substantial interests of the intervenor are subject to determination or will be affected through the proceeding.  Intervenors take the case as they find it.</w:t>
      </w:r>
    </w:p>
    <w:p w:rsidR="00C071B0" w:rsidRDefault="00C071B0" w:rsidP="00C071B0">
      <w:pPr>
        <w:ind w:firstLine="720"/>
        <w:jc w:val="both"/>
      </w:pPr>
    </w:p>
    <w:p w:rsidR="00F52422" w:rsidRDefault="00C071B0" w:rsidP="00C071B0">
      <w:pPr>
        <w:ind w:firstLine="720"/>
        <w:jc w:val="both"/>
      </w:pPr>
      <w:r>
        <w:t xml:space="preserve">To have standing, the intervenor must meet the three-prong standing test set forth in </w:t>
      </w:r>
      <w:r>
        <w:rPr>
          <w:u w:val="single"/>
        </w:rPr>
        <w:t>Florida Home Builders Association v. Department of Labor and Employment Security</w:t>
      </w:r>
      <w:r w:rsidR="00A277CF">
        <w:rPr>
          <w:u w:val="single"/>
        </w:rPr>
        <w:t xml:space="preserve"> (Florida Home Builders)</w:t>
      </w:r>
      <w:r>
        <w:t xml:space="preserve">, 412 So. 2d 351, 353-54 (Fla. 1982), and </w:t>
      </w:r>
      <w:r>
        <w:rPr>
          <w:u w:val="single"/>
        </w:rPr>
        <w:t>Farmworker Rights Org</w:t>
      </w:r>
      <w:r w:rsidR="00A277CF">
        <w:rPr>
          <w:u w:val="single"/>
        </w:rPr>
        <w:t>.</w:t>
      </w:r>
      <w:r>
        <w:rPr>
          <w:u w:val="single"/>
        </w:rPr>
        <w:t>, Inc. v. Department of Health and Rehabilitative Services</w:t>
      </w:r>
      <w:r w:rsidR="00A277CF">
        <w:rPr>
          <w:u w:val="single"/>
        </w:rPr>
        <w:t xml:space="preserve"> (Farmworker Rights Org.)</w:t>
      </w:r>
      <w:r>
        <w:t xml:space="preserve">, 417 So. 2d 753, 754 (Fla. 1st DCA 1982), which is based on the basic standing principles established in </w:t>
      </w:r>
      <w:r>
        <w:rPr>
          <w:u w:val="single"/>
        </w:rPr>
        <w:t>Agrico Chemical Company v. Department of Environmental Regulation</w:t>
      </w:r>
      <w:r>
        <w:t>, 406 So. 2d 478, 481-82 (Fla. 2d DCA 1981).</w:t>
      </w:r>
      <w:r>
        <w:rPr>
          <w:rStyle w:val="FootnoteReference"/>
        </w:rPr>
        <w:footnoteReference w:id="2"/>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w:t>
      </w:r>
      <w:r w:rsidR="005140F2">
        <w:t xml:space="preserve">eive on behalf of its members. </w:t>
      </w:r>
      <w:r w:rsidRPr="002E3316">
        <w:rPr>
          <w:u w:val="single"/>
        </w:rPr>
        <w:t>Fl</w:t>
      </w:r>
      <w:r w:rsidR="00A277CF">
        <w:rPr>
          <w:u w:val="single"/>
        </w:rPr>
        <w:t>orida</w:t>
      </w:r>
      <w:r w:rsidRPr="002E3316">
        <w:rPr>
          <w:u w:val="single"/>
        </w:rPr>
        <w:t xml:space="preserve"> Home Builders</w:t>
      </w:r>
      <w:r>
        <w:t xml:space="preserve">, 412 So. 2d at 353-54; </w:t>
      </w:r>
      <w:r w:rsidRPr="002E3316">
        <w:rPr>
          <w:u w:val="single"/>
        </w:rPr>
        <w:t>Farmworker Rights Org.</w:t>
      </w:r>
      <w:r>
        <w:t>,417 So. 2d at 754.</w:t>
      </w:r>
    </w:p>
    <w:p w:rsidR="005140F2" w:rsidRDefault="005140F2" w:rsidP="005140F2">
      <w:pPr>
        <w:jc w:val="both"/>
        <w:rPr>
          <w:u w:val="single"/>
        </w:rPr>
      </w:pPr>
    </w:p>
    <w:p w:rsidR="005140F2" w:rsidRPr="005140F2" w:rsidRDefault="005140F2" w:rsidP="005140F2">
      <w:pPr>
        <w:jc w:val="both"/>
        <w:rPr>
          <w:b/>
          <w:color w:val="FF0000"/>
        </w:rPr>
      </w:pPr>
      <w:r w:rsidRPr="00F52422">
        <w:rPr>
          <w:u w:val="single"/>
        </w:rPr>
        <w:t>Decision</w:t>
      </w:r>
    </w:p>
    <w:p w:rsidR="005140F2" w:rsidRDefault="005140F2" w:rsidP="005140F2">
      <w:pPr>
        <w:ind w:firstLine="720"/>
      </w:pPr>
    </w:p>
    <w:p w:rsidR="003F01FD" w:rsidRDefault="00A0393B" w:rsidP="00C071B0">
      <w:pPr>
        <w:ind w:firstLine="720"/>
        <w:jc w:val="both"/>
      </w:pPr>
      <w:r>
        <w:t xml:space="preserve">FIPUG has standing in this proceeding as it meets the three-prong standing test set forth for associations in </w:t>
      </w:r>
      <w:r w:rsidRPr="00E23C4A">
        <w:rPr>
          <w:u w:val="single"/>
        </w:rPr>
        <w:t>Florida Home Builders</w:t>
      </w:r>
      <w:r>
        <w:t xml:space="preserve">: </w:t>
      </w:r>
      <w:r w:rsidR="003F01FD">
        <w:t>1</w:t>
      </w:r>
      <w:r>
        <w:t>) FIPUG asserts that it has a substantial number of  members that are ratepayers of TECO, DEF, Gulf, and FPL, and, as a result, those members are directly and substantially affected by the decision in this case</w:t>
      </w:r>
      <w:r w:rsidR="003F01FD">
        <w:t>; 2)</w:t>
      </w:r>
      <w:r>
        <w:t xml:space="preserve"> FIPUG’s general scope of interest and activity is to make sure that electric utilities’ rates charged to its members are fair, just</w:t>
      </w:r>
      <w:r w:rsidR="00F651A2">
        <w:t>,</w:t>
      </w:r>
      <w:r>
        <w:t xml:space="preserve"> and reasonable</w:t>
      </w:r>
      <w:r w:rsidR="003F01FD">
        <w:t>;</w:t>
      </w:r>
      <w:r>
        <w:t xml:space="preserve"> </w:t>
      </w:r>
      <w:r w:rsidR="000E55FA">
        <w:t xml:space="preserve">and </w:t>
      </w:r>
      <w:r w:rsidR="003F01FD">
        <w:t>3)</w:t>
      </w:r>
      <w:r w:rsidR="003F01FD" w:rsidRPr="003F01FD">
        <w:t xml:space="preserve"> </w:t>
      </w:r>
      <w:r>
        <w:t>b</w:t>
      </w:r>
      <w:r w:rsidR="003F01FD">
        <w:t xml:space="preserve">ecause FIPUG’s members are large consumers of electricity, </w:t>
      </w:r>
      <w:r w:rsidR="00230DFE">
        <w:t xml:space="preserve">whose </w:t>
      </w:r>
      <w:r w:rsidR="003F01FD">
        <w:t>customers will be affected by the outcome of this case, FIPUG's participation in this docket is appropriate</w:t>
      </w:r>
      <w:r w:rsidR="006C5645">
        <w:t>.</w:t>
      </w:r>
    </w:p>
    <w:p w:rsidR="00C071B0" w:rsidRDefault="00C071B0" w:rsidP="00C071B0">
      <w:pPr>
        <w:ind w:firstLine="720"/>
        <w:jc w:val="both"/>
      </w:pPr>
    </w:p>
    <w:p w:rsidR="00C071B0" w:rsidRPr="00826D5E" w:rsidRDefault="00C071B0" w:rsidP="00C071B0">
      <w:pPr>
        <w:jc w:val="both"/>
      </w:pPr>
      <w:r w:rsidRPr="00826D5E">
        <w:tab/>
      </w:r>
      <w:r>
        <w:t>Based on the above representations,</w:t>
      </w:r>
      <w:r w:rsidRPr="00826D5E">
        <w:t xml:space="preserve"> it is</w:t>
      </w:r>
    </w:p>
    <w:p w:rsidR="00C071B0" w:rsidRPr="00826D5E" w:rsidRDefault="00C071B0" w:rsidP="00C071B0">
      <w:pPr>
        <w:jc w:val="both"/>
      </w:pPr>
    </w:p>
    <w:p w:rsidR="00C071B0" w:rsidRDefault="00C071B0" w:rsidP="00C071B0">
      <w:pPr>
        <w:ind w:firstLine="720"/>
        <w:jc w:val="both"/>
      </w:pPr>
      <w:r>
        <w:t>ORDERED by Commissioner Donald J. Polmann, as Prehearing Officer, that the Motion to Intervene filed by Florida Industrial Power Users Group is here</w:t>
      </w:r>
      <w:r w:rsidR="00F651A2">
        <w:t xml:space="preserve">by granted as set forth in the </w:t>
      </w:r>
      <w:r>
        <w:t>body of this Order. It is further</w:t>
      </w:r>
    </w:p>
    <w:p w:rsidR="00C071B0" w:rsidRDefault="00C071B0" w:rsidP="00C071B0">
      <w:pPr>
        <w:ind w:firstLine="720"/>
        <w:jc w:val="both"/>
      </w:pPr>
    </w:p>
    <w:p w:rsidR="00C071B0" w:rsidRDefault="00C071B0" w:rsidP="00C071B0">
      <w:pPr>
        <w:ind w:firstLine="720"/>
        <w:jc w:val="both"/>
      </w:pPr>
      <w:r>
        <w:t xml:space="preserve">ORDERED that Florida Industrial Power Users Group takes the case as it finds it. It is further </w:t>
      </w:r>
    </w:p>
    <w:p w:rsidR="00C071B0" w:rsidRDefault="00C071B0" w:rsidP="00C071B0">
      <w:pPr>
        <w:ind w:firstLine="720"/>
        <w:jc w:val="both"/>
      </w:pPr>
    </w:p>
    <w:p w:rsidR="00C071B0" w:rsidRDefault="00C071B0" w:rsidP="00C071B0">
      <w:pPr>
        <w:ind w:firstLine="720"/>
        <w:jc w:val="both"/>
      </w:pPr>
      <w:r>
        <w:t>ORDERED that all parties to this proceeding shall furnish copies of all testimony, exhibits, pleadings, and other documents which may hereinafter be filed in this proceeding to:</w:t>
      </w:r>
    </w:p>
    <w:p w:rsidR="00C071B0" w:rsidRDefault="00C071B0" w:rsidP="00C071B0">
      <w:pPr>
        <w:ind w:firstLine="720"/>
        <w:jc w:val="both"/>
      </w:pPr>
    </w:p>
    <w:p w:rsidR="00DF7E93" w:rsidRDefault="00DF7E93" w:rsidP="00C071B0">
      <w:pPr>
        <w:ind w:firstLine="720"/>
        <w:jc w:val="both"/>
      </w:pPr>
      <w:r>
        <w:t xml:space="preserve">Jon C. Moyle, Jr. </w:t>
      </w:r>
    </w:p>
    <w:p w:rsidR="00DF7E93" w:rsidRDefault="00DF7E93" w:rsidP="00C071B0">
      <w:pPr>
        <w:ind w:firstLine="720"/>
        <w:jc w:val="both"/>
      </w:pPr>
      <w:r>
        <w:t xml:space="preserve">Karen A. Putnal </w:t>
      </w:r>
    </w:p>
    <w:p w:rsidR="00DF7E93" w:rsidRDefault="00DF7E93" w:rsidP="00C071B0">
      <w:pPr>
        <w:ind w:firstLine="720"/>
        <w:jc w:val="both"/>
      </w:pPr>
      <w:r>
        <w:t xml:space="preserve">Moyle Law Firm, P.A. </w:t>
      </w:r>
    </w:p>
    <w:p w:rsidR="00DF7E93" w:rsidRDefault="00DF7E93" w:rsidP="00C071B0">
      <w:pPr>
        <w:ind w:firstLine="720"/>
        <w:jc w:val="both"/>
      </w:pPr>
      <w:r>
        <w:t xml:space="preserve">118 North Gadsden Street </w:t>
      </w:r>
    </w:p>
    <w:p w:rsidR="00DF7E93" w:rsidRDefault="00DF7E93" w:rsidP="00C071B0">
      <w:pPr>
        <w:ind w:firstLine="720"/>
        <w:jc w:val="both"/>
      </w:pPr>
      <w:r>
        <w:t xml:space="preserve">Tallahassee, Florida 32301 </w:t>
      </w:r>
    </w:p>
    <w:p w:rsidR="00DF7E93" w:rsidRDefault="00DF7E93" w:rsidP="00C071B0">
      <w:pPr>
        <w:ind w:firstLine="720"/>
        <w:jc w:val="both"/>
      </w:pPr>
      <w:r>
        <w:t xml:space="preserve">Telephone: (850) 681-3828 </w:t>
      </w:r>
    </w:p>
    <w:p w:rsidR="00DF7E93" w:rsidRDefault="00DF7E93" w:rsidP="00C071B0">
      <w:pPr>
        <w:ind w:firstLine="720"/>
        <w:jc w:val="both"/>
      </w:pPr>
      <w:r>
        <w:t xml:space="preserve">Facsimile: (850) 681-8788 </w:t>
      </w:r>
    </w:p>
    <w:p w:rsidR="00DF7E93" w:rsidRDefault="00DF7E93" w:rsidP="00C071B0">
      <w:pPr>
        <w:ind w:firstLine="720"/>
        <w:jc w:val="both"/>
      </w:pPr>
      <w:r w:rsidRPr="00DF7E93">
        <w:t>jmoyle@moylelaw.com</w:t>
      </w:r>
      <w:r>
        <w:t xml:space="preserve"> </w:t>
      </w:r>
    </w:p>
    <w:p w:rsidR="00DF7E93" w:rsidRDefault="00DF7E93" w:rsidP="00C071B0">
      <w:pPr>
        <w:ind w:firstLine="720"/>
        <w:jc w:val="both"/>
      </w:pPr>
      <w:r>
        <w:t xml:space="preserve">kputnal@moylelaw.com </w:t>
      </w:r>
    </w:p>
    <w:p w:rsidR="00F20885" w:rsidRDefault="00F20885" w:rsidP="00F20885">
      <w:pPr>
        <w:ind w:firstLine="720"/>
        <w:jc w:val="both"/>
      </w:pPr>
      <w:r w:rsidRPr="00F20885">
        <w:t>mqualls@moylelaw.com</w:t>
      </w:r>
    </w:p>
    <w:p w:rsidR="00F20885" w:rsidRDefault="00F20885" w:rsidP="00F20885">
      <w:pPr>
        <w:ind w:firstLine="720"/>
        <w:jc w:val="both"/>
      </w:pPr>
    </w:p>
    <w:p w:rsidR="00054B50" w:rsidRDefault="00C071B0" w:rsidP="00054B50">
      <w:pPr>
        <w:ind w:firstLine="720"/>
        <w:jc w:val="both"/>
      </w:pPr>
      <w:r w:rsidRPr="00C071B0">
        <w:t xml:space="preserve">By ORDER of Commissioner Donald J. Polmann, as Prehearing Officer, this </w:t>
      </w:r>
      <w:bookmarkStart w:id="7" w:name="replaceDate"/>
      <w:bookmarkEnd w:id="7"/>
      <w:r w:rsidR="003F49A5">
        <w:rPr>
          <w:u w:val="single"/>
        </w:rPr>
        <w:t>14th</w:t>
      </w:r>
      <w:r w:rsidR="003F49A5">
        <w:t xml:space="preserve"> day of </w:t>
      </w:r>
      <w:r w:rsidR="003F49A5">
        <w:rPr>
          <w:u w:val="single"/>
        </w:rPr>
        <w:t>July</w:t>
      </w:r>
      <w:r w:rsidR="003F49A5">
        <w:t xml:space="preserve">, </w:t>
      </w:r>
      <w:r w:rsidR="003F49A5">
        <w:rPr>
          <w:u w:val="single"/>
        </w:rPr>
        <w:t>2020</w:t>
      </w:r>
      <w:r w:rsidR="003F49A5">
        <w:t>.</w:t>
      </w:r>
    </w:p>
    <w:p w:rsidR="003F49A5" w:rsidRPr="003F49A5" w:rsidRDefault="003F49A5" w:rsidP="00054B50">
      <w:pPr>
        <w:ind w:firstLine="720"/>
        <w:jc w:val="both"/>
      </w:pPr>
    </w:p>
    <w:p w:rsidR="00C071B0" w:rsidRPr="00C071B0" w:rsidRDefault="00C071B0" w:rsidP="00054B50">
      <w:pPr>
        <w:keepNext/>
        <w:keepLines/>
        <w:tabs>
          <w:tab w:val="left" w:pos="5923"/>
        </w:tabs>
        <w:jc w:val="both"/>
      </w:pPr>
    </w:p>
    <w:tbl>
      <w:tblPr>
        <w:tblW w:w="4720" w:type="dxa"/>
        <w:tblInd w:w="3800" w:type="dxa"/>
        <w:tblLayout w:type="fixed"/>
        <w:tblLook w:val="0000" w:firstRow="0" w:lastRow="0" w:firstColumn="0" w:lastColumn="0" w:noHBand="0" w:noVBand="0"/>
      </w:tblPr>
      <w:tblGrid>
        <w:gridCol w:w="686"/>
        <w:gridCol w:w="4034"/>
      </w:tblGrid>
      <w:tr w:rsidR="00C071B0" w:rsidRPr="00C071B0" w:rsidTr="00C071B0">
        <w:tc>
          <w:tcPr>
            <w:tcW w:w="720" w:type="dxa"/>
            <w:shd w:val="clear" w:color="auto" w:fill="auto"/>
          </w:tcPr>
          <w:p w:rsidR="00C071B0" w:rsidRPr="00C071B0" w:rsidRDefault="00C071B0" w:rsidP="00C071B0">
            <w:pPr>
              <w:keepNext/>
              <w:keepLines/>
              <w:jc w:val="both"/>
            </w:pPr>
            <w:bookmarkStart w:id="8" w:name="bkmrkSignature" w:colFirst="0" w:colLast="0"/>
          </w:p>
        </w:tc>
        <w:tc>
          <w:tcPr>
            <w:tcW w:w="4320" w:type="dxa"/>
            <w:tcBorders>
              <w:bottom w:val="single" w:sz="4" w:space="0" w:color="auto"/>
            </w:tcBorders>
            <w:shd w:val="clear" w:color="auto" w:fill="auto"/>
          </w:tcPr>
          <w:p w:rsidR="00C071B0" w:rsidRPr="00C071B0" w:rsidRDefault="003F49A5" w:rsidP="00C071B0">
            <w:pPr>
              <w:keepNext/>
              <w:keepLines/>
              <w:jc w:val="both"/>
            </w:pPr>
            <w:r>
              <w:t>/s/ Donald J. Polmann, Ph.D., P.E.</w:t>
            </w:r>
            <w:bookmarkStart w:id="9" w:name="_GoBack"/>
            <w:bookmarkEnd w:id="9"/>
          </w:p>
        </w:tc>
      </w:tr>
      <w:bookmarkEnd w:id="8"/>
      <w:tr w:rsidR="00C071B0" w:rsidRPr="00C071B0" w:rsidTr="00C071B0">
        <w:tc>
          <w:tcPr>
            <w:tcW w:w="720" w:type="dxa"/>
            <w:shd w:val="clear" w:color="auto" w:fill="auto"/>
          </w:tcPr>
          <w:p w:rsidR="00C071B0" w:rsidRPr="00C071B0" w:rsidRDefault="00C071B0" w:rsidP="00C071B0">
            <w:pPr>
              <w:keepNext/>
              <w:keepLines/>
              <w:jc w:val="both"/>
            </w:pPr>
          </w:p>
        </w:tc>
        <w:tc>
          <w:tcPr>
            <w:tcW w:w="4320" w:type="dxa"/>
            <w:tcBorders>
              <w:top w:val="single" w:sz="4" w:space="0" w:color="auto"/>
            </w:tcBorders>
            <w:shd w:val="clear" w:color="auto" w:fill="auto"/>
          </w:tcPr>
          <w:p w:rsidR="00C071B0" w:rsidRPr="00C071B0" w:rsidRDefault="00C071B0" w:rsidP="00C071B0">
            <w:pPr>
              <w:keepNext/>
              <w:keepLines/>
              <w:jc w:val="both"/>
            </w:pPr>
            <w:r w:rsidRPr="00C071B0">
              <w:t>DONALD J. POLMANN, Ph.D., P.E.</w:t>
            </w:r>
          </w:p>
          <w:p w:rsidR="00C071B0" w:rsidRPr="00C071B0" w:rsidRDefault="00C071B0" w:rsidP="00C071B0">
            <w:pPr>
              <w:keepNext/>
              <w:keepLines/>
              <w:jc w:val="both"/>
            </w:pPr>
            <w:r w:rsidRPr="00C071B0">
              <w:t>Commissioner and Prehearing Officer</w:t>
            </w:r>
          </w:p>
        </w:tc>
      </w:tr>
    </w:tbl>
    <w:p w:rsidR="00C071B0" w:rsidRDefault="00C071B0" w:rsidP="00C071B0">
      <w:pPr>
        <w:pStyle w:val="OrderSigInfo"/>
        <w:keepNext/>
        <w:keepLines/>
      </w:pPr>
      <w:r>
        <w:t>Florida Public Service Commission</w:t>
      </w:r>
    </w:p>
    <w:p w:rsidR="00C071B0" w:rsidRDefault="00C071B0" w:rsidP="00C071B0">
      <w:pPr>
        <w:pStyle w:val="OrderSigInfo"/>
        <w:keepNext/>
        <w:keepLines/>
      </w:pPr>
      <w:r>
        <w:t>2540 Shumard Oak Boulevard</w:t>
      </w:r>
    </w:p>
    <w:p w:rsidR="00C071B0" w:rsidRDefault="00C071B0" w:rsidP="00C071B0">
      <w:pPr>
        <w:pStyle w:val="OrderSigInfo"/>
        <w:keepNext/>
        <w:keepLines/>
      </w:pPr>
      <w:r>
        <w:t>Tallahassee, Florida 32399</w:t>
      </w:r>
    </w:p>
    <w:p w:rsidR="00C071B0" w:rsidRDefault="00C071B0" w:rsidP="00C071B0">
      <w:pPr>
        <w:pStyle w:val="OrderSigInfo"/>
        <w:keepNext/>
        <w:keepLines/>
      </w:pPr>
      <w:r>
        <w:t>(850) 413</w:t>
      </w:r>
      <w:r>
        <w:noBreakHyphen/>
        <w:t>6770</w:t>
      </w:r>
    </w:p>
    <w:p w:rsidR="00C071B0" w:rsidRDefault="00C071B0" w:rsidP="00C071B0">
      <w:pPr>
        <w:pStyle w:val="OrderSigInfo"/>
        <w:keepNext/>
        <w:keepLines/>
      </w:pPr>
      <w:r>
        <w:t>www.floridapsc.com</w:t>
      </w:r>
    </w:p>
    <w:p w:rsidR="00C071B0" w:rsidRDefault="00C071B0" w:rsidP="00C071B0">
      <w:pPr>
        <w:pStyle w:val="OrderSigInfo"/>
        <w:keepNext/>
        <w:keepLines/>
      </w:pPr>
    </w:p>
    <w:p w:rsidR="00C071B0" w:rsidRDefault="00C071B0" w:rsidP="00C071B0">
      <w:pPr>
        <w:pStyle w:val="OrderSigInfo"/>
        <w:keepNext/>
        <w:keepLines/>
      </w:pPr>
      <w:r>
        <w:t>Copies furnished:  A copy of this document is provided to the parties of record at the time of issuance and, if applicable, interested persons.</w:t>
      </w:r>
    </w:p>
    <w:p w:rsidR="00C071B0" w:rsidRDefault="00C071B0" w:rsidP="00C071B0">
      <w:pPr>
        <w:pStyle w:val="OrderBody"/>
        <w:keepNext/>
        <w:keepLines/>
      </w:pPr>
    </w:p>
    <w:p w:rsidR="00C071B0" w:rsidRPr="00C071B0" w:rsidRDefault="00C071B0" w:rsidP="00C071B0">
      <w:pPr>
        <w:keepNext/>
        <w:keepLines/>
        <w:jc w:val="both"/>
      </w:pPr>
    </w:p>
    <w:p w:rsidR="00C071B0" w:rsidRPr="00C071B0" w:rsidRDefault="00401E95" w:rsidP="00C071B0">
      <w:pPr>
        <w:keepNext/>
        <w:keepLines/>
        <w:jc w:val="both"/>
      </w:pPr>
      <w:r>
        <w:t>IDA</w:t>
      </w:r>
      <w:r w:rsidR="00D57C53">
        <w:t>/RAD</w:t>
      </w:r>
    </w:p>
    <w:p w:rsidR="00C071B0" w:rsidRDefault="00C071B0" w:rsidP="00C071B0">
      <w:pPr>
        <w:jc w:val="both"/>
      </w:pPr>
    </w:p>
    <w:p w:rsidR="00BD1467" w:rsidRPr="00C071B0" w:rsidRDefault="00BD1467" w:rsidP="00C071B0">
      <w:pPr>
        <w:jc w:val="both"/>
      </w:pPr>
    </w:p>
    <w:p w:rsidR="00C071B0" w:rsidRDefault="00C071B0" w:rsidP="00C071B0">
      <w:pPr>
        <w:pStyle w:val="CenterUnderline"/>
      </w:pPr>
      <w:r>
        <w:t>NOTICE OF FURTHER PROCEEDINGS OR JUDICIAL REVIEW</w:t>
      </w:r>
    </w:p>
    <w:p w:rsidR="00C071B0" w:rsidRDefault="00C071B0" w:rsidP="00C071B0">
      <w:pPr>
        <w:pStyle w:val="CenterUnderline"/>
      </w:pPr>
    </w:p>
    <w:p w:rsidR="00C071B0" w:rsidRDefault="00C071B0" w:rsidP="00C071B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071B0" w:rsidRDefault="00C071B0" w:rsidP="00C071B0">
      <w:pPr>
        <w:pStyle w:val="OrderBody"/>
      </w:pPr>
    </w:p>
    <w:p w:rsidR="00C071B0" w:rsidRDefault="00C071B0" w:rsidP="00C071B0">
      <w:pPr>
        <w:pStyle w:val="OrderBody"/>
      </w:pPr>
      <w:r>
        <w:tab/>
        <w:t>Mediation may be available on a case-by-case basis.  If mediation is conducted, it does not affect a substantially interested person's right to a hearing.</w:t>
      </w:r>
    </w:p>
    <w:p w:rsidR="00C071B0" w:rsidRDefault="00C071B0" w:rsidP="00C071B0">
      <w:pPr>
        <w:pStyle w:val="OrderBody"/>
      </w:pPr>
    </w:p>
    <w:p w:rsidR="00CB5276" w:rsidRDefault="00C071B0" w:rsidP="00C071B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3B8" w:rsidRDefault="00AC33B8">
      <w:r>
        <w:separator/>
      </w:r>
    </w:p>
  </w:endnote>
  <w:endnote w:type="continuationSeparator" w:id="0">
    <w:p w:rsidR="00AC33B8" w:rsidRDefault="00AC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3B8" w:rsidRDefault="00AC33B8">
      <w:r>
        <w:separator/>
      </w:r>
    </w:p>
  </w:footnote>
  <w:footnote w:type="continuationSeparator" w:id="0">
    <w:p w:rsidR="00AC33B8" w:rsidRDefault="00AC33B8">
      <w:r>
        <w:continuationSeparator/>
      </w:r>
    </w:p>
  </w:footnote>
  <w:footnote w:id="1">
    <w:p w:rsidR="001141D8" w:rsidRDefault="001141D8">
      <w:pPr>
        <w:pStyle w:val="FootnoteText"/>
      </w:pPr>
      <w:r>
        <w:rPr>
          <w:rStyle w:val="FootnoteReference"/>
        </w:rPr>
        <w:footnoteRef/>
      </w:r>
      <w:r>
        <w:t>Order No. PSC-2020-</w:t>
      </w:r>
      <w:r w:rsidR="009D33EA">
        <w:t>0209-PCO-EI, issued on June 25, 2020, modified the due date to file rebuttal testimony in Docket No. 20200067-EI only.</w:t>
      </w:r>
    </w:p>
  </w:footnote>
  <w:footnote w:id="2">
    <w:p w:rsidR="00C071B0" w:rsidRDefault="00C071B0" w:rsidP="00C071B0">
      <w:pPr>
        <w:pStyle w:val="FootnoteText"/>
      </w:pPr>
      <w:r>
        <w:rPr>
          <w:rStyle w:val="FootnoteReference"/>
        </w:rPr>
        <w:footnoteRef/>
      </w:r>
      <w:r>
        <w:t xml:space="preserve">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w:t>
      </w:r>
      <w:r w:rsidR="00473680">
        <w:t>t</w:t>
      </w:r>
      <w:r>
        <w:t xml:space="preserve">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F49A5">
      <w:fldChar w:fldCharType="begin"/>
    </w:r>
    <w:r w:rsidR="003F49A5">
      <w:instrText xml:space="preserve"> REF OrderNo0233 </w:instrText>
    </w:r>
    <w:r w:rsidR="003F49A5">
      <w:fldChar w:fldCharType="separate"/>
    </w:r>
    <w:r w:rsidR="003F49A5">
      <w:t>PSC-2020-0233-PCO-EI</w:t>
    </w:r>
    <w:r w:rsidR="003F49A5">
      <w:fldChar w:fldCharType="end"/>
    </w:r>
  </w:p>
  <w:p w:rsidR="00FA6EFD" w:rsidRDefault="00C071B0">
    <w:pPr>
      <w:pStyle w:val="OrderHeader"/>
    </w:pPr>
    <w:bookmarkStart w:id="10" w:name="HeaderDocketNo"/>
    <w:bookmarkEnd w:id="10"/>
    <w:r>
      <w:t>DOCKET NOS. 20200067-EI, 20200069-EI, 20200070-EI, 20200071-EI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F49A5">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67-EI, 20200069-EI, 20200070-EI, 20200071-EI"/>
  </w:docVars>
  <w:rsids>
    <w:rsidRoot w:val="00C071B0"/>
    <w:rsid w:val="000022B8"/>
    <w:rsid w:val="00017C6E"/>
    <w:rsid w:val="00025C9D"/>
    <w:rsid w:val="0003433F"/>
    <w:rsid w:val="00035A8C"/>
    <w:rsid w:val="00036BDD"/>
    <w:rsid w:val="00040B85"/>
    <w:rsid w:val="00053AB9"/>
    <w:rsid w:val="00054B50"/>
    <w:rsid w:val="00056229"/>
    <w:rsid w:val="00057AF1"/>
    <w:rsid w:val="00065FC2"/>
    <w:rsid w:val="00067685"/>
    <w:rsid w:val="00067B07"/>
    <w:rsid w:val="000730D7"/>
    <w:rsid w:val="000767ED"/>
    <w:rsid w:val="00076E6B"/>
    <w:rsid w:val="00081AE4"/>
    <w:rsid w:val="0008247D"/>
    <w:rsid w:val="00090AFC"/>
    <w:rsid w:val="00096507"/>
    <w:rsid w:val="000A3A47"/>
    <w:rsid w:val="000A6D0A"/>
    <w:rsid w:val="000B783E"/>
    <w:rsid w:val="000B7D81"/>
    <w:rsid w:val="000C1994"/>
    <w:rsid w:val="000C6926"/>
    <w:rsid w:val="000D02B8"/>
    <w:rsid w:val="000D06E8"/>
    <w:rsid w:val="000D78FB"/>
    <w:rsid w:val="000E050C"/>
    <w:rsid w:val="000E20F0"/>
    <w:rsid w:val="000E344D"/>
    <w:rsid w:val="000E3F6D"/>
    <w:rsid w:val="000E55FA"/>
    <w:rsid w:val="000F359F"/>
    <w:rsid w:val="000F3B2C"/>
    <w:rsid w:val="000F3F6C"/>
    <w:rsid w:val="000F63EB"/>
    <w:rsid w:val="000F648A"/>
    <w:rsid w:val="000F7BE3"/>
    <w:rsid w:val="001052BA"/>
    <w:rsid w:val="001107B3"/>
    <w:rsid w:val="001114B1"/>
    <w:rsid w:val="001139D8"/>
    <w:rsid w:val="001141D8"/>
    <w:rsid w:val="00116AD3"/>
    <w:rsid w:val="00121957"/>
    <w:rsid w:val="0012387E"/>
    <w:rsid w:val="00126593"/>
    <w:rsid w:val="001334EA"/>
    <w:rsid w:val="00136087"/>
    <w:rsid w:val="00142A96"/>
    <w:rsid w:val="001513DE"/>
    <w:rsid w:val="00154A71"/>
    <w:rsid w:val="001655D4"/>
    <w:rsid w:val="00187E32"/>
    <w:rsid w:val="00194A97"/>
    <w:rsid w:val="00194E81"/>
    <w:rsid w:val="00196004"/>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30DFE"/>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34A9"/>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0FA1"/>
    <w:rsid w:val="003B1A09"/>
    <w:rsid w:val="003C2672"/>
    <w:rsid w:val="003D4CCA"/>
    <w:rsid w:val="003D52A6"/>
    <w:rsid w:val="003D6416"/>
    <w:rsid w:val="003E1D48"/>
    <w:rsid w:val="003E711F"/>
    <w:rsid w:val="003F01FD"/>
    <w:rsid w:val="003F1D2B"/>
    <w:rsid w:val="003F49A5"/>
    <w:rsid w:val="00401E95"/>
    <w:rsid w:val="00411DF2"/>
    <w:rsid w:val="00411E8F"/>
    <w:rsid w:val="0042269E"/>
    <w:rsid w:val="004247F5"/>
    <w:rsid w:val="0042527B"/>
    <w:rsid w:val="00427EAC"/>
    <w:rsid w:val="004431B4"/>
    <w:rsid w:val="0045537F"/>
    <w:rsid w:val="00457DC7"/>
    <w:rsid w:val="004640B3"/>
    <w:rsid w:val="00472BCC"/>
    <w:rsid w:val="00473680"/>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0F2"/>
    <w:rsid w:val="00514B1F"/>
    <w:rsid w:val="00523C5C"/>
    <w:rsid w:val="00525E93"/>
    <w:rsid w:val="0052671D"/>
    <w:rsid w:val="005300C0"/>
    <w:rsid w:val="00540E6B"/>
    <w:rsid w:val="0055595D"/>
    <w:rsid w:val="00556A10"/>
    <w:rsid w:val="00557F50"/>
    <w:rsid w:val="005600EE"/>
    <w:rsid w:val="00571D3D"/>
    <w:rsid w:val="0058264B"/>
    <w:rsid w:val="00584750"/>
    <w:rsid w:val="005868AA"/>
    <w:rsid w:val="00590845"/>
    <w:rsid w:val="005963C2"/>
    <w:rsid w:val="005A0D69"/>
    <w:rsid w:val="005A31F4"/>
    <w:rsid w:val="005A73EA"/>
    <w:rsid w:val="005B2186"/>
    <w:rsid w:val="005B45F7"/>
    <w:rsid w:val="005B63EA"/>
    <w:rsid w:val="005C1A88"/>
    <w:rsid w:val="005C3BEF"/>
    <w:rsid w:val="005C5033"/>
    <w:rsid w:val="005E751B"/>
    <w:rsid w:val="005F3354"/>
    <w:rsid w:val="0060005E"/>
    <w:rsid w:val="0060095B"/>
    <w:rsid w:val="00601266"/>
    <w:rsid w:val="00610221"/>
    <w:rsid w:val="00610E73"/>
    <w:rsid w:val="00616DF2"/>
    <w:rsid w:val="006228A6"/>
    <w:rsid w:val="00627E5E"/>
    <w:rsid w:val="0063168D"/>
    <w:rsid w:val="00642511"/>
    <w:rsid w:val="00647025"/>
    <w:rsid w:val="0064730A"/>
    <w:rsid w:val="006531A4"/>
    <w:rsid w:val="00660774"/>
    <w:rsid w:val="0066389A"/>
    <w:rsid w:val="0066495C"/>
    <w:rsid w:val="00665CC7"/>
    <w:rsid w:val="00672612"/>
    <w:rsid w:val="00677F18"/>
    <w:rsid w:val="00693483"/>
    <w:rsid w:val="00695FA2"/>
    <w:rsid w:val="006A0BF3"/>
    <w:rsid w:val="006B0036"/>
    <w:rsid w:val="006B0DA6"/>
    <w:rsid w:val="006C547E"/>
    <w:rsid w:val="006C5645"/>
    <w:rsid w:val="006D2B51"/>
    <w:rsid w:val="006D5575"/>
    <w:rsid w:val="006D7191"/>
    <w:rsid w:val="006E42BE"/>
    <w:rsid w:val="006E5D4D"/>
    <w:rsid w:val="006E5F82"/>
    <w:rsid w:val="006E6D16"/>
    <w:rsid w:val="006E7D9D"/>
    <w:rsid w:val="006F7F5B"/>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55D89"/>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5578"/>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00B8"/>
    <w:rsid w:val="00931C8C"/>
    <w:rsid w:val="00943D21"/>
    <w:rsid w:val="0094504B"/>
    <w:rsid w:val="00964A38"/>
    <w:rsid w:val="00966A9D"/>
    <w:rsid w:val="0096742B"/>
    <w:rsid w:val="009718C5"/>
    <w:rsid w:val="009924CF"/>
    <w:rsid w:val="00994100"/>
    <w:rsid w:val="009A6B17"/>
    <w:rsid w:val="009D33EA"/>
    <w:rsid w:val="009D4C29"/>
    <w:rsid w:val="009F6AD2"/>
    <w:rsid w:val="00A00D8D"/>
    <w:rsid w:val="00A01BB6"/>
    <w:rsid w:val="00A0393B"/>
    <w:rsid w:val="00A05E53"/>
    <w:rsid w:val="00A1084D"/>
    <w:rsid w:val="00A277CF"/>
    <w:rsid w:val="00A32683"/>
    <w:rsid w:val="00A4303C"/>
    <w:rsid w:val="00A46CAF"/>
    <w:rsid w:val="00A470FD"/>
    <w:rsid w:val="00A50B5E"/>
    <w:rsid w:val="00A62DAB"/>
    <w:rsid w:val="00A64142"/>
    <w:rsid w:val="00A6757A"/>
    <w:rsid w:val="00A726A6"/>
    <w:rsid w:val="00A74842"/>
    <w:rsid w:val="00A808B3"/>
    <w:rsid w:val="00A956BC"/>
    <w:rsid w:val="00A97535"/>
    <w:rsid w:val="00AA2BAA"/>
    <w:rsid w:val="00AA6516"/>
    <w:rsid w:val="00AA73F1"/>
    <w:rsid w:val="00AB0E1A"/>
    <w:rsid w:val="00AB1A30"/>
    <w:rsid w:val="00AB3C36"/>
    <w:rsid w:val="00AB3D30"/>
    <w:rsid w:val="00AC33B8"/>
    <w:rsid w:val="00AD10EB"/>
    <w:rsid w:val="00AD1ED3"/>
    <w:rsid w:val="00AF28F0"/>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076"/>
    <w:rsid w:val="00B96969"/>
    <w:rsid w:val="00B97900"/>
    <w:rsid w:val="00BA1229"/>
    <w:rsid w:val="00BA44A8"/>
    <w:rsid w:val="00BA49C5"/>
    <w:rsid w:val="00BB1288"/>
    <w:rsid w:val="00BC786E"/>
    <w:rsid w:val="00BD1467"/>
    <w:rsid w:val="00BD5C92"/>
    <w:rsid w:val="00BE50E6"/>
    <w:rsid w:val="00BE7A0C"/>
    <w:rsid w:val="00BF6691"/>
    <w:rsid w:val="00C028FC"/>
    <w:rsid w:val="00C037F2"/>
    <w:rsid w:val="00C0386D"/>
    <w:rsid w:val="00C065A1"/>
    <w:rsid w:val="00C071B0"/>
    <w:rsid w:val="00C10ED5"/>
    <w:rsid w:val="00C115BA"/>
    <w:rsid w:val="00C151A6"/>
    <w:rsid w:val="00C24098"/>
    <w:rsid w:val="00C30A4E"/>
    <w:rsid w:val="00C411F3"/>
    <w:rsid w:val="00C44105"/>
    <w:rsid w:val="00C55A33"/>
    <w:rsid w:val="00C56D73"/>
    <w:rsid w:val="00C66692"/>
    <w:rsid w:val="00C673B5"/>
    <w:rsid w:val="00C7063D"/>
    <w:rsid w:val="00C830BC"/>
    <w:rsid w:val="00C8524D"/>
    <w:rsid w:val="00C8747F"/>
    <w:rsid w:val="00C90904"/>
    <w:rsid w:val="00C91123"/>
    <w:rsid w:val="00C91CCA"/>
    <w:rsid w:val="00CA71FF"/>
    <w:rsid w:val="00CB5276"/>
    <w:rsid w:val="00CB5BFC"/>
    <w:rsid w:val="00CB68D7"/>
    <w:rsid w:val="00CB785B"/>
    <w:rsid w:val="00CC7E68"/>
    <w:rsid w:val="00CD7132"/>
    <w:rsid w:val="00CE0E6F"/>
    <w:rsid w:val="00CE3B21"/>
    <w:rsid w:val="00CE49F8"/>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279B"/>
    <w:rsid w:val="00D57BB2"/>
    <w:rsid w:val="00D57C53"/>
    <w:rsid w:val="00D57E57"/>
    <w:rsid w:val="00D70752"/>
    <w:rsid w:val="00D80B1C"/>
    <w:rsid w:val="00D80E2D"/>
    <w:rsid w:val="00D84D5E"/>
    <w:rsid w:val="00D8560E"/>
    <w:rsid w:val="00D8758F"/>
    <w:rsid w:val="00DA4EDD"/>
    <w:rsid w:val="00DA6B78"/>
    <w:rsid w:val="00DC1D94"/>
    <w:rsid w:val="00DC42CF"/>
    <w:rsid w:val="00DE057F"/>
    <w:rsid w:val="00DE2082"/>
    <w:rsid w:val="00DE2289"/>
    <w:rsid w:val="00DF09A7"/>
    <w:rsid w:val="00DF2B51"/>
    <w:rsid w:val="00DF7E93"/>
    <w:rsid w:val="00E001D6"/>
    <w:rsid w:val="00E03A76"/>
    <w:rsid w:val="00E04410"/>
    <w:rsid w:val="00E07484"/>
    <w:rsid w:val="00E11351"/>
    <w:rsid w:val="00E23C4A"/>
    <w:rsid w:val="00E4225C"/>
    <w:rsid w:val="00E44879"/>
    <w:rsid w:val="00E72914"/>
    <w:rsid w:val="00E75AE0"/>
    <w:rsid w:val="00E774F5"/>
    <w:rsid w:val="00E83C1F"/>
    <w:rsid w:val="00E85684"/>
    <w:rsid w:val="00E8794B"/>
    <w:rsid w:val="00E97656"/>
    <w:rsid w:val="00EA172C"/>
    <w:rsid w:val="00EA259B"/>
    <w:rsid w:val="00EA35A3"/>
    <w:rsid w:val="00EA3E6A"/>
    <w:rsid w:val="00EA4DBD"/>
    <w:rsid w:val="00EB18EF"/>
    <w:rsid w:val="00EB7951"/>
    <w:rsid w:val="00EC38FC"/>
    <w:rsid w:val="00ED6A79"/>
    <w:rsid w:val="00EE17DF"/>
    <w:rsid w:val="00EF1482"/>
    <w:rsid w:val="00EF4621"/>
    <w:rsid w:val="00EF4D52"/>
    <w:rsid w:val="00EF6023"/>
    <w:rsid w:val="00EF6312"/>
    <w:rsid w:val="00F038B0"/>
    <w:rsid w:val="00F05F34"/>
    <w:rsid w:val="00F20885"/>
    <w:rsid w:val="00F22B27"/>
    <w:rsid w:val="00F234A7"/>
    <w:rsid w:val="00F25F6F"/>
    <w:rsid w:val="00F277B6"/>
    <w:rsid w:val="00F27DA5"/>
    <w:rsid w:val="00F33491"/>
    <w:rsid w:val="00F37E07"/>
    <w:rsid w:val="00F4182A"/>
    <w:rsid w:val="00F52422"/>
    <w:rsid w:val="00F54380"/>
    <w:rsid w:val="00F54B47"/>
    <w:rsid w:val="00F61247"/>
    <w:rsid w:val="00F63191"/>
    <w:rsid w:val="00F63922"/>
    <w:rsid w:val="00F651A2"/>
    <w:rsid w:val="00F6702E"/>
    <w:rsid w:val="00F70E84"/>
    <w:rsid w:val="00FA092B"/>
    <w:rsid w:val="00FA4F6C"/>
    <w:rsid w:val="00FA6EFD"/>
    <w:rsid w:val="00FB080F"/>
    <w:rsid w:val="00FB3791"/>
    <w:rsid w:val="00FB66CE"/>
    <w:rsid w:val="00FB6780"/>
    <w:rsid w:val="00FB74EA"/>
    <w:rsid w:val="00FD2C9E"/>
    <w:rsid w:val="00FD4786"/>
    <w:rsid w:val="00FD616C"/>
    <w:rsid w:val="00FE53F2"/>
    <w:rsid w:val="00FF0A00"/>
    <w:rsid w:val="00FF193F"/>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C071B0"/>
  </w:style>
  <w:style w:type="character" w:styleId="Hyperlink">
    <w:name w:val="Hyperlink"/>
    <w:basedOn w:val="DefaultParagraphFont"/>
    <w:unhideWhenUsed/>
    <w:rsid w:val="00DF7E93"/>
    <w:rPr>
      <w:color w:val="0000FF" w:themeColor="hyperlink"/>
      <w:u w:val="single"/>
    </w:rPr>
  </w:style>
  <w:style w:type="paragraph" w:styleId="BalloonText">
    <w:name w:val="Balloon Text"/>
    <w:basedOn w:val="Normal"/>
    <w:link w:val="BalloonTextChar"/>
    <w:semiHidden/>
    <w:unhideWhenUsed/>
    <w:rsid w:val="00A277CF"/>
    <w:rPr>
      <w:rFonts w:ascii="Tahoma" w:hAnsi="Tahoma" w:cs="Tahoma"/>
      <w:sz w:val="16"/>
      <w:szCs w:val="16"/>
    </w:rPr>
  </w:style>
  <w:style w:type="character" w:customStyle="1" w:styleId="BalloonTextChar">
    <w:name w:val="Balloon Text Char"/>
    <w:basedOn w:val="DefaultParagraphFont"/>
    <w:link w:val="BalloonText"/>
    <w:semiHidden/>
    <w:rsid w:val="00A277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CC803-0E6B-4741-9C53-E0BDAB9BF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5</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2020-07-14T14:35:00Z</dcterms:created>
  <dcterms:modified xsi:type="dcterms:W3CDTF">2020-07-14T17:02:00Z</dcterms:modified>
</cp:coreProperties>
</file>