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A42469">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A42469" w:rsidRDefault="00591EF2" w:rsidP="00532DFB">
            <w:pPr>
              <w:pStyle w:val="MastHeadState"/>
            </w:pPr>
            <w:bookmarkStart w:id="0" w:name="_GoBack"/>
            <w:bookmarkEnd w:id="0"/>
            <w:r>
              <w:softHyphen/>
            </w:r>
            <w:r w:rsidR="0012578A" w:rsidRPr="00A42469">
              <w:softHyphen/>
            </w:r>
            <w:r w:rsidR="007C0528" w:rsidRPr="00A42469">
              <w:t>State of Florida</w:t>
            </w:r>
          </w:p>
          <w:p w:rsidR="007C0528" w:rsidRPr="00A42469" w:rsidRDefault="00072CCA">
            <w:pPr>
              <w:jc w:val="center"/>
            </w:pPr>
            <w:r w:rsidRPr="00A42469">
              <w:rPr>
                <w:noProof/>
              </w:rPr>
              <w:drawing>
                <wp:inline distT="0" distB="0" distL="0" distR="0" wp14:anchorId="0058617D" wp14:editId="59A0BB5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A42469" w:rsidRDefault="007C0528"/>
        </w:tc>
        <w:tc>
          <w:tcPr>
            <w:tcW w:w="7273" w:type="dxa"/>
            <w:gridSpan w:val="2"/>
            <w:tcBorders>
              <w:top w:val="nil"/>
              <w:left w:val="nil"/>
              <w:bottom w:val="single" w:sz="24" w:space="0" w:color="auto"/>
              <w:right w:val="nil"/>
            </w:tcBorders>
            <w:shd w:val="clear" w:color="auto" w:fill="auto"/>
            <w:vAlign w:val="bottom"/>
          </w:tcPr>
          <w:p w:rsidR="007C0528" w:rsidRPr="00A42469" w:rsidRDefault="007C0528">
            <w:pPr>
              <w:pStyle w:val="MastHeadPSC"/>
            </w:pPr>
            <w:r w:rsidRPr="00A42469">
              <w:t>Public Service Commission</w:t>
            </w:r>
          </w:p>
          <w:p w:rsidR="007C0528" w:rsidRPr="00A42469" w:rsidRDefault="007C0528">
            <w:pPr>
              <w:pStyle w:val="MastHeadAddress"/>
            </w:pPr>
            <w:r w:rsidRPr="00A42469">
              <w:t>Capital Circle Office Center ● 2540 Shumard Oak Boulevard</w:t>
            </w:r>
            <w:r w:rsidRPr="00A42469">
              <w:br/>
              <w:t>Tallahassee, Florida 32399-0850</w:t>
            </w:r>
          </w:p>
          <w:p w:rsidR="007C0528" w:rsidRPr="00A42469" w:rsidRDefault="007C0528">
            <w:pPr>
              <w:pStyle w:val="MastHeadMemorandum"/>
            </w:pPr>
            <w:r w:rsidRPr="00A42469">
              <w:t>-M-E-M-O-R-A-N-D-U-M-</w:t>
            </w:r>
          </w:p>
          <w:p w:rsidR="007C0528" w:rsidRPr="00A42469" w:rsidRDefault="007C0528">
            <w:pPr>
              <w:pStyle w:val="MemoHeading"/>
            </w:pPr>
          </w:p>
        </w:tc>
      </w:tr>
      <w:tr w:rsidR="007C0528" w:rsidRPr="00A42469">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A42469" w:rsidRDefault="007C0528" w:rsidP="00506C03">
            <w:pPr>
              <w:pStyle w:val="MemoHeadingLabel"/>
            </w:pPr>
            <w:r w:rsidRPr="00A42469">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A42469" w:rsidRDefault="00815D22" w:rsidP="003B2111">
            <w:pPr>
              <w:pStyle w:val="MemoHeading"/>
            </w:pPr>
            <w:bookmarkStart w:id="1" w:name="FilingDate"/>
            <w:r w:rsidRPr="00A42469">
              <w:t>September 2</w:t>
            </w:r>
            <w:r w:rsidR="003B2111">
              <w:t>8</w:t>
            </w:r>
            <w:r w:rsidRPr="00A42469">
              <w:t>, 2020</w:t>
            </w:r>
            <w:bookmarkEnd w:id="1"/>
          </w:p>
        </w:tc>
      </w:tr>
      <w:tr w:rsidR="007C0528" w:rsidRPr="00A42469">
        <w:tc>
          <w:tcPr>
            <w:tcW w:w="1254" w:type="dxa"/>
            <w:tcBorders>
              <w:top w:val="nil"/>
              <w:left w:val="nil"/>
              <w:bottom w:val="nil"/>
              <w:right w:val="nil"/>
            </w:tcBorders>
            <w:shd w:val="clear" w:color="auto" w:fill="auto"/>
            <w:tcMar>
              <w:top w:w="288" w:type="dxa"/>
              <w:bottom w:w="0" w:type="dxa"/>
              <w:right w:w="0" w:type="dxa"/>
            </w:tcMar>
          </w:tcPr>
          <w:p w:rsidR="007C0528" w:rsidRPr="00A42469" w:rsidRDefault="007C0528" w:rsidP="00506C03">
            <w:pPr>
              <w:pStyle w:val="MemoHeadingLabel"/>
            </w:pPr>
            <w:r w:rsidRPr="00A42469">
              <w:t>TO:</w:t>
            </w:r>
          </w:p>
        </w:tc>
        <w:tc>
          <w:tcPr>
            <w:tcW w:w="8221" w:type="dxa"/>
            <w:gridSpan w:val="3"/>
            <w:tcBorders>
              <w:top w:val="nil"/>
              <w:left w:val="nil"/>
              <w:bottom w:val="nil"/>
              <w:right w:val="nil"/>
            </w:tcBorders>
            <w:shd w:val="clear" w:color="auto" w:fill="auto"/>
            <w:tcMar>
              <w:top w:w="288" w:type="dxa"/>
              <w:bottom w:w="0" w:type="dxa"/>
            </w:tcMar>
          </w:tcPr>
          <w:p w:rsidR="007C0528" w:rsidRPr="00A42469" w:rsidRDefault="007C0528" w:rsidP="0093658B">
            <w:pPr>
              <w:pStyle w:val="MemoHeading"/>
            </w:pPr>
            <w:r w:rsidRPr="00A42469">
              <w:t>Office of Commission Clerk (</w:t>
            </w:r>
            <w:r w:rsidR="004E69B5" w:rsidRPr="00A42469">
              <w:t>Teitzman</w:t>
            </w:r>
            <w:r w:rsidRPr="00A42469">
              <w:t>)</w:t>
            </w:r>
          </w:p>
        </w:tc>
      </w:tr>
      <w:tr w:rsidR="007C0528" w:rsidRPr="00A42469">
        <w:tc>
          <w:tcPr>
            <w:tcW w:w="1254" w:type="dxa"/>
            <w:tcBorders>
              <w:top w:val="nil"/>
              <w:left w:val="nil"/>
              <w:bottom w:val="nil"/>
              <w:right w:val="nil"/>
            </w:tcBorders>
            <w:shd w:val="clear" w:color="auto" w:fill="auto"/>
            <w:tcMar>
              <w:top w:w="288" w:type="dxa"/>
              <w:right w:w="0" w:type="dxa"/>
            </w:tcMar>
          </w:tcPr>
          <w:p w:rsidR="007C0528" w:rsidRPr="00A42469" w:rsidRDefault="007C0528" w:rsidP="00506C03">
            <w:pPr>
              <w:pStyle w:val="MemoHeadingLabel"/>
            </w:pPr>
            <w:r w:rsidRPr="00A42469">
              <w:t>FROM:</w:t>
            </w:r>
          </w:p>
        </w:tc>
        <w:tc>
          <w:tcPr>
            <w:tcW w:w="8221" w:type="dxa"/>
            <w:gridSpan w:val="3"/>
            <w:tcBorders>
              <w:top w:val="nil"/>
              <w:left w:val="nil"/>
              <w:bottom w:val="nil"/>
              <w:right w:val="nil"/>
            </w:tcBorders>
            <w:shd w:val="clear" w:color="auto" w:fill="auto"/>
            <w:tcMar>
              <w:top w:w="288" w:type="dxa"/>
              <w:bottom w:w="0" w:type="dxa"/>
            </w:tcMar>
          </w:tcPr>
          <w:p w:rsidR="00815D22" w:rsidRPr="00A42469" w:rsidRDefault="00815D22">
            <w:pPr>
              <w:pStyle w:val="MemoHeading"/>
            </w:pPr>
            <w:bookmarkStart w:id="2" w:name="From"/>
            <w:r w:rsidRPr="00A42469">
              <w:t>Office of the General Counsel (Harper, Kahn)</w:t>
            </w:r>
          </w:p>
          <w:p w:rsidR="00815D22" w:rsidRPr="00A42469" w:rsidRDefault="00815D22">
            <w:pPr>
              <w:pStyle w:val="MemoHeading"/>
            </w:pPr>
            <w:r w:rsidRPr="00A42469">
              <w:t>Division of Accounting and Finance (Fletcher)</w:t>
            </w:r>
          </w:p>
          <w:p w:rsidR="007C0528" w:rsidRPr="00A42469" w:rsidRDefault="00815D22">
            <w:pPr>
              <w:pStyle w:val="MemoHeading"/>
            </w:pPr>
            <w:r w:rsidRPr="00A42469">
              <w:t>Division of Economics (Coston, Guffey)</w:t>
            </w:r>
            <w:bookmarkEnd w:id="2"/>
          </w:p>
        </w:tc>
      </w:tr>
      <w:tr w:rsidR="007C0528" w:rsidRPr="00A42469">
        <w:tc>
          <w:tcPr>
            <w:tcW w:w="1254" w:type="dxa"/>
            <w:tcBorders>
              <w:top w:val="nil"/>
              <w:left w:val="nil"/>
              <w:bottom w:val="nil"/>
              <w:right w:val="nil"/>
            </w:tcBorders>
            <w:shd w:val="clear" w:color="auto" w:fill="auto"/>
            <w:tcMar>
              <w:top w:w="288" w:type="dxa"/>
              <w:right w:w="0" w:type="dxa"/>
            </w:tcMar>
          </w:tcPr>
          <w:p w:rsidR="007C0528" w:rsidRPr="00A42469" w:rsidRDefault="007C0528" w:rsidP="00506C03">
            <w:pPr>
              <w:pStyle w:val="MemoHeadingLabel"/>
            </w:pPr>
            <w:r w:rsidRPr="00A42469">
              <w:t>RE:</w:t>
            </w:r>
          </w:p>
        </w:tc>
        <w:tc>
          <w:tcPr>
            <w:tcW w:w="8221" w:type="dxa"/>
            <w:gridSpan w:val="3"/>
            <w:tcBorders>
              <w:top w:val="nil"/>
              <w:left w:val="nil"/>
              <w:bottom w:val="nil"/>
              <w:right w:val="nil"/>
            </w:tcBorders>
            <w:shd w:val="clear" w:color="auto" w:fill="auto"/>
            <w:tcMar>
              <w:top w:w="288" w:type="dxa"/>
            </w:tcMar>
          </w:tcPr>
          <w:p w:rsidR="007C0528" w:rsidRPr="00A42469" w:rsidRDefault="00815D22">
            <w:pPr>
              <w:pStyle w:val="MemoHeadingRe"/>
            </w:pPr>
            <w:bookmarkStart w:id="3" w:name="Re"/>
            <w:r w:rsidRPr="00A42469">
              <w:t>Docket No. 20200211-EI – Petition for temporary variance from or waiver of Rule 25-6.097(3), F.A.C., temporary waiver of Section 6.3 of tariff, and request for expedited ruling, by Florida Power &amp; Light Company.</w:t>
            </w:r>
            <w:bookmarkEnd w:id="3"/>
          </w:p>
        </w:tc>
      </w:tr>
      <w:tr w:rsidR="007C0528" w:rsidRPr="00A42469">
        <w:tc>
          <w:tcPr>
            <w:tcW w:w="1254" w:type="dxa"/>
            <w:tcBorders>
              <w:top w:val="nil"/>
              <w:left w:val="nil"/>
              <w:bottom w:val="nil"/>
              <w:right w:val="nil"/>
            </w:tcBorders>
            <w:shd w:val="clear" w:color="auto" w:fill="auto"/>
            <w:tcMar>
              <w:top w:w="288" w:type="dxa"/>
              <w:bottom w:w="0" w:type="dxa"/>
              <w:right w:w="0" w:type="dxa"/>
            </w:tcMar>
          </w:tcPr>
          <w:p w:rsidR="007C0528" w:rsidRPr="00A42469" w:rsidRDefault="007C0528" w:rsidP="00506C03">
            <w:pPr>
              <w:pStyle w:val="MemoHeadingLabel"/>
            </w:pPr>
            <w:r w:rsidRPr="00A42469">
              <w:t>AGENDA:</w:t>
            </w:r>
          </w:p>
        </w:tc>
        <w:tc>
          <w:tcPr>
            <w:tcW w:w="8221" w:type="dxa"/>
            <w:gridSpan w:val="3"/>
            <w:tcBorders>
              <w:top w:val="nil"/>
              <w:left w:val="nil"/>
              <w:bottom w:val="nil"/>
              <w:right w:val="nil"/>
            </w:tcBorders>
            <w:shd w:val="clear" w:color="auto" w:fill="auto"/>
            <w:tcMar>
              <w:top w:w="288" w:type="dxa"/>
            </w:tcMar>
          </w:tcPr>
          <w:p w:rsidR="007C0528" w:rsidRPr="00A42469" w:rsidRDefault="00815D22">
            <w:pPr>
              <w:pStyle w:val="MemoHeading"/>
            </w:pPr>
            <w:bookmarkStart w:id="4" w:name="AgendaDate"/>
            <w:r w:rsidRPr="00A42469">
              <w:t>10/06/20</w:t>
            </w:r>
            <w:bookmarkEnd w:id="4"/>
            <w:r w:rsidR="007C0528" w:rsidRPr="00A42469">
              <w:t xml:space="preserve"> – </w:t>
            </w:r>
            <w:bookmarkStart w:id="5" w:name="PermittedStatus"/>
            <w:r w:rsidRPr="00A42469">
              <w:t xml:space="preserve">Regular Agenda – </w:t>
            </w:r>
            <w:r w:rsidR="00AD3C99" w:rsidRPr="00A42469">
              <w:t xml:space="preserve">Proposed Agency Action – </w:t>
            </w:r>
            <w:r w:rsidRPr="00A42469">
              <w:t>Interested Persons May Participate</w:t>
            </w:r>
            <w:bookmarkEnd w:id="5"/>
          </w:p>
        </w:tc>
      </w:tr>
      <w:tr w:rsidR="007C0528" w:rsidRPr="00A42469">
        <w:tc>
          <w:tcPr>
            <w:tcW w:w="3690" w:type="dxa"/>
            <w:gridSpan w:val="3"/>
            <w:tcBorders>
              <w:top w:val="nil"/>
              <w:left w:val="nil"/>
              <w:bottom w:val="nil"/>
              <w:right w:val="nil"/>
            </w:tcBorders>
            <w:shd w:val="clear" w:color="auto" w:fill="auto"/>
            <w:tcMar>
              <w:top w:w="288" w:type="dxa"/>
              <w:bottom w:w="0" w:type="dxa"/>
              <w:right w:w="0" w:type="dxa"/>
            </w:tcMar>
          </w:tcPr>
          <w:p w:rsidR="007C0528" w:rsidRPr="00A42469" w:rsidRDefault="007C0528" w:rsidP="00506C03">
            <w:pPr>
              <w:pStyle w:val="MemoHeadingLabel"/>
            </w:pPr>
            <w:r w:rsidRPr="00A42469">
              <w:t>COMMISSIONERS ASSIGNED:</w:t>
            </w:r>
          </w:p>
        </w:tc>
        <w:tc>
          <w:tcPr>
            <w:tcW w:w="5785" w:type="dxa"/>
            <w:tcBorders>
              <w:top w:val="nil"/>
              <w:left w:val="nil"/>
              <w:bottom w:val="nil"/>
              <w:right w:val="nil"/>
            </w:tcBorders>
            <w:shd w:val="clear" w:color="auto" w:fill="auto"/>
          </w:tcPr>
          <w:p w:rsidR="007C0528" w:rsidRPr="00A42469" w:rsidRDefault="00815D22">
            <w:pPr>
              <w:pStyle w:val="MemoHeading"/>
            </w:pPr>
            <w:bookmarkStart w:id="6" w:name="CommissionersAssigned"/>
            <w:r w:rsidRPr="00A42469">
              <w:t>All Commissioners</w:t>
            </w:r>
            <w:bookmarkEnd w:id="6"/>
          </w:p>
        </w:tc>
      </w:tr>
      <w:tr w:rsidR="007C0528" w:rsidRPr="00A42469">
        <w:tc>
          <w:tcPr>
            <w:tcW w:w="3690" w:type="dxa"/>
            <w:gridSpan w:val="3"/>
            <w:tcBorders>
              <w:top w:val="nil"/>
              <w:left w:val="nil"/>
              <w:bottom w:val="nil"/>
              <w:right w:val="nil"/>
            </w:tcBorders>
            <w:shd w:val="clear" w:color="auto" w:fill="auto"/>
            <w:tcMar>
              <w:top w:w="288" w:type="dxa"/>
              <w:bottom w:w="0" w:type="dxa"/>
              <w:right w:w="0" w:type="dxa"/>
            </w:tcMar>
          </w:tcPr>
          <w:p w:rsidR="007C0528" w:rsidRPr="00A42469" w:rsidRDefault="007C0528" w:rsidP="00506C03">
            <w:pPr>
              <w:pStyle w:val="MemoHeadingLabel"/>
            </w:pPr>
            <w:r w:rsidRPr="00A42469">
              <w:t>PREHEARING OFFICER:</w:t>
            </w:r>
          </w:p>
        </w:tc>
        <w:tc>
          <w:tcPr>
            <w:tcW w:w="5785" w:type="dxa"/>
            <w:tcBorders>
              <w:top w:val="nil"/>
              <w:left w:val="nil"/>
              <w:bottom w:val="nil"/>
              <w:right w:val="nil"/>
            </w:tcBorders>
            <w:shd w:val="clear" w:color="auto" w:fill="auto"/>
          </w:tcPr>
          <w:p w:rsidR="007C0528" w:rsidRPr="00A42469" w:rsidRDefault="00DB56B9">
            <w:pPr>
              <w:pStyle w:val="MemoHeading"/>
            </w:pPr>
            <w:bookmarkStart w:id="7" w:name="PrehearingOfficer"/>
            <w:r w:rsidRPr="00A42469">
              <w:t>Graham</w:t>
            </w:r>
            <w:bookmarkEnd w:id="7"/>
          </w:p>
        </w:tc>
      </w:tr>
      <w:tr w:rsidR="00352BD6" w:rsidRPr="00A42469" w:rsidTr="0093658B">
        <w:tc>
          <w:tcPr>
            <w:tcW w:w="3690" w:type="dxa"/>
            <w:gridSpan w:val="3"/>
            <w:tcBorders>
              <w:top w:val="nil"/>
              <w:left w:val="nil"/>
              <w:bottom w:val="nil"/>
              <w:right w:val="nil"/>
            </w:tcBorders>
            <w:shd w:val="clear" w:color="auto" w:fill="auto"/>
            <w:tcMar>
              <w:top w:w="288" w:type="dxa"/>
              <w:bottom w:w="0" w:type="dxa"/>
              <w:right w:w="0" w:type="dxa"/>
            </w:tcMar>
          </w:tcPr>
          <w:p w:rsidR="00352BD6" w:rsidRPr="00A42469" w:rsidRDefault="00352BD6" w:rsidP="00506C03">
            <w:pPr>
              <w:pStyle w:val="MemoHeadingLabel"/>
            </w:pPr>
            <w:bookmarkStart w:id="8" w:name="CriticalDatesLabel"/>
            <w:r w:rsidRPr="00A42469">
              <w:t>CRITICAL DATES:</w:t>
            </w:r>
            <w:bookmarkEnd w:id="8"/>
          </w:p>
        </w:tc>
        <w:tc>
          <w:tcPr>
            <w:tcW w:w="5785" w:type="dxa"/>
            <w:tcBorders>
              <w:top w:val="nil"/>
              <w:left w:val="nil"/>
              <w:bottom w:val="nil"/>
              <w:right w:val="nil"/>
            </w:tcBorders>
            <w:shd w:val="clear" w:color="auto" w:fill="auto"/>
          </w:tcPr>
          <w:p w:rsidR="00352BD6" w:rsidRPr="00A42469" w:rsidRDefault="00076347" w:rsidP="00352BD6">
            <w:pPr>
              <w:pStyle w:val="MemoHeading"/>
            </w:pPr>
            <w:r w:rsidRPr="00A42469">
              <w:t>12/10/20</w:t>
            </w:r>
            <w:r w:rsidR="00DB56B9" w:rsidRPr="00A42469">
              <w:t xml:space="preserve"> (</w:t>
            </w:r>
            <w:r w:rsidR="00352BD6" w:rsidRPr="00A42469">
              <w:t>Pursuant to Section 120.542</w:t>
            </w:r>
            <w:r w:rsidRPr="00A42469">
              <w:t>(8)</w:t>
            </w:r>
            <w:r w:rsidR="00352BD6" w:rsidRPr="00A42469">
              <w:t xml:space="preserve">, Florida Statutes, the Commission must grant or </w:t>
            </w:r>
            <w:r w:rsidR="00DB56B9" w:rsidRPr="00A42469">
              <w:t>deny the petition by this date)</w:t>
            </w:r>
          </w:p>
        </w:tc>
      </w:tr>
      <w:tr w:rsidR="00352BD6" w:rsidRPr="00A42469"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352BD6" w:rsidRPr="00A42469" w:rsidRDefault="00352BD6" w:rsidP="00506C03">
            <w:pPr>
              <w:pStyle w:val="MemoHeadingLabel"/>
            </w:pPr>
            <w:r w:rsidRPr="00A42469">
              <w:t>SPECIAL INSTRUCTIONS:</w:t>
            </w:r>
          </w:p>
        </w:tc>
        <w:tc>
          <w:tcPr>
            <w:tcW w:w="5785" w:type="dxa"/>
            <w:tcBorders>
              <w:top w:val="nil"/>
              <w:left w:val="nil"/>
              <w:bottom w:val="single" w:sz="24" w:space="0" w:color="auto"/>
              <w:right w:val="nil"/>
            </w:tcBorders>
            <w:shd w:val="clear" w:color="auto" w:fill="auto"/>
            <w:tcMar>
              <w:bottom w:w="216" w:type="dxa"/>
            </w:tcMar>
          </w:tcPr>
          <w:p w:rsidR="00352BD6" w:rsidRPr="00A42469" w:rsidRDefault="00352BD6">
            <w:pPr>
              <w:pStyle w:val="MemoHeading"/>
            </w:pPr>
            <w:bookmarkStart w:id="9" w:name="SpecialInstructions"/>
            <w:r w:rsidRPr="00A42469">
              <w:t>None</w:t>
            </w:r>
            <w:bookmarkEnd w:id="9"/>
          </w:p>
        </w:tc>
      </w:tr>
    </w:tbl>
    <w:p w:rsidR="007C0528" w:rsidRPr="00A42469" w:rsidRDefault="007C0528">
      <w:pPr>
        <w:pStyle w:val="BodyText"/>
      </w:pPr>
    </w:p>
    <w:p w:rsidR="007C0528" w:rsidRPr="00A42469" w:rsidRDefault="007C0528">
      <w:pPr>
        <w:pStyle w:val="RecommendationMajorSectionHeading"/>
      </w:pPr>
      <w:bookmarkStart w:id="10" w:name="RecToC"/>
      <w:bookmarkEnd w:id="10"/>
      <w:r w:rsidRPr="00A42469">
        <w:t xml:space="preserve"> </w:t>
      </w:r>
      <w:bookmarkStart w:id="11" w:name="CaseBackground"/>
      <w:r w:rsidRPr="00A42469">
        <w:t>Case Background</w:t>
      </w:r>
      <w:r w:rsidRPr="00A42469">
        <w:fldChar w:fldCharType="begin"/>
      </w:r>
      <w:r w:rsidRPr="00A42469">
        <w:instrText xml:space="preserve"> TC  "</w:instrText>
      </w:r>
      <w:r w:rsidRPr="00A42469">
        <w:tab/>
      </w:r>
      <w:bookmarkStart w:id="12" w:name="_Toc94516455"/>
      <w:r w:rsidRPr="00A42469">
        <w:instrText>Case Background</w:instrText>
      </w:r>
      <w:bookmarkEnd w:id="12"/>
      <w:r w:rsidRPr="00A42469">
        <w:instrText xml:space="preserve">" \l 1 </w:instrText>
      </w:r>
      <w:r w:rsidRPr="00A42469">
        <w:fldChar w:fldCharType="end"/>
      </w:r>
    </w:p>
    <w:p w:rsidR="00CE334D" w:rsidRPr="00A42469" w:rsidRDefault="00B361BE" w:rsidP="00CE334D">
      <w:pPr>
        <w:jc w:val="both"/>
      </w:pPr>
      <w:r w:rsidRPr="00A42469">
        <w:t xml:space="preserve">On September 11, 2020, </w:t>
      </w:r>
      <w:r w:rsidR="00BF0DA0" w:rsidRPr="00A42469">
        <w:t>Florida Power &amp; Light Company (FPL</w:t>
      </w:r>
      <w:r w:rsidRPr="00A42469">
        <w:t>) filed a petition for a temp</w:t>
      </w:r>
      <w:r w:rsidR="00AD3C99" w:rsidRPr="00A42469">
        <w:t>orary variance from or waiver of</w:t>
      </w:r>
      <w:r w:rsidRPr="00A42469">
        <w:t xml:space="preserve"> the requirements of Rule 25-6.097(3), Florida Administrative Code (F.A.C.), and from Section 6.3 of FPL’s T</w:t>
      </w:r>
      <w:r w:rsidR="000812D9" w:rsidRPr="00A42469">
        <w:t xml:space="preserve">ariff. </w:t>
      </w:r>
      <w:r w:rsidR="00CE334D" w:rsidRPr="00A42469">
        <w:t xml:space="preserve"> </w:t>
      </w:r>
      <w:proofErr w:type="gramStart"/>
      <w:r w:rsidR="008A71C8" w:rsidRPr="00A42469">
        <w:t>Both Rule</w:t>
      </w:r>
      <w:proofErr w:type="gramEnd"/>
      <w:r w:rsidR="008A71C8" w:rsidRPr="00A42469">
        <w:t xml:space="preserve"> 25-6.097, F.A.C., and Section 6.3 of FPL’s Tariff address the refund of customer deposits. </w:t>
      </w:r>
      <w:r w:rsidR="00CE334D" w:rsidRPr="00A42469">
        <w:t>By its petition, FPL requests that the temporary rule and tariff variance</w:t>
      </w:r>
      <w:r w:rsidR="008B2CBD">
        <w:t xml:space="preserve"> or </w:t>
      </w:r>
      <w:r w:rsidR="00CE334D" w:rsidRPr="00A42469">
        <w:t>waiver</w:t>
      </w:r>
      <w:r w:rsidR="002C2CA6">
        <w:t xml:space="preserve"> (variance</w:t>
      </w:r>
      <w:r w:rsidR="002B4E93">
        <w:t>)</w:t>
      </w:r>
      <w:r w:rsidR="005A2CE0">
        <w:rPr>
          <w:rStyle w:val="FootnoteReference"/>
        </w:rPr>
        <w:footnoteReference w:id="1"/>
      </w:r>
      <w:r w:rsidR="00CE334D" w:rsidRPr="00A42469">
        <w:t xml:space="preserve"> be granted to allow FPL to </w:t>
      </w:r>
      <w:r w:rsidR="00D21CE3" w:rsidRPr="00A42469">
        <w:t xml:space="preserve">provide a </w:t>
      </w:r>
      <w:r w:rsidR="00D21CE3" w:rsidRPr="00A42469">
        <w:lastRenderedPageBreak/>
        <w:t xml:space="preserve">one-time </w:t>
      </w:r>
      <w:r w:rsidR="00CE334D" w:rsidRPr="00A42469">
        <w:t>accelerate</w:t>
      </w:r>
      <w:r w:rsidR="00D21CE3" w:rsidRPr="00A42469">
        <w:t>d</w:t>
      </w:r>
      <w:r w:rsidR="00CE334D" w:rsidRPr="00A42469">
        <w:t xml:space="preserve"> residential customer depos</w:t>
      </w:r>
      <w:r w:rsidR="00D21CE3" w:rsidRPr="00A42469">
        <w:t>it refund</w:t>
      </w:r>
      <w:r w:rsidR="00CE334D" w:rsidRPr="00A42469">
        <w:t xml:space="preserve"> for qualifying customers to mitigate financial impacts caused by the COVID-19 pandemic. In </w:t>
      </w:r>
      <w:r w:rsidR="00076347" w:rsidRPr="00A42469">
        <w:t>addition, FPL requests that the</w:t>
      </w:r>
      <w:r w:rsidR="00CE334D" w:rsidRPr="00A42469">
        <w:t xml:space="preserve"> petition be considered on an expedited basis so that qualifying residential customers may benefit as soon as possible.</w:t>
      </w:r>
      <w:r w:rsidR="00AA6D27">
        <w:t xml:space="preserve"> </w:t>
      </w:r>
    </w:p>
    <w:p w:rsidR="00B10B1E" w:rsidRPr="00A42469" w:rsidRDefault="00B10B1E" w:rsidP="00CE334D">
      <w:pPr>
        <w:jc w:val="both"/>
      </w:pPr>
    </w:p>
    <w:p w:rsidR="00B10B1E" w:rsidRPr="00A42469" w:rsidRDefault="00B10B1E" w:rsidP="00B10B1E">
      <w:pPr>
        <w:pStyle w:val="First-LevelSubheading"/>
      </w:pPr>
      <w:r w:rsidRPr="00A42469">
        <w:t>Legal Standard for Rule Variances/Waiv</w:t>
      </w:r>
      <w:r w:rsidR="00FF05C4" w:rsidRPr="00A42469">
        <w:t>ers</w:t>
      </w:r>
    </w:p>
    <w:p w:rsidR="00B10B1E" w:rsidRPr="00A42469" w:rsidRDefault="00B10B1E" w:rsidP="00B10B1E">
      <w:pPr>
        <w:pStyle w:val="BodyText"/>
      </w:pPr>
      <w:r w:rsidRPr="00A42469">
        <w:t>Section 120.542(1),</w:t>
      </w:r>
      <w:r w:rsidR="00161497" w:rsidRPr="00A42469">
        <w:t xml:space="preserve"> Florida Statutes</w:t>
      </w:r>
      <w:r w:rsidRPr="00A42469">
        <w:t xml:space="preserve"> </w:t>
      </w:r>
      <w:r w:rsidR="00161497" w:rsidRPr="00A42469">
        <w:t>(</w:t>
      </w:r>
      <w:r w:rsidRPr="00A42469">
        <w:t>F.S.</w:t>
      </w:r>
      <w:r w:rsidR="00161497" w:rsidRPr="00A42469">
        <w:t>)</w:t>
      </w:r>
      <w:r w:rsidRPr="00A42469">
        <w:t>, states that th</w:t>
      </w:r>
      <w:r w:rsidR="00375D34">
        <w:t>e purpose of a rule variance</w:t>
      </w:r>
      <w:r w:rsidRPr="00A42469">
        <w:t xml:space="preserve"> is to provide relief to persons subject to regulation in cases where strict application of rule requirements can lead to unreasonable, unfair, and unintended results in particular circumstances. Section 120.542(2), F.S., sets forth a two-prong</w:t>
      </w:r>
      <w:r w:rsidR="0053456C">
        <w:t>ed</w:t>
      </w:r>
      <w:r w:rsidR="004E4925">
        <w:t xml:space="preserve"> test for granting variances/</w:t>
      </w:r>
      <w:r w:rsidRPr="00A42469">
        <w:t>waivers to rules. If the petitioner satisfies both prongs of the test, the agency must grant the v</w:t>
      </w:r>
      <w:r w:rsidR="00375D34">
        <w:t>ariance</w:t>
      </w:r>
      <w:r w:rsidRPr="00A42469">
        <w:t xml:space="preserve">. </w:t>
      </w:r>
    </w:p>
    <w:p w:rsidR="00B10B1E" w:rsidRPr="00A42469" w:rsidRDefault="00B10B1E" w:rsidP="00B10B1E">
      <w:pPr>
        <w:pStyle w:val="BodyText"/>
      </w:pPr>
      <w:r w:rsidRPr="00A42469">
        <w:t xml:space="preserve">First, the petitioner must show that “application of [the] rule would create a substantial hardship or would violate principles of fairness.” A “substantial hardship” is a “demonstrated economic, technological, legal, or other type of hardship.” Principles of fairness are violated when “the literal application of a rule affects a particular person in a manner significantly different from the way it affects other similarly situated persons who are subject to the rule.” Second, the petitioner must demonstrate that it will achieve the purpose of the underlying statutes by other means. </w:t>
      </w:r>
    </w:p>
    <w:p w:rsidR="00B10B1E" w:rsidRPr="00A42469" w:rsidRDefault="00B10B1E" w:rsidP="00B10B1E">
      <w:pPr>
        <w:pStyle w:val="BodyText"/>
      </w:pPr>
      <w:r w:rsidRPr="00A42469">
        <w:t xml:space="preserve">Each </w:t>
      </w:r>
      <w:r w:rsidR="00BE6332">
        <w:t>petitioner for rule variance</w:t>
      </w:r>
      <w:r w:rsidRPr="00A42469">
        <w:t xml:space="preserve"> has the burden of proving i</w:t>
      </w:r>
      <w:r w:rsidR="00BE6332">
        <w:t>ts entitlement to a variance</w:t>
      </w:r>
      <w:r w:rsidRPr="00A42469">
        <w:t xml:space="preserve"> under its particular circumstances. Thus, the Commission’s determination as to whether a petitioner </w:t>
      </w:r>
      <w:r w:rsidR="00735B0B">
        <w:t>should be granted a variance</w:t>
      </w:r>
      <w:r w:rsidRPr="00A42469">
        <w:t xml:space="preserve"> is based on whether the legal test has been met under the specific circumstances of each petitioner.</w:t>
      </w:r>
    </w:p>
    <w:p w:rsidR="00FF05C4" w:rsidRPr="00A42469" w:rsidRDefault="00FF05C4" w:rsidP="00FF05C4">
      <w:pPr>
        <w:ind w:left="720"/>
        <w:jc w:val="both"/>
        <w:rPr>
          <w:rFonts w:ascii="Arial" w:hAnsi="Arial" w:cs="Arial"/>
          <w:b/>
          <w:i/>
        </w:rPr>
      </w:pPr>
      <w:r w:rsidRPr="00A42469">
        <w:rPr>
          <w:rFonts w:ascii="Arial" w:hAnsi="Arial" w:cs="Arial"/>
          <w:b/>
          <w:i/>
        </w:rPr>
        <w:t>Purpose of the Underlying Statutes</w:t>
      </w:r>
    </w:p>
    <w:p w:rsidR="00FF05C4" w:rsidRPr="00A42469" w:rsidRDefault="00FF05C4" w:rsidP="00FF05C4">
      <w:pPr>
        <w:jc w:val="both"/>
      </w:pPr>
      <w:r w:rsidRPr="00A42469">
        <w:t>FPL identifies Sections 366.03, 366.041(1), 366.05(1), and 366.06(1), F.S., as the implementing authority for Rule 25-6.097, F.A.C. The purpose of these sections is to ensure that investor- owned utilities charge fair, just, reasonable, nondiscriminatory</w:t>
      </w:r>
      <w:r w:rsidR="008A71C8" w:rsidRPr="00A42469">
        <w:t>,</w:t>
      </w:r>
      <w:r w:rsidRPr="00A42469">
        <w:t xml:space="preserve"> and compensatory rates that are subject to Commission approval and oversight. FPL alleges that the purposes of these underlying statutes will still be me</w:t>
      </w:r>
      <w:r w:rsidR="003066EF">
        <w:t>t if the temporary variance</w:t>
      </w:r>
      <w:r w:rsidRPr="00A42469">
        <w:t xml:space="preserve"> is granted. FPL further alleges that its petition should be approved because it is not specifically prohibited by any of the underlying statutes. </w:t>
      </w:r>
    </w:p>
    <w:p w:rsidR="00FF05C4" w:rsidRPr="00A42469" w:rsidRDefault="00FF05C4" w:rsidP="00FF05C4">
      <w:pPr>
        <w:jc w:val="both"/>
      </w:pPr>
    </w:p>
    <w:p w:rsidR="00FF05C4" w:rsidRPr="00A42469" w:rsidRDefault="00FF05C4" w:rsidP="00FF05C4">
      <w:pPr>
        <w:ind w:left="720"/>
        <w:jc w:val="both"/>
        <w:rPr>
          <w:rFonts w:ascii="Arial" w:hAnsi="Arial" w:cs="Arial"/>
          <w:b/>
          <w:i/>
        </w:rPr>
      </w:pPr>
      <w:r w:rsidRPr="00A42469">
        <w:rPr>
          <w:rFonts w:ascii="Arial" w:hAnsi="Arial" w:cs="Arial"/>
          <w:b/>
          <w:i/>
        </w:rPr>
        <w:t>Substantial Hardship</w:t>
      </w:r>
    </w:p>
    <w:p w:rsidR="00FF05C4" w:rsidRPr="00A42469" w:rsidRDefault="00FF05C4" w:rsidP="00FF05C4">
      <w:pPr>
        <w:jc w:val="both"/>
      </w:pPr>
      <w:r w:rsidRPr="00A42469">
        <w:t>FPL states that it believes that the “unique and extraordinary nature of the impact of the COVID-19 pandemic” permits the Commission to consider this issue from the perspective of FPL’s impacted qualifying residential customers. FPL observes that Florida has been in a state of public health emergency since early March</w:t>
      </w:r>
      <w:r w:rsidRPr="00A42469">
        <w:rPr>
          <w:rStyle w:val="FootnoteReference"/>
        </w:rPr>
        <w:footnoteReference w:id="2"/>
      </w:r>
      <w:r w:rsidRPr="00A42469">
        <w:t xml:space="preserve"> and that its qualifying residential customers are likely to have experienced adverse financial impacts caused by the COVID-19 pandemic. </w:t>
      </w:r>
    </w:p>
    <w:p w:rsidR="002E426A" w:rsidRPr="00A42469" w:rsidRDefault="002E426A" w:rsidP="00FF05C4">
      <w:pPr>
        <w:pStyle w:val="First-LevelSubheading"/>
      </w:pPr>
    </w:p>
    <w:p w:rsidR="001C177E" w:rsidRDefault="001C177E">
      <w:pPr>
        <w:rPr>
          <w:rFonts w:ascii="Arial" w:hAnsi="Arial" w:cs="Arial"/>
          <w:b/>
          <w:bCs/>
          <w:iCs/>
          <w:szCs w:val="28"/>
        </w:rPr>
      </w:pPr>
      <w:r>
        <w:br w:type="page"/>
      </w:r>
    </w:p>
    <w:p w:rsidR="00FF05C4" w:rsidRPr="00A42469" w:rsidRDefault="00FF05C4" w:rsidP="00FF05C4">
      <w:pPr>
        <w:pStyle w:val="First-LevelSubheading"/>
      </w:pPr>
      <w:r w:rsidRPr="00A42469">
        <w:lastRenderedPageBreak/>
        <w:t>Legal Standard for Tariff Waivers</w:t>
      </w:r>
    </w:p>
    <w:p w:rsidR="00960AC3" w:rsidRPr="00A42469" w:rsidRDefault="00270704" w:rsidP="00960AC3">
      <w:pPr>
        <w:shd w:val="clear" w:color="auto" w:fill="FFFFFF"/>
        <w:jc w:val="both"/>
        <w:rPr>
          <w:color w:val="000000"/>
        </w:rPr>
      </w:pPr>
      <w:r w:rsidRPr="00A42469">
        <w:rPr>
          <w:color w:val="000000"/>
        </w:rPr>
        <w:t xml:space="preserve">Unlike rule </w:t>
      </w:r>
      <w:r w:rsidR="005D15E6" w:rsidRPr="00A42469">
        <w:rPr>
          <w:color w:val="000000"/>
        </w:rPr>
        <w:t>variance</w:t>
      </w:r>
      <w:r w:rsidR="00A772AD">
        <w:rPr>
          <w:color w:val="000000"/>
        </w:rPr>
        <w:t>s</w:t>
      </w:r>
      <w:r w:rsidR="007546C1">
        <w:rPr>
          <w:color w:val="000000"/>
        </w:rPr>
        <w:t xml:space="preserve"> and </w:t>
      </w:r>
      <w:r w:rsidR="005D15E6" w:rsidRPr="00A42469">
        <w:rPr>
          <w:color w:val="000000"/>
        </w:rPr>
        <w:t>waiver</w:t>
      </w:r>
      <w:r w:rsidR="00A772AD">
        <w:rPr>
          <w:color w:val="000000"/>
        </w:rPr>
        <w:t>s</w:t>
      </w:r>
      <w:r w:rsidRPr="00A42469">
        <w:rPr>
          <w:color w:val="000000"/>
        </w:rPr>
        <w:t>, t</w:t>
      </w:r>
      <w:r w:rsidR="00FF05C4" w:rsidRPr="00A42469">
        <w:rPr>
          <w:color w:val="000000"/>
        </w:rPr>
        <w:t>here is</w:t>
      </w:r>
      <w:r w:rsidR="00960AC3" w:rsidRPr="00A42469">
        <w:rPr>
          <w:color w:val="000000"/>
        </w:rPr>
        <w:t xml:space="preserve"> no set legal </w:t>
      </w:r>
      <w:r w:rsidR="00B24E2E" w:rsidRPr="00A42469">
        <w:rPr>
          <w:color w:val="000000"/>
        </w:rPr>
        <w:t>standard</w:t>
      </w:r>
      <w:r w:rsidR="005203CB" w:rsidRPr="00A42469">
        <w:rPr>
          <w:color w:val="000000"/>
        </w:rPr>
        <w:t xml:space="preserve"> for tariff waivers</w:t>
      </w:r>
      <w:r w:rsidR="00B24E2E" w:rsidRPr="00A42469">
        <w:rPr>
          <w:color w:val="000000"/>
        </w:rPr>
        <w:t>.</w:t>
      </w:r>
      <w:r w:rsidR="00FF05C4" w:rsidRPr="00A42469">
        <w:rPr>
          <w:rStyle w:val="FootnoteReference"/>
        </w:rPr>
        <w:footnoteReference w:id="3"/>
      </w:r>
      <w:r w:rsidR="00960AC3" w:rsidRPr="00A42469">
        <w:rPr>
          <w:color w:val="000000"/>
        </w:rPr>
        <w:t xml:space="preserve"> Public </w:t>
      </w:r>
      <w:r w:rsidR="00960AC3" w:rsidRPr="00A42469">
        <w:rPr>
          <w:color w:val="000000"/>
          <w:shd w:val="clear" w:color="auto" w:fill="FFFFFF"/>
        </w:rPr>
        <w:t>utility</w:t>
      </w:r>
      <w:r w:rsidR="00960AC3" w:rsidRPr="00A42469">
        <w:rPr>
          <w:color w:val="000000"/>
        </w:rPr>
        <w:t xml:space="preserve"> </w:t>
      </w:r>
      <w:r w:rsidR="00960AC3" w:rsidRPr="00A42469">
        <w:rPr>
          <w:color w:val="000000"/>
          <w:shd w:val="clear" w:color="auto" w:fill="FFFFFF"/>
        </w:rPr>
        <w:t>tariffs</w:t>
      </w:r>
      <w:r w:rsidR="00960AC3" w:rsidRPr="00A42469">
        <w:rPr>
          <w:color w:val="000000"/>
        </w:rPr>
        <w:t xml:space="preserve"> are subject to review and approval by the Commission. </w:t>
      </w:r>
      <w:r w:rsidR="00FF05C4" w:rsidRPr="00A42469">
        <w:rPr>
          <w:color w:val="000000"/>
        </w:rPr>
        <w:t xml:space="preserve">Section </w:t>
      </w:r>
      <w:r w:rsidR="00BF0DA0" w:rsidRPr="00A42469">
        <w:rPr>
          <w:color w:val="000000"/>
        </w:rPr>
        <w:t>366.05(1</w:t>
      </w:r>
      <w:proofErr w:type="gramStart"/>
      <w:r w:rsidR="00BF0DA0" w:rsidRPr="00A42469">
        <w:rPr>
          <w:color w:val="000000"/>
        </w:rPr>
        <w:t>)(</w:t>
      </w:r>
      <w:proofErr w:type="gramEnd"/>
      <w:r w:rsidR="00BF0DA0" w:rsidRPr="00A42469">
        <w:rPr>
          <w:color w:val="000000"/>
        </w:rPr>
        <w:t xml:space="preserve">e), </w:t>
      </w:r>
      <w:r w:rsidR="00960AC3" w:rsidRPr="00A42469">
        <w:rPr>
          <w:color w:val="000000"/>
        </w:rPr>
        <w:t xml:space="preserve">F.S. The Commission has stated in past cases that the </w:t>
      </w:r>
      <w:r w:rsidR="00D17E8F" w:rsidRPr="00A42469">
        <w:rPr>
          <w:color w:val="000000"/>
        </w:rPr>
        <w:t xml:space="preserve">burden is on the </w:t>
      </w:r>
      <w:r w:rsidR="00B24E2E" w:rsidRPr="00A42469">
        <w:rPr>
          <w:color w:val="000000"/>
        </w:rPr>
        <w:t>utility</w:t>
      </w:r>
      <w:r w:rsidR="00960AC3" w:rsidRPr="00A42469">
        <w:rPr>
          <w:color w:val="000000"/>
        </w:rPr>
        <w:t xml:space="preserve"> to provide sufficient </w:t>
      </w:r>
      <w:r w:rsidR="00B24E2E" w:rsidRPr="00A42469">
        <w:rPr>
          <w:color w:val="000000"/>
        </w:rPr>
        <w:t>justification</w:t>
      </w:r>
      <w:r w:rsidR="00960AC3" w:rsidRPr="00A42469">
        <w:rPr>
          <w:color w:val="000000"/>
        </w:rPr>
        <w:t xml:space="preserve"> for a tariff modification.</w:t>
      </w:r>
    </w:p>
    <w:p w:rsidR="00960AC3" w:rsidRPr="00A42469" w:rsidRDefault="00960AC3" w:rsidP="00960AC3">
      <w:pPr>
        <w:shd w:val="clear" w:color="auto" w:fill="FFFFFF"/>
        <w:jc w:val="both"/>
        <w:rPr>
          <w:color w:val="000000"/>
        </w:rPr>
      </w:pPr>
    </w:p>
    <w:p w:rsidR="00FF05C4" w:rsidRPr="00A42469" w:rsidRDefault="00FF05C4" w:rsidP="00960AC3">
      <w:pPr>
        <w:jc w:val="both"/>
      </w:pPr>
      <w:r w:rsidRPr="00A42469">
        <w:rPr>
          <w:color w:val="000000"/>
        </w:rPr>
        <w:t xml:space="preserve">In this instance, FPL has proposed a </w:t>
      </w:r>
      <w:r w:rsidR="00B24E2E" w:rsidRPr="00A42469">
        <w:rPr>
          <w:color w:val="000000"/>
        </w:rPr>
        <w:t>temporary</w:t>
      </w:r>
      <w:r w:rsidRPr="00A42469">
        <w:rPr>
          <w:color w:val="000000"/>
        </w:rPr>
        <w:t xml:space="preserve"> tariff waiver</w:t>
      </w:r>
      <w:r w:rsidR="00A772AD">
        <w:rPr>
          <w:color w:val="000000"/>
        </w:rPr>
        <w:t>/variance</w:t>
      </w:r>
      <w:r w:rsidRPr="00A42469">
        <w:rPr>
          <w:color w:val="000000"/>
        </w:rPr>
        <w:t xml:space="preserve">. FPL states </w:t>
      </w:r>
      <w:r w:rsidRPr="00A42469">
        <w:t xml:space="preserve">that </w:t>
      </w:r>
      <w:r w:rsidR="00184D14">
        <w:t xml:space="preserve">it will process deposit refunds for </w:t>
      </w:r>
      <w:r w:rsidRPr="00A42469">
        <w:t>qualifying residential</w:t>
      </w:r>
      <w:r w:rsidR="00317AA1" w:rsidRPr="00A42469">
        <w:t xml:space="preserve"> cus</w:t>
      </w:r>
      <w:r w:rsidR="00184D14">
        <w:t>tomers</w:t>
      </w:r>
      <w:r w:rsidRPr="00A42469">
        <w:t xml:space="preserve"> within the week after an order approving the petition becomes final. After processing the deposit refund</w:t>
      </w:r>
      <w:r w:rsidR="00BF0DA0" w:rsidRPr="00A42469">
        <w:t>,</w:t>
      </w:r>
      <w:r w:rsidRPr="00A42469">
        <w:t xml:space="preserve"> FPL proposes to immediately resume normal application u</w:t>
      </w:r>
      <w:r w:rsidR="00BF0DA0" w:rsidRPr="00A42469">
        <w:t xml:space="preserve">nder </w:t>
      </w:r>
      <w:r w:rsidRPr="00A42469">
        <w:t xml:space="preserve">Section 6.3 of its Tariff. </w:t>
      </w:r>
    </w:p>
    <w:p w:rsidR="00960AC3" w:rsidRPr="00A42469" w:rsidRDefault="00960AC3" w:rsidP="00960AC3">
      <w:pPr>
        <w:shd w:val="clear" w:color="auto" w:fill="FFFFFF"/>
        <w:rPr>
          <w:rFonts w:ascii="Arial" w:hAnsi="Arial" w:cs="Arial"/>
          <w:color w:val="000000"/>
          <w:shd w:val="clear" w:color="auto" w:fill="FFFFFF"/>
        </w:rPr>
      </w:pPr>
    </w:p>
    <w:p w:rsidR="00665426" w:rsidRPr="00A42469" w:rsidRDefault="00665426" w:rsidP="000812D9">
      <w:pPr>
        <w:jc w:val="both"/>
        <w:rPr>
          <w:rFonts w:ascii="Arial" w:hAnsi="Arial" w:cs="Arial"/>
          <w:b/>
        </w:rPr>
      </w:pPr>
      <w:r w:rsidRPr="00A42469">
        <w:rPr>
          <w:rFonts w:ascii="Arial" w:hAnsi="Arial" w:cs="Arial"/>
          <w:b/>
        </w:rPr>
        <w:t xml:space="preserve">Procedural Matters </w:t>
      </w:r>
    </w:p>
    <w:bookmarkEnd w:id="11"/>
    <w:p w:rsidR="00352BD6" w:rsidRPr="00A42469" w:rsidRDefault="00352BD6" w:rsidP="00352BD6">
      <w:pPr>
        <w:pStyle w:val="BodyText"/>
      </w:pPr>
      <w:r w:rsidRPr="00A42469">
        <w:t>Pursuant to Section 120.542(6), F.S., n</w:t>
      </w:r>
      <w:r w:rsidR="00B361BE" w:rsidRPr="00A42469">
        <w:t xml:space="preserve">otice of FPL’s petition was published in the September 14, 2020 edition of the Florida Administrative Register, Vol. 46, </w:t>
      </w:r>
      <w:proofErr w:type="gramStart"/>
      <w:r w:rsidR="00B361BE" w:rsidRPr="00A42469">
        <w:t>No</w:t>
      </w:r>
      <w:proofErr w:type="gramEnd"/>
      <w:r w:rsidR="00B361BE" w:rsidRPr="00A42469">
        <w:t xml:space="preserve">. 180. </w:t>
      </w:r>
      <w:r w:rsidR="001701F0" w:rsidRPr="00A42469">
        <w:t xml:space="preserve">On September 18, 2020, staff requested </w:t>
      </w:r>
      <w:r w:rsidR="00192D38" w:rsidRPr="00A42469">
        <w:t>additional</w:t>
      </w:r>
      <w:r w:rsidR="001701F0" w:rsidRPr="00A42469">
        <w:t xml:space="preserve"> </w:t>
      </w:r>
      <w:r w:rsidR="00192D38" w:rsidRPr="00A42469">
        <w:t>information</w:t>
      </w:r>
      <w:r w:rsidR="001701F0" w:rsidRPr="00A42469">
        <w:t xml:space="preserve"> from FPL regarding its </w:t>
      </w:r>
      <w:r w:rsidR="00192D38" w:rsidRPr="00A42469">
        <w:t>petition</w:t>
      </w:r>
      <w:r w:rsidR="001701F0" w:rsidRPr="00A42469">
        <w:t xml:space="preserve">. </w:t>
      </w:r>
      <w:r w:rsidR="00665426" w:rsidRPr="00A42469">
        <w:t xml:space="preserve">FPL provided its response to staff’s request for </w:t>
      </w:r>
      <w:r w:rsidR="00A772AD">
        <w:t xml:space="preserve">additional </w:t>
      </w:r>
      <w:r w:rsidR="00192D38" w:rsidRPr="00A42469">
        <w:t>information</w:t>
      </w:r>
      <w:r w:rsidR="00665426" w:rsidRPr="00A42469">
        <w:t xml:space="preserve"> on September 22, 2020. </w:t>
      </w:r>
      <w:r w:rsidRPr="00A42469">
        <w:t xml:space="preserve">As of the date of the filing of this recommendation, no comments have been submitted on the petition. </w:t>
      </w:r>
    </w:p>
    <w:p w:rsidR="00B361BE" w:rsidRPr="00A42469" w:rsidRDefault="00161497" w:rsidP="00B361BE">
      <w:pPr>
        <w:jc w:val="both"/>
      </w:pPr>
      <w:r w:rsidRPr="00A42469">
        <w:t>Pursuant to Section 120.542(8), F.S.</w:t>
      </w:r>
      <w:r w:rsidR="00AD3C99" w:rsidRPr="00A42469">
        <w:t xml:space="preserve">, a petition for </w:t>
      </w:r>
      <w:r w:rsidR="00B61E8C">
        <w:t>variance</w:t>
      </w:r>
      <w:r w:rsidR="00D36E9E" w:rsidRPr="00A42469">
        <w:t xml:space="preserve"> must be granted or de</w:t>
      </w:r>
      <w:r w:rsidRPr="00A42469">
        <w:t xml:space="preserve">nied </w:t>
      </w:r>
      <w:r w:rsidR="00076347" w:rsidRPr="00A42469">
        <w:t>within 90</w:t>
      </w:r>
      <w:r w:rsidR="00D36E9E" w:rsidRPr="00A42469">
        <w:t xml:space="preserve"> da</w:t>
      </w:r>
      <w:r w:rsidRPr="00A42469">
        <w:t xml:space="preserve">ys of </w:t>
      </w:r>
      <w:r w:rsidR="00AD3C99" w:rsidRPr="00A42469">
        <w:t>receipt by the agency or the petition</w:t>
      </w:r>
      <w:r w:rsidR="00D36E9E" w:rsidRPr="00A42469">
        <w:t xml:space="preserve"> is de</w:t>
      </w:r>
      <w:r w:rsidRPr="00A42469">
        <w:t>emed approved</w:t>
      </w:r>
      <w:r w:rsidR="00D36E9E" w:rsidRPr="00A42469">
        <w:t xml:space="preserve">. </w:t>
      </w:r>
      <w:r w:rsidRPr="00A42469">
        <w:t>Accordingly, the Commission must approve or deny FPL’s petition by December 10, 2020</w:t>
      </w:r>
      <w:r w:rsidR="00B361BE" w:rsidRPr="00A42469">
        <w:t xml:space="preserve">. </w:t>
      </w:r>
      <w:r w:rsidR="00A772AD" w:rsidRPr="00A42469">
        <w:t xml:space="preserve">Although the petition has not been filed </w:t>
      </w:r>
      <w:r w:rsidR="00100817">
        <w:t>as an emergency rule variance</w:t>
      </w:r>
      <w:r w:rsidR="00A772AD" w:rsidRPr="00A42469">
        <w:t>, FPL requests the Commission consider the petition on an expedited basis.</w:t>
      </w:r>
    </w:p>
    <w:p w:rsidR="001701F0" w:rsidRPr="00A42469" w:rsidRDefault="001701F0" w:rsidP="00B361BE">
      <w:pPr>
        <w:jc w:val="both"/>
      </w:pPr>
    </w:p>
    <w:p w:rsidR="00665426" w:rsidRPr="00A42469" w:rsidRDefault="00B361BE" w:rsidP="00665426">
      <w:pPr>
        <w:jc w:val="both"/>
      </w:pPr>
      <w:r w:rsidRPr="00A42469">
        <w:t xml:space="preserve">This recommendation addresses whether the Commission should </w:t>
      </w:r>
      <w:r w:rsidR="00352BD6" w:rsidRPr="00A42469">
        <w:t>grant</w:t>
      </w:r>
      <w:r w:rsidR="00161497" w:rsidRPr="00A42469">
        <w:t xml:space="preserve"> FPL’s </w:t>
      </w:r>
      <w:r w:rsidRPr="00A42469">
        <w:t>petition.</w:t>
      </w:r>
      <w:r w:rsidR="00665426" w:rsidRPr="00A42469">
        <w:t xml:space="preserve"> The Commission has jurisdiction under Sections 120.542, 366.03, 366.041(1), 366.05(1), and 366.06(1), F.S.</w:t>
      </w:r>
    </w:p>
    <w:p w:rsidR="00B361BE" w:rsidRPr="00A42469" w:rsidRDefault="00B361BE" w:rsidP="00B361BE">
      <w:pPr>
        <w:pStyle w:val="BodyText"/>
        <w:sectPr w:rsidR="00B361BE" w:rsidRPr="00A42469">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A42469" w:rsidRDefault="007C0528">
      <w:pPr>
        <w:pStyle w:val="RecommendationMajorSectionHeading"/>
      </w:pPr>
      <w:bookmarkStart w:id="15" w:name="DiscussionOfIssues"/>
      <w:r w:rsidRPr="00A42469">
        <w:lastRenderedPageBreak/>
        <w:t>Discussion of Issues</w:t>
      </w:r>
    </w:p>
    <w:bookmarkEnd w:id="15"/>
    <w:p w:rsidR="00815D22" w:rsidRPr="00A42469" w:rsidRDefault="00815D22">
      <w:pPr>
        <w:pStyle w:val="IssueHeading"/>
        <w:rPr>
          <w:vanish/>
          <w:specVanish/>
        </w:rPr>
      </w:pPr>
      <w:r w:rsidRPr="00A42469">
        <w:t xml:space="preserve">Issue </w:t>
      </w:r>
      <w:fldSimple w:instr=" SEQ Issue \* MERGEFORMAT ">
        <w:r w:rsidR="004B6D01">
          <w:rPr>
            <w:noProof/>
          </w:rPr>
          <w:t>1</w:t>
        </w:r>
      </w:fldSimple>
      <w:r w:rsidRPr="00A42469">
        <w:t>:</w:t>
      </w:r>
      <w:r w:rsidRPr="00A42469">
        <w:fldChar w:fldCharType="begin"/>
      </w:r>
      <w:r w:rsidRPr="00A42469">
        <w:instrText xml:space="preserve"> TC "</w:instrText>
      </w:r>
      <w:r w:rsidRPr="00A42469">
        <w:fldChar w:fldCharType="begin"/>
      </w:r>
      <w:r w:rsidRPr="00A42469">
        <w:instrText xml:space="preserve"> SEQ issue \c </w:instrText>
      </w:r>
      <w:r w:rsidRPr="00A42469">
        <w:fldChar w:fldCharType="separate"/>
      </w:r>
      <w:r w:rsidR="004B6D01">
        <w:rPr>
          <w:noProof/>
        </w:rPr>
        <w:instrText>1</w:instrText>
      </w:r>
      <w:r w:rsidRPr="00A42469">
        <w:fldChar w:fldCharType="end"/>
      </w:r>
      <w:r w:rsidRPr="00A42469">
        <w:tab/>
        <w:instrText xml:space="preserve">" \l 1 </w:instrText>
      </w:r>
      <w:r w:rsidRPr="00A42469">
        <w:fldChar w:fldCharType="end"/>
      </w:r>
      <w:r w:rsidRPr="00A42469">
        <w:t> </w:t>
      </w:r>
    </w:p>
    <w:p w:rsidR="00815D22" w:rsidRPr="00A42469" w:rsidRDefault="00815D22">
      <w:pPr>
        <w:pStyle w:val="BodyText"/>
      </w:pPr>
      <w:r w:rsidRPr="00A42469">
        <w:t> </w:t>
      </w:r>
      <w:r w:rsidR="00AD3C99" w:rsidRPr="00A42469">
        <w:t>Should FPL’s petition</w:t>
      </w:r>
      <w:r w:rsidR="001E39BA" w:rsidRPr="00A42469">
        <w:t xml:space="preserve"> for temporary variance from or waiver of Rule 25-6.097(3), F.A.C., and Section 6.3 of FPL’s Tariff be granted</w:t>
      </w:r>
      <w:r w:rsidR="00B361BE" w:rsidRPr="00A42469">
        <w:t>?</w:t>
      </w:r>
    </w:p>
    <w:p w:rsidR="00815D22" w:rsidRPr="00A42469" w:rsidRDefault="00815D22">
      <w:pPr>
        <w:pStyle w:val="IssueSubsectionHeading"/>
        <w:rPr>
          <w:vanish/>
          <w:specVanish/>
        </w:rPr>
      </w:pPr>
      <w:r w:rsidRPr="00A42469">
        <w:t>Recommendation: </w:t>
      </w:r>
    </w:p>
    <w:p w:rsidR="00815D22" w:rsidRDefault="00815D22" w:rsidP="00981428">
      <w:pPr>
        <w:jc w:val="both"/>
      </w:pPr>
      <w:r w:rsidRPr="00A42469">
        <w:t> </w:t>
      </w:r>
      <w:r w:rsidR="00494DAA">
        <w:t xml:space="preserve">A rule </w:t>
      </w:r>
      <w:r w:rsidR="009635CC">
        <w:t xml:space="preserve">waiver or </w:t>
      </w:r>
      <w:r w:rsidR="00494DAA">
        <w:t>variance</w:t>
      </w:r>
      <w:r w:rsidR="00923425" w:rsidRPr="00A42469">
        <w:t xml:space="preserve"> is unnecessary under the plain language of Rule 25-6.097, F.A.C</w:t>
      </w:r>
      <w:r w:rsidR="00F8220F" w:rsidRPr="00A42469">
        <w:t xml:space="preserve">. </w:t>
      </w:r>
      <w:r w:rsidR="00923425" w:rsidRPr="00A42469">
        <w:t xml:space="preserve">The Commission should grant FPL’s petition for a temporary variance from or waiver </w:t>
      </w:r>
      <w:r w:rsidR="00981428">
        <w:t xml:space="preserve">of Section 6.3 of FPL’s Tariff. If FPL’s petition is approved, </w:t>
      </w:r>
      <w:r w:rsidR="00981428" w:rsidRPr="00A42469">
        <w:t xml:space="preserve">the Commission </w:t>
      </w:r>
      <w:r w:rsidR="00981428">
        <w:t xml:space="preserve">should </w:t>
      </w:r>
      <w:r w:rsidR="00981428" w:rsidRPr="00A42469">
        <w:t xml:space="preserve">require FPL to file a notice in this docket when it begins and </w:t>
      </w:r>
      <w:r w:rsidR="00517139">
        <w:t>concludes</w:t>
      </w:r>
      <w:r w:rsidR="00981428" w:rsidRPr="00A42469">
        <w:t xml:space="preserve"> implementing the deposit refund.</w:t>
      </w:r>
      <w:r w:rsidR="00981428">
        <w:t xml:space="preserve"> </w:t>
      </w:r>
      <w:r w:rsidR="00F8220F" w:rsidRPr="00A42469">
        <w:t>(Harper, Kahn, Coston, Guffey, Fletcher)</w:t>
      </w:r>
      <w:r w:rsidRPr="00A42469">
        <w:t xml:space="preserve"> </w:t>
      </w:r>
      <w:r w:rsidR="008713B5">
        <w:t xml:space="preserve"> </w:t>
      </w:r>
    </w:p>
    <w:p w:rsidR="00981428" w:rsidRPr="00A42469" w:rsidRDefault="00981428" w:rsidP="00981428">
      <w:pPr>
        <w:jc w:val="both"/>
      </w:pPr>
    </w:p>
    <w:p w:rsidR="00815D22" w:rsidRPr="00A42469" w:rsidRDefault="00815D22">
      <w:pPr>
        <w:pStyle w:val="IssueSubsectionHeading"/>
        <w:rPr>
          <w:vanish/>
          <w:specVanish/>
        </w:rPr>
      </w:pPr>
      <w:r w:rsidRPr="00A42469">
        <w:t>Staff Analysis: </w:t>
      </w:r>
    </w:p>
    <w:p w:rsidR="001701F0" w:rsidRPr="00A42469" w:rsidRDefault="00815D22" w:rsidP="001701F0">
      <w:pPr>
        <w:jc w:val="both"/>
      </w:pPr>
      <w:r w:rsidRPr="00A42469">
        <w:t> </w:t>
      </w:r>
      <w:r w:rsidR="00A56A5B" w:rsidRPr="00A42469">
        <w:t>FPL is asking the Commission for a</w:t>
      </w:r>
      <w:r w:rsidR="001E39BA" w:rsidRPr="00A42469">
        <w:t xml:space="preserve"> temporary </w:t>
      </w:r>
      <w:r w:rsidR="00A56A5B" w:rsidRPr="00A42469">
        <w:t xml:space="preserve">variance from or waiver of Rule 25-6.097(3), F.A.C., and Section 6.3 of the FPL </w:t>
      </w:r>
      <w:r w:rsidR="00A1180D" w:rsidRPr="00A42469">
        <w:t>Tariff</w:t>
      </w:r>
      <w:r w:rsidR="00BF0DA0" w:rsidRPr="00A42469">
        <w:t>,</w:t>
      </w:r>
      <w:r w:rsidR="00A56A5B" w:rsidRPr="00A42469">
        <w:t xml:space="preserve"> so that it can provide an accelerated refund of cash deposits to qualifying residential customers who may be experiencing economic hardships due to the ongoing COVID-19 pandemic and the associated economic </w:t>
      </w:r>
      <w:r w:rsidR="00CD0D61">
        <w:t>impacts</w:t>
      </w:r>
      <w:r w:rsidR="00A56A5B" w:rsidRPr="00A42469">
        <w:t xml:space="preserve">. </w:t>
      </w:r>
    </w:p>
    <w:p w:rsidR="001701F0" w:rsidRPr="00A42469" w:rsidRDefault="001701F0" w:rsidP="00B361BE">
      <w:pPr>
        <w:jc w:val="both"/>
      </w:pPr>
    </w:p>
    <w:p w:rsidR="00B10B1E" w:rsidRPr="00A42469" w:rsidRDefault="0042477F" w:rsidP="00B10B1E">
      <w:pPr>
        <w:jc w:val="both"/>
        <w:rPr>
          <w:rFonts w:ascii="Arial" w:hAnsi="Arial" w:cs="Arial"/>
          <w:b/>
        </w:rPr>
      </w:pPr>
      <w:r>
        <w:rPr>
          <w:rFonts w:ascii="Arial" w:hAnsi="Arial" w:cs="Arial"/>
          <w:b/>
        </w:rPr>
        <w:t xml:space="preserve">Rule </w:t>
      </w:r>
      <w:r w:rsidR="009635CC">
        <w:rPr>
          <w:rFonts w:ascii="Arial" w:hAnsi="Arial" w:cs="Arial"/>
          <w:b/>
        </w:rPr>
        <w:t xml:space="preserve">Waiver or </w:t>
      </w:r>
      <w:r>
        <w:rPr>
          <w:rFonts w:ascii="Arial" w:hAnsi="Arial" w:cs="Arial"/>
          <w:b/>
        </w:rPr>
        <w:t>Variance</w:t>
      </w:r>
      <w:r w:rsidR="00722FD9">
        <w:rPr>
          <w:rFonts w:ascii="Arial" w:hAnsi="Arial" w:cs="Arial"/>
          <w:b/>
        </w:rPr>
        <w:t xml:space="preserve"> </w:t>
      </w:r>
      <w:r w:rsidR="00B10B1E" w:rsidRPr="00A42469">
        <w:rPr>
          <w:rFonts w:ascii="Arial" w:hAnsi="Arial" w:cs="Arial"/>
          <w:b/>
        </w:rPr>
        <w:t>is Unnecessary</w:t>
      </w:r>
    </w:p>
    <w:p w:rsidR="00936547" w:rsidRPr="00A42469" w:rsidRDefault="00161497" w:rsidP="00B10B1E">
      <w:pPr>
        <w:jc w:val="both"/>
      </w:pPr>
      <w:r w:rsidRPr="00A42469">
        <w:t xml:space="preserve">Rule 25-6.097(2), F.A.C., gives investor-owned electric utilities the discretion to require any applicant for service to satisfactorily establish credit. </w:t>
      </w:r>
      <w:r w:rsidR="00936547" w:rsidRPr="00A42469">
        <w:t xml:space="preserve"> Rule 25-6.097(2</w:t>
      </w:r>
      <w:proofErr w:type="gramStart"/>
      <w:r w:rsidR="00936547" w:rsidRPr="00A42469">
        <w:t>)(</w:t>
      </w:r>
      <w:proofErr w:type="gramEnd"/>
      <w:r w:rsidR="00936547" w:rsidRPr="00A42469">
        <w:t xml:space="preserve">b), F.A.C., states that credit will be deemed so established if the applicant pays a cash deposit. </w:t>
      </w:r>
      <w:r w:rsidRPr="00A42469">
        <w:t xml:space="preserve"> </w:t>
      </w:r>
    </w:p>
    <w:p w:rsidR="00936547" w:rsidRPr="00A42469" w:rsidRDefault="00936547" w:rsidP="00B10B1E">
      <w:pPr>
        <w:jc w:val="both"/>
      </w:pPr>
    </w:p>
    <w:p w:rsidR="00B10B1E" w:rsidRPr="00A42469" w:rsidRDefault="00B10B1E" w:rsidP="00B10B1E">
      <w:pPr>
        <w:jc w:val="both"/>
      </w:pPr>
      <w:r w:rsidRPr="00A42469">
        <w:t xml:space="preserve">Rule 25-6.097(3), F.A.C., </w:t>
      </w:r>
      <w:r w:rsidR="00BF0DA0" w:rsidRPr="00A42469">
        <w:t>provides, in</w:t>
      </w:r>
      <w:r w:rsidRPr="00A42469">
        <w:t xml:space="preserve"> pertinent part, that after a customer has established a satisfactory payment record after continuous service for a period of 23 months, the utility must refund the residentia</w:t>
      </w:r>
      <w:r w:rsidR="00936547" w:rsidRPr="00A42469">
        <w:t>l customer’s deposits, provided</w:t>
      </w:r>
      <w:r w:rsidR="00BF0DA0" w:rsidRPr="00A42469">
        <w:t xml:space="preserve"> the customer has not </w:t>
      </w:r>
      <w:r w:rsidRPr="00A42469">
        <w:t xml:space="preserve">in the preceding 12 months: </w:t>
      </w:r>
    </w:p>
    <w:p w:rsidR="00B10B1E" w:rsidRPr="00A42469" w:rsidRDefault="00B10B1E" w:rsidP="00B10B1E">
      <w:pPr>
        <w:ind w:left="720" w:right="720"/>
        <w:jc w:val="both"/>
      </w:pPr>
    </w:p>
    <w:p w:rsidR="00936547" w:rsidRPr="00A42469" w:rsidRDefault="00B10B1E" w:rsidP="00936547">
      <w:pPr>
        <w:ind w:left="720" w:right="720"/>
        <w:jc w:val="both"/>
      </w:pPr>
      <w:r w:rsidRPr="00A42469">
        <w:t>(</w:t>
      </w:r>
      <w:proofErr w:type="gramStart"/>
      <w:r w:rsidRPr="00A42469">
        <w:t>a</w:t>
      </w:r>
      <w:proofErr w:type="gramEnd"/>
      <w:r w:rsidRPr="00A42469">
        <w:t>) Made more than one late payment of a bill (after expiration of 20 days from the date of mailing or delivery by the utility).</w:t>
      </w:r>
    </w:p>
    <w:p w:rsidR="00936547" w:rsidRPr="00A42469" w:rsidRDefault="00B10B1E" w:rsidP="00936547">
      <w:pPr>
        <w:ind w:left="720" w:right="720"/>
        <w:jc w:val="both"/>
      </w:pPr>
      <w:r w:rsidRPr="00A42469">
        <w:t xml:space="preserve">(b) Paid with a check refused by a bank. </w:t>
      </w:r>
    </w:p>
    <w:p w:rsidR="00936547" w:rsidRPr="00A42469" w:rsidRDefault="00B10B1E" w:rsidP="00936547">
      <w:pPr>
        <w:ind w:left="720" w:right="720"/>
        <w:jc w:val="both"/>
      </w:pPr>
      <w:r w:rsidRPr="00A42469">
        <w:t xml:space="preserve">(c) Been disconnected for nonpayment, or at any time. </w:t>
      </w:r>
    </w:p>
    <w:p w:rsidR="00936547" w:rsidRPr="00A42469" w:rsidRDefault="00B10B1E" w:rsidP="00936547">
      <w:pPr>
        <w:ind w:left="720" w:right="720"/>
        <w:jc w:val="both"/>
      </w:pPr>
      <w:r w:rsidRPr="00A42469">
        <w:t>(d) Tampered with the electric meter, or</w:t>
      </w:r>
    </w:p>
    <w:p w:rsidR="00B10B1E" w:rsidRPr="00A42469" w:rsidRDefault="00B10B1E" w:rsidP="00936547">
      <w:pPr>
        <w:ind w:left="720" w:right="720"/>
        <w:jc w:val="both"/>
      </w:pPr>
      <w:r w:rsidRPr="00A42469">
        <w:t xml:space="preserve">(e) Used service in a fraudulent or unauthorized manner. </w:t>
      </w:r>
    </w:p>
    <w:p w:rsidR="00B10B1E" w:rsidRPr="00A42469" w:rsidRDefault="00B10B1E" w:rsidP="00B10B1E">
      <w:pPr>
        <w:ind w:left="720" w:right="720" w:firstLine="720"/>
        <w:jc w:val="both"/>
      </w:pPr>
    </w:p>
    <w:p w:rsidR="00B10B1E" w:rsidRPr="00A42469" w:rsidRDefault="00B10B1E" w:rsidP="00B10B1E">
      <w:pPr>
        <w:jc w:val="both"/>
      </w:pPr>
      <w:r w:rsidRPr="00A42469">
        <w:t>The rule</w:t>
      </w:r>
      <w:r w:rsidR="00936547" w:rsidRPr="00A42469">
        <w:t>,</w:t>
      </w:r>
      <w:r w:rsidRPr="00A42469">
        <w:t xml:space="preserve"> therefore</w:t>
      </w:r>
      <w:r w:rsidR="00936547" w:rsidRPr="00A42469">
        <w:t>,</w:t>
      </w:r>
      <w:r w:rsidRPr="00A42469">
        <w:t xml:space="preserve"> contemplates a two element test for when an electrical utility </w:t>
      </w:r>
      <w:r w:rsidRPr="00A42469">
        <w:rPr>
          <w:i/>
        </w:rPr>
        <w:t>must</w:t>
      </w:r>
      <w:r w:rsidRPr="00A42469">
        <w:t xml:space="preserve"> refund a deposit to a qualifying residential customer: </w:t>
      </w:r>
    </w:p>
    <w:p w:rsidR="00B10B1E" w:rsidRPr="00A42469" w:rsidRDefault="00B10B1E" w:rsidP="00B10B1E">
      <w:pPr>
        <w:jc w:val="both"/>
      </w:pPr>
    </w:p>
    <w:p w:rsidR="00936547" w:rsidRPr="00A42469" w:rsidRDefault="00B10B1E" w:rsidP="00936547">
      <w:pPr>
        <w:ind w:left="720" w:right="720"/>
        <w:jc w:val="both"/>
      </w:pPr>
      <w:r w:rsidRPr="00A42469">
        <w:t xml:space="preserve">(1) </w:t>
      </w:r>
      <w:proofErr w:type="gramStart"/>
      <w:r w:rsidRPr="00A42469">
        <w:t>the</w:t>
      </w:r>
      <w:proofErr w:type="gramEnd"/>
      <w:r w:rsidRPr="00A42469">
        <w:t xml:space="preserve"> residential customer must have maintained continuous service for 23 months</w:t>
      </w:r>
      <w:r w:rsidR="00936547" w:rsidRPr="00A42469">
        <w:t>;</w:t>
      </w:r>
      <w:r w:rsidRPr="00A42469">
        <w:t xml:space="preserve"> and </w:t>
      </w:r>
    </w:p>
    <w:p w:rsidR="00B10B1E" w:rsidRPr="00A42469" w:rsidRDefault="00B10B1E" w:rsidP="00936547">
      <w:pPr>
        <w:ind w:left="720" w:right="720"/>
        <w:jc w:val="both"/>
      </w:pPr>
      <w:r w:rsidRPr="00A42469">
        <w:t xml:space="preserve">(2) </w:t>
      </w:r>
      <w:proofErr w:type="gramStart"/>
      <w:r w:rsidRPr="00A42469">
        <w:t>the</w:t>
      </w:r>
      <w:proofErr w:type="gramEnd"/>
      <w:r w:rsidRPr="00A42469">
        <w:t xml:space="preserve"> residential customer has demonstrated what FPL characterizes as a “good payment history” by complying with paragraphs (3)(a)-(e) of Rule 25-6.097, F.A.C., for the preceding 12 months. </w:t>
      </w:r>
    </w:p>
    <w:p w:rsidR="00B10B1E" w:rsidRPr="00A42469" w:rsidRDefault="00B10B1E" w:rsidP="00B10B1E">
      <w:pPr>
        <w:jc w:val="both"/>
      </w:pPr>
    </w:p>
    <w:p w:rsidR="00936547" w:rsidRPr="00A42469" w:rsidRDefault="00936547" w:rsidP="00B10B1E">
      <w:pPr>
        <w:jc w:val="both"/>
      </w:pPr>
      <w:r w:rsidRPr="00A42469">
        <w:t>Nonetheless, Rule 25-6.097(5</w:t>
      </w:r>
      <w:proofErr w:type="gramStart"/>
      <w:r w:rsidRPr="00A42469">
        <w:t>)(</w:t>
      </w:r>
      <w:proofErr w:type="gramEnd"/>
      <w:r w:rsidRPr="00A42469">
        <w:t>b), F.A.C., states that “[n]othing in this rule shall prohibit a utility from refunding at any time a deposit with any accrued interest.”</w:t>
      </w:r>
    </w:p>
    <w:p w:rsidR="00936547" w:rsidRPr="00A42469" w:rsidRDefault="00936547" w:rsidP="00B10B1E">
      <w:pPr>
        <w:jc w:val="both"/>
      </w:pPr>
    </w:p>
    <w:p w:rsidR="00B10B1E" w:rsidRPr="00A42469" w:rsidRDefault="00B10B1E" w:rsidP="00B10B1E">
      <w:pPr>
        <w:jc w:val="both"/>
      </w:pPr>
      <w:r w:rsidRPr="00A42469">
        <w:lastRenderedPageBreak/>
        <w:t xml:space="preserve">FPL requests a </w:t>
      </w:r>
      <w:r w:rsidR="008D3360">
        <w:t>temporary variance</w:t>
      </w:r>
      <w:r w:rsidRPr="00A42469">
        <w:t xml:space="preserve"> of the provision</w:t>
      </w:r>
      <w:r w:rsidR="00BD23D2">
        <w:t>s</w:t>
      </w:r>
      <w:r w:rsidRPr="00A42469">
        <w:t xml:space="preserve"> of Rule 25-6.907(3), F.A.C., to allow th</w:t>
      </w:r>
      <w:r w:rsidR="00D47ADD">
        <w:t>e 23-</w:t>
      </w:r>
      <w:r w:rsidRPr="00A42469">
        <w:t>month servic</w:t>
      </w:r>
      <w:r w:rsidR="0059520F">
        <w:t>e period be abbreviated to a 12-</w:t>
      </w:r>
      <w:r w:rsidRPr="00A42469">
        <w:t>month period, with no change to the provision requiring that the res</w:t>
      </w:r>
      <w:r w:rsidR="0059520F">
        <w:t>idential customer maintain a 12-</w:t>
      </w:r>
      <w:r w:rsidRPr="00A42469">
        <w:t>month good payment history.</w:t>
      </w:r>
      <w:r w:rsidR="009F14EC" w:rsidRPr="00A42469">
        <w:t xml:space="preserve"> </w:t>
      </w:r>
      <w:r w:rsidR="00FD1588" w:rsidRPr="00A42469">
        <w:t>Staff</w:t>
      </w:r>
      <w:r w:rsidR="00F63F8E" w:rsidRPr="00A42469">
        <w:t xml:space="preserve"> believes that </w:t>
      </w:r>
      <w:r w:rsidR="00936547" w:rsidRPr="00A42469">
        <w:t xml:space="preserve">it is unnecessary </w:t>
      </w:r>
      <w:r w:rsidR="00FD72A2" w:rsidRPr="00A42469">
        <w:t>to determine whether FPL has carried its burdens under Section 120.542(2)</w:t>
      </w:r>
      <w:r w:rsidR="00936547" w:rsidRPr="00A42469">
        <w:t xml:space="preserve">, F.S., for </w:t>
      </w:r>
      <w:r w:rsidR="00B57A5B">
        <w:t xml:space="preserve">a temporary rule </w:t>
      </w:r>
      <w:r w:rsidR="009635CC">
        <w:t xml:space="preserve">waiver or </w:t>
      </w:r>
      <w:r w:rsidR="00B57A5B">
        <w:t>variance</w:t>
      </w:r>
      <w:r w:rsidR="00FD72A2" w:rsidRPr="00A42469">
        <w:t xml:space="preserve"> because </w:t>
      </w:r>
      <w:r w:rsidR="00BE5527" w:rsidRPr="00A42469">
        <w:t>the plai</w:t>
      </w:r>
      <w:r w:rsidR="00936547" w:rsidRPr="00A42469">
        <w:t>n language of Rule 25-6.097(5</w:t>
      </w:r>
      <w:proofErr w:type="gramStart"/>
      <w:r w:rsidR="00936547" w:rsidRPr="00A42469">
        <w:t>)(</w:t>
      </w:r>
      <w:proofErr w:type="gramEnd"/>
      <w:r w:rsidR="00936547" w:rsidRPr="00A42469">
        <w:t>b</w:t>
      </w:r>
      <w:r w:rsidR="00BE5527" w:rsidRPr="00A42469">
        <w:t>)</w:t>
      </w:r>
      <w:r w:rsidR="004B79BF">
        <w:t>,</w:t>
      </w:r>
      <w:r w:rsidR="00B15E14" w:rsidRPr="00A42469">
        <w:t xml:space="preserve"> F.A.C., expressly provides that a utility</w:t>
      </w:r>
      <w:r w:rsidR="00BE5527" w:rsidRPr="00A42469">
        <w:t xml:space="preserve"> may refund cash deposits t</w:t>
      </w:r>
      <w:r w:rsidR="00B15E14" w:rsidRPr="00A42469">
        <w:t>o residential customers at any time</w:t>
      </w:r>
      <w:r w:rsidR="004B04E6" w:rsidRPr="00A42469">
        <w:t>.</w:t>
      </w:r>
      <w:r w:rsidR="00F8228B" w:rsidRPr="00A42469">
        <w:t xml:space="preserve"> </w:t>
      </w:r>
      <w:r w:rsidR="00936547" w:rsidRPr="00A42469">
        <w:t xml:space="preserve">Moreover, </w:t>
      </w:r>
      <w:r w:rsidR="00B15E14" w:rsidRPr="00A42469">
        <w:t xml:space="preserve">while Rule 25-6.097(3), F.A.C., requires that the utility must refund a customer’s deposit after the customer has established a satisfactory payment record and has had continuous service for a period of 23 months, nothing in Rule 25-6.097(3), F.A.C., prohibits the utility from refunding a deposit prior to </w:t>
      </w:r>
      <w:r w:rsidR="00BF0DA0" w:rsidRPr="00A42469">
        <w:t>the 23-month time period in the rule</w:t>
      </w:r>
      <w:r w:rsidR="00B15E14" w:rsidRPr="00A42469">
        <w:t>.</w:t>
      </w:r>
      <w:r w:rsidR="00DF7DF6" w:rsidRPr="00A42469">
        <w:t xml:space="preserve">  </w:t>
      </w:r>
    </w:p>
    <w:p w:rsidR="00B10B1E" w:rsidRPr="00A42469" w:rsidRDefault="00B10B1E" w:rsidP="00682F61">
      <w:pPr>
        <w:pStyle w:val="First-LevelSubheading"/>
      </w:pPr>
    </w:p>
    <w:p w:rsidR="00B10B1E" w:rsidRPr="00A42469" w:rsidRDefault="00037002" w:rsidP="00B10B1E">
      <w:pPr>
        <w:jc w:val="both"/>
        <w:rPr>
          <w:rFonts w:ascii="Arial" w:hAnsi="Arial" w:cs="Arial"/>
          <w:b/>
        </w:rPr>
      </w:pPr>
      <w:r>
        <w:rPr>
          <w:rFonts w:ascii="Arial" w:hAnsi="Arial" w:cs="Arial"/>
          <w:b/>
        </w:rPr>
        <w:t>Temporary Variance</w:t>
      </w:r>
      <w:r w:rsidR="007546C1">
        <w:rPr>
          <w:rFonts w:ascii="Arial" w:hAnsi="Arial" w:cs="Arial"/>
          <w:b/>
        </w:rPr>
        <w:t xml:space="preserve"> from</w:t>
      </w:r>
      <w:r w:rsidR="00B10B1E" w:rsidRPr="00A42469">
        <w:rPr>
          <w:rFonts w:ascii="Arial" w:hAnsi="Arial" w:cs="Arial"/>
          <w:b/>
        </w:rPr>
        <w:t xml:space="preserve"> </w:t>
      </w:r>
      <w:r w:rsidR="007546C1">
        <w:rPr>
          <w:rFonts w:ascii="Arial" w:hAnsi="Arial" w:cs="Arial"/>
          <w:b/>
        </w:rPr>
        <w:t xml:space="preserve">or Waiver of </w:t>
      </w:r>
      <w:r w:rsidR="00B10B1E" w:rsidRPr="00A42469">
        <w:rPr>
          <w:rFonts w:ascii="Arial" w:hAnsi="Arial" w:cs="Arial"/>
          <w:b/>
        </w:rPr>
        <w:t xml:space="preserve">Section 6.3 of FPL’s Tariff </w:t>
      </w:r>
    </w:p>
    <w:p w:rsidR="00B10B1E" w:rsidRPr="00A42469" w:rsidRDefault="00AE445D" w:rsidP="00B10B1E">
      <w:pPr>
        <w:jc w:val="both"/>
      </w:pPr>
      <w:r w:rsidRPr="00A42469">
        <w:t>FPL</w:t>
      </w:r>
      <w:r w:rsidR="00B10B1E" w:rsidRPr="00A42469">
        <w:t xml:space="preserve"> also asks f</w:t>
      </w:r>
      <w:r w:rsidR="003E3233">
        <w:t>or a temporary variance</w:t>
      </w:r>
      <w:r w:rsidR="00B10B1E" w:rsidRPr="00A42469">
        <w:t xml:space="preserve"> </w:t>
      </w:r>
      <w:r w:rsidR="007546C1">
        <w:t xml:space="preserve">from or waiver </w:t>
      </w:r>
      <w:r w:rsidR="00B10B1E" w:rsidRPr="00A42469">
        <w:t>of the pr</w:t>
      </w:r>
      <w:r w:rsidR="00B15E14" w:rsidRPr="00A42469">
        <w:t>ovisions in Section 6.3 of its</w:t>
      </w:r>
      <w:r w:rsidR="00B10B1E" w:rsidRPr="00A42469">
        <w:t xml:space="preserve"> Ta</w:t>
      </w:r>
      <w:r w:rsidR="00B15E14" w:rsidRPr="00A42469">
        <w:t>riff</w:t>
      </w:r>
      <w:r w:rsidR="00B10B1E" w:rsidRPr="00A42469">
        <w:t>. Section 6.3 of FPL’s Tariff states</w:t>
      </w:r>
      <w:r w:rsidRPr="00A42469">
        <w:t>,</w:t>
      </w:r>
      <w:r w:rsidR="00B10B1E" w:rsidRPr="00A42469">
        <w:t xml:space="preserve"> in pertinent part</w:t>
      </w:r>
      <w:r w:rsidRPr="00A42469">
        <w:t>,</w:t>
      </w:r>
      <w:r w:rsidR="00B10B1E" w:rsidRPr="00A42469">
        <w:t xml:space="preserve"> that “[a]fter a residential </w:t>
      </w:r>
      <w:r w:rsidR="00AF5099">
        <w:t>[</w:t>
      </w:r>
      <w:r w:rsidR="00B10B1E" w:rsidRPr="00A42469">
        <w:t>c</w:t>
      </w:r>
      <w:r w:rsidR="00AF5099">
        <w:t>]</w:t>
      </w:r>
      <w:r w:rsidR="00B10B1E" w:rsidRPr="00A42469">
        <w:t>ustomer has established a prompt payment record and has had continuous service for a period of not less than 23 months, the Company will no longer require a [s]ecurity [d]eposit or guaranty for that account,</w:t>
      </w:r>
      <w:r w:rsidR="00AF5099">
        <w:t xml:space="preserve"> provided </w:t>
      </w:r>
      <w:r w:rsidR="00B10B1E" w:rsidRPr="00A42469">
        <w:t xml:space="preserve">the </w:t>
      </w:r>
      <w:r w:rsidR="00AF5099">
        <w:t>[</w:t>
      </w:r>
      <w:r w:rsidR="00B10B1E" w:rsidRPr="00A42469">
        <w:t>c</w:t>
      </w:r>
      <w:r w:rsidR="00AF5099">
        <w:t>]</w:t>
      </w:r>
      <w:r w:rsidR="00B10B1E" w:rsidRPr="00A42469">
        <w:t>ustomer has not, in the preceding twelve (</w:t>
      </w:r>
      <w:r w:rsidRPr="00A42469">
        <w:t xml:space="preserve">12) months” violated any of the provisions in </w:t>
      </w:r>
      <w:r w:rsidR="00B10B1E" w:rsidRPr="00A42469">
        <w:t>Rule 25-6.097(3)(a)-(e), F.A.C., as recited above. Once these</w:t>
      </w:r>
      <w:r w:rsidRPr="00A42469">
        <w:t xml:space="preserve"> conditions have been met, the T</w:t>
      </w:r>
      <w:r w:rsidR="00B10B1E" w:rsidRPr="00A42469">
        <w:t xml:space="preserve">ariff further states that the deposit “will be refunded.” </w:t>
      </w:r>
    </w:p>
    <w:p w:rsidR="00B361BE" w:rsidRPr="00A42469" w:rsidRDefault="00B10B1E" w:rsidP="00B361BE">
      <w:pPr>
        <w:jc w:val="both"/>
      </w:pPr>
      <w:r w:rsidRPr="00A42469">
        <w:t xml:space="preserve"> </w:t>
      </w:r>
    </w:p>
    <w:p w:rsidR="00A56533" w:rsidRPr="00A42469" w:rsidRDefault="001701F0" w:rsidP="001701F0">
      <w:pPr>
        <w:jc w:val="both"/>
      </w:pPr>
      <w:r w:rsidRPr="00A42469">
        <w:t>Under the terms of Section 6.1(1)(a)-(c) of FPL’s Tariff</w:t>
      </w:r>
      <w:r w:rsidR="00AE445D" w:rsidRPr="00A42469">
        <w:t>,</w:t>
      </w:r>
      <w:r w:rsidRPr="00A42469">
        <w:t xml:space="preserve"> all “applicants” are required to provide a security deposit or guaranty or to satisfy FPL’s application requirements to be exempted from the deposit requirement before FPL will begin to render service. The Tariff does not explicitly incorporate a provision analogous to Rule 25-6.097(5</w:t>
      </w:r>
      <w:proofErr w:type="gramStart"/>
      <w:r w:rsidRPr="00A42469">
        <w:t>)(</w:t>
      </w:r>
      <w:proofErr w:type="gramEnd"/>
      <w:r w:rsidRPr="00A42469">
        <w:t>b)</w:t>
      </w:r>
      <w:r w:rsidR="00B15E14" w:rsidRPr="00A42469">
        <w:t>, F.A.C.,</w:t>
      </w:r>
      <w:r w:rsidRPr="00A42469">
        <w:t xml:space="preserve"> that would give FPL the discretion to return a residential c</w:t>
      </w:r>
      <w:r w:rsidR="00B15E14" w:rsidRPr="00A42469">
        <w:t>ustomer’s deposit prior to the customer’s</w:t>
      </w:r>
      <w:r w:rsidRPr="00A42469">
        <w:t xml:space="preserve"> satisfaction of the aforementioned 23 month/12 mo</w:t>
      </w:r>
      <w:r w:rsidR="006D32D9" w:rsidRPr="00A42469">
        <w:t>nth durational requirements.</w:t>
      </w:r>
      <w:r w:rsidR="000A1D6C" w:rsidRPr="00A42469">
        <w:t xml:space="preserve"> Consequentially</w:t>
      </w:r>
      <w:r w:rsidR="00B15E14" w:rsidRPr="00A42469">
        <w:t>,</w:t>
      </w:r>
      <w:r w:rsidR="00AE445D" w:rsidRPr="00A42469">
        <w:t xml:space="preserve"> staff believes </w:t>
      </w:r>
      <w:r w:rsidR="000A1D6C" w:rsidRPr="00A42469">
        <w:t xml:space="preserve">the Tariff provisions </w:t>
      </w:r>
      <w:r w:rsidR="00AE445D" w:rsidRPr="00A42469">
        <w:t>are</w:t>
      </w:r>
      <w:r w:rsidR="000919C1" w:rsidRPr="00A42469">
        <w:t xml:space="preserve"> </w:t>
      </w:r>
      <w:r w:rsidR="000A1D6C" w:rsidRPr="00A42469">
        <w:t>mandatory</w:t>
      </w:r>
      <w:r w:rsidR="00AE445D" w:rsidRPr="00A42469">
        <w:t>,</w:t>
      </w:r>
      <w:r w:rsidR="000A1D6C" w:rsidRPr="00A42469">
        <w:t xml:space="preserve"> rather than </w:t>
      </w:r>
      <w:r w:rsidR="009F14EC" w:rsidRPr="00A42469">
        <w:t>permissive</w:t>
      </w:r>
      <w:r w:rsidR="00AE445D" w:rsidRPr="00A42469">
        <w:t>,</w:t>
      </w:r>
      <w:r w:rsidR="009F14EC" w:rsidRPr="00A42469">
        <w:t xml:space="preserve"> in nature and that Commission approval of a t</w:t>
      </w:r>
      <w:r w:rsidR="001F7B57">
        <w:t>ariff variance</w:t>
      </w:r>
      <w:r w:rsidR="00AE445D" w:rsidRPr="00A42469">
        <w:t xml:space="preserve"> is</w:t>
      </w:r>
      <w:r w:rsidR="009F14EC" w:rsidRPr="00A42469">
        <w:t xml:space="preserve"> required for</w:t>
      </w:r>
      <w:r w:rsidR="00AE445D" w:rsidRPr="00A42469">
        <w:t xml:space="preserve"> FPL </w:t>
      </w:r>
      <w:r w:rsidR="000A1D6C" w:rsidRPr="00A42469">
        <w:t>to issue the refund</w:t>
      </w:r>
      <w:r w:rsidR="009F14EC" w:rsidRPr="00A42469">
        <w:t xml:space="preserve"> as set forth in its petition</w:t>
      </w:r>
      <w:r w:rsidR="000A1D6C" w:rsidRPr="00A42469">
        <w:t>.</w:t>
      </w:r>
    </w:p>
    <w:p w:rsidR="00A56533" w:rsidRPr="00A42469" w:rsidRDefault="00A56533" w:rsidP="001701F0">
      <w:pPr>
        <w:jc w:val="both"/>
      </w:pPr>
    </w:p>
    <w:p w:rsidR="00FF05C4" w:rsidRPr="00A42469" w:rsidRDefault="0095559A" w:rsidP="00FF05C4">
      <w:pPr>
        <w:jc w:val="both"/>
      </w:pPr>
      <w:r w:rsidRPr="00A42469">
        <w:t>While t</w:t>
      </w:r>
      <w:r w:rsidR="009A2719" w:rsidRPr="00A42469">
        <w:t xml:space="preserve">here is no legal standard for tariff modifications analogous to the one included in Section 120.542, F.S., for rule </w:t>
      </w:r>
      <w:r w:rsidR="00594FFD" w:rsidRPr="00A42469">
        <w:t>variances</w:t>
      </w:r>
      <w:r w:rsidR="0034665A">
        <w:t xml:space="preserve"> and </w:t>
      </w:r>
      <w:r w:rsidR="00594FFD" w:rsidRPr="00A42469">
        <w:t>waivers</w:t>
      </w:r>
      <w:r w:rsidR="009A2719" w:rsidRPr="00A42469">
        <w:t>, staff believes that FPL</w:t>
      </w:r>
      <w:r w:rsidR="000A1D6C" w:rsidRPr="00A42469">
        <w:t xml:space="preserve"> </w:t>
      </w:r>
      <w:r w:rsidR="00297B7C" w:rsidRPr="00A42469">
        <w:t xml:space="preserve">has provided sufficient justification for the Commission to approve FPL’s request for a temporary </w:t>
      </w:r>
      <w:r w:rsidR="00114B43">
        <w:t>variance</w:t>
      </w:r>
      <w:r w:rsidR="0004726C" w:rsidRPr="00A42469">
        <w:t xml:space="preserve"> of Section 6.3 of its Tariff.</w:t>
      </w:r>
      <w:r w:rsidR="00FF05C4" w:rsidRPr="00A42469">
        <w:rPr>
          <w:color w:val="000000"/>
        </w:rPr>
        <w:t xml:space="preserve"> </w:t>
      </w:r>
      <w:r w:rsidR="00FF05C4" w:rsidRPr="00A42469">
        <w:t>If the Commission approv</w:t>
      </w:r>
      <w:r w:rsidR="00A447D0">
        <w:t>es the temporary variance</w:t>
      </w:r>
      <w:r w:rsidR="00FF05C4" w:rsidRPr="00A42469">
        <w:t xml:space="preserve">, FPL estimates that approximately </w:t>
      </w:r>
      <w:r w:rsidR="00AF5099">
        <w:t>$</w:t>
      </w:r>
      <w:r w:rsidR="00FF05C4" w:rsidRPr="00A42469">
        <w:t xml:space="preserve">9 </w:t>
      </w:r>
      <w:r w:rsidR="00981428">
        <w:t xml:space="preserve">million </w:t>
      </w:r>
      <w:r w:rsidR="00FF05C4" w:rsidRPr="00A42469">
        <w:t xml:space="preserve">to </w:t>
      </w:r>
      <w:r w:rsidR="00AF5099">
        <w:t xml:space="preserve">$11 million </w:t>
      </w:r>
      <w:r w:rsidR="00FF05C4" w:rsidRPr="00A42469">
        <w:t>worth of deposit funds plus statutory interest could be returned to approximately 50 to 60 thousand qualifying residentia</w:t>
      </w:r>
      <w:r w:rsidR="00905CA4" w:rsidRPr="00A42469">
        <w:t>l customers, or approximately 1 percent</w:t>
      </w:r>
      <w:r w:rsidR="00FF05C4" w:rsidRPr="00A42469">
        <w:t xml:space="preserve"> of FPL’s total residential customer base. </w:t>
      </w:r>
    </w:p>
    <w:p w:rsidR="00FF05C4" w:rsidRPr="00A42469" w:rsidRDefault="00FF05C4" w:rsidP="00FF05C4">
      <w:pPr>
        <w:jc w:val="both"/>
      </w:pPr>
    </w:p>
    <w:p w:rsidR="00D97F12" w:rsidRPr="00A42469" w:rsidRDefault="00C16269" w:rsidP="00FF05C4">
      <w:pPr>
        <w:jc w:val="both"/>
      </w:pPr>
      <w:r w:rsidRPr="00A42469">
        <w:t>In general, customer deposits are designed to minimize the exposure of bad debt expense for the utility, and ultimately, for the general body of ratepayers. However</w:t>
      </w:r>
      <w:r w:rsidR="00FF05C4" w:rsidRPr="00A42469">
        <w:t xml:space="preserve">, FPL alleges that it will incur only a negligible effect on FPL’s financial status if the tariff provision </w:t>
      </w:r>
      <w:r w:rsidR="002221A2" w:rsidRPr="00A42469">
        <w:t xml:space="preserve">is </w:t>
      </w:r>
      <w:r w:rsidR="00FF05C4" w:rsidRPr="00A42469">
        <w:t>temporarily changed. FPL estimates that once the deposit refund is processed</w:t>
      </w:r>
      <w:r w:rsidR="00875AAF" w:rsidRPr="00A42469">
        <w:t>,</w:t>
      </w:r>
      <w:r w:rsidR="00FF05C4" w:rsidRPr="00A42469">
        <w:t xml:space="preserve"> it may cause FPL’s weighted average cost rate of customer deposits to decrease by less than one bas</w:t>
      </w:r>
      <w:r w:rsidR="00E174E1" w:rsidRPr="00A42469">
        <w:t>is</w:t>
      </w:r>
      <w:r w:rsidR="00905CA4" w:rsidRPr="00A42469">
        <w:t xml:space="preserve"> point, or approximately 0.0005 percent</w:t>
      </w:r>
      <w:r w:rsidR="00E174E1" w:rsidRPr="00A42469">
        <w:t>.</w:t>
      </w:r>
      <w:r w:rsidR="00DF0293" w:rsidRPr="00A42469">
        <w:rPr>
          <w:rStyle w:val="FootnoteReference"/>
        </w:rPr>
        <w:footnoteReference w:id="4"/>
      </w:r>
      <w:r w:rsidR="00FF05C4" w:rsidRPr="00A42469">
        <w:t xml:space="preserve"> </w:t>
      </w:r>
      <w:r w:rsidR="00E174E1" w:rsidRPr="00A42469">
        <w:t xml:space="preserve">With respect to its total weighted average cost of capital, FPL estimates </w:t>
      </w:r>
      <w:r w:rsidR="006F7ECC" w:rsidRPr="00A42469">
        <w:t>an</w:t>
      </w:r>
      <w:r w:rsidR="00FF05C4" w:rsidRPr="00A42469">
        <w:t xml:space="preserve"> </w:t>
      </w:r>
      <w:r w:rsidR="00E174E1" w:rsidRPr="00A42469">
        <w:t>increase</w:t>
      </w:r>
      <w:r w:rsidR="006F7ECC" w:rsidRPr="00A42469">
        <w:t xml:space="preserve"> of</w:t>
      </w:r>
      <w:r w:rsidR="00FF05C4" w:rsidRPr="00A42469">
        <w:t xml:space="preserve"> </w:t>
      </w:r>
      <w:r w:rsidR="00FF05C4" w:rsidRPr="00A42469">
        <w:lastRenderedPageBreak/>
        <w:t>less than one basis poin</w:t>
      </w:r>
      <w:r w:rsidR="00E174E1" w:rsidRPr="00A42469">
        <w:t xml:space="preserve">t, or approximately </w:t>
      </w:r>
      <w:r w:rsidR="00751382" w:rsidRPr="00A42469">
        <w:t>0.001 percent</w:t>
      </w:r>
      <w:r w:rsidR="00FF05C4" w:rsidRPr="00A42469">
        <w:t>.</w:t>
      </w:r>
      <w:r w:rsidR="00FF05C4" w:rsidRPr="00A42469">
        <w:rPr>
          <w:rStyle w:val="FootnoteReference"/>
        </w:rPr>
        <w:footnoteReference w:id="5"/>
      </w:r>
      <w:r w:rsidR="00FF05C4" w:rsidRPr="00A42469">
        <w:t xml:space="preserve"> Further, FPL estimates that </w:t>
      </w:r>
      <w:proofErr w:type="gramStart"/>
      <w:r w:rsidR="00FF05C4" w:rsidRPr="00A42469">
        <w:t>its</w:t>
      </w:r>
      <w:proofErr w:type="gramEnd"/>
      <w:r w:rsidR="00FF05C4" w:rsidRPr="00A42469">
        <w:t xml:space="preserve"> cost of implementing the deposit refund will have zero associated program costs other than non-incremental analytical time and that any potential risks relating to a customer related default will be modest and contained due to the limited nature of its request.</w:t>
      </w:r>
      <w:r w:rsidR="00D911BE" w:rsidRPr="00A42469">
        <w:t xml:space="preserve"> </w:t>
      </w:r>
    </w:p>
    <w:p w:rsidR="00D97F12" w:rsidRPr="00A42469" w:rsidRDefault="00D97F12" w:rsidP="00FF05C4">
      <w:pPr>
        <w:jc w:val="both"/>
      </w:pPr>
    </w:p>
    <w:p w:rsidR="00FF05C4" w:rsidRPr="00A42469" w:rsidRDefault="00D97F12" w:rsidP="00FF05C4">
      <w:pPr>
        <w:jc w:val="both"/>
      </w:pPr>
      <w:r w:rsidRPr="00A42469">
        <w:t>FPL plans to implement the deposit refund by identifying all qualifying residential customers “as of a single date within the week following an order approving the petition becoming final.”</w:t>
      </w:r>
      <w:r w:rsidR="00FF05C4" w:rsidRPr="00A42469">
        <w:t xml:space="preserve"> </w:t>
      </w:r>
      <w:r w:rsidR="003A46DB" w:rsidRPr="00A42469">
        <w:t xml:space="preserve">Once that happens, FPL states that </w:t>
      </w:r>
      <w:r w:rsidR="00F84D08" w:rsidRPr="00A42469">
        <w:t xml:space="preserve">those residential </w:t>
      </w:r>
      <w:r w:rsidR="00797F1E" w:rsidRPr="00A42469">
        <w:t>customers</w:t>
      </w:r>
      <w:r w:rsidR="003A46DB" w:rsidRPr="00A42469">
        <w:t>’ accounts</w:t>
      </w:r>
      <w:r w:rsidR="00797F1E" w:rsidRPr="00A42469">
        <w:t xml:space="preserve"> will be flagged as having </w:t>
      </w:r>
      <w:r w:rsidR="0082608D" w:rsidRPr="00A42469">
        <w:t xml:space="preserve">qualified </w:t>
      </w:r>
      <w:r w:rsidR="00797F1E" w:rsidRPr="00A42469">
        <w:t>for the deposit refund. FPL’</w:t>
      </w:r>
      <w:r w:rsidR="00203C40" w:rsidRPr="00A42469">
        <w:t>s existing Customer Information S</w:t>
      </w:r>
      <w:r w:rsidR="00797F1E" w:rsidRPr="00A42469">
        <w:t xml:space="preserve">ystem </w:t>
      </w:r>
      <w:r w:rsidR="00992411" w:rsidRPr="00A42469">
        <w:t>will</w:t>
      </w:r>
      <w:r w:rsidR="00797F1E" w:rsidRPr="00A42469">
        <w:t xml:space="preserve"> t</w:t>
      </w:r>
      <w:r w:rsidR="00203C40" w:rsidRPr="00A42469">
        <w:t xml:space="preserve">hen automatically calculate </w:t>
      </w:r>
      <w:r w:rsidR="00797F1E" w:rsidRPr="00A42469">
        <w:t>the applicable statutory interest rate and credit that amount to</w:t>
      </w:r>
      <w:r w:rsidR="00203C40" w:rsidRPr="00A42469">
        <w:t xml:space="preserve"> the customer’s electric account.</w:t>
      </w:r>
      <w:r w:rsidR="00131FAF" w:rsidRPr="00A42469">
        <w:t xml:space="preserve"> FPL expects th</w:t>
      </w:r>
      <w:r w:rsidR="00E73343" w:rsidRPr="00A42469">
        <w:t>e entire process to take no</w:t>
      </w:r>
      <w:r w:rsidR="00325FDC" w:rsidRPr="00A42469">
        <w:t xml:space="preserve"> more</w:t>
      </w:r>
      <w:r w:rsidR="00131FAF" w:rsidRPr="00A42469">
        <w:t xml:space="preserve"> than a week.</w:t>
      </w:r>
      <w:r w:rsidR="00797F1E" w:rsidRPr="00A42469">
        <w:t xml:space="preserve"> </w:t>
      </w:r>
      <w:r w:rsidR="00AC72C3">
        <w:t xml:space="preserve">Once the one-time </w:t>
      </w:r>
      <w:r w:rsidR="0006443F">
        <w:t xml:space="preserve">accelerated </w:t>
      </w:r>
      <w:r w:rsidR="00AC72C3">
        <w:t xml:space="preserve">deposit refund has been fully issued, </w:t>
      </w:r>
      <w:r w:rsidR="0034665A">
        <w:t>the temporary tariff variance</w:t>
      </w:r>
      <w:r w:rsidR="0006443F">
        <w:t xml:space="preserve"> would expire and FPL would then revert</w:t>
      </w:r>
      <w:r w:rsidR="00201319">
        <w:t xml:space="preserve"> back to the 23-month </w:t>
      </w:r>
      <w:r w:rsidR="005215E4">
        <w:t>continuous service</w:t>
      </w:r>
      <w:r w:rsidR="000A1709">
        <w:t xml:space="preserve"> period specified in Section 6.3 of its Tariff.</w:t>
      </w:r>
      <w:r w:rsidR="0006443F">
        <w:t xml:space="preserve"> </w:t>
      </w:r>
    </w:p>
    <w:p w:rsidR="00F968B0" w:rsidRPr="00A42469" w:rsidRDefault="00F968B0" w:rsidP="00B361BE">
      <w:pPr>
        <w:jc w:val="both"/>
      </w:pPr>
    </w:p>
    <w:p w:rsidR="00F968B0" w:rsidRPr="00A42469" w:rsidRDefault="00F968B0" w:rsidP="00F968B0">
      <w:pPr>
        <w:pStyle w:val="First-LevelSubheading"/>
      </w:pPr>
      <w:r w:rsidRPr="00A42469">
        <w:t>Conclusion</w:t>
      </w:r>
    </w:p>
    <w:p w:rsidR="00D91B4C" w:rsidRPr="00A42469" w:rsidRDefault="00A33604" w:rsidP="00FF7F83">
      <w:pPr>
        <w:jc w:val="both"/>
      </w:pPr>
      <w:r w:rsidRPr="00A42469">
        <w:t>Based on the above</w:t>
      </w:r>
      <w:r w:rsidR="00F968B0" w:rsidRPr="00A42469">
        <w:t xml:space="preserve">, </w:t>
      </w:r>
      <w:r w:rsidR="009F14EC" w:rsidRPr="00A42469">
        <w:t xml:space="preserve">staff believes that a </w:t>
      </w:r>
      <w:r w:rsidR="00594FFD" w:rsidRPr="00A42469">
        <w:t xml:space="preserve">temporary </w:t>
      </w:r>
      <w:r w:rsidR="00B21EEE">
        <w:t xml:space="preserve">rule </w:t>
      </w:r>
      <w:r w:rsidR="009635CC">
        <w:t xml:space="preserve">waiver or </w:t>
      </w:r>
      <w:r w:rsidR="00B21EEE">
        <w:t>variance</w:t>
      </w:r>
      <w:r w:rsidR="009F14EC" w:rsidRPr="00A42469">
        <w:t xml:space="preserve"> is unnecessary under the plain language o</w:t>
      </w:r>
      <w:r w:rsidR="004C48FE" w:rsidRPr="00A42469">
        <w:t xml:space="preserve">f Rule 25-6.097, F.A.C. In addition, staff believes a temporary </w:t>
      </w:r>
      <w:r w:rsidR="00250DB2">
        <w:t>variance</w:t>
      </w:r>
      <w:r w:rsidR="004C48FE" w:rsidRPr="00A42469">
        <w:t xml:space="preserve"> of</w:t>
      </w:r>
      <w:r w:rsidR="00384750">
        <w:t xml:space="preserve"> or waiver of</w:t>
      </w:r>
      <w:r w:rsidR="004C48FE" w:rsidRPr="00A42469">
        <w:t xml:space="preserve"> Section 6.3 of FPL’s Tariff is justified. </w:t>
      </w:r>
      <w:r w:rsidR="00981428">
        <w:t>Therefore, s</w:t>
      </w:r>
      <w:r w:rsidR="009F14EC" w:rsidRPr="00A42469">
        <w:t>taff recommends that the Commission grant FPL’s petition for a temporary variance from or waiver of Section 6.3 of FPL’s Tariff.</w:t>
      </w:r>
      <w:r w:rsidR="00F968B0" w:rsidRPr="00A42469">
        <w:t xml:space="preserve"> </w:t>
      </w:r>
      <w:r w:rsidR="00A31A6F" w:rsidRPr="00A42469">
        <w:t>If FPL’s petition is approved, s</w:t>
      </w:r>
      <w:r w:rsidR="00CB716A" w:rsidRPr="00A42469">
        <w:t xml:space="preserve">taff </w:t>
      </w:r>
      <w:r w:rsidR="00A31A6F" w:rsidRPr="00A42469">
        <w:t xml:space="preserve">recommends that the Commission require FPL to file a notice in this docket </w:t>
      </w:r>
      <w:r w:rsidR="000D25AF" w:rsidRPr="00A42469">
        <w:t xml:space="preserve">when it begins and </w:t>
      </w:r>
      <w:r w:rsidR="00517139">
        <w:t>concludes</w:t>
      </w:r>
      <w:r w:rsidR="00A31A6F" w:rsidRPr="00A42469">
        <w:t xml:space="preserve"> implementing the deposit refund.</w:t>
      </w:r>
    </w:p>
    <w:p w:rsidR="002B389B" w:rsidRDefault="00815D22" w:rsidP="00981428">
      <w:pPr>
        <w:jc w:val="both"/>
      </w:pPr>
      <w:r w:rsidRPr="00A42469">
        <w:br w:type="page"/>
      </w:r>
    </w:p>
    <w:p w:rsidR="004B6D01" w:rsidRDefault="004B6D01">
      <w:pPr>
        <w:pStyle w:val="IssueHeading"/>
        <w:rPr>
          <w:vanish/>
          <w:specVanish/>
        </w:rPr>
      </w:pPr>
      <w:r w:rsidRPr="004C3641">
        <w:lastRenderedPageBreak/>
        <w:t xml:space="preserve">Issue </w:t>
      </w:r>
      <w:r>
        <w:fldChar w:fldCharType="begin"/>
      </w:r>
      <w:r>
        <w:instrText>seq issue \r 2</w:instrText>
      </w:r>
      <w:r>
        <w:fldChar w:fldCharType="separate"/>
      </w:r>
      <w:r>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4B6D01" w:rsidRDefault="004B6D01">
      <w:pPr>
        <w:pStyle w:val="BodyText"/>
      </w:pPr>
      <w:r>
        <w:t> Should this docket be closed?</w:t>
      </w:r>
    </w:p>
    <w:p w:rsidR="004B6D01" w:rsidRPr="004C3641" w:rsidRDefault="004B6D01">
      <w:pPr>
        <w:pStyle w:val="IssueSubsectionHeading"/>
        <w:rPr>
          <w:vanish/>
          <w:specVanish/>
        </w:rPr>
      </w:pPr>
      <w:r w:rsidRPr="004C3641">
        <w:t>Recommendation: </w:t>
      </w:r>
    </w:p>
    <w:p w:rsidR="004B6D01" w:rsidRDefault="004B6D01">
      <w:pPr>
        <w:pStyle w:val="BodyText"/>
      </w:pPr>
      <w:r>
        <w:t> </w:t>
      </w:r>
      <w:r w:rsidRPr="00A42469">
        <w:t>Yes. If no person whose substantial interests are affected by the proposed agency action files a protest within 21 days of the issuance of the order, a consummating order should be issued and this docket should be closed. (Harper, Kahn)</w:t>
      </w:r>
      <w:r>
        <w:t xml:space="preserve"> </w:t>
      </w:r>
    </w:p>
    <w:p w:rsidR="004B6D01" w:rsidRPr="004C3641" w:rsidRDefault="004B6D01">
      <w:pPr>
        <w:pStyle w:val="IssueSubsectionHeading"/>
        <w:rPr>
          <w:vanish/>
          <w:specVanish/>
        </w:rPr>
      </w:pPr>
      <w:r w:rsidRPr="004C3641">
        <w:t>Staff Analysis: </w:t>
      </w:r>
    </w:p>
    <w:p w:rsidR="004B6D01" w:rsidRDefault="004B6D01">
      <w:pPr>
        <w:pStyle w:val="BodyText"/>
      </w:pPr>
      <w:r>
        <w:t> </w:t>
      </w:r>
      <w:r w:rsidRPr="00A42469">
        <w:t>If no person whose substantial interests are affected by the proposed agency action files a protest within 21 days of the issuance of the order, a consummating order should be issued and this docket should be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22" w:rsidRDefault="00815D22">
      <w:r>
        <w:separator/>
      </w:r>
    </w:p>
  </w:endnote>
  <w:endnote w:type="continuationSeparator" w:id="0">
    <w:p w:rsidR="00815D22" w:rsidRDefault="0081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47FC6">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22" w:rsidRDefault="00815D22">
      <w:r>
        <w:separator/>
      </w:r>
    </w:p>
  </w:footnote>
  <w:footnote w:type="continuationSeparator" w:id="0">
    <w:p w:rsidR="00815D22" w:rsidRDefault="00815D22">
      <w:r>
        <w:continuationSeparator/>
      </w:r>
    </w:p>
  </w:footnote>
  <w:footnote w:id="1">
    <w:p w:rsidR="005A2CE0" w:rsidRDefault="005A2CE0">
      <w:pPr>
        <w:pStyle w:val="FootnoteText"/>
      </w:pPr>
      <w:r>
        <w:rPr>
          <w:rStyle w:val="FootnoteReference"/>
        </w:rPr>
        <w:footnoteRef/>
      </w:r>
      <w:r>
        <w:t xml:space="preserve"> </w:t>
      </w:r>
      <w:r w:rsidR="00F22BD4">
        <w:t>Section 120.542, F.S., and FPL’s petition refer to variances and waivers in the alternative.</w:t>
      </w:r>
      <w:r w:rsidR="00332A02" w:rsidRPr="00332A02">
        <w:t xml:space="preserve"> </w:t>
      </w:r>
      <w:r w:rsidR="00332A02">
        <w:t xml:space="preserve">A waiver is a decision by an agency not to apply all or part of a rule to a person who is subject to the rule. </w:t>
      </w:r>
      <w:proofErr w:type="gramStart"/>
      <w:r w:rsidR="00332A02">
        <w:t>Section 120.52(22), F.S.</w:t>
      </w:r>
      <w:proofErr w:type="gramEnd"/>
      <w:r w:rsidR="00332A02">
        <w:t xml:space="preserve"> A variance is an agency decision to grant a modification to all or part of the literal requirements of an agency rule to a person who is subject to the rule. </w:t>
      </w:r>
      <w:proofErr w:type="gramStart"/>
      <w:r w:rsidR="00332A02">
        <w:t>Section 120.52(21), F.S.</w:t>
      </w:r>
      <w:proofErr w:type="gramEnd"/>
      <w:r w:rsidR="00F22BD4">
        <w:t xml:space="preserve"> </w:t>
      </w:r>
      <w:r w:rsidR="00B450CE">
        <w:t xml:space="preserve">The same legal test applies to the Commission’s decision to grant either a variance or a waiver. </w:t>
      </w:r>
      <w:proofErr w:type="gramStart"/>
      <w:r w:rsidR="00B450CE">
        <w:t>Section 120.524(2), F.S.</w:t>
      </w:r>
      <w:proofErr w:type="gramEnd"/>
      <w:r w:rsidR="00B450CE">
        <w:t xml:space="preserve"> </w:t>
      </w:r>
      <w:r w:rsidR="003B6A3C">
        <w:t>To enhance readability, both variance</w:t>
      </w:r>
      <w:r w:rsidR="0034665A">
        <w:t xml:space="preserve">s and waivers will subsequently </w:t>
      </w:r>
      <w:r w:rsidR="003B6A3C">
        <w:t>be referred to collectively as “variances.”</w:t>
      </w:r>
    </w:p>
  </w:footnote>
  <w:footnote w:id="2">
    <w:p w:rsidR="00FF05C4" w:rsidRPr="00D4487E" w:rsidRDefault="00FF05C4" w:rsidP="00FF05C4">
      <w:pPr>
        <w:pStyle w:val="FootnoteText"/>
      </w:pPr>
      <w:r>
        <w:rPr>
          <w:rStyle w:val="FootnoteReference"/>
        </w:rPr>
        <w:footnoteRef/>
      </w:r>
      <w:r>
        <w:t xml:space="preserve"> </w:t>
      </w:r>
      <w:r>
        <w:rPr>
          <w:i/>
        </w:rPr>
        <w:t>See</w:t>
      </w:r>
      <w:r>
        <w:t xml:space="preserve"> Executive Order 20-51 and Executive Order 20-52.</w:t>
      </w:r>
    </w:p>
  </w:footnote>
  <w:footnote w:id="3">
    <w:p w:rsidR="00FF05C4" w:rsidRPr="00FE0E3B" w:rsidRDefault="00FF05C4" w:rsidP="00FF05C4">
      <w:pPr>
        <w:pStyle w:val="FootnoteText"/>
      </w:pPr>
      <w:r>
        <w:rPr>
          <w:rStyle w:val="FootnoteReference"/>
        </w:rPr>
        <w:footnoteRef/>
      </w:r>
      <w:r>
        <w:rPr>
          <w:i/>
        </w:rPr>
        <w:t>See</w:t>
      </w:r>
      <w:r>
        <w:t xml:space="preserve"> Order No. PSC-2012-0173-PAA-EI, issued April 12, 2012, in Docket No. 20120012-EI, </w:t>
      </w:r>
      <w:r>
        <w:rPr>
          <w:i/>
        </w:rPr>
        <w:t xml:space="preserve">In </w:t>
      </w:r>
      <w:r w:rsidRPr="00FE0E3B">
        <w:rPr>
          <w:i/>
        </w:rPr>
        <w:t>Re:</w:t>
      </w:r>
      <w:r>
        <w:t xml:space="preserve"> </w:t>
      </w:r>
      <w:r>
        <w:rPr>
          <w:i/>
        </w:rPr>
        <w:t>Petition for variance &amp; waiver of certain</w:t>
      </w:r>
      <w:r w:rsidR="000F06CE">
        <w:rPr>
          <w:i/>
        </w:rPr>
        <w:t xml:space="preserve"> </w:t>
      </w:r>
      <w:r>
        <w:rPr>
          <w:i/>
        </w:rPr>
        <w:t>contractual r</w:t>
      </w:r>
      <w:r w:rsidRPr="00D655B7">
        <w:rPr>
          <w:i/>
        </w:rPr>
        <w:t>equirements in Rule 25-6.065</w:t>
      </w:r>
      <w:r>
        <w:rPr>
          <w:i/>
        </w:rPr>
        <w:t>, F.A.C., by Progress Energy Florida</w:t>
      </w:r>
      <w:r w:rsidRPr="00D655B7">
        <w:rPr>
          <w:i/>
        </w:rPr>
        <w:t>., Inc.</w:t>
      </w:r>
    </w:p>
  </w:footnote>
  <w:footnote w:id="4">
    <w:p w:rsidR="00DF0293" w:rsidRDefault="00DF0293">
      <w:pPr>
        <w:pStyle w:val="FootnoteText"/>
      </w:pPr>
      <w:r>
        <w:rPr>
          <w:rStyle w:val="FootnoteReference"/>
        </w:rPr>
        <w:footnoteRef/>
      </w:r>
      <w:r>
        <w:rPr>
          <w:i/>
        </w:rPr>
        <w:t>See</w:t>
      </w:r>
      <w:r>
        <w:t xml:space="preserve"> FPL’s Response to Staff’s First Data Request at Request No. 1 (referencing Schedule 4, Page 1 of 2 of FPL’s July 2020 earnings surveillance report.)</w:t>
      </w:r>
    </w:p>
  </w:footnote>
  <w:footnote w:id="5">
    <w:p w:rsidR="00FF05C4" w:rsidRPr="00DF0293" w:rsidRDefault="00FF05C4" w:rsidP="00FF05C4">
      <w:pPr>
        <w:pStyle w:val="FootnoteText"/>
      </w:pPr>
      <w:r>
        <w:rPr>
          <w:rStyle w:val="FootnoteReference"/>
        </w:rPr>
        <w:footnoteRef/>
      </w:r>
      <w:r>
        <w:t xml:space="preserve"> </w:t>
      </w:r>
      <w:r w:rsidR="00DF0293">
        <w:rPr>
          <w:i/>
        </w:rPr>
        <w:t>Id</w:t>
      </w:r>
      <w:r w:rsidR="00DF029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15D22"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20200211-EI</w:t>
    </w:r>
    <w:bookmarkEnd w:id="14"/>
  </w:p>
  <w:p w:rsidR="00BC402E" w:rsidRDefault="00BC402E">
    <w:pPr>
      <w:pStyle w:val="Header"/>
    </w:pPr>
    <w:r>
      <w:t xml:space="preserve">Date: </w:t>
    </w:r>
    <w:r w:rsidR="00902AE0">
      <w:fldChar w:fldCharType="begin"/>
    </w:r>
    <w:r w:rsidR="00902AE0">
      <w:instrText xml:space="preserve"> REF FilingDate </w:instrText>
    </w:r>
    <w:r w:rsidR="00902AE0">
      <w:fldChar w:fldCharType="separate"/>
    </w:r>
    <w:r w:rsidR="003B2111">
      <w:t>September 28, 2020</w:t>
    </w:r>
    <w:r w:rsidR="00902AE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B6D01">
      <w:t>Docket No.</w:t>
    </w:r>
    <w:r>
      <w:fldChar w:fldCharType="end"/>
    </w:r>
    <w:r>
      <w:t xml:space="preserve"> </w:t>
    </w:r>
    <w:r>
      <w:fldChar w:fldCharType="begin"/>
    </w:r>
    <w:r>
      <w:instrText xml:space="preserve"> REF DocketList</w:instrText>
    </w:r>
    <w:r>
      <w:fldChar w:fldCharType="separate"/>
    </w:r>
    <w:r w:rsidR="004B6D01">
      <w:t>20200211-EI</w:t>
    </w:r>
    <w:r>
      <w:fldChar w:fldCharType="end"/>
    </w:r>
    <w:r>
      <w:tab/>
      <w:t xml:space="preserve">Issue </w:t>
    </w:r>
    <w:r w:rsidR="00902AE0">
      <w:fldChar w:fldCharType="begin"/>
    </w:r>
    <w:r w:rsidR="00902AE0">
      <w:instrText xml:space="preserve"> Seq Issue \c \* Arabic </w:instrText>
    </w:r>
    <w:r w:rsidR="00902AE0">
      <w:fldChar w:fldCharType="separate"/>
    </w:r>
    <w:r w:rsidR="00D47FC6">
      <w:rPr>
        <w:noProof/>
      </w:rPr>
      <w:t>2</w:t>
    </w:r>
    <w:r w:rsidR="00902AE0">
      <w:rPr>
        <w:noProof/>
      </w:rPr>
      <w:fldChar w:fldCharType="end"/>
    </w:r>
  </w:p>
  <w:p w:rsidR="00BC402E" w:rsidRDefault="00BC402E">
    <w:pPr>
      <w:pStyle w:val="Header"/>
    </w:pPr>
    <w:r>
      <w:t xml:space="preserve">Date: </w:t>
    </w:r>
    <w:r w:rsidR="00902AE0">
      <w:fldChar w:fldCharType="begin"/>
    </w:r>
    <w:r w:rsidR="00902AE0">
      <w:instrText xml:space="preserve"> REF FilingDate </w:instrText>
    </w:r>
    <w:r w:rsidR="00902AE0">
      <w:fldChar w:fldCharType="separate"/>
    </w:r>
    <w:r w:rsidR="003B2111">
      <w:t>September 28, 2020</w:t>
    </w:r>
    <w:r w:rsidR="00902AE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15D22"/>
    <w:rsid w:val="000043D5"/>
    <w:rsid w:val="00006170"/>
    <w:rsid w:val="00010E37"/>
    <w:rsid w:val="0001462B"/>
    <w:rsid w:val="00014967"/>
    <w:rsid w:val="000172DA"/>
    <w:rsid w:val="000247C5"/>
    <w:rsid w:val="000277C2"/>
    <w:rsid w:val="00031D78"/>
    <w:rsid w:val="00035B48"/>
    <w:rsid w:val="00036CE2"/>
    <w:rsid w:val="00037002"/>
    <w:rsid w:val="000437FE"/>
    <w:rsid w:val="00045F70"/>
    <w:rsid w:val="0004726C"/>
    <w:rsid w:val="000513BE"/>
    <w:rsid w:val="000571CB"/>
    <w:rsid w:val="0006443F"/>
    <w:rsid w:val="00065A06"/>
    <w:rsid w:val="000666F3"/>
    <w:rsid w:val="00067BA4"/>
    <w:rsid w:val="00070DCB"/>
    <w:rsid w:val="00072CCA"/>
    <w:rsid w:val="00073120"/>
    <w:rsid w:val="00076347"/>
    <w:rsid w:val="000764D0"/>
    <w:rsid w:val="000812D9"/>
    <w:rsid w:val="000828D3"/>
    <w:rsid w:val="0009021D"/>
    <w:rsid w:val="000919C1"/>
    <w:rsid w:val="000A1709"/>
    <w:rsid w:val="000A1D6C"/>
    <w:rsid w:val="000A2B57"/>
    <w:rsid w:val="000A418B"/>
    <w:rsid w:val="000B113D"/>
    <w:rsid w:val="000C4431"/>
    <w:rsid w:val="000D1C06"/>
    <w:rsid w:val="000D25AF"/>
    <w:rsid w:val="000D4319"/>
    <w:rsid w:val="000F06CE"/>
    <w:rsid w:val="000F374A"/>
    <w:rsid w:val="00100817"/>
    <w:rsid w:val="001076AF"/>
    <w:rsid w:val="00114B43"/>
    <w:rsid w:val="00117C8C"/>
    <w:rsid w:val="00124C38"/>
    <w:rsid w:val="00124E2E"/>
    <w:rsid w:val="0012578A"/>
    <w:rsid w:val="00125ED4"/>
    <w:rsid w:val="001305E9"/>
    <w:rsid w:val="001307AF"/>
    <w:rsid w:val="00131FAF"/>
    <w:rsid w:val="00135687"/>
    <w:rsid w:val="001404BF"/>
    <w:rsid w:val="00146B55"/>
    <w:rsid w:val="0015506E"/>
    <w:rsid w:val="00161497"/>
    <w:rsid w:val="00163031"/>
    <w:rsid w:val="001701F0"/>
    <w:rsid w:val="00171A90"/>
    <w:rsid w:val="00173427"/>
    <w:rsid w:val="0017695C"/>
    <w:rsid w:val="00180254"/>
    <w:rsid w:val="00184D14"/>
    <w:rsid w:val="00191E1F"/>
    <w:rsid w:val="00192943"/>
    <w:rsid w:val="00192D38"/>
    <w:rsid w:val="00196378"/>
    <w:rsid w:val="001A7406"/>
    <w:rsid w:val="001B154E"/>
    <w:rsid w:val="001B4FEE"/>
    <w:rsid w:val="001B51C5"/>
    <w:rsid w:val="001B6F3F"/>
    <w:rsid w:val="001C177E"/>
    <w:rsid w:val="001C52B5"/>
    <w:rsid w:val="001D0D3E"/>
    <w:rsid w:val="001D443F"/>
    <w:rsid w:val="001E39BA"/>
    <w:rsid w:val="001E5D6C"/>
    <w:rsid w:val="001E7D62"/>
    <w:rsid w:val="001F07FE"/>
    <w:rsid w:val="001F2245"/>
    <w:rsid w:val="001F2C63"/>
    <w:rsid w:val="001F48C7"/>
    <w:rsid w:val="001F6DA1"/>
    <w:rsid w:val="001F7B57"/>
    <w:rsid w:val="00201319"/>
    <w:rsid w:val="00203C40"/>
    <w:rsid w:val="002044E6"/>
    <w:rsid w:val="00205C82"/>
    <w:rsid w:val="00205DC2"/>
    <w:rsid w:val="00212B17"/>
    <w:rsid w:val="002163B6"/>
    <w:rsid w:val="00220732"/>
    <w:rsid w:val="00221D32"/>
    <w:rsid w:val="002221A2"/>
    <w:rsid w:val="00225C3F"/>
    <w:rsid w:val="00250DB2"/>
    <w:rsid w:val="00263D44"/>
    <w:rsid w:val="002702AD"/>
    <w:rsid w:val="00270704"/>
    <w:rsid w:val="00280E99"/>
    <w:rsid w:val="00282775"/>
    <w:rsid w:val="002852EE"/>
    <w:rsid w:val="002908D1"/>
    <w:rsid w:val="00292D82"/>
    <w:rsid w:val="002954AA"/>
    <w:rsid w:val="002963CB"/>
    <w:rsid w:val="00297B7C"/>
    <w:rsid w:val="002A14A9"/>
    <w:rsid w:val="002B389B"/>
    <w:rsid w:val="002B4A01"/>
    <w:rsid w:val="002B4E93"/>
    <w:rsid w:val="002B6676"/>
    <w:rsid w:val="002C2CA6"/>
    <w:rsid w:val="002C4559"/>
    <w:rsid w:val="002C740E"/>
    <w:rsid w:val="002D0FE0"/>
    <w:rsid w:val="002D226D"/>
    <w:rsid w:val="002E426A"/>
    <w:rsid w:val="002E63AC"/>
    <w:rsid w:val="002F6030"/>
    <w:rsid w:val="003037E1"/>
    <w:rsid w:val="003058D5"/>
    <w:rsid w:val="003066EF"/>
    <w:rsid w:val="00307E51"/>
    <w:rsid w:val="003103EC"/>
    <w:rsid w:val="003107A3"/>
    <w:rsid w:val="003144EF"/>
    <w:rsid w:val="00317AA1"/>
    <w:rsid w:val="00320126"/>
    <w:rsid w:val="00322F74"/>
    <w:rsid w:val="00325FDC"/>
    <w:rsid w:val="003324C0"/>
    <w:rsid w:val="00332A02"/>
    <w:rsid w:val="00340073"/>
    <w:rsid w:val="003457C9"/>
    <w:rsid w:val="0034665A"/>
    <w:rsid w:val="003479B6"/>
    <w:rsid w:val="00352BD6"/>
    <w:rsid w:val="00357D43"/>
    <w:rsid w:val="00361EA8"/>
    <w:rsid w:val="00362DB1"/>
    <w:rsid w:val="003632FD"/>
    <w:rsid w:val="00372805"/>
    <w:rsid w:val="00373180"/>
    <w:rsid w:val="00375AB9"/>
    <w:rsid w:val="00375D34"/>
    <w:rsid w:val="003821A0"/>
    <w:rsid w:val="00384750"/>
    <w:rsid w:val="00385B04"/>
    <w:rsid w:val="003864CF"/>
    <w:rsid w:val="003948AE"/>
    <w:rsid w:val="003A22A6"/>
    <w:rsid w:val="003A4323"/>
    <w:rsid w:val="003A46DB"/>
    <w:rsid w:val="003A5494"/>
    <w:rsid w:val="003B2111"/>
    <w:rsid w:val="003B2510"/>
    <w:rsid w:val="003B6A3C"/>
    <w:rsid w:val="003C2CC4"/>
    <w:rsid w:val="003C3710"/>
    <w:rsid w:val="003E00DF"/>
    <w:rsid w:val="003E0EFC"/>
    <w:rsid w:val="003E3233"/>
    <w:rsid w:val="003E3562"/>
    <w:rsid w:val="003E4A2B"/>
    <w:rsid w:val="003E76C2"/>
    <w:rsid w:val="003E7A07"/>
    <w:rsid w:val="003F1679"/>
    <w:rsid w:val="003F21EB"/>
    <w:rsid w:val="003F241A"/>
    <w:rsid w:val="003F4A35"/>
    <w:rsid w:val="003F7FDD"/>
    <w:rsid w:val="00402481"/>
    <w:rsid w:val="004042B4"/>
    <w:rsid w:val="00410DC4"/>
    <w:rsid w:val="00412DAE"/>
    <w:rsid w:val="004242E6"/>
    <w:rsid w:val="0042477F"/>
    <w:rsid w:val="00426429"/>
    <w:rsid w:val="00431598"/>
    <w:rsid w:val="004319AD"/>
    <w:rsid w:val="00435826"/>
    <w:rsid w:val="004426B8"/>
    <w:rsid w:val="00444432"/>
    <w:rsid w:val="0047148D"/>
    <w:rsid w:val="00471860"/>
    <w:rsid w:val="00476164"/>
    <w:rsid w:val="00477026"/>
    <w:rsid w:val="00480FF3"/>
    <w:rsid w:val="00487ADF"/>
    <w:rsid w:val="00494DAA"/>
    <w:rsid w:val="004A3FD7"/>
    <w:rsid w:val="004A744D"/>
    <w:rsid w:val="004B04E6"/>
    <w:rsid w:val="004B60BD"/>
    <w:rsid w:val="004B6D01"/>
    <w:rsid w:val="004B79BF"/>
    <w:rsid w:val="004C3150"/>
    <w:rsid w:val="004C3641"/>
    <w:rsid w:val="004C4390"/>
    <w:rsid w:val="004C48FE"/>
    <w:rsid w:val="004C4AF7"/>
    <w:rsid w:val="004D2881"/>
    <w:rsid w:val="004D385F"/>
    <w:rsid w:val="004D3C92"/>
    <w:rsid w:val="004D5B39"/>
    <w:rsid w:val="004E07DF"/>
    <w:rsid w:val="004E330D"/>
    <w:rsid w:val="004E4925"/>
    <w:rsid w:val="004E5147"/>
    <w:rsid w:val="004E69B5"/>
    <w:rsid w:val="004E6E44"/>
    <w:rsid w:val="004F5C43"/>
    <w:rsid w:val="00500473"/>
    <w:rsid w:val="0050652D"/>
    <w:rsid w:val="00506C03"/>
    <w:rsid w:val="00511A11"/>
    <w:rsid w:val="00516496"/>
    <w:rsid w:val="00517139"/>
    <w:rsid w:val="005203CB"/>
    <w:rsid w:val="005215E4"/>
    <w:rsid w:val="00523B11"/>
    <w:rsid w:val="0052572A"/>
    <w:rsid w:val="00532DFB"/>
    <w:rsid w:val="0053456C"/>
    <w:rsid w:val="00543CB3"/>
    <w:rsid w:val="005442E4"/>
    <w:rsid w:val="0055529B"/>
    <w:rsid w:val="00560544"/>
    <w:rsid w:val="00560FF0"/>
    <w:rsid w:val="005614BD"/>
    <w:rsid w:val="005620BF"/>
    <w:rsid w:val="0057154F"/>
    <w:rsid w:val="00580F69"/>
    <w:rsid w:val="00581CA3"/>
    <w:rsid w:val="00582CEF"/>
    <w:rsid w:val="00587A44"/>
    <w:rsid w:val="00590B3E"/>
    <w:rsid w:val="00591EF2"/>
    <w:rsid w:val="00594FFD"/>
    <w:rsid w:val="0059520F"/>
    <w:rsid w:val="00597730"/>
    <w:rsid w:val="005977EC"/>
    <w:rsid w:val="00597DE7"/>
    <w:rsid w:val="005A2CE0"/>
    <w:rsid w:val="005A4AA2"/>
    <w:rsid w:val="005B34B6"/>
    <w:rsid w:val="005B6C8F"/>
    <w:rsid w:val="005B6EC3"/>
    <w:rsid w:val="005D0F74"/>
    <w:rsid w:val="005D15E6"/>
    <w:rsid w:val="005D2E7D"/>
    <w:rsid w:val="005D418C"/>
    <w:rsid w:val="005D4A8F"/>
    <w:rsid w:val="005D561B"/>
    <w:rsid w:val="005D5ECF"/>
    <w:rsid w:val="005D6793"/>
    <w:rsid w:val="005E0DB2"/>
    <w:rsid w:val="005F2EB9"/>
    <w:rsid w:val="005F468D"/>
    <w:rsid w:val="005F58BE"/>
    <w:rsid w:val="005F611C"/>
    <w:rsid w:val="005F69A3"/>
    <w:rsid w:val="00604CC7"/>
    <w:rsid w:val="00615423"/>
    <w:rsid w:val="006165B2"/>
    <w:rsid w:val="00617276"/>
    <w:rsid w:val="00622DE7"/>
    <w:rsid w:val="0062527B"/>
    <w:rsid w:val="00625D97"/>
    <w:rsid w:val="00625F1C"/>
    <w:rsid w:val="006279E1"/>
    <w:rsid w:val="00630CEB"/>
    <w:rsid w:val="00632264"/>
    <w:rsid w:val="00633242"/>
    <w:rsid w:val="006363FB"/>
    <w:rsid w:val="006470BC"/>
    <w:rsid w:val="006554D3"/>
    <w:rsid w:val="00662543"/>
    <w:rsid w:val="00665426"/>
    <w:rsid w:val="00667036"/>
    <w:rsid w:val="00673BDB"/>
    <w:rsid w:val="00674341"/>
    <w:rsid w:val="006771B8"/>
    <w:rsid w:val="00682F61"/>
    <w:rsid w:val="006843B6"/>
    <w:rsid w:val="0068481F"/>
    <w:rsid w:val="00696F5D"/>
    <w:rsid w:val="00697249"/>
    <w:rsid w:val="006A1B33"/>
    <w:rsid w:val="006B312D"/>
    <w:rsid w:val="006B3947"/>
    <w:rsid w:val="006B4293"/>
    <w:rsid w:val="006B624F"/>
    <w:rsid w:val="006C0C95"/>
    <w:rsid w:val="006C31E3"/>
    <w:rsid w:val="006D18D3"/>
    <w:rsid w:val="006D32D9"/>
    <w:rsid w:val="006E08CB"/>
    <w:rsid w:val="006E598D"/>
    <w:rsid w:val="006F7ECC"/>
    <w:rsid w:val="0070437D"/>
    <w:rsid w:val="00704CF1"/>
    <w:rsid w:val="00705B04"/>
    <w:rsid w:val="00722EBE"/>
    <w:rsid w:val="00722FD9"/>
    <w:rsid w:val="00724992"/>
    <w:rsid w:val="007256F6"/>
    <w:rsid w:val="00734820"/>
    <w:rsid w:val="007349DC"/>
    <w:rsid w:val="00735B0B"/>
    <w:rsid w:val="007370E1"/>
    <w:rsid w:val="0074365E"/>
    <w:rsid w:val="00744B55"/>
    <w:rsid w:val="00751382"/>
    <w:rsid w:val="007515FD"/>
    <w:rsid w:val="007546C1"/>
    <w:rsid w:val="00760D80"/>
    <w:rsid w:val="00780C09"/>
    <w:rsid w:val="00780DDF"/>
    <w:rsid w:val="007834E9"/>
    <w:rsid w:val="007872CF"/>
    <w:rsid w:val="00787DBC"/>
    <w:rsid w:val="0079019A"/>
    <w:rsid w:val="007924E7"/>
    <w:rsid w:val="00792935"/>
    <w:rsid w:val="0079528F"/>
    <w:rsid w:val="00797F1E"/>
    <w:rsid w:val="007A04A1"/>
    <w:rsid w:val="007A1840"/>
    <w:rsid w:val="007A219D"/>
    <w:rsid w:val="007A4FDD"/>
    <w:rsid w:val="007A7CF6"/>
    <w:rsid w:val="007C0528"/>
    <w:rsid w:val="007C3D38"/>
    <w:rsid w:val="007D0F35"/>
    <w:rsid w:val="007D363F"/>
    <w:rsid w:val="007D43AF"/>
    <w:rsid w:val="007D4FEB"/>
    <w:rsid w:val="007D6146"/>
    <w:rsid w:val="007E0CE7"/>
    <w:rsid w:val="007F1193"/>
    <w:rsid w:val="007F417F"/>
    <w:rsid w:val="007F7644"/>
    <w:rsid w:val="00802052"/>
    <w:rsid w:val="008042BD"/>
    <w:rsid w:val="008129F2"/>
    <w:rsid w:val="00815D22"/>
    <w:rsid w:val="00816624"/>
    <w:rsid w:val="00821BAC"/>
    <w:rsid w:val="00822427"/>
    <w:rsid w:val="00822562"/>
    <w:rsid w:val="00823663"/>
    <w:rsid w:val="0082608D"/>
    <w:rsid w:val="00832DDC"/>
    <w:rsid w:val="00850BAC"/>
    <w:rsid w:val="00854A3E"/>
    <w:rsid w:val="00855D08"/>
    <w:rsid w:val="008713B5"/>
    <w:rsid w:val="00874344"/>
    <w:rsid w:val="00875AAF"/>
    <w:rsid w:val="00882155"/>
    <w:rsid w:val="0088233B"/>
    <w:rsid w:val="0088599E"/>
    <w:rsid w:val="00886C37"/>
    <w:rsid w:val="00892D99"/>
    <w:rsid w:val="00893315"/>
    <w:rsid w:val="008A3FDA"/>
    <w:rsid w:val="008A71C8"/>
    <w:rsid w:val="008B15A1"/>
    <w:rsid w:val="008B2CBD"/>
    <w:rsid w:val="008B5DA2"/>
    <w:rsid w:val="008B62AE"/>
    <w:rsid w:val="008C04B5"/>
    <w:rsid w:val="008C14FA"/>
    <w:rsid w:val="008C201C"/>
    <w:rsid w:val="008C7B0B"/>
    <w:rsid w:val="008D2A46"/>
    <w:rsid w:val="008D3360"/>
    <w:rsid w:val="008D4057"/>
    <w:rsid w:val="008E1F19"/>
    <w:rsid w:val="008F2262"/>
    <w:rsid w:val="008F4D2B"/>
    <w:rsid w:val="008F7736"/>
    <w:rsid w:val="0090019E"/>
    <w:rsid w:val="00901086"/>
    <w:rsid w:val="00901C8A"/>
    <w:rsid w:val="00905886"/>
    <w:rsid w:val="00905CA4"/>
    <w:rsid w:val="009070D6"/>
    <w:rsid w:val="009076C6"/>
    <w:rsid w:val="0091019E"/>
    <w:rsid w:val="009106F1"/>
    <w:rsid w:val="00912404"/>
    <w:rsid w:val="009145D6"/>
    <w:rsid w:val="00917A47"/>
    <w:rsid w:val="00920E64"/>
    <w:rsid w:val="00922002"/>
    <w:rsid w:val="00923425"/>
    <w:rsid w:val="00924020"/>
    <w:rsid w:val="009271A7"/>
    <w:rsid w:val="009364CE"/>
    <w:rsid w:val="00936547"/>
    <w:rsid w:val="0093658B"/>
    <w:rsid w:val="009429FF"/>
    <w:rsid w:val="00945BD6"/>
    <w:rsid w:val="009479FB"/>
    <w:rsid w:val="00947DD3"/>
    <w:rsid w:val="00951C45"/>
    <w:rsid w:val="00952C75"/>
    <w:rsid w:val="009554E6"/>
    <w:rsid w:val="0095559A"/>
    <w:rsid w:val="00960AC3"/>
    <w:rsid w:val="009635CC"/>
    <w:rsid w:val="009656F2"/>
    <w:rsid w:val="00965E4E"/>
    <w:rsid w:val="00966A08"/>
    <w:rsid w:val="00971207"/>
    <w:rsid w:val="00975CB4"/>
    <w:rsid w:val="00981428"/>
    <w:rsid w:val="009863B0"/>
    <w:rsid w:val="00987DE1"/>
    <w:rsid w:val="00990571"/>
    <w:rsid w:val="00992411"/>
    <w:rsid w:val="0099673A"/>
    <w:rsid w:val="009A2719"/>
    <w:rsid w:val="009A3330"/>
    <w:rsid w:val="009A7C96"/>
    <w:rsid w:val="009B7274"/>
    <w:rsid w:val="009C3DB9"/>
    <w:rsid w:val="009D2F4D"/>
    <w:rsid w:val="009D46E5"/>
    <w:rsid w:val="009D568A"/>
    <w:rsid w:val="009E2E94"/>
    <w:rsid w:val="009F04EC"/>
    <w:rsid w:val="009F14EC"/>
    <w:rsid w:val="009F2A7C"/>
    <w:rsid w:val="009F324E"/>
    <w:rsid w:val="009F3B36"/>
    <w:rsid w:val="00A019B9"/>
    <w:rsid w:val="00A1180D"/>
    <w:rsid w:val="00A12508"/>
    <w:rsid w:val="00A1282B"/>
    <w:rsid w:val="00A13A27"/>
    <w:rsid w:val="00A175B6"/>
    <w:rsid w:val="00A21835"/>
    <w:rsid w:val="00A2374B"/>
    <w:rsid w:val="00A27D6E"/>
    <w:rsid w:val="00A31A6F"/>
    <w:rsid w:val="00A328EC"/>
    <w:rsid w:val="00A33604"/>
    <w:rsid w:val="00A33A51"/>
    <w:rsid w:val="00A3703F"/>
    <w:rsid w:val="00A41CA6"/>
    <w:rsid w:val="00A42469"/>
    <w:rsid w:val="00A447D0"/>
    <w:rsid w:val="00A45202"/>
    <w:rsid w:val="00A47927"/>
    <w:rsid w:val="00A47FFC"/>
    <w:rsid w:val="00A52433"/>
    <w:rsid w:val="00A540E1"/>
    <w:rsid w:val="00A5442F"/>
    <w:rsid w:val="00A54FF9"/>
    <w:rsid w:val="00A56533"/>
    <w:rsid w:val="00A56765"/>
    <w:rsid w:val="00A56A5B"/>
    <w:rsid w:val="00A65C48"/>
    <w:rsid w:val="00A675AC"/>
    <w:rsid w:val="00A7581F"/>
    <w:rsid w:val="00A772AD"/>
    <w:rsid w:val="00A919DE"/>
    <w:rsid w:val="00A92FB1"/>
    <w:rsid w:val="00A95A0C"/>
    <w:rsid w:val="00AA2765"/>
    <w:rsid w:val="00AA6D27"/>
    <w:rsid w:val="00AA77B5"/>
    <w:rsid w:val="00AB6C5D"/>
    <w:rsid w:val="00AC3401"/>
    <w:rsid w:val="00AC51A7"/>
    <w:rsid w:val="00AC72C3"/>
    <w:rsid w:val="00AD3C99"/>
    <w:rsid w:val="00AD444B"/>
    <w:rsid w:val="00AD5614"/>
    <w:rsid w:val="00AD6C78"/>
    <w:rsid w:val="00AE2EAB"/>
    <w:rsid w:val="00AE445D"/>
    <w:rsid w:val="00AF5099"/>
    <w:rsid w:val="00AF5F89"/>
    <w:rsid w:val="00AF73CB"/>
    <w:rsid w:val="00B002D6"/>
    <w:rsid w:val="00B03379"/>
    <w:rsid w:val="00B05B51"/>
    <w:rsid w:val="00B10B1E"/>
    <w:rsid w:val="00B14E5A"/>
    <w:rsid w:val="00B15370"/>
    <w:rsid w:val="00B15E14"/>
    <w:rsid w:val="00B16DA4"/>
    <w:rsid w:val="00B17BEB"/>
    <w:rsid w:val="00B21A3C"/>
    <w:rsid w:val="00B21EEE"/>
    <w:rsid w:val="00B22158"/>
    <w:rsid w:val="00B223C0"/>
    <w:rsid w:val="00B234ED"/>
    <w:rsid w:val="00B249B2"/>
    <w:rsid w:val="00B24E2E"/>
    <w:rsid w:val="00B25CA3"/>
    <w:rsid w:val="00B2765A"/>
    <w:rsid w:val="00B3109A"/>
    <w:rsid w:val="00B361BE"/>
    <w:rsid w:val="00B3750A"/>
    <w:rsid w:val="00B43030"/>
    <w:rsid w:val="00B450CE"/>
    <w:rsid w:val="00B516ED"/>
    <w:rsid w:val="00B57A5B"/>
    <w:rsid w:val="00B57A6A"/>
    <w:rsid w:val="00B61E8C"/>
    <w:rsid w:val="00B760F1"/>
    <w:rsid w:val="00B7669E"/>
    <w:rsid w:val="00B77DA1"/>
    <w:rsid w:val="00B822A0"/>
    <w:rsid w:val="00B858AE"/>
    <w:rsid w:val="00B85964"/>
    <w:rsid w:val="00B96250"/>
    <w:rsid w:val="00BA0D55"/>
    <w:rsid w:val="00BA3629"/>
    <w:rsid w:val="00BA37B3"/>
    <w:rsid w:val="00BA4B5D"/>
    <w:rsid w:val="00BA4CC6"/>
    <w:rsid w:val="00BA53CE"/>
    <w:rsid w:val="00BB3493"/>
    <w:rsid w:val="00BB7468"/>
    <w:rsid w:val="00BC188A"/>
    <w:rsid w:val="00BC39AB"/>
    <w:rsid w:val="00BC3EF6"/>
    <w:rsid w:val="00BC402E"/>
    <w:rsid w:val="00BD0F48"/>
    <w:rsid w:val="00BD23D2"/>
    <w:rsid w:val="00BE30A5"/>
    <w:rsid w:val="00BE5527"/>
    <w:rsid w:val="00BE6332"/>
    <w:rsid w:val="00BE6DDB"/>
    <w:rsid w:val="00BF0DA0"/>
    <w:rsid w:val="00BF5010"/>
    <w:rsid w:val="00C03D5F"/>
    <w:rsid w:val="00C13791"/>
    <w:rsid w:val="00C16269"/>
    <w:rsid w:val="00C31BB3"/>
    <w:rsid w:val="00C36977"/>
    <w:rsid w:val="00C467DA"/>
    <w:rsid w:val="00C477D9"/>
    <w:rsid w:val="00C506F2"/>
    <w:rsid w:val="00C60BA3"/>
    <w:rsid w:val="00C623F7"/>
    <w:rsid w:val="00C62A81"/>
    <w:rsid w:val="00C75BC5"/>
    <w:rsid w:val="00C81670"/>
    <w:rsid w:val="00C81773"/>
    <w:rsid w:val="00C81F8B"/>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716A"/>
    <w:rsid w:val="00CC10A9"/>
    <w:rsid w:val="00CC426C"/>
    <w:rsid w:val="00CD0D61"/>
    <w:rsid w:val="00CE2BF8"/>
    <w:rsid w:val="00CE334D"/>
    <w:rsid w:val="00CE484E"/>
    <w:rsid w:val="00CE656F"/>
    <w:rsid w:val="00CF0DA8"/>
    <w:rsid w:val="00CF2E25"/>
    <w:rsid w:val="00CF4453"/>
    <w:rsid w:val="00CF5618"/>
    <w:rsid w:val="00CF5D94"/>
    <w:rsid w:val="00CF7E0F"/>
    <w:rsid w:val="00D034D7"/>
    <w:rsid w:val="00D04BE4"/>
    <w:rsid w:val="00D06FC7"/>
    <w:rsid w:val="00D12565"/>
    <w:rsid w:val="00D14127"/>
    <w:rsid w:val="00D17E8F"/>
    <w:rsid w:val="00D21CE3"/>
    <w:rsid w:val="00D248CF"/>
    <w:rsid w:val="00D36E9E"/>
    <w:rsid w:val="00D47ADD"/>
    <w:rsid w:val="00D47FC6"/>
    <w:rsid w:val="00D5726A"/>
    <w:rsid w:val="00D60B16"/>
    <w:rsid w:val="00D60F02"/>
    <w:rsid w:val="00D655B7"/>
    <w:rsid w:val="00D66E49"/>
    <w:rsid w:val="00D70D71"/>
    <w:rsid w:val="00D72F74"/>
    <w:rsid w:val="00D81563"/>
    <w:rsid w:val="00D85907"/>
    <w:rsid w:val="00D9073E"/>
    <w:rsid w:val="00D911BE"/>
    <w:rsid w:val="00D91B4C"/>
    <w:rsid w:val="00D9221D"/>
    <w:rsid w:val="00D93904"/>
    <w:rsid w:val="00D958DF"/>
    <w:rsid w:val="00D96DA1"/>
    <w:rsid w:val="00D97F12"/>
    <w:rsid w:val="00DA51E7"/>
    <w:rsid w:val="00DB0260"/>
    <w:rsid w:val="00DB1C78"/>
    <w:rsid w:val="00DB2323"/>
    <w:rsid w:val="00DB4FE0"/>
    <w:rsid w:val="00DB56B9"/>
    <w:rsid w:val="00DB7D96"/>
    <w:rsid w:val="00DC23FE"/>
    <w:rsid w:val="00DC30CE"/>
    <w:rsid w:val="00DC59E6"/>
    <w:rsid w:val="00DD150B"/>
    <w:rsid w:val="00DD5025"/>
    <w:rsid w:val="00DE7DF3"/>
    <w:rsid w:val="00DF0293"/>
    <w:rsid w:val="00DF1510"/>
    <w:rsid w:val="00DF7DF6"/>
    <w:rsid w:val="00E02F1F"/>
    <w:rsid w:val="00E06484"/>
    <w:rsid w:val="00E174E1"/>
    <w:rsid w:val="00E20A7D"/>
    <w:rsid w:val="00E275D8"/>
    <w:rsid w:val="00E30F6A"/>
    <w:rsid w:val="00E3117C"/>
    <w:rsid w:val="00E375CA"/>
    <w:rsid w:val="00E375DD"/>
    <w:rsid w:val="00E5364F"/>
    <w:rsid w:val="00E567E8"/>
    <w:rsid w:val="00E64679"/>
    <w:rsid w:val="00E65EBC"/>
    <w:rsid w:val="00E677FE"/>
    <w:rsid w:val="00E73343"/>
    <w:rsid w:val="00E73432"/>
    <w:rsid w:val="00E754CC"/>
    <w:rsid w:val="00E77B0C"/>
    <w:rsid w:val="00E77FB8"/>
    <w:rsid w:val="00E838B0"/>
    <w:rsid w:val="00E86A7C"/>
    <w:rsid w:val="00E878E1"/>
    <w:rsid w:val="00E87F2C"/>
    <w:rsid w:val="00E95278"/>
    <w:rsid w:val="00EA2273"/>
    <w:rsid w:val="00EA7C3C"/>
    <w:rsid w:val="00EB2DB3"/>
    <w:rsid w:val="00EC003C"/>
    <w:rsid w:val="00EC3FBB"/>
    <w:rsid w:val="00EC6B7A"/>
    <w:rsid w:val="00ED3A87"/>
    <w:rsid w:val="00ED5B67"/>
    <w:rsid w:val="00EF264C"/>
    <w:rsid w:val="00EF3FEE"/>
    <w:rsid w:val="00F04B59"/>
    <w:rsid w:val="00F11741"/>
    <w:rsid w:val="00F12B1C"/>
    <w:rsid w:val="00F13CF8"/>
    <w:rsid w:val="00F1429B"/>
    <w:rsid w:val="00F15855"/>
    <w:rsid w:val="00F200B2"/>
    <w:rsid w:val="00F227DC"/>
    <w:rsid w:val="00F22BD4"/>
    <w:rsid w:val="00F252FD"/>
    <w:rsid w:val="00F26AA2"/>
    <w:rsid w:val="00F26BD0"/>
    <w:rsid w:val="00F32978"/>
    <w:rsid w:val="00F36BDE"/>
    <w:rsid w:val="00F37638"/>
    <w:rsid w:val="00F45508"/>
    <w:rsid w:val="00F45CB2"/>
    <w:rsid w:val="00F544C0"/>
    <w:rsid w:val="00F55332"/>
    <w:rsid w:val="00F63F8E"/>
    <w:rsid w:val="00F6504A"/>
    <w:rsid w:val="00F65519"/>
    <w:rsid w:val="00F713C0"/>
    <w:rsid w:val="00F75DDC"/>
    <w:rsid w:val="00F7792F"/>
    <w:rsid w:val="00F8220F"/>
    <w:rsid w:val="00F8228B"/>
    <w:rsid w:val="00F842AA"/>
    <w:rsid w:val="00F8476F"/>
    <w:rsid w:val="00F84D08"/>
    <w:rsid w:val="00F853E1"/>
    <w:rsid w:val="00F85604"/>
    <w:rsid w:val="00F94B7A"/>
    <w:rsid w:val="00F968B0"/>
    <w:rsid w:val="00FA17AC"/>
    <w:rsid w:val="00FA1B84"/>
    <w:rsid w:val="00FA32DE"/>
    <w:rsid w:val="00FA3382"/>
    <w:rsid w:val="00FA59CD"/>
    <w:rsid w:val="00FB1740"/>
    <w:rsid w:val="00FC5469"/>
    <w:rsid w:val="00FC6D7D"/>
    <w:rsid w:val="00FC7D8D"/>
    <w:rsid w:val="00FD0D19"/>
    <w:rsid w:val="00FD1588"/>
    <w:rsid w:val="00FD16B0"/>
    <w:rsid w:val="00FD4FED"/>
    <w:rsid w:val="00FD72A2"/>
    <w:rsid w:val="00FE0577"/>
    <w:rsid w:val="00FE0E3B"/>
    <w:rsid w:val="00FE331A"/>
    <w:rsid w:val="00FE59EC"/>
    <w:rsid w:val="00FE5B67"/>
    <w:rsid w:val="00FE60D6"/>
    <w:rsid w:val="00FE737E"/>
    <w:rsid w:val="00FF05C4"/>
    <w:rsid w:val="00FF7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B361BE"/>
    <w:rPr>
      <w:sz w:val="24"/>
      <w:szCs w:val="24"/>
    </w:rPr>
  </w:style>
  <w:style w:type="character" w:customStyle="1" w:styleId="FootnoteTextChar">
    <w:name w:val="Footnote Text Char"/>
    <w:basedOn w:val="DefaultParagraphFont"/>
    <w:link w:val="FootnoteText"/>
    <w:uiPriority w:val="99"/>
    <w:rsid w:val="00B361BE"/>
  </w:style>
  <w:style w:type="character" w:styleId="FootnoteReference">
    <w:name w:val="footnote reference"/>
    <w:basedOn w:val="DefaultParagraphFont"/>
    <w:semiHidden/>
    <w:unhideWhenUsed/>
    <w:rsid w:val="00B361BE"/>
    <w:rPr>
      <w:vertAlign w:val="superscript"/>
    </w:rPr>
  </w:style>
  <w:style w:type="character" w:styleId="CommentReference">
    <w:name w:val="annotation reference"/>
    <w:basedOn w:val="DefaultParagraphFont"/>
    <w:uiPriority w:val="99"/>
    <w:semiHidden/>
    <w:unhideWhenUsed/>
    <w:rsid w:val="00B361BE"/>
    <w:rPr>
      <w:sz w:val="16"/>
      <w:szCs w:val="16"/>
    </w:rPr>
  </w:style>
  <w:style w:type="character" w:customStyle="1" w:styleId="CommentTextChar">
    <w:name w:val="Comment Text Char"/>
    <w:basedOn w:val="DefaultParagraphFont"/>
    <w:link w:val="CommentText"/>
    <w:uiPriority w:val="99"/>
    <w:semiHidden/>
    <w:rsid w:val="00B36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B361BE"/>
    <w:rPr>
      <w:sz w:val="24"/>
      <w:szCs w:val="24"/>
    </w:rPr>
  </w:style>
  <w:style w:type="character" w:customStyle="1" w:styleId="FootnoteTextChar">
    <w:name w:val="Footnote Text Char"/>
    <w:basedOn w:val="DefaultParagraphFont"/>
    <w:link w:val="FootnoteText"/>
    <w:uiPriority w:val="99"/>
    <w:rsid w:val="00B361BE"/>
  </w:style>
  <w:style w:type="character" w:styleId="FootnoteReference">
    <w:name w:val="footnote reference"/>
    <w:basedOn w:val="DefaultParagraphFont"/>
    <w:semiHidden/>
    <w:unhideWhenUsed/>
    <w:rsid w:val="00B361BE"/>
    <w:rPr>
      <w:vertAlign w:val="superscript"/>
    </w:rPr>
  </w:style>
  <w:style w:type="character" w:styleId="CommentReference">
    <w:name w:val="annotation reference"/>
    <w:basedOn w:val="DefaultParagraphFont"/>
    <w:uiPriority w:val="99"/>
    <w:semiHidden/>
    <w:unhideWhenUsed/>
    <w:rsid w:val="00B361BE"/>
    <w:rPr>
      <w:sz w:val="16"/>
      <w:szCs w:val="16"/>
    </w:rPr>
  </w:style>
  <w:style w:type="character" w:customStyle="1" w:styleId="CommentTextChar">
    <w:name w:val="Comment Text Char"/>
    <w:basedOn w:val="DefaultParagraphFont"/>
    <w:link w:val="CommentText"/>
    <w:uiPriority w:val="99"/>
    <w:semiHidden/>
    <w:rsid w:val="00B3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B662-335C-49D8-95C2-42D01614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2180</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2004-01-27T20:32:00Z</cp:lastPrinted>
  <dcterms:created xsi:type="dcterms:W3CDTF">2020-09-28T13:42:00Z</dcterms:created>
  <dcterms:modified xsi:type="dcterms:W3CDTF">2020-09-28T13:42:00Z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20200211-EI</vt:lpwstr>
  </property>
  <property fmtid="{D5CDD505-2E9C-101B-9397-08002B2CF9AE}" pid="3" name="MasterDocument">
    <vt:bool>false</vt:bool>
  </property>
</Properties>
</file>