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D7E36">
            <w:pPr>
              <w:pStyle w:val="MemoHeading"/>
            </w:pPr>
            <w:bookmarkStart w:id="1" w:name="FilingDate"/>
            <w:r>
              <w:t>October 22,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D7E36" w:rsidRDefault="002D7E36">
            <w:pPr>
              <w:pStyle w:val="MemoHeading"/>
            </w:pPr>
            <w:bookmarkStart w:id="2" w:name="From"/>
            <w:r>
              <w:t>Division of Engineering (M. Watts, Doehling)</w:t>
            </w:r>
          </w:p>
          <w:p w:rsidR="002D7E36" w:rsidRDefault="002D7E36">
            <w:pPr>
              <w:pStyle w:val="MemoHeading"/>
            </w:pPr>
            <w:r>
              <w:t>Division of Accounting and Finance (</w:t>
            </w:r>
            <w:r w:rsidR="00613967">
              <w:t xml:space="preserve">J. </w:t>
            </w:r>
            <w:r>
              <w:t>Blocker, Norris)</w:t>
            </w:r>
          </w:p>
          <w:p w:rsidR="002D7E36" w:rsidRDefault="002D7E36">
            <w:pPr>
              <w:pStyle w:val="MemoHeading"/>
            </w:pPr>
            <w:r>
              <w:t>Division of Economics (Hudson, Sibley)</w:t>
            </w:r>
          </w:p>
          <w:p w:rsidR="007C0528" w:rsidRDefault="002D7E36">
            <w:pPr>
              <w:pStyle w:val="MemoHeading"/>
            </w:pPr>
            <w:r>
              <w:t>Office of the General Counsel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D7E36">
            <w:pPr>
              <w:pStyle w:val="MemoHeadingRe"/>
            </w:pPr>
            <w:bookmarkStart w:id="3" w:name="Re"/>
            <w:r>
              <w:t>Docket No. 20180214-WS – Application to transfer facilities and Certificate Nos. 542-W and 470-S in Putnam County from St. John's River Club Utility Company, LLC to St. Johns River Estates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D7E36">
            <w:pPr>
              <w:pStyle w:val="MemoHeading"/>
            </w:pPr>
            <w:bookmarkStart w:id="4" w:name="AgendaDate"/>
            <w:r>
              <w:t>11/03/20</w:t>
            </w:r>
            <w:bookmarkEnd w:id="4"/>
            <w:r w:rsidR="007C0528">
              <w:t xml:space="preserve"> – </w:t>
            </w:r>
            <w:bookmarkStart w:id="5" w:name="PermittedStatus"/>
            <w:r>
              <w:t xml:space="preserve">Regular Agenda – </w:t>
            </w:r>
            <w:r w:rsidRPr="00D65A9B">
              <w:t>Proposed Agency Action for Issue</w:t>
            </w:r>
            <w:r w:rsidR="008F0F37">
              <w:t>s</w:t>
            </w:r>
            <w:r w:rsidRPr="00D65A9B">
              <w:t xml:space="preserve"> 2</w:t>
            </w:r>
            <w:r w:rsidR="008F0F37">
              <w:t xml:space="preserve"> and 3</w:t>
            </w:r>
            <w:r w:rsidRPr="00D65A9B">
              <w:t xml:space="preserve"> </w:t>
            </w:r>
            <w:r>
              <w:t>-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D7E3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D7E36">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D7E3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D7E3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7923AA">
      <w:pPr>
        <w:pStyle w:val="BodyText"/>
      </w:pPr>
      <w:r w:rsidRPr="0044218D">
        <w:rPr>
          <w:rFonts w:eastAsia="Calibri"/>
          <w:szCs w:val="22"/>
        </w:rPr>
        <w:t>St. Joh</w:t>
      </w:r>
      <w:r w:rsidRPr="0086095F">
        <w:rPr>
          <w:rFonts w:eastAsia="Calibri"/>
          <w:szCs w:val="22"/>
        </w:rPr>
        <w:t>n</w:t>
      </w:r>
      <w:r w:rsidR="0086095F" w:rsidRPr="0086095F">
        <w:rPr>
          <w:rFonts w:eastAsia="Calibri"/>
          <w:szCs w:val="22"/>
        </w:rPr>
        <w:t>’</w:t>
      </w:r>
      <w:r w:rsidRPr="0086095F">
        <w:rPr>
          <w:rFonts w:eastAsia="Calibri"/>
          <w:szCs w:val="22"/>
        </w:rPr>
        <w:t>s</w:t>
      </w:r>
      <w:r w:rsidRPr="0044218D">
        <w:rPr>
          <w:rFonts w:eastAsia="Calibri"/>
          <w:szCs w:val="22"/>
        </w:rPr>
        <w:t xml:space="preserve"> River Club Utility Company, LLC (SJRC or Seller) is a Class C water and wastewater </w:t>
      </w:r>
      <w:proofErr w:type="gramStart"/>
      <w:r w:rsidRPr="0044218D">
        <w:rPr>
          <w:rFonts w:eastAsia="Calibri"/>
          <w:szCs w:val="22"/>
        </w:rPr>
        <w:t>utility</w:t>
      </w:r>
      <w:proofErr w:type="gramEnd"/>
      <w:r w:rsidRPr="0044218D">
        <w:rPr>
          <w:rFonts w:eastAsia="Calibri"/>
          <w:szCs w:val="22"/>
        </w:rPr>
        <w:t xml:space="preserve"> providing service to approximately 85 customers in the Bayou Club development located in Putnam County. SJRC is located in the St. Joh</w:t>
      </w:r>
      <w:r w:rsidRPr="0086095F">
        <w:rPr>
          <w:rFonts w:eastAsia="Calibri"/>
          <w:szCs w:val="22"/>
        </w:rPr>
        <w:t>ns</w:t>
      </w:r>
      <w:r w:rsidRPr="0044218D">
        <w:rPr>
          <w:rFonts w:eastAsia="Calibri"/>
          <w:szCs w:val="22"/>
        </w:rPr>
        <w:t xml:space="preserve"> River Water Management District (SJRWMD). The SJRWMD has implemented district wide irrigation water use restrictions to encourage conservation. </w:t>
      </w:r>
      <w:r w:rsidRPr="0044218D">
        <w:rPr>
          <w:rFonts w:eastAsia="Calibri"/>
          <w:szCs w:val="22"/>
          <w:lang w:val="en-CA"/>
        </w:rPr>
        <w:fldChar w:fldCharType="begin"/>
      </w:r>
      <w:r w:rsidRPr="0044218D">
        <w:rPr>
          <w:rFonts w:eastAsia="Calibri"/>
          <w:szCs w:val="22"/>
          <w:lang w:val="en-CA"/>
        </w:rPr>
        <w:instrText xml:space="preserve"> SEQ CHAPTER \h \r 1</w:instrText>
      </w:r>
      <w:r w:rsidRPr="0044218D">
        <w:rPr>
          <w:rFonts w:eastAsia="Calibri"/>
          <w:szCs w:val="22"/>
        </w:rPr>
        <w:fldChar w:fldCharType="end"/>
      </w:r>
      <w:r w:rsidRPr="0044218D">
        <w:rPr>
          <w:rFonts w:eastAsia="Calibri"/>
          <w:szCs w:val="22"/>
        </w:rPr>
        <w:t xml:space="preserve">SJRC’s 2019 </w:t>
      </w:r>
      <w:r w:rsidR="0086095F" w:rsidRPr="0086095F">
        <w:rPr>
          <w:rFonts w:eastAsia="Calibri"/>
          <w:szCs w:val="22"/>
        </w:rPr>
        <w:t>Annual R</w:t>
      </w:r>
      <w:r w:rsidRPr="0086095F">
        <w:rPr>
          <w:rFonts w:eastAsia="Calibri"/>
          <w:szCs w:val="22"/>
        </w:rPr>
        <w:t>eport</w:t>
      </w:r>
      <w:r w:rsidRPr="0044218D">
        <w:rPr>
          <w:rFonts w:eastAsia="Calibri"/>
          <w:szCs w:val="22"/>
        </w:rPr>
        <w:t xml:space="preserve"> indicates gross revenues of $14,644 and $20,529 for water and wastewater, respectively, and net operating income of $3,437 for water and $4,818 for the wastewater system.</w:t>
      </w:r>
    </w:p>
    <w:p w:rsidR="007923AA" w:rsidRDefault="007923AA" w:rsidP="007923AA">
      <w:pPr>
        <w:spacing w:after="160" w:line="259" w:lineRule="auto"/>
        <w:jc w:val="both"/>
        <w:rPr>
          <w:rFonts w:eastAsia="Calibri"/>
          <w:szCs w:val="22"/>
        </w:rPr>
      </w:pPr>
      <w:r w:rsidRPr="0044218D">
        <w:rPr>
          <w:rFonts w:eastAsia="Calibri"/>
          <w:szCs w:val="22"/>
        </w:rPr>
        <w:lastRenderedPageBreak/>
        <w:t xml:space="preserve">The </w:t>
      </w:r>
      <w:r w:rsidRPr="0044218D">
        <w:rPr>
          <w:rFonts w:eastAsia="Calibri"/>
          <w:color w:val="000000"/>
          <w:szCs w:val="22"/>
        </w:rPr>
        <w:t>Florida Public Service Commission (Commission) granted original water and wastewater certificates to Buffalo Bluff Utilities, Inc. in 1992.</w:t>
      </w:r>
      <w:r w:rsidRPr="0044218D">
        <w:rPr>
          <w:rFonts w:eastAsia="Calibri"/>
          <w:szCs w:val="22"/>
          <w:vertAlign w:val="superscript"/>
        </w:rPr>
        <w:footnoteReference w:id="1"/>
      </w:r>
      <w:r w:rsidRPr="0044218D">
        <w:rPr>
          <w:rFonts w:eastAsia="Calibri"/>
          <w:color w:val="000000"/>
          <w:szCs w:val="22"/>
        </w:rPr>
        <w:t xml:space="preserve"> The Commission approved the transfer of Buffalo Bluff Utilities, Inc. to </w:t>
      </w:r>
      <w:r w:rsidRPr="0086095F">
        <w:rPr>
          <w:rFonts w:eastAsia="Calibri"/>
          <w:color w:val="000000"/>
          <w:szCs w:val="22"/>
        </w:rPr>
        <w:t>St. John</w:t>
      </w:r>
      <w:r w:rsidR="0086095F" w:rsidRPr="0086095F">
        <w:rPr>
          <w:rFonts w:eastAsia="Calibri"/>
          <w:color w:val="000000"/>
          <w:szCs w:val="22"/>
        </w:rPr>
        <w:t>’</w:t>
      </w:r>
      <w:r w:rsidRPr="0086095F">
        <w:rPr>
          <w:rFonts w:eastAsia="Calibri"/>
          <w:color w:val="000000"/>
          <w:szCs w:val="22"/>
        </w:rPr>
        <w:t xml:space="preserve">s River Club, </w:t>
      </w:r>
      <w:r w:rsidR="0086095F" w:rsidRPr="0086095F">
        <w:rPr>
          <w:rFonts w:eastAsia="Calibri"/>
          <w:color w:val="000000"/>
          <w:szCs w:val="22"/>
        </w:rPr>
        <w:t>L</w:t>
      </w:r>
      <w:r w:rsidR="00B07887">
        <w:rPr>
          <w:rFonts w:eastAsia="Calibri"/>
          <w:color w:val="000000"/>
          <w:szCs w:val="22"/>
        </w:rPr>
        <w:t>.</w:t>
      </w:r>
      <w:r w:rsidR="0086095F" w:rsidRPr="0086095F">
        <w:rPr>
          <w:rFonts w:eastAsia="Calibri"/>
          <w:color w:val="000000"/>
          <w:szCs w:val="22"/>
        </w:rPr>
        <w:t>L</w:t>
      </w:r>
      <w:r w:rsidR="00B07887">
        <w:rPr>
          <w:rFonts w:eastAsia="Calibri"/>
          <w:color w:val="000000"/>
          <w:szCs w:val="22"/>
        </w:rPr>
        <w:t>.</w:t>
      </w:r>
      <w:r w:rsidR="0086095F" w:rsidRPr="0086095F">
        <w:rPr>
          <w:rFonts w:eastAsia="Calibri"/>
          <w:color w:val="000000"/>
          <w:szCs w:val="22"/>
        </w:rPr>
        <w:t>C</w:t>
      </w:r>
      <w:r w:rsidRPr="0086095F">
        <w:rPr>
          <w:rFonts w:eastAsia="Calibri"/>
          <w:color w:val="000000"/>
          <w:szCs w:val="22"/>
        </w:rPr>
        <w:t>.</w:t>
      </w:r>
      <w:r w:rsidRPr="0044218D">
        <w:rPr>
          <w:rFonts w:eastAsia="Calibri"/>
          <w:color w:val="000000"/>
          <w:szCs w:val="22"/>
        </w:rPr>
        <w:t xml:space="preserve"> in 2005.</w:t>
      </w:r>
      <w:r w:rsidRPr="0044218D">
        <w:rPr>
          <w:rFonts w:eastAsia="Calibri"/>
          <w:szCs w:val="22"/>
          <w:vertAlign w:val="superscript"/>
        </w:rPr>
        <w:footnoteReference w:id="2"/>
      </w:r>
      <w:r w:rsidRPr="0044218D">
        <w:rPr>
          <w:rFonts w:eastAsia="Calibri"/>
          <w:color w:val="000000"/>
          <w:szCs w:val="22"/>
        </w:rPr>
        <w:t xml:space="preserve"> In 2007, the Commission approved the transfer of the system to SJRC.</w:t>
      </w:r>
      <w:r w:rsidRPr="0044218D">
        <w:rPr>
          <w:rFonts w:eastAsia="Calibri"/>
          <w:color w:val="000000"/>
          <w:szCs w:val="22"/>
          <w:vertAlign w:val="superscript"/>
        </w:rPr>
        <w:footnoteReference w:id="3"/>
      </w:r>
      <w:r w:rsidRPr="0044218D">
        <w:rPr>
          <w:rFonts w:eastAsia="Calibri"/>
          <w:color w:val="000000"/>
          <w:szCs w:val="22"/>
        </w:rPr>
        <w:t xml:space="preserve"> </w:t>
      </w:r>
      <w:r w:rsidRPr="0044218D">
        <w:rPr>
          <w:rFonts w:eastAsia="Calibri"/>
          <w:szCs w:val="22"/>
        </w:rPr>
        <w:t xml:space="preserve">The rates for the </w:t>
      </w:r>
      <w:r w:rsidR="0086095F">
        <w:rPr>
          <w:rFonts w:eastAsia="Calibri"/>
          <w:szCs w:val="22"/>
        </w:rPr>
        <w:t>U</w:t>
      </w:r>
      <w:r w:rsidRPr="0044218D">
        <w:rPr>
          <w:rFonts w:eastAsia="Calibri"/>
          <w:szCs w:val="22"/>
        </w:rPr>
        <w:t xml:space="preserve">tility were last set by the Commission in a </w:t>
      </w:r>
      <w:r w:rsidR="0086095F" w:rsidRPr="0086095F">
        <w:rPr>
          <w:rFonts w:eastAsia="Calibri"/>
          <w:szCs w:val="22"/>
        </w:rPr>
        <w:t>staff-</w:t>
      </w:r>
      <w:r w:rsidRPr="0086095F">
        <w:rPr>
          <w:rFonts w:eastAsia="Calibri"/>
          <w:szCs w:val="22"/>
        </w:rPr>
        <w:t>assisted</w:t>
      </w:r>
      <w:r w:rsidRPr="0044218D">
        <w:rPr>
          <w:rFonts w:eastAsia="Calibri"/>
          <w:szCs w:val="22"/>
        </w:rPr>
        <w:t xml:space="preserve"> rate case in 2000.</w:t>
      </w:r>
      <w:r w:rsidRPr="0044218D">
        <w:rPr>
          <w:rFonts w:eastAsia="Calibri"/>
          <w:szCs w:val="22"/>
          <w:vertAlign w:val="superscript"/>
        </w:rPr>
        <w:footnoteReference w:id="4"/>
      </w:r>
      <w:r w:rsidRPr="0044218D">
        <w:rPr>
          <w:rFonts w:eastAsia="Calibri"/>
          <w:szCs w:val="22"/>
        </w:rPr>
        <w:t xml:space="preserve"> </w:t>
      </w:r>
    </w:p>
    <w:p w:rsidR="007E703C" w:rsidRDefault="007E703C" w:rsidP="007923AA">
      <w:pPr>
        <w:spacing w:after="160" w:line="259" w:lineRule="auto"/>
        <w:jc w:val="both"/>
        <w:rPr>
          <w:rFonts w:eastAsia="Calibri"/>
          <w:szCs w:val="22"/>
        </w:rPr>
      </w:pPr>
      <w:r w:rsidRPr="0044218D">
        <w:rPr>
          <w:rFonts w:eastAsia="Calibri"/>
          <w:szCs w:val="22"/>
        </w:rPr>
        <w:t xml:space="preserve">On November 20, 2018, American Retirement Communities (ARC) filed an application </w:t>
      </w:r>
      <w:r w:rsidRPr="0044218D">
        <w:rPr>
          <w:rFonts w:eastAsia="Calibri"/>
          <w:color w:val="000000"/>
          <w:szCs w:val="22"/>
        </w:rPr>
        <w:t xml:space="preserve">with the Commission </w:t>
      </w:r>
      <w:r w:rsidRPr="0044218D">
        <w:rPr>
          <w:rFonts w:eastAsia="Calibri"/>
          <w:szCs w:val="22"/>
        </w:rPr>
        <w:t xml:space="preserve">for the transfer of Certificate Nos. 542-W and 470-S from SJRC to </w:t>
      </w:r>
      <w:r w:rsidRPr="0086095F">
        <w:rPr>
          <w:rFonts w:eastAsia="Calibri"/>
          <w:szCs w:val="22"/>
        </w:rPr>
        <w:t>St. Johns</w:t>
      </w:r>
      <w:r w:rsidRPr="0044218D">
        <w:rPr>
          <w:rFonts w:eastAsia="Calibri"/>
          <w:szCs w:val="22"/>
        </w:rPr>
        <w:t xml:space="preserve"> River Estates Utilities, </w:t>
      </w:r>
      <w:r w:rsidRPr="0086095F">
        <w:rPr>
          <w:rFonts w:eastAsia="Calibri"/>
          <w:szCs w:val="22"/>
        </w:rPr>
        <w:t>LLC</w:t>
      </w:r>
      <w:r w:rsidRPr="0044218D">
        <w:rPr>
          <w:rFonts w:eastAsia="Calibri"/>
          <w:szCs w:val="22"/>
        </w:rPr>
        <w:t xml:space="preserve"> (SJR</w:t>
      </w:r>
      <w:r>
        <w:rPr>
          <w:rFonts w:eastAsia="Calibri"/>
          <w:szCs w:val="22"/>
        </w:rPr>
        <w:t xml:space="preserve"> </w:t>
      </w:r>
      <w:r w:rsidRPr="0044218D">
        <w:rPr>
          <w:rFonts w:eastAsia="Calibri"/>
          <w:szCs w:val="22"/>
        </w:rPr>
        <w:t>E</w:t>
      </w:r>
      <w:r>
        <w:rPr>
          <w:rFonts w:eastAsia="Calibri"/>
          <w:szCs w:val="22"/>
        </w:rPr>
        <w:t>states</w:t>
      </w:r>
      <w:r w:rsidRPr="0044218D">
        <w:rPr>
          <w:rFonts w:eastAsia="Calibri"/>
          <w:szCs w:val="22"/>
        </w:rPr>
        <w:t>, Buyer or Utility) in Putnam County. After discussions with staff, the Buyer resubmitted the application in its own name instead of its parent company, ARC, on December 10, 2018.</w:t>
      </w:r>
    </w:p>
    <w:p w:rsidR="007E703C" w:rsidRDefault="007E703C" w:rsidP="007923AA">
      <w:pPr>
        <w:spacing w:after="160" w:line="259" w:lineRule="auto"/>
        <w:jc w:val="both"/>
        <w:rPr>
          <w:rFonts w:eastAsia="Calibri"/>
          <w:szCs w:val="22"/>
        </w:rPr>
      </w:pPr>
      <w:r w:rsidRPr="0044218D">
        <w:rPr>
          <w:rFonts w:eastAsia="Calibri"/>
          <w:szCs w:val="22"/>
        </w:rPr>
        <w:t>This recommendation addresses the transfer of the water and wastewater systems and Certificate Nos. 542-W and 470-S, the appropriate net book value of the water and wastewater systems for transfer purposes, and the need for an acquisition adjustment. The Commission has jurisdiction pursuant to Section 367.071,</w:t>
      </w:r>
      <w:r>
        <w:rPr>
          <w:rFonts w:eastAsia="Calibri"/>
          <w:szCs w:val="22"/>
        </w:rPr>
        <w:t xml:space="preserve"> Florida Statutes</w:t>
      </w:r>
      <w:r w:rsidRPr="0044218D">
        <w:rPr>
          <w:rFonts w:eastAsia="Calibri"/>
          <w:szCs w:val="22"/>
        </w:rPr>
        <w:t xml:space="preserve"> </w:t>
      </w:r>
      <w:r>
        <w:rPr>
          <w:rFonts w:eastAsia="Calibri"/>
          <w:szCs w:val="22"/>
        </w:rPr>
        <w:t>(</w:t>
      </w:r>
      <w:r w:rsidRPr="0044218D">
        <w:rPr>
          <w:rFonts w:eastAsia="Calibri"/>
          <w:szCs w:val="22"/>
        </w:rPr>
        <w:t>F.S</w:t>
      </w:r>
      <w:r>
        <w:rPr>
          <w:rFonts w:eastAsia="Calibri"/>
          <w:szCs w:val="22"/>
        </w:rPr>
        <w:t>.).</w:t>
      </w:r>
    </w:p>
    <w:p w:rsidR="007E703C" w:rsidRPr="0044218D" w:rsidRDefault="007E703C" w:rsidP="007923AA">
      <w:pPr>
        <w:spacing w:after="160" w:line="259" w:lineRule="auto"/>
        <w:jc w:val="both"/>
        <w:rPr>
          <w:rFonts w:eastAsia="Calibri"/>
          <w:szCs w:val="22"/>
        </w:rPr>
      </w:pPr>
    </w:p>
    <w:bookmarkEnd w:id="12"/>
    <w:p w:rsidR="004E09E3" w:rsidRPr="004E09E3" w:rsidRDefault="004E09E3" w:rsidP="006D6DB0"/>
    <w:p w:rsidR="00EA2273" w:rsidRPr="004E09E3" w:rsidRDefault="00EA2273" w:rsidP="004E09E3">
      <w:pPr>
        <w:tabs>
          <w:tab w:val="center" w:pos="4680"/>
        </w:tabs>
        <w:sectPr w:rsidR="00EA2273" w:rsidRPr="004E09E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5016B" w:rsidRDefault="00F5016B">
      <w:pPr>
        <w:rPr>
          <w:rFonts w:ascii="Arial" w:hAnsi="Arial" w:cs="Arial"/>
          <w:b/>
          <w:bCs/>
          <w:i/>
          <w:kern w:val="32"/>
          <w:szCs w:val="32"/>
        </w:rPr>
      </w:pPr>
    </w:p>
    <w:p w:rsidR="002D7E36" w:rsidRDefault="002D7E36">
      <w:pPr>
        <w:pStyle w:val="IssueHeading"/>
        <w:rPr>
          <w:vanish/>
          <w:specVanish/>
        </w:rPr>
      </w:pPr>
      <w:r w:rsidRPr="004C3641">
        <w:t xml:space="preserve">Issue </w:t>
      </w:r>
      <w:fldSimple w:instr=" SEQ Issue \* MERGEFORMAT ">
        <w:r w:rsidR="00F5016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5016B">
        <w:rPr>
          <w:noProof/>
        </w:rPr>
        <w:instrText>1</w:instrText>
      </w:r>
      <w:r>
        <w:fldChar w:fldCharType="end"/>
      </w:r>
      <w:r>
        <w:tab/>
        <w:instrText xml:space="preserve">" \l 1 </w:instrText>
      </w:r>
      <w:r>
        <w:fldChar w:fldCharType="end"/>
      </w:r>
      <w:r>
        <w:t> </w:t>
      </w:r>
    </w:p>
    <w:p w:rsidR="002D7E36" w:rsidRDefault="002D7E36">
      <w:pPr>
        <w:pStyle w:val="BodyText"/>
      </w:pPr>
      <w:r>
        <w:t> </w:t>
      </w:r>
      <w:r w:rsidR="00472116" w:rsidRPr="00707EE4">
        <w:t xml:space="preserve">Should the transfer of Certificate Nos. 542-W and 470-S in Putnam County from </w:t>
      </w:r>
      <w:r w:rsidR="00472116" w:rsidRPr="00FD395E">
        <w:t>St. John's River Club U</w:t>
      </w:r>
      <w:r w:rsidR="00B91410" w:rsidRPr="00FD395E">
        <w:t>tility Company, LLC to St. John</w:t>
      </w:r>
      <w:r w:rsidR="00472116" w:rsidRPr="00FD395E">
        <w:t>s River Estates Utilities, LLC be approved?</w:t>
      </w:r>
    </w:p>
    <w:p w:rsidR="002D7E36" w:rsidRPr="004C3641" w:rsidRDefault="002D7E36">
      <w:pPr>
        <w:pStyle w:val="IssueSubsectionHeading"/>
        <w:rPr>
          <w:vanish/>
          <w:specVanish/>
        </w:rPr>
      </w:pPr>
      <w:r w:rsidRPr="004C3641">
        <w:t>Recommendation: </w:t>
      </w:r>
    </w:p>
    <w:p w:rsidR="002D7E36" w:rsidRDefault="002D7E36">
      <w:pPr>
        <w:pStyle w:val="BodyText"/>
      </w:pPr>
      <w:r>
        <w:t> </w:t>
      </w:r>
      <w:r w:rsidR="00E2336C" w:rsidRPr="00F84B1E">
        <w:t>Yes. The transfer of the water and wastewater systems and Certificate Nos. 542-W and 470-S is in the public interest and should be approved effective the date of the Commission’s vote. The resultant order should serve as the Buyer’s certificate and should be retained by the Buyer.</w:t>
      </w:r>
      <w:r w:rsidR="00E0015A">
        <w:t xml:space="preserve"> The existing rates and charges</w:t>
      </w:r>
      <w:r w:rsidR="00E0015A">
        <w:rPr>
          <w:rStyle w:val="bodytextchar2"/>
          <w:color w:val="000000"/>
        </w:rPr>
        <w:t>, except the main extension charges,</w:t>
      </w:r>
      <w:r w:rsidR="00E0015A" w:rsidRPr="00F84B1E">
        <w:t xml:space="preserve"> </w:t>
      </w:r>
      <w:r w:rsidR="00E2336C" w:rsidRPr="00F84B1E">
        <w:t>should remain in effect until a change is authorized by the Commission in a subsequent proceeding. The tariffs reflecting the transfer should be effective for services rendered or connections made on or after the stamped approval date on the tariffs, pursuant to Rule 25-30.475,</w:t>
      </w:r>
      <w:r w:rsidR="00E2336C">
        <w:t xml:space="preserve"> Florida Administrative Code</w:t>
      </w:r>
      <w:r w:rsidR="00E2336C" w:rsidRPr="00F84B1E">
        <w:t xml:space="preserve"> </w:t>
      </w:r>
      <w:r w:rsidR="00E2336C">
        <w:t>(</w:t>
      </w:r>
      <w:r w:rsidR="00E2336C" w:rsidRPr="00F84B1E">
        <w:t>F.A.C.</w:t>
      </w:r>
      <w:r w:rsidR="00E2336C">
        <w:t>).</w:t>
      </w:r>
      <w:r w:rsidR="00E2336C" w:rsidRPr="00F84B1E">
        <w:t xml:space="preserve"> The </w:t>
      </w:r>
      <w:r w:rsidR="006E3CEA" w:rsidRPr="006E3CEA">
        <w:t>S</w:t>
      </w:r>
      <w:r w:rsidR="00E2336C" w:rsidRPr="006E3CEA">
        <w:t>el</w:t>
      </w:r>
      <w:r w:rsidR="00E2336C" w:rsidRPr="00F84B1E">
        <w:t xml:space="preserve">ler is current with respect to annual reports and </w:t>
      </w:r>
      <w:r w:rsidR="00E2336C">
        <w:t>regulatory assessment fees (</w:t>
      </w:r>
      <w:r w:rsidR="00E2336C" w:rsidRPr="00F84B1E">
        <w:t>RAFs</w:t>
      </w:r>
      <w:r w:rsidR="00E2336C">
        <w:t>)</w:t>
      </w:r>
      <w:r w:rsidR="00E2336C" w:rsidRPr="00F84B1E">
        <w:t xml:space="preserve"> through December 31, 2019. The Buyer will be responsible for filing annual reports and paying RAFs for 2020 and all future years</w:t>
      </w:r>
      <w:r w:rsidR="00E2336C">
        <w:t>. (Doehling, M. Watts, J. Blocker</w:t>
      </w:r>
      <w:r w:rsidR="00DD0E14">
        <w:t>, Sibley</w:t>
      </w:r>
      <w:r w:rsidR="00E2336C">
        <w:t xml:space="preserve">) </w:t>
      </w:r>
    </w:p>
    <w:p w:rsidR="002D7E36" w:rsidRPr="004C3641" w:rsidRDefault="002D7E36">
      <w:pPr>
        <w:pStyle w:val="IssueSubsectionHeading"/>
        <w:rPr>
          <w:vanish/>
          <w:specVanish/>
        </w:rPr>
      </w:pPr>
      <w:r w:rsidRPr="004C3641">
        <w:t>Staff Analysis: </w:t>
      </w:r>
    </w:p>
    <w:p w:rsidR="002D7E36" w:rsidRDefault="002D7E36">
      <w:pPr>
        <w:pStyle w:val="BodyText"/>
      </w:pPr>
      <w:r>
        <w:t> </w:t>
      </w:r>
      <w:r w:rsidR="00E2336C" w:rsidRPr="00F84B1E">
        <w:t xml:space="preserve">On November </w:t>
      </w:r>
      <w:r w:rsidR="00E2336C">
        <w:t>20</w:t>
      </w:r>
      <w:r w:rsidR="00E2336C" w:rsidRPr="00F84B1E">
        <w:t xml:space="preserve">, 2018, </w:t>
      </w:r>
      <w:r w:rsidR="00E2336C">
        <w:t xml:space="preserve">ARC filed an application </w:t>
      </w:r>
      <w:r w:rsidR="00E2336C" w:rsidRPr="00AF45AC">
        <w:t>on behalf of SJR Estates for the transfer</w:t>
      </w:r>
      <w:r w:rsidR="00E2336C" w:rsidRPr="00F84B1E">
        <w:t xml:space="preserve"> of Certificate Nos. 542-W and 470-S from </w:t>
      </w:r>
      <w:r w:rsidR="00E2336C">
        <w:t>SJRC</w:t>
      </w:r>
      <w:r w:rsidR="00E2336C" w:rsidRPr="00F84B1E">
        <w:t xml:space="preserve"> to </w:t>
      </w:r>
      <w:r w:rsidR="00E2336C">
        <w:t>SJR</w:t>
      </w:r>
      <w:r w:rsidR="00E2336C" w:rsidRPr="00F84B1E">
        <w:t xml:space="preserve"> Estates in Putnam County. </w:t>
      </w:r>
      <w:r w:rsidR="00E2336C">
        <w:t>After discussions with staff in which staff attempted to get clarification regarding the filing, SJR Estates chose to submit a revised application on its own behalf.</w:t>
      </w:r>
      <w:r w:rsidR="00E2336C" w:rsidRPr="001D3E15">
        <w:t xml:space="preserve"> </w:t>
      </w:r>
      <w:r w:rsidR="00E2336C">
        <w:t xml:space="preserve">The revised application was submitted on December 10, 2018. </w:t>
      </w:r>
      <w:r w:rsidR="00E2336C" w:rsidRPr="00F84B1E">
        <w:t xml:space="preserve">The application is in compliance with Section 367.071, F.S., and Commission rules concerning applications for transfer of certificates. The sale to </w:t>
      </w:r>
      <w:r w:rsidR="00E2336C">
        <w:t>SJR</w:t>
      </w:r>
      <w:r w:rsidR="00E2336C" w:rsidRPr="00F84B1E">
        <w:t xml:space="preserve"> Estates occurred on August 17, 2018, contingent upon Commission approval, pursuant to Section 367.071(1), F.S.</w:t>
      </w:r>
    </w:p>
    <w:p w:rsidR="00E2336C" w:rsidRPr="00C7462D" w:rsidRDefault="00E2336C" w:rsidP="00E2336C">
      <w:pPr>
        <w:autoSpaceDE w:val="0"/>
        <w:autoSpaceDN w:val="0"/>
        <w:adjustRightInd w:val="0"/>
        <w:jc w:val="both"/>
        <w:rPr>
          <w:rFonts w:ascii="Arial" w:eastAsia="Calibri" w:hAnsi="Arial" w:cs="Arial"/>
          <w:b/>
          <w:bCs/>
          <w:color w:val="000000"/>
        </w:rPr>
      </w:pPr>
      <w:r w:rsidRPr="00C7462D">
        <w:rPr>
          <w:rFonts w:ascii="Arial" w:eastAsia="Calibri" w:hAnsi="Arial" w:cs="Arial"/>
          <w:b/>
          <w:bCs/>
          <w:color w:val="000000"/>
        </w:rPr>
        <w:t>Noticing, Territory, and Land Ownership</w:t>
      </w:r>
    </w:p>
    <w:p w:rsidR="00E2336C" w:rsidRDefault="00E2336C" w:rsidP="00E2336C">
      <w:pPr>
        <w:pStyle w:val="BodyText"/>
      </w:pPr>
      <w:r>
        <w:t>SJR</w:t>
      </w:r>
      <w:r w:rsidRPr="00F84B1E">
        <w:t xml:space="preserve"> Estates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The Utility provided a copy of a </w:t>
      </w:r>
      <w:r w:rsidR="00D33AE1">
        <w:t xml:space="preserve">99 year </w:t>
      </w:r>
      <w:r w:rsidRPr="00F84B1E">
        <w:t xml:space="preserve">lease agreement effective August 9, 2018, as evidence that </w:t>
      </w:r>
      <w:r>
        <w:t>SJR</w:t>
      </w:r>
      <w:r w:rsidRPr="00F84B1E">
        <w:t xml:space="preserve"> Estates has rights to long-term use of the land upon which the water and wastewater treatment facilities are located pursuant to Rule 25-30.037(2)(s), F.A.C.</w:t>
      </w:r>
    </w:p>
    <w:p w:rsidR="00E2336C" w:rsidRPr="00C7462D" w:rsidRDefault="00E2336C" w:rsidP="00E2336C">
      <w:pPr>
        <w:autoSpaceDE w:val="0"/>
        <w:autoSpaceDN w:val="0"/>
        <w:adjustRightInd w:val="0"/>
        <w:jc w:val="both"/>
        <w:rPr>
          <w:rFonts w:ascii="Arial" w:eastAsia="Calibri" w:hAnsi="Arial" w:cs="Arial"/>
          <w:b/>
          <w:bCs/>
          <w:color w:val="000000"/>
        </w:rPr>
      </w:pPr>
      <w:r w:rsidRPr="00C7462D">
        <w:rPr>
          <w:rFonts w:ascii="Arial" w:eastAsia="Calibri" w:hAnsi="Arial" w:cs="Arial"/>
          <w:b/>
          <w:bCs/>
          <w:color w:val="000000"/>
        </w:rPr>
        <w:t>Purchase Agreement and Financing</w:t>
      </w:r>
    </w:p>
    <w:p w:rsidR="00E2336C" w:rsidRDefault="00E2336C" w:rsidP="00E2336C">
      <w:pPr>
        <w:pStyle w:val="BodyText"/>
        <w:rPr>
          <w:rFonts w:eastAsia="Calibri"/>
        </w:rPr>
      </w:pPr>
      <w:r w:rsidRPr="0044218D">
        <w:rPr>
          <w:rFonts w:eastAsia="Calibri"/>
        </w:rPr>
        <w:t>Pursuant to Rule 25-30.037(2)(i), and (j), F.A.C., the application contains a statement regarding financing and a copy of the purchase agreement, which includes the purchase price, terms of payment and a list of the assets purchased. There are no developer agreements</w:t>
      </w:r>
      <w:r w:rsidRPr="0044218D">
        <w:rPr>
          <w:rFonts w:eastAsia="Calibri"/>
          <w:color w:val="000000"/>
        </w:rPr>
        <w:t xml:space="preserve">, customer deposits, </w:t>
      </w:r>
      <w:r w:rsidRPr="0044218D">
        <w:rPr>
          <w:rFonts w:eastAsia="Calibri"/>
        </w:rPr>
        <w:t>or customer advances that must be disposed of regarding the transfer. According to the purchase agreement, the total purchase price for assets is $10,000. According to the Buyer, the sale took place on August 17, 2018, subject to Commission approval, pursuant to Section 367.071(1), F.S.</w:t>
      </w:r>
    </w:p>
    <w:p w:rsidR="00E0015A" w:rsidRDefault="00E0015A" w:rsidP="00E2336C">
      <w:pPr>
        <w:pStyle w:val="BodyText"/>
        <w:rPr>
          <w:rFonts w:eastAsia="Calibri"/>
        </w:rPr>
      </w:pPr>
    </w:p>
    <w:p w:rsidR="00E0015A" w:rsidRDefault="00E0015A" w:rsidP="00D00A88">
      <w:pPr>
        <w:autoSpaceDE w:val="0"/>
        <w:autoSpaceDN w:val="0"/>
        <w:adjustRightInd w:val="0"/>
        <w:jc w:val="both"/>
        <w:rPr>
          <w:rFonts w:ascii="Arial" w:eastAsia="Calibri" w:hAnsi="Arial" w:cs="Arial"/>
          <w:b/>
          <w:bCs/>
          <w:color w:val="000000"/>
        </w:rPr>
        <w:sectPr w:rsidR="00E0015A"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D00A88" w:rsidRPr="00C7462D" w:rsidRDefault="00D00A88" w:rsidP="00D00A88">
      <w:pPr>
        <w:autoSpaceDE w:val="0"/>
        <w:autoSpaceDN w:val="0"/>
        <w:adjustRightInd w:val="0"/>
        <w:jc w:val="both"/>
        <w:rPr>
          <w:rFonts w:ascii="Arial" w:eastAsia="Calibri" w:hAnsi="Arial" w:cs="Arial"/>
          <w:b/>
          <w:bCs/>
          <w:color w:val="000000"/>
        </w:rPr>
      </w:pPr>
      <w:r w:rsidRPr="00C7462D">
        <w:rPr>
          <w:rFonts w:ascii="Arial" w:eastAsia="Calibri" w:hAnsi="Arial" w:cs="Arial"/>
          <w:b/>
          <w:bCs/>
          <w:color w:val="000000"/>
        </w:rPr>
        <w:lastRenderedPageBreak/>
        <w:t>Facility Description and Compliance</w:t>
      </w:r>
    </w:p>
    <w:p w:rsidR="00D00A88" w:rsidRDefault="00D00A88" w:rsidP="00D00A88">
      <w:pPr>
        <w:pStyle w:val="BodyText"/>
      </w:pPr>
      <w:r w:rsidRPr="00F84B1E">
        <w:t xml:space="preserve">The Utility’s water treatment plant is composed of three </w:t>
      </w:r>
      <w:r w:rsidRPr="00A36874">
        <w:t>four-inch</w:t>
      </w:r>
      <w:r w:rsidR="00613967">
        <w:t xml:space="preserve"> wells with inline </w:t>
      </w:r>
      <w:proofErr w:type="spellStart"/>
      <w:r w:rsidR="00613967">
        <w:t>V</w:t>
      </w:r>
      <w:r w:rsidR="00CA5163">
        <w:t>enturi</w:t>
      </w:r>
      <w:proofErr w:type="spellEnd"/>
      <w:r w:rsidR="00CA5163">
        <w:t xml:space="preserve"> A</w:t>
      </w:r>
      <w:r w:rsidRPr="00F84B1E">
        <w:t xml:space="preserve">erators and hypo-chlorination used as </w:t>
      </w:r>
      <w:r>
        <w:t xml:space="preserve">the primary form of treatment. </w:t>
      </w:r>
      <w:r w:rsidRPr="00F84B1E">
        <w:t>The wastewater system consists of one lift station and an extended aeration treatment facility with chlorinated effluent sent to two percolation ponds. The last sanitary survey of the water treatment facility was conducted on May 8, 2020, by the Department of Environmental Protection (DEP). The last compliance inspection of the wastewater treatment facility was on January 29, 2016. There were no deficiencies noted in either inspection and both systems were determined to be in compliance with the DEP’s rules and regulations.</w:t>
      </w:r>
    </w:p>
    <w:p w:rsidR="003B61B3" w:rsidRPr="00C7462D" w:rsidRDefault="003B61B3" w:rsidP="003B61B3">
      <w:pPr>
        <w:autoSpaceDE w:val="0"/>
        <w:autoSpaceDN w:val="0"/>
        <w:adjustRightInd w:val="0"/>
        <w:jc w:val="both"/>
        <w:rPr>
          <w:rFonts w:ascii="Arial" w:eastAsia="Calibri" w:hAnsi="Arial" w:cs="Arial"/>
          <w:b/>
          <w:bCs/>
          <w:color w:val="000000"/>
        </w:rPr>
      </w:pPr>
      <w:r w:rsidRPr="00C7462D">
        <w:rPr>
          <w:rFonts w:ascii="Arial" w:eastAsia="Calibri" w:hAnsi="Arial" w:cs="Arial"/>
          <w:b/>
          <w:bCs/>
          <w:color w:val="000000"/>
        </w:rPr>
        <w:t>Technical and Financial Ability</w:t>
      </w:r>
    </w:p>
    <w:p w:rsidR="003B61B3" w:rsidRPr="005B6CEA" w:rsidRDefault="009214CE" w:rsidP="003B61B3">
      <w:pPr>
        <w:pStyle w:val="BodyText"/>
        <w:rPr>
          <w:color w:val="000000"/>
        </w:rPr>
      </w:pPr>
      <w:r w:rsidRPr="009214CE">
        <w:rPr>
          <w:color w:val="000000"/>
        </w:rPr>
        <w:t>Pursuant to Rule 25-30.037(2</w:t>
      </w:r>
      <w:proofErr w:type="gramStart"/>
      <w:r w:rsidRPr="009214CE">
        <w:rPr>
          <w:color w:val="000000"/>
        </w:rPr>
        <w:t>)(</w:t>
      </w:r>
      <w:proofErr w:type="gramEnd"/>
      <w:r w:rsidRPr="009214CE">
        <w:rPr>
          <w:color w:val="000000"/>
        </w:rPr>
        <w:t>l) and (m), F.A.C., the application contains statements describing the technical and financial ability of the Buyer to provide service to the proposed service area. The application states that while the Buyer does not have experience in the wa</w:t>
      </w:r>
      <w:r w:rsidR="00577C76">
        <w:rPr>
          <w:color w:val="000000"/>
        </w:rPr>
        <w:t>ter or wastewater industry, it</w:t>
      </w:r>
      <w:r w:rsidRPr="009214CE">
        <w:rPr>
          <w:color w:val="000000"/>
        </w:rPr>
        <w:t xml:space="preserve"> plan</w:t>
      </w:r>
      <w:r w:rsidR="00577C76">
        <w:rPr>
          <w:color w:val="000000"/>
        </w:rPr>
        <w:t>s</w:t>
      </w:r>
      <w:r w:rsidRPr="009214CE">
        <w:rPr>
          <w:color w:val="000000"/>
        </w:rPr>
        <w:t xml:space="preserve"> to continue to maintain the system and will hire appropriate staff. Through its review of DEP records, staff has verified that the same plant operator has been retained. The application also includes financial statements supporting the financial ability of </w:t>
      </w:r>
      <w:r w:rsidR="008B718C">
        <w:rPr>
          <w:color w:val="000000"/>
        </w:rPr>
        <w:t>the Buyer</w:t>
      </w:r>
      <w:r w:rsidR="0004259E">
        <w:rPr>
          <w:color w:val="000000"/>
        </w:rPr>
        <w:t xml:space="preserve"> </w:t>
      </w:r>
      <w:r w:rsidRPr="009214CE">
        <w:rPr>
          <w:color w:val="000000"/>
        </w:rPr>
        <w:t xml:space="preserve">to provide service to the proposed service area. </w:t>
      </w:r>
      <w:r w:rsidR="0075722C" w:rsidRPr="0044218D">
        <w:rPr>
          <w:rFonts w:eastAsia="Calibri"/>
          <w:color w:val="000000"/>
        </w:rPr>
        <w:t xml:space="preserve">Based on </w:t>
      </w:r>
      <w:r w:rsidR="0075722C">
        <w:rPr>
          <w:rFonts w:eastAsia="Calibri"/>
          <w:color w:val="000000"/>
        </w:rPr>
        <w:t>its review</w:t>
      </w:r>
      <w:r w:rsidR="0075722C" w:rsidRPr="0044218D">
        <w:rPr>
          <w:rFonts w:eastAsia="Calibri"/>
          <w:color w:val="000000"/>
        </w:rPr>
        <w:t>, staff believes the Buyer has demonstrated the</w:t>
      </w:r>
      <w:r w:rsidR="0075722C">
        <w:rPr>
          <w:rFonts w:eastAsia="Calibri"/>
          <w:color w:val="000000"/>
        </w:rPr>
        <w:t xml:space="preserve"> technical and</w:t>
      </w:r>
      <w:r w:rsidR="0075722C" w:rsidRPr="0044218D">
        <w:rPr>
          <w:rFonts w:eastAsia="Calibri"/>
          <w:color w:val="000000"/>
        </w:rPr>
        <w:t xml:space="preserve"> financial ability to provide service to the existing service territory.</w:t>
      </w:r>
    </w:p>
    <w:p w:rsidR="003B61B3" w:rsidRPr="00C7462D" w:rsidRDefault="003B61B3" w:rsidP="003B61B3">
      <w:pPr>
        <w:autoSpaceDE w:val="0"/>
        <w:autoSpaceDN w:val="0"/>
        <w:adjustRightInd w:val="0"/>
        <w:jc w:val="both"/>
        <w:rPr>
          <w:rFonts w:ascii="Arial" w:eastAsia="Calibri" w:hAnsi="Arial" w:cs="Arial"/>
          <w:b/>
          <w:bCs/>
          <w:color w:val="000000"/>
        </w:rPr>
      </w:pPr>
      <w:r w:rsidRPr="00C7462D">
        <w:rPr>
          <w:rFonts w:ascii="Arial" w:eastAsia="Calibri" w:hAnsi="Arial" w:cs="Arial"/>
          <w:b/>
          <w:bCs/>
          <w:color w:val="000000"/>
        </w:rPr>
        <w:t>Rates and Charges</w:t>
      </w:r>
    </w:p>
    <w:p w:rsidR="003B61B3" w:rsidRDefault="00902254" w:rsidP="003B61B3">
      <w:pPr>
        <w:pStyle w:val="BodyText"/>
        <w:rPr>
          <w:rStyle w:val="bodytextchar0"/>
          <w:color w:val="000000"/>
        </w:rPr>
      </w:pPr>
      <w:r>
        <w:rPr>
          <w:rStyle w:val="bodytextchar2"/>
          <w:color w:val="000000"/>
        </w:rPr>
        <w:t>The Utility’s rates and charges were last set in a staff-assisted rate case in 2000</w:t>
      </w:r>
      <w:r w:rsidRPr="00F84B1E">
        <w:rPr>
          <w:rStyle w:val="FootnoteReference"/>
          <w:color w:val="000000"/>
          <w:vertAlign w:val="superscript"/>
        </w:rPr>
        <w:footnoteReference w:id="5"/>
      </w:r>
      <w:r>
        <w:rPr>
          <w:rStyle w:val="bodytextchar2"/>
          <w:color w:val="000000"/>
        </w:rPr>
        <w:t xml:space="preserve"> and have remained unchanged. Rule 25-9.044(1), F.A.C., provides that, in the case of a change of ownership or control of a utility, the rates, classifications, and regulations of the former owner must continue unl</w:t>
      </w:r>
      <w:r w:rsidR="0075347F">
        <w:rPr>
          <w:rStyle w:val="bodytextchar2"/>
          <w:color w:val="000000"/>
        </w:rPr>
        <w:t>ess authorized to change by the</w:t>
      </w:r>
      <w:r>
        <w:rPr>
          <w:rStyle w:val="bodytextchar2"/>
          <w:color w:val="000000"/>
        </w:rPr>
        <w:t xml:space="preserve"> Commission. As discussed in Issue 3, due to the level of net contribution in aid of construction (CIAC) to net plant, staff is recommending that the main extension charge for both water and wastewater be discontinued. Therefore, staff recommends that the Utility’s existing rates and charges, except the main extension charges, remain in effect until a change is </w:t>
      </w:r>
      <w:r>
        <w:rPr>
          <w:rStyle w:val="bodytextchar0"/>
          <w:color w:val="000000"/>
        </w:rPr>
        <w:t>authorized by this Commission</w:t>
      </w:r>
      <w:r>
        <w:rPr>
          <w:color w:val="000000"/>
        </w:rPr>
        <w:t xml:space="preserve"> and are shown on Schedule No. 4.</w:t>
      </w:r>
    </w:p>
    <w:p w:rsidR="00DB0B1F" w:rsidRPr="00C7462D" w:rsidRDefault="00DB0B1F" w:rsidP="00DB0B1F">
      <w:pPr>
        <w:autoSpaceDE w:val="0"/>
        <w:autoSpaceDN w:val="0"/>
        <w:adjustRightInd w:val="0"/>
        <w:jc w:val="both"/>
        <w:rPr>
          <w:rFonts w:ascii="Arial" w:eastAsia="Calibri" w:hAnsi="Arial" w:cs="Arial"/>
          <w:b/>
          <w:bCs/>
          <w:color w:val="000000"/>
        </w:rPr>
      </w:pPr>
      <w:r w:rsidRPr="00C7462D">
        <w:rPr>
          <w:rFonts w:ascii="Arial" w:eastAsia="Calibri" w:hAnsi="Arial" w:cs="Arial"/>
          <w:b/>
          <w:bCs/>
          <w:color w:val="000000"/>
        </w:rPr>
        <w:t>Regulatory Assessment Fees and Annual Reports</w:t>
      </w:r>
    </w:p>
    <w:p w:rsidR="003B61B3" w:rsidRDefault="00DB0B1F" w:rsidP="00DB0B1F">
      <w:pPr>
        <w:pStyle w:val="BodyText"/>
      </w:pPr>
      <w:r w:rsidRPr="00F84B1E">
        <w:t>Sta</w:t>
      </w:r>
      <w:r w:rsidR="00814873">
        <w:t>ff has verified that the Seller</w:t>
      </w:r>
      <w:r w:rsidRPr="00F84B1E">
        <w:t xml:space="preserve"> is current with respect to annual reports and RAFs through December 31, 2019. The Buyer will be responsible for filing annual reports and paying RAFs for 2020 and all future years.</w:t>
      </w:r>
    </w:p>
    <w:p w:rsidR="00C7462D" w:rsidRPr="00C7462D" w:rsidRDefault="00C7462D" w:rsidP="00C7462D">
      <w:pPr>
        <w:autoSpaceDE w:val="0"/>
        <w:autoSpaceDN w:val="0"/>
        <w:adjustRightInd w:val="0"/>
        <w:jc w:val="both"/>
        <w:rPr>
          <w:rFonts w:ascii="Arial" w:eastAsia="Calibri" w:hAnsi="Arial" w:cs="Arial"/>
          <w:b/>
          <w:bCs/>
          <w:color w:val="000000"/>
        </w:rPr>
      </w:pPr>
      <w:r w:rsidRPr="00C7462D">
        <w:rPr>
          <w:rFonts w:ascii="Arial" w:eastAsia="Calibri" w:hAnsi="Arial" w:cs="Arial"/>
          <w:b/>
          <w:bCs/>
          <w:color w:val="000000"/>
        </w:rPr>
        <w:t>Conclusion</w:t>
      </w:r>
    </w:p>
    <w:p w:rsidR="00DB0B1F" w:rsidRDefault="00C7462D" w:rsidP="00C7462D">
      <w:pPr>
        <w:pStyle w:val="BodyText"/>
      </w:pPr>
      <w:r w:rsidRPr="00F84B1E">
        <w:t>Based on the foregoing, staff recommends the transfer of the water and wastewater systems and Certificate Nos. 542-W and 470-S is in the public interest and should be approved effective the date of the Commission’s vote. The resultant order should serve as the Buyer’s certificate and should be retained by the Buyer.</w:t>
      </w:r>
      <w:r w:rsidR="00413984">
        <w:t xml:space="preserve"> The existing rates and charges</w:t>
      </w:r>
      <w:r w:rsidR="00413984">
        <w:rPr>
          <w:rStyle w:val="bodytextchar2"/>
          <w:color w:val="000000"/>
        </w:rPr>
        <w:t xml:space="preserve">, except the main extension charges, </w:t>
      </w:r>
      <w:r w:rsidRPr="00F84B1E">
        <w:t xml:space="preserve">should remain in effect until a change is authorized by the Commission in a subsequent proceeding. The tariffs reflecting the transfer should be effective for services rendered or </w:t>
      </w:r>
      <w:r w:rsidRPr="00F84B1E">
        <w:lastRenderedPageBreak/>
        <w:t>connections made on or after the stamped approval date on the tariffs, pursuant to Rule 25-30.475, F.A.C. The seller is current with respect to annual reports and RAFs through December 31, 2019. The Buyer will be responsible for filing annual reports and paying RAFs for 2020 and all future years</w:t>
      </w:r>
      <w:r>
        <w:t>.</w:t>
      </w:r>
    </w:p>
    <w:p w:rsidR="002D7E36" w:rsidRDefault="002D7E36">
      <w:pPr>
        <w:pStyle w:val="IssueHeading"/>
        <w:rPr>
          <w:vanish/>
          <w:specVanish/>
        </w:rPr>
      </w:pPr>
      <w:r w:rsidRPr="004C3641">
        <w:rPr>
          <w:b w:val="0"/>
          <w:i w:val="0"/>
        </w:rPr>
        <w:br w:type="page"/>
      </w:r>
      <w:r w:rsidRPr="004C3641">
        <w:lastRenderedPageBreak/>
        <w:t xml:space="preserve">Issue </w:t>
      </w:r>
      <w:fldSimple w:instr=" SEQ Issue \* MERGEFORMAT ">
        <w:r w:rsidR="00F5016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5016B">
        <w:rPr>
          <w:noProof/>
        </w:rPr>
        <w:instrText>2</w:instrText>
      </w:r>
      <w:r>
        <w:fldChar w:fldCharType="end"/>
      </w:r>
      <w:r>
        <w:tab/>
        <w:instrText xml:space="preserve">" \l 1 </w:instrText>
      </w:r>
      <w:r>
        <w:fldChar w:fldCharType="end"/>
      </w:r>
      <w:r>
        <w:t> </w:t>
      </w:r>
    </w:p>
    <w:p w:rsidR="002D7E36" w:rsidRDefault="002D7E36">
      <w:pPr>
        <w:pStyle w:val="BodyText"/>
      </w:pPr>
      <w:r>
        <w:t> </w:t>
      </w:r>
      <w:r w:rsidR="00472116" w:rsidRPr="00707EE4">
        <w:rPr>
          <w:color w:val="000000"/>
        </w:rPr>
        <w:t>What is the appropriate net boo</w:t>
      </w:r>
      <w:r w:rsidR="006F7B4B">
        <w:rPr>
          <w:color w:val="000000"/>
        </w:rPr>
        <w:t>k value for the SJR</w:t>
      </w:r>
      <w:r w:rsidR="00472116" w:rsidRPr="00707EE4">
        <w:rPr>
          <w:color w:val="000000"/>
        </w:rPr>
        <w:t xml:space="preserve"> Estates systems for transfer purposes and should an acquisition adjustment be approved?</w:t>
      </w:r>
    </w:p>
    <w:p w:rsidR="002D7E36" w:rsidRPr="004C3641" w:rsidRDefault="002D7E36">
      <w:pPr>
        <w:pStyle w:val="IssueSubsectionHeading"/>
        <w:rPr>
          <w:vanish/>
          <w:specVanish/>
        </w:rPr>
      </w:pPr>
      <w:r w:rsidRPr="004C3641">
        <w:t>Recommendation: </w:t>
      </w:r>
    </w:p>
    <w:p w:rsidR="002D7E36" w:rsidRDefault="002D7E36">
      <w:pPr>
        <w:pStyle w:val="BodyText"/>
      </w:pPr>
      <w:r>
        <w:t> </w:t>
      </w:r>
      <w:r w:rsidR="009A53F4" w:rsidRPr="00F84B1E">
        <w:t>The net book value (NBV) of the water and wastewater systems for trans</w:t>
      </w:r>
      <w:r w:rsidR="005633D1">
        <w:t>fer purposes is $1,079 and $7,66</w:t>
      </w:r>
      <w:r w:rsidR="009A53F4" w:rsidRPr="00F84B1E">
        <w:t xml:space="preserve">4, respectively, as of August 17, 2018. No positive acquisition adjustment should be included in rate base. Within 90 days of the date of the final order, </w:t>
      </w:r>
      <w:r w:rsidR="009A53F4">
        <w:t>SJR</w:t>
      </w:r>
      <w:r w:rsidR="009A53F4" w:rsidRPr="00F84B1E">
        <w:t xml:space="preserve"> Estates should be required to notify the Commission in writing that it has adjusted its books in accordance with the Commission’s decision. The adjustments should be reflected in </w:t>
      </w:r>
      <w:r w:rsidR="009A53F4">
        <w:t>SJR</w:t>
      </w:r>
      <w:r w:rsidR="009A53F4" w:rsidRPr="00F84B1E">
        <w:t xml:space="preserve"> Estate</w:t>
      </w:r>
      <w:r w:rsidR="009A53F4" w:rsidRPr="00B91410">
        <w:t>s’</w:t>
      </w:r>
      <w:r w:rsidR="009A53F4" w:rsidRPr="00F84B1E">
        <w:t xml:space="preserve"> 2020 </w:t>
      </w:r>
      <w:r w:rsidR="009A53F4" w:rsidRPr="00B91410">
        <w:t>Annual Report</w:t>
      </w:r>
      <w:r w:rsidR="009A53F4" w:rsidRPr="00F84B1E">
        <w:t xml:space="preserve"> when filed. (J. Blocker)</w:t>
      </w:r>
      <w:r w:rsidR="009A53F4">
        <w:t xml:space="preserve"> </w:t>
      </w:r>
      <w:r>
        <w:t xml:space="preserve"> </w:t>
      </w:r>
    </w:p>
    <w:p w:rsidR="002D7E36" w:rsidRPr="004C3641" w:rsidRDefault="002D7E36">
      <w:pPr>
        <w:pStyle w:val="IssueSubsectionHeading"/>
        <w:rPr>
          <w:vanish/>
          <w:specVanish/>
        </w:rPr>
      </w:pPr>
      <w:r w:rsidRPr="004C3641">
        <w:t>Staff Analysis: </w:t>
      </w:r>
    </w:p>
    <w:p w:rsidR="002D7E36" w:rsidRDefault="002D7E36">
      <w:pPr>
        <w:pStyle w:val="BodyText"/>
      </w:pPr>
      <w:r>
        <w:t> </w:t>
      </w:r>
      <w:r w:rsidR="00196A72" w:rsidRPr="00E33EE9">
        <w:t>Rate base was last established as of December 31, 2004, in Order No. PSC-2005-0431-PAA-WS. The purpose of establishing net book value for both the water and wastewater systems for transfers is to determine whether an acquisition adjustment should be approved. The NBV does not include normal ratemaking adjustments for non-used and useful plant and working capital. The NBV has been updated to reflect balances as of August 17, 2018. Staff’s recommended NBV, as described below, is shown on Schedule Nos. 1, 2 and 3</w:t>
      </w:r>
      <w:r w:rsidR="00F46C45">
        <w:t>, attached to the recommendation</w:t>
      </w:r>
      <w:r w:rsidR="00196A72" w:rsidRPr="00E33EE9">
        <w:t>.</w:t>
      </w:r>
    </w:p>
    <w:p w:rsidR="00196A72" w:rsidRPr="00196A72" w:rsidRDefault="00196A72" w:rsidP="00196A72">
      <w:pPr>
        <w:autoSpaceDE w:val="0"/>
        <w:autoSpaceDN w:val="0"/>
        <w:adjustRightInd w:val="0"/>
        <w:jc w:val="both"/>
        <w:rPr>
          <w:rFonts w:ascii="Arial" w:eastAsia="Calibri" w:hAnsi="Arial" w:cs="Arial"/>
          <w:color w:val="000000"/>
        </w:rPr>
      </w:pPr>
      <w:r>
        <w:rPr>
          <w:rFonts w:ascii="Arial" w:eastAsia="Calibri" w:hAnsi="Arial" w:cs="Arial"/>
          <w:b/>
          <w:bCs/>
          <w:color w:val="000000"/>
        </w:rPr>
        <w:t>Utility Plant in Service (UPIS)</w:t>
      </w:r>
    </w:p>
    <w:p w:rsidR="00196A72" w:rsidRDefault="00196A72" w:rsidP="00196A72">
      <w:pPr>
        <w:pStyle w:val="BodyText"/>
        <w:rPr>
          <w:rFonts w:eastAsia="Calibri"/>
          <w:color w:val="000000"/>
        </w:rPr>
      </w:pPr>
      <w:r w:rsidRPr="00F84B1E">
        <w:rPr>
          <w:rFonts w:eastAsia="Calibri"/>
          <w:color w:val="000000"/>
        </w:rPr>
        <w:t>The Utility’s general ledger reflected water and wastewater UPIS balances of $99,234 and $132,899, respectively, as of August 17, 2018. Audit staff reviewed UPIS additions since the last rate case proceeding and as a result of a lack of proper supporting invoices, has decreased UPIS for water by $14,204 and wastewater by $3,914. Therefore, staff recommends that the Utility’s water and wastewater UPIS balances as of August 17, 2018, should be $85,030 and $128,985, respectively.</w:t>
      </w:r>
    </w:p>
    <w:p w:rsidR="00000726" w:rsidRPr="00000726" w:rsidRDefault="00000726" w:rsidP="00000726">
      <w:pPr>
        <w:autoSpaceDE w:val="0"/>
        <w:autoSpaceDN w:val="0"/>
        <w:adjustRightInd w:val="0"/>
        <w:jc w:val="both"/>
        <w:rPr>
          <w:rFonts w:ascii="Arial" w:eastAsia="Calibri" w:hAnsi="Arial" w:cs="Arial"/>
          <w:color w:val="000000"/>
        </w:rPr>
      </w:pPr>
      <w:r>
        <w:rPr>
          <w:rFonts w:ascii="Arial" w:eastAsia="Calibri" w:hAnsi="Arial" w:cs="Arial"/>
          <w:b/>
          <w:bCs/>
          <w:color w:val="000000"/>
        </w:rPr>
        <w:t>Land</w:t>
      </w:r>
    </w:p>
    <w:p w:rsidR="00000726" w:rsidRDefault="00000726" w:rsidP="00000726">
      <w:pPr>
        <w:pStyle w:val="BodyText"/>
        <w:rPr>
          <w:rFonts w:eastAsia="Calibri"/>
          <w:color w:val="000000"/>
        </w:rPr>
      </w:pPr>
      <w:r w:rsidRPr="00F84B1E">
        <w:rPr>
          <w:rFonts w:eastAsia="Calibri"/>
          <w:color w:val="000000"/>
        </w:rPr>
        <w:t xml:space="preserve">According to the Utility’s general ledger, as of August 17, 2018, the water and wastewater land balances were $4,152 and $10,960, respectively. Water and wastewater land additions were noted in the general ledger for 2017 and 2018. </w:t>
      </w:r>
      <w:r w:rsidR="00252A89" w:rsidRPr="00D610AF">
        <w:rPr>
          <w:rFonts w:eastAsia="Calibri"/>
          <w:color w:val="000000"/>
        </w:rPr>
        <w:t xml:space="preserve">Upon </w:t>
      </w:r>
      <w:r w:rsidR="00252A89" w:rsidRPr="00AA3A37">
        <w:rPr>
          <w:rFonts w:eastAsia="Calibri"/>
          <w:color w:val="000000"/>
        </w:rPr>
        <w:t>discussion however, the Buyer stated that the Seller</w:t>
      </w:r>
      <w:r w:rsidRPr="00F84B1E">
        <w:rPr>
          <w:rFonts w:eastAsia="Calibri"/>
          <w:color w:val="000000"/>
        </w:rPr>
        <w:t xml:space="preserve"> did not have any additions during those periods and could not provide any supporting documentation. Audit staff determined that water land was overstated by $3,049, and wastewater land was overstated by $1,122. Therefore, staff recommends that the Utility’s water and wastewater land balances as of August 17, 2018, should be $1,103 and $9,838, respectively.</w:t>
      </w:r>
    </w:p>
    <w:p w:rsidR="0070212F" w:rsidRPr="0070212F" w:rsidRDefault="0070212F" w:rsidP="0070212F">
      <w:pPr>
        <w:autoSpaceDE w:val="0"/>
        <w:autoSpaceDN w:val="0"/>
        <w:adjustRightInd w:val="0"/>
        <w:jc w:val="both"/>
        <w:rPr>
          <w:rFonts w:ascii="Arial" w:eastAsia="Calibri" w:hAnsi="Arial" w:cs="Arial"/>
          <w:color w:val="000000"/>
        </w:rPr>
      </w:pPr>
      <w:r w:rsidRPr="0070212F">
        <w:rPr>
          <w:rFonts w:ascii="Arial" w:eastAsia="Calibri" w:hAnsi="Arial" w:cs="Arial"/>
          <w:b/>
          <w:bCs/>
          <w:color w:val="000000"/>
        </w:rPr>
        <w:t xml:space="preserve">Accumulated Depreciation </w:t>
      </w:r>
    </w:p>
    <w:p w:rsidR="00000726" w:rsidRDefault="0070212F" w:rsidP="0070212F">
      <w:pPr>
        <w:pStyle w:val="BodyText"/>
        <w:rPr>
          <w:rFonts w:eastAsia="Calibri"/>
          <w:color w:val="000000"/>
        </w:rPr>
      </w:pPr>
      <w:r w:rsidRPr="00F84B1E">
        <w:rPr>
          <w:rFonts w:eastAsia="Calibri"/>
          <w:color w:val="000000"/>
        </w:rPr>
        <w:t>The Utility’s general ledger reflected an accumulated depreciation balance of $83,867 for water and $126,343 for wastewater as of August 17, 2018. Audit staff calculated water and wastewater accumulated depreciation using the rates from Rule 25-30.140, F.A.C.</w:t>
      </w:r>
      <w:r>
        <w:rPr>
          <w:rFonts w:eastAsia="Calibri"/>
          <w:color w:val="000000"/>
        </w:rPr>
        <w:t>,</w:t>
      </w:r>
      <w:r w:rsidRPr="00F84B1E">
        <w:rPr>
          <w:rFonts w:eastAsia="Calibri"/>
          <w:color w:val="000000"/>
        </w:rPr>
        <w:t xml:space="preserve"> and the audited plant additions and retirements as of August 17, 2018. Based on this calculation, water and wastewater accumulated depreciation is overstated by $3,189 and $831, respectively. As such, staff recommends that the Utility’s accumulated depreciation balances should be $80,678 for water and $125,512 for wastewater, as of August 17, 2018.</w:t>
      </w:r>
    </w:p>
    <w:p w:rsidR="008339A3" w:rsidRDefault="008339A3" w:rsidP="0070212F">
      <w:pPr>
        <w:pStyle w:val="BodyText"/>
        <w:rPr>
          <w:rFonts w:eastAsia="Calibri"/>
          <w:color w:val="000000"/>
        </w:rPr>
      </w:pPr>
    </w:p>
    <w:p w:rsidR="008339A3" w:rsidRDefault="008339A3" w:rsidP="0070212F">
      <w:pPr>
        <w:autoSpaceDE w:val="0"/>
        <w:autoSpaceDN w:val="0"/>
        <w:adjustRightInd w:val="0"/>
        <w:jc w:val="both"/>
        <w:rPr>
          <w:rFonts w:ascii="Arial" w:eastAsia="Calibri" w:hAnsi="Arial" w:cs="Arial"/>
          <w:b/>
          <w:bCs/>
          <w:color w:val="000000"/>
        </w:rPr>
        <w:sectPr w:rsidR="008339A3" w:rsidSect="0068481F">
          <w:pgSz w:w="12240" w:h="15840" w:code="1"/>
          <w:pgMar w:top="1584" w:right="1440" w:bottom="1440" w:left="1440" w:header="720" w:footer="720" w:gutter="0"/>
          <w:cols w:space="720"/>
          <w:formProt w:val="0"/>
          <w:docGrid w:linePitch="360"/>
        </w:sectPr>
      </w:pPr>
    </w:p>
    <w:p w:rsidR="0070212F" w:rsidRPr="0070212F" w:rsidRDefault="0070212F" w:rsidP="0070212F">
      <w:pPr>
        <w:autoSpaceDE w:val="0"/>
        <w:autoSpaceDN w:val="0"/>
        <w:adjustRightInd w:val="0"/>
        <w:jc w:val="both"/>
        <w:rPr>
          <w:rFonts w:ascii="Arial" w:eastAsia="Calibri" w:hAnsi="Arial" w:cs="Arial"/>
          <w:color w:val="000000"/>
        </w:rPr>
      </w:pPr>
      <w:r w:rsidRPr="0070212F">
        <w:rPr>
          <w:rFonts w:ascii="Arial" w:eastAsia="Calibri" w:hAnsi="Arial" w:cs="Arial"/>
          <w:b/>
          <w:bCs/>
          <w:color w:val="000000"/>
        </w:rPr>
        <w:lastRenderedPageBreak/>
        <w:t xml:space="preserve">Contributions-in-Aid-of-Construction (CIAC) and Accumulated Amortization of CIAC </w:t>
      </w:r>
    </w:p>
    <w:p w:rsidR="0070212F" w:rsidRDefault="0070212F" w:rsidP="0070212F">
      <w:pPr>
        <w:pStyle w:val="BodyText"/>
        <w:rPr>
          <w:rFonts w:eastAsia="Calibri"/>
          <w:color w:val="000000"/>
        </w:rPr>
      </w:pPr>
      <w:r w:rsidRPr="00F84B1E">
        <w:rPr>
          <w:rFonts w:eastAsia="Calibri"/>
          <w:color w:val="000000"/>
        </w:rPr>
        <w:t>As of August 17, 2018, the Utility’s general ledger reflected CIAC balances of $31,205 and $34,285 for the water and wastewater, respectively. Staff reviewed the CIAC balances and has no adjustments. As of August 17, 2018, the Utility’s general ledger reflected accumulated amortization of CIAC balances of $27,520 and $29,024 for water and wastewater, respectively. Staff recalculated accumulated amortization of CIAC balances based on the approved rate from Order No. PSC-2005-0431-PAA-WS. Based on staff’s recalculation, water and wastewater accumulated amortization of CIAC was overstated by $691 and $386, respectively. Therefore, staff recommends CIAC balances of $31,205 for water and $34,285 for wastewater, and accumulated amortization of CIAC balances of $26,829 for water and $28,638 for wastewater, as of August 17, 2018.</w:t>
      </w:r>
    </w:p>
    <w:p w:rsidR="00EA7539" w:rsidRPr="00EA7539" w:rsidRDefault="00EA7539" w:rsidP="00EA7539">
      <w:pPr>
        <w:autoSpaceDE w:val="0"/>
        <w:autoSpaceDN w:val="0"/>
        <w:adjustRightInd w:val="0"/>
        <w:jc w:val="both"/>
        <w:rPr>
          <w:rFonts w:ascii="Arial" w:eastAsia="Calibri" w:hAnsi="Arial" w:cs="Arial"/>
          <w:color w:val="000000"/>
        </w:rPr>
      </w:pPr>
      <w:r>
        <w:rPr>
          <w:rFonts w:ascii="Arial" w:eastAsia="Calibri" w:hAnsi="Arial" w:cs="Arial"/>
          <w:b/>
          <w:bCs/>
          <w:color w:val="000000"/>
        </w:rPr>
        <w:t>Net Book Value</w:t>
      </w:r>
    </w:p>
    <w:p w:rsidR="00EA7539" w:rsidRDefault="00EA7539" w:rsidP="00EA7539">
      <w:pPr>
        <w:pStyle w:val="BodyText"/>
        <w:rPr>
          <w:rFonts w:eastAsia="Calibri"/>
          <w:color w:val="000000"/>
        </w:rPr>
      </w:pPr>
      <w:r w:rsidRPr="00F84B1E">
        <w:rPr>
          <w:rFonts w:eastAsia="Calibri"/>
          <w:color w:val="000000"/>
        </w:rPr>
        <w:t>The Utility reflected a NBV for water of $15,834 and a NBV for wastewater of $12,255. Based on the adjustments above, staff recommends a NBV $1,079 for water and a NBV of $7,664 for wastewater, for a total NBV of $8,743.</w:t>
      </w:r>
    </w:p>
    <w:p w:rsidR="00EA7539" w:rsidRPr="00EA7539" w:rsidRDefault="00EA7539" w:rsidP="00EA7539">
      <w:pPr>
        <w:autoSpaceDE w:val="0"/>
        <w:autoSpaceDN w:val="0"/>
        <w:adjustRightInd w:val="0"/>
        <w:jc w:val="both"/>
        <w:rPr>
          <w:rFonts w:ascii="Arial" w:eastAsia="Calibri" w:hAnsi="Arial" w:cs="Arial"/>
          <w:color w:val="000000"/>
        </w:rPr>
      </w:pPr>
      <w:r>
        <w:rPr>
          <w:rFonts w:ascii="Arial" w:eastAsia="Calibri" w:hAnsi="Arial" w:cs="Arial"/>
          <w:b/>
          <w:bCs/>
          <w:color w:val="000000"/>
        </w:rPr>
        <w:t>Acquisition Adjustment</w:t>
      </w:r>
    </w:p>
    <w:p w:rsidR="00EA7539" w:rsidRDefault="00EA7539" w:rsidP="00EA7539">
      <w:pPr>
        <w:pStyle w:val="BodyText"/>
        <w:rPr>
          <w:rFonts w:eastAsia="Calibri"/>
          <w:color w:val="000000"/>
        </w:rPr>
      </w:pPr>
      <w:r w:rsidRPr="00F84B1E">
        <w:rPr>
          <w:rFonts w:eastAsia="Calibri"/>
          <w:color w:val="000000"/>
        </w:rPr>
        <w:t>An acquisition adjustment results when the purchase price differs from the NBV of the assets at the time of the acquisition. The Utility and its assets were purchased for $10,000. As stated above, staff recommends the appropriate total NBV to be $8,743. Pursuant to Rule 25-30.0371, F.A.C., a positive acquisition adjustment may be appropriate when the purchase price is greater than the NBV, and a negative acquisition adjustment may be appropriate when the purchase price is less than NBV. However, pursuant to Rule 25-30.0371(2), F.A.C., a positive acquisition adjustment shall not be included in rate base unless there is proof of extraordinary circumstances. The Buyer did not request a positive acquisition adjustment. As such, staff recommends that no positive acquisition adjustment be approved.</w:t>
      </w:r>
    </w:p>
    <w:p w:rsidR="00C129A2" w:rsidRPr="00C129A2" w:rsidRDefault="00C129A2" w:rsidP="00C129A2">
      <w:pPr>
        <w:autoSpaceDE w:val="0"/>
        <w:autoSpaceDN w:val="0"/>
        <w:adjustRightInd w:val="0"/>
        <w:jc w:val="both"/>
        <w:rPr>
          <w:rFonts w:ascii="Arial" w:eastAsia="Calibri" w:hAnsi="Arial" w:cs="Arial"/>
          <w:color w:val="000000"/>
        </w:rPr>
      </w:pPr>
      <w:r w:rsidRPr="00C129A2">
        <w:rPr>
          <w:rFonts w:ascii="Arial" w:eastAsia="Calibri" w:hAnsi="Arial" w:cs="Arial"/>
          <w:b/>
          <w:bCs/>
          <w:color w:val="000000"/>
        </w:rPr>
        <w:t xml:space="preserve">Conclusion </w:t>
      </w:r>
    </w:p>
    <w:p w:rsidR="00C129A2" w:rsidRDefault="00C129A2" w:rsidP="00C129A2">
      <w:pPr>
        <w:pStyle w:val="BodyText"/>
      </w:pPr>
      <w:r w:rsidRPr="00E33EE9">
        <w:rPr>
          <w:rFonts w:eastAsia="Calibri"/>
        </w:rPr>
        <w:t>Based on the above, staff recommends that the NBV of</w:t>
      </w:r>
      <w:r w:rsidR="00234015">
        <w:rPr>
          <w:rFonts w:eastAsia="Calibri"/>
        </w:rPr>
        <w:t xml:space="preserve"> the Utility</w:t>
      </w:r>
      <w:r w:rsidRPr="00E33EE9">
        <w:rPr>
          <w:rFonts w:eastAsia="Calibri"/>
        </w:rPr>
        <w:t xml:space="preserve">, for transfer purposes, is $8,743 ($1,079 + $7,664), as of August 17, 2018. No positive acquisition adjustment should be included in rate base. Within 90 days of the date of the </w:t>
      </w:r>
      <w:r w:rsidR="00C04F29" w:rsidRPr="00C04F29">
        <w:rPr>
          <w:rFonts w:eastAsia="Calibri"/>
        </w:rPr>
        <w:t>final o</w:t>
      </w:r>
      <w:r w:rsidRPr="00C04F29">
        <w:rPr>
          <w:rFonts w:eastAsia="Calibri"/>
        </w:rPr>
        <w:t>rder</w:t>
      </w:r>
      <w:r w:rsidRPr="00E33EE9">
        <w:rPr>
          <w:rFonts w:eastAsia="Calibri"/>
        </w:rPr>
        <w:t xml:space="preserve">, the Buyer should be required to notify the Commission in writing that it has adjusted its books in accordance with the Commission’s decision. The adjustments should be reflected in </w:t>
      </w:r>
      <w:r>
        <w:rPr>
          <w:rFonts w:eastAsia="Calibri"/>
        </w:rPr>
        <w:t>SJR</w:t>
      </w:r>
      <w:r w:rsidRPr="00E33EE9">
        <w:rPr>
          <w:rFonts w:eastAsia="Calibri"/>
        </w:rPr>
        <w:t xml:space="preserve"> Estates’ </w:t>
      </w:r>
      <w:r w:rsidRPr="00C04F29">
        <w:rPr>
          <w:rFonts w:eastAsia="Calibri"/>
        </w:rPr>
        <w:t>2020 Annual Report.</w:t>
      </w:r>
    </w:p>
    <w:p w:rsidR="00F5016B" w:rsidRDefault="00F5016B">
      <w:pPr>
        <w:pStyle w:val="IssueHeading"/>
        <w:rPr>
          <w:vanish/>
          <w:specVanish/>
        </w:rPr>
      </w:pPr>
      <w:r w:rsidRPr="004C3641">
        <w:rPr>
          <w:b w:val="0"/>
          <w:i w:val="0"/>
        </w:rPr>
        <w:br w:type="page"/>
      </w:r>
      <w:r w:rsidRPr="004C3641">
        <w:lastRenderedPageBreak/>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F5016B" w:rsidRDefault="00F5016B">
      <w:pPr>
        <w:pStyle w:val="BodyText"/>
      </w:pPr>
      <w:r>
        <w:t> Should the Utility’s main extension charge be discontinued?</w:t>
      </w:r>
    </w:p>
    <w:p w:rsidR="00F5016B" w:rsidRPr="004C3641" w:rsidRDefault="00F5016B">
      <w:pPr>
        <w:pStyle w:val="IssueSubsectionHeading"/>
        <w:rPr>
          <w:vanish/>
          <w:specVanish/>
        </w:rPr>
      </w:pPr>
      <w:r w:rsidRPr="004C3641">
        <w:t>Recommendation: </w:t>
      </w:r>
    </w:p>
    <w:p w:rsidR="00F5016B" w:rsidRDefault="00F5016B">
      <w:pPr>
        <w:pStyle w:val="BodyText"/>
      </w:pPr>
      <w:r>
        <w:t> Yes. The Utility’s main extension charge should be discontinued for the water and wastewater systems. SJR</w:t>
      </w:r>
      <w:r w:rsidRPr="00F84B1E">
        <w:t xml:space="preserve"> Estates</w:t>
      </w:r>
      <w:r>
        <w:rPr>
          <w:rStyle w:val="BodyTextChar"/>
        </w:rPr>
        <w:t xml:space="preserve"> should provide notice to customers who have requested service within 12 calendar months prior to the month the application was filed to the present. The Utility should file revised tariffs reflecting the discontinuance of the main extension charges. The revised tariffs should be effective for connections made on or after the stamped approval date on the tariff sheets. The Utility should provide proof of the date notice was given within 10 days of the date of the notice.</w:t>
      </w:r>
      <w:r>
        <w:t xml:space="preserve"> (Hudson) </w:t>
      </w:r>
    </w:p>
    <w:p w:rsidR="00F5016B" w:rsidRPr="004C3641" w:rsidRDefault="00F5016B">
      <w:pPr>
        <w:pStyle w:val="IssueSubsectionHeading"/>
        <w:rPr>
          <w:vanish/>
          <w:specVanish/>
        </w:rPr>
      </w:pPr>
      <w:r w:rsidRPr="004C3641">
        <w:t>Staff Analysis: </w:t>
      </w:r>
    </w:p>
    <w:p w:rsidR="0076596D" w:rsidRDefault="00F5016B" w:rsidP="0076596D">
      <w:pPr>
        <w:pStyle w:val="BodyText"/>
      </w:pPr>
      <w:r>
        <w:t> </w:t>
      </w:r>
      <w:r w:rsidR="0076596D">
        <w:t>The Utility’s existing service availability charges include main extension charges of $545 for water and $935 for wastewater. A main extension charge allows the Utility to recover a portion of the cost of the Utility’s distribution and collection lines from future customers. Currently, the Utility is not built out and can accommodate approximately 20 additional connections.</w:t>
      </w:r>
    </w:p>
    <w:p w:rsidR="0076596D" w:rsidRDefault="0076596D" w:rsidP="0076596D">
      <w:pPr>
        <w:pStyle w:val="BodyText"/>
      </w:pPr>
      <w:r>
        <w:t xml:space="preserve">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and wastewater collection systems. The maximum guideline is designed to ensure that the Utility retains an investment in the system. </w:t>
      </w:r>
    </w:p>
    <w:p w:rsidR="0076596D" w:rsidRDefault="0076596D" w:rsidP="0076596D">
      <w:pPr>
        <w:pStyle w:val="BodyText"/>
      </w:pPr>
      <w:r>
        <w:t>Staff’s recommended net book values yield contribution levels of 100 percent for water and 163 percent for wastewater. As a result, because the Utility has fully recovered the cost of the Utility’s distribution and collection lines and the contribution levels exceed the maximum guideline in Rule 25-30.580, F.A.C., staff recommends that the Utility’s main extension charge should be discontinued for the water and wastewater systems.</w:t>
      </w:r>
    </w:p>
    <w:p w:rsidR="00F5016B" w:rsidRDefault="0076596D" w:rsidP="0076596D">
      <w:pPr>
        <w:pStyle w:val="BodyText"/>
      </w:pPr>
      <w:r>
        <w:t>Based on the above, the Utility’s main extension charge should be discontinued for the water and wastewater systems. SJR</w:t>
      </w:r>
      <w:r w:rsidRPr="00F84B1E">
        <w:t xml:space="preserve"> Estates</w:t>
      </w:r>
      <w:r>
        <w:rPr>
          <w:rStyle w:val="BodyTextChar"/>
        </w:rPr>
        <w:t xml:space="preserve"> should provide notice to customers who have requested service within 12 calendar months prior to the month the application was filed to the present. The Utility should file revised tariffs reflecting the discontinuance of the main extension charges. The revised tariff should be effective for connections made on or after the stamped approval date on the tariff sheets. The Utility should provide proof of the date notice was given within 10 days of the date of the notice.</w:t>
      </w:r>
    </w:p>
    <w:p w:rsidR="002D7E36" w:rsidRDefault="002D7E36">
      <w:pPr>
        <w:pStyle w:val="IssueHeading"/>
        <w:rPr>
          <w:vanish/>
          <w:specVanish/>
        </w:rPr>
      </w:pPr>
      <w:r w:rsidRPr="004C3641">
        <w:rPr>
          <w:b w:val="0"/>
          <w:i w:val="0"/>
        </w:rPr>
        <w:br w:type="page"/>
      </w:r>
      <w:r w:rsidRPr="004C3641">
        <w:lastRenderedPageBreak/>
        <w:t xml:space="preserve">Issue </w:t>
      </w:r>
      <w:fldSimple w:instr=" SEQ Issue \* MERGEFORMAT ">
        <w:r w:rsidR="00F5016B">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F5016B">
        <w:rPr>
          <w:noProof/>
        </w:rPr>
        <w:instrText>4</w:instrText>
      </w:r>
      <w:r>
        <w:fldChar w:fldCharType="end"/>
      </w:r>
      <w:r>
        <w:tab/>
        <w:instrText xml:space="preserve">" \l 1 </w:instrText>
      </w:r>
      <w:r>
        <w:fldChar w:fldCharType="end"/>
      </w:r>
      <w:r>
        <w:t> </w:t>
      </w:r>
    </w:p>
    <w:p w:rsidR="002D7E36" w:rsidRDefault="002D7E36">
      <w:pPr>
        <w:pStyle w:val="BodyText"/>
      </w:pPr>
      <w:r>
        <w:t> Should this docket be closed?</w:t>
      </w:r>
    </w:p>
    <w:p w:rsidR="002D7E36" w:rsidRPr="004C3641" w:rsidRDefault="002D7E36">
      <w:pPr>
        <w:pStyle w:val="IssueSubsectionHeading"/>
        <w:rPr>
          <w:vanish/>
          <w:specVanish/>
        </w:rPr>
      </w:pPr>
      <w:r w:rsidRPr="004C3641">
        <w:t>Recommendation: </w:t>
      </w:r>
    </w:p>
    <w:p w:rsidR="002D7E36" w:rsidRDefault="002D7E36">
      <w:pPr>
        <w:pStyle w:val="BodyText"/>
      </w:pPr>
      <w:r>
        <w:t> </w:t>
      </w:r>
      <w:r w:rsidR="00AD76A5">
        <w:rPr>
          <w:color w:val="000000"/>
        </w:rPr>
        <w:t xml:space="preserve">Yes. </w:t>
      </w:r>
      <w:r w:rsidR="00AD76A5">
        <w:t>If no protest to the proposed agency action is filed by a substantially affected person within 21 days of the date of the issuance of the order, a consummating order should be issued and the docket should be closed administratively upon Commission staff’s verification that the Buyer has notified the Commission in writing that it has adjusted its books in accordance with the Commission’s decision</w:t>
      </w:r>
      <w:r w:rsidR="003E513D">
        <w:rPr>
          <w:color w:val="000000"/>
        </w:rPr>
        <w:t>. (Stiller)</w:t>
      </w:r>
    </w:p>
    <w:p w:rsidR="002D7E36" w:rsidRPr="004C3641" w:rsidRDefault="002D7E36">
      <w:pPr>
        <w:pStyle w:val="IssueSubsectionHeading"/>
        <w:rPr>
          <w:vanish/>
          <w:specVanish/>
        </w:rPr>
      </w:pPr>
      <w:r w:rsidRPr="004C3641">
        <w:t>Staff Analysis: </w:t>
      </w:r>
    </w:p>
    <w:p w:rsidR="002D7E36" w:rsidRDefault="002D7E36">
      <w:pPr>
        <w:pStyle w:val="BodyText"/>
        <w:rPr>
          <w:color w:val="000000"/>
        </w:rPr>
      </w:pPr>
      <w:r>
        <w:t> </w:t>
      </w:r>
      <w:r w:rsidR="00AD76A5">
        <w:t>If no protest to the proposed agency action is filed by a substantially affected person within 21 days of the date of the issuance of the order, a consummating order should be issued and the docket should be closed administratively upon Commission staff’s verification that the Buyer has notified the Commission in writing that it has adjusted its books in accordance with the Commission’s decision</w:t>
      </w:r>
      <w:r w:rsidR="00AD76A5">
        <w:rPr>
          <w:color w:val="000000"/>
        </w:rPr>
        <w:t>.</w:t>
      </w:r>
    </w:p>
    <w:p w:rsidR="00AD76A5" w:rsidRDefault="00AD76A5">
      <w:pPr>
        <w:pStyle w:val="BodyText"/>
        <w:rPr>
          <w:color w:val="000000"/>
        </w:rPr>
      </w:pPr>
    </w:p>
    <w:p w:rsidR="00AD76A5" w:rsidRDefault="00AD76A5">
      <w:pPr>
        <w:pStyle w:val="BodyText"/>
      </w:pPr>
    </w:p>
    <w:p w:rsidR="0030179A" w:rsidRDefault="0030179A" w:rsidP="00E275D8">
      <w:pPr>
        <w:pStyle w:val="BodyText"/>
        <w:sectPr w:rsidR="0030179A" w:rsidSect="0068481F">
          <w:pgSz w:w="12240" w:h="15840" w:code="1"/>
          <w:pgMar w:top="1584" w:right="1440" w:bottom="1440" w:left="1440" w:header="720" w:footer="720" w:gutter="0"/>
          <w:cols w:space="720"/>
          <w:formProt w:val="0"/>
          <w:docGrid w:linePitch="360"/>
        </w:sectPr>
      </w:pPr>
    </w:p>
    <w:p w:rsidR="00900A7C" w:rsidRDefault="00900A7C" w:rsidP="00900A7C">
      <w:pPr>
        <w:pStyle w:val="BodyText"/>
        <w:tabs>
          <w:tab w:val="left" w:pos="1785"/>
        </w:tabs>
      </w:pPr>
    </w:p>
    <w:p w:rsidR="00900A7C" w:rsidRDefault="00900A7C" w:rsidP="004430B0">
      <w:pPr>
        <w:rPr>
          <w:b/>
          <w:u w:val="single"/>
        </w:rPr>
      </w:pPr>
    </w:p>
    <w:p w:rsidR="004430B0" w:rsidRPr="004430B0" w:rsidRDefault="004430B0" w:rsidP="00900A7C">
      <w:pPr>
        <w:jc w:val="center"/>
        <w:rPr>
          <w:b/>
          <w:u w:val="single"/>
        </w:rPr>
      </w:pPr>
      <w:r w:rsidRPr="004430B0">
        <w:rPr>
          <w:b/>
          <w:u w:val="single"/>
        </w:rPr>
        <w:t>ST. JOHNS RIVER ESTATES UTILITIES, LLC</w:t>
      </w:r>
    </w:p>
    <w:p w:rsidR="00900A7C" w:rsidRDefault="00900A7C" w:rsidP="00900A7C">
      <w:pPr>
        <w:jc w:val="center"/>
        <w:rPr>
          <w:b/>
          <w:u w:val="single"/>
        </w:rPr>
      </w:pPr>
    </w:p>
    <w:p w:rsidR="00900A7C" w:rsidRDefault="00900A7C" w:rsidP="00900A7C">
      <w:pPr>
        <w:jc w:val="center"/>
        <w:rPr>
          <w:b/>
          <w:u w:val="single"/>
        </w:rPr>
      </w:pPr>
      <w:r w:rsidRPr="005673EF">
        <w:rPr>
          <w:b/>
          <w:u w:val="single"/>
        </w:rPr>
        <w:t>DESCRIPTION OF TERRITORY SERVED</w:t>
      </w:r>
    </w:p>
    <w:p w:rsidR="00900A7C" w:rsidRDefault="00900A7C" w:rsidP="00900A7C">
      <w:pPr>
        <w:jc w:val="center"/>
        <w:rPr>
          <w:u w:val="single"/>
        </w:rPr>
      </w:pPr>
    </w:p>
    <w:p w:rsidR="00900A7C" w:rsidRDefault="00900A7C" w:rsidP="00900A7C">
      <w:pPr>
        <w:jc w:val="center"/>
        <w:rPr>
          <w:u w:val="single"/>
        </w:rPr>
      </w:pPr>
    </w:p>
    <w:p w:rsidR="00900A7C" w:rsidRDefault="00900A7C" w:rsidP="00B20AD9">
      <w:pPr>
        <w:tabs>
          <w:tab w:val="left" w:pos="1785"/>
        </w:tabs>
        <w:jc w:val="both"/>
      </w:pPr>
      <w:r w:rsidRPr="00D21F7D">
        <w:t xml:space="preserve">A part of Sections 33 and 34, Township 10 </w:t>
      </w:r>
      <w:r>
        <w:t>S</w:t>
      </w:r>
      <w:r w:rsidRPr="00D21F7D">
        <w:t xml:space="preserve">outh, Range 26 East and a part of Section 39, Township 10 South, Range 26 East and part of Section 39, Township 11 South, Range 26 East, Putnam County, Florida, being more particularly described as follows:  For a point of reference commence at the point of intersection of the northerly line of said Section 39, Township 10 South, Range 26 East, said point being 100.00 feet easterly of as measured at right angles to the center line of the CSX Transportation </w:t>
      </w:r>
      <w:r>
        <w:t>right-of-way</w:t>
      </w:r>
      <w:r w:rsidRPr="00D21F7D">
        <w:t xml:space="preserve"> as now established; thence S 28˚27'00" E, a distance of 1226.87 feet to the northeasterly </w:t>
      </w:r>
      <w:r>
        <w:t>right-of-way</w:t>
      </w:r>
      <w:r w:rsidRPr="00D21F7D">
        <w:t xml:space="preserve"> of County Road 309-B as now established to the POINT OF BEGINNING; thence northwesterly along said northeasterly </w:t>
      </w:r>
      <w:r>
        <w:t>right-of-way</w:t>
      </w:r>
      <w:r w:rsidRPr="00D21F7D">
        <w:t xml:space="preserve"> line, along the arc of a curve concave northeasterly and have a radius of 1860.08 feet, a chord bearing of N 53˚28'26" W and a chord distance of 118.36 feet; thence N 28˚27'00" W, a distance of 1281.54 feet; thence N 61˚33'00" E, a distance of 50.00 feet; thence N 28˚27'00" W, along the easterly </w:t>
      </w:r>
      <w:r>
        <w:t>right-of-way</w:t>
      </w:r>
      <w:r w:rsidRPr="00D21F7D">
        <w:t xml:space="preserve"> line of the CSX Transportation right-of-way, said right-of-way line being 100.00 feet easterly of as measured at right angles to said center line as now established, a distance of 1404.97 feet; thence N 73˚28'46" E, a distance of 478.55 feet; thence</w:t>
      </w:r>
      <w:r>
        <w:t xml:space="preserve"> </w:t>
      </w:r>
      <w:r w:rsidRPr="00D21F7D">
        <w:t xml:space="preserve"> N </w:t>
      </w:r>
      <w:r>
        <w:t>01˚09'00" W, a distance of 210.00 feet; thence N 88˚51'00" E, a distance of 210.00 feet; thence N 01˚09'00" W, a distance of 600 feet more or less to the waters of Murphy Creek; thence southeasterly along said waters of Murphy Creek a distance of approximately 4700 feet to the easterly line of Section 39, Township 10 South, Range 26 East; thence S 26˚14'14" E, along said easterly line of said Section 39, Township 10 South, Range 26 East and the easterly line of said Section 39, Township 11 South, Range 26 East, a distance of 1447 feet more or less; thence S 74˚31'16" W a distance of 1674.27 feet, to the northeasterly right-of-way line of County Road 309-B as now established; thence N 59˚08'00" W along said northeasterly right-of-way line a distance of 203.67 feet; thence northwesterly along the northeasterly right-of-way line, along the arc of a curve concave northeasterly and having a radius of 1860.08 feet, a chord bearing of  N 57˚11'47" W and a chord distance of 125.6 feet to the POINT OF BEGINNING.</w:t>
      </w:r>
    </w:p>
    <w:p w:rsidR="00101E12" w:rsidRDefault="00101E12" w:rsidP="00B20AD9">
      <w:pPr>
        <w:tabs>
          <w:tab w:val="left" w:pos="1785"/>
        </w:tabs>
        <w:jc w:val="both"/>
      </w:pPr>
    </w:p>
    <w:p w:rsidR="00101E12" w:rsidRDefault="00101E12" w:rsidP="00B20AD9">
      <w:pPr>
        <w:tabs>
          <w:tab w:val="left" w:pos="1785"/>
        </w:tabs>
        <w:jc w:val="both"/>
      </w:pPr>
    </w:p>
    <w:p w:rsidR="00AA1E75" w:rsidRPr="00900A7C" w:rsidRDefault="00AA1E75" w:rsidP="00900A7C">
      <w:pPr>
        <w:tabs>
          <w:tab w:val="left" w:pos="1785"/>
        </w:tabs>
        <w:sectPr w:rsidR="00AA1E75" w:rsidRPr="00900A7C" w:rsidSect="0068481F">
          <w:headerReference w:type="default" r:id="rId13"/>
          <w:pgSz w:w="12240" w:h="15840" w:code="1"/>
          <w:pgMar w:top="1584" w:right="1440" w:bottom="1440" w:left="1440" w:header="720" w:footer="720" w:gutter="0"/>
          <w:cols w:space="720"/>
          <w:formProt w:val="0"/>
          <w:docGrid w:linePitch="360"/>
        </w:sectPr>
      </w:pPr>
    </w:p>
    <w:p w:rsidR="00900A7C" w:rsidRDefault="00900A7C" w:rsidP="00900A7C">
      <w:pPr>
        <w:pStyle w:val="BodyText"/>
        <w:jc w:val="center"/>
        <w:rPr>
          <w:b/>
        </w:rPr>
      </w:pPr>
      <w:smartTag w:uri="urn:schemas-microsoft-com:office:smarttags" w:element="State">
        <w:smartTag w:uri="urn:schemas-microsoft-com:office:smarttags" w:element="place">
          <w:r w:rsidRPr="00957CBA">
            <w:rPr>
              <w:b/>
            </w:rPr>
            <w:lastRenderedPageBreak/>
            <w:t>FLORIDA</w:t>
          </w:r>
        </w:smartTag>
      </w:smartTag>
      <w:r w:rsidRPr="00957CBA">
        <w:rPr>
          <w:b/>
        </w:rPr>
        <w:t xml:space="preserve"> PUBLI</w:t>
      </w:r>
      <w:r>
        <w:rPr>
          <w:b/>
        </w:rPr>
        <w:t>C</w:t>
      </w:r>
      <w:r w:rsidRPr="00957CBA">
        <w:rPr>
          <w:b/>
        </w:rPr>
        <w:t xml:space="preserve"> SERVICE COMMISSION</w:t>
      </w:r>
    </w:p>
    <w:p w:rsidR="00900A7C" w:rsidRDefault="00900A7C" w:rsidP="00900A7C">
      <w:pPr>
        <w:pStyle w:val="BodyText"/>
        <w:spacing w:after="0"/>
        <w:jc w:val="center"/>
      </w:pPr>
      <w:r>
        <w:t>Authorizes</w:t>
      </w:r>
    </w:p>
    <w:p w:rsidR="00900A7C" w:rsidRDefault="00900A7C" w:rsidP="00900A7C">
      <w:pPr>
        <w:pStyle w:val="BodyText"/>
        <w:spacing w:after="0"/>
        <w:jc w:val="center"/>
      </w:pPr>
    </w:p>
    <w:p w:rsidR="00900A7C" w:rsidRPr="00B53EE9" w:rsidRDefault="00BB5CCA" w:rsidP="00900A7C">
      <w:pPr>
        <w:pStyle w:val="BodyText"/>
        <w:spacing w:after="0"/>
        <w:jc w:val="center"/>
        <w:rPr>
          <w:b/>
        </w:rPr>
      </w:pPr>
      <w:r w:rsidRPr="00BB5CCA">
        <w:rPr>
          <w:b/>
        </w:rPr>
        <w:t>St. Johns River Estates Utilities, LLC</w:t>
      </w:r>
    </w:p>
    <w:p w:rsidR="00900A7C" w:rsidRDefault="00900A7C" w:rsidP="00900A7C">
      <w:pPr>
        <w:pStyle w:val="BodyText"/>
        <w:spacing w:after="0"/>
        <w:jc w:val="center"/>
      </w:pPr>
      <w:r>
        <w:t>pursuant to</w:t>
      </w:r>
    </w:p>
    <w:p w:rsidR="00900A7C" w:rsidRDefault="00900A7C" w:rsidP="00900A7C">
      <w:pPr>
        <w:pStyle w:val="BodyText"/>
        <w:spacing w:after="0"/>
        <w:jc w:val="center"/>
        <w:rPr>
          <w:b/>
        </w:rPr>
      </w:pPr>
      <w:r w:rsidRPr="00957CBA">
        <w:rPr>
          <w:b/>
        </w:rPr>
        <w:t xml:space="preserve">Certificate Number </w:t>
      </w:r>
      <w:r>
        <w:rPr>
          <w:b/>
        </w:rPr>
        <w:t>542</w:t>
      </w:r>
      <w:r w:rsidRPr="00957CBA">
        <w:rPr>
          <w:b/>
        </w:rPr>
        <w:t>-W</w:t>
      </w:r>
    </w:p>
    <w:p w:rsidR="00900A7C" w:rsidRPr="00957CBA" w:rsidRDefault="00900A7C" w:rsidP="00900A7C">
      <w:pPr>
        <w:pStyle w:val="BodyText"/>
        <w:spacing w:after="0"/>
        <w:jc w:val="center"/>
        <w:rPr>
          <w:b/>
        </w:rPr>
      </w:pPr>
    </w:p>
    <w:p w:rsidR="00900A7C" w:rsidRDefault="00900A7C" w:rsidP="00900A7C">
      <w:pPr>
        <w:pStyle w:val="BodyText"/>
      </w:pPr>
      <w:r>
        <w:t xml:space="preserve">to provide water service in Putnam County in accordance with the provisions of Chapter 367, Florida Statutes, and the Rules, Regulations, and Orders of this Commission in the territory described by </w:t>
      </w:r>
      <w:r w:rsidR="00101E12">
        <w:t xml:space="preserve">the Orders of this Commission. </w:t>
      </w:r>
      <w:r>
        <w:t xml:space="preserve">This authorization shall remain in force and effect until superseded, suspended, cancelled or revoked by Order of this Commission. </w:t>
      </w:r>
    </w:p>
    <w:p w:rsidR="00900A7C" w:rsidRDefault="00900A7C" w:rsidP="00900A7C">
      <w:pPr>
        <w:pStyle w:val="BodyText"/>
      </w:pPr>
      <w:r>
        <w:t>Order Number</w:t>
      </w:r>
      <w:r>
        <w:tab/>
      </w:r>
      <w:r>
        <w:tab/>
      </w:r>
      <w:r>
        <w:tab/>
        <w:t>Date Issued</w:t>
      </w:r>
      <w:r>
        <w:tab/>
        <w:t>Docket Number</w:t>
      </w:r>
      <w:r>
        <w:tab/>
        <w:t>Filing Type</w:t>
      </w:r>
    </w:p>
    <w:p w:rsidR="00900A7C" w:rsidRDefault="00900A7C" w:rsidP="00900A7C">
      <w:pPr>
        <w:pStyle w:val="BodyText"/>
      </w:pPr>
      <w:r>
        <w:t>PSC-92-0330-FOF-WS</w:t>
      </w:r>
      <w:r>
        <w:tab/>
        <w:t>5/11/92</w:t>
      </w:r>
      <w:r>
        <w:tab/>
        <w:t>19910646-WS</w:t>
      </w:r>
      <w:r>
        <w:tab/>
      </w:r>
      <w:r>
        <w:tab/>
        <w:t>Original Certificate</w:t>
      </w:r>
    </w:p>
    <w:p w:rsidR="00900A7C" w:rsidRDefault="00900A7C" w:rsidP="00900A7C">
      <w:pPr>
        <w:pStyle w:val="BodyText"/>
      </w:pPr>
      <w:r>
        <w:t>PSC-05-0431-PAA-WS</w:t>
      </w:r>
      <w:r>
        <w:tab/>
        <w:t>4/20/05</w:t>
      </w:r>
      <w:r>
        <w:tab/>
        <w:t>20041096-WS</w:t>
      </w:r>
      <w:r>
        <w:tab/>
      </w:r>
      <w:r>
        <w:tab/>
        <w:t>Transfer</w:t>
      </w:r>
    </w:p>
    <w:p w:rsidR="00900A7C" w:rsidRDefault="00900A7C" w:rsidP="00900A7C">
      <w:pPr>
        <w:pStyle w:val="BodyText"/>
      </w:pPr>
      <w:r w:rsidRPr="00242FF6">
        <w:t>PSC-07-0195-FOF-WS</w:t>
      </w:r>
      <w:r>
        <w:tab/>
        <w:t>3/05/07</w:t>
      </w:r>
      <w:r>
        <w:tab/>
        <w:t>20060703-WS</w:t>
      </w:r>
      <w:r>
        <w:tab/>
      </w:r>
      <w:r>
        <w:tab/>
        <w:t>Transfer</w:t>
      </w:r>
    </w:p>
    <w:p w:rsidR="00900A7C" w:rsidRDefault="00900A7C" w:rsidP="00900A7C">
      <w:pPr>
        <w:pStyle w:val="BodyText"/>
      </w:pPr>
      <w:r w:rsidRPr="00141234">
        <w:rPr>
          <w:b/>
        </w:rPr>
        <w:t>*</w:t>
      </w:r>
      <w:r w:rsidRPr="00141234">
        <w:rPr>
          <w:b/>
        </w:rPr>
        <w:tab/>
      </w:r>
      <w:r w:rsidRPr="00141234">
        <w:rPr>
          <w:b/>
        </w:rPr>
        <w:tab/>
      </w:r>
      <w:r w:rsidRPr="00141234">
        <w:rPr>
          <w:b/>
        </w:rPr>
        <w:tab/>
      </w:r>
      <w:r w:rsidRPr="00141234">
        <w:rPr>
          <w:b/>
        </w:rPr>
        <w:tab/>
        <w:t>*</w:t>
      </w:r>
      <w:r>
        <w:tab/>
      </w:r>
      <w:r>
        <w:tab/>
        <w:t>20180214-WS</w:t>
      </w:r>
      <w:r>
        <w:tab/>
      </w:r>
      <w:r>
        <w:tab/>
        <w:t>Transfer</w:t>
      </w:r>
    </w:p>
    <w:p w:rsidR="00900A7C" w:rsidRPr="00FD6425" w:rsidRDefault="00900A7C" w:rsidP="00900A7C">
      <w:pPr>
        <w:jc w:val="both"/>
      </w:pPr>
    </w:p>
    <w:p w:rsidR="00900A7C" w:rsidRDefault="00900A7C" w:rsidP="00900A7C">
      <w:pPr>
        <w:pStyle w:val="BodyText"/>
      </w:pPr>
    </w:p>
    <w:p w:rsidR="00F03493" w:rsidRDefault="00900A7C" w:rsidP="00900A7C">
      <w:pPr>
        <w:pStyle w:val="BodyText"/>
        <w:rPr>
          <w:b/>
        </w:rPr>
      </w:pPr>
      <w:r w:rsidRPr="00B94088">
        <w:rPr>
          <w:b/>
        </w:rPr>
        <w:t>*Order Numbers and dates to be provided at time of issuance</w:t>
      </w:r>
      <w:r>
        <w:rPr>
          <w:b/>
        </w:rPr>
        <w:t>.</w:t>
      </w:r>
    </w:p>
    <w:p w:rsidR="00900A7C" w:rsidRDefault="00900A7C" w:rsidP="00900A7C">
      <w:pPr>
        <w:pStyle w:val="BodyText"/>
        <w:rPr>
          <w:b/>
        </w:rPr>
      </w:pPr>
    </w:p>
    <w:p w:rsidR="00900A7C" w:rsidRDefault="00900A7C" w:rsidP="00900A7C">
      <w:pPr>
        <w:pStyle w:val="BodyText"/>
        <w:sectPr w:rsidR="00900A7C" w:rsidSect="0068481F">
          <w:headerReference w:type="default" r:id="rId14"/>
          <w:pgSz w:w="12240" w:h="15840" w:code="1"/>
          <w:pgMar w:top="1584" w:right="1440" w:bottom="1440" w:left="1440" w:header="720" w:footer="720" w:gutter="0"/>
          <w:cols w:space="720"/>
          <w:formProt w:val="0"/>
          <w:docGrid w:linePitch="360"/>
        </w:sectPr>
      </w:pPr>
    </w:p>
    <w:p w:rsidR="00900A7C" w:rsidRDefault="00900A7C" w:rsidP="00900A7C">
      <w:pPr>
        <w:pStyle w:val="BodyText"/>
        <w:jc w:val="center"/>
        <w:rPr>
          <w:b/>
        </w:rPr>
      </w:pPr>
      <w:smartTag w:uri="urn:schemas-microsoft-com:office:smarttags" w:element="State">
        <w:smartTag w:uri="urn:schemas-microsoft-com:office:smarttags" w:element="place">
          <w:r w:rsidRPr="00957CBA">
            <w:rPr>
              <w:b/>
            </w:rPr>
            <w:lastRenderedPageBreak/>
            <w:t>FLORIDA</w:t>
          </w:r>
        </w:smartTag>
      </w:smartTag>
      <w:r w:rsidRPr="00957CBA">
        <w:rPr>
          <w:b/>
        </w:rPr>
        <w:t xml:space="preserve"> PUBLI</w:t>
      </w:r>
      <w:r>
        <w:rPr>
          <w:b/>
        </w:rPr>
        <w:t>C</w:t>
      </w:r>
      <w:r w:rsidRPr="00957CBA">
        <w:rPr>
          <w:b/>
        </w:rPr>
        <w:t xml:space="preserve"> SERVICE COMMISSION</w:t>
      </w:r>
    </w:p>
    <w:p w:rsidR="00900A7C" w:rsidRDefault="00900A7C" w:rsidP="00900A7C">
      <w:pPr>
        <w:pStyle w:val="BodyText"/>
        <w:spacing w:after="0"/>
        <w:jc w:val="center"/>
      </w:pPr>
      <w:r>
        <w:t>Authorizes</w:t>
      </w:r>
    </w:p>
    <w:p w:rsidR="00BB5CCA" w:rsidRDefault="00BB5CCA" w:rsidP="00900A7C">
      <w:pPr>
        <w:pStyle w:val="BodyText"/>
        <w:spacing w:after="0"/>
        <w:jc w:val="center"/>
      </w:pPr>
    </w:p>
    <w:p w:rsidR="00900A7C" w:rsidRPr="00BB5CCA" w:rsidRDefault="00BB5CCA" w:rsidP="00900A7C">
      <w:pPr>
        <w:pStyle w:val="BodyText"/>
        <w:spacing w:after="0"/>
        <w:jc w:val="center"/>
        <w:rPr>
          <w:b/>
        </w:rPr>
      </w:pPr>
      <w:r w:rsidRPr="00BB5CCA">
        <w:rPr>
          <w:b/>
        </w:rPr>
        <w:t>St. John</w:t>
      </w:r>
      <w:r w:rsidR="00900A7C" w:rsidRPr="00BB5CCA">
        <w:rPr>
          <w:b/>
        </w:rPr>
        <w:t xml:space="preserve">s River </w:t>
      </w:r>
      <w:r w:rsidRPr="00BB5CCA">
        <w:rPr>
          <w:b/>
        </w:rPr>
        <w:t xml:space="preserve">Estates Utilities, LLC </w:t>
      </w:r>
    </w:p>
    <w:p w:rsidR="00900A7C" w:rsidRDefault="00900A7C" w:rsidP="00900A7C">
      <w:pPr>
        <w:pStyle w:val="BodyText"/>
        <w:spacing w:after="0"/>
        <w:jc w:val="center"/>
      </w:pPr>
      <w:r w:rsidRPr="00BB5CCA">
        <w:t>pursuant to</w:t>
      </w:r>
    </w:p>
    <w:p w:rsidR="00900A7C" w:rsidRDefault="00900A7C" w:rsidP="00900A7C">
      <w:pPr>
        <w:pStyle w:val="BodyText"/>
        <w:spacing w:after="0"/>
        <w:jc w:val="center"/>
        <w:rPr>
          <w:b/>
        </w:rPr>
      </w:pPr>
      <w:r w:rsidRPr="00957CBA">
        <w:rPr>
          <w:b/>
        </w:rPr>
        <w:t xml:space="preserve">Certificate Number </w:t>
      </w:r>
      <w:r>
        <w:rPr>
          <w:b/>
        </w:rPr>
        <w:t>470</w:t>
      </w:r>
      <w:r w:rsidRPr="00957CBA">
        <w:rPr>
          <w:b/>
        </w:rPr>
        <w:t>-</w:t>
      </w:r>
      <w:r>
        <w:rPr>
          <w:b/>
        </w:rPr>
        <w:t>S</w:t>
      </w:r>
    </w:p>
    <w:p w:rsidR="00900A7C" w:rsidRPr="00957CBA" w:rsidRDefault="00900A7C" w:rsidP="00900A7C">
      <w:pPr>
        <w:pStyle w:val="BodyText"/>
        <w:spacing w:after="0"/>
        <w:jc w:val="center"/>
        <w:rPr>
          <w:b/>
        </w:rPr>
      </w:pPr>
    </w:p>
    <w:p w:rsidR="00900A7C" w:rsidRDefault="00900A7C" w:rsidP="00900A7C">
      <w:pPr>
        <w:pStyle w:val="BodyText"/>
      </w:pPr>
      <w:r>
        <w:t xml:space="preserve">to provide wastewater service in Putnam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900A7C" w:rsidRDefault="00900A7C" w:rsidP="00900A7C">
      <w:pPr>
        <w:pStyle w:val="BodyText"/>
      </w:pPr>
      <w:r>
        <w:t>PSC-92-0330-FOF-WS</w:t>
      </w:r>
      <w:r>
        <w:tab/>
        <w:t>5/11/92</w:t>
      </w:r>
      <w:r>
        <w:tab/>
        <w:t>19910646-WS</w:t>
      </w:r>
      <w:r>
        <w:tab/>
      </w:r>
      <w:r>
        <w:tab/>
        <w:t>Original Certificate</w:t>
      </w:r>
    </w:p>
    <w:p w:rsidR="00900A7C" w:rsidRDefault="00900A7C" w:rsidP="00900A7C">
      <w:pPr>
        <w:pStyle w:val="BodyText"/>
      </w:pPr>
      <w:r>
        <w:t>PSC-05-0431-PAA-WS</w:t>
      </w:r>
      <w:r>
        <w:tab/>
        <w:t>4/20/05</w:t>
      </w:r>
      <w:r>
        <w:tab/>
        <w:t>20041096-WS</w:t>
      </w:r>
      <w:r>
        <w:tab/>
      </w:r>
      <w:r>
        <w:tab/>
        <w:t>Transfer</w:t>
      </w:r>
    </w:p>
    <w:p w:rsidR="00900A7C" w:rsidRDefault="00900A7C" w:rsidP="00900A7C">
      <w:pPr>
        <w:pStyle w:val="BodyText"/>
      </w:pPr>
      <w:r w:rsidRPr="00242FF6">
        <w:t>PSC-07-0195-FOF-WS</w:t>
      </w:r>
      <w:r>
        <w:tab/>
        <w:t>3/05/07</w:t>
      </w:r>
      <w:r>
        <w:tab/>
        <w:t>20060703-WS</w:t>
      </w:r>
      <w:r>
        <w:tab/>
      </w:r>
      <w:r>
        <w:tab/>
        <w:t>Transfer</w:t>
      </w:r>
    </w:p>
    <w:p w:rsidR="00900A7C" w:rsidRDefault="00900A7C" w:rsidP="00900A7C">
      <w:pPr>
        <w:pStyle w:val="BodyText"/>
      </w:pPr>
      <w:r w:rsidRPr="00141234">
        <w:rPr>
          <w:b/>
        </w:rPr>
        <w:t>*</w:t>
      </w:r>
      <w:r w:rsidRPr="00141234">
        <w:rPr>
          <w:b/>
        </w:rPr>
        <w:tab/>
      </w:r>
      <w:r w:rsidRPr="00141234">
        <w:rPr>
          <w:b/>
        </w:rPr>
        <w:tab/>
      </w:r>
      <w:r w:rsidRPr="00141234">
        <w:rPr>
          <w:b/>
        </w:rPr>
        <w:tab/>
      </w:r>
      <w:r w:rsidRPr="00141234">
        <w:rPr>
          <w:b/>
        </w:rPr>
        <w:tab/>
        <w:t>*</w:t>
      </w:r>
      <w:r>
        <w:tab/>
      </w:r>
      <w:r>
        <w:tab/>
        <w:t>20180214-WS</w:t>
      </w:r>
      <w:r>
        <w:tab/>
      </w:r>
      <w:r>
        <w:tab/>
        <w:t>Transfer</w:t>
      </w:r>
    </w:p>
    <w:p w:rsidR="00900A7C" w:rsidRDefault="00900A7C" w:rsidP="00900A7C">
      <w:pPr>
        <w:pStyle w:val="BodyText"/>
      </w:pPr>
    </w:p>
    <w:p w:rsidR="00900A7C" w:rsidRDefault="00900A7C" w:rsidP="00900A7C">
      <w:pPr>
        <w:jc w:val="both"/>
      </w:pPr>
      <w:r w:rsidRPr="00B94088">
        <w:rPr>
          <w:b/>
        </w:rPr>
        <w:t>*Order Numbers and dates to be provided at time of issuance</w:t>
      </w:r>
    </w:p>
    <w:p w:rsidR="007F1B33" w:rsidRDefault="007F1B33" w:rsidP="00E275D8">
      <w:pPr>
        <w:pStyle w:val="BodyText"/>
      </w:pPr>
    </w:p>
    <w:p w:rsidR="00900A7C" w:rsidRDefault="00900A7C" w:rsidP="00E275D8">
      <w:pPr>
        <w:pStyle w:val="BodyText"/>
      </w:pPr>
    </w:p>
    <w:p w:rsidR="00900A7C" w:rsidRDefault="00900A7C" w:rsidP="00E275D8">
      <w:pPr>
        <w:pStyle w:val="BodyText"/>
        <w:sectPr w:rsidR="00900A7C" w:rsidSect="0068481F">
          <w:headerReference w:type="default" r:id="rId15"/>
          <w:pgSz w:w="12240" w:h="15840" w:code="1"/>
          <w:pgMar w:top="1584" w:right="1440" w:bottom="1440" w:left="1440" w:header="720" w:footer="720" w:gutter="0"/>
          <w:cols w:space="720"/>
          <w:formProt w:val="0"/>
          <w:docGrid w:linePitch="360"/>
        </w:sectPr>
      </w:pPr>
    </w:p>
    <w:p w:rsidR="008D029B" w:rsidRDefault="008D029B" w:rsidP="008D029B">
      <w:pPr>
        <w:autoSpaceDE w:val="0"/>
        <w:autoSpaceDN w:val="0"/>
        <w:adjustRightInd w:val="0"/>
        <w:jc w:val="center"/>
        <w:rPr>
          <w:rFonts w:ascii="Arial" w:eastAsia="Calibri" w:hAnsi="Arial" w:cs="Arial"/>
          <w:b/>
          <w:bCs/>
          <w:color w:val="000000"/>
        </w:rPr>
      </w:pPr>
    </w:p>
    <w:p w:rsidR="008D029B" w:rsidRPr="002F02B8" w:rsidRDefault="008D029B" w:rsidP="008D029B">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 xml:space="preserve">St. Johns River Estates Utilities, LLC </w:t>
      </w:r>
    </w:p>
    <w:p w:rsidR="008D029B" w:rsidRPr="002F02B8" w:rsidRDefault="008D029B" w:rsidP="008D029B">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Schedule of Net Book Value as of August 17, 2018</w:t>
      </w:r>
    </w:p>
    <w:p w:rsidR="008D029B" w:rsidRPr="002F02B8" w:rsidRDefault="008D029B" w:rsidP="008D029B">
      <w:pPr>
        <w:autoSpaceDE w:val="0"/>
        <w:autoSpaceDN w:val="0"/>
        <w:adjustRightInd w:val="0"/>
        <w:jc w:val="center"/>
        <w:rPr>
          <w:rFonts w:ascii="Arial" w:eastAsia="Calibri" w:hAnsi="Arial" w:cs="Arial"/>
          <w:b/>
          <w:bCs/>
          <w:color w:val="000000"/>
        </w:rPr>
      </w:pPr>
    </w:p>
    <w:p w:rsidR="008D029B" w:rsidRDefault="008D029B" w:rsidP="008D029B">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Water System</w:t>
      </w:r>
    </w:p>
    <w:p w:rsidR="008D029B" w:rsidRPr="002F02B8" w:rsidRDefault="008D029B" w:rsidP="008D029B">
      <w:pPr>
        <w:autoSpaceDE w:val="0"/>
        <w:autoSpaceDN w:val="0"/>
        <w:adjustRightInd w:val="0"/>
        <w:jc w:val="center"/>
        <w:rPr>
          <w:rFonts w:ascii="Arial" w:eastAsia="Calibri" w:hAnsi="Arial" w:cs="Arial"/>
          <w:b/>
          <w:bCs/>
          <w:color w:val="000000"/>
        </w:rPr>
      </w:pPr>
    </w:p>
    <w:tbl>
      <w:tblPr>
        <w:tblW w:w="0" w:type="auto"/>
        <w:jc w:val="center"/>
        <w:tblLayout w:type="fixed"/>
        <w:tblLook w:val="0000" w:firstRow="0" w:lastRow="0" w:firstColumn="0" w:lastColumn="0" w:noHBand="0" w:noVBand="0"/>
      </w:tblPr>
      <w:tblGrid>
        <w:gridCol w:w="3770"/>
        <w:gridCol w:w="1350"/>
        <w:gridCol w:w="1530"/>
        <w:gridCol w:w="1790"/>
      </w:tblGrid>
      <w:tr w:rsidR="008D029B" w:rsidRPr="0044218D" w:rsidTr="004A3E4F">
        <w:trPr>
          <w:trHeight w:val="585"/>
          <w:jc w:val="center"/>
        </w:trPr>
        <w:tc>
          <w:tcPr>
            <w:tcW w:w="3770" w:type="dxa"/>
          </w:tcPr>
          <w:p w:rsidR="008D029B" w:rsidRPr="0044218D" w:rsidRDefault="008D029B" w:rsidP="004A3E4F">
            <w:pPr>
              <w:autoSpaceDE w:val="0"/>
              <w:autoSpaceDN w:val="0"/>
              <w:adjustRightInd w:val="0"/>
              <w:rPr>
                <w:rFonts w:eastAsia="Calibri"/>
                <w:b/>
                <w:bCs/>
                <w:color w:val="000000"/>
                <w:u w:val="single"/>
              </w:rPr>
            </w:pPr>
          </w:p>
          <w:p w:rsidR="008D029B" w:rsidRPr="0044218D" w:rsidRDefault="008D029B" w:rsidP="004A3E4F">
            <w:pPr>
              <w:autoSpaceDE w:val="0"/>
              <w:autoSpaceDN w:val="0"/>
              <w:adjustRightInd w:val="0"/>
              <w:rPr>
                <w:rFonts w:eastAsia="Calibri"/>
                <w:color w:val="000000"/>
                <w:u w:val="single"/>
              </w:rPr>
            </w:pPr>
            <w:r w:rsidRPr="0044218D">
              <w:rPr>
                <w:rFonts w:eastAsia="Calibri"/>
                <w:b/>
                <w:bCs/>
                <w:color w:val="000000"/>
                <w:u w:val="single"/>
              </w:rPr>
              <w:t xml:space="preserve">Description </w:t>
            </w:r>
          </w:p>
        </w:tc>
        <w:tc>
          <w:tcPr>
            <w:tcW w:w="1350" w:type="dxa"/>
          </w:tcPr>
          <w:p w:rsidR="008D029B" w:rsidRPr="0044218D" w:rsidRDefault="008D029B" w:rsidP="004A3E4F">
            <w:pPr>
              <w:autoSpaceDE w:val="0"/>
              <w:autoSpaceDN w:val="0"/>
              <w:adjustRightInd w:val="0"/>
              <w:jc w:val="center"/>
              <w:rPr>
                <w:rFonts w:eastAsia="Calibri"/>
                <w:color w:val="000000"/>
              </w:rPr>
            </w:pPr>
            <w:r w:rsidRPr="0044218D">
              <w:rPr>
                <w:rFonts w:eastAsia="Calibri"/>
                <w:b/>
                <w:bCs/>
                <w:color w:val="000000"/>
              </w:rPr>
              <w:t>Balance</w:t>
            </w:r>
          </w:p>
          <w:p w:rsidR="008D029B" w:rsidRPr="0044218D" w:rsidRDefault="008D029B" w:rsidP="004A3E4F">
            <w:pPr>
              <w:autoSpaceDE w:val="0"/>
              <w:autoSpaceDN w:val="0"/>
              <w:adjustRightInd w:val="0"/>
              <w:jc w:val="center"/>
              <w:rPr>
                <w:rFonts w:eastAsia="Calibri"/>
                <w:color w:val="000000"/>
                <w:u w:val="single"/>
              </w:rPr>
            </w:pPr>
            <w:r w:rsidRPr="0044218D">
              <w:rPr>
                <w:rFonts w:eastAsia="Calibri"/>
                <w:b/>
                <w:bCs/>
                <w:color w:val="000000"/>
                <w:u w:val="single"/>
              </w:rPr>
              <w:t>Per Utility</w:t>
            </w:r>
          </w:p>
        </w:tc>
        <w:tc>
          <w:tcPr>
            <w:tcW w:w="1530" w:type="dxa"/>
          </w:tcPr>
          <w:p w:rsidR="008D029B" w:rsidRPr="0044218D" w:rsidRDefault="008D029B" w:rsidP="004A3E4F">
            <w:pPr>
              <w:autoSpaceDE w:val="0"/>
              <w:autoSpaceDN w:val="0"/>
              <w:adjustRightInd w:val="0"/>
              <w:jc w:val="center"/>
              <w:rPr>
                <w:rFonts w:eastAsia="Calibri"/>
                <w:b/>
                <w:bCs/>
                <w:color w:val="000000"/>
                <w:u w:val="single"/>
              </w:rPr>
            </w:pPr>
          </w:p>
          <w:p w:rsidR="008D029B" w:rsidRPr="0044218D" w:rsidRDefault="008D029B" w:rsidP="004A3E4F">
            <w:pPr>
              <w:autoSpaceDE w:val="0"/>
              <w:autoSpaceDN w:val="0"/>
              <w:adjustRightInd w:val="0"/>
              <w:jc w:val="center"/>
              <w:rPr>
                <w:rFonts w:eastAsia="Calibri"/>
                <w:color w:val="000000"/>
                <w:u w:val="single"/>
              </w:rPr>
            </w:pPr>
            <w:r w:rsidRPr="0044218D">
              <w:rPr>
                <w:rFonts w:eastAsia="Calibri"/>
                <w:b/>
                <w:bCs/>
                <w:color w:val="000000"/>
                <w:u w:val="single"/>
              </w:rPr>
              <w:t>Adjustments</w:t>
            </w:r>
          </w:p>
        </w:tc>
        <w:tc>
          <w:tcPr>
            <w:tcW w:w="1790" w:type="dxa"/>
          </w:tcPr>
          <w:p w:rsidR="008D029B" w:rsidRPr="002F02B8" w:rsidRDefault="008D029B" w:rsidP="004A3E4F">
            <w:pPr>
              <w:autoSpaceDE w:val="0"/>
              <w:autoSpaceDN w:val="0"/>
              <w:adjustRightInd w:val="0"/>
              <w:jc w:val="center"/>
              <w:rPr>
                <w:rFonts w:eastAsia="Calibri"/>
                <w:b/>
                <w:bCs/>
                <w:color w:val="000000"/>
              </w:rPr>
            </w:pPr>
            <w:r w:rsidRPr="002F02B8">
              <w:rPr>
                <w:rFonts w:eastAsia="Calibri"/>
                <w:b/>
                <w:bCs/>
                <w:color w:val="000000"/>
              </w:rPr>
              <w:t>Staff</w:t>
            </w:r>
          </w:p>
          <w:p w:rsidR="008D029B" w:rsidRPr="0044218D" w:rsidRDefault="008D029B" w:rsidP="004A3E4F">
            <w:pPr>
              <w:autoSpaceDE w:val="0"/>
              <w:autoSpaceDN w:val="0"/>
              <w:adjustRightInd w:val="0"/>
              <w:jc w:val="center"/>
              <w:rPr>
                <w:rFonts w:eastAsia="Calibri"/>
                <w:color w:val="000000"/>
                <w:u w:val="single"/>
              </w:rPr>
            </w:pPr>
            <w:r>
              <w:rPr>
                <w:rFonts w:eastAsia="Calibri"/>
                <w:b/>
                <w:bCs/>
                <w:color w:val="000000"/>
                <w:u w:val="single"/>
              </w:rPr>
              <w:t>Recommended</w:t>
            </w:r>
          </w:p>
        </w:tc>
      </w:tr>
      <w:tr w:rsidR="008D029B" w:rsidRPr="0044218D" w:rsidTr="004A3E4F">
        <w:trPr>
          <w:trHeight w:val="116"/>
          <w:jc w:val="center"/>
        </w:trPr>
        <w:tc>
          <w:tcPr>
            <w:tcW w:w="3770"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 xml:space="preserve">Utility Plant in Service </w:t>
            </w:r>
          </w:p>
        </w:tc>
        <w:tc>
          <w:tcPr>
            <w:tcW w:w="135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 xml:space="preserve">$99,234 </w:t>
            </w:r>
          </w:p>
        </w:tc>
        <w:tc>
          <w:tcPr>
            <w:tcW w:w="153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($14,204)</w:t>
            </w:r>
          </w:p>
        </w:tc>
        <w:tc>
          <w:tcPr>
            <w:tcW w:w="179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$85,030</w:t>
            </w:r>
          </w:p>
        </w:tc>
      </w:tr>
      <w:tr w:rsidR="008D029B" w:rsidRPr="0044218D" w:rsidTr="004A3E4F">
        <w:trPr>
          <w:trHeight w:val="116"/>
          <w:jc w:val="center"/>
        </w:trPr>
        <w:tc>
          <w:tcPr>
            <w:tcW w:w="3770"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 xml:space="preserve">Land &amp; Land Rights </w:t>
            </w:r>
          </w:p>
        </w:tc>
        <w:tc>
          <w:tcPr>
            <w:tcW w:w="135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4,152</w:t>
            </w:r>
          </w:p>
        </w:tc>
        <w:tc>
          <w:tcPr>
            <w:tcW w:w="153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(3,049)</w:t>
            </w:r>
          </w:p>
        </w:tc>
        <w:tc>
          <w:tcPr>
            <w:tcW w:w="179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1,103</w:t>
            </w:r>
          </w:p>
        </w:tc>
      </w:tr>
      <w:tr w:rsidR="008D029B" w:rsidRPr="0044218D" w:rsidTr="004A3E4F">
        <w:trPr>
          <w:trHeight w:val="116"/>
          <w:jc w:val="center"/>
        </w:trPr>
        <w:tc>
          <w:tcPr>
            <w:tcW w:w="3770"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 xml:space="preserve">Accumulated Depreciation </w:t>
            </w:r>
          </w:p>
        </w:tc>
        <w:tc>
          <w:tcPr>
            <w:tcW w:w="135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(83,867)</w:t>
            </w:r>
          </w:p>
        </w:tc>
        <w:tc>
          <w:tcPr>
            <w:tcW w:w="153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3,189</w:t>
            </w:r>
          </w:p>
        </w:tc>
        <w:tc>
          <w:tcPr>
            <w:tcW w:w="179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(80,678)</w:t>
            </w:r>
          </w:p>
        </w:tc>
      </w:tr>
      <w:tr w:rsidR="008D029B" w:rsidRPr="0044218D" w:rsidTr="004A3E4F">
        <w:trPr>
          <w:trHeight w:val="116"/>
          <w:jc w:val="center"/>
        </w:trPr>
        <w:tc>
          <w:tcPr>
            <w:tcW w:w="3770"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 xml:space="preserve">CIAC </w:t>
            </w:r>
          </w:p>
        </w:tc>
        <w:tc>
          <w:tcPr>
            <w:tcW w:w="135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(31,205)</w:t>
            </w:r>
          </w:p>
        </w:tc>
        <w:tc>
          <w:tcPr>
            <w:tcW w:w="153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 xml:space="preserve">- </w:t>
            </w:r>
          </w:p>
        </w:tc>
        <w:tc>
          <w:tcPr>
            <w:tcW w:w="179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(31,205)</w:t>
            </w:r>
          </w:p>
        </w:tc>
      </w:tr>
      <w:tr w:rsidR="008D029B" w:rsidRPr="0044218D" w:rsidTr="004A3E4F">
        <w:trPr>
          <w:trHeight w:val="116"/>
          <w:jc w:val="center"/>
        </w:trPr>
        <w:tc>
          <w:tcPr>
            <w:tcW w:w="3770"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 xml:space="preserve">Accumulated Amortization of CIAC </w:t>
            </w:r>
          </w:p>
        </w:tc>
        <w:tc>
          <w:tcPr>
            <w:tcW w:w="1350" w:type="dxa"/>
          </w:tcPr>
          <w:p w:rsidR="008D029B" w:rsidRPr="0044218D" w:rsidRDefault="008D029B" w:rsidP="004A3E4F">
            <w:pPr>
              <w:autoSpaceDE w:val="0"/>
              <w:autoSpaceDN w:val="0"/>
              <w:adjustRightInd w:val="0"/>
              <w:jc w:val="right"/>
              <w:rPr>
                <w:rFonts w:eastAsia="Calibri"/>
                <w:color w:val="000000"/>
                <w:u w:val="single"/>
              </w:rPr>
            </w:pPr>
            <w:r w:rsidRPr="0044218D">
              <w:rPr>
                <w:rFonts w:eastAsia="Calibri"/>
                <w:color w:val="000000"/>
                <w:u w:val="single"/>
              </w:rPr>
              <w:t>27,520</w:t>
            </w:r>
          </w:p>
        </w:tc>
        <w:tc>
          <w:tcPr>
            <w:tcW w:w="1530" w:type="dxa"/>
          </w:tcPr>
          <w:p w:rsidR="008D029B" w:rsidRPr="0044218D" w:rsidRDefault="008D029B" w:rsidP="004A3E4F">
            <w:pPr>
              <w:autoSpaceDE w:val="0"/>
              <w:autoSpaceDN w:val="0"/>
              <w:adjustRightInd w:val="0"/>
              <w:jc w:val="right"/>
              <w:rPr>
                <w:rFonts w:eastAsia="Calibri"/>
                <w:color w:val="000000"/>
                <w:u w:val="single"/>
              </w:rPr>
            </w:pPr>
            <w:r w:rsidRPr="0044218D">
              <w:rPr>
                <w:rFonts w:eastAsia="Calibri"/>
                <w:color w:val="000000"/>
                <w:u w:val="single"/>
              </w:rPr>
              <w:t>(691)</w:t>
            </w:r>
          </w:p>
        </w:tc>
        <w:tc>
          <w:tcPr>
            <w:tcW w:w="1790" w:type="dxa"/>
          </w:tcPr>
          <w:p w:rsidR="008D029B" w:rsidRPr="0044218D" w:rsidRDefault="008D029B" w:rsidP="004A3E4F">
            <w:pPr>
              <w:autoSpaceDE w:val="0"/>
              <w:autoSpaceDN w:val="0"/>
              <w:adjustRightInd w:val="0"/>
              <w:jc w:val="right"/>
              <w:rPr>
                <w:rFonts w:eastAsia="Calibri"/>
                <w:color w:val="000000"/>
                <w:u w:val="single"/>
              </w:rPr>
            </w:pPr>
            <w:r w:rsidRPr="0044218D">
              <w:rPr>
                <w:rFonts w:eastAsia="Calibri"/>
                <w:color w:val="000000"/>
                <w:u w:val="single"/>
              </w:rPr>
              <w:t>26,829</w:t>
            </w:r>
          </w:p>
        </w:tc>
      </w:tr>
      <w:tr w:rsidR="008D029B" w:rsidRPr="0044218D" w:rsidTr="004A3E4F">
        <w:trPr>
          <w:trHeight w:val="116"/>
          <w:jc w:val="center"/>
        </w:trPr>
        <w:tc>
          <w:tcPr>
            <w:tcW w:w="3770"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 xml:space="preserve">Total </w:t>
            </w:r>
          </w:p>
        </w:tc>
        <w:tc>
          <w:tcPr>
            <w:tcW w:w="1350" w:type="dxa"/>
          </w:tcPr>
          <w:p w:rsidR="008D029B" w:rsidRPr="0044218D" w:rsidRDefault="008D029B" w:rsidP="004A3E4F">
            <w:pPr>
              <w:autoSpaceDE w:val="0"/>
              <w:autoSpaceDN w:val="0"/>
              <w:adjustRightInd w:val="0"/>
              <w:jc w:val="right"/>
              <w:rPr>
                <w:rFonts w:eastAsia="Calibri"/>
                <w:color w:val="000000"/>
                <w:u w:val="double"/>
              </w:rPr>
            </w:pPr>
            <w:r w:rsidRPr="0044218D">
              <w:rPr>
                <w:rFonts w:eastAsia="Calibri"/>
                <w:color w:val="000000"/>
                <w:u w:val="double"/>
              </w:rPr>
              <w:t xml:space="preserve">$15,834 </w:t>
            </w:r>
          </w:p>
        </w:tc>
        <w:tc>
          <w:tcPr>
            <w:tcW w:w="1530" w:type="dxa"/>
          </w:tcPr>
          <w:p w:rsidR="008D029B" w:rsidRPr="0044218D" w:rsidRDefault="008D029B" w:rsidP="004A3E4F">
            <w:pPr>
              <w:autoSpaceDE w:val="0"/>
              <w:autoSpaceDN w:val="0"/>
              <w:adjustRightInd w:val="0"/>
              <w:jc w:val="right"/>
              <w:rPr>
                <w:rFonts w:eastAsia="Calibri"/>
                <w:color w:val="000000"/>
                <w:u w:val="double"/>
              </w:rPr>
            </w:pPr>
            <w:r w:rsidRPr="0044218D">
              <w:rPr>
                <w:rFonts w:eastAsia="Calibri"/>
                <w:color w:val="000000"/>
                <w:u w:val="double"/>
              </w:rPr>
              <w:t>($14,755)</w:t>
            </w:r>
          </w:p>
        </w:tc>
        <w:tc>
          <w:tcPr>
            <w:tcW w:w="1790" w:type="dxa"/>
          </w:tcPr>
          <w:p w:rsidR="008D029B" w:rsidRPr="0044218D" w:rsidRDefault="008D029B" w:rsidP="004A3E4F">
            <w:pPr>
              <w:autoSpaceDE w:val="0"/>
              <w:autoSpaceDN w:val="0"/>
              <w:adjustRightInd w:val="0"/>
              <w:jc w:val="right"/>
              <w:rPr>
                <w:rFonts w:eastAsia="Calibri"/>
                <w:color w:val="000000"/>
                <w:u w:val="double"/>
              </w:rPr>
            </w:pPr>
            <w:r w:rsidRPr="0044218D">
              <w:rPr>
                <w:rFonts w:eastAsia="Calibri"/>
                <w:color w:val="000000"/>
                <w:u w:val="double"/>
              </w:rPr>
              <w:t xml:space="preserve">$1,079 </w:t>
            </w:r>
          </w:p>
        </w:tc>
      </w:tr>
    </w:tbl>
    <w:p w:rsidR="008D029B" w:rsidRDefault="008D029B" w:rsidP="008D029B">
      <w:pPr>
        <w:spacing w:after="160" w:line="259" w:lineRule="auto"/>
        <w:rPr>
          <w:rFonts w:eastAsia="Calibri"/>
        </w:rPr>
      </w:pPr>
    </w:p>
    <w:p w:rsidR="008D029B" w:rsidRPr="0044218D" w:rsidRDefault="008D029B" w:rsidP="008D029B">
      <w:pPr>
        <w:spacing w:after="160" w:line="259" w:lineRule="auto"/>
        <w:rPr>
          <w:rFonts w:eastAsia="Calibri"/>
        </w:rPr>
      </w:pPr>
    </w:p>
    <w:p w:rsidR="008D029B" w:rsidRDefault="008D029B" w:rsidP="008D029B">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Wastewater System</w:t>
      </w:r>
    </w:p>
    <w:p w:rsidR="008D029B" w:rsidRPr="002F02B8" w:rsidRDefault="008D029B" w:rsidP="008D029B">
      <w:pPr>
        <w:autoSpaceDE w:val="0"/>
        <w:autoSpaceDN w:val="0"/>
        <w:adjustRightInd w:val="0"/>
        <w:jc w:val="center"/>
        <w:rPr>
          <w:rFonts w:ascii="Arial" w:eastAsia="Calibri" w:hAnsi="Arial" w:cs="Arial"/>
          <w:b/>
          <w:bCs/>
          <w:color w:val="000000"/>
        </w:rPr>
      </w:pPr>
    </w:p>
    <w:tbl>
      <w:tblPr>
        <w:tblW w:w="0" w:type="auto"/>
        <w:jc w:val="center"/>
        <w:tblLayout w:type="fixed"/>
        <w:tblLook w:val="0000" w:firstRow="0" w:lastRow="0" w:firstColumn="0" w:lastColumn="0" w:noHBand="0" w:noVBand="0"/>
      </w:tblPr>
      <w:tblGrid>
        <w:gridCol w:w="3772"/>
        <w:gridCol w:w="1429"/>
        <w:gridCol w:w="1620"/>
        <w:gridCol w:w="1862"/>
      </w:tblGrid>
      <w:tr w:rsidR="008D029B" w:rsidRPr="0044218D" w:rsidTr="004A3E4F">
        <w:trPr>
          <w:trHeight w:val="248"/>
          <w:jc w:val="center"/>
        </w:trPr>
        <w:tc>
          <w:tcPr>
            <w:tcW w:w="3772" w:type="dxa"/>
          </w:tcPr>
          <w:p w:rsidR="008D029B" w:rsidRPr="0044218D" w:rsidRDefault="008D029B" w:rsidP="004A3E4F">
            <w:pPr>
              <w:autoSpaceDE w:val="0"/>
              <w:autoSpaceDN w:val="0"/>
              <w:adjustRightInd w:val="0"/>
              <w:rPr>
                <w:rFonts w:eastAsia="Calibri"/>
                <w:b/>
                <w:bCs/>
                <w:color w:val="000000"/>
                <w:u w:val="single"/>
              </w:rPr>
            </w:pPr>
          </w:p>
          <w:p w:rsidR="008D029B" w:rsidRPr="0044218D" w:rsidRDefault="008D029B" w:rsidP="004A3E4F">
            <w:pPr>
              <w:autoSpaceDE w:val="0"/>
              <w:autoSpaceDN w:val="0"/>
              <w:adjustRightInd w:val="0"/>
              <w:rPr>
                <w:rFonts w:eastAsia="Calibri"/>
                <w:color w:val="000000"/>
                <w:u w:val="single"/>
              </w:rPr>
            </w:pPr>
            <w:r w:rsidRPr="0044218D">
              <w:rPr>
                <w:rFonts w:eastAsia="Calibri"/>
                <w:b/>
                <w:bCs/>
                <w:color w:val="000000"/>
                <w:u w:val="single"/>
              </w:rPr>
              <w:t xml:space="preserve">Description </w:t>
            </w:r>
          </w:p>
        </w:tc>
        <w:tc>
          <w:tcPr>
            <w:tcW w:w="1429" w:type="dxa"/>
          </w:tcPr>
          <w:p w:rsidR="008D029B" w:rsidRPr="0044218D" w:rsidRDefault="008D029B" w:rsidP="004A3E4F">
            <w:pPr>
              <w:autoSpaceDE w:val="0"/>
              <w:autoSpaceDN w:val="0"/>
              <w:adjustRightInd w:val="0"/>
              <w:jc w:val="center"/>
              <w:rPr>
                <w:rFonts w:eastAsia="Calibri"/>
                <w:color w:val="000000"/>
              </w:rPr>
            </w:pPr>
            <w:r w:rsidRPr="0044218D">
              <w:rPr>
                <w:rFonts w:eastAsia="Calibri"/>
                <w:b/>
                <w:bCs/>
                <w:color w:val="000000"/>
              </w:rPr>
              <w:t>Balance</w:t>
            </w:r>
          </w:p>
          <w:p w:rsidR="008D029B" w:rsidRPr="0044218D" w:rsidRDefault="008D029B" w:rsidP="004A3E4F">
            <w:pPr>
              <w:autoSpaceDE w:val="0"/>
              <w:autoSpaceDN w:val="0"/>
              <w:adjustRightInd w:val="0"/>
              <w:jc w:val="center"/>
              <w:rPr>
                <w:rFonts w:eastAsia="Calibri"/>
                <w:color w:val="000000"/>
                <w:u w:val="single"/>
              </w:rPr>
            </w:pPr>
            <w:r w:rsidRPr="0044218D">
              <w:rPr>
                <w:rFonts w:eastAsia="Calibri"/>
                <w:b/>
                <w:bCs/>
                <w:color w:val="000000"/>
                <w:u w:val="single"/>
              </w:rPr>
              <w:t>Per Utility</w:t>
            </w:r>
          </w:p>
        </w:tc>
        <w:tc>
          <w:tcPr>
            <w:tcW w:w="1620" w:type="dxa"/>
          </w:tcPr>
          <w:p w:rsidR="008D029B" w:rsidRPr="0044218D" w:rsidRDefault="008D029B" w:rsidP="004A3E4F">
            <w:pPr>
              <w:autoSpaceDE w:val="0"/>
              <w:autoSpaceDN w:val="0"/>
              <w:adjustRightInd w:val="0"/>
              <w:jc w:val="center"/>
              <w:rPr>
                <w:rFonts w:eastAsia="Calibri"/>
                <w:b/>
                <w:bCs/>
                <w:color w:val="000000"/>
                <w:u w:val="single"/>
              </w:rPr>
            </w:pPr>
          </w:p>
          <w:p w:rsidR="008D029B" w:rsidRPr="0044218D" w:rsidRDefault="008D029B" w:rsidP="004A3E4F">
            <w:pPr>
              <w:autoSpaceDE w:val="0"/>
              <w:autoSpaceDN w:val="0"/>
              <w:adjustRightInd w:val="0"/>
              <w:jc w:val="center"/>
              <w:rPr>
                <w:rFonts w:eastAsia="Calibri"/>
                <w:color w:val="000000"/>
                <w:u w:val="single"/>
              </w:rPr>
            </w:pPr>
            <w:r w:rsidRPr="0044218D">
              <w:rPr>
                <w:rFonts w:eastAsia="Calibri"/>
                <w:b/>
                <w:bCs/>
                <w:color w:val="000000"/>
                <w:u w:val="single"/>
              </w:rPr>
              <w:t>Adjustments</w:t>
            </w:r>
          </w:p>
        </w:tc>
        <w:tc>
          <w:tcPr>
            <w:tcW w:w="1862" w:type="dxa"/>
          </w:tcPr>
          <w:p w:rsidR="008D029B" w:rsidRPr="002F02B8" w:rsidRDefault="008D029B" w:rsidP="004A3E4F">
            <w:pPr>
              <w:autoSpaceDE w:val="0"/>
              <w:autoSpaceDN w:val="0"/>
              <w:adjustRightInd w:val="0"/>
              <w:jc w:val="center"/>
              <w:rPr>
                <w:rFonts w:eastAsia="Calibri"/>
                <w:b/>
                <w:bCs/>
                <w:color w:val="000000"/>
              </w:rPr>
            </w:pPr>
            <w:r w:rsidRPr="002F02B8">
              <w:rPr>
                <w:rFonts w:eastAsia="Calibri"/>
                <w:b/>
                <w:bCs/>
                <w:color w:val="000000"/>
              </w:rPr>
              <w:t>Staff</w:t>
            </w:r>
          </w:p>
          <w:p w:rsidR="008D029B" w:rsidRPr="0044218D" w:rsidRDefault="008D029B" w:rsidP="004A3E4F">
            <w:pPr>
              <w:autoSpaceDE w:val="0"/>
              <w:autoSpaceDN w:val="0"/>
              <w:adjustRightInd w:val="0"/>
              <w:jc w:val="center"/>
              <w:rPr>
                <w:rFonts w:eastAsia="Calibri"/>
                <w:color w:val="000000"/>
                <w:u w:val="single"/>
              </w:rPr>
            </w:pPr>
            <w:r>
              <w:rPr>
                <w:rFonts w:eastAsia="Calibri"/>
                <w:b/>
                <w:bCs/>
                <w:color w:val="000000"/>
                <w:u w:val="single"/>
              </w:rPr>
              <w:t>Recommended</w:t>
            </w:r>
          </w:p>
        </w:tc>
      </w:tr>
      <w:tr w:rsidR="008D029B" w:rsidRPr="0044218D" w:rsidTr="004A3E4F">
        <w:trPr>
          <w:trHeight w:val="109"/>
          <w:jc w:val="center"/>
        </w:trPr>
        <w:tc>
          <w:tcPr>
            <w:tcW w:w="3772"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 xml:space="preserve">Utility Plant in Service </w:t>
            </w:r>
          </w:p>
        </w:tc>
        <w:tc>
          <w:tcPr>
            <w:tcW w:w="1429"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 xml:space="preserve">$132,899 </w:t>
            </w:r>
          </w:p>
        </w:tc>
        <w:tc>
          <w:tcPr>
            <w:tcW w:w="162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($3,914)</w:t>
            </w:r>
          </w:p>
        </w:tc>
        <w:tc>
          <w:tcPr>
            <w:tcW w:w="1862"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$128,985</w:t>
            </w:r>
          </w:p>
        </w:tc>
      </w:tr>
      <w:tr w:rsidR="008D029B" w:rsidRPr="0044218D" w:rsidTr="004A3E4F">
        <w:trPr>
          <w:trHeight w:val="109"/>
          <w:jc w:val="center"/>
        </w:trPr>
        <w:tc>
          <w:tcPr>
            <w:tcW w:w="3772"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 xml:space="preserve">Land &amp; Land Rights </w:t>
            </w:r>
          </w:p>
        </w:tc>
        <w:tc>
          <w:tcPr>
            <w:tcW w:w="1429"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10,960</w:t>
            </w:r>
          </w:p>
        </w:tc>
        <w:tc>
          <w:tcPr>
            <w:tcW w:w="162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(1,122)</w:t>
            </w:r>
          </w:p>
        </w:tc>
        <w:tc>
          <w:tcPr>
            <w:tcW w:w="1862"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9,838</w:t>
            </w:r>
          </w:p>
        </w:tc>
      </w:tr>
      <w:tr w:rsidR="008D029B" w:rsidRPr="0044218D" w:rsidTr="004A3E4F">
        <w:trPr>
          <w:trHeight w:val="109"/>
          <w:jc w:val="center"/>
        </w:trPr>
        <w:tc>
          <w:tcPr>
            <w:tcW w:w="3772"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 xml:space="preserve">Accumulated Depreciation </w:t>
            </w:r>
          </w:p>
        </w:tc>
        <w:tc>
          <w:tcPr>
            <w:tcW w:w="1429"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(126,343)</w:t>
            </w:r>
          </w:p>
        </w:tc>
        <w:tc>
          <w:tcPr>
            <w:tcW w:w="162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831</w:t>
            </w:r>
          </w:p>
        </w:tc>
        <w:tc>
          <w:tcPr>
            <w:tcW w:w="1862"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(125,512)</w:t>
            </w:r>
          </w:p>
        </w:tc>
      </w:tr>
      <w:tr w:rsidR="008D029B" w:rsidRPr="0044218D" w:rsidTr="004A3E4F">
        <w:trPr>
          <w:trHeight w:val="109"/>
          <w:jc w:val="center"/>
        </w:trPr>
        <w:tc>
          <w:tcPr>
            <w:tcW w:w="3772"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 xml:space="preserve">CIAC </w:t>
            </w:r>
          </w:p>
        </w:tc>
        <w:tc>
          <w:tcPr>
            <w:tcW w:w="1429"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(34,285)</w:t>
            </w:r>
          </w:p>
        </w:tc>
        <w:tc>
          <w:tcPr>
            <w:tcW w:w="1620"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 xml:space="preserve">- </w:t>
            </w:r>
          </w:p>
        </w:tc>
        <w:tc>
          <w:tcPr>
            <w:tcW w:w="1862" w:type="dxa"/>
          </w:tcPr>
          <w:p w:rsidR="008D029B" w:rsidRPr="0044218D" w:rsidRDefault="008D029B" w:rsidP="004A3E4F">
            <w:pPr>
              <w:autoSpaceDE w:val="0"/>
              <w:autoSpaceDN w:val="0"/>
              <w:adjustRightInd w:val="0"/>
              <w:jc w:val="right"/>
              <w:rPr>
                <w:rFonts w:eastAsia="Calibri"/>
                <w:color w:val="000000"/>
              </w:rPr>
            </w:pPr>
            <w:r w:rsidRPr="0044218D">
              <w:rPr>
                <w:rFonts w:eastAsia="Calibri"/>
                <w:color w:val="000000"/>
              </w:rPr>
              <w:t>(34,285)</w:t>
            </w:r>
          </w:p>
        </w:tc>
      </w:tr>
      <w:tr w:rsidR="008D029B" w:rsidRPr="0044218D" w:rsidTr="004A3E4F">
        <w:trPr>
          <w:trHeight w:val="109"/>
          <w:jc w:val="center"/>
        </w:trPr>
        <w:tc>
          <w:tcPr>
            <w:tcW w:w="3772"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 xml:space="preserve">Accumulated Amortization of CIAC </w:t>
            </w:r>
          </w:p>
        </w:tc>
        <w:tc>
          <w:tcPr>
            <w:tcW w:w="1429" w:type="dxa"/>
          </w:tcPr>
          <w:p w:rsidR="008D029B" w:rsidRPr="0044218D" w:rsidRDefault="008D029B" w:rsidP="004A3E4F">
            <w:pPr>
              <w:autoSpaceDE w:val="0"/>
              <w:autoSpaceDN w:val="0"/>
              <w:adjustRightInd w:val="0"/>
              <w:jc w:val="right"/>
              <w:rPr>
                <w:rFonts w:eastAsia="Calibri"/>
                <w:color w:val="000000"/>
                <w:u w:val="single"/>
              </w:rPr>
            </w:pPr>
            <w:r w:rsidRPr="0044218D">
              <w:rPr>
                <w:rFonts w:eastAsia="Calibri"/>
                <w:color w:val="000000"/>
                <w:u w:val="single"/>
              </w:rPr>
              <w:t>29,024</w:t>
            </w:r>
          </w:p>
        </w:tc>
        <w:tc>
          <w:tcPr>
            <w:tcW w:w="1620" w:type="dxa"/>
          </w:tcPr>
          <w:p w:rsidR="008D029B" w:rsidRPr="0044218D" w:rsidRDefault="008D029B" w:rsidP="004A3E4F">
            <w:pPr>
              <w:autoSpaceDE w:val="0"/>
              <w:autoSpaceDN w:val="0"/>
              <w:adjustRightInd w:val="0"/>
              <w:jc w:val="right"/>
              <w:rPr>
                <w:rFonts w:eastAsia="Calibri"/>
                <w:color w:val="000000"/>
                <w:u w:val="single"/>
              </w:rPr>
            </w:pPr>
            <w:r w:rsidRPr="0044218D">
              <w:rPr>
                <w:rFonts w:eastAsia="Calibri"/>
                <w:color w:val="000000"/>
                <w:u w:val="single"/>
              </w:rPr>
              <w:t>(386)</w:t>
            </w:r>
          </w:p>
        </w:tc>
        <w:tc>
          <w:tcPr>
            <w:tcW w:w="1862" w:type="dxa"/>
          </w:tcPr>
          <w:p w:rsidR="008D029B" w:rsidRPr="0044218D" w:rsidRDefault="008D029B" w:rsidP="004A3E4F">
            <w:pPr>
              <w:autoSpaceDE w:val="0"/>
              <w:autoSpaceDN w:val="0"/>
              <w:adjustRightInd w:val="0"/>
              <w:jc w:val="right"/>
              <w:rPr>
                <w:rFonts w:eastAsia="Calibri"/>
                <w:color w:val="000000"/>
                <w:u w:val="single"/>
              </w:rPr>
            </w:pPr>
            <w:r w:rsidRPr="0044218D">
              <w:rPr>
                <w:rFonts w:eastAsia="Calibri"/>
                <w:color w:val="000000"/>
                <w:u w:val="single"/>
              </w:rPr>
              <w:t>28,638</w:t>
            </w:r>
          </w:p>
        </w:tc>
      </w:tr>
      <w:tr w:rsidR="008D029B" w:rsidRPr="0044218D" w:rsidTr="004A3E4F">
        <w:trPr>
          <w:trHeight w:val="415"/>
          <w:jc w:val="center"/>
        </w:trPr>
        <w:tc>
          <w:tcPr>
            <w:tcW w:w="3772" w:type="dxa"/>
          </w:tcPr>
          <w:p w:rsidR="008D029B" w:rsidRPr="0044218D" w:rsidRDefault="008D029B" w:rsidP="004A3E4F">
            <w:pPr>
              <w:autoSpaceDE w:val="0"/>
              <w:autoSpaceDN w:val="0"/>
              <w:adjustRightInd w:val="0"/>
              <w:rPr>
                <w:rFonts w:eastAsia="Calibri"/>
                <w:color w:val="000000"/>
              </w:rPr>
            </w:pPr>
            <w:r w:rsidRPr="0044218D">
              <w:rPr>
                <w:rFonts w:eastAsia="Calibri"/>
                <w:color w:val="000000"/>
              </w:rPr>
              <w:t>Total</w:t>
            </w:r>
          </w:p>
        </w:tc>
        <w:tc>
          <w:tcPr>
            <w:tcW w:w="1429" w:type="dxa"/>
          </w:tcPr>
          <w:p w:rsidR="008D029B" w:rsidRPr="0044218D" w:rsidRDefault="008D029B" w:rsidP="004A3E4F">
            <w:pPr>
              <w:autoSpaceDE w:val="0"/>
              <w:autoSpaceDN w:val="0"/>
              <w:adjustRightInd w:val="0"/>
              <w:jc w:val="right"/>
              <w:rPr>
                <w:rFonts w:eastAsia="Calibri"/>
                <w:color w:val="000000"/>
                <w:u w:val="double"/>
              </w:rPr>
            </w:pPr>
            <w:r w:rsidRPr="0044218D">
              <w:rPr>
                <w:rFonts w:eastAsia="Calibri"/>
                <w:color w:val="000000"/>
                <w:u w:val="double"/>
              </w:rPr>
              <w:t xml:space="preserve">$12,255 </w:t>
            </w:r>
          </w:p>
        </w:tc>
        <w:tc>
          <w:tcPr>
            <w:tcW w:w="1620" w:type="dxa"/>
          </w:tcPr>
          <w:p w:rsidR="008D029B" w:rsidRPr="0044218D" w:rsidRDefault="008D029B" w:rsidP="004A3E4F">
            <w:pPr>
              <w:autoSpaceDE w:val="0"/>
              <w:autoSpaceDN w:val="0"/>
              <w:adjustRightInd w:val="0"/>
              <w:jc w:val="right"/>
              <w:rPr>
                <w:rFonts w:eastAsia="Calibri"/>
                <w:color w:val="000000"/>
                <w:u w:val="double"/>
              </w:rPr>
            </w:pPr>
            <w:r w:rsidRPr="0044218D">
              <w:rPr>
                <w:rFonts w:eastAsia="Calibri"/>
                <w:color w:val="000000"/>
                <w:u w:val="double"/>
              </w:rPr>
              <w:t>($4,591)</w:t>
            </w:r>
          </w:p>
        </w:tc>
        <w:tc>
          <w:tcPr>
            <w:tcW w:w="1862" w:type="dxa"/>
          </w:tcPr>
          <w:p w:rsidR="008D029B" w:rsidRPr="0044218D" w:rsidRDefault="008D029B" w:rsidP="004A3E4F">
            <w:pPr>
              <w:autoSpaceDE w:val="0"/>
              <w:autoSpaceDN w:val="0"/>
              <w:adjustRightInd w:val="0"/>
              <w:jc w:val="right"/>
              <w:rPr>
                <w:rFonts w:eastAsia="Calibri"/>
                <w:color w:val="000000"/>
                <w:u w:val="double"/>
              </w:rPr>
            </w:pPr>
            <w:r w:rsidRPr="0044218D">
              <w:rPr>
                <w:rFonts w:eastAsia="Calibri"/>
                <w:color w:val="000000"/>
                <w:u w:val="double"/>
              </w:rPr>
              <w:t>$7,664</w:t>
            </w:r>
          </w:p>
        </w:tc>
      </w:tr>
    </w:tbl>
    <w:p w:rsidR="00802725" w:rsidRPr="0044218D" w:rsidRDefault="00802725" w:rsidP="00802725">
      <w:pPr>
        <w:spacing w:after="160" w:line="259" w:lineRule="auto"/>
        <w:rPr>
          <w:rFonts w:eastAsia="Calibri"/>
        </w:rPr>
      </w:pPr>
    </w:p>
    <w:p w:rsidR="004E09E3" w:rsidRDefault="004E09E3" w:rsidP="00E275D8">
      <w:pPr>
        <w:pStyle w:val="BodyText"/>
      </w:pPr>
    </w:p>
    <w:p w:rsidR="004E09E3" w:rsidRDefault="004E09E3" w:rsidP="00E275D8">
      <w:pPr>
        <w:pStyle w:val="BodyText"/>
        <w:sectPr w:rsidR="004E09E3" w:rsidSect="0068481F">
          <w:headerReference w:type="default" r:id="rId16"/>
          <w:footerReference w:type="default" r:id="rId17"/>
          <w:pgSz w:w="12240" w:h="15840" w:code="1"/>
          <w:pgMar w:top="1584" w:right="1440" w:bottom="1440" w:left="1440" w:header="720" w:footer="720" w:gutter="0"/>
          <w:cols w:space="720"/>
          <w:formProt w:val="0"/>
          <w:docGrid w:linePitch="360"/>
        </w:sect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1530"/>
        <w:gridCol w:w="1458"/>
      </w:tblGrid>
      <w:tr w:rsidR="00802725" w:rsidRPr="0044218D" w:rsidTr="00ED3A5E">
        <w:trPr>
          <w:jc w:val="center"/>
        </w:trPr>
        <w:tc>
          <w:tcPr>
            <w:tcW w:w="6588" w:type="dxa"/>
          </w:tcPr>
          <w:p w:rsidR="00802725" w:rsidRPr="0044218D" w:rsidRDefault="00802725" w:rsidP="0018112A"/>
        </w:tc>
        <w:tc>
          <w:tcPr>
            <w:tcW w:w="1530" w:type="dxa"/>
          </w:tcPr>
          <w:p w:rsidR="00802725" w:rsidRPr="0044218D" w:rsidRDefault="00802725" w:rsidP="002157CB"/>
        </w:tc>
        <w:tc>
          <w:tcPr>
            <w:tcW w:w="1458" w:type="dxa"/>
          </w:tcPr>
          <w:p w:rsidR="00802725" w:rsidRPr="0044218D" w:rsidRDefault="00802725" w:rsidP="002157CB"/>
        </w:tc>
      </w:tr>
    </w:tbl>
    <w:p w:rsidR="00405455" w:rsidRDefault="00405455" w:rsidP="0018112A">
      <w:pPr>
        <w:jc w:val="center"/>
        <w:rPr>
          <w:rFonts w:ascii="Arial" w:eastAsia="Calibri" w:hAnsi="Arial" w:cs="Arial"/>
          <w:b/>
          <w:bCs/>
        </w:rPr>
      </w:pPr>
    </w:p>
    <w:p w:rsidR="0018112A" w:rsidRPr="002F02B8" w:rsidRDefault="0018112A" w:rsidP="0018112A">
      <w:pPr>
        <w:jc w:val="center"/>
        <w:rPr>
          <w:rFonts w:ascii="Arial" w:eastAsia="Calibri" w:hAnsi="Arial" w:cs="Arial"/>
        </w:rPr>
      </w:pPr>
      <w:r w:rsidRPr="002F02B8">
        <w:rPr>
          <w:rFonts w:ascii="Arial" w:eastAsia="Calibri" w:hAnsi="Arial" w:cs="Arial"/>
          <w:b/>
          <w:bCs/>
        </w:rPr>
        <w:t>Explanation of Staff’s Recommended</w:t>
      </w:r>
    </w:p>
    <w:p w:rsidR="0018112A" w:rsidRPr="0044218D" w:rsidRDefault="0018112A" w:rsidP="0018112A">
      <w:pPr>
        <w:jc w:val="center"/>
        <w:rPr>
          <w:rFonts w:eastAsia="Calibri"/>
          <w:b/>
          <w:bCs/>
        </w:rPr>
      </w:pPr>
      <w:r w:rsidRPr="002F02B8">
        <w:rPr>
          <w:rFonts w:ascii="Arial" w:eastAsia="Calibri" w:hAnsi="Arial" w:cs="Arial"/>
          <w:b/>
          <w:bCs/>
        </w:rPr>
        <w:t>Adjustments to Net Book Value as of August 17, 2018</w:t>
      </w:r>
    </w:p>
    <w:p w:rsidR="0018112A" w:rsidRPr="0044218D" w:rsidRDefault="0018112A" w:rsidP="0018112A">
      <w:pPr>
        <w:jc w:val="center"/>
        <w:rPr>
          <w:rFonts w:eastAsia="Calibri"/>
          <w:b/>
          <w:bCs/>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6300"/>
        <w:gridCol w:w="1530"/>
        <w:gridCol w:w="1458"/>
      </w:tblGrid>
      <w:tr w:rsidR="0018112A" w:rsidRPr="0044218D" w:rsidTr="004A3E4F">
        <w:trPr>
          <w:jc w:val="center"/>
        </w:trPr>
        <w:tc>
          <w:tcPr>
            <w:tcW w:w="6588" w:type="dxa"/>
            <w:gridSpan w:val="2"/>
          </w:tcPr>
          <w:p w:rsidR="0018112A" w:rsidRPr="001A1ABB" w:rsidRDefault="0018112A" w:rsidP="004A3E4F">
            <w:pPr>
              <w:rPr>
                <w:rFonts w:ascii="Times New Roman" w:hAnsi="Times New Roman"/>
                <w:b/>
                <w:u w:val="single"/>
              </w:rPr>
            </w:pPr>
            <w:r w:rsidRPr="001A1ABB">
              <w:rPr>
                <w:rFonts w:ascii="Times New Roman" w:hAnsi="Times New Roman"/>
                <w:b/>
                <w:bCs/>
                <w:color w:val="000000"/>
                <w:u w:val="single"/>
              </w:rPr>
              <w:t>Explanation</w:t>
            </w:r>
          </w:p>
        </w:tc>
        <w:tc>
          <w:tcPr>
            <w:tcW w:w="2988" w:type="dxa"/>
            <w:gridSpan w:val="2"/>
          </w:tcPr>
          <w:p w:rsidR="0018112A" w:rsidRPr="0097664B" w:rsidRDefault="0018112A" w:rsidP="004A3E4F">
            <w:pPr>
              <w:jc w:val="center"/>
              <w:rPr>
                <w:b/>
              </w:rPr>
            </w:pPr>
          </w:p>
        </w:tc>
      </w:tr>
      <w:tr w:rsidR="0018112A" w:rsidRPr="0044218D" w:rsidTr="004A3E4F">
        <w:trPr>
          <w:jc w:val="center"/>
        </w:trPr>
        <w:tc>
          <w:tcPr>
            <w:tcW w:w="6588" w:type="dxa"/>
            <w:gridSpan w:val="2"/>
          </w:tcPr>
          <w:p w:rsidR="0018112A" w:rsidRPr="00384077" w:rsidRDefault="0018112A" w:rsidP="004A3E4F">
            <w:pPr>
              <w:rPr>
                <w:rFonts w:ascii="Times New Roman" w:hAnsi="Times New Roman"/>
              </w:rPr>
            </w:pPr>
          </w:p>
        </w:tc>
        <w:tc>
          <w:tcPr>
            <w:tcW w:w="1530" w:type="dxa"/>
          </w:tcPr>
          <w:p w:rsidR="0018112A" w:rsidRPr="0097664B" w:rsidRDefault="0018112A" w:rsidP="004A3E4F">
            <w:pPr>
              <w:jc w:val="center"/>
              <w:rPr>
                <w:b/>
              </w:rPr>
            </w:pPr>
            <w:r w:rsidRPr="00F23FE1">
              <w:rPr>
                <w:rFonts w:ascii="Times New Roman" w:hAnsi="Times New Roman"/>
                <w:b/>
                <w:u w:val="single"/>
              </w:rPr>
              <w:t>Water</w:t>
            </w:r>
          </w:p>
        </w:tc>
        <w:tc>
          <w:tcPr>
            <w:tcW w:w="1458" w:type="dxa"/>
          </w:tcPr>
          <w:p w:rsidR="0018112A" w:rsidRPr="001E464C" w:rsidRDefault="0018112A" w:rsidP="004A3E4F">
            <w:pPr>
              <w:jc w:val="center"/>
              <w:rPr>
                <w:rFonts w:ascii="Times New Roman" w:hAnsi="Times New Roman"/>
                <w:b/>
              </w:rPr>
            </w:pPr>
            <w:r w:rsidRPr="00F23FE1">
              <w:rPr>
                <w:rFonts w:ascii="Times New Roman" w:hAnsi="Times New Roman"/>
                <w:b/>
                <w:u w:val="single"/>
              </w:rPr>
              <w:t>Wastewater</w:t>
            </w:r>
          </w:p>
        </w:tc>
      </w:tr>
      <w:tr w:rsidR="0018112A" w:rsidRPr="0044218D" w:rsidTr="004A3E4F">
        <w:trPr>
          <w:jc w:val="center"/>
        </w:trPr>
        <w:tc>
          <w:tcPr>
            <w:tcW w:w="6588" w:type="dxa"/>
            <w:gridSpan w:val="2"/>
          </w:tcPr>
          <w:p w:rsidR="0018112A" w:rsidRPr="00384077" w:rsidRDefault="0018112A" w:rsidP="004A3E4F">
            <w:pPr>
              <w:rPr>
                <w:rFonts w:ascii="Times New Roman" w:hAnsi="Times New Roman"/>
              </w:rPr>
            </w:pPr>
            <w:r w:rsidRPr="00384077">
              <w:rPr>
                <w:rFonts w:ascii="Times New Roman" w:hAnsi="Times New Roman"/>
                <w:color w:val="000000"/>
              </w:rPr>
              <w:t>Utility Plant in Service</w:t>
            </w:r>
          </w:p>
        </w:tc>
        <w:tc>
          <w:tcPr>
            <w:tcW w:w="1530" w:type="dxa"/>
            <w:vAlign w:val="bottom"/>
          </w:tcPr>
          <w:p w:rsidR="0018112A" w:rsidRPr="0044218D" w:rsidRDefault="0018112A" w:rsidP="004A3E4F"/>
        </w:tc>
        <w:tc>
          <w:tcPr>
            <w:tcW w:w="1458" w:type="dxa"/>
          </w:tcPr>
          <w:p w:rsidR="0018112A" w:rsidRPr="0044218D" w:rsidRDefault="0018112A" w:rsidP="004A3E4F"/>
        </w:tc>
      </w:tr>
      <w:tr w:rsidR="0018112A" w:rsidRPr="0044218D" w:rsidTr="004A3E4F">
        <w:trPr>
          <w:jc w:val="center"/>
        </w:trPr>
        <w:tc>
          <w:tcPr>
            <w:tcW w:w="288" w:type="dxa"/>
            <w:vAlign w:val="bottom"/>
          </w:tcPr>
          <w:p w:rsidR="0018112A" w:rsidRPr="00384077" w:rsidRDefault="0018112A" w:rsidP="004A3E4F">
            <w:pPr>
              <w:rPr>
                <w:rFonts w:ascii="Times New Roman" w:hAnsi="Times New Roman"/>
              </w:rPr>
            </w:pPr>
          </w:p>
        </w:tc>
        <w:tc>
          <w:tcPr>
            <w:tcW w:w="6300" w:type="dxa"/>
            <w:vAlign w:val="bottom"/>
          </w:tcPr>
          <w:p w:rsidR="0018112A" w:rsidRPr="00384077" w:rsidRDefault="0018112A" w:rsidP="004A3E4F">
            <w:pPr>
              <w:rPr>
                <w:rFonts w:ascii="Times New Roman" w:hAnsi="Times New Roman"/>
              </w:rPr>
            </w:pPr>
            <w:r w:rsidRPr="00384077">
              <w:rPr>
                <w:rFonts w:ascii="Times New Roman" w:hAnsi="Times New Roman"/>
                <w:color w:val="000000"/>
              </w:rPr>
              <w:t>To reflect appropriate amount of utility plant in service.</w:t>
            </w:r>
          </w:p>
        </w:tc>
        <w:tc>
          <w:tcPr>
            <w:tcW w:w="1530" w:type="dxa"/>
          </w:tcPr>
          <w:p w:rsidR="0018112A" w:rsidRPr="000D3B4B" w:rsidRDefault="0018112A" w:rsidP="004A3E4F">
            <w:pPr>
              <w:jc w:val="right"/>
              <w:rPr>
                <w:rFonts w:ascii="Times New Roman" w:hAnsi="Times New Roman"/>
                <w:u w:val="double"/>
              </w:rPr>
            </w:pPr>
            <w:r w:rsidRPr="000D3B4B">
              <w:rPr>
                <w:rFonts w:ascii="Times New Roman" w:hAnsi="Times New Roman"/>
                <w:u w:val="double"/>
              </w:rPr>
              <w:t>($14,204)</w:t>
            </w:r>
          </w:p>
        </w:tc>
        <w:tc>
          <w:tcPr>
            <w:tcW w:w="1458" w:type="dxa"/>
          </w:tcPr>
          <w:p w:rsidR="0018112A" w:rsidRPr="000D3B4B" w:rsidRDefault="0018112A" w:rsidP="004A3E4F">
            <w:pPr>
              <w:jc w:val="right"/>
              <w:rPr>
                <w:rFonts w:ascii="Times New Roman" w:hAnsi="Times New Roman"/>
                <w:u w:val="double"/>
              </w:rPr>
            </w:pPr>
            <w:r w:rsidRPr="000D3B4B">
              <w:rPr>
                <w:rFonts w:ascii="Times New Roman" w:hAnsi="Times New Roman"/>
                <w:u w:val="double"/>
              </w:rPr>
              <w:t>($3,914)</w:t>
            </w:r>
          </w:p>
        </w:tc>
      </w:tr>
      <w:tr w:rsidR="0018112A" w:rsidRPr="0044218D" w:rsidTr="004A3E4F">
        <w:trPr>
          <w:jc w:val="center"/>
        </w:trPr>
        <w:tc>
          <w:tcPr>
            <w:tcW w:w="6588" w:type="dxa"/>
            <w:gridSpan w:val="2"/>
          </w:tcPr>
          <w:p w:rsidR="0018112A" w:rsidRPr="00384077" w:rsidRDefault="0018112A" w:rsidP="004A3E4F">
            <w:pPr>
              <w:rPr>
                <w:rFonts w:ascii="Times New Roman" w:hAnsi="Times New Roman"/>
              </w:rPr>
            </w:pPr>
          </w:p>
        </w:tc>
        <w:tc>
          <w:tcPr>
            <w:tcW w:w="1530" w:type="dxa"/>
          </w:tcPr>
          <w:p w:rsidR="0018112A" w:rsidRPr="000D3B4B" w:rsidRDefault="0018112A" w:rsidP="004A3E4F">
            <w:pPr>
              <w:jc w:val="right"/>
              <w:rPr>
                <w:rFonts w:ascii="Times New Roman" w:hAnsi="Times New Roman"/>
                <w:u w:val="double"/>
              </w:rPr>
            </w:pPr>
          </w:p>
        </w:tc>
        <w:tc>
          <w:tcPr>
            <w:tcW w:w="1458" w:type="dxa"/>
          </w:tcPr>
          <w:p w:rsidR="0018112A" w:rsidRPr="000D3B4B" w:rsidRDefault="0018112A" w:rsidP="004A3E4F">
            <w:pPr>
              <w:jc w:val="right"/>
              <w:rPr>
                <w:rFonts w:ascii="Times New Roman" w:hAnsi="Times New Roman"/>
                <w:u w:val="double"/>
              </w:rPr>
            </w:pPr>
          </w:p>
        </w:tc>
      </w:tr>
      <w:tr w:rsidR="0018112A" w:rsidRPr="0044218D" w:rsidTr="004A3E4F">
        <w:trPr>
          <w:jc w:val="center"/>
        </w:trPr>
        <w:tc>
          <w:tcPr>
            <w:tcW w:w="6588" w:type="dxa"/>
            <w:gridSpan w:val="2"/>
          </w:tcPr>
          <w:p w:rsidR="0018112A" w:rsidRPr="00384077" w:rsidRDefault="0018112A" w:rsidP="004A3E4F">
            <w:pPr>
              <w:rPr>
                <w:rFonts w:ascii="Times New Roman" w:hAnsi="Times New Roman"/>
              </w:rPr>
            </w:pPr>
            <w:r w:rsidRPr="00384077">
              <w:rPr>
                <w:rFonts w:ascii="Times New Roman" w:hAnsi="Times New Roman"/>
                <w:color w:val="000000"/>
              </w:rPr>
              <w:t>Land</w:t>
            </w:r>
          </w:p>
        </w:tc>
        <w:tc>
          <w:tcPr>
            <w:tcW w:w="1530" w:type="dxa"/>
          </w:tcPr>
          <w:p w:rsidR="0018112A" w:rsidRPr="000D3B4B" w:rsidRDefault="0018112A" w:rsidP="004A3E4F">
            <w:pPr>
              <w:jc w:val="right"/>
              <w:rPr>
                <w:rFonts w:ascii="Times New Roman" w:hAnsi="Times New Roman"/>
                <w:u w:val="double"/>
              </w:rPr>
            </w:pPr>
          </w:p>
        </w:tc>
        <w:tc>
          <w:tcPr>
            <w:tcW w:w="1458" w:type="dxa"/>
          </w:tcPr>
          <w:p w:rsidR="0018112A" w:rsidRPr="000D3B4B" w:rsidRDefault="0018112A" w:rsidP="004A3E4F">
            <w:pPr>
              <w:jc w:val="right"/>
              <w:rPr>
                <w:rFonts w:ascii="Times New Roman" w:hAnsi="Times New Roman"/>
                <w:u w:val="double"/>
              </w:rPr>
            </w:pPr>
          </w:p>
        </w:tc>
      </w:tr>
      <w:tr w:rsidR="0018112A" w:rsidRPr="0044218D" w:rsidTr="004A3E4F">
        <w:trPr>
          <w:jc w:val="center"/>
        </w:trPr>
        <w:tc>
          <w:tcPr>
            <w:tcW w:w="288" w:type="dxa"/>
          </w:tcPr>
          <w:p w:rsidR="0018112A" w:rsidRPr="00384077" w:rsidRDefault="0018112A" w:rsidP="004A3E4F">
            <w:pPr>
              <w:rPr>
                <w:rFonts w:ascii="Times New Roman" w:hAnsi="Times New Roman"/>
              </w:rPr>
            </w:pPr>
          </w:p>
        </w:tc>
        <w:tc>
          <w:tcPr>
            <w:tcW w:w="6300" w:type="dxa"/>
          </w:tcPr>
          <w:p w:rsidR="0018112A" w:rsidRPr="00384077" w:rsidRDefault="0018112A" w:rsidP="004A3E4F">
            <w:pPr>
              <w:rPr>
                <w:rFonts w:ascii="Times New Roman" w:hAnsi="Times New Roman"/>
              </w:rPr>
            </w:pPr>
            <w:r w:rsidRPr="00384077">
              <w:rPr>
                <w:rFonts w:ascii="Times New Roman" w:hAnsi="Times New Roman"/>
                <w:color w:val="000000"/>
              </w:rPr>
              <w:t>To reflect appropriate amount of land.</w:t>
            </w:r>
          </w:p>
        </w:tc>
        <w:tc>
          <w:tcPr>
            <w:tcW w:w="1530" w:type="dxa"/>
            <w:vAlign w:val="bottom"/>
          </w:tcPr>
          <w:p w:rsidR="0018112A" w:rsidRPr="000D3B4B" w:rsidRDefault="0018112A" w:rsidP="004A3E4F">
            <w:pPr>
              <w:jc w:val="right"/>
              <w:rPr>
                <w:rFonts w:ascii="Times New Roman" w:hAnsi="Times New Roman"/>
                <w:u w:val="double"/>
              </w:rPr>
            </w:pPr>
            <w:r w:rsidRPr="000D3B4B">
              <w:rPr>
                <w:rFonts w:ascii="Times New Roman" w:hAnsi="Times New Roman"/>
                <w:u w:val="double"/>
              </w:rPr>
              <w:t>($3,049)</w:t>
            </w:r>
          </w:p>
        </w:tc>
        <w:tc>
          <w:tcPr>
            <w:tcW w:w="1458" w:type="dxa"/>
          </w:tcPr>
          <w:p w:rsidR="0018112A" w:rsidRPr="000D3B4B" w:rsidRDefault="0018112A" w:rsidP="004A3E4F">
            <w:pPr>
              <w:jc w:val="right"/>
              <w:rPr>
                <w:rFonts w:ascii="Times New Roman" w:hAnsi="Times New Roman"/>
                <w:u w:val="double"/>
              </w:rPr>
            </w:pPr>
            <w:r w:rsidRPr="000D3B4B">
              <w:rPr>
                <w:rFonts w:ascii="Times New Roman" w:hAnsi="Times New Roman"/>
                <w:u w:val="double"/>
              </w:rPr>
              <w:t>($1,122)</w:t>
            </w:r>
          </w:p>
        </w:tc>
      </w:tr>
      <w:tr w:rsidR="0018112A" w:rsidRPr="0044218D" w:rsidTr="004A3E4F">
        <w:trPr>
          <w:jc w:val="center"/>
        </w:trPr>
        <w:tc>
          <w:tcPr>
            <w:tcW w:w="6588" w:type="dxa"/>
            <w:gridSpan w:val="2"/>
          </w:tcPr>
          <w:p w:rsidR="0018112A" w:rsidRPr="00384077" w:rsidRDefault="0018112A" w:rsidP="004A3E4F">
            <w:pPr>
              <w:rPr>
                <w:rFonts w:ascii="Times New Roman" w:hAnsi="Times New Roman"/>
              </w:rPr>
            </w:pPr>
          </w:p>
        </w:tc>
        <w:tc>
          <w:tcPr>
            <w:tcW w:w="1530" w:type="dxa"/>
          </w:tcPr>
          <w:p w:rsidR="0018112A" w:rsidRPr="000D3B4B" w:rsidRDefault="0018112A" w:rsidP="004A3E4F">
            <w:pPr>
              <w:jc w:val="right"/>
              <w:rPr>
                <w:rFonts w:ascii="Times New Roman" w:hAnsi="Times New Roman"/>
                <w:u w:val="double"/>
              </w:rPr>
            </w:pPr>
          </w:p>
        </w:tc>
        <w:tc>
          <w:tcPr>
            <w:tcW w:w="1458" w:type="dxa"/>
          </w:tcPr>
          <w:p w:rsidR="0018112A" w:rsidRPr="000D3B4B" w:rsidRDefault="0018112A" w:rsidP="004A3E4F">
            <w:pPr>
              <w:jc w:val="right"/>
              <w:rPr>
                <w:rFonts w:ascii="Times New Roman" w:hAnsi="Times New Roman"/>
                <w:u w:val="double"/>
              </w:rPr>
            </w:pPr>
          </w:p>
        </w:tc>
      </w:tr>
      <w:tr w:rsidR="0018112A" w:rsidRPr="0044218D" w:rsidTr="004A3E4F">
        <w:trPr>
          <w:jc w:val="center"/>
        </w:trPr>
        <w:tc>
          <w:tcPr>
            <w:tcW w:w="6588" w:type="dxa"/>
            <w:gridSpan w:val="2"/>
          </w:tcPr>
          <w:p w:rsidR="0018112A" w:rsidRPr="00384077" w:rsidRDefault="0018112A" w:rsidP="004A3E4F">
            <w:pPr>
              <w:rPr>
                <w:rFonts w:ascii="Times New Roman" w:hAnsi="Times New Roman"/>
              </w:rPr>
            </w:pPr>
            <w:r w:rsidRPr="00384077">
              <w:rPr>
                <w:rFonts w:ascii="Times New Roman" w:hAnsi="Times New Roman"/>
                <w:color w:val="000000"/>
              </w:rPr>
              <w:t>Accumulated Depreciation</w:t>
            </w:r>
          </w:p>
        </w:tc>
        <w:tc>
          <w:tcPr>
            <w:tcW w:w="1530" w:type="dxa"/>
          </w:tcPr>
          <w:p w:rsidR="0018112A" w:rsidRPr="000D3B4B" w:rsidRDefault="0018112A" w:rsidP="004A3E4F">
            <w:pPr>
              <w:jc w:val="right"/>
              <w:rPr>
                <w:rFonts w:ascii="Times New Roman" w:hAnsi="Times New Roman"/>
                <w:u w:val="double"/>
              </w:rPr>
            </w:pPr>
          </w:p>
        </w:tc>
        <w:tc>
          <w:tcPr>
            <w:tcW w:w="1458" w:type="dxa"/>
          </w:tcPr>
          <w:p w:rsidR="0018112A" w:rsidRPr="000D3B4B" w:rsidRDefault="0018112A" w:rsidP="004A3E4F">
            <w:pPr>
              <w:jc w:val="right"/>
              <w:rPr>
                <w:rFonts w:ascii="Times New Roman" w:hAnsi="Times New Roman"/>
                <w:u w:val="double"/>
              </w:rPr>
            </w:pPr>
          </w:p>
        </w:tc>
      </w:tr>
      <w:tr w:rsidR="0018112A" w:rsidRPr="0044218D" w:rsidTr="004A3E4F">
        <w:trPr>
          <w:jc w:val="center"/>
        </w:trPr>
        <w:tc>
          <w:tcPr>
            <w:tcW w:w="288" w:type="dxa"/>
          </w:tcPr>
          <w:p w:rsidR="0018112A" w:rsidRPr="00384077" w:rsidRDefault="0018112A" w:rsidP="004A3E4F">
            <w:pPr>
              <w:rPr>
                <w:rFonts w:ascii="Times New Roman" w:hAnsi="Times New Roman"/>
              </w:rPr>
            </w:pPr>
          </w:p>
        </w:tc>
        <w:tc>
          <w:tcPr>
            <w:tcW w:w="6300" w:type="dxa"/>
          </w:tcPr>
          <w:p w:rsidR="0018112A" w:rsidRPr="00384077" w:rsidRDefault="0018112A" w:rsidP="004A3E4F">
            <w:pPr>
              <w:rPr>
                <w:rFonts w:ascii="Times New Roman" w:hAnsi="Times New Roman"/>
              </w:rPr>
            </w:pPr>
            <w:r w:rsidRPr="00384077">
              <w:rPr>
                <w:rFonts w:ascii="Times New Roman" w:hAnsi="Times New Roman"/>
                <w:color w:val="000000"/>
              </w:rPr>
              <w:t>To reflect appropriate amount of accumulated depreciation.</w:t>
            </w:r>
          </w:p>
        </w:tc>
        <w:tc>
          <w:tcPr>
            <w:tcW w:w="1530" w:type="dxa"/>
          </w:tcPr>
          <w:p w:rsidR="0018112A" w:rsidRPr="000D3B4B" w:rsidRDefault="0018112A" w:rsidP="004A3E4F">
            <w:pPr>
              <w:jc w:val="right"/>
              <w:rPr>
                <w:rFonts w:ascii="Times New Roman" w:hAnsi="Times New Roman"/>
                <w:u w:val="double"/>
              </w:rPr>
            </w:pPr>
            <w:r w:rsidRPr="000D3B4B">
              <w:rPr>
                <w:rFonts w:ascii="Times New Roman" w:hAnsi="Times New Roman"/>
                <w:u w:val="double"/>
              </w:rPr>
              <w:t>$3,189</w:t>
            </w:r>
          </w:p>
        </w:tc>
        <w:tc>
          <w:tcPr>
            <w:tcW w:w="1458" w:type="dxa"/>
          </w:tcPr>
          <w:p w:rsidR="0018112A" w:rsidRPr="000D3B4B" w:rsidRDefault="0018112A" w:rsidP="004A3E4F">
            <w:pPr>
              <w:jc w:val="right"/>
              <w:rPr>
                <w:rFonts w:ascii="Times New Roman" w:hAnsi="Times New Roman"/>
                <w:u w:val="double"/>
              </w:rPr>
            </w:pPr>
            <w:r w:rsidRPr="000D3B4B">
              <w:rPr>
                <w:rFonts w:ascii="Times New Roman" w:hAnsi="Times New Roman"/>
                <w:u w:val="double"/>
              </w:rPr>
              <w:t>$831</w:t>
            </w:r>
          </w:p>
        </w:tc>
      </w:tr>
      <w:tr w:rsidR="0018112A" w:rsidRPr="0044218D" w:rsidTr="004A3E4F">
        <w:trPr>
          <w:jc w:val="center"/>
        </w:trPr>
        <w:tc>
          <w:tcPr>
            <w:tcW w:w="6588" w:type="dxa"/>
            <w:gridSpan w:val="2"/>
          </w:tcPr>
          <w:p w:rsidR="0018112A" w:rsidRPr="00384077" w:rsidRDefault="0018112A" w:rsidP="004A3E4F">
            <w:pPr>
              <w:rPr>
                <w:rFonts w:ascii="Times New Roman" w:hAnsi="Times New Roman"/>
              </w:rPr>
            </w:pPr>
          </w:p>
        </w:tc>
        <w:tc>
          <w:tcPr>
            <w:tcW w:w="1530" w:type="dxa"/>
          </w:tcPr>
          <w:p w:rsidR="0018112A" w:rsidRPr="000D3B4B" w:rsidRDefault="0018112A" w:rsidP="004A3E4F">
            <w:pPr>
              <w:jc w:val="right"/>
              <w:rPr>
                <w:rFonts w:ascii="Times New Roman" w:hAnsi="Times New Roman"/>
                <w:u w:val="double"/>
              </w:rPr>
            </w:pPr>
          </w:p>
        </w:tc>
        <w:tc>
          <w:tcPr>
            <w:tcW w:w="1458" w:type="dxa"/>
          </w:tcPr>
          <w:p w:rsidR="0018112A" w:rsidRPr="000D3B4B" w:rsidRDefault="0018112A" w:rsidP="004A3E4F">
            <w:pPr>
              <w:jc w:val="right"/>
              <w:rPr>
                <w:rFonts w:ascii="Times New Roman" w:hAnsi="Times New Roman"/>
                <w:u w:val="double"/>
              </w:rPr>
            </w:pPr>
          </w:p>
        </w:tc>
      </w:tr>
      <w:tr w:rsidR="0018112A" w:rsidRPr="0044218D" w:rsidTr="004A3E4F">
        <w:trPr>
          <w:jc w:val="center"/>
        </w:trPr>
        <w:tc>
          <w:tcPr>
            <w:tcW w:w="6588" w:type="dxa"/>
            <w:gridSpan w:val="2"/>
          </w:tcPr>
          <w:p w:rsidR="0018112A" w:rsidRPr="00384077" w:rsidRDefault="0018112A" w:rsidP="004A3E4F">
            <w:pPr>
              <w:rPr>
                <w:rFonts w:ascii="Times New Roman" w:hAnsi="Times New Roman"/>
              </w:rPr>
            </w:pPr>
            <w:r w:rsidRPr="00384077">
              <w:rPr>
                <w:rFonts w:ascii="Times New Roman" w:hAnsi="Times New Roman"/>
              </w:rPr>
              <w:t>Accumulated Amortization of CIAC</w:t>
            </w:r>
          </w:p>
        </w:tc>
        <w:tc>
          <w:tcPr>
            <w:tcW w:w="1530" w:type="dxa"/>
          </w:tcPr>
          <w:p w:rsidR="0018112A" w:rsidRPr="000D3B4B" w:rsidRDefault="0018112A" w:rsidP="004A3E4F">
            <w:pPr>
              <w:jc w:val="right"/>
              <w:rPr>
                <w:rFonts w:ascii="Times New Roman" w:hAnsi="Times New Roman"/>
                <w:u w:val="double"/>
              </w:rPr>
            </w:pPr>
          </w:p>
        </w:tc>
        <w:tc>
          <w:tcPr>
            <w:tcW w:w="1458" w:type="dxa"/>
          </w:tcPr>
          <w:p w:rsidR="0018112A" w:rsidRPr="000D3B4B" w:rsidRDefault="0018112A" w:rsidP="004A3E4F">
            <w:pPr>
              <w:jc w:val="right"/>
              <w:rPr>
                <w:rFonts w:ascii="Times New Roman" w:hAnsi="Times New Roman"/>
                <w:u w:val="double"/>
              </w:rPr>
            </w:pPr>
          </w:p>
        </w:tc>
      </w:tr>
      <w:tr w:rsidR="0018112A" w:rsidRPr="0044218D" w:rsidTr="004A3E4F">
        <w:trPr>
          <w:jc w:val="center"/>
        </w:trPr>
        <w:tc>
          <w:tcPr>
            <w:tcW w:w="288" w:type="dxa"/>
          </w:tcPr>
          <w:p w:rsidR="0018112A" w:rsidRPr="00384077" w:rsidRDefault="0018112A" w:rsidP="004A3E4F">
            <w:pPr>
              <w:rPr>
                <w:rFonts w:ascii="Times New Roman" w:hAnsi="Times New Roman"/>
              </w:rPr>
            </w:pPr>
          </w:p>
        </w:tc>
        <w:tc>
          <w:tcPr>
            <w:tcW w:w="6300" w:type="dxa"/>
          </w:tcPr>
          <w:p w:rsidR="0018112A" w:rsidRPr="00384077" w:rsidRDefault="0018112A" w:rsidP="004A3E4F">
            <w:pPr>
              <w:rPr>
                <w:rFonts w:ascii="Times New Roman" w:hAnsi="Times New Roman"/>
              </w:rPr>
            </w:pPr>
            <w:r w:rsidRPr="00384077">
              <w:rPr>
                <w:rFonts w:ascii="Times New Roman" w:hAnsi="Times New Roman"/>
                <w:color w:val="000000"/>
              </w:rPr>
              <w:t>To reflect appropriate amount of Accumulated Amortization of CIAC.</w:t>
            </w:r>
          </w:p>
        </w:tc>
        <w:tc>
          <w:tcPr>
            <w:tcW w:w="1530" w:type="dxa"/>
          </w:tcPr>
          <w:p w:rsidR="0018112A" w:rsidRPr="000D3B4B" w:rsidRDefault="0018112A" w:rsidP="004A3E4F">
            <w:pPr>
              <w:jc w:val="right"/>
              <w:rPr>
                <w:rFonts w:ascii="Times New Roman" w:hAnsi="Times New Roman"/>
                <w:u w:val="double"/>
              </w:rPr>
            </w:pPr>
          </w:p>
          <w:p w:rsidR="0018112A" w:rsidRPr="000D3B4B" w:rsidRDefault="0018112A" w:rsidP="004A3E4F">
            <w:pPr>
              <w:jc w:val="right"/>
              <w:rPr>
                <w:rFonts w:ascii="Times New Roman" w:hAnsi="Times New Roman"/>
                <w:u w:val="double"/>
              </w:rPr>
            </w:pPr>
            <w:r w:rsidRPr="000D3B4B">
              <w:rPr>
                <w:rFonts w:ascii="Times New Roman" w:hAnsi="Times New Roman"/>
                <w:u w:val="double"/>
              </w:rPr>
              <w:t>($691)</w:t>
            </w:r>
          </w:p>
        </w:tc>
        <w:tc>
          <w:tcPr>
            <w:tcW w:w="1458" w:type="dxa"/>
          </w:tcPr>
          <w:p w:rsidR="0018112A" w:rsidRPr="000D3B4B" w:rsidRDefault="0018112A" w:rsidP="004A3E4F">
            <w:pPr>
              <w:jc w:val="right"/>
              <w:rPr>
                <w:rFonts w:ascii="Times New Roman" w:hAnsi="Times New Roman"/>
                <w:u w:val="double"/>
              </w:rPr>
            </w:pPr>
          </w:p>
          <w:p w:rsidR="0018112A" w:rsidRPr="000D3B4B" w:rsidRDefault="0018112A" w:rsidP="004A3E4F">
            <w:pPr>
              <w:jc w:val="right"/>
              <w:rPr>
                <w:rFonts w:ascii="Times New Roman" w:hAnsi="Times New Roman"/>
                <w:u w:val="double"/>
              </w:rPr>
            </w:pPr>
            <w:r w:rsidRPr="000D3B4B">
              <w:rPr>
                <w:rFonts w:ascii="Times New Roman" w:hAnsi="Times New Roman"/>
                <w:u w:val="double"/>
              </w:rPr>
              <w:t>($386)</w:t>
            </w:r>
          </w:p>
        </w:tc>
      </w:tr>
      <w:tr w:rsidR="0018112A" w:rsidRPr="0044218D" w:rsidTr="004A3E4F">
        <w:trPr>
          <w:jc w:val="center"/>
        </w:trPr>
        <w:tc>
          <w:tcPr>
            <w:tcW w:w="6588" w:type="dxa"/>
            <w:gridSpan w:val="2"/>
          </w:tcPr>
          <w:p w:rsidR="0018112A" w:rsidRPr="00384077" w:rsidRDefault="0018112A" w:rsidP="004A3E4F">
            <w:pPr>
              <w:rPr>
                <w:rFonts w:ascii="Times New Roman" w:hAnsi="Times New Roman"/>
              </w:rPr>
            </w:pPr>
          </w:p>
        </w:tc>
        <w:tc>
          <w:tcPr>
            <w:tcW w:w="1530" w:type="dxa"/>
          </w:tcPr>
          <w:p w:rsidR="0018112A" w:rsidRPr="000D3B4B" w:rsidRDefault="0018112A" w:rsidP="004A3E4F">
            <w:pPr>
              <w:jc w:val="right"/>
              <w:rPr>
                <w:rFonts w:ascii="Times New Roman" w:hAnsi="Times New Roman"/>
                <w:u w:val="double"/>
              </w:rPr>
            </w:pPr>
          </w:p>
        </w:tc>
        <w:tc>
          <w:tcPr>
            <w:tcW w:w="1458" w:type="dxa"/>
          </w:tcPr>
          <w:p w:rsidR="0018112A" w:rsidRPr="000D3B4B" w:rsidRDefault="0018112A" w:rsidP="004A3E4F">
            <w:pPr>
              <w:jc w:val="right"/>
              <w:rPr>
                <w:rFonts w:ascii="Times New Roman" w:hAnsi="Times New Roman"/>
                <w:u w:val="double"/>
              </w:rPr>
            </w:pPr>
          </w:p>
        </w:tc>
      </w:tr>
      <w:tr w:rsidR="0018112A" w:rsidRPr="0044218D" w:rsidTr="004A3E4F">
        <w:trPr>
          <w:jc w:val="center"/>
        </w:trPr>
        <w:tc>
          <w:tcPr>
            <w:tcW w:w="6588" w:type="dxa"/>
            <w:gridSpan w:val="2"/>
          </w:tcPr>
          <w:p w:rsidR="0018112A" w:rsidRPr="00384077" w:rsidRDefault="0018112A" w:rsidP="004A3E4F">
            <w:pPr>
              <w:rPr>
                <w:rFonts w:ascii="Times New Roman" w:hAnsi="Times New Roman"/>
              </w:rPr>
            </w:pPr>
            <w:r w:rsidRPr="00384077">
              <w:rPr>
                <w:rFonts w:ascii="Times New Roman" w:hAnsi="Times New Roman"/>
                <w:color w:val="000000"/>
              </w:rPr>
              <w:t>Total Adjustments to Net Book Value as of August 17, 2018</w:t>
            </w:r>
          </w:p>
        </w:tc>
        <w:tc>
          <w:tcPr>
            <w:tcW w:w="1530" w:type="dxa"/>
          </w:tcPr>
          <w:p w:rsidR="0018112A" w:rsidRPr="000D3B4B" w:rsidRDefault="0018112A" w:rsidP="004A3E4F">
            <w:pPr>
              <w:jc w:val="right"/>
              <w:rPr>
                <w:rFonts w:ascii="Times New Roman" w:hAnsi="Times New Roman"/>
                <w:u w:val="double"/>
              </w:rPr>
            </w:pPr>
            <w:r w:rsidRPr="000D3B4B">
              <w:rPr>
                <w:rFonts w:ascii="Times New Roman" w:hAnsi="Times New Roman"/>
                <w:u w:val="double"/>
              </w:rPr>
              <w:t>($14,755)</w:t>
            </w:r>
          </w:p>
        </w:tc>
        <w:tc>
          <w:tcPr>
            <w:tcW w:w="1458" w:type="dxa"/>
          </w:tcPr>
          <w:p w:rsidR="0018112A" w:rsidRPr="000D3B4B" w:rsidRDefault="0018112A" w:rsidP="004A3E4F">
            <w:pPr>
              <w:jc w:val="right"/>
              <w:rPr>
                <w:rFonts w:ascii="Times New Roman" w:hAnsi="Times New Roman"/>
                <w:u w:val="double"/>
              </w:rPr>
            </w:pPr>
            <w:r w:rsidRPr="000D3B4B">
              <w:rPr>
                <w:rFonts w:ascii="Times New Roman" w:hAnsi="Times New Roman"/>
                <w:u w:val="double"/>
              </w:rPr>
              <w:t>($4,591)</w:t>
            </w:r>
          </w:p>
        </w:tc>
      </w:tr>
    </w:tbl>
    <w:p w:rsidR="009B5A57" w:rsidRDefault="009B5A57" w:rsidP="00E275D8">
      <w:pPr>
        <w:pStyle w:val="BodyText"/>
      </w:pPr>
    </w:p>
    <w:p w:rsidR="00802725" w:rsidRDefault="00802725" w:rsidP="00E275D8">
      <w:pPr>
        <w:pStyle w:val="BodyText"/>
      </w:pPr>
    </w:p>
    <w:p w:rsidR="00802725" w:rsidRDefault="00802725" w:rsidP="00E275D8">
      <w:pPr>
        <w:pStyle w:val="BodyText"/>
        <w:sectPr w:rsidR="00802725" w:rsidSect="0068481F">
          <w:headerReference w:type="default" r:id="rId18"/>
          <w:footerReference w:type="default" r:id="rId19"/>
          <w:pgSz w:w="12240" w:h="15840" w:code="1"/>
          <w:pgMar w:top="1584" w:right="1440" w:bottom="1440" w:left="1440" w:header="720" w:footer="720" w:gutter="0"/>
          <w:cols w:space="720"/>
          <w:formProt w:val="0"/>
          <w:docGrid w:linePitch="360"/>
        </w:sectPr>
      </w:pPr>
    </w:p>
    <w:p w:rsidR="00484BA9" w:rsidRPr="002F02B8" w:rsidRDefault="00484BA9" w:rsidP="00484BA9">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lastRenderedPageBreak/>
        <w:t xml:space="preserve">St. Johns River Estates Utilities, LLC </w:t>
      </w:r>
    </w:p>
    <w:p w:rsidR="00484BA9" w:rsidRPr="002F02B8" w:rsidRDefault="00484BA9" w:rsidP="00484BA9">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 xml:space="preserve">Schedule of </w:t>
      </w:r>
      <w:r>
        <w:rPr>
          <w:rFonts w:ascii="Arial" w:eastAsia="Calibri" w:hAnsi="Arial" w:cs="Arial"/>
          <w:b/>
          <w:bCs/>
          <w:color w:val="000000"/>
        </w:rPr>
        <w:t>Staff’s Recommended Account Balances</w:t>
      </w:r>
      <w:r w:rsidRPr="002F02B8">
        <w:rPr>
          <w:rFonts w:ascii="Arial" w:eastAsia="Calibri" w:hAnsi="Arial" w:cs="Arial"/>
          <w:b/>
          <w:bCs/>
          <w:color w:val="000000"/>
        </w:rPr>
        <w:t xml:space="preserve"> as of August 17, 2018</w:t>
      </w:r>
    </w:p>
    <w:p w:rsidR="00484BA9" w:rsidRPr="0044218D" w:rsidRDefault="00484BA9" w:rsidP="00484BA9">
      <w:pPr>
        <w:autoSpaceDE w:val="0"/>
        <w:autoSpaceDN w:val="0"/>
        <w:adjustRightInd w:val="0"/>
        <w:jc w:val="center"/>
        <w:rPr>
          <w:rFonts w:eastAsia="Calibri"/>
          <w:b/>
          <w:bCs/>
          <w:color w:val="000000"/>
        </w:rPr>
      </w:pPr>
    </w:p>
    <w:p w:rsidR="00484BA9" w:rsidRDefault="00484BA9" w:rsidP="00484BA9">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Water System</w:t>
      </w:r>
    </w:p>
    <w:p w:rsidR="00484BA9" w:rsidRPr="002F02B8" w:rsidRDefault="00484BA9" w:rsidP="00484BA9">
      <w:pPr>
        <w:autoSpaceDE w:val="0"/>
        <w:autoSpaceDN w:val="0"/>
        <w:adjustRightInd w:val="0"/>
        <w:jc w:val="center"/>
        <w:rPr>
          <w:rFonts w:ascii="Arial" w:eastAsia="Calibri" w:hAnsi="Arial" w:cs="Arial"/>
          <w:b/>
          <w:bCs/>
          <w:color w:val="000000"/>
        </w:rPr>
      </w:pPr>
    </w:p>
    <w:tbl>
      <w:tblPr>
        <w:tblW w:w="9482" w:type="dxa"/>
        <w:tblLook w:val="04A0" w:firstRow="1" w:lastRow="0" w:firstColumn="1" w:lastColumn="0" w:noHBand="0" w:noVBand="1"/>
      </w:tblPr>
      <w:tblGrid>
        <w:gridCol w:w="1352"/>
        <w:gridCol w:w="4500"/>
        <w:gridCol w:w="1638"/>
        <w:gridCol w:w="1992"/>
      </w:tblGrid>
      <w:tr w:rsidR="00484BA9" w:rsidRPr="0044218D" w:rsidTr="004A3E4F">
        <w:trPr>
          <w:trHeight w:val="548"/>
        </w:trPr>
        <w:tc>
          <w:tcPr>
            <w:tcW w:w="1352" w:type="dxa"/>
            <w:shd w:val="clear" w:color="auto" w:fill="auto"/>
            <w:vAlign w:val="bottom"/>
            <w:hideMark/>
          </w:tcPr>
          <w:p w:rsidR="00484BA9" w:rsidRPr="0044218D" w:rsidRDefault="00484BA9" w:rsidP="004A3E4F">
            <w:pPr>
              <w:jc w:val="center"/>
              <w:rPr>
                <w:b/>
                <w:bCs/>
                <w:color w:val="000000"/>
                <w:u w:val="single"/>
              </w:rPr>
            </w:pPr>
            <w:r w:rsidRPr="0044218D">
              <w:rPr>
                <w:b/>
                <w:bCs/>
                <w:color w:val="000000"/>
                <w:u w:val="single"/>
              </w:rPr>
              <w:t>Account</w:t>
            </w:r>
            <w:r w:rsidRPr="0044218D">
              <w:rPr>
                <w:b/>
                <w:bCs/>
                <w:color w:val="000000"/>
                <w:u w:val="single"/>
              </w:rPr>
              <w:br/>
              <w:t>No.</w:t>
            </w:r>
          </w:p>
        </w:tc>
        <w:tc>
          <w:tcPr>
            <w:tcW w:w="4500" w:type="dxa"/>
            <w:shd w:val="clear" w:color="auto" w:fill="auto"/>
            <w:noWrap/>
            <w:vAlign w:val="bottom"/>
            <w:hideMark/>
          </w:tcPr>
          <w:p w:rsidR="00484BA9" w:rsidRPr="0044218D" w:rsidRDefault="00484BA9" w:rsidP="004A3E4F">
            <w:pPr>
              <w:jc w:val="center"/>
              <w:rPr>
                <w:b/>
                <w:bCs/>
                <w:color w:val="000000"/>
                <w:u w:val="single"/>
              </w:rPr>
            </w:pPr>
            <w:r w:rsidRPr="0044218D">
              <w:rPr>
                <w:b/>
                <w:bCs/>
                <w:color w:val="000000"/>
                <w:u w:val="single"/>
              </w:rPr>
              <w:t>Description</w:t>
            </w:r>
          </w:p>
        </w:tc>
        <w:tc>
          <w:tcPr>
            <w:tcW w:w="1638" w:type="dxa"/>
            <w:shd w:val="clear" w:color="auto" w:fill="auto"/>
            <w:noWrap/>
            <w:vAlign w:val="bottom"/>
            <w:hideMark/>
          </w:tcPr>
          <w:p w:rsidR="00484BA9" w:rsidRPr="0044218D" w:rsidRDefault="00484BA9" w:rsidP="004A3E4F">
            <w:pPr>
              <w:jc w:val="center"/>
              <w:rPr>
                <w:b/>
                <w:bCs/>
                <w:color w:val="000000"/>
                <w:u w:val="single"/>
              </w:rPr>
            </w:pPr>
            <w:r w:rsidRPr="0044218D">
              <w:rPr>
                <w:b/>
                <w:bCs/>
                <w:color w:val="000000"/>
                <w:u w:val="single"/>
              </w:rPr>
              <w:t>UPIS</w:t>
            </w:r>
          </w:p>
        </w:tc>
        <w:tc>
          <w:tcPr>
            <w:tcW w:w="1992" w:type="dxa"/>
            <w:shd w:val="clear" w:color="auto" w:fill="auto"/>
            <w:vAlign w:val="bottom"/>
            <w:hideMark/>
          </w:tcPr>
          <w:p w:rsidR="00484BA9" w:rsidRPr="0044218D" w:rsidRDefault="00484BA9" w:rsidP="004A3E4F">
            <w:pPr>
              <w:jc w:val="center"/>
              <w:rPr>
                <w:b/>
                <w:bCs/>
                <w:color w:val="000000"/>
                <w:u w:val="single"/>
              </w:rPr>
            </w:pPr>
            <w:r w:rsidRPr="0044218D">
              <w:rPr>
                <w:b/>
                <w:bCs/>
                <w:color w:val="000000"/>
              </w:rPr>
              <w:t>Accumulated</w:t>
            </w:r>
            <w:r w:rsidRPr="0044218D">
              <w:rPr>
                <w:b/>
                <w:bCs/>
                <w:color w:val="000000"/>
                <w:u w:val="single"/>
              </w:rPr>
              <w:t xml:space="preserve"> </w:t>
            </w:r>
            <w:r w:rsidRPr="0044218D">
              <w:rPr>
                <w:b/>
                <w:bCs/>
                <w:color w:val="000000"/>
                <w:u w:val="single"/>
              </w:rPr>
              <w:br/>
              <w:t>Depreciation</w:t>
            </w:r>
          </w:p>
        </w:tc>
      </w:tr>
      <w:tr w:rsidR="00484BA9" w:rsidRPr="0044218D" w:rsidTr="004A3E4F">
        <w:trPr>
          <w:trHeight w:val="307"/>
        </w:trPr>
        <w:tc>
          <w:tcPr>
            <w:tcW w:w="1352" w:type="dxa"/>
            <w:shd w:val="clear" w:color="auto" w:fill="auto"/>
            <w:noWrap/>
            <w:vAlign w:val="bottom"/>
            <w:hideMark/>
          </w:tcPr>
          <w:p w:rsidR="00484BA9" w:rsidRPr="0044218D" w:rsidRDefault="00484BA9" w:rsidP="004A3E4F">
            <w:pPr>
              <w:jc w:val="center"/>
              <w:rPr>
                <w:color w:val="000000"/>
              </w:rPr>
            </w:pPr>
            <w:r w:rsidRPr="0044218D">
              <w:rPr>
                <w:color w:val="000000"/>
              </w:rPr>
              <w:t>304</w:t>
            </w:r>
          </w:p>
        </w:tc>
        <w:tc>
          <w:tcPr>
            <w:tcW w:w="4500" w:type="dxa"/>
            <w:shd w:val="clear" w:color="auto" w:fill="auto"/>
            <w:noWrap/>
            <w:vAlign w:val="bottom"/>
            <w:hideMark/>
          </w:tcPr>
          <w:p w:rsidR="00484BA9" w:rsidRPr="0044218D" w:rsidRDefault="00484BA9" w:rsidP="004A3E4F">
            <w:pPr>
              <w:rPr>
                <w:color w:val="000000"/>
              </w:rPr>
            </w:pPr>
            <w:r w:rsidRPr="0044218D">
              <w:rPr>
                <w:color w:val="000000"/>
              </w:rPr>
              <w:t>Structures &amp; Improvements</w:t>
            </w:r>
          </w:p>
        </w:tc>
        <w:tc>
          <w:tcPr>
            <w:tcW w:w="1638" w:type="dxa"/>
            <w:shd w:val="clear" w:color="auto" w:fill="auto"/>
            <w:noWrap/>
            <w:vAlign w:val="bottom"/>
            <w:hideMark/>
          </w:tcPr>
          <w:p w:rsidR="00484BA9" w:rsidRPr="0044218D" w:rsidRDefault="00484BA9" w:rsidP="004A3E4F">
            <w:pPr>
              <w:jc w:val="right"/>
              <w:rPr>
                <w:color w:val="000000"/>
              </w:rPr>
            </w:pPr>
            <w:r w:rsidRPr="0044218D">
              <w:rPr>
                <w:rFonts w:eastAsia="Calibri"/>
              </w:rPr>
              <w:t>$3,825</w:t>
            </w:r>
            <w:r w:rsidRPr="0044218D">
              <w:rPr>
                <w:color w:val="000000"/>
              </w:rPr>
              <w:t xml:space="preserve"> </w:t>
            </w:r>
          </w:p>
        </w:tc>
        <w:tc>
          <w:tcPr>
            <w:tcW w:w="1992" w:type="dxa"/>
            <w:shd w:val="clear" w:color="auto" w:fill="auto"/>
            <w:noWrap/>
            <w:hideMark/>
          </w:tcPr>
          <w:p w:rsidR="00484BA9" w:rsidRPr="0044218D" w:rsidRDefault="00484BA9" w:rsidP="004A3E4F">
            <w:pPr>
              <w:jc w:val="right"/>
              <w:rPr>
                <w:color w:val="000000"/>
              </w:rPr>
            </w:pPr>
            <w:r w:rsidRPr="0044218D">
              <w:rPr>
                <w:color w:val="000000"/>
              </w:rPr>
              <w:t>($3,825)</w:t>
            </w:r>
          </w:p>
        </w:tc>
      </w:tr>
      <w:tr w:rsidR="00484BA9" w:rsidRPr="0044218D" w:rsidTr="004A3E4F">
        <w:trPr>
          <w:trHeight w:val="307"/>
        </w:trPr>
        <w:tc>
          <w:tcPr>
            <w:tcW w:w="1352" w:type="dxa"/>
            <w:shd w:val="clear" w:color="auto" w:fill="auto"/>
            <w:noWrap/>
            <w:vAlign w:val="bottom"/>
            <w:hideMark/>
          </w:tcPr>
          <w:p w:rsidR="00484BA9" w:rsidRPr="0044218D" w:rsidRDefault="00484BA9" w:rsidP="004A3E4F">
            <w:pPr>
              <w:jc w:val="center"/>
              <w:rPr>
                <w:color w:val="000000"/>
              </w:rPr>
            </w:pPr>
            <w:r w:rsidRPr="0044218D">
              <w:rPr>
                <w:color w:val="000000"/>
              </w:rPr>
              <w:t>307</w:t>
            </w:r>
          </w:p>
        </w:tc>
        <w:tc>
          <w:tcPr>
            <w:tcW w:w="4500" w:type="dxa"/>
            <w:shd w:val="clear" w:color="auto" w:fill="auto"/>
            <w:noWrap/>
            <w:vAlign w:val="bottom"/>
            <w:hideMark/>
          </w:tcPr>
          <w:p w:rsidR="00484BA9" w:rsidRPr="0044218D" w:rsidRDefault="00484BA9" w:rsidP="004A3E4F">
            <w:pPr>
              <w:rPr>
                <w:color w:val="000000"/>
              </w:rPr>
            </w:pPr>
            <w:r w:rsidRPr="0044218D">
              <w:rPr>
                <w:color w:val="000000"/>
              </w:rPr>
              <w:t>Wells &amp; Springs</w:t>
            </w:r>
          </w:p>
        </w:tc>
        <w:tc>
          <w:tcPr>
            <w:tcW w:w="1638" w:type="dxa"/>
            <w:shd w:val="clear" w:color="auto" w:fill="auto"/>
            <w:noWrap/>
            <w:hideMark/>
          </w:tcPr>
          <w:p w:rsidR="00484BA9" w:rsidRPr="0044218D" w:rsidRDefault="00484BA9" w:rsidP="004A3E4F">
            <w:pPr>
              <w:jc w:val="right"/>
              <w:rPr>
                <w:color w:val="000000"/>
              </w:rPr>
            </w:pPr>
            <w:r w:rsidRPr="0044218D">
              <w:rPr>
                <w:rFonts w:eastAsia="Calibri"/>
              </w:rPr>
              <w:t xml:space="preserve">13,229 </w:t>
            </w:r>
          </w:p>
        </w:tc>
        <w:tc>
          <w:tcPr>
            <w:tcW w:w="1992" w:type="dxa"/>
            <w:shd w:val="clear" w:color="auto" w:fill="auto"/>
            <w:noWrap/>
            <w:hideMark/>
          </w:tcPr>
          <w:p w:rsidR="00484BA9" w:rsidRPr="0044218D" w:rsidRDefault="00484BA9" w:rsidP="004A3E4F">
            <w:pPr>
              <w:jc w:val="right"/>
              <w:rPr>
                <w:color w:val="000000"/>
              </w:rPr>
            </w:pPr>
            <w:r w:rsidRPr="0044218D">
              <w:rPr>
                <w:rFonts w:eastAsia="Calibri"/>
              </w:rPr>
              <w:t xml:space="preserve">(13,229) </w:t>
            </w:r>
          </w:p>
        </w:tc>
      </w:tr>
      <w:tr w:rsidR="00484BA9" w:rsidRPr="0044218D" w:rsidTr="004A3E4F">
        <w:trPr>
          <w:trHeight w:val="307"/>
        </w:trPr>
        <w:tc>
          <w:tcPr>
            <w:tcW w:w="1352" w:type="dxa"/>
            <w:shd w:val="clear" w:color="auto" w:fill="auto"/>
            <w:noWrap/>
            <w:vAlign w:val="bottom"/>
            <w:hideMark/>
          </w:tcPr>
          <w:p w:rsidR="00484BA9" w:rsidRPr="0044218D" w:rsidRDefault="00484BA9" w:rsidP="004A3E4F">
            <w:pPr>
              <w:jc w:val="center"/>
              <w:rPr>
                <w:color w:val="000000"/>
              </w:rPr>
            </w:pPr>
            <w:r w:rsidRPr="0044218D">
              <w:rPr>
                <w:color w:val="000000"/>
              </w:rPr>
              <w:t>311</w:t>
            </w:r>
          </w:p>
        </w:tc>
        <w:tc>
          <w:tcPr>
            <w:tcW w:w="4500" w:type="dxa"/>
            <w:shd w:val="clear" w:color="auto" w:fill="auto"/>
            <w:noWrap/>
            <w:vAlign w:val="bottom"/>
            <w:hideMark/>
          </w:tcPr>
          <w:p w:rsidR="00484BA9" w:rsidRPr="0044218D" w:rsidRDefault="00484BA9" w:rsidP="004A3E4F">
            <w:pPr>
              <w:rPr>
                <w:color w:val="000000"/>
              </w:rPr>
            </w:pPr>
            <w:r w:rsidRPr="0044218D">
              <w:rPr>
                <w:color w:val="000000"/>
              </w:rPr>
              <w:t>Pumping Equipment</w:t>
            </w:r>
          </w:p>
        </w:tc>
        <w:tc>
          <w:tcPr>
            <w:tcW w:w="1638" w:type="dxa"/>
            <w:shd w:val="clear" w:color="auto" w:fill="auto"/>
            <w:noWrap/>
            <w:hideMark/>
          </w:tcPr>
          <w:p w:rsidR="00484BA9" w:rsidRPr="0044218D" w:rsidRDefault="00484BA9" w:rsidP="004A3E4F">
            <w:pPr>
              <w:jc w:val="right"/>
              <w:rPr>
                <w:color w:val="000000"/>
              </w:rPr>
            </w:pPr>
            <w:r w:rsidRPr="0044218D">
              <w:rPr>
                <w:rFonts w:eastAsia="Calibri"/>
              </w:rPr>
              <w:t xml:space="preserve">10,924 </w:t>
            </w:r>
          </w:p>
        </w:tc>
        <w:tc>
          <w:tcPr>
            <w:tcW w:w="1992" w:type="dxa"/>
            <w:shd w:val="clear" w:color="auto" w:fill="auto"/>
            <w:noWrap/>
            <w:hideMark/>
          </w:tcPr>
          <w:p w:rsidR="00484BA9" w:rsidRPr="0044218D" w:rsidRDefault="00484BA9" w:rsidP="004A3E4F">
            <w:pPr>
              <w:jc w:val="right"/>
              <w:rPr>
                <w:color w:val="000000"/>
              </w:rPr>
            </w:pPr>
            <w:r w:rsidRPr="0044218D">
              <w:rPr>
                <w:rFonts w:eastAsia="Calibri"/>
              </w:rPr>
              <w:t>(10,505)</w:t>
            </w:r>
          </w:p>
        </w:tc>
      </w:tr>
      <w:tr w:rsidR="00484BA9" w:rsidRPr="0044218D" w:rsidTr="004A3E4F">
        <w:trPr>
          <w:trHeight w:val="307"/>
        </w:trPr>
        <w:tc>
          <w:tcPr>
            <w:tcW w:w="1352" w:type="dxa"/>
            <w:shd w:val="clear" w:color="auto" w:fill="auto"/>
            <w:noWrap/>
            <w:vAlign w:val="bottom"/>
            <w:hideMark/>
          </w:tcPr>
          <w:p w:rsidR="00484BA9" w:rsidRPr="0044218D" w:rsidRDefault="00484BA9" w:rsidP="004A3E4F">
            <w:pPr>
              <w:jc w:val="center"/>
              <w:rPr>
                <w:color w:val="000000"/>
              </w:rPr>
            </w:pPr>
            <w:r w:rsidRPr="0044218D">
              <w:rPr>
                <w:color w:val="000000"/>
              </w:rPr>
              <w:t>320</w:t>
            </w:r>
          </w:p>
        </w:tc>
        <w:tc>
          <w:tcPr>
            <w:tcW w:w="4500" w:type="dxa"/>
            <w:shd w:val="clear" w:color="auto" w:fill="auto"/>
            <w:noWrap/>
            <w:vAlign w:val="bottom"/>
            <w:hideMark/>
          </w:tcPr>
          <w:p w:rsidR="00484BA9" w:rsidRPr="0044218D" w:rsidRDefault="00484BA9" w:rsidP="004A3E4F">
            <w:pPr>
              <w:rPr>
                <w:color w:val="000000"/>
              </w:rPr>
            </w:pPr>
            <w:r w:rsidRPr="0044218D">
              <w:rPr>
                <w:color w:val="000000"/>
              </w:rPr>
              <w:t>Water Treatment Equipment</w:t>
            </w:r>
          </w:p>
        </w:tc>
        <w:tc>
          <w:tcPr>
            <w:tcW w:w="1638" w:type="dxa"/>
            <w:shd w:val="clear" w:color="auto" w:fill="auto"/>
            <w:noWrap/>
            <w:hideMark/>
          </w:tcPr>
          <w:p w:rsidR="00484BA9" w:rsidRPr="0044218D" w:rsidRDefault="00484BA9" w:rsidP="004A3E4F">
            <w:pPr>
              <w:jc w:val="right"/>
              <w:rPr>
                <w:color w:val="000000"/>
              </w:rPr>
            </w:pPr>
            <w:r w:rsidRPr="0044218D">
              <w:rPr>
                <w:rFonts w:eastAsia="Calibri"/>
              </w:rPr>
              <w:t>854</w:t>
            </w:r>
          </w:p>
        </w:tc>
        <w:tc>
          <w:tcPr>
            <w:tcW w:w="1992" w:type="dxa"/>
            <w:shd w:val="clear" w:color="auto" w:fill="auto"/>
            <w:noWrap/>
            <w:hideMark/>
          </w:tcPr>
          <w:p w:rsidR="00484BA9" w:rsidRPr="0044218D" w:rsidRDefault="00484BA9" w:rsidP="004A3E4F">
            <w:pPr>
              <w:jc w:val="right"/>
              <w:rPr>
                <w:color w:val="000000"/>
              </w:rPr>
            </w:pPr>
            <w:r w:rsidRPr="0044218D">
              <w:rPr>
                <w:rFonts w:eastAsia="Calibri"/>
              </w:rPr>
              <w:t xml:space="preserve">(854) </w:t>
            </w:r>
          </w:p>
        </w:tc>
      </w:tr>
      <w:tr w:rsidR="00484BA9" w:rsidRPr="0044218D" w:rsidTr="004A3E4F">
        <w:trPr>
          <w:trHeight w:val="307"/>
        </w:trPr>
        <w:tc>
          <w:tcPr>
            <w:tcW w:w="1352" w:type="dxa"/>
            <w:shd w:val="clear" w:color="auto" w:fill="auto"/>
            <w:noWrap/>
            <w:vAlign w:val="bottom"/>
            <w:hideMark/>
          </w:tcPr>
          <w:p w:rsidR="00484BA9" w:rsidRPr="0044218D" w:rsidRDefault="00484BA9" w:rsidP="004A3E4F">
            <w:pPr>
              <w:jc w:val="center"/>
              <w:rPr>
                <w:color w:val="000000"/>
              </w:rPr>
            </w:pPr>
            <w:r w:rsidRPr="0044218D">
              <w:rPr>
                <w:color w:val="000000"/>
              </w:rPr>
              <w:t>330</w:t>
            </w:r>
          </w:p>
        </w:tc>
        <w:tc>
          <w:tcPr>
            <w:tcW w:w="4500" w:type="dxa"/>
            <w:shd w:val="clear" w:color="auto" w:fill="auto"/>
            <w:noWrap/>
            <w:vAlign w:val="bottom"/>
            <w:hideMark/>
          </w:tcPr>
          <w:p w:rsidR="00484BA9" w:rsidRPr="0044218D" w:rsidRDefault="00484BA9" w:rsidP="004A3E4F">
            <w:pPr>
              <w:rPr>
                <w:color w:val="000000"/>
              </w:rPr>
            </w:pPr>
            <w:r w:rsidRPr="0044218D">
              <w:rPr>
                <w:color w:val="000000"/>
              </w:rPr>
              <w:t>Distribution Reservoirs</w:t>
            </w:r>
          </w:p>
        </w:tc>
        <w:tc>
          <w:tcPr>
            <w:tcW w:w="1638" w:type="dxa"/>
            <w:shd w:val="clear" w:color="auto" w:fill="auto"/>
            <w:noWrap/>
            <w:hideMark/>
          </w:tcPr>
          <w:p w:rsidR="00484BA9" w:rsidRPr="0044218D" w:rsidRDefault="00484BA9" w:rsidP="004A3E4F">
            <w:pPr>
              <w:jc w:val="right"/>
              <w:rPr>
                <w:color w:val="000000"/>
              </w:rPr>
            </w:pPr>
            <w:r w:rsidRPr="0044218D">
              <w:rPr>
                <w:rFonts w:eastAsia="Calibri"/>
              </w:rPr>
              <w:t xml:space="preserve">7,350 </w:t>
            </w:r>
          </w:p>
        </w:tc>
        <w:tc>
          <w:tcPr>
            <w:tcW w:w="1992" w:type="dxa"/>
            <w:shd w:val="clear" w:color="auto" w:fill="auto"/>
            <w:noWrap/>
            <w:hideMark/>
          </w:tcPr>
          <w:p w:rsidR="00484BA9" w:rsidRPr="0044218D" w:rsidRDefault="00484BA9" w:rsidP="004A3E4F">
            <w:pPr>
              <w:jc w:val="right"/>
              <w:rPr>
                <w:color w:val="000000"/>
              </w:rPr>
            </w:pPr>
            <w:r w:rsidRPr="0044218D">
              <w:rPr>
                <w:rFonts w:eastAsia="Calibri"/>
              </w:rPr>
              <w:t>(7,350)</w:t>
            </w:r>
          </w:p>
        </w:tc>
      </w:tr>
      <w:tr w:rsidR="00484BA9" w:rsidRPr="0044218D" w:rsidTr="004A3E4F">
        <w:trPr>
          <w:trHeight w:val="307"/>
        </w:trPr>
        <w:tc>
          <w:tcPr>
            <w:tcW w:w="1352" w:type="dxa"/>
            <w:shd w:val="clear" w:color="auto" w:fill="auto"/>
            <w:noWrap/>
            <w:vAlign w:val="bottom"/>
            <w:hideMark/>
          </w:tcPr>
          <w:p w:rsidR="00484BA9" w:rsidRPr="0044218D" w:rsidRDefault="00484BA9" w:rsidP="004A3E4F">
            <w:pPr>
              <w:jc w:val="center"/>
              <w:rPr>
                <w:color w:val="000000"/>
              </w:rPr>
            </w:pPr>
            <w:r w:rsidRPr="0044218D">
              <w:rPr>
                <w:color w:val="000000"/>
              </w:rPr>
              <w:t>331</w:t>
            </w:r>
          </w:p>
        </w:tc>
        <w:tc>
          <w:tcPr>
            <w:tcW w:w="4500" w:type="dxa"/>
            <w:shd w:val="clear" w:color="auto" w:fill="auto"/>
            <w:noWrap/>
            <w:vAlign w:val="bottom"/>
            <w:hideMark/>
          </w:tcPr>
          <w:p w:rsidR="00484BA9" w:rsidRPr="0044218D" w:rsidRDefault="00484BA9" w:rsidP="004A3E4F">
            <w:pPr>
              <w:rPr>
                <w:color w:val="000000"/>
              </w:rPr>
            </w:pPr>
            <w:r w:rsidRPr="0044218D">
              <w:rPr>
                <w:color w:val="000000"/>
              </w:rPr>
              <w:t>Transmission &amp; Distribution Mains</w:t>
            </w:r>
          </w:p>
        </w:tc>
        <w:tc>
          <w:tcPr>
            <w:tcW w:w="1638" w:type="dxa"/>
            <w:shd w:val="clear" w:color="auto" w:fill="auto"/>
            <w:noWrap/>
            <w:vAlign w:val="bottom"/>
            <w:hideMark/>
          </w:tcPr>
          <w:p w:rsidR="00484BA9" w:rsidRPr="0044218D" w:rsidRDefault="00484BA9" w:rsidP="004A3E4F">
            <w:pPr>
              <w:jc w:val="right"/>
              <w:rPr>
                <w:color w:val="000000"/>
              </w:rPr>
            </w:pPr>
            <w:r w:rsidRPr="0044218D">
              <w:rPr>
                <w:color w:val="000000"/>
              </w:rPr>
              <w:t xml:space="preserve">     33,346</w:t>
            </w:r>
          </w:p>
        </w:tc>
        <w:tc>
          <w:tcPr>
            <w:tcW w:w="1992" w:type="dxa"/>
            <w:shd w:val="clear" w:color="auto" w:fill="auto"/>
            <w:noWrap/>
            <w:vAlign w:val="bottom"/>
            <w:hideMark/>
          </w:tcPr>
          <w:p w:rsidR="00484BA9" w:rsidRPr="0044218D" w:rsidRDefault="00484BA9" w:rsidP="004A3E4F">
            <w:pPr>
              <w:jc w:val="right"/>
              <w:rPr>
                <w:color w:val="000000"/>
              </w:rPr>
            </w:pPr>
            <w:r w:rsidRPr="0044218D">
              <w:rPr>
                <w:rFonts w:eastAsia="Calibri"/>
              </w:rPr>
              <w:t>(29,853)</w:t>
            </w:r>
          </w:p>
        </w:tc>
      </w:tr>
      <w:tr w:rsidR="00484BA9" w:rsidRPr="0044218D" w:rsidTr="004A3E4F">
        <w:trPr>
          <w:trHeight w:val="307"/>
        </w:trPr>
        <w:tc>
          <w:tcPr>
            <w:tcW w:w="1352" w:type="dxa"/>
            <w:shd w:val="clear" w:color="auto" w:fill="auto"/>
            <w:noWrap/>
            <w:vAlign w:val="bottom"/>
            <w:hideMark/>
          </w:tcPr>
          <w:p w:rsidR="00484BA9" w:rsidRPr="0044218D" w:rsidRDefault="00484BA9" w:rsidP="004A3E4F">
            <w:pPr>
              <w:jc w:val="center"/>
              <w:rPr>
                <w:color w:val="000000"/>
              </w:rPr>
            </w:pPr>
            <w:r w:rsidRPr="0044218D">
              <w:rPr>
                <w:color w:val="000000"/>
              </w:rPr>
              <w:t>333</w:t>
            </w:r>
          </w:p>
        </w:tc>
        <w:tc>
          <w:tcPr>
            <w:tcW w:w="4500" w:type="dxa"/>
            <w:shd w:val="clear" w:color="auto" w:fill="auto"/>
            <w:noWrap/>
            <w:vAlign w:val="bottom"/>
            <w:hideMark/>
          </w:tcPr>
          <w:p w:rsidR="00484BA9" w:rsidRPr="0044218D" w:rsidRDefault="00484BA9" w:rsidP="004A3E4F">
            <w:pPr>
              <w:rPr>
                <w:color w:val="000000"/>
              </w:rPr>
            </w:pPr>
            <w:r w:rsidRPr="0044218D">
              <w:rPr>
                <w:color w:val="000000"/>
              </w:rPr>
              <w:t>Services</w:t>
            </w:r>
          </w:p>
        </w:tc>
        <w:tc>
          <w:tcPr>
            <w:tcW w:w="1638" w:type="dxa"/>
            <w:shd w:val="clear" w:color="auto" w:fill="auto"/>
            <w:noWrap/>
            <w:vAlign w:val="bottom"/>
            <w:hideMark/>
          </w:tcPr>
          <w:p w:rsidR="00484BA9" w:rsidRPr="0044218D" w:rsidRDefault="00484BA9" w:rsidP="004A3E4F">
            <w:pPr>
              <w:jc w:val="right"/>
              <w:rPr>
                <w:color w:val="000000"/>
              </w:rPr>
            </w:pPr>
            <w:r w:rsidRPr="0044218D">
              <w:rPr>
                <w:color w:val="000000"/>
              </w:rPr>
              <w:t>8,530</w:t>
            </w:r>
          </w:p>
        </w:tc>
        <w:tc>
          <w:tcPr>
            <w:tcW w:w="1992" w:type="dxa"/>
            <w:shd w:val="clear" w:color="auto" w:fill="auto"/>
            <w:noWrap/>
            <w:vAlign w:val="bottom"/>
            <w:hideMark/>
          </w:tcPr>
          <w:p w:rsidR="00484BA9" w:rsidRPr="0044218D" w:rsidRDefault="00484BA9" w:rsidP="004A3E4F">
            <w:pPr>
              <w:jc w:val="right"/>
              <w:rPr>
                <w:color w:val="000000"/>
              </w:rPr>
            </w:pPr>
            <w:r w:rsidRPr="0044218D">
              <w:rPr>
                <w:rFonts w:eastAsia="Calibri"/>
              </w:rPr>
              <w:t>(8,322)</w:t>
            </w:r>
          </w:p>
        </w:tc>
      </w:tr>
      <w:tr w:rsidR="00484BA9" w:rsidRPr="0044218D" w:rsidTr="004A3E4F">
        <w:trPr>
          <w:trHeight w:val="307"/>
        </w:trPr>
        <w:tc>
          <w:tcPr>
            <w:tcW w:w="1352" w:type="dxa"/>
            <w:shd w:val="clear" w:color="auto" w:fill="auto"/>
            <w:noWrap/>
            <w:vAlign w:val="bottom"/>
            <w:hideMark/>
          </w:tcPr>
          <w:p w:rsidR="00484BA9" w:rsidRPr="0044218D" w:rsidRDefault="00484BA9" w:rsidP="004A3E4F">
            <w:pPr>
              <w:jc w:val="center"/>
              <w:rPr>
                <w:color w:val="000000"/>
              </w:rPr>
            </w:pPr>
            <w:r w:rsidRPr="0044218D">
              <w:rPr>
                <w:color w:val="000000"/>
              </w:rPr>
              <w:t>334</w:t>
            </w:r>
          </w:p>
        </w:tc>
        <w:tc>
          <w:tcPr>
            <w:tcW w:w="4500" w:type="dxa"/>
            <w:shd w:val="clear" w:color="auto" w:fill="auto"/>
            <w:noWrap/>
            <w:vAlign w:val="bottom"/>
            <w:hideMark/>
          </w:tcPr>
          <w:p w:rsidR="00484BA9" w:rsidRPr="0044218D" w:rsidRDefault="00484BA9" w:rsidP="004A3E4F">
            <w:pPr>
              <w:rPr>
                <w:color w:val="000000"/>
              </w:rPr>
            </w:pPr>
            <w:r w:rsidRPr="0044218D">
              <w:rPr>
                <w:color w:val="000000"/>
              </w:rPr>
              <w:t>Meters &amp; Meter Install</w:t>
            </w:r>
          </w:p>
        </w:tc>
        <w:tc>
          <w:tcPr>
            <w:tcW w:w="1638" w:type="dxa"/>
            <w:shd w:val="clear" w:color="auto" w:fill="auto"/>
            <w:noWrap/>
            <w:vAlign w:val="bottom"/>
            <w:hideMark/>
          </w:tcPr>
          <w:p w:rsidR="00484BA9" w:rsidRPr="0044218D" w:rsidRDefault="00484BA9" w:rsidP="004A3E4F">
            <w:pPr>
              <w:jc w:val="right"/>
              <w:rPr>
                <w:color w:val="000000"/>
                <w:u w:val="single"/>
              </w:rPr>
            </w:pPr>
            <w:r w:rsidRPr="0044218D">
              <w:rPr>
                <w:color w:val="000000"/>
                <w:u w:val="single"/>
              </w:rPr>
              <w:t>6,972</w:t>
            </w:r>
          </w:p>
        </w:tc>
        <w:tc>
          <w:tcPr>
            <w:tcW w:w="1992" w:type="dxa"/>
            <w:shd w:val="clear" w:color="auto" w:fill="auto"/>
            <w:noWrap/>
            <w:vAlign w:val="bottom"/>
            <w:hideMark/>
          </w:tcPr>
          <w:p w:rsidR="00484BA9" w:rsidRPr="0044218D" w:rsidRDefault="00484BA9" w:rsidP="004A3E4F">
            <w:pPr>
              <w:jc w:val="right"/>
              <w:rPr>
                <w:color w:val="000000"/>
                <w:u w:val="single"/>
              </w:rPr>
            </w:pPr>
            <w:r w:rsidRPr="0044218D">
              <w:rPr>
                <w:rFonts w:eastAsia="Calibri"/>
                <w:u w:val="single"/>
              </w:rPr>
              <w:t>(6,740)</w:t>
            </w:r>
            <w:r w:rsidRPr="0044218D">
              <w:rPr>
                <w:color w:val="000000"/>
                <w:u w:val="single"/>
              </w:rPr>
              <w:t xml:space="preserve">          </w:t>
            </w:r>
          </w:p>
        </w:tc>
      </w:tr>
      <w:tr w:rsidR="00484BA9" w:rsidRPr="0044218D" w:rsidTr="004A3E4F">
        <w:trPr>
          <w:trHeight w:val="307"/>
        </w:trPr>
        <w:tc>
          <w:tcPr>
            <w:tcW w:w="1352" w:type="dxa"/>
            <w:shd w:val="clear" w:color="auto" w:fill="auto"/>
            <w:noWrap/>
            <w:vAlign w:val="bottom"/>
          </w:tcPr>
          <w:p w:rsidR="00484BA9" w:rsidRPr="0044218D" w:rsidRDefault="00484BA9" w:rsidP="004A3E4F">
            <w:pPr>
              <w:jc w:val="center"/>
              <w:rPr>
                <w:color w:val="000000"/>
              </w:rPr>
            </w:pPr>
          </w:p>
        </w:tc>
        <w:tc>
          <w:tcPr>
            <w:tcW w:w="4500" w:type="dxa"/>
            <w:shd w:val="clear" w:color="auto" w:fill="auto"/>
            <w:noWrap/>
            <w:vAlign w:val="bottom"/>
          </w:tcPr>
          <w:p w:rsidR="00484BA9" w:rsidRPr="0044218D" w:rsidRDefault="00484BA9" w:rsidP="004A3E4F">
            <w:pPr>
              <w:rPr>
                <w:color w:val="000000"/>
              </w:rPr>
            </w:pPr>
          </w:p>
        </w:tc>
        <w:tc>
          <w:tcPr>
            <w:tcW w:w="1638" w:type="dxa"/>
            <w:shd w:val="clear" w:color="auto" w:fill="auto"/>
            <w:noWrap/>
            <w:vAlign w:val="bottom"/>
          </w:tcPr>
          <w:p w:rsidR="00484BA9" w:rsidRPr="0044218D" w:rsidRDefault="00484BA9" w:rsidP="004A3E4F">
            <w:pPr>
              <w:rPr>
                <w:color w:val="000000"/>
              </w:rPr>
            </w:pPr>
          </w:p>
        </w:tc>
        <w:tc>
          <w:tcPr>
            <w:tcW w:w="1992" w:type="dxa"/>
            <w:shd w:val="clear" w:color="auto" w:fill="auto"/>
            <w:noWrap/>
            <w:vAlign w:val="bottom"/>
          </w:tcPr>
          <w:p w:rsidR="00484BA9" w:rsidRPr="0044218D" w:rsidRDefault="00484BA9" w:rsidP="004A3E4F">
            <w:pPr>
              <w:jc w:val="right"/>
              <w:rPr>
                <w:color w:val="000000"/>
              </w:rPr>
            </w:pPr>
          </w:p>
        </w:tc>
      </w:tr>
      <w:tr w:rsidR="00484BA9" w:rsidRPr="0044218D" w:rsidTr="004A3E4F">
        <w:trPr>
          <w:trHeight w:val="307"/>
        </w:trPr>
        <w:tc>
          <w:tcPr>
            <w:tcW w:w="1352" w:type="dxa"/>
            <w:shd w:val="clear" w:color="auto" w:fill="auto"/>
            <w:noWrap/>
            <w:vAlign w:val="bottom"/>
            <w:hideMark/>
          </w:tcPr>
          <w:p w:rsidR="00484BA9" w:rsidRPr="0044218D" w:rsidRDefault="00484BA9" w:rsidP="004A3E4F">
            <w:pPr>
              <w:rPr>
                <w:color w:val="000000"/>
              </w:rPr>
            </w:pPr>
          </w:p>
        </w:tc>
        <w:tc>
          <w:tcPr>
            <w:tcW w:w="4500" w:type="dxa"/>
            <w:shd w:val="clear" w:color="auto" w:fill="auto"/>
            <w:noWrap/>
            <w:vAlign w:val="bottom"/>
            <w:hideMark/>
          </w:tcPr>
          <w:p w:rsidR="00484BA9" w:rsidRPr="0044218D" w:rsidRDefault="00484BA9" w:rsidP="004A3E4F">
            <w:pPr>
              <w:rPr>
                <w:color w:val="000000"/>
              </w:rPr>
            </w:pPr>
            <w:r w:rsidRPr="0044218D">
              <w:rPr>
                <w:color w:val="000000"/>
              </w:rPr>
              <w:t>Total</w:t>
            </w:r>
          </w:p>
        </w:tc>
        <w:tc>
          <w:tcPr>
            <w:tcW w:w="1638" w:type="dxa"/>
            <w:shd w:val="clear" w:color="auto" w:fill="auto"/>
            <w:noWrap/>
            <w:vAlign w:val="bottom"/>
            <w:hideMark/>
          </w:tcPr>
          <w:p w:rsidR="00484BA9" w:rsidRPr="0044218D" w:rsidRDefault="00484BA9" w:rsidP="004A3E4F">
            <w:pPr>
              <w:jc w:val="right"/>
              <w:rPr>
                <w:color w:val="000000"/>
                <w:u w:val="double"/>
              </w:rPr>
            </w:pPr>
            <w:r w:rsidRPr="0044218D">
              <w:rPr>
                <w:color w:val="000000"/>
                <w:u w:val="double"/>
              </w:rPr>
              <w:t>$</w:t>
            </w:r>
            <w:r w:rsidRPr="0044218D">
              <w:rPr>
                <w:rFonts w:eastAsia="Calibri"/>
                <w:u w:val="double"/>
              </w:rPr>
              <w:t>85,030</w:t>
            </w:r>
          </w:p>
        </w:tc>
        <w:tc>
          <w:tcPr>
            <w:tcW w:w="1992" w:type="dxa"/>
            <w:shd w:val="clear" w:color="auto" w:fill="auto"/>
            <w:noWrap/>
            <w:vAlign w:val="bottom"/>
            <w:hideMark/>
          </w:tcPr>
          <w:p w:rsidR="00484BA9" w:rsidRPr="0044218D" w:rsidRDefault="00484BA9" w:rsidP="004A3E4F">
            <w:pPr>
              <w:jc w:val="right"/>
              <w:rPr>
                <w:color w:val="000000"/>
                <w:u w:val="double"/>
              </w:rPr>
            </w:pPr>
            <w:r w:rsidRPr="0044218D">
              <w:rPr>
                <w:color w:val="000000"/>
                <w:u w:val="double"/>
              </w:rPr>
              <w:t>($</w:t>
            </w:r>
            <w:r w:rsidRPr="0044218D">
              <w:rPr>
                <w:rFonts w:eastAsia="Calibri"/>
                <w:u w:val="double"/>
              </w:rPr>
              <w:t>80,678)</w:t>
            </w:r>
          </w:p>
        </w:tc>
      </w:tr>
    </w:tbl>
    <w:p w:rsidR="00484BA9" w:rsidRDefault="00484BA9" w:rsidP="00484BA9">
      <w:pPr>
        <w:jc w:val="center"/>
        <w:rPr>
          <w:rFonts w:eastAsia="Calibri"/>
          <w:b/>
          <w:bCs/>
        </w:rPr>
      </w:pPr>
    </w:p>
    <w:p w:rsidR="00484BA9" w:rsidRPr="0044218D" w:rsidRDefault="00484BA9" w:rsidP="00484BA9">
      <w:pPr>
        <w:jc w:val="center"/>
        <w:rPr>
          <w:rFonts w:eastAsia="Calibri"/>
          <w:b/>
          <w:bCs/>
        </w:rPr>
      </w:pPr>
    </w:p>
    <w:p w:rsidR="00484BA9" w:rsidRDefault="00484BA9" w:rsidP="00484BA9">
      <w:pPr>
        <w:autoSpaceDE w:val="0"/>
        <w:autoSpaceDN w:val="0"/>
        <w:adjustRightInd w:val="0"/>
        <w:jc w:val="center"/>
        <w:rPr>
          <w:rFonts w:ascii="Arial" w:eastAsia="Calibri" w:hAnsi="Arial" w:cs="Arial"/>
          <w:b/>
          <w:bCs/>
          <w:color w:val="000000"/>
        </w:rPr>
      </w:pPr>
      <w:r w:rsidRPr="002F02B8">
        <w:rPr>
          <w:rFonts w:ascii="Arial" w:eastAsia="Calibri" w:hAnsi="Arial" w:cs="Arial"/>
          <w:b/>
          <w:bCs/>
          <w:color w:val="000000"/>
        </w:rPr>
        <w:t>Wastewater System</w:t>
      </w:r>
    </w:p>
    <w:p w:rsidR="00484BA9" w:rsidRPr="002F02B8" w:rsidRDefault="00484BA9" w:rsidP="00484BA9">
      <w:pPr>
        <w:autoSpaceDE w:val="0"/>
        <w:autoSpaceDN w:val="0"/>
        <w:adjustRightInd w:val="0"/>
        <w:jc w:val="center"/>
        <w:rPr>
          <w:rFonts w:ascii="Arial" w:eastAsia="Calibri" w:hAnsi="Arial" w:cs="Arial"/>
          <w:b/>
          <w:bCs/>
          <w:color w:val="000000"/>
        </w:rPr>
      </w:pPr>
    </w:p>
    <w:tbl>
      <w:tblPr>
        <w:tblW w:w="9482" w:type="dxa"/>
        <w:jc w:val="center"/>
        <w:tblLook w:val="04A0" w:firstRow="1" w:lastRow="0" w:firstColumn="1" w:lastColumn="0" w:noHBand="0" w:noVBand="1"/>
      </w:tblPr>
      <w:tblGrid>
        <w:gridCol w:w="1352"/>
        <w:gridCol w:w="4500"/>
        <w:gridCol w:w="1638"/>
        <w:gridCol w:w="1992"/>
      </w:tblGrid>
      <w:tr w:rsidR="00484BA9" w:rsidRPr="0044218D" w:rsidTr="004A3E4F">
        <w:trPr>
          <w:trHeight w:val="548"/>
          <w:jc w:val="center"/>
        </w:trPr>
        <w:tc>
          <w:tcPr>
            <w:tcW w:w="1352" w:type="dxa"/>
            <w:shd w:val="clear" w:color="auto" w:fill="auto"/>
            <w:vAlign w:val="bottom"/>
            <w:hideMark/>
          </w:tcPr>
          <w:p w:rsidR="00484BA9" w:rsidRPr="0044218D" w:rsidRDefault="00484BA9" w:rsidP="004A3E4F">
            <w:pPr>
              <w:jc w:val="center"/>
              <w:rPr>
                <w:b/>
                <w:bCs/>
                <w:color w:val="000000"/>
                <w:u w:val="single"/>
              </w:rPr>
            </w:pPr>
            <w:r w:rsidRPr="0044218D">
              <w:rPr>
                <w:b/>
                <w:bCs/>
                <w:color w:val="000000"/>
                <w:u w:val="single"/>
              </w:rPr>
              <w:t>Account</w:t>
            </w:r>
            <w:r w:rsidRPr="0044218D">
              <w:rPr>
                <w:b/>
                <w:bCs/>
                <w:color w:val="000000"/>
                <w:u w:val="single"/>
              </w:rPr>
              <w:br/>
              <w:t>No.</w:t>
            </w:r>
          </w:p>
        </w:tc>
        <w:tc>
          <w:tcPr>
            <w:tcW w:w="4500" w:type="dxa"/>
            <w:shd w:val="clear" w:color="auto" w:fill="auto"/>
            <w:noWrap/>
            <w:vAlign w:val="bottom"/>
            <w:hideMark/>
          </w:tcPr>
          <w:p w:rsidR="00484BA9" w:rsidRPr="0044218D" w:rsidRDefault="00484BA9" w:rsidP="004A3E4F">
            <w:pPr>
              <w:jc w:val="center"/>
              <w:rPr>
                <w:b/>
                <w:bCs/>
                <w:color w:val="000000"/>
                <w:u w:val="single"/>
              </w:rPr>
            </w:pPr>
            <w:r w:rsidRPr="0044218D">
              <w:rPr>
                <w:b/>
                <w:bCs/>
                <w:color w:val="000000"/>
                <w:u w:val="single"/>
              </w:rPr>
              <w:t>Description</w:t>
            </w:r>
          </w:p>
        </w:tc>
        <w:tc>
          <w:tcPr>
            <w:tcW w:w="1638" w:type="dxa"/>
            <w:shd w:val="clear" w:color="auto" w:fill="auto"/>
            <w:noWrap/>
            <w:vAlign w:val="bottom"/>
            <w:hideMark/>
          </w:tcPr>
          <w:p w:rsidR="00484BA9" w:rsidRPr="0044218D" w:rsidRDefault="00484BA9" w:rsidP="004A3E4F">
            <w:pPr>
              <w:jc w:val="center"/>
              <w:rPr>
                <w:b/>
                <w:bCs/>
                <w:color w:val="000000"/>
                <w:u w:val="single"/>
              </w:rPr>
            </w:pPr>
            <w:r w:rsidRPr="0044218D">
              <w:rPr>
                <w:b/>
                <w:bCs/>
                <w:color w:val="000000"/>
                <w:u w:val="single"/>
              </w:rPr>
              <w:t>UPIS</w:t>
            </w:r>
          </w:p>
        </w:tc>
        <w:tc>
          <w:tcPr>
            <w:tcW w:w="1992" w:type="dxa"/>
            <w:shd w:val="clear" w:color="auto" w:fill="auto"/>
            <w:vAlign w:val="bottom"/>
            <w:hideMark/>
          </w:tcPr>
          <w:p w:rsidR="00484BA9" w:rsidRPr="0044218D" w:rsidRDefault="00484BA9" w:rsidP="004A3E4F">
            <w:pPr>
              <w:jc w:val="center"/>
              <w:rPr>
                <w:b/>
                <w:bCs/>
                <w:color w:val="000000"/>
                <w:u w:val="single"/>
              </w:rPr>
            </w:pPr>
            <w:r w:rsidRPr="0044218D">
              <w:rPr>
                <w:b/>
                <w:bCs/>
                <w:color w:val="000000"/>
              </w:rPr>
              <w:t>Accumulated</w:t>
            </w:r>
            <w:r w:rsidRPr="0044218D">
              <w:rPr>
                <w:b/>
                <w:bCs/>
                <w:color w:val="000000"/>
                <w:u w:val="single"/>
              </w:rPr>
              <w:t xml:space="preserve"> </w:t>
            </w:r>
            <w:r w:rsidRPr="0044218D">
              <w:rPr>
                <w:b/>
                <w:bCs/>
                <w:color w:val="000000"/>
                <w:u w:val="single"/>
              </w:rPr>
              <w:br/>
              <w:t>Depreciation</w:t>
            </w:r>
          </w:p>
        </w:tc>
      </w:tr>
      <w:tr w:rsidR="00484BA9" w:rsidRPr="0044218D" w:rsidTr="004A3E4F">
        <w:trPr>
          <w:trHeight w:val="307"/>
          <w:jc w:val="center"/>
        </w:trPr>
        <w:tc>
          <w:tcPr>
            <w:tcW w:w="1352" w:type="dxa"/>
            <w:shd w:val="clear" w:color="auto" w:fill="auto"/>
            <w:noWrap/>
            <w:vAlign w:val="bottom"/>
          </w:tcPr>
          <w:p w:rsidR="00484BA9" w:rsidRPr="0044218D" w:rsidRDefault="00484BA9" w:rsidP="004A3E4F">
            <w:pPr>
              <w:jc w:val="center"/>
              <w:rPr>
                <w:color w:val="000000"/>
              </w:rPr>
            </w:pPr>
            <w:r w:rsidRPr="0044218D">
              <w:rPr>
                <w:rFonts w:eastAsia="Calibri"/>
                <w:bCs/>
                <w:color w:val="000000"/>
              </w:rPr>
              <w:t>354</w:t>
            </w:r>
          </w:p>
        </w:tc>
        <w:tc>
          <w:tcPr>
            <w:tcW w:w="4500" w:type="dxa"/>
            <w:shd w:val="clear" w:color="auto" w:fill="auto"/>
            <w:noWrap/>
            <w:vAlign w:val="bottom"/>
          </w:tcPr>
          <w:p w:rsidR="00484BA9" w:rsidRPr="0044218D" w:rsidRDefault="00484BA9" w:rsidP="004A3E4F">
            <w:pPr>
              <w:rPr>
                <w:color w:val="000000"/>
              </w:rPr>
            </w:pPr>
            <w:r w:rsidRPr="0044218D">
              <w:rPr>
                <w:rFonts w:eastAsia="Calibri"/>
                <w:bCs/>
                <w:color w:val="000000"/>
              </w:rPr>
              <w:t>Structures &amp; Improvements</w:t>
            </w:r>
          </w:p>
        </w:tc>
        <w:tc>
          <w:tcPr>
            <w:tcW w:w="1638" w:type="dxa"/>
            <w:shd w:val="clear" w:color="auto" w:fill="auto"/>
            <w:noWrap/>
            <w:vAlign w:val="bottom"/>
            <w:hideMark/>
          </w:tcPr>
          <w:p w:rsidR="00484BA9" w:rsidRPr="0044218D" w:rsidRDefault="00484BA9" w:rsidP="004A3E4F">
            <w:pPr>
              <w:jc w:val="right"/>
              <w:rPr>
                <w:color w:val="000000"/>
              </w:rPr>
            </w:pPr>
            <w:r w:rsidRPr="0044218D">
              <w:rPr>
                <w:rFonts w:eastAsia="Calibri"/>
              </w:rPr>
              <w:t>$49,635</w:t>
            </w:r>
            <w:r w:rsidRPr="0044218D">
              <w:rPr>
                <w:color w:val="000000"/>
              </w:rPr>
              <w:t xml:space="preserve"> </w:t>
            </w:r>
          </w:p>
        </w:tc>
        <w:tc>
          <w:tcPr>
            <w:tcW w:w="1992" w:type="dxa"/>
            <w:shd w:val="clear" w:color="auto" w:fill="auto"/>
            <w:noWrap/>
            <w:hideMark/>
          </w:tcPr>
          <w:p w:rsidR="00484BA9" w:rsidRPr="0044218D" w:rsidRDefault="00484BA9" w:rsidP="004A3E4F">
            <w:pPr>
              <w:jc w:val="right"/>
              <w:rPr>
                <w:color w:val="000000"/>
              </w:rPr>
            </w:pPr>
            <w:r w:rsidRPr="0044218D">
              <w:rPr>
                <w:rFonts w:eastAsia="Calibri"/>
              </w:rPr>
              <w:t xml:space="preserve">($49,635) </w:t>
            </w:r>
          </w:p>
        </w:tc>
      </w:tr>
      <w:tr w:rsidR="00484BA9" w:rsidRPr="0044218D" w:rsidTr="004A3E4F">
        <w:trPr>
          <w:trHeight w:val="307"/>
          <w:jc w:val="center"/>
        </w:trPr>
        <w:tc>
          <w:tcPr>
            <w:tcW w:w="1352" w:type="dxa"/>
            <w:shd w:val="clear" w:color="auto" w:fill="auto"/>
            <w:noWrap/>
            <w:vAlign w:val="bottom"/>
          </w:tcPr>
          <w:p w:rsidR="00484BA9" w:rsidRPr="0044218D" w:rsidRDefault="00484BA9" w:rsidP="004A3E4F">
            <w:pPr>
              <w:jc w:val="center"/>
              <w:rPr>
                <w:color w:val="000000"/>
              </w:rPr>
            </w:pPr>
            <w:r w:rsidRPr="0044218D">
              <w:rPr>
                <w:rFonts w:eastAsia="Calibri"/>
                <w:bCs/>
                <w:color w:val="000000"/>
              </w:rPr>
              <w:t>360</w:t>
            </w:r>
          </w:p>
        </w:tc>
        <w:tc>
          <w:tcPr>
            <w:tcW w:w="4500" w:type="dxa"/>
            <w:shd w:val="clear" w:color="auto" w:fill="auto"/>
            <w:noWrap/>
            <w:vAlign w:val="bottom"/>
          </w:tcPr>
          <w:p w:rsidR="00484BA9" w:rsidRPr="0044218D" w:rsidRDefault="00484BA9" w:rsidP="004A3E4F">
            <w:pPr>
              <w:rPr>
                <w:color w:val="000000"/>
              </w:rPr>
            </w:pPr>
            <w:r w:rsidRPr="0044218D">
              <w:rPr>
                <w:rFonts w:eastAsia="Calibri"/>
                <w:bCs/>
                <w:color w:val="000000"/>
              </w:rPr>
              <w:t>Collection Sewers - Force</w:t>
            </w:r>
          </w:p>
        </w:tc>
        <w:tc>
          <w:tcPr>
            <w:tcW w:w="1638" w:type="dxa"/>
            <w:shd w:val="clear" w:color="auto" w:fill="auto"/>
            <w:noWrap/>
            <w:hideMark/>
          </w:tcPr>
          <w:p w:rsidR="00484BA9" w:rsidRPr="0044218D" w:rsidRDefault="00484BA9" w:rsidP="004A3E4F">
            <w:pPr>
              <w:jc w:val="right"/>
              <w:rPr>
                <w:color w:val="000000"/>
              </w:rPr>
            </w:pPr>
            <w:r w:rsidRPr="0044218D">
              <w:rPr>
                <w:rFonts w:eastAsia="Calibri"/>
              </w:rPr>
              <w:t xml:space="preserve">8,681 </w:t>
            </w:r>
          </w:p>
        </w:tc>
        <w:tc>
          <w:tcPr>
            <w:tcW w:w="1992" w:type="dxa"/>
            <w:shd w:val="clear" w:color="auto" w:fill="auto"/>
            <w:noWrap/>
            <w:hideMark/>
          </w:tcPr>
          <w:p w:rsidR="00484BA9" w:rsidRPr="0044218D" w:rsidRDefault="00484BA9" w:rsidP="004A3E4F">
            <w:pPr>
              <w:jc w:val="right"/>
              <w:rPr>
                <w:color w:val="000000"/>
              </w:rPr>
            </w:pPr>
            <w:r w:rsidRPr="0044218D">
              <w:rPr>
                <w:rFonts w:eastAsia="Calibri"/>
              </w:rPr>
              <w:t>(8,681)</w:t>
            </w:r>
          </w:p>
        </w:tc>
      </w:tr>
      <w:tr w:rsidR="00484BA9" w:rsidRPr="0044218D" w:rsidTr="004A3E4F">
        <w:trPr>
          <w:trHeight w:val="307"/>
          <w:jc w:val="center"/>
        </w:trPr>
        <w:tc>
          <w:tcPr>
            <w:tcW w:w="1352" w:type="dxa"/>
            <w:shd w:val="clear" w:color="auto" w:fill="auto"/>
            <w:noWrap/>
            <w:vAlign w:val="bottom"/>
          </w:tcPr>
          <w:p w:rsidR="00484BA9" w:rsidRPr="0044218D" w:rsidRDefault="00484BA9" w:rsidP="004A3E4F">
            <w:pPr>
              <w:jc w:val="center"/>
              <w:rPr>
                <w:color w:val="000000"/>
              </w:rPr>
            </w:pPr>
            <w:r w:rsidRPr="0044218D">
              <w:rPr>
                <w:rFonts w:eastAsia="Calibri"/>
                <w:bCs/>
                <w:color w:val="000000"/>
              </w:rPr>
              <w:t>361</w:t>
            </w:r>
          </w:p>
        </w:tc>
        <w:tc>
          <w:tcPr>
            <w:tcW w:w="4500" w:type="dxa"/>
            <w:shd w:val="clear" w:color="auto" w:fill="auto"/>
            <w:noWrap/>
            <w:vAlign w:val="bottom"/>
          </w:tcPr>
          <w:p w:rsidR="00484BA9" w:rsidRPr="0044218D" w:rsidRDefault="00484BA9" w:rsidP="004A3E4F">
            <w:pPr>
              <w:rPr>
                <w:color w:val="000000"/>
              </w:rPr>
            </w:pPr>
            <w:r w:rsidRPr="0044218D">
              <w:rPr>
                <w:rFonts w:eastAsia="Calibri"/>
                <w:bCs/>
                <w:color w:val="000000"/>
              </w:rPr>
              <w:t>Collection Sewers - Gravity</w:t>
            </w:r>
          </w:p>
        </w:tc>
        <w:tc>
          <w:tcPr>
            <w:tcW w:w="1638" w:type="dxa"/>
            <w:shd w:val="clear" w:color="auto" w:fill="auto"/>
            <w:noWrap/>
            <w:hideMark/>
          </w:tcPr>
          <w:p w:rsidR="00484BA9" w:rsidRPr="0044218D" w:rsidRDefault="00484BA9" w:rsidP="004A3E4F">
            <w:pPr>
              <w:jc w:val="right"/>
              <w:rPr>
                <w:color w:val="000000"/>
              </w:rPr>
            </w:pPr>
            <w:r w:rsidRPr="0044218D">
              <w:rPr>
                <w:rFonts w:eastAsia="Calibri"/>
              </w:rPr>
              <w:t xml:space="preserve">20,587 </w:t>
            </w:r>
          </w:p>
        </w:tc>
        <w:tc>
          <w:tcPr>
            <w:tcW w:w="1992" w:type="dxa"/>
            <w:shd w:val="clear" w:color="auto" w:fill="auto"/>
            <w:noWrap/>
            <w:hideMark/>
          </w:tcPr>
          <w:p w:rsidR="00484BA9" w:rsidRPr="0044218D" w:rsidRDefault="00484BA9" w:rsidP="004A3E4F">
            <w:pPr>
              <w:jc w:val="right"/>
              <w:rPr>
                <w:color w:val="000000"/>
              </w:rPr>
            </w:pPr>
            <w:r w:rsidRPr="0044218D">
              <w:rPr>
                <w:rFonts w:eastAsia="Calibri"/>
              </w:rPr>
              <w:t>(19,360)</w:t>
            </w:r>
          </w:p>
        </w:tc>
      </w:tr>
      <w:tr w:rsidR="00484BA9" w:rsidRPr="0044218D" w:rsidTr="004A3E4F">
        <w:trPr>
          <w:trHeight w:val="307"/>
          <w:jc w:val="center"/>
        </w:trPr>
        <w:tc>
          <w:tcPr>
            <w:tcW w:w="1352" w:type="dxa"/>
            <w:shd w:val="clear" w:color="auto" w:fill="auto"/>
            <w:noWrap/>
            <w:vAlign w:val="bottom"/>
          </w:tcPr>
          <w:p w:rsidR="00484BA9" w:rsidRPr="0044218D" w:rsidRDefault="00484BA9" w:rsidP="004A3E4F">
            <w:pPr>
              <w:jc w:val="center"/>
              <w:rPr>
                <w:color w:val="000000"/>
              </w:rPr>
            </w:pPr>
            <w:r w:rsidRPr="0044218D">
              <w:rPr>
                <w:rFonts w:eastAsia="Calibri"/>
                <w:bCs/>
                <w:color w:val="000000"/>
              </w:rPr>
              <w:t>363</w:t>
            </w:r>
          </w:p>
        </w:tc>
        <w:tc>
          <w:tcPr>
            <w:tcW w:w="4500" w:type="dxa"/>
            <w:shd w:val="clear" w:color="auto" w:fill="auto"/>
            <w:noWrap/>
            <w:vAlign w:val="bottom"/>
          </w:tcPr>
          <w:p w:rsidR="00484BA9" w:rsidRPr="0044218D" w:rsidRDefault="00484BA9" w:rsidP="004A3E4F">
            <w:pPr>
              <w:rPr>
                <w:color w:val="000000"/>
              </w:rPr>
            </w:pPr>
            <w:r w:rsidRPr="0044218D">
              <w:rPr>
                <w:rFonts w:eastAsia="Calibri"/>
                <w:bCs/>
                <w:color w:val="000000"/>
              </w:rPr>
              <w:t>Services to Customers</w:t>
            </w:r>
          </w:p>
        </w:tc>
        <w:tc>
          <w:tcPr>
            <w:tcW w:w="1638" w:type="dxa"/>
            <w:shd w:val="clear" w:color="auto" w:fill="auto"/>
            <w:noWrap/>
            <w:hideMark/>
          </w:tcPr>
          <w:p w:rsidR="00484BA9" w:rsidRPr="0044218D" w:rsidRDefault="00484BA9" w:rsidP="004A3E4F">
            <w:pPr>
              <w:jc w:val="right"/>
              <w:rPr>
                <w:color w:val="000000"/>
              </w:rPr>
            </w:pPr>
            <w:r w:rsidRPr="0044218D">
              <w:rPr>
                <w:rFonts w:eastAsia="Calibri"/>
              </w:rPr>
              <w:t xml:space="preserve">2,414 </w:t>
            </w:r>
          </w:p>
        </w:tc>
        <w:tc>
          <w:tcPr>
            <w:tcW w:w="1992" w:type="dxa"/>
            <w:shd w:val="clear" w:color="auto" w:fill="auto"/>
            <w:noWrap/>
            <w:hideMark/>
          </w:tcPr>
          <w:p w:rsidR="00484BA9" w:rsidRPr="0044218D" w:rsidRDefault="00484BA9" w:rsidP="004A3E4F">
            <w:pPr>
              <w:jc w:val="right"/>
              <w:rPr>
                <w:color w:val="000000"/>
              </w:rPr>
            </w:pPr>
            <w:r w:rsidRPr="0044218D">
              <w:rPr>
                <w:rFonts w:eastAsia="Calibri"/>
              </w:rPr>
              <w:t>(2,355)</w:t>
            </w:r>
          </w:p>
        </w:tc>
      </w:tr>
      <w:tr w:rsidR="00484BA9" w:rsidRPr="0044218D" w:rsidTr="004A3E4F">
        <w:trPr>
          <w:trHeight w:val="307"/>
          <w:jc w:val="center"/>
        </w:trPr>
        <w:tc>
          <w:tcPr>
            <w:tcW w:w="1352" w:type="dxa"/>
            <w:shd w:val="clear" w:color="auto" w:fill="auto"/>
            <w:noWrap/>
            <w:vAlign w:val="bottom"/>
          </w:tcPr>
          <w:p w:rsidR="00484BA9" w:rsidRPr="0044218D" w:rsidRDefault="00484BA9" w:rsidP="004A3E4F">
            <w:pPr>
              <w:jc w:val="center"/>
              <w:rPr>
                <w:color w:val="000000"/>
              </w:rPr>
            </w:pPr>
            <w:r w:rsidRPr="0044218D">
              <w:rPr>
                <w:color w:val="000000"/>
              </w:rPr>
              <w:t>370</w:t>
            </w:r>
          </w:p>
        </w:tc>
        <w:tc>
          <w:tcPr>
            <w:tcW w:w="4500" w:type="dxa"/>
            <w:shd w:val="clear" w:color="auto" w:fill="auto"/>
            <w:noWrap/>
            <w:vAlign w:val="bottom"/>
          </w:tcPr>
          <w:p w:rsidR="00484BA9" w:rsidRPr="0044218D" w:rsidRDefault="00484BA9" w:rsidP="004A3E4F">
            <w:pPr>
              <w:rPr>
                <w:color w:val="000000"/>
              </w:rPr>
            </w:pPr>
            <w:r w:rsidRPr="0044218D">
              <w:rPr>
                <w:rFonts w:eastAsia="Calibri"/>
              </w:rPr>
              <w:t>Receiving Wells</w:t>
            </w:r>
          </w:p>
        </w:tc>
        <w:tc>
          <w:tcPr>
            <w:tcW w:w="1638" w:type="dxa"/>
            <w:shd w:val="clear" w:color="auto" w:fill="auto"/>
            <w:noWrap/>
          </w:tcPr>
          <w:p w:rsidR="00484BA9" w:rsidRPr="0044218D" w:rsidRDefault="00484BA9" w:rsidP="004A3E4F">
            <w:pPr>
              <w:jc w:val="right"/>
              <w:rPr>
                <w:color w:val="000000"/>
              </w:rPr>
            </w:pPr>
            <w:r w:rsidRPr="0044218D">
              <w:rPr>
                <w:rFonts w:eastAsia="Calibri"/>
              </w:rPr>
              <w:t>6,614</w:t>
            </w:r>
          </w:p>
        </w:tc>
        <w:tc>
          <w:tcPr>
            <w:tcW w:w="1992" w:type="dxa"/>
            <w:shd w:val="clear" w:color="auto" w:fill="auto"/>
            <w:noWrap/>
          </w:tcPr>
          <w:p w:rsidR="00484BA9" w:rsidRPr="0044218D" w:rsidRDefault="00484BA9" w:rsidP="004A3E4F">
            <w:pPr>
              <w:jc w:val="right"/>
              <w:rPr>
                <w:color w:val="000000"/>
              </w:rPr>
            </w:pPr>
            <w:r w:rsidRPr="0044218D">
              <w:rPr>
                <w:rFonts w:eastAsia="Calibri"/>
              </w:rPr>
              <w:t>{6,614)</w:t>
            </w:r>
          </w:p>
        </w:tc>
      </w:tr>
      <w:tr w:rsidR="00484BA9" w:rsidRPr="0044218D" w:rsidTr="004A3E4F">
        <w:trPr>
          <w:trHeight w:val="307"/>
          <w:jc w:val="center"/>
        </w:trPr>
        <w:tc>
          <w:tcPr>
            <w:tcW w:w="1352" w:type="dxa"/>
            <w:shd w:val="clear" w:color="auto" w:fill="auto"/>
            <w:noWrap/>
            <w:vAlign w:val="bottom"/>
          </w:tcPr>
          <w:p w:rsidR="00484BA9" w:rsidRPr="0044218D" w:rsidRDefault="00484BA9" w:rsidP="004A3E4F">
            <w:pPr>
              <w:jc w:val="center"/>
              <w:rPr>
                <w:color w:val="000000"/>
              </w:rPr>
            </w:pPr>
            <w:r w:rsidRPr="0044218D">
              <w:rPr>
                <w:rFonts w:eastAsia="Calibri"/>
                <w:bCs/>
                <w:color w:val="000000"/>
              </w:rPr>
              <w:t>380</w:t>
            </w:r>
          </w:p>
        </w:tc>
        <w:tc>
          <w:tcPr>
            <w:tcW w:w="4500" w:type="dxa"/>
            <w:shd w:val="clear" w:color="auto" w:fill="auto"/>
            <w:noWrap/>
            <w:vAlign w:val="bottom"/>
          </w:tcPr>
          <w:p w:rsidR="00484BA9" w:rsidRPr="0044218D" w:rsidRDefault="00484BA9" w:rsidP="004A3E4F">
            <w:pPr>
              <w:rPr>
                <w:color w:val="000000"/>
              </w:rPr>
            </w:pPr>
            <w:r w:rsidRPr="0044218D">
              <w:rPr>
                <w:rFonts w:eastAsia="Calibri"/>
                <w:bCs/>
                <w:color w:val="000000"/>
              </w:rPr>
              <w:t>Treatment &amp; Disposal - Equipment</w:t>
            </w:r>
          </w:p>
        </w:tc>
        <w:tc>
          <w:tcPr>
            <w:tcW w:w="1638" w:type="dxa"/>
            <w:shd w:val="clear" w:color="auto" w:fill="auto"/>
            <w:noWrap/>
          </w:tcPr>
          <w:p w:rsidR="00484BA9" w:rsidRPr="0044218D" w:rsidRDefault="00484BA9" w:rsidP="004A3E4F">
            <w:pPr>
              <w:jc w:val="right"/>
              <w:rPr>
                <w:color w:val="000000"/>
              </w:rPr>
            </w:pPr>
            <w:r w:rsidRPr="0044218D">
              <w:rPr>
                <w:rFonts w:eastAsia="Calibri"/>
              </w:rPr>
              <w:t xml:space="preserve">12,965 </w:t>
            </w:r>
          </w:p>
        </w:tc>
        <w:tc>
          <w:tcPr>
            <w:tcW w:w="1992" w:type="dxa"/>
            <w:shd w:val="clear" w:color="auto" w:fill="auto"/>
            <w:noWrap/>
          </w:tcPr>
          <w:p w:rsidR="00484BA9" w:rsidRPr="0044218D" w:rsidRDefault="00484BA9" w:rsidP="004A3E4F">
            <w:pPr>
              <w:jc w:val="right"/>
              <w:rPr>
                <w:color w:val="000000"/>
              </w:rPr>
            </w:pPr>
            <w:r w:rsidRPr="0044218D">
              <w:rPr>
                <w:rFonts w:eastAsia="Calibri"/>
              </w:rPr>
              <w:t>(10,779)</w:t>
            </w:r>
          </w:p>
        </w:tc>
      </w:tr>
      <w:tr w:rsidR="00484BA9" w:rsidRPr="0044218D" w:rsidTr="004A3E4F">
        <w:trPr>
          <w:trHeight w:val="307"/>
          <w:jc w:val="center"/>
        </w:trPr>
        <w:tc>
          <w:tcPr>
            <w:tcW w:w="1352" w:type="dxa"/>
            <w:shd w:val="clear" w:color="auto" w:fill="auto"/>
            <w:noWrap/>
            <w:vAlign w:val="bottom"/>
          </w:tcPr>
          <w:p w:rsidR="00484BA9" w:rsidRPr="0044218D" w:rsidRDefault="00484BA9" w:rsidP="004A3E4F">
            <w:pPr>
              <w:jc w:val="center"/>
              <w:rPr>
                <w:color w:val="000000"/>
              </w:rPr>
            </w:pPr>
            <w:r w:rsidRPr="0044218D">
              <w:rPr>
                <w:color w:val="000000"/>
              </w:rPr>
              <w:t>381</w:t>
            </w:r>
          </w:p>
        </w:tc>
        <w:tc>
          <w:tcPr>
            <w:tcW w:w="4500" w:type="dxa"/>
            <w:shd w:val="clear" w:color="auto" w:fill="auto"/>
            <w:noWrap/>
            <w:vAlign w:val="bottom"/>
          </w:tcPr>
          <w:p w:rsidR="00484BA9" w:rsidRPr="0044218D" w:rsidRDefault="00484BA9" w:rsidP="004A3E4F">
            <w:pPr>
              <w:rPr>
                <w:color w:val="000000"/>
              </w:rPr>
            </w:pPr>
            <w:r w:rsidRPr="0044218D">
              <w:rPr>
                <w:rFonts w:eastAsia="Calibri"/>
              </w:rPr>
              <w:t>Plant Sewers</w:t>
            </w:r>
          </w:p>
        </w:tc>
        <w:tc>
          <w:tcPr>
            <w:tcW w:w="1638" w:type="dxa"/>
            <w:shd w:val="clear" w:color="auto" w:fill="auto"/>
            <w:noWrap/>
          </w:tcPr>
          <w:p w:rsidR="00484BA9" w:rsidRPr="0044218D" w:rsidRDefault="00484BA9" w:rsidP="004A3E4F">
            <w:pPr>
              <w:jc w:val="right"/>
              <w:rPr>
                <w:color w:val="000000"/>
                <w:u w:val="single"/>
              </w:rPr>
            </w:pPr>
            <w:r w:rsidRPr="0044218D">
              <w:rPr>
                <w:rFonts w:eastAsia="Calibri"/>
                <w:u w:val="single"/>
              </w:rPr>
              <w:t>28,089</w:t>
            </w:r>
          </w:p>
        </w:tc>
        <w:tc>
          <w:tcPr>
            <w:tcW w:w="1992" w:type="dxa"/>
            <w:shd w:val="clear" w:color="auto" w:fill="auto"/>
            <w:noWrap/>
          </w:tcPr>
          <w:p w:rsidR="00484BA9" w:rsidRPr="0044218D" w:rsidRDefault="00484BA9" w:rsidP="004A3E4F">
            <w:pPr>
              <w:jc w:val="right"/>
              <w:rPr>
                <w:color w:val="000000"/>
                <w:u w:val="single"/>
              </w:rPr>
            </w:pPr>
            <w:r w:rsidRPr="0044218D">
              <w:rPr>
                <w:rFonts w:eastAsia="Calibri"/>
                <w:u w:val="single"/>
              </w:rPr>
              <w:t>(28,089)</w:t>
            </w:r>
          </w:p>
        </w:tc>
      </w:tr>
      <w:tr w:rsidR="00484BA9" w:rsidRPr="0044218D" w:rsidTr="004A3E4F">
        <w:trPr>
          <w:trHeight w:val="307"/>
          <w:jc w:val="center"/>
        </w:trPr>
        <w:tc>
          <w:tcPr>
            <w:tcW w:w="1352" w:type="dxa"/>
            <w:shd w:val="clear" w:color="auto" w:fill="auto"/>
            <w:noWrap/>
            <w:vAlign w:val="bottom"/>
          </w:tcPr>
          <w:p w:rsidR="00484BA9" w:rsidRPr="0044218D" w:rsidRDefault="00484BA9" w:rsidP="004A3E4F">
            <w:pPr>
              <w:jc w:val="center"/>
              <w:rPr>
                <w:color w:val="000000"/>
              </w:rPr>
            </w:pPr>
          </w:p>
        </w:tc>
        <w:tc>
          <w:tcPr>
            <w:tcW w:w="4500" w:type="dxa"/>
            <w:shd w:val="clear" w:color="auto" w:fill="auto"/>
            <w:noWrap/>
            <w:vAlign w:val="bottom"/>
          </w:tcPr>
          <w:p w:rsidR="00484BA9" w:rsidRPr="0044218D" w:rsidRDefault="00484BA9" w:rsidP="004A3E4F">
            <w:pPr>
              <w:rPr>
                <w:color w:val="000000"/>
              </w:rPr>
            </w:pPr>
          </w:p>
        </w:tc>
        <w:tc>
          <w:tcPr>
            <w:tcW w:w="1638" w:type="dxa"/>
            <w:shd w:val="clear" w:color="auto" w:fill="auto"/>
            <w:noWrap/>
            <w:vAlign w:val="bottom"/>
          </w:tcPr>
          <w:p w:rsidR="00484BA9" w:rsidRPr="0044218D" w:rsidRDefault="00484BA9" w:rsidP="004A3E4F">
            <w:pPr>
              <w:jc w:val="right"/>
              <w:rPr>
                <w:color w:val="000000"/>
              </w:rPr>
            </w:pPr>
          </w:p>
        </w:tc>
        <w:tc>
          <w:tcPr>
            <w:tcW w:w="1992" w:type="dxa"/>
            <w:shd w:val="clear" w:color="auto" w:fill="auto"/>
            <w:noWrap/>
            <w:vAlign w:val="bottom"/>
          </w:tcPr>
          <w:p w:rsidR="00484BA9" w:rsidRPr="0044218D" w:rsidRDefault="00484BA9" w:rsidP="004A3E4F">
            <w:pPr>
              <w:jc w:val="right"/>
              <w:rPr>
                <w:color w:val="000000"/>
              </w:rPr>
            </w:pPr>
          </w:p>
        </w:tc>
      </w:tr>
      <w:tr w:rsidR="00484BA9" w:rsidRPr="0044218D" w:rsidTr="004A3E4F">
        <w:trPr>
          <w:trHeight w:val="307"/>
          <w:jc w:val="center"/>
        </w:trPr>
        <w:tc>
          <w:tcPr>
            <w:tcW w:w="1352" w:type="dxa"/>
            <w:shd w:val="clear" w:color="auto" w:fill="auto"/>
            <w:noWrap/>
            <w:vAlign w:val="bottom"/>
          </w:tcPr>
          <w:p w:rsidR="00484BA9" w:rsidRPr="0044218D" w:rsidRDefault="00484BA9" w:rsidP="004A3E4F">
            <w:pPr>
              <w:jc w:val="center"/>
              <w:rPr>
                <w:color w:val="000000"/>
              </w:rPr>
            </w:pPr>
          </w:p>
        </w:tc>
        <w:tc>
          <w:tcPr>
            <w:tcW w:w="4500" w:type="dxa"/>
            <w:shd w:val="clear" w:color="auto" w:fill="auto"/>
            <w:noWrap/>
            <w:vAlign w:val="bottom"/>
          </w:tcPr>
          <w:p w:rsidR="00484BA9" w:rsidRPr="0044218D" w:rsidRDefault="00484BA9" w:rsidP="004A3E4F">
            <w:pPr>
              <w:rPr>
                <w:color w:val="000000"/>
              </w:rPr>
            </w:pPr>
            <w:r w:rsidRPr="0044218D">
              <w:rPr>
                <w:color w:val="000000"/>
              </w:rPr>
              <w:t>Total</w:t>
            </w:r>
          </w:p>
        </w:tc>
        <w:tc>
          <w:tcPr>
            <w:tcW w:w="1638" w:type="dxa"/>
            <w:shd w:val="clear" w:color="auto" w:fill="auto"/>
            <w:noWrap/>
            <w:vAlign w:val="bottom"/>
            <w:hideMark/>
          </w:tcPr>
          <w:p w:rsidR="00484BA9" w:rsidRPr="0044218D" w:rsidRDefault="00484BA9" w:rsidP="004A3E4F">
            <w:pPr>
              <w:jc w:val="right"/>
              <w:rPr>
                <w:color w:val="000000"/>
              </w:rPr>
            </w:pPr>
            <w:r w:rsidRPr="0044218D">
              <w:rPr>
                <w:color w:val="000000"/>
                <w:u w:val="double"/>
              </w:rPr>
              <w:t xml:space="preserve">$128,985 </w:t>
            </w:r>
          </w:p>
        </w:tc>
        <w:tc>
          <w:tcPr>
            <w:tcW w:w="1992" w:type="dxa"/>
            <w:shd w:val="clear" w:color="auto" w:fill="auto"/>
            <w:noWrap/>
            <w:vAlign w:val="bottom"/>
            <w:hideMark/>
          </w:tcPr>
          <w:p w:rsidR="00484BA9" w:rsidRPr="0044218D" w:rsidRDefault="00484BA9" w:rsidP="004A3E4F">
            <w:pPr>
              <w:jc w:val="right"/>
              <w:rPr>
                <w:color w:val="000000"/>
                <w:u w:val="double"/>
              </w:rPr>
            </w:pPr>
            <w:r w:rsidRPr="0044218D">
              <w:rPr>
                <w:color w:val="000000"/>
                <w:u w:val="double"/>
              </w:rPr>
              <w:t>($</w:t>
            </w:r>
            <w:r w:rsidRPr="0044218D">
              <w:rPr>
                <w:rFonts w:eastAsia="Calibri"/>
                <w:u w:val="double"/>
              </w:rPr>
              <w:t>125,512)</w:t>
            </w:r>
          </w:p>
        </w:tc>
      </w:tr>
    </w:tbl>
    <w:p w:rsidR="009B5A57" w:rsidRDefault="009B5A57" w:rsidP="00E275D8">
      <w:pPr>
        <w:pStyle w:val="BodyText"/>
      </w:pPr>
    </w:p>
    <w:p w:rsidR="009D0159" w:rsidRDefault="009D0159" w:rsidP="00E275D8">
      <w:pPr>
        <w:pStyle w:val="BodyText"/>
      </w:pPr>
    </w:p>
    <w:p w:rsidR="009D0159" w:rsidRDefault="009D0159" w:rsidP="00E275D8">
      <w:pPr>
        <w:pStyle w:val="BodyText"/>
        <w:sectPr w:rsidR="009D0159" w:rsidSect="0068481F">
          <w:headerReference w:type="default" r:id="rId20"/>
          <w:footerReference w:type="default" r:id="rId21"/>
          <w:pgSz w:w="12240" w:h="15840" w:code="1"/>
          <w:pgMar w:top="1584" w:right="1440" w:bottom="1440" w:left="1440" w:header="720" w:footer="720" w:gutter="0"/>
          <w:cols w:space="720"/>
          <w:formProt w:val="0"/>
          <w:docGrid w:linePitch="360"/>
        </w:sectPr>
      </w:pPr>
    </w:p>
    <w:p w:rsidR="00661CBE" w:rsidRPr="006453E0" w:rsidRDefault="00661CBE" w:rsidP="00661CBE">
      <w:pPr>
        <w:jc w:val="center"/>
        <w:rPr>
          <w:rFonts w:ascii="Arial" w:hAnsi="Arial" w:cs="Arial"/>
          <w:b/>
        </w:rPr>
      </w:pPr>
      <w:r w:rsidRPr="006453E0">
        <w:rPr>
          <w:rFonts w:ascii="Arial" w:eastAsia="Calibri" w:hAnsi="Arial" w:cs="Arial"/>
          <w:b/>
          <w:bCs/>
          <w:color w:val="000000"/>
        </w:rPr>
        <w:lastRenderedPageBreak/>
        <w:t>St. Johns River Estates Utilities, LLC</w:t>
      </w:r>
    </w:p>
    <w:p w:rsidR="00661CBE" w:rsidRDefault="00661CBE" w:rsidP="00661CBE">
      <w:pPr>
        <w:jc w:val="center"/>
        <w:rPr>
          <w:rFonts w:ascii="Arial" w:hAnsi="Arial" w:cs="Arial"/>
          <w:b/>
        </w:rPr>
      </w:pPr>
      <w:r w:rsidRPr="004C5458">
        <w:rPr>
          <w:rFonts w:ascii="Arial" w:hAnsi="Arial" w:cs="Arial"/>
          <w:b/>
        </w:rPr>
        <w:t>Monthly Water Rates</w:t>
      </w:r>
    </w:p>
    <w:p w:rsidR="00661CBE" w:rsidRPr="004C5458" w:rsidRDefault="00661CBE" w:rsidP="00661CBE">
      <w:pPr>
        <w:jc w:val="center"/>
        <w:rPr>
          <w:rFonts w:ascii="Arial" w:hAnsi="Arial" w:cs="Arial"/>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661CBE" w:rsidRPr="004C5458" w:rsidTr="004A3E4F">
        <w:tc>
          <w:tcPr>
            <w:tcW w:w="6259" w:type="dxa"/>
            <w:shd w:val="clear" w:color="auto" w:fill="auto"/>
            <w:vAlign w:val="bottom"/>
          </w:tcPr>
          <w:p w:rsidR="00661CBE" w:rsidRPr="004C5458" w:rsidRDefault="00661CBE" w:rsidP="004A3E4F">
            <w:pPr>
              <w:rPr>
                <w:rFonts w:ascii="Arial" w:hAnsi="Arial" w:cs="Arial"/>
                <w:b/>
                <w:spacing w:val="-5"/>
              </w:rPr>
            </w:pPr>
            <w:r w:rsidRPr="004C5458">
              <w:rPr>
                <w:rFonts w:ascii="Arial" w:hAnsi="Arial" w:cs="Arial"/>
                <w:b/>
                <w:spacing w:val="-5"/>
              </w:rPr>
              <w:t xml:space="preserve">Residential </w:t>
            </w:r>
            <w:r>
              <w:rPr>
                <w:rFonts w:ascii="Arial" w:hAnsi="Arial" w:cs="Arial"/>
                <w:b/>
                <w:spacing w:val="-5"/>
              </w:rPr>
              <w:t xml:space="preserve">and </w:t>
            </w:r>
            <w:r w:rsidRPr="004C5458">
              <w:rPr>
                <w:rFonts w:ascii="Arial" w:hAnsi="Arial" w:cs="Arial"/>
                <w:b/>
                <w:spacing w:val="-5"/>
              </w:rPr>
              <w:t>General Service</w:t>
            </w:r>
          </w:p>
        </w:tc>
        <w:tc>
          <w:tcPr>
            <w:tcW w:w="1260" w:type="dxa"/>
            <w:shd w:val="clear" w:color="auto" w:fill="auto"/>
            <w:vAlign w:val="bottom"/>
          </w:tcPr>
          <w:p w:rsidR="00661CBE" w:rsidRPr="004C5458" w:rsidRDefault="00661CBE" w:rsidP="004A3E4F">
            <w:pPr>
              <w:jc w:val="right"/>
              <w:rPr>
                <w:rFonts w:ascii="Arial" w:hAnsi="Arial" w:cs="Arial"/>
                <w:spacing w:val="-5"/>
              </w:rPr>
            </w:pPr>
          </w:p>
        </w:tc>
        <w:tc>
          <w:tcPr>
            <w:tcW w:w="2071" w:type="dxa"/>
            <w:shd w:val="clear" w:color="auto" w:fill="auto"/>
            <w:vAlign w:val="bottom"/>
          </w:tcPr>
          <w:p w:rsidR="00661CBE" w:rsidRPr="004C5458" w:rsidRDefault="00661CBE" w:rsidP="004A3E4F">
            <w:pPr>
              <w:jc w:val="right"/>
              <w:rPr>
                <w:rFonts w:ascii="Arial" w:hAnsi="Arial" w:cs="Arial"/>
                <w:spacing w:val="-5"/>
              </w:rPr>
            </w:pPr>
          </w:p>
        </w:tc>
      </w:tr>
      <w:tr w:rsidR="00661CBE" w:rsidRPr="004C5458" w:rsidTr="004A3E4F">
        <w:trPr>
          <w:trHeight w:val="180"/>
        </w:trPr>
        <w:tc>
          <w:tcPr>
            <w:tcW w:w="6259" w:type="dxa"/>
            <w:shd w:val="clear" w:color="auto" w:fill="auto"/>
          </w:tcPr>
          <w:p w:rsidR="00661CBE" w:rsidRPr="004C5458" w:rsidRDefault="00661CBE" w:rsidP="004A3E4F">
            <w:pPr>
              <w:rPr>
                <w:spacing w:val="-5"/>
              </w:rPr>
            </w:pPr>
            <w:r w:rsidRPr="004C5458">
              <w:rPr>
                <w:spacing w:val="-5"/>
              </w:rPr>
              <w:t>Base Facility Charge by Meter Size</w:t>
            </w: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tcPr>
          <w:p w:rsidR="00661CBE" w:rsidRPr="004C5458" w:rsidRDefault="00661CBE" w:rsidP="004A3E4F">
            <w:pPr>
              <w:jc w:val="right"/>
              <w:rPr>
                <w:spacing w:val="-5"/>
              </w:rPr>
            </w:pPr>
          </w:p>
        </w:tc>
      </w:tr>
      <w:tr w:rsidR="00661CBE" w:rsidRPr="004C5458" w:rsidTr="004A3E4F">
        <w:tc>
          <w:tcPr>
            <w:tcW w:w="6259" w:type="dxa"/>
            <w:shd w:val="clear" w:color="auto" w:fill="auto"/>
          </w:tcPr>
          <w:p w:rsidR="00661CBE" w:rsidRPr="004C5458" w:rsidRDefault="00661CBE" w:rsidP="004A3E4F">
            <w:r w:rsidRPr="004C5458">
              <w:t>5/8” x 3/4"</w:t>
            </w:r>
          </w:p>
        </w:tc>
        <w:tc>
          <w:tcPr>
            <w:tcW w:w="1260" w:type="dxa"/>
            <w:shd w:val="clear" w:color="auto" w:fill="auto"/>
            <w:vAlign w:val="bottom"/>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4C5458">
              <w:t>$</w:t>
            </w:r>
            <w:r w:rsidRPr="00AE16D2">
              <w:t>7.91</w:t>
            </w:r>
          </w:p>
        </w:tc>
      </w:tr>
      <w:tr w:rsidR="00661CBE" w:rsidRPr="004C5458" w:rsidTr="004A3E4F">
        <w:tc>
          <w:tcPr>
            <w:tcW w:w="6259" w:type="dxa"/>
            <w:shd w:val="clear" w:color="auto" w:fill="auto"/>
          </w:tcPr>
          <w:p w:rsidR="00661CBE" w:rsidRPr="004C5458" w:rsidRDefault="00661CBE" w:rsidP="004A3E4F">
            <w:r w:rsidRPr="00AE16D2">
              <w:t>3/4</w:t>
            </w:r>
            <w:r w:rsidRPr="004C5458">
              <w:t>”</w:t>
            </w:r>
          </w:p>
        </w:tc>
        <w:tc>
          <w:tcPr>
            <w:tcW w:w="1260" w:type="dxa"/>
            <w:shd w:val="clear" w:color="auto" w:fill="auto"/>
            <w:vAlign w:val="bottom"/>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$11.87</w:t>
            </w:r>
          </w:p>
        </w:tc>
      </w:tr>
      <w:tr w:rsidR="00661CBE" w:rsidRPr="004C5458" w:rsidTr="004A3E4F">
        <w:tc>
          <w:tcPr>
            <w:tcW w:w="6259" w:type="dxa"/>
            <w:shd w:val="clear" w:color="auto" w:fill="auto"/>
          </w:tcPr>
          <w:p w:rsidR="00661CBE" w:rsidRPr="004C5458" w:rsidRDefault="00661CBE" w:rsidP="004A3E4F">
            <w:r w:rsidRPr="00AE16D2">
              <w:t>1</w:t>
            </w:r>
            <w:r w:rsidRPr="004C5458">
              <w:t>"</w:t>
            </w:r>
          </w:p>
        </w:tc>
        <w:tc>
          <w:tcPr>
            <w:tcW w:w="1260" w:type="dxa"/>
            <w:shd w:val="clear" w:color="auto" w:fill="auto"/>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$19.78</w:t>
            </w:r>
          </w:p>
        </w:tc>
      </w:tr>
      <w:tr w:rsidR="00661CBE" w:rsidRPr="004C5458" w:rsidTr="004A3E4F">
        <w:tc>
          <w:tcPr>
            <w:tcW w:w="6259" w:type="dxa"/>
            <w:shd w:val="clear" w:color="auto" w:fill="auto"/>
          </w:tcPr>
          <w:p w:rsidR="00661CBE" w:rsidRPr="004C5458" w:rsidRDefault="00661CBE" w:rsidP="004A3E4F">
            <w:r w:rsidRPr="00AE16D2">
              <w:t>1 1/2</w:t>
            </w:r>
            <w:r w:rsidRPr="004C5458">
              <w:t>”</w:t>
            </w:r>
          </w:p>
        </w:tc>
        <w:tc>
          <w:tcPr>
            <w:tcW w:w="1260" w:type="dxa"/>
            <w:shd w:val="clear" w:color="auto" w:fill="auto"/>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$39.55</w:t>
            </w:r>
          </w:p>
        </w:tc>
      </w:tr>
      <w:tr w:rsidR="00661CBE" w:rsidRPr="004C5458" w:rsidTr="004A3E4F">
        <w:tc>
          <w:tcPr>
            <w:tcW w:w="6259" w:type="dxa"/>
            <w:shd w:val="clear" w:color="auto" w:fill="auto"/>
          </w:tcPr>
          <w:p w:rsidR="00661CBE" w:rsidRPr="004C5458" w:rsidRDefault="00661CBE" w:rsidP="004A3E4F">
            <w:r w:rsidRPr="00AE16D2">
              <w:t>2</w:t>
            </w:r>
            <w:r w:rsidRPr="004C5458">
              <w:t>”</w:t>
            </w:r>
          </w:p>
        </w:tc>
        <w:tc>
          <w:tcPr>
            <w:tcW w:w="1260" w:type="dxa"/>
            <w:shd w:val="clear" w:color="auto" w:fill="auto"/>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$63.28</w:t>
            </w:r>
          </w:p>
        </w:tc>
      </w:tr>
      <w:tr w:rsidR="00661CBE" w:rsidRPr="004C5458" w:rsidTr="004A3E4F">
        <w:tc>
          <w:tcPr>
            <w:tcW w:w="6259" w:type="dxa"/>
            <w:shd w:val="clear" w:color="auto" w:fill="auto"/>
          </w:tcPr>
          <w:p w:rsidR="00661CBE" w:rsidRPr="004C5458" w:rsidRDefault="00661CBE" w:rsidP="004A3E4F">
            <w:r w:rsidRPr="00AE16D2">
              <w:t>3</w:t>
            </w:r>
            <w:r w:rsidRPr="004C5458">
              <w:t>”</w:t>
            </w:r>
          </w:p>
        </w:tc>
        <w:tc>
          <w:tcPr>
            <w:tcW w:w="1260" w:type="dxa"/>
            <w:shd w:val="clear" w:color="auto" w:fill="auto"/>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$126.56</w:t>
            </w:r>
          </w:p>
        </w:tc>
      </w:tr>
      <w:tr w:rsidR="00661CBE" w:rsidRPr="004C5458" w:rsidTr="004A3E4F">
        <w:tc>
          <w:tcPr>
            <w:tcW w:w="6259" w:type="dxa"/>
            <w:shd w:val="clear" w:color="auto" w:fill="auto"/>
          </w:tcPr>
          <w:p w:rsidR="00661CBE" w:rsidRPr="004C5458" w:rsidRDefault="00661CBE" w:rsidP="004A3E4F">
            <w:r w:rsidRPr="00AE16D2">
              <w:t>4</w:t>
            </w:r>
            <w:r w:rsidRPr="004C5458">
              <w:t>”</w:t>
            </w:r>
          </w:p>
        </w:tc>
        <w:tc>
          <w:tcPr>
            <w:tcW w:w="1260" w:type="dxa"/>
            <w:shd w:val="clear" w:color="auto" w:fill="auto"/>
            <w:vAlign w:val="bottom"/>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$197.75</w:t>
            </w:r>
          </w:p>
        </w:tc>
      </w:tr>
      <w:tr w:rsidR="00661CBE" w:rsidRPr="004C5458" w:rsidTr="004A3E4F">
        <w:tc>
          <w:tcPr>
            <w:tcW w:w="6259" w:type="dxa"/>
            <w:shd w:val="clear" w:color="auto" w:fill="auto"/>
          </w:tcPr>
          <w:p w:rsidR="00661CBE" w:rsidRPr="004C5458" w:rsidRDefault="00661CBE" w:rsidP="004A3E4F">
            <w:r w:rsidRPr="00AE16D2">
              <w:t>6</w:t>
            </w:r>
            <w:r w:rsidRPr="004C5458">
              <w:t>”</w:t>
            </w: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vAlign w:val="bottom"/>
          </w:tcPr>
          <w:p w:rsidR="00661CBE" w:rsidRPr="004C5458" w:rsidRDefault="00661CBE" w:rsidP="004A3E4F">
            <w:pPr>
              <w:jc w:val="right"/>
              <w:rPr>
                <w:spacing w:val="-5"/>
              </w:rPr>
            </w:pPr>
            <w:r w:rsidRPr="00AE16D2">
              <w:rPr>
                <w:spacing w:val="-5"/>
              </w:rPr>
              <w:t>$395.50</w:t>
            </w:r>
          </w:p>
        </w:tc>
      </w:tr>
      <w:tr w:rsidR="00661CBE" w:rsidRPr="004C5458" w:rsidTr="004A3E4F">
        <w:tc>
          <w:tcPr>
            <w:tcW w:w="6259" w:type="dxa"/>
            <w:shd w:val="clear" w:color="auto" w:fill="auto"/>
            <w:vAlign w:val="bottom"/>
          </w:tcPr>
          <w:p w:rsidR="00661CBE" w:rsidRPr="004C5458" w:rsidRDefault="00661CBE" w:rsidP="004A3E4F">
            <w:pPr>
              <w:rPr>
                <w:spacing w:val="-5"/>
              </w:rPr>
            </w:pP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vAlign w:val="bottom"/>
          </w:tcPr>
          <w:p w:rsidR="00661CBE" w:rsidRPr="004C5458" w:rsidRDefault="00661CBE" w:rsidP="004A3E4F">
            <w:pPr>
              <w:jc w:val="right"/>
              <w:rPr>
                <w:spacing w:val="-5"/>
              </w:rPr>
            </w:pPr>
          </w:p>
        </w:tc>
      </w:tr>
      <w:tr w:rsidR="00661CBE" w:rsidRPr="004C5458" w:rsidTr="004A3E4F">
        <w:tc>
          <w:tcPr>
            <w:tcW w:w="6259" w:type="dxa"/>
            <w:shd w:val="clear" w:color="auto" w:fill="auto"/>
            <w:vAlign w:val="bottom"/>
          </w:tcPr>
          <w:p w:rsidR="00661CBE" w:rsidRPr="004C5458" w:rsidRDefault="00661CBE" w:rsidP="004A3E4F">
            <w:pPr>
              <w:rPr>
                <w:spacing w:val="-5"/>
              </w:rPr>
            </w:pPr>
            <w:r w:rsidRPr="004C5458">
              <w:rPr>
                <w:spacing w:val="-5"/>
              </w:rPr>
              <w:t xml:space="preserve">Charge Per 1,000 gallons </w:t>
            </w: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vAlign w:val="bottom"/>
          </w:tcPr>
          <w:p w:rsidR="00661CBE" w:rsidRPr="004C5458" w:rsidRDefault="00661CBE" w:rsidP="004A3E4F">
            <w:pPr>
              <w:jc w:val="right"/>
              <w:rPr>
                <w:spacing w:val="-5"/>
              </w:rPr>
            </w:pPr>
            <w:r w:rsidRPr="00AE16D2">
              <w:rPr>
                <w:spacing w:val="-5"/>
              </w:rPr>
              <w:t>$3.63</w:t>
            </w:r>
          </w:p>
        </w:tc>
      </w:tr>
    </w:tbl>
    <w:p w:rsidR="00661CBE" w:rsidRPr="004C5458" w:rsidRDefault="00661CBE" w:rsidP="00661CBE">
      <w:pPr>
        <w:spacing w:after="240"/>
        <w:jc w:val="both"/>
        <w:rPr>
          <w:rFonts w:ascii="Arial" w:hAnsi="Arial" w:cs="Arial"/>
        </w:rPr>
      </w:pPr>
    </w:p>
    <w:tbl>
      <w:tblPr>
        <w:tblW w:w="9635" w:type="dxa"/>
        <w:jc w:val="center"/>
        <w:tblLook w:val="0000" w:firstRow="0" w:lastRow="0" w:firstColumn="0" w:lastColumn="0" w:noHBand="0" w:noVBand="0"/>
      </w:tblPr>
      <w:tblGrid>
        <w:gridCol w:w="5403"/>
        <w:gridCol w:w="856"/>
        <w:gridCol w:w="3361"/>
        <w:gridCol w:w="15"/>
      </w:tblGrid>
      <w:tr w:rsidR="00661CBE" w:rsidRPr="004C5458" w:rsidTr="004A3E4F">
        <w:trPr>
          <w:gridAfter w:val="1"/>
          <w:wAfter w:w="15" w:type="dxa"/>
          <w:trHeight w:val="230"/>
          <w:jc w:val="center"/>
        </w:trPr>
        <w:tc>
          <w:tcPr>
            <w:tcW w:w="9620" w:type="dxa"/>
            <w:gridSpan w:val="3"/>
            <w:shd w:val="clear" w:color="auto" w:fill="auto"/>
            <w:noWrap/>
            <w:vAlign w:val="bottom"/>
          </w:tcPr>
          <w:p w:rsidR="00661CBE" w:rsidRPr="004C5458" w:rsidRDefault="00661CBE" w:rsidP="004A3E4F">
            <w:pPr>
              <w:jc w:val="center"/>
              <w:rPr>
                <w:rFonts w:ascii="Arial" w:hAnsi="Arial" w:cs="Arial"/>
                <w:bCs/>
              </w:rPr>
            </w:pPr>
            <w:r w:rsidRPr="004C5458">
              <w:rPr>
                <w:rFonts w:ascii="Arial" w:hAnsi="Arial" w:cs="Arial"/>
                <w:b/>
                <w:bCs/>
              </w:rPr>
              <w:t>Initial Customer Deposits</w:t>
            </w:r>
          </w:p>
        </w:tc>
      </w:tr>
      <w:tr w:rsidR="00661CBE" w:rsidRPr="004C5458" w:rsidTr="004A3E4F">
        <w:trPr>
          <w:gridAfter w:val="1"/>
          <w:wAfter w:w="15" w:type="dxa"/>
          <w:trHeight w:val="288"/>
          <w:jc w:val="center"/>
        </w:trPr>
        <w:tc>
          <w:tcPr>
            <w:tcW w:w="5403" w:type="dxa"/>
            <w:shd w:val="clear" w:color="auto" w:fill="auto"/>
            <w:noWrap/>
            <w:vAlign w:val="bottom"/>
          </w:tcPr>
          <w:p w:rsidR="00661CBE" w:rsidRPr="004C5458" w:rsidRDefault="00661CBE" w:rsidP="004A3E4F">
            <w:pPr>
              <w:spacing w:before="120"/>
              <w:rPr>
                <w:bCs/>
              </w:rPr>
            </w:pPr>
            <w:r w:rsidRPr="004C5458">
              <w:rPr>
                <w:bCs/>
              </w:rPr>
              <w:t>Residential</w:t>
            </w:r>
            <w:r>
              <w:rPr>
                <w:bCs/>
              </w:rPr>
              <w:t xml:space="preserve"> and </w:t>
            </w:r>
            <w:r w:rsidRPr="004C5458">
              <w:rPr>
                <w:bCs/>
              </w:rPr>
              <w:t xml:space="preserve">General Service – </w:t>
            </w:r>
            <w:r w:rsidRPr="004C5458">
              <w:t>5/8" X 3/4"</w:t>
            </w:r>
          </w:p>
        </w:tc>
        <w:tc>
          <w:tcPr>
            <w:tcW w:w="856" w:type="dxa"/>
          </w:tcPr>
          <w:p w:rsidR="00661CBE" w:rsidRPr="004C5458" w:rsidRDefault="00661CBE" w:rsidP="004A3E4F">
            <w:pPr>
              <w:spacing w:before="120"/>
              <w:jc w:val="right"/>
            </w:pPr>
          </w:p>
        </w:tc>
        <w:tc>
          <w:tcPr>
            <w:tcW w:w="3361" w:type="dxa"/>
            <w:shd w:val="clear" w:color="auto" w:fill="auto"/>
            <w:noWrap/>
            <w:vAlign w:val="bottom"/>
          </w:tcPr>
          <w:p w:rsidR="00661CBE" w:rsidRPr="004C5458" w:rsidRDefault="00661CBE" w:rsidP="004A3E4F">
            <w:pPr>
              <w:spacing w:before="120"/>
              <w:jc w:val="right"/>
            </w:pPr>
            <w:r w:rsidRPr="004C5458">
              <w:t>$</w:t>
            </w:r>
            <w:r w:rsidRPr="00AE16D2">
              <w:t>5</w:t>
            </w:r>
            <w:r w:rsidRPr="004C5458">
              <w:t>0.00</w:t>
            </w:r>
          </w:p>
        </w:tc>
      </w:tr>
      <w:tr w:rsidR="00661CBE" w:rsidRPr="004C5458" w:rsidTr="004A3E4F">
        <w:trPr>
          <w:gridAfter w:val="1"/>
          <w:wAfter w:w="15" w:type="dxa"/>
          <w:trHeight w:val="230"/>
          <w:jc w:val="center"/>
        </w:trPr>
        <w:tc>
          <w:tcPr>
            <w:tcW w:w="5403" w:type="dxa"/>
            <w:shd w:val="clear" w:color="auto" w:fill="auto"/>
            <w:noWrap/>
            <w:vAlign w:val="bottom"/>
          </w:tcPr>
          <w:p w:rsidR="00661CBE" w:rsidRPr="004C5458" w:rsidRDefault="00661CBE" w:rsidP="004A3E4F">
            <w:pPr>
              <w:rPr>
                <w:bCs/>
              </w:rPr>
            </w:pPr>
            <w:r w:rsidRPr="004C5458">
              <w:rPr>
                <w:bCs/>
              </w:rPr>
              <w:t xml:space="preserve">All </w:t>
            </w:r>
            <w:r>
              <w:rPr>
                <w:bCs/>
              </w:rPr>
              <w:t>Other Meter Sizes</w:t>
            </w:r>
          </w:p>
        </w:tc>
        <w:tc>
          <w:tcPr>
            <w:tcW w:w="856" w:type="dxa"/>
          </w:tcPr>
          <w:p w:rsidR="00661CBE" w:rsidRPr="004C5458" w:rsidRDefault="00661CBE" w:rsidP="004A3E4F">
            <w:pPr>
              <w:jc w:val="right"/>
            </w:pPr>
          </w:p>
        </w:tc>
        <w:tc>
          <w:tcPr>
            <w:tcW w:w="3361" w:type="dxa"/>
            <w:shd w:val="clear" w:color="auto" w:fill="auto"/>
            <w:noWrap/>
            <w:vAlign w:val="bottom"/>
          </w:tcPr>
          <w:p w:rsidR="00661CBE" w:rsidRPr="004C5458" w:rsidRDefault="00661CBE" w:rsidP="004A3E4F">
            <w:pPr>
              <w:jc w:val="right"/>
            </w:pPr>
            <w:r w:rsidRPr="004C5458">
              <w:t>2x average estimated bill</w:t>
            </w:r>
          </w:p>
        </w:tc>
      </w:tr>
      <w:tr w:rsidR="00661CBE" w:rsidRPr="004C5458" w:rsidTr="004A3E4F">
        <w:trPr>
          <w:gridAfter w:val="1"/>
          <w:wAfter w:w="15" w:type="dxa"/>
          <w:trHeight w:val="230"/>
          <w:jc w:val="center"/>
        </w:trPr>
        <w:tc>
          <w:tcPr>
            <w:tcW w:w="9620" w:type="dxa"/>
            <w:gridSpan w:val="3"/>
          </w:tcPr>
          <w:p w:rsidR="00661CBE" w:rsidRPr="004C5458" w:rsidRDefault="00661CBE" w:rsidP="004A3E4F">
            <w:pPr>
              <w:jc w:val="center"/>
              <w:rPr>
                <w:b/>
              </w:rPr>
            </w:pPr>
          </w:p>
        </w:tc>
      </w:tr>
      <w:tr w:rsidR="00661CBE" w:rsidRPr="004C5458" w:rsidTr="004A3E4F">
        <w:trPr>
          <w:gridAfter w:val="1"/>
          <w:wAfter w:w="15" w:type="dxa"/>
          <w:trHeight w:val="230"/>
          <w:jc w:val="center"/>
        </w:trPr>
        <w:tc>
          <w:tcPr>
            <w:tcW w:w="9620" w:type="dxa"/>
            <w:gridSpan w:val="3"/>
          </w:tcPr>
          <w:p w:rsidR="00661CBE" w:rsidRPr="004C5458" w:rsidRDefault="00661CBE" w:rsidP="004A3E4F">
            <w:pPr>
              <w:jc w:val="center"/>
              <w:rPr>
                <w:rFonts w:ascii="Arial" w:hAnsi="Arial" w:cs="Arial"/>
              </w:rPr>
            </w:pPr>
            <w:r w:rsidRPr="004C5458">
              <w:rPr>
                <w:rFonts w:ascii="Arial" w:hAnsi="Arial" w:cs="Arial"/>
                <w:b/>
              </w:rPr>
              <w:t>Miscellaneous Service Charges</w:t>
            </w:r>
          </w:p>
        </w:tc>
      </w:tr>
      <w:tr w:rsidR="00661CBE" w:rsidRPr="004C5458" w:rsidTr="004A3E4F">
        <w:trPr>
          <w:gridAfter w:val="3"/>
          <w:wAfter w:w="4232" w:type="dxa"/>
          <w:trHeight w:val="333"/>
          <w:jc w:val="center"/>
        </w:trPr>
        <w:tc>
          <w:tcPr>
            <w:tcW w:w="5403" w:type="dxa"/>
            <w:shd w:val="clear" w:color="auto" w:fill="auto"/>
            <w:noWrap/>
            <w:vAlign w:val="bottom"/>
          </w:tcPr>
          <w:p w:rsidR="00661CBE" w:rsidRPr="004C5458" w:rsidRDefault="00661CBE" w:rsidP="004A3E4F">
            <w:pPr>
              <w:spacing w:before="120"/>
              <w:rPr>
                <w:b/>
                <w:bCs/>
              </w:rPr>
            </w:pPr>
          </w:p>
        </w:tc>
      </w:tr>
      <w:tr w:rsidR="00661CBE" w:rsidRPr="004C5458" w:rsidTr="004A3E4F">
        <w:trPr>
          <w:trHeight w:val="230"/>
          <w:jc w:val="center"/>
        </w:trPr>
        <w:tc>
          <w:tcPr>
            <w:tcW w:w="5403" w:type="dxa"/>
            <w:shd w:val="clear" w:color="auto" w:fill="auto"/>
            <w:noWrap/>
            <w:vAlign w:val="bottom"/>
          </w:tcPr>
          <w:p w:rsidR="00661CBE" w:rsidRPr="004C5458" w:rsidRDefault="00661CBE" w:rsidP="004A3E4F">
            <w:pPr>
              <w:spacing w:before="120"/>
            </w:pPr>
            <w:r w:rsidRPr="004C5458">
              <w:t>Initial Connection Charge</w:t>
            </w:r>
          </w:p>
        </w:tc>
        <w:tc>
          <w:tcPr>
            <w:tcW w:w="856" w:type="dxa"/>
            <w:vAlign w:val="bottom"/>
          </w:tcPr>
          <w:p w:rsidR="00661CBE" w:rsidRPr="004C5458" w:rsidRDefault="00661CBE" w:rsidP="004A3E4F">
            <w:pPr>
              <w:spacing w:before="120"/>
              <w:jc w:val="right"/>
            </w:pPr>
          </w:p>
        </w:tc>
        <w:tc>
          <w:tcPr>
            <w:tcW w:w="3376" w:type="dxa"/>
            <w:gridSpan w:val="2"/>
            <w:shd w:val="clear" w:color="auto" w:fill="auto"/>
            <w:noWrap/>
            <w:vAlign w:val="bottom"/>
          </w:tcPr>
          <w:p w:rsidR="00661CBE" w:rsidRPr="004C5458" w:rsidRDefault="00661CBE" w:rsidP="004A3E4F">
            <w:pPr>
              <w:spacing w:before="120"/>
              <w:jc w:val="right"/>
            </w:pPr>
            <w:r w:rsidRPr="00AE16D2">
              <w:t>$2</w:t>
            </w:r>
            <w:r w:rsidRPr="004C5458">
              <w:t>5.00</w:t>
            </w:r>
          </w:p>
        </w:tc>
      </w:tr>
      <w:tr w:rsidR="00661CBE" w:rsidRPr="004C5458" w:rsidTr="004A3E4F">
        <w:trPr>
          <w:trHeight w:val="230"/>
          <w:jc w:val="center"/>
        </w:trPr>
        <w:tc>
          <w:tcPr>
            <w:tcW w:w="5403" w:type="dxa"/>
            <w:shd w:val="clear" w:color="auto" w:fill="auto"/>
            <w:noWrap/>
            <w:vAlign w:val="bottom"/>
          </w:tcPr>
          <w:p w:rsidR="00661CBE" w:rsidRPr="004C5458" w:rsidRDefault="00661CBE" w:rsidP="004A3E4F">
            <w:pPr>
              <w:rPr>
                <w:bCs/>
              </w:rPr>
            </w:pPr>
            <w:r w:rsidRPr="004C5458">
              <w:t>Normal Reconnection Charge</w:t>
            </w:r>
          </w:p>
        </w:tc>
        <w:tc>
          <w:tcPr>
            <w:tcW w:w="856" w:type="dxa"/>
            <w:vAlign w:val="bottom"/>
          </w:tcPr>
          <w:p w:rsidR="00661CBE" w:rsidRPr="004C5458" w:rsidRDefault="00661CBE" w:rsidP="004A3E4F">
            <w:pPr>
              <w:jc w:val="right"/>
            </w:pPr>
          </w:p>
        </w:tc>
        <w:tc>
          <w:tcPr>
            <w:tcW w:w="3376" w:type="dxa"/>
            <w:gridSpan w:val="2"/>
            <w:shd w:val="clear" w:color="auto" w:fill="auto"/>
            <w:noWrap/>
            <w:vAlign w:val="bottom"/>
          </w:tcPr>
          <w:p w:rsidR="00661CBE" w:rsidRPr="004C5458" w:rsidRDefault="00661CBE" w:rsidP="004A3E4F">
            <w:pPr>
              <w:jc w:val="right"/>
            </w:pPr>
            <w:r w:rsidRPr="004C5458">
              <w:t xml:space="preserve"> </w:t>
            </w:r>
            <w:r w:rsidRPr="00AE16D2">
              <w:t>$2</w:t>
            </w:r>
            <w:r w:rsidRPr="004C5458">
              <w:t>5.00</w:t>
            </w:r>
          </w:p>
        </w:tc>
      </w:tr>
      <w:tr w:rsidR="00661CBE" w:rsidRPr="004C5458" w:rsidTr="004A3E4F">
        <w:trPr>
          <w:trHeight w:val="230"/>
          <w:jc w:val="center"/>
        </w:trPr>
        <w:tc>
          <w:tcPr>
            <w:tcW w:w="5403" w:type="dxa"/>
            <w:shd w:val="clear" w:color="auto" w:fill="auto"/>
            <w:noWrap/>
            <w:vAlign w:val="bottom"/>
          </w:tcPr>
          <w:p w:rsidR="00661CBE" w:rsidRPr="004C5458" w:rsidRDefault="00661CBE" w:rsidP="004A3E4F">
            <w:pPr>
              <w:rPr>
                <w:bCs/>
              </w:rPr>
            </w:pPr>
            <w:r w:rsidRPr="004C5458">
              <w:t>Violation Reconnection Charge</w:t>
            </w:r>
          </w:p>
        </w:tc>
        <w:tc>
          <w:tcPr>
            <w:tcW w:w="856" w:type="dxa"/>
            <w:vAlign w:val="bottom"/>
          </w:tcPr>
          <w:p w:rsidR="00661CBE" w:rsidRPr="004C5458" w:rsidRDefault="00661CBE" w:rsidP="004A3E4F">
            <w:pPr>
              <w:jc w:val="right"/>
            </w:pPr>
          </w:p>
        </w:tc>
        <w:tc>
          <w:tcPr>
            <w:tcW w:w="3376" w:type="dxa"/>
            <w:gridSpan w:val="2"/>
            <w:shd w:val="clear" w:color="auto" w:fill="auto"/>
            <w:noWrap/>
            <w:vAlign w:val="bottom"/>
          </w:tcPr>
          <w:p w:rsidR="00661CBE" w:rsidRPr="004C5458" w:rsidRDefault="00661CBE" w:rsidP="004A3E4F">
            <w:pPr>
              <w:jc w:val="right"/>
            </w:pPr>
            <w:r w:rsidRPr="00AE16D2">
              <w:t>$25.00</w:t>
            </w:r>
          </w:p>
        </w:tc>
      </w:tr>
      <w:tr w:rsidR="00661CBE" w:rsidRPr="004C5458" w:rsidTr="004A3E4F">
        <w:trPr>
          <w:trHeight w:val="230"/>
          <w:jc w:val="center"/>
        </w:trPr>
        <w:tc>
          <w:tcPr>
            <w:tcW w:w="5403" w:type="dxa"/>
            <w:shd w:val="clear" w:color="auto" w:fill="auto"/>
            <w:noWrap/>
            <w:vAlign w:val="bottom"/>
          </w:tcPr>
          <w:p w:rsidR="00661CBE" w:rsidRPr="004C5458" w:rsidRDefault="00661CBE" w:rsidP="004A3E4F">
            <w:r w:rsidRPr="004C5458">
              <w:t>Premises Visit Charge (in lieu of disconnection)</w:t>
            </w:r>
          </w:p>
        </w:tc>
        <w:tc>
          <w:tcPr>
            <w:tcW w:w="856" w:type="dxa"/>
          </w:tcPr>
          <w:p w:rsidR="00661CBE" w:rsidRPr="004C5458" w:rsidRDefault="00661CBE" w:rsidP="004A3E4F">
            <w:pPr>
              <w:jc w:val="right"/>
            </w:pPr>
          </w:p>
        </w:tc>
        <w:tc>
          <w:tcPr>
            <w:tcW w:w="3376" w:type="dxa"/>
            <w:gridSpan w:val="2"/>
            <w:shd w:val="clear" w:color="auto" w:fill="auto"/>
            <w:noWrap/>
          </w:tcPr>
          <w:p w:rsidR="00661CBE" w:rsidRPr="004C5458" w:rsidRDefault="00661CBE" w:rsidP="004A3E4F">
            <w:pPr>
              <w:jc w:val="right"/>
            </w:pPr>
            <w:r w:rsidRPr="00AE16D2">
              <w:t>$25</w:t>
            </w:r>
            <w:r w:rsidRPr="004C5458">
              <w:t>.00</w:t>
            </w:r>
          </w:p>
        </w:tc>
      </w:tr>
    </w:tbl>
    <w:p w:rsidR="00661CBE" w:rsidRPr="00BC4A73" w:rsidRDefault="00661CBE" w:rsidP="00661CBE">
      <w:pPr>
        <w:pStyle w:val="BodyText"/>
        <w:rPr>
          <w:rFonts w:ascii="Arial" w:hAnsi="Arial" w:cs="Arial"/>
        </w:rPr>
      </w:pPr>
    </w:p>
    <w:tbl>
      <w:tblPr>
        <w:tblW w:w="9665" w:type="dxa"/>
        <w:jc w:val="center"/>
        <w:tblLayout w:type="fixed"/>
        <w:tblLook w:val="0000" w:firstRow="0" w:lastRow="0" w:firstColumn="0" w:lastColumn="0" w:noHBand="0" w:noVBand="0"/>
      </w:tblPr>
      <w:tblGrid>
        <w:gridCol w:w="5428"/>
        <w:gridCol w:w="860"/>
        <w:gridCol w:w="3377"/>
      </w:tblGrid>
      <w:tr w:rsidR="00661CBE" w:rsidRPr="00BC4A73" w:rsidTr="004A3E4F">
        <w:trPr>
          <w:trHeight w:val="216"/>
          <w:jc w:val="center"/>
        </w:trPr>
        <w:tc>
          <w:tcPr>
            <w:tcW w:w="9665" w:type="dxa"/>
            <w:gridSpan w:val="3"/>
            <w:vAlign w:val="center"/>
          </w:tcPr>
          <w:p w:rsidR="00661CBE" w:rsidRPr="004C5458" w:rsidRDefault="00661CBE" w:rsidP="004A3E4F">
            <w:pPr>
              <w:jc w:val="center"/>
              <w:rPr>
                <w:rFonts w:ascii="Arial" w:hAnsi="Arial" w:cs="Arial"/>
              </w:rPr>
            </w:pPr>
            <w:r w:rsidRPr="004C5458">
              <w:rPr>
                <w:rFonts w:ascii="Arial" w:hAnsi="Arial" w:cs="Arial"/>
                <w:b/>
              </w:rPr>
              <w:t>Service</w:t>
            </w:r>
            <w:r w:rsidRPr="00BC4A73">
              <w:rPr>
                <w:rFonts w:ascii="Arial" w:hAnsi="Arial" w:cs="Arial"/>
                <w:b/>
              </w:rPr>
              <w:t xml:space="preserve"> Availability</w:t>
            </w:r>
            <w:r w:rsidRPr="004C5458">
              <w:rPr>
                <w:rFonts w:ascii="Arial" w:hAnsi="Arial" w:cs="Arial"/>
                <w:b/>
              </w:rPr>
              <w:t xml:space="preserve"> Charges</w:t>
            </w:r>
          </w:p>
        </w:tc>
      </w:tr>
      <w:tr w:rsidR="00661CBE" w:rsidRPr="00BC4A73" w:rsidTr="004A3E4F">
        <w:trPr>
          <w:trHeight w:val="540"/>
          <w:jc w:val="center"/>
        </w:trPr>
        <w:tc>
          <w:tcPr>
            <w:tcW w:w="5428" w:type="dxa"/>
            <w:shd w:val="clear" w:color="auto" w:fill="auto"/>
            <w:noWrap/>
            <w:vAlign w:val="bottom"/>
          </w:tcPr>
          <w:p w:rsidR="00661CBE" w:rsidRPr="004C5458" w:rsidRDefault="00661CBE" w:rsidP="004A3E4F">
            <w:pPr>
              <w:spacing w:before="120"/>
            </w:pPr>
            <w:r>
              <w:t>M</w:t>
            </w:r>
            <w:r w:rsidRPr="004C5458">
              <w:t>e</w:t>
            </w:r>
            <w:r>
              <w:t>ter Installation Charge</w:t>
            </w:r>
          </w:p>
        </w:tc>
        <w:tc>
          <w:tcPr>
            <w:tcW w:w="860" w:type="dxa"/>
            <w:vAlign w:val="bottom"/>
          </w:tcPr>
          <w:p w:rsidR="00661CBE" w:rsidRPr="004C5458" w:rsidRDefault="00661CBE" w:rsidP="004A3E4F">
            <w:pPr>
              <w:spacing w:before="120"/>
              <w:jc w:val="right"/>
            </w:pPr>
          </w:p>
        </w:tc>
        <w:tc>
          <w:tcPr>
            <w:tcW w:w="3377" w:type="dxa"/>
            <w:shd w:val="clear" w:color="auto" w:fill="auto"/>
            <w:noWrap/>
            <w:vAlign w:val="bottom"/>
          </w:tcPr>
          <w:p w:rsidR="00661CBE" w:rsidRPr="004C5458" w:rsidRDefault="00661CBE" w:rsidP="004A3E4F">
            <w:pPr>
              <w:spacing w:before="120"/>
              <w:jc w:val="right"/>
            </w:pPr>
          </w:p>
        </w:tc>
      </w:tr>
      <w:tr w:rsidR="00661CBE" w:rsidRPr="00BC4A73" w:rsidTr="004A3E4F">
        <w:trPr>
          <w:trHeight w:val="108"/>
          <w:jc w:val="center"/>
        </w:trPr>
        <w:tc>
          <w:tcPr>
            <w:tcW w:w="5428" w:type="dxa"/>
            <w:shd w:val="clear" w:color="auto" w:fill="auto"/>
            <w:noWrap/>
            <w:vAlign w:val="bottom"/>
          </w:tcPr>
          <w:p w:rsidR="00661CBE" w:rsidRPr="004C5458" w:rsidRDefault="00661CBE" w:rsidP="004A3E4F">
            <w:pPr>
              <w:rPr>
                <w:bCs/>
              </w:rPr>
            </w:pPr>
            <w:r>
              <w:t>5/8” x 3/4”</w:t>
            </w:r>
          </w:p>
        </w:tc>
        <w:tc>
          <w:tcPr>
            <w:tcW w:w="860" w:type="dxa"/>
            <w:vAlign w:val="bottom"/>
          </w:tcPr>
          <w:p w:rsidR="00661CBE" w:rsidRPr="004C5458" w:rsidRDefault="00661CBE" w:rsidP="004A3E4F">
            <w:pPr>
              <w:jc w:val="right"/>
            </w:pPr>
          </w:p>
        </w:tc>
        <w:tc>
          <w:tcPr>
            <w:tcW w:w="3377" w:type="dxa"/>
            <w:shd w:val="clear" w:color="auto" w:fill="auto"/>
            <w:noWrap/>
            <w:vAlign w:val="bottom"/>
          </w:tcPr>
          <w:p w:rsidR="00661CBE" w:rsidRPr="004C5458" w:rsidRDefault="00661CBE" w:rsidP="004A3E4F">
            <w:pPr>
              <w:jc w:val="right"/>
            </w:pPr>
            <w:r w:rsidRPr="004C5458">
              <w:t xml:space="preserve"> </w:t>
            </w:r>
            <w:r>
              <w:t>$110.00</w:t>
            </w:r>
          </w:p>
        </w:tc>
      </w:tr>
      <w:tr w:rsidR="00661CBE" w:rsidRPr="00BC4A73" w:rsidTr="004A3E4F">
        <w:trPr>
          <w:trHeight w:val="80"/>
          <w:jc w:val="center"/>
        </w:trPr>
        <w:tc>
          <w:tcPr>
            <w:tcW w:w="5428" w:type="dxa"/>
            <w:shd w:val="clear" w:color="auto" w:fill="auto"/>
            <w:noWrap/>
            <w:vAlign w:val="bottom"/>
          </w:tcPr>
          <w:p w:rsidR="00661CBE" w:rsidRPr="004C5458" w:rsidRDefault="00661CBE" w:rsidP="004A3E4F">
            <w:pPr>
              <w:rPr>
                <w:bCs/>
              </w:rPr>
            </w:pPr>
            <w:r>
              <w:t>All Others Per Gallon</w:t>
            </w:r>
          </w:p>
        </w:tc>
        <w:tc>
          <w:tcPr>
            <w:tcW w:w="860" w:type="dxa"/>
            <w:vAlign w:val="bottom"/>
          </w:tcPr>
          <w:p w:rsidR="00661CBE" w:rsidRPr="004C5458" w:rsidRDefault="00661CBE" w:rsidP="004A3E4F">
            <w:pPr>
              <w:jc w:val="right"/>
            </w:pPr>
          </w:p>
        </w:tc>
        <w:tc>
          <w:tcPr>
            <w:tcW w:w="3377" w:type="dxa"/>
            <w:shd w:val="clear" w:color="auto" w:fill="auto"/>
            <w:noWrap/>
            <w:vAlign w:val="bottom"/>
          </w:tcPr>
          <w:p w:rsidR="00661CBE" w:rsidRPr="004C5458" w:rsidRDefault="00661CBE" w:rsidP="004A3E4F">
            <w:pPr>
              <w:jc w:val="right"/>
            </w:pPr>
            <w:r>
              <w:t>Actual Cost</w:t>
            </w:r>
          </w:p>
        </w:tc>
      </w:tr>
    </w:tbl>
    <w:p w:rsidR="006D47B5" w:rsidRDefault="006D47B5" w:rsidP="00E275D8">
      <w:pPr>
        <w:pStyle w:val="BodyText"/>
      </w:pPr>
    </w:p>
    <w:p w:rsidR="00FD395E" w:rsidRDefault="00FD395E" w:rsidP="00E275D8">
      <w:pPr>
        <w:pStyle w:val="BodyText"/>
      </w:pPr>
    </w:p>
    <w:p w:rsidR="00FD395E" w:rsidRDefault="00FD395E" w:rsidP="00E275D8">
      <w:pPr>
        <w:pStyle w:val="BodyText"/>
        <w:sectPr w:rsidR="00FD395E" w:rsidSect="0068481F">
          <w:headerReference w:type="default" r:id="rId22"/>
          <w:footerReference w:type="default" r:id="rId23"/>
          <w:pgSz w:w="12240" w:h="15840" w:code="1"/>
          <w:pgMar w:top="1584" w:right="1440" w:bottom="1440" w:left="1440" w:header="720" w:footer="720" w:gutter="0"/>
          <w:cols w:space="720"/>
          <w:formProt w:val="0"/>
          <w:docGrid w:linePitch="360"/>
        </w:sectPr>
      </w:pPr>
    </w:p>
    <w:p w:rsidR="00FD395E" w:rsidRDefault="00FD395E" w:rsidP="00FD395E">
      <w:pPr>
        <w:jc w:val="center"/>
        <w:rPr>
          <w:rFonts w:ascii="Arial" w:hAnsi="Arial" w:cs="Arial"/>
          <w:b/>
        </w:rPr>
      </w:pPr>
    </w:p>
    <w:p w:rsidR="00661CBE" w:rsidRPr="00894061" w:rsidRDefault="00661CBE" w:rsidP="00661CBE">
      <w:pPr>
        <w:jc w:val="center"/>
        <w:rPr>
          <w:rFonts w:ascii="Arial" w:hAnsi="Arial" w:cs="Arial"/>
          <w:b/>
        </w:rPr>
      </w:pPr>
      <w:r w:rsidRPr="00894061">
        <w:rPr>
          <w:rFonts w:ascii="Arial" w:eastAsia="Calibri" w:hAnsi="Arial" w:cs="Arial"/>
          <w:b/>
          <w:bCs/>
          <w:color w:val="000000"/>
        </w:rPr>
        <w:t>St. Johns River Estates Utilities, LLC</w:t>
      </w:r>
    </w:p>
    <w:p w:rsidR="00661CBE" w:rsidRDefault="00661CBE" w:rsidP="00661CBE">
      <w:pPr>
        <w:jc w:val="center"/>
        <w:rPr>
          <w:rFonts w:ascii="Arial" w:hAnsi="Arial" w:cs="Arial"/>
          <w:b/>
        </w:rPr>
      </w:pPr>
      <w:r w:rsidRPr="004C5458">
        <w:rPr>
          <w:rFonts w:ascii="Arial" w:hAnsi="Arial" w:cs="Arial"/>
          <w:b/>
        </w:rPr>
        <w:t>Monthly Wastewater Rates</w:t>
      </w:r>
    </w:p>
    <w:p w:rsidR="00661CBE" w:rsidRPr="004C5458" w:rsidRDefault="00661CBE" w:rsidP="00661CBE">
      <w:pPr>
        <w:jc w:val="center"/>
        <w:rPr>
          <w:rFonts w:ascii="Arial" w:hAnsi="Arial" w:cs="Arial"/>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661CBE" w:rsidRPr="004C5458" w:rsidTr="004A3E4F">
        <w:tc>
          <w:tcPr>
            <w:tcW w:w="6259" w:type="dxa"/>
            <w:shd w:val="clear" w:color="auto" w:fill="auto"/>
          </w:tcPr>
          <w:p w:rsidR="00661CBE" w:rsidRPr="004C5458" w:rsidRDefault="00661CBE" w:rsidP="004A3E4F">
            <w:pPr>
              <w:rPr>
                <w:rFonts w:ascii="Arial" w:hAnsi="Arial" w:cs="Arial"/>
                <w:b/>
                <w:spacing w:val="-5"/>
              </w:rPr>
            </w:pPr>
            <w:r w:rsidRPr="004C5458">
              <w:rPr>
                <w:rFonts w:ascii="Arial" w:hAnsi="Arial" w:cs="Arial"/>
                <w:b/>
                <w:spacing w:val="-5"/>
              </w:rPr>
              <w:t>Residential Service</w:t>
            </w:r>
          </w:p>
        </w:tc>
        <w:tc>
          <w:tcPr>
            <w:tcW w:w="1260" w:type="dxa"/>
            <w:shd w:val="clear" w:color="auto" w:fill="auto"/>
          </w:tcPr>
          <w:p w:rsidR="00661CBE" w:rsidRPr="004C5458" w:rsidRDefault="00661CBE" w:rsidP="004A3E4F">
            <w:pPr>
              <w:jc w:val="right"/>
              <w:rPr>
                <w:rFonts w:ascii="Arial" w:hAnsi="Arial" w:cs="Arial"/>
                <w:spacing w:val="-5"/>
              </w:rPr>
            </w:pPr>
          </w:p>
        </w:tc>
        <w:tc>
          <w:tcPr>
            <w:tcW w:w="2071" w:type="dxa"/>
            <w:shd w:val="clear" w:color="auto" w:fill="auto"/>
          </w:tcPr>
          <w:p w:rsidR="00661CBE" w:rsidRPr="004C5458" w:rsidRDefault="00661CBE" w:rsidP="004A3E4F">
            <w:pPr>
              <w:jc w:val="right"/>
              <w:rPr>
                <w:rFonts w:ascii="Arial" w:hAnsi="Arial" w:cs="Arial"/>
                <w:spacing w:val="-5"/>
              </w:rPr>
            </w:pPr>
          </w:p>
        </w:tc>
      </w:tr>
      <w:tr w:rsidR="00661CBE" w:rsidRPr="004C5458" w:rsidTr="004A3E4F">
        <w:tc>
          <w:tcPr>
            <w:tcW w:w="6259" w:type="dxa"/>
            <w:shd w:val="clear" w:color="auto" w:fill="auto"/>
          </w:tcPr>
          <w:p w:rsidR="00661CBE" w:rsidRPr="004C5458" w:rsidRDefault="00661CBE" w:rsidP="004A3E4F">
            <w:pPr>
              <w:rPr>
                <w:spacing w:val="-5"/>
              </w:rPr>
            </w:pPr>
            <w:r w:rsidRPr="004C5458">
              <w:rPr>
                <w:spacing w:val="-5"/>
              </w:rPr>
              <w:t>Base Facility Charge – All Meter Sizes</w:t>
            </w:r>
          </w:p>
        </w:tc>
        <w:tc>
          <w:tcPr>
            <w:tcW w:w="1260" w:type="dxa"/>
            <w:shd w:val="clear" w:color="auto" w:fill="auto"/>
          </w:tcPr>
          <w:p w:rsidR="00661CBE" w:rsidRPr="004C5458" w:rsidRDefault="00661CBE" w:rsidP="004A3E4F">
            <w:pPr>
              <w:jc w:val="right"/>
              <w:rPr>
                <w:spacing w:val="-5"/>
              </w:rPr>
            </w:pPr>
          </w:p>
        </w:tc>
        <w:tc>
          <w:tcPr>
            <w:tcW w:w="2071" w:type="dxa"/>
            <w:shd w:val="clear" w:color="auto" w:fill="auto"/>
          </w:tcPr>
          <w:p w:rsidR="00661CBE" w:rsidRPr="004C5458" w:rsidRDefault="00661CBE" w:rsidP="004A3E4F">
            <w:pPr>
              <w:jc w:val="right"/>
              <w:rPr>
                <w:spacing w:val="-5"/>
              </w:rPr>
            </w:pPr>
            <w:r w:rsidRPr="004C5458">
              <w:rPr>
                <w:spacing w:val="-5"/>
              </w:rPr>
              <w:t>$1</w:t>
            </w:r>
            <w:r w:rsidRPr="00AE16D2">
              <w:rPr>
                <w:spacing w:val="-5"/>
              </w:rPr>
              <w:t>1.09</w:t>
            </w:r>
          </w:p>
        </w:tc>
      </w:tr>
      <w:tr w:rsidR="00661CBE" w:rsidRPr="004C5458" w:rsidTr="004A3E4F">
        <w:tc>
          <w:tcPr>
            <w:tcW w:w="6259" w:type="dxa"/>
            <w:shd w:val="clear" w:color="auto" w:fill="auto"/>
            <w:vAlign w:val="bottom"/>
          </w:tcPr>
          <w:p w:rsidR="00661CBE" w:rsidRPr="004C5458" w:rsidRDefault="00661CBE" w:rsidP="004A3E4F">
            <w:pPr>
              <w:rPr>
                <w:spacing w:val="-5"/>
              </w:rPr>
            </w:pP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vAlign w:val="bottom"/>
          </w:tcPr>
          <w:p w:rsidR="00661CBE" w:rsidRPr="004C5458" w:rsidRDefault="00661CBE" w:rsidP="004A3E4F">
            <w:pPr>
              <w:jc w:val="right"/>
              <w:rPr>
                <w:spacing w:val="-5"/>
              </w:rPr>
            </w:pPr>
          </w:p>
        </w:tc>
      </w:tr>
      <w:tr w:rsidR="00661CBE" w:rsidRPr="004C5458" w:rsidTr="004A3E4F">
        <w:tc>
          <w:tcPr>
            <w:tcW w:w="6259" w:type="dxa"/>
            <w:shd w:val="clear" w:color="auto" w:fill="auto"/>
            <w:vAlign w:val="bottom"/>
          </w:tcPr>
          <w:p w:rsidR="00661CBE" w:rsidRPr="004C5458" w:rsidRDefault="00661CBE" w:rsidP="004A3E4F">
            <w:pPr>
              <w:rPr>
                <w:spacing w:val="-5"/>
              </w:rPr>
            </w:pPr>
            <w:r w:rsidRPr="004C5458">
              <w:rPr>
                <w:spacing w:val="-5"/>
              </w:rPr>
              <w:t>Charge Per 1,000 gallons</w:t>
            </w: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vAlign w:val="bottom"/>
          </w:tcPr>
          <w:p w:rsidR="00661CBE" w:rsidRPr="004C5458" w:rsidRDefault="00661CBE" w:rsidP="004A3E4F">
            <w:pPr>
              <w:jc w:val="right"/>
              <w:rPr>
                <w:spacing w:val="-5"/>
              </w:rPr>
            </w:pPr>
            <w:r w:rsidRPr="004C5458">
              <w:rPr>
                <w:spacing w:val="-5"/>
              </w:rPr>
              <w:t>$</w:t>
            </w:r>
            <w:r w:rsidRPr="00AE16D2">
              <w:rPr>
                <w:spacing w:val="-5"/>
              </w:rPr>
              <w:t>3.84</w:t>
            </w:r>
            <w:r w:rsidRPr="004C5458">
              <w:rPr>
                <w:spacing w:val="-5"/>
              </w:rPr>
              <w:t xml:space="preserve">             </w:t>
            </w:r>
          </w:p>
        </w:tc>
      </w:tr>
      <w:tr w:rsidR="00661CBE" w:rsidRPr="004C5458" w:rsidTr="004A3E4F">
        <w:tc>
          <w:tcPr>
            <w:tcW w:w="6259" w:type="dxa"/>
            <w:shd w:val="clear" w:color="auto" w:fill="auto"/>
            <w:vAlign w:val="bottom"/>
          </w:tcPr>
          <w:p w:rsidR="00661CBE" w:rsidRPr="004C5458" w:rsidRDefault="00661CBE" w:rsidP="004A3E4F">
            <w:pPr>
              <w:rPr>
                <w:spacing w:val="-5"/>
              </w:rPr>
            </w:pPr>
            <w:r w:rsidRPr="00AE16D2">
              <w:rPr>
                <w:spacing w:val="-5"/>
              </w:rPr>
              <w:t>8</w:t>
            </w:r>
            <w:r w:rsidRPr="004C5458">
              <w:rPr>
                <w:spacing w:val="-5"/>
              </w:rPr>
              <w:t>,000 gallon cap</w:t>
            </w: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vAlign w:val="bottom"/>
          </w:tcPr>
          <w:p w:rsidR="00661CBE" w:rsidRPr="004C5458" w:rsidRDefault="00661CBE" w:rsidP="004A3E4F">
            <w:pPr>
              <w:jc w:val="right"/>
              <w:rPr>
                <w:spacing w:val="-5"/>
              </w:rPr>
            </w:pPr>
          </w:p>
        </w:tc>
      </w:tr>
      <w:tr w:rsidR="00661CBE" w:rsidRPr="004C5458" w:rsidTr="004A3E4F">
        <w:tc>
          <w:tcPr>
            <w:tcW w:w="6259" w:type="dxa"/>
            <w:shd w:val="clear" w:color="auto" w:fill="auto"/>
            <w:vAlign w:val="bottom"/>
          </w:tcPr>
          <w:p w:rsidR="00661CBE" w:rsidRPr="004C5458" w:rsidRDefault="00661CBE" w:rsidP="004A3E4F">
            <w:pPr>
              <w:rPr>
                <w:spacing w:val="-5"/>
              </w:rPr>
            </w:pP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vAlign w:val="bottom"/>
          </w:tcPr>
          <w:p w:rsidR="00661CBE" w:rsidRPr="004C5458" w:rsidRDefault="00661CBE" w:rsidP="004A3E4F">
            <w:pPr>
              <w:jc w:val="right"/>
              <w:rPr>
                <w:spacing w:val="-5"/>
              </w:rPr>
            </w:pPr>
          </w:p>
        </w:tc>
      </w:tr>
      <w:tr w:rsidR="00661CBE" w:rsidRPr="004C5458" w:rsidTr="004A3E4F">
        <w:tc>
          <w:tcPr>
            <w:tcW w:w="6259" w:type="dxa"/>
            <w:shd w:val="clear" w:color="auto" w:fill="auto"/>
            <w:vAlign w:val="bottom"/>
          </w:tcPr>
          <w:p w:rsidR="00661CBE" w:rsidRPr="004C5458" w:rsidRDefault="00661CBE" w:rsidP="004A3E4F">
            <w:pPr>
              <w:rPr>
                <w:rFonts w:ascii="Arial" w:hAnsi="Arial" w:cs="Arial"/>
                <w:b/>
                <w:spacing w:val="-5"/>
              </w:rPr>
            </w:pPr>
            <w:r w:rsidRPr="004C5458">
              <w:rPr>
                <w:rFonts w:ascii="Arial" w:hAnsi="Arial" w:cs="Arial"/>
                <w:b/>
                <w:spacing w:val="-5"/>
              </w:rPr>
              <w:t>General Service</w:t>
            </w:r>
          </w:p>
        </w:tc>
        <w:tc>
          <w:tcPr>
            <w:tcW w:w="1260" w:type="dxa"/>
            <w:shd w:val="clear" w:color="auto" w:fill="auto"/>
            <w:vAlign w:val="bottom"/>
          </w:tcPr>
          <w:p w:rsidR="00661CBE" w:rsidRPr="004C5458" w:rsidRDefault="00661CBE" w:rsidP="004A3E4F">
            <w:pPr>
              <w:jc w:val="right"/>
              <w:rPr>
                <w:rFonts w:ascii="Arial" w:hAnsi="Arial" w:cs="Arial"/>
                <w:spacing w:val="-5"/>
              </w:rPr>
            </w:pPr>
          </w:p>
        </w:tc>
        <w:tc>
          <w:tcPr>
            <w:tcW w:w="2071" w:type="dxa"/>
            <w:shd w:val="clear" w:color="auto" w:fill="auto"/>
            <w:vAlign w:val="bottom"/>
          </w:tcPr>
          <w:p w:rsidR="00661CBE" w:rsidRPr="004C5458" w:rsidRDefault="00661CBE" w:rsidP="004A3E4F">
            <w:pPr>
              <w:jc w:val="right"/>
              <w:rPr>
                <w:rFonts w:ascii="Arial" w:hAnsi="Arial" w:cs="Arial"/>
                <w:spacing w:val="-5"/>
              </w:rPr>
            </w:pPr>
          </w:p>
        </w:tc>
      </w:tr>
      <w:tr w:rsidR="00661CBE" w:rsidRPr="004C5458" w:rsidTr="004A3E4F">
        <w:trPr>
          <w:trHeight w:val="180"/>
        </w:trPr>
        <w:tc>
          <w:tcPr>
            <w:tcW w:w="6259" w:type="dxa"/>
            <w:shd w:val="clear" w:color="auto" w:fill="auto"/>
          </w:tcPr>
          <w:p w:rsidR="00661CBE" w:rsidRPr="004C5458" w:rsidRDefault="00661CBE" w:rsidP="004A3E4F">
            <w:pPr>
              <w:rPr>
                <w:spacing w:val="-5"/>
              </w:rPr>
            </w:pPr>
            <w:r w:rsidRPr="004C5458">
              <w:rPr>
                <w:spacing w:val="-5"/>
              </w:rPr>
              <w:t>Base Facility Charge by Meter Size</w:t>
            </w: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tcPr>
          <w:p w:rsidR="00661CBE" w:rsidRPr="004C5458" w:rsidRDefault="00661CBE" w:rsidP="004A3E4F">
            <w:pPr>
              <w:jc w:val="right"/>
              <w:rPr>
                <w:spacing w:val="-5"/>
              </w:rPr>
            </w:pPr>
          </w:p>
        </w:tc>
      </w:tr>
      <w:tr w:rsidR="00661CBE" w:rsidRPr="004C5458" w:rsidTr="004A3E4F">
        <w:tc>
          <w:tcPr>
            <w:tcW w:w="6259" w:type="dxa"/>
            <w:shd w:val="clear" w:color="auto" w:fill="auto"/>
          </w:tcPr>
          <w:p w:rsidR="00661CBE" w:rsidRPr="004C5458" w:rsidRDefault="00661CBE" w:rsidP="004A3E4F">
            <w:r w:rsidRPr="004C5458">
              <w:t>5/8” x 3/4"</w:t>
            </w:r>
          </w:p>
        </w:tc>
        <w:tc>
          <w:tcPr>
            <w:tcW w:w="1260" w:type="dxa"/>
            <w:shd w:val="clear" w:color="auto" w:fill="auto"/>
            <w:vAlign w:val="bottom"/>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4C5458">
              <w:t>$1</w:t>
            </w:r>
            <w:r w:rsidRPr="00AE16D2">
              <w:t>1.09</w:t>
            </w:r>
          </w:p>
        </w:tc>
      </w:tr>
      <w:tr w:rsidR="00661CBE" w:rsidRPr="004C5458" w:rsidTr="004A3E4F">
        <w:tc>
          <w:tcPr>
            <w:tcW w:w="6259" w:type="dxa"/>
            <w:shd w:val="clear" w:color="auto" w:fill="auto"/>
          </w:tcPr>
          <w:p w:rsidR="00661CBE" w:rsidRPr="004C5458" w:rsidRDefault="00661CBE" w:rsidP="004A3E4F">
            <w:r w:rsidRPr="00AE16D2">
              <w:t>3/4</w:t>
            </w:r>
            <w:r w:rsidRPr="004C5458">
              <w:t>”</w:t>
            </w:r>
          </w:p>
        </w:tc>
        <w:tc>
          <w:tcPr>
            <w:tcW w:w="1260" w:type="dxa"/>
            <w:shd w:val="clear" w:color="auto" w:fill="auto"/>
            <w:vAlign w:val="bottom"/>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$16.64</w:t>
            </w:r>
          </w:p>
        </w:tc>
      </w:tr>
      <w:tr w:rsidR="00661CBE" w:rsidRPr="004C5458" w:rsidTr="004A3E4F">
        <w:tc>
          <w:tcPr>
            <w:tcW w:w="6259" w:type="dxa"/>
            <w:shd w:val="clear" w:color="auto" w:fill="auto"/>
          </w:tcPr>
          <w:p w:rsidR="00661CBE" w:rsidRPr="004C5458" w:rsidRDefault="00661CBE" w:rsidP="004A3E4F">
            <w:r w:rsidRPr="00AE16D2">
              <w:t>1</w:t>
            </w:r>
            <w:r w:rsidRPr="004C5458">
              <w:t>"</w:t>
            </w:r>
          </w:p>
        </w:tc>
        <w:tc>
          <w:tcPr>
            <w:tcW w:w="1260" w:type="dxa"/>
            <w:shd w:val="clear" w:color="auto" w:fill="auto"/>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$27.73</w:t>
            </w:r>
          </w:p>
        </w:tc>
      </w:tr>
      <w:tr w:rsidR="00661CBE" w:rsidRPr="004C5458" w:rsidTr="004A3E4F">
        <w:tc>
          <w:tcPr>
            <w:tcW w:w="6259" w:type="dxa"/>
            <w:shd w:val="clear" w:color="auto" w:fill="auto"/>
          </w:tcPr>
          <w:p w:rsidR="00661CBE" w:rsidRPr="004C5458" w:rsidRDefault="00661CBE" w:rsidP="004A3E4F">
            <w:r w:rsidRPr="00AE16D2">
              <w:t>1 1/2</w:t>
            </w:r>
            <w:r w:rsidRPr="004C5458">
              <w:t>”</w:t>
            </w:r>
          </w:p>
        </w:tc>
        <w:tc>
          <w:tcPr>
            <w:tcW w:w="1260" w:type="dxa"/>
            <w:shd w:val="clear" w:color="auto" w:fill="auto"/>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$55.45</w:t>
            </w:r>
          </w:p>
        </w:tc>
      </w:tr>
      <w:tr w:rsidR="00661CBE" w:rsidRPr="004C5458" w:rsidTr="004A3E4F">
        <w:tc>
          <w:tcPr>
            <w:tcW w:w="6259" w:type="dxa"/>
            <w:shd w:val="clear" w:color="auto" w:fill="auto"/>
          </w:tcPr>
          <w:p w:rsidR="00661CBE" w:rsidRPr="004C5458" w:rsidRDefault="00661CBE" w:rsidP="004A3E4F">
            <w:r w:rsidRPr="00AE16D2">
              <w:t>2</w:t>
            </w:r>
            <w:r w:rsidRPr="004C5458">
              <w:t>”</w:t>
            </w:r>
          </w:p>
        </w:tc>
        <w:tc>
          <w:tcPr>
            <w:tcW w:w="1260" w:type="dxa"/>
            <w:shd w:val="clear" w:color="auto" w:fill="auto"/>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$88.72</w:t>
            </w:r>
          </w:p>
        </w:tc>
      </w:tr>
      <w:tr w:rsidR="00661CBE" w:rsidRPr="004C5458" w:rsidTr="004A3E4F">
        <w:tc>
          <w:tcPr>
            <w:tcW w:w="6259" w:type="dxa"/>
            <w:shd w:val="clear" w:color="auto" w:fill="auto"/>
          </w:tcPr>
          <w:p w:rsidR="00661CBE" w:rsidRPr="004C5458" w:rsidRDefault="00661CBE" w:rsidP="004A3E4F">
            <w:r w:rsidRPr="00AE16D2">
              <w:t>3</w:t>
            </w:r>
            <w:r w:rsidRPr="004C5458">
              <w:t>”</w:t>
            </w:r>
          </w:p>
        </w:tc>
        <w:tc>
          <w:tcPr>
            <w:tcW w:w="1260" w:type="dxa"/>
            <w:shd w:val="clear" w:color="auto" w:fill="auto"/>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$177.44</w:t>
            </w:r>
          </w:p>
        </w:tc>
      </w:tr>
      <w:tr w:rsidR="00661CBE" w:rsidRPr="004C5458" w:rsidTr="004A3E4F">
        <w:tc>
          <w:tcPr>
            <w:tcW w:w="6259" w:type="dxa"/>
            <w:shd w:val="clear" w:color="auto" w:fill="auto"/>
          </w:tcPr>
          <w:p w:rsidR="00661CBE" w:rsidRPr="004C5458" w:rsidRDefault="00661CBE" w:rsidP="004A3E4F">
            <w:r w:rsidRPr="00AE16D2">
              <w:t>4</w:t>
            </w:r>
            <w:r w:rsidRPr="004C5458">
              <w:t>”</w:t>
            </w:r>
          </w:p>
        </w:tc>
        <w:tc>
          <w:tcPr>
            <w:tcW w:w="1260" w:type="dxa"/>
            <w:shd w:val="clear" w:color="auto" w:fill="auto"/>
            <w:vAlign w:val="bottom"/>
          </w:tcPr>
          <w:p w:rsidR="00661CBE" w:rsidRPr="004C5458" w:rsidRDefault="00661CBE" w:rsidP="004A3E4F">
            <w:pPr>
              <w:jc w:val="right"/>
            </w:pPr>
          </w:p>
        </w:tc>
        <w:tc>
          <w:tcPr>
            <w:tcW w:w="2071" w:type="dxa"/>
            <w:shd w:val="clear" w:color="auto" w:fill="auto"/>
          </w:tcPr>
          <w:p w:rsidR="00661CBE" w:rsidRPr="004C5458" w:rsidRDefault="00661CBE" w:rsidP="004A3E4F">
            <w:pPr>
              <w:jc w:val="right"/>
            </w:pPr>
            <w:r w:rsidRPr="00AE16D2">
              <w:t>$277.25</w:t>
            </w:r>
          </w:p>
        </w:tc>
      </w:tr>
      <w:tr w:rsidR="00661CBE" w:rsidRPr="004C5458" w:rsidTr="004A3E4F">
        <w:tc>
          <w:tcPr>
            <w:tcW w:w="6259" w:type="dxa"/>
            <w:shd w:val="clear" w:color="auto" w:fill="auto"/>
          </w:tcPr>
          <w:p w:rsidR="00661CBE" w:rsidRPr="004C5458" w:rsidRDefault="00661CBE" w:rsidP="004A3E4F">
            <w:r w:rsidRPr="00AE16D2">
              <w:t>6</w:t>
            </w:r>
            <w:r w:rsidRPr="004C5458">
              <w:t>”</w:t>
            </w: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vAlign w:val="bottom"/>
          </w:tcPr>
          <w:p w:rsidR="00661CBE" w:rsidRPr="004C5458" w:rsidRDefault="00661CBE" w:rsidP="004A3E4F">
            <w:pPr>
              <w:jc w:val="right"/>
              <w:rPr>
                <w:spacing w:val="-5"/>
              </w:rPr>
            </w:pPr>
            <w:r w:rsidRPr="00AE16D2">
              <w:rPr>
                <w:spacing w:val="-5"/>
              </w:rPr>
              <w:t>$554.50</w:t>
            </w:r>
          </w:p>
        </w:tc>
      </w:tr>
      <w:tr w:rsidR="00661CBE" w:rsidRPr="004C5458" w:rsidTr="004A3E4F">
        <w:tc>
          <w:tcPr>
            <w:tcW w:w="6259" w:type="dxa"/>
            <w:shd w:val="clear" w:color="auto" w:fill="auto"/>
            <w:vAlign w:val="bottom"/>
          </w:tcPr>
          <w:p w:rsidR="00661CBE" w:rsidRPr="004C5458" w:rsidRDefault="00661CBE" w:rsidP="004A3E4F">
            <w:pPr>
              <w:rPr>
                <w:spacing w:val="-5"/>
              </w:rPr>
            </w:pP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vAlign w:val="bottom"/>
          </w:tcPr>
          <w:p w:rsidR="00661CBE" w:rsidRPr="004C5458" w:rsidRDefault="00661CBE" w:rsidP="004A3E4F">
            <w:pPr>
              <w:jc w:val="right"/>
              <w:rPr>
                <w:spacing w:val="-5"/>
              </w:rPr>
            </w:pPr>
          </w:p>
        </w:tc>
      </w:tr>
      <w:tr w:rsidR="00661CBE" w:rsidRPr="004C5458" w:rsidTr="004A3E4F">
        <w:tc>
          <w:tcPr>
            <w:tcW w:w="6259" w:type="dxa"/>
            <w:shd w:val="clear" w:color="auto" w:fill="auto"/>
            <w:vAlign w:val="bottom"/>
          </w:tcPr>
          <w:p w:rsidR="00661CBE" w:rsidRPr="004C5458" w:rsidRDefault="00661CBE" w:rsidP="004A3E4F">
            <w:pPr>
              <w:rPr>
                <w:spacing w:val="-5"/>
              </w:rPr>
            </w:pPr>
            <w:r w:rsidRPr="004C5458">
              <w:rPr>
                <w:spacing w:val="-5"/>
              </w:rPr>
              <w:t xml:space="preserve">Charge Per 1,000 gallons </w:t>
            </w:r>
          </w:p>
        </w:tc>
        <w:tc>
          <w:tcPr>
            <w:tcW w:w="1260" w:type="dxa"/>
            <w:shd w:val="clear" w:color="auto" w:fill="auto"/>
            <w:vAlign w:val="bottom"/>
          </w:tcPr>
          <w:p w:rsidR="00661CBE" w:rsidRPr="004C5458" w:rsidRDefault="00661CBE" w:rsidP="004A3E4F">
            <w:pPr>
              <w:jc w:val="right"/>
              <w:rPr>
                <w:spacing w:val="-5"/>
              </w:rPr>
            </w:pPr>
          </w:p>
        </w:tc>
        <w:tc>
          <w:tcPr>
            <w:tcW w:w="2071" w:type="dxa"/>
            <w:shd w:val="clear" w:color="auto" w:fill="auto"/>
            <w:vAlign w:val="bottom"/>
          </w:tcPr>
          <w:p w:rsidR="00661CBE" w:rsidRPr="004C5458" w:rsidRDefault="00661CBE" w:rsidP="004A3E4F">
            <w:pPr>
              <w:jc w:val="right"/>
              <w:rPr>
                <w:spacing w:val="-5"/>
              </w:rPr>
            </w:pPr>
            <w:r w:rsidRPr="004C5458">
              <w:rPr>
                <w:spacing w:val="-5"/>
              </w:rPr>
              <w:t>$</w:t>
            </w:r>
            <w:r w:rsidRPr="00AE16D2">
              <w:rPr>
                <w:spacing w:val="-5"/>
              </w:rPr>
              <w:t>4.60</w:t>
            </w:r>
          </w:p>
        </w:tc>
      </w:tr>
    </w:tbl>
    <w:p w:rsidR="00661CBE" w:rsidRPr="004C5458" w:rsidRDefault="00661CBE" w:rsidP="00661CBE">
      <w:pPr>
        <w:spacing w:after="240"/>
        <w:jc w:val="both"/>
        <w:rPr>
          <w:rFonts w:ascii="Arial" w:hAnsi="Arial" w:cs="Arial"/>
        </w:rPr>
      </w:pPr>
    </w:p>
    <w:tbl>
      <w:tblPr>
        <w:tblW w:w="9635" w:type="dxa"/>
        <w:jc w:val="center"/>
        <w:tblLook w:val="0000" w:firstRow="0" w:lastRow="0" w:firstColumn="0" w:lastColumn="0" w:noHBand="0" w:noVBand="0"/>
      </w:tblPr>
      <w:tblGrid>
        <w:gridCol w:w="5403"/>
        <w:gridCol w:w="856"/>
        <w:gridCol w:w="3361"/>
        <w:gridCol w:w="15"/>
      </w:tblGrid>
      <w:tr w:rsidR="00661CBE" w:rsidRPr="004C5458" w:rsidTr="004A3E4F">
        <w:trPr>
          <w:gridAfter w:val="1"/>
          <w:wAfter w:w="15" w:type="dxa"/>
          <w:trHeight w:val="230"/>
          <w:jc w:val="center"/>
        </w:trPr>
        <w:tc>
          <w:tcPr>
            <w:tcW w:w="9620" w:type="dxa"/>
            <w:gridSpan w:val="3"/>
            <w:shd w:val="clear" w:color="auto" w:fill="auto"/>
            <w:noWrap/>
            <w:vAlign w:val="bottom"/>
          </w:tcPr>
          <w:p w:rsidR="00661CBE" w:rsidRPr="004C5458" w:rsidRDefault="00661CBE" w:rsidP="004A3E4F">
            <w:pPr>
              <w:jc w:val="center"/>
              <w:rPr>
                <w:rFonts w:ascii="Arial" w:hAnsi="Arial" w:cs="Arial"/>
                <w:bCs/>
              </w:rPr>
            </w:pPr>
            <w:r w:rsidRPr="004C5458">
              <w:rPr>
                <w:rFonts w:ascii="Arial" w:hAnsi="Arial" w:cs="Arial"/>
                <w:b/>
                <w:bCs/>
              </w:rPr>
              <w:t>Initial Customer Deposits</w:t>
            </w:r>
          </w:p>
        </w:tc>
      </w:tr>
      <w:tr w:rsidR="00661CBE" w:rsidRPr="004C5458" w:rsidTr="004A3E4F">
        <w:trPr>
          <w:gridAfter w:val="1"/>
          <w:wAfter w:w="15" w:type="dxa"/>
          <w:trHeight w:val="230"/>
          <w:jc w:val="center"/>
        </w:trPr>
        <w:tc>
          <w:tcPr>
            <w:tcW w:w="5403" w:type="dxa"/>
            <w:shd w:val="clear" w:color="auto" w:fill="auto"/>
            <w:noWrap/>
            <w:vAlign w:val="bottom"/>
          </w:tcPr>
          <w:p w:rsidR="00661CBE" w:rsidRPr="004C5458" w:rsidRDefault="00661CBE" w:rsidP="004A3E4F">
            <w:pPr>
              <w:spacing w:before="120"/>
              <w:rPr>
                <w:bCs/>
              </w:rPr>
            </w:pPr>
            <w:r w:rsidRPr="004C5458">
              <w:rPr>
                <w:bCs/>
              </w:rPr>
              <w:t xml:space="preserve">Residential </w:t>
            </w:r>
            <w:r>
              <w:rPr>
                <w:bCs/>
              </w:rPr>
              <w:t xml:space="preserve">and </w:t>
            </w:r>
            <w:r w:rsidRPr="004C5458">
              <w:rPr>
                <w:bCs/>
              </w:rPr>
              <w:t xml:space="preserve">General Service – </w:t>
            </w:r>
            <w:r w:rsidRPr="004C5458">
              <w:t>5/8" X 3/4"</w:t>
            </w:r>
          </w:p>
        </w:tc>
        <w:tc>
          <w:tcPr>
            <w:tcW w:w="856" w:type="dxa"/>
          </w:tcPr>
          <w:p w:rsidR="00661CBE" w:rsidRPr="004C5458" w:rsidRDefault="00661CBE" w:rsidP="004A3E4F">
            <w:pPr>
              <w:spacing w:before="120"/>
              <w:jc w:val="right"/>
            </w:pPr>
          </w:p>
        </w:tc>
        <w:tc>
          <w:tcPr>
            <w:tcW w:w="3361" w:type="dxa"/>
            <w:shd w:val="clear" w:color="auto" w:fill="auto"/>
            <w:noWrap/>
            <w:vAlign w:val="bottom"/>
          </w:tcPr>
          <w:p w:rsidR="00661CBE" w:rsidRPr="004C5458" w:rsidRDefault="00661CBE" w:rsidP="004A3E4F">
            <w:pPr>
              <w:spacing w:before="120"/>
              <w:jc w:val="right"/>
            </w:pPr>
            <w:r w:rsidRPr="00AE16D2">
              <w:t>$5</w:t>
            </w:r>
            <w:r w:rsidRPr="004C5458">
              <w:t>0.00</w:t>
            </w:r>
          </w:p>
        </w:tc>
      </w:tr>
      <w:tr w:rsidR="00661CBE" w:rsidRPr="004C5458" w:rsidTr="004A3E4F">
        <w:trPr>
          <w:gridAfter w:val="1"/>
          <w:wAfter w:w="15" w:type="dxa"/>
          <w:trHeight w:val="230"/>
          <w:jc w:val="center"/>
        </w:trPr>
        <w:tc>
          <w:tcPr>
            <w:tcW w:w="5403" w:type="dxa"/>
            <w:shd w:val="clear" w:color="auto" w:fill="auto"/>
            <w:noWrap/>
            <w:vAlign w:val="bottom"/>
          </w:tcPr>
          <w:p w:rsidR="00661CBE" w:rsidRPr="004C5458" w:rsidRDefault="00661CBE" w:rsidP="004A3E4F">
            <w:pPr>
              <w:rPr>
                <w:bCs/>
              </w:rPr>
            </w:pPr>
            <w:r w:rsidRPr="004C5458">
              <w:rPr>
                <w:bCs/>
              </w:rPr>
              <w:t>All o</w:t>
            </w:r>
            <w:r>
              <w:rPr>
                <w:bCs/>
              </w:rPr>
              <w:t>ther meter sizes</w:t>
            </w:r>
          </w:p>
        </w:tc>
        <w:tc>
          <w:tcPr>
            <w:tcW w:w="856" w:type="dxa"/>
          </w:tcPr>
          <w:p w:rsidR="00661CBE" w:rsidRPr="004C5458" w:rsidRDefault="00661CBE" w:rsidP="004A3E4F">
            <w:pPr>
              <w:jc w:val="right"/>
            </w:pPr>
          </w:p>
        </w:tc>
        <w:tc>
          <w:tcPr>
            <w:tcW w:w="3361" w:type="dxa"/>
            <w:shd w:val="clear" w:color="auto" w:fill="auto"/>
            <w:noWrap/>
            <w:vAlign w:val="bottom"/>
          </w:tcPr>
          <w:p w:rsidR="00661CBE" w:rsidRPr="004C5458" w:rsidRDefault="00661CBE" w:rsidP="004A3E4F">
            <w:pPr>
              <w:jc w:val="right"/>
            </w:pPr>
            <w:r w:rsidRPr="004C5458">
              <w:t>2x average estimated bill</w:t>
            </w:r>
          </w:p>
        </w:tc>
      </w:tr>
      <w:tr w:rsidR="00661CBE" w:rsidRPr="004C5458" w:rsidTr="004A3E4F">
        <w:trPr>
          <w:gridAfter w:val="1"/>
          <w:wAfter w:w="15" w:type="dxa"/>
          <w:trHeight w:val="230"/>
          <w:jc w:val="center"/>
        </w:trPr>
        <w:tc>
          <w:tcPr>
            <w:tcW w:w="9620" w:type="dxa"/>
            <w:gridSpan w:val="3"/>
          </w:tcPr>
          <w:p w:rsidR="00661CBE" w:rsidRPr="004C5458" w:rsidRDefault="00661CBE" w:rsidP="004A3E4F">
            <w:pPr>
              <w:jc w:val="center"/>
              <w:rPr>
                <w:rFonts w:ascii="Arial" w:hAnsi="Arial" w:cs="Arial"/>
                <w:b/>
              </w:rPr>
            </w:pPr>
          </w:p>
        </w:tc>
      </w:tr>
      <w:tr w:rsidR="00661CBE" w:rsidRPr="004C5458" w:rsidTr="004A3E4F">
        <w:trPr>
          <w:gridAfter w:val="1"/>
          <w:wAfter w:w="15" w:type="dxa"/>
          <w:trHeight w:val="230"/>
          <w:jc w:val="center"/>
        </w:trPr>
        <w:tc>
          <w:tcPr>
            <w:tcW w:w="9620" w:type="dxa"/>
            <w:gridSpan w:val="3"/>
          </w:tcPr>
          <w:p w:rsidR="00661CBE" w:rsidRPr="004C5458" w:rsidRDefault="00661CBE" w:rsidP="004A3E4F">
            <w:pPr>
              <w:jc w:val="center"/>
              <w:rPr>
                <w:rFonts w:ascii="Arial" w:hAnsi="Arial" w:cs="Arial"/>
              </w:rPr>
            </w:pPr>
            <w:r w:rsidRPr="004C5458">
              <w:rPr>
                <w:rFonts w:ascii="Arial" w:hAnsi="Arial" w:cs="Arial"/>
                <w:b/>
              </w:rPr>
              <w:t>Miscellaneous Service Charges</w:t>
            </w:r>
          </w:p>
        </w:tc>
      </w:tr>
      <w:tr w:rsidR="00661CBE" w:rsidRPr="004C5458" w:rsidTr="004A3E4F">
        <w:trPr>
          <w:gridAfter w:val="3"/>
          <w:wAfter w:w="4232" w:type="dxa"/>
          <w:trHeight w:val="333"/>
          <w:jc w:val="center"/>
        </w:trPr>
        <w:tc>
          <w:tcPr>
            <w:tcW w:w="5403" w:type="dxa"/>
            <w:shd w:val="clear" w:color="auto" w:fill="auto"/>
            <w:noWrap/>
            <w:vAlign w:val="bottom"/>
          </w:tcPr>
          <w:p w:rsidR="00661CBE" w:rsidRPr="004C5458" w:rsidRDefault="00661CBE" w:rsidP="004A3E4F">
            <w:pPr>
              <w:spacing w:before="120"/>
              <w:rPr>
                <w:b/>
                <w:bCs/>
              </w:rPr>
            </w:pPr>
          </w:p>
        </w:tc>
      </w:tr>
      <w:tr w:rsidR="00661CBE" w:rsidRPr="004C5458" w:rsidTr="004A3E4F">
        <w:trPr>
          <w:trHeight w:val="230"/>
          <w:jc w:val="center"/>
        </w:trPr>
        <w:tc>
          <w:tcPr>
            <w:tcW w:w="5403" w:type="dxa"/>
            <w:shd w:val="clear" w:color="auto" w:fill="auto"/>
            <w:noWrap/>
            <w:vAlign w:val="bottom"/>
          </w:tcPr>
          <w:p w:rsidR="00661CBE" w:rsidRPr="004C5458" w:rsidRDefault="00661CBE" w:rsidP="004A3E4F">
            <w:pPr>
              <w:spacing w:before="120"/>
            </w:pPr>
            <w:r w:rsidRPr="004C5458">
              <w:t>Initial Connection Charge</w:t>
            </w:r>
          </w:p>
        </w:tc>
        <w:tc>
          <w:tcPr>
            <w:tcW w:w="856" w:type="dxa"/>
            <w:vAlign w:val="bottom"/>
          </w:tcPr>
          <w:p w:rsidR="00661CBE" w:rsidRPr="004C5458" w:rsidRDefault="00661CBE" w:rsidP="004A3E4F">
            <w:pPr>
              <w:spacing w:before="120"/>
              <w:jc w:val="right"/>
            </w:pPr>
          </w:p>
        </w:tc>
        <w:tc>
          <w:tcPr>
            <w:tcW w:w="3376" w:type="dxa"/>
            <w:gridSpan w:val="2"/>
            <w:shd w:val="clear" w:color="auto" w:fill="auto"/>
            <w:noWrap/>
            <w:vAlign w:val="bottom"/>
          </w:tcPr>
          <w:p w:rsidR="00661CBE" w:rsidRPr="004C5458" w:rsidRDefault="00661CBE" w:rsidP="004A3E4F">
            <w:pPr>
              <w:spacing w:before="120"/>
              <w:jc w:val="right"/>
            </w:pPr>
            <w:r w:rsidRPr="00AE16D2">
              <w:t>$2</w:t>
            </w:r>
            <w:r w:rsidRPr="004C5458">
              <w:t>5.00</w:t>
            </w:r>
          </w:p>
        </w:tc>
      </w:tr>
      <w:tr w:rsidR="00661CBE" w:rsidRPr="004C5458" w:rsidTr="004A3E4F">
        <w:trPr>
          <w:trHeight w:val="230"/>
          <w:jc w:val="center"/>
        </w:trPr>
        <w:tc>
          <w:tcPr>
            <w:tcW w:w="5403" w:type="dxa"/>
            <w:shd w:val="clear" w:color="auto" w:fill="auto"/>
            <w:noWrap/>
            <w:vAlign w:val="bottom"/>
          </w:tcPr>
          <w:p w:rsidR="00661CBE" w:rsidRPr="004C5458" w:rsidRDefault="00661CBE" w:rsidP="004A3E4F">
            <w:pPr>
              <w:rPr>
                <w:bCs/>
              </w:rPr>
            </w:pPr>
            <w:r w:rsidRPr="004C5458">
              <w:t>Normal Reconnection Charge</w:t>
            </w:r>
          </w:p>
        </w:tc>
        <w:tc>
          <w:tcPr>
            <w:tcW w:w="856" w:type="dxa"/>
            <w:vAlign w:val="bottom"/>
          </w:tcPr>
          <w:p w:rsidR="00661CBE" w:rsidRPr="004C5458" w:rsidRDefault="00661CBE" w:rsidP="004A3E4F">
            <w:pPr>
              <w:jc w:val="right"/>
            </w:pPr>
          </w:p>
        </w:tc>
        <w:tc>
          <w:tcPr>
            <w:tcW w:w="3376" w:type="dxa"/>
            <w:gridSpan w:val="2"/>
            <w:shd w:val="clear" w:color="auto" w:fill="auto"/>
            <w:noWrap/>
            <w:vAlign w:val="bottom"/>
          </w:tcPr>
          <w:p w:rsidR="00661CBE" w:rsidRPr="004C5458" w:rsidRDefault="00661CBE" w:rsidP="004A3E4F">
            <w:pPr>
              <w:jc w:val="right"/>
            </w:pPr>
            <w:r w:rsidRPr="004C5458">
              <w:t xml:space="preserve"> </w:t>
            </w:r>
            <w:r w:rsidRPr="00AE16D2">
              <w:t>$2</w:t>
            </w:r>
            <w:r w:rsidRPr="004C5458">
              <w:t>5.00</w:t>
            </w:r>
          </w:p>
        </w:tc>
      </w:tr>
      <w:tr w:rsidR="00661CBE" w:rsidRPr="004C5458" w:rsidTr="004A3E4F">
        <w:trPr>
          <w:trHeight w:val="230"/>
          <w:jc w:val="center"/>
        </w:trPr>
        <w:tc>
          <w:tcPr>
            <w:tcW w:w="5403" w:type="dxa"/>
            <w:shd w:val="clear" w:color="auto" w:fill="auto"/>
            <w:noWrap/>
            <w:vAlign w:val="bottom"/>
          </w:tcPr>
          <w:p w:rsidR="00661CBE" w:rsidRPr="004C5458" w:rsidRDefault="00661CBE" w:rsidP="004A3E4F">
            <w:pPr>
              <w:rPr>
                <w:bCs/>
              </w:rPr>
            </w:pPr>
            <w:r w:rsidRPr="004C5458">
              <w:t>Violation Reconnection Charge</w:t>
            </w:r>
          </w:p>
        </w:tc>
        <w:tc>
          <w:tcPr>
            <w:tcW w:w="856" w:type="dxa"/>
            <w:vAlign w:val="bottom"/>
          </w:tcPr>
          <w:p w:rsidR="00661CBE" w:rsidRPr="004C5458" w:rsidRDefault="00661CBE" w:rsidP="004A3E4F">
            <w:pPr>
              <w:jc w:val="right"/>
            </w:pPr>
          </w:p>
        </w:tc>
        <w:tc>
          <w:tcPr>
            <w:tcW w:w="3376" w:type="dxa"/>
            <w:gridSpan w:val="2"/>
            <w:shd w:val="clear" w:color="auto" w:fill="auto"/>
            <w:noWrap/>
            <w:vAlign w:val="bottom"/>
          </w:tcPr>
          <w:p w:rsidR="00661CBE" w:rsidRPr="004C5458" w:rsidRDefault="00661CBE" w:rsidP="004A3E4F">
            <w:pPr>
              <w:jc w:val="right"/>
            </w:pPr>
            <w:r w:rsidRPr="004C5458">
              <w:t>Actual Cost</w:t>
            </w:r>
          </w:p>
        </w:tc>
      </w:tr>
      <w:tr w:rsidR="00661CBE" w:rsidRPr="004C5458" w:rsidTr="004A3E4F">
        <w:trPr>
          <w:trHeight w:val="230"/>
          <w:jc w:val="center"/>
        </w:trPr>
        <w:tc>
          <w:tcPr>
            <w:tcW w:w="5403" w:type="dxa"/>
            <w:shd w:val="clear" w:color="auto" w:fill="auto"/>
            <w:noWrap/>
            <w:vAlign w:val="bottom"/>
          </w:tcPr>
          <w:p w:rsidR="00661CBE" w:rsidRPr="004C5458" w:rsidRDefault="00661CBE" w:rsidP="004A3E4F">
            <w:r w:rsidRPr="004C5458">
              <w:t>Premises Visit Charge (in lieu of disconnection)</w:t>
            </w:r>
          </w:p>
        </w:tc>
        <w:tc>
          <w:tcPr>
            <w:tcW w:w="856" w:type="dxa"/>
          </w:tcPr>
          <w:p w:rsidR="00661CBE" w:rsidRPr="004C5458" w:rsidRDefault="00661CBE" w:rsidP="004A3E4F">
            <w:pPr>
              <w:jc w:val="right"/>
            </w:pPr>
          </w:p>
        </w:tc>
        <w:tc>
          <w:tcPr>
            <w:tcW w:w="3376" w:type="dxa"/>
            <w:gridSpan w:val="2"/>
            <w:shd w:val="clear" w:color="auto" w:fill="auto"/>
            <w:noWrap/>
          </w:tcPr>
          <w:p w:rsidR="00661CBE" w:rsidRPr="004C5458" w:rsidRDefault="00661CBE" w:rsidP="004A3E4F">
            <w:pPr>
              <w:jc w:val="right"/>
            </w:pPr>
            <w:r w:rsidRPr="00AE16D2">
              <w:t>$25</w:t>
            </w:r>
            <w:r w:rsidRPr="004C5458">
              <w:t>.00</w:t>
            </w:r>
          </w:p>
        </w:tc>
      </w:tr>
    </w:tbl>
    <w:p w:rsidR="00661CBE" w:rsidRDefault="00661CBE" w:rsidP="00661CBE">
      <w:pPr>
        <w:rPr>
          <w:rFonts w:ascii="Arial" w:hAnsi="Arial" w:cs="Arial"/>
          <w:b/>
        </w:rPr>
      </w:pPr>
    </w:p>
    <w:p w:rsidR="00661CBE" w:rsidRDefault="00661CBE" w:rsidP="00661CBE">
      <w:pPr>
        <w:pStyle w:val="BodyText"/>
      </w:pPr>
    </w:p>
    <w:p w:rsidR="00FD395E" w:rsidRDefault="00FD395E" w:rsidP="00FD395E">
      <w:pPr>
        <w:jc w:val="center"/>
        <w:rPr>
          <w:rFonts w:ascii="Arial" w:hAnsi="Arial" w:cs="Arial"/>
          <w:b/>
        </w:rPr>
      </w:pPr>
    </w:p>
    <w:sectPr w:rsidR="00FD395E">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622" w:rsidRDefault="00DE5622">
      <w:r>
        <w:separator/>
      </w:r>
    </w:p>
  </w:endnote>
  <w:endnote w:type="continuationSeparator" w:id="0">
    <w:p w:rsidR="00DE5622" w:rsidRDefault="00DE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724A">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CBE" w:rsidRDefault="00661CB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724A">
      <w:rPr>
        <w:rStyle w:val="PageNumber"/>
        <w:noProof/>
      </w:rPr>
      <w:t>13</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CBE" w:rsidRDefault="00661CB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724A">
      <w:rPr>
        <w:rStyle w:val="PageNumber"/>
        <w:noProof/>
      </w:rPr>
      <w:t>14</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CBE" w:rsidRDefault="00661CB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724A">
      <w:rPr>
        <w:rStyle w:val="PageNumber"/>
        <w:noProof/>
      </w:rPr>
      <w:t>15</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CBE" w:rsidRDefault="00661CB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724A">
      <w:rPr>
        <w:rStyle w:val="PageNumber"/>
        <w:noProof/>
      </w:rPr>
      <w:t>17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622" w:rsidRDefault="00DE5622">
      <w:r>
        <w:separator/>
      </w:r>
    </w:p>
  </w:footnote>
  <w:footnote w:type="continuationSeparator" w:id="0">
    <w:p w:rsidR="00DE5622" w:rsidRDefault="00DE5622">
      <w:r>
        <w:continuationSeparator/>
      </w:r>
    </w:p>
  </w:footnote>
  <w:footnote w:id="1">
    <w:p w:rsidR="00DE5622" w:rsidRDefault="00DE5622" w:rsidP="007923AA">
      <w:pPr>
        <w:pStyle w:val="FootnoteText"/>
      </w:pPr>
      <w:r>
        <w:rPr>
          <w:rStyle w:val="FootnoteReference"/>
        </w:rPr>
        <w:footnoteRef/>
      </w:r>
      <w:r>
        <w:t xml:space="preserve"> Order No. PSC-92-0330-FOF-WS, issued </w:t>
      </w:r>
      <w:smartTag w:uri="urn:schemas-microsoft-com:office:smarttags" w:element="date">
        <w:smartTagPr>
          <w:attr w:name="Month" w:val="5"/>
          <w:attr w:name="Day" w:val="11"/>
          <w:attr w:name="Year" w:val="1992"/>
        </w:smartTagPr>
        <w:r>
          <w:t>May 11, 1992</w:t>
        </w:r>
      </w:smartTag>
      <w:r>
        <w:t xml:space="preserve"> in Docket No. 19</w:t>
      </w:r>
      <w:r w:rsidRPr="00A36874">
        <w:t>910646</w:t>
      </w:r>
      <w:r>
        <w:t xml:space="preserve">-WS, </w:t>
      </w:r>
      <w:r w:rsidR="00521EDC">
        <w:rPr>
          <w:i/>
        </w:rPr>
        <w:t>In r</w:t>
      </w:r>
      <w:r w:rsidRPr="008439C8">
        <w:rPr>
          <w:i/>
        </w:rPr>
        <w:t>e: Application for water and wastewater certificates in Putnam County by Buffalo Bluff Utilities, Inc.</w:t>
      </w:r>
    </w:p>
  </w:footnote>
  <w:footnote w:id="2">
    <w:p w:rsidR="00DE5622" w:rsidRPr="00743AC6" w:rsidRDefault="00DE5622" w:rsidP="007923AA">
      <w:pPr>
        <w:pStyle w:val="FootnoteText"/>
        <w:rPr>
          <w:u w:val="single"/>
        </w:rPr>
      </w:pPr>
      <w:r>
        <w:rPr>
          <w:rStyle w:val="FootnoteReference"/>
        </w:rPr>
        <w:footnoteRef/>
      </w:r>
      <w:r>
        <w:t xml:space="preserve"> Order No. PSC-05-0431-PAA-WS, issued April 20, 2005, in Docket No. 20</w:t>
      </w:r>
      <w:r w:rsidRPr="00A36874">
        <w:t>041096</w:t>
      </w:r>
      <w:r>
        <w:t xml:space="preserve">-WS, </w:t>
      </w:r>
      <w:r w:rsidR="00521EDC">
        <w:rPr>
          <w:i/>
        </w:rPr>
        <w:t>In r</w:t>
      </w:r>
      <w:r w:rsidRPr="00D577DB">
        <w:rPr>
          <w:i/>
        </w:rPr>
        <w:t>e: Application for Transfer of Certificate Nos. 542-W and 470-S in Putnam County from Buffalo Bluff Utilities, Inc. to St. John's River Club, L.L.C.</w:t>
      </w:r>
      <w:r>
        <w:rPr>
          <w:u w:val="single"/>
        </w:rPr>
        <w:t xml:space="preserve"> </w:t>
      </w:r>
    </w:p>
  </w:footnote>
  <w:footnote w:id="3">
    <w:p w:rsidR="00DE5622" w:rsidRPr="00D577DB" w:rsidRDefault="00DE5622" w:rsidP="007923AA">
      <w:pPr>
        <w:pStyle w:val="FootnoteText"/>
        <w:rPr>
          <w:i/>
        </w:rPr>
      </w:pPr>
      <w:r>
        <w:rPr>
          <w:rStyle w:val="FootnoteReference"/>
        </w:rPr>
        <w:footnoteRef/>
      </w:r>
      <w:r>
        <w:t xml:space="preserve"> Order No. </w:t>
      </w:r>
      <w:r w:rsidRPr="00D577DB">
        <w:t>PSC-07-0195-FOF-WS</w:t>
      </w:r>
      <w:r>
        <w:t>, issued March 5, 2007, in Docket No. 20</w:t>
      </w:r>
      <w:r w:rsidRPr="00B07887">
        <w:t>060703</w:t>
      </w:r>
      <w:r>
        <w:t xml:space="preserve">-WS, </w:t>
      </w:r>
      <w:r w:rsidR="00521EDC">
        <w:rPr>
          <w:i/>
        </w:rPr>
        <w:t>In r</w:t>
      </w:r>
      <w:r>
        <w:rPr>
          <w:i/>
        </w:rPr>
        <w:t xml:space="preserve">e: </w:t>
      </w:r>
      <w:r w:rsidRPr="00D577DB">
        <w:rPr>
          <w:bCs/>
          <w:i/>
        </w:rPr>
        <w:t>Application for transfer of Certificate Nos. 542-W and 470-S in Putnam County from St. John's River Club, L.L.C. to St. John's River Club Utility Company, LLC.</w:t>
      </w:r>
    </w:p>
  </w:footnote>
  <w:footnote w:id="4">
    <w:p w:rsidR="00DE5622" w:rsidRDefault="00DE5622" w:rsidP="007923AA">
      <w:pPr>
        <w:pStyle w:val="FootnoteText"/>
        <w:rPr>
          <w:u w:val="single"/>
        </w:rPr>
      </w:pPr>
      <w:r>
        <w:rPr>
          <w:rStyle w:val="FootnoteReference"/>
        </w:rPr>
        <w:footnoteRef/>
      </w:r>
      <w:r>
        <w:t xml:space="preserve"> Order No. PSC-00-2500-PAA-WS, issued </w:t>
      </w:r>
      <w:smartTag w:uri="urn:schemas-microsoft-com:office:smarttags" w:element="date">
        <w:smartTagPr>
          <w:attr w:name="Year" w:val="2000"/>
          <w:attr w:name="Day" w:val="26"/>
          <w:attr w:name="Month" w:val="12"/>
        </w:smartTagPr>
        <w:r>
          <w:t>December 26, 2000</w:t>
        </w:r>
      </w:smartTag>
      <w:r>
        <w:t xml:space="preserve">, in Docket No. </w:t>
      </w:r>
      <w:r w:rsidRPr="00B07887">
        <w:t>20000327-</w:t>
      </w:r>
      <w:r>
        <w:t>WS</w:t>
      </w:r>
      <w:r w:rsidR="00521EDC">
        <w:rPr>
          <w:i/>
        </w:rPr>
        <w:t>, In r</w:t>
      </w:r>
      <w:r w:rsidRPr="00D577DB">
        <w:rPr>
          <w:i/>
        </w:rPr>
        <w:t>e: Application for Staff-Assisted Rate Case in Putnam County by Buffalo Bluff Utilities, Inc.</w:t>
      </w:r>
      <w:r w:rsidRPr="00D577DB">
        <w:t xml:space="preserve"> </w:t>
      </w:r>
    </w:p>
    <w:p w:rsidR="00DE5622" w:rsidRPr="00EC74EE" w:rsidRDefault="00DE5622" w:rsidP="007923AA">
      <w:pPr>
        <w:pStyle w:val="FootnoteText"/>
        <w:rPr>
          <w:u w:val="single"/>
        </w:rPr>
      </w:pPr>
    </w:p>
  </w:footnote>
  <w:footnote w:id="5">
    <w:p w:rsidR="00902254" w:rsidRDefault="00902254" w:rsidP="00902254">
      <w:pPr>
        <w:pStyle w:val="FootnoteText"/>
      </w:pPr>
      <w:r>
        <w:rPr>
          <w:rStyle w:val="FootnoteReference"/>
        </w:rPr>
        <w:footnoteRef/>
      </w:r>
      <w:r>
        <w:t xml:space="preserve"> </w:t>
      </w:r>
      <w:r w:rsidRPr="00F84B1E">
        <w:t>Order No. PSC-00-2500-PAA-WS</w:t>
      </w:r>
      <w:r>
        <w:t>,</w:t>
      </w:r>
      <w:r w:rsidRPr="00F84B1E">
        <w:t xml:space="preserve"> issued December 26, 2000, in Docket No. 20000327-WS, </w:t>
      </w:r>
      <w:r w:rsidRPr="00F84B1E">
        <w:rPr>
          <w:i/>
          <w:iCs/>
        </w:rPr>
        <w:t>In re:</w:t>
      </w:r>
      <w:r w:rsidRPr="00F84B1E">
        <w:t> </w:t>
      </w:r>
      <w:r w:rsidRPr="00F84B1E">
        <w:rPr>
          <w:i/>
          <w:iCs/>
        </w:rPr>
        <w:t>Application for staff-assisted rate case in Putnam County by Buffalo Bluff Utilities,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20180214-WS</w:t>
    </w:r>
    <w:bookmarkEnd w:id="15"/>
  </w:p>
  <w:p w:rsidR="00DE5622" w:rsidRDefault="00DE5622">
    <w:pPr>
      <w:pStyle w:val="Header"/>
    </w:pPr>
    <w:r>
      <w:t xml:space="preserve">Date: </w:t>
    </w:r>
    <w:fldSimple w:instr=" REF FilingDate ">
      <w:r w:rsidR="00F5016B">
        <w:t>October 22, 2020</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rsidP="00220732">
    <w:pPr>
      <w:pStyle w:val="Header"/>
      <w:tabs>
        <w:tab w:val="clear" w:pos="4320"/>
        <w:tab w:val="clear" w:pos="8640"/>
        <w:tab w:val="right" w:pos="9360"/>
      </w:tabs>
    </w:pPr>
    <w:r>
      <w:fldChar w:fldCharType="begin"/>
    </w:r>
    <w:r>
      <w:instrText xml:space="preserve"> REF DocketLabel</w:instrText>
    </w:r>
    <w:r>
      <w:fldChar w:fldCharType="separate"/>
    </w:r>
    <w:r w:rsidR="00F5016B">
      <w:t>Docket No.</w:t>
    </w:r>
    <w:r>
      <w:fldChar w:fldCharType="end"/>
    </w:r>
    <w:r>
      <w:t xml:space="preserve"> </w:t>
    </w:r>
    <w:r>
      <w:fldChar w:fldCharType="begin"/>
    </w:r>
    <w:r>
      <w:instrText xml:space="preserve"> REF DocketList</w:instrText>
    </w:r>
    <w:r>
      <w:fldChar w:fldCharType="separate"/>
    </w:r>
    <w:r w:rsidR="00F5016B">
      <w:t>20180214-WS</w:t>
    </w:r>
    <w:r>
      <w:fldChar w:fldCharType="end"/>
    </w:r>
    <w:r>
      <w:tab/>
      <w:t>Schedule No. 4</w:t>
    </w:r>
  </w:p>
  <w:p w:rsidR="00DE5622" w:rsidRDefault="00DE5622" w:rsidP="0030179A">
    <w:pPr>
      <w:pStyle w:val="Header"/>
      <w:tabs>
        <w:tab w:val="clear" w:pos="4320"/>
        <w:tab w:val="clear" w:pos="8640"/>
        <w:tab w:val="right" w:pos="9360"/>
      </w:tabs>
    </w:pPr>
    <w:r>
      <w:t xml:space="preserve">Date: </w:t>
    </w:r>
    <w:fldSimple w:instr=" REF FilingDate ">
      <w:r w:rsidR="00F5016B">
        <w:t>October 22, 2020</w:t>
      </w:r>
    </w:fldSimple>
    <w:r>
      <w:tab/>
      <w:t>Page 1 of 2</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CBE" w:rsidRDefault="00661CB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20180214-WS</w:t>
    </w:r>
    <w:r>
      <w:fldChar w:fldCharType="end"/>
    </w:r>
    <w:r>
      <w:tab/>
      <w:t>Schedule No. 4</w:t>
    </w:r>
  </w:p>
  <w:p w:rsidR="00661CBE" w:rsidRDefault="00661CBE" w:rsidP="0030179A">
    <w:pPr>
      <w:pStyle w:val="Header"/>
      <w:tabs>
        <w:tab w:val="clear" w:pos="4320"/>
        <w:tab w:val="clear" w:pos="8640"/>
        <w:tab w:val="right" w:pos="9360"/>
      </w:tabs>
    </w:pPr>
    <w:r>
      <w:t xml:space="preserve">Date: </w:t>
    </w:r>
    <w:fldSimple w:instr=" REF FilingDate ">
      <w:r>
        <w:t>October 22, 2020</w:t>
      </w:r>
    </w:fldSimple>
    <w:r>
      <w:tab/>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rsidP="00220732">
    <w:pPr>
      <w:pStyle w:val="Header"/>
      <w:tabs>
        <w:tab w:val="clear" w:pos="4320"/>
        <w:tab w:val="clear" w:pos="8640"/>
        <w:tab w:val="right" w:pos="9360"/>
      </w:tabs>
    </w:pPr>
    <w:r>
      <w:fldChar w:fldCharType="begin"/>
    </w:r>
    <w:r>
      <w:instrText xml:space="preserve"> REF DocketLabel</w:instrText>
    </w:r>
    <w:r>
      <w:fldChar w:fldCharType="separate"/>
    </w:r>
    <w:r w:rsidR="00F5016B">
      <w:t>Docket No.</w:t>
    </w:r>
    <w:r>
      <w:fldChar w:fldCharType="end"/>
    </w:r>
    <w:r>
      <w:t xml:space="preserve"> </w:t>
    </w:r>
    <w:r>
      <w:fldChar w:fldCharType="begin"/>
    </w:r>
    <w:r>
      <w:instrText xml:space="preserve"> REF DocketList</w:instrText>
    </w:r>
    <w:r>
      <w:fldChar w:fldCharType="separate"/>
    </w:r>
    <w:r w:rsidR="00F5016B">
      <w:t>20180214-WS</w:t>
    </w:r>
    <w:r>
      <w:fldChar w:fldCharType="end"/>
    </w:r>
    <w:r>
      <w:tab/>
      <w:t xml:space="preserve">Issue </w:t>
    </w:r>
    <w:fldSimple w:instr=" Seq Issue \c \* Arabic ">
      <w:r w:rsidR="009E724A">
        <w:rPr>
          <w:noProof/>
        </w:rPr>
        <w:t>4</w:t>
      </w:r>
    </w:fldSimple>
  </w:p>
  <w:p w:rsidR="00DE5622" w:rsidRDefault="00DE5622">
    <w:pPr>
      <w:pStyle w:val="Header"/>
    </w:pPr>
    <w:r>
      <w:t xml:space="preserve">Date: </w:t>
    </w:r>
    <w:fldSimple w:instr=" REF FilingDate ">
      <w:r w:rsidR="00F5016B">
        <w:t>October 22, 2020</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rsidP="00220732">
    <w:pPr>
      <w:pStyle w:val="Header"/>
      <w:tabs>
        <w:tab w:val="clear" w:pos="4320"/>
        <w:tab w:val="clear" w:pos="8640"/>
        <w:tab w:val="right" w:pos="9360"/>
      </w:tabs>
    </w:pPr>
    <w:r>
      <w:fldChar w:fldCharType="begin"/>
    </w:r>
    <w:r>
      <w:instrText xml:space="preserve"> REF DocketLabel</w:instrText>
    </w:r>
    <w:r>
      <w:fldChar w:fldCharType="separate"/>
    </w:r>
    <w:r w:rsidR="00F5016B">
      <w:t>Docket No.</w:t>
    </w:r>
    <w:r>
      <w:fldChar w:fldCharType="end"/>
    </w:r>
    <w:r>
      <w:t xml:space="preserve"> </w:t>
    </w:r>
    <w:r>
      <w:fldChar w:fldCharType="begin"/>
    </w:r>
    <w:r>
      <w:instrText xml:space="preserve"> REF DocketList</w:instrText>
    </w:r>
    <w:r>
      <w:fldChar w:fldCharType="separate"/>
    </w:r>
    <w:r w:rsidR="00F5016B">
      <w:t>20180214-WS</w:t>
    </w:r>
    <w:r>
      <w:fldChar w:fldCharType="end"/>
    </w:r>
    <w:r>
      <w:tab/>
      <w:t>Attachment A</w:t>
    </w:r>
  </w:p>
  <w:p w:rsidR="00DE5622" w:rsidRDefault="00DE5622" w:rsidP="0030179A">
    <w:pPr>
      <w:pStyle w:val="Header"/>
      <w:tabs>
        <w:tab w:val="clear" w:pos="4320"/>
        <w:tab w:val="clear" w:pos="8640"/>
        <w:tab w:val="right" w:pos="9360"/>
      </w:tabs>
    </w:pPr>
    <w:r>
      <w:t xml:space="preserve">Date: </w:t>
    </w:r>
    <w:fldSimple w:instr=" REF FilingDate ">
      <w:r w:rsidR="00F5016B">
        <w:t>October 22, 2020</w:t>
      </w:r>
    </w:fldSimple>
    <w:r>
      <w:tab/>
      <w:t>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rsidP="00220732">
    <w:pPr>
      <w:pStyle w:val="Header"/>
      <w:tabs>
        <w:tab w:val="clear" w:pos="4320"/>
        <w:tab w:val="clear" w:pos="8640"/>
        <w:tab w:val="right" w:pos="9360"/>
      </w:tabs>
    </w:pPr>
    <w:r>
      <w:fldChar w:fldCharType="begin"/>
    </w:r>
    <w:r>
      <w:instrText xml:space="preserve"> REF DocketLabel</w:instrText>
    </w:r>
    <w:r>
      <w:fldChar w:fldCharType="separate"/>
    </w:r>
    <w:r w:rsidR="00F5016B">
      <w:t>Docket No.</w:t>
    </w:r>
    <w:r>
      <w:fldChar w:fldCharType="end"/>
    </w:r>
    <w:r>
      <w:t xml:space="preserve"> </w:t>
    </w:r>
    <w:r>
      <w:fldChar w:fldCharType="begin"/>
    </w:r>
    <w:r>
      <w:instrText xml:space="preserve"> REF DocketList</w:instrText>
    </w:r>
    <w:r>
      <w:fldChar w:fldCharType="separate"/>
    </w:r>
    <w:r w:rsidR="00F5016B">
      <w:t>20180214-WS</w:t>
    </w:r>
    <w:r>
      <w:fldChar w:fldCharType="end"/>
    </w:r>
    <w:r>
      <w:tab/>
      <w:t>Attachment A</w:t>
    </w:r>
  </w:p>
  <w:p w:rsidR="00DE5622" w:rsidRDefault="00DE5622" w:rsidP="0030179A">
    <w:pPr>
      <w:pStyle w:val="Header"/>
      <w:tabs>
        <w:tab w:val="clear" w:pos="4320"/>
        <w:tab w:val="clear" w:pos="8640"/>
        <w:tab w:val="right" w:pos="9360"/>
      </w:tabs>
    </w:pPr>
    <w:r>
      <w:t xml:space="preserve">Date: </w:t>
    </w:r>
    <w:fldSimple w:instr=" REF FilingDate ">
      <w:r w:rsidR="00F5016B">
        <w:t>October 22, 2020</w:t>
      </w:r>
    </w:fldSimple>
    <w:r>
      <w:tab/>
      <w:t>Page 2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rsidP="00220732">
    <w:pPr>
      <w:pStyle w:val="Header"/>
      <w:tabs>
        <w:tab w:val="clear" w:pos="4320"/>
        <w:tab w:val="clear" w:pos="8640"/>
        <w:tab w:val="right" w:pos="9360"/>
      </w:tabs>
    </w:pPr>
    <w:r>
      <w:fldChar w:fldCharType="begin"/>
    </w:r>
    <w:r>
      <w:instrText xml:space="preserve"> REF DocketLabel</w:instrText>
    </w:r>
    <w:r>
      <w:fldChar w:fldCharType="separate"/>
    </w:r>
    <w:r w:rsidR="00F5016B">
      <w:t>Docket No.</w:t>
    </w:r>
    <w:r>
      <w:fldChar w:fldCharType="end"/>
    </w:r>
    <w:r>
      <w:t xml:space="preserve"> </w:t>
    </w:r>
    <w:r>
      <w:fldChar w:fldCharType="begin"/>
    </w:r>
    <w:r>
      <w:instrText xml:space="preserve"> REF DocketList</w:instrText>
    </w:r>
    <w:r>
      <w:fldChar w:fldCharType="separate"/>
    </w:r>
    <w:r w:rsidR="00F5016B">
      <w:t>20180214-WS</w:t>
    </w:r>
    <w:r>
      <w:fldChar w:fldCharType="end"/>
    </w:r>
    <w:r>
      <w:tab/>
      <w:t>Attachment A</w:t>
    </w:r>
  </w:p>
  <w:p w:rsidR="00DE5622" w:rsidRDefault="00DE5622" w:rsidP="0030179A">
    <w:pPr>
      <w:pStyle w:val="Header"/>
      <w:tabs>
        <w:tab w:val="clear" w:pos="4320"/>
        <w:tab w:val="clear" w:pos="8640"/>
        <w:tab w:val="right" w:pos="9360"/>
      </w:tabs>
    </w:pPr>
    <w:r>
      <w:t xml:space="preserve">Date: </w:t>
    </w:r>
    <w:fldSimple w:instr=" REF FilingDate ">
      <w:r w:rsidR="00F5016B">
        <w:t>October 22, 2020</w:t>
      </w:r>
    </w:fldSimple>
    <w:r>
      <w:tab/>
      <w:t>Page 3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rsidP="00220732">
    <w:pPr>
      <w:pStyle w:val="Header"/>
      <w:tabs>
        <w:tab w:val="clear" w:pos="4320"/>
        <w:tab w:val="clear" w:pos="8640"/>
        <w:tab w:val="right" w:pos="9360"/>
      </w:tabs>
    </w:pPr>
    <w:r>
      <w:fldChar w:fldCharType="begin"/>
    </w:r>
    <w:r>
      <w:instrText xml:space="preserve"> REF DocketLabel</w:instrText>
    </w:r>
    <w:r>
      <w:fldChar w:fldCharType="separate"/>
    </w:r>
    <w:r w:rsidR="00F5016B">
      <w:t>Docket No.</w:t>
    </w:r>
    <w:r>
      <w:fldChar w:fldCharType="end"/>
    </w:r>
    <w:r>
      <w:t xml:space="preserve"> </w:t>
    </w:r>
    <w:r>
      <w:fldChar w:fldCharType="begin"/>
    </w:r>
    <w:r>
      <w:instrText xml:space="preserve"> REF DocketList</w:instrText>
    </w:r>
    <w:r>
      <w:fldChar w:fldCharType="separate"/>
    </w:r>
    <w:r w:rsidR="00F5016B">
      <w:t>20180214-WS</w:t>
    </w:r>
    <w:r>
      <w:fldChar w:fldCharType="end"/>
    </w:r>
    <w:r>
      <w:tab/>
      <w:t>Schedule No. 1</w:t>
    </w:r>
  </w:p>
  <w:p w:rsidR="00DE5622" w:rsidRDefault="00DE5622" w:rsidP="0030179A">
    <w:pPr>
      <w:pStyle w:val="Header"/>
      <w:tabs>
        <w:tab w:val="clear" w:pos="4320"/>
        <w:tab w:val="clear" w:pos="8640"/>
        <w:tab w:val="right" w:pos="9360"/>
      </w:tabs>
    </w:pPr>
    <w:r>
      <w:t xml:space="preserve">Date: </w:t>
    </w:r>
    <w:fldSimple w:instr=" REF FilingDate ">
      <w:r w:rsidR="00F5016B">
        <w:t>October 22, 2020</w:t>
      </w:r>
    </w:fldSimple>
    <w:r>
      <w:tab/>
      <w:t>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rsidP="00220732">
    <w:pPr>
      <w:pStyle w:val="Header"/>
      <w:tabs>
        <w:tab w:val="clear" w:pos="4320"/>
        <w:tab w:val="clear" w:pos="8640"/>
        <w:tab w:val="right" w:pos="9360"/>
      </w:tabs>
    </w:pPr>
    <w:r>
      <w:fldChar w:fldCharType="begin"/>
    </w:r>
    <w:r>
      <w:instrText xml:space="preserve"> REF DocketLabel</w:instrText>
    </w:r>
    <w:r>
      <w:fldChar w:fldCharType="separate"/>
    </w:r>
    <w:r w:rsidR="00F5016B">
      <w:t>Docket No.</w:t>
    </w:r>
    <w:r>
      <w:fldChar w:fldCharType="end"/>
    </w:r>
    <w:r>
      <w:t xml:space="preserve"> </w:t>
    </w:r>
    <w:r>
      <w:fldChar w:fldCharType="begin"/>
    </w:r>
    <w:r>
      <w:instrText xml:space="preserve"> REF DocketList</w:instrText>
    </w:r>
    <w:r>
      <w:fldChar w:fldCharType="separate"/>
    </w:r>
    <w:r w:rsidR="00F5016B">
      <w:t>20180214-WS</w:t>
    </w:r>
    <w:r>
      <w:fldChar w:fldCharType="end"/>
    </w:r>
    <w:r>
      <w:tab/>
      <w:t>Schedule No. 2</w:t>
    </w:r>
  </w:p>
  <w:p w:rsidR="00DE5622" w:rsidRDefault="00DE5622" w:rsidP="0030179A">
    <w:pPr>
      <w:pStyle w:val="Header"/>
      <w:tabs>
        <w:tab w:val="clear" w:pos="4320"/>
        <w:tab w:val="clear" w:pos="8640"/>
        <w:tab w:val="right" w:pos="9360"/>
      </w:tabs>
    </w:pPr>
    <w:r>
      <w:t xml:space="preserve">Date: </w:t>
    </w:r>
    <w:fldSimple w:instr=" REF FilingDate ">
      <w:r w:rsidR="00F5016B">
        <w:t>October 22, 2020</w:t>
      </w:r>
    </w:fldSimple>
    <w:r>
      <w:tab/>
      <w:t>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2" w:rsidRDefault="00DE5622" w:rsidP="00220732">
    <w:pPr>
      <w:pStyle w:val="Header"/>
      <w:tabs>
        <w:tab w:val="clear" w:pos="4320"/>
        <w:tab w:val="clear" w:pos="8640"/>
        <w:tab w:val="right" w:pos="9360"/>
      </w:tabs>
    </w:pPr>
    <w:r>
      <w:fldChar w:fldCharType="begin"/>
    </w:r>
    <w:r>
      <w:instrText xml:space="preserve"> REF DocketLabel</w:instrText>
    </w:r>
    <w:r>
      <w:fldChar w:fldCharType="separate"/>
    </w:r>
    <w:r w:rsidR="00F5016B">
      <w:t>Docket No.</w:t>
    </w:r>
    <w:r>
      <w:fldChar w:fldCharType="end"/>
    </w:r>
    <w:r>
      <w:t xml:space="preserve"> </w:t>
    </w:r>
    <w:r>
      <w:fldChar w:fldCharType="begin"/>
    </w:r>
    <w:r>
      <w:instrText xml:space="preserve"> REF DocketList</w:instrText>
    </w:r>
    <w:r>
      <w:fldChar w:fldCharType="separate"/>
    </w:r>
    <w:r w:rsidR="00F5016B">
      <w:t>20180214-WS</w:t>
    </w:r>
    <w:r>
      <w:fldChar w:fldCharType="end"/>
    </w:r>
    <w:r>
      <w:tab/>
      <w:t>Schedule No. 3</w:t>
    </w:r>
  </w:p>
  <w:p w:rsidR="00DE5622" w:rsidRDefault="00DE5622" w:rsidP="0030179A">
    <w:pPr>
      <w:pStyle w:val="Header"/>
      <w:tabs>
        <w:tab w:val="clear" w:pos="4320"/>
        <w:tab w:val="clear" w:pos="8640"/>
        <w:tab w:val="right" w:pos="9360"/>
      </w:tabs>
    </w:pPr>
    <w:r>
      <w:t xml:space="preserve">Date: </w:t>
    </w:r>
    <w:fldSimple w:instr=" REF FilingDate ">
      <w:r w:rsidR="00F5016B">
        <w:t>October 22, 2020</w:t>
      </w:r>
    </w:fldSimple>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D7E36"/>
    <w:rsid w:val="00000726"/>
    <w:rsid w:val="000043D5"/>
    <w:rsid w:val="00006170"/>
    <w:rsid w:val="00010E37"/>
    <w:rsid w:val="000172DA"/>
    <w:rsid w:val="000247C5"/>
    <w:rsid w:val="000277C2"/>
    <w:rsid w:val="00035B48"/>
    <w:rsid w:val="00036CE2"/>
    <w:rsid w:val="0004259E"/>
    <w:rsid w:val="000437FE"/>
    <w:rsid w:val="000513BE"/>
    <w:rsid w:val="00065A06"/>
    <w:rsid w:val="000666F3"/>
    <w:rsid w:val="00070DCB"/>
    <w:rsid w:val="00072CCA"/>
    <w:rsid w:val="00073120"/>
    <w:rsid w:val="000764D0"/>
    <w:rsid w:val="000828D3"/>
    <w:rsid w:val="00095557"/>
    <w:rsid w:val="000A2B57"/>
    <w:rsid w:val="000A418B"/>
    <w:rsid w:val="000C4431"/>
    <w:rsid w:val="000D1C06"/>
    <w:rsid w:val="000D3B4B"/>
    <w:rsid w:val="000D4319"/>
    <w:rsid w:val="000F374A"/>
    <w:rsid w:val="00101E12"/>
    <w:rsid w:val="001076AF"/>
    <w:rsid w:val="00117C8C"/>
    <w:rsid w:val="00124C38"/>
    <w:rsid w:val="00124E2E"/>
    <w:rsid w:val="00125ED4"/>
    <w:rsid w:val="001305E9"/>
    <w:rsid w:val="001307AF"/>
    <w:rsid w:val="00135687"/>
    <w:rsid w:val="0015506E"/>
    <w:rsid w:val="00163031"/>
    <w:rsid w:val="00171A90"/>
    <w:rsid w:val="00180254"/>
    <w:rsid w:val="0018112A"/>
    <w:rsid w:val="00191E1F"/>
    <w:rsid w:val="00192943"/>
    <w:rsid w:val="00196A72"/>
    <w:rsid w:val="001A1ABB"/>
    <w:rsid w:val="001A41AD"/>
    <w:rsid w:val="001A7406"/>
    <w:rsid w:val="001B4FEE"/>
    <w:rsid w:val="001B51C5"/>
    <w:rsid w:val="001B6F3F"/>
    <w:rsid w:val="001C52B5"/>
    <w:rsid w:val="001D0D3E"/>
    <w:rsid w:val="001E3E3F"/>
    <w:rsid w:val="001F2245"/>
    <w:rsid w:val="001F2C63"/>
    <w:rsid w:val="001F48C7"/>
    <w:rsid w:val="001F6DA1"/>
    <w:rsid w:val="002044E6"/>
    <w:rsid w:val="00205C82"/>
    <w:rsid w:val="00205DC2"/>
    <w:rsid w:val="00212B17"/>
    <w:rsid w:val="002157CB"/>
    <w:rsid w:val="002163B6"/>
    <w:rsid w:val="00220732"/>
    <w:rsid w:val="00221D32"/>
    <w:rsid w:val="00225C3F"/>
    <w:rsid w:val="00234015"/>
    <w:rsid w:val="00252A89"/>
    <w:rsid w:val="00263D44"/>
    <w:rsid w:val="002702AD"/>
    <w:rsid w:val="00292D82"/>
    <w:rsid w:val="002963CB"/>
    <w:rsid w:val="002B4A01"/>
    <w:rsid w:val="002C4022"/>
    <w:rsid w:val="002D226D"/>
    <w:rsid w:val="002D412B"/>
    <w:rsid w:val="002D7E36"/>
    <w:rsid w:val="002F6030"/>
    <w:rsid w:val="0030179A"/>
    <w:rsid w:val="003037E1"/>
    <w:rsid w:val="0030677C"/>
    <w:rsid w:val="00307E51"/>
    <w:rsid w:val="003103EC"/>
    <w:rsid w:val="003144EF"/>
    <w:rsid w:val="00322F74"/>
    <w:rsid w:val="00340073"/>
    <w:rsid w:val="003632FD"/>
    <w:rsid w:val="00372805"/>
    <w:rsid w:val="00373180"/>
    <w:rsid w:val="00375AB9"/>
    <w:rsid w:val="003821A0"/>
    <w:rsid w:val="00384077"/>
    <w:rsid w:val="00385B04"/>
    <w:rsid w:val="003864CF"/>
    <w:rsid w:val="003948AE"/>
    <w:rsid w:val="003A22A6"/>
    <w:rsid w:val="003A5494"/>
    <w:rsid w:val="003B2510"/>
    <w:rsid w:val="003B61B3"/>
    <w:rsid w:val="003C2CC4"/>
    <w:rsid w:val="003C3710"/>
    <w:rsid w:val="003D2424"/>
    <w:rsid w:val="003E043A"/>
    <w:rsid w:val="003E0EFC"/>
    <w:rsid w:val="003E228F"/>
    <w:rsid w:val="003E4A2B"/>
    <w:rsid w:val="003E513D"/>
    <w:rsid w:val="003E76C2"/>
    <w:rsid w:val="003F1679"/>
    <w:rsid w:val="003F21EB"/>
    <w:rsid w:val="003F4A35"/>
    <w:rsid w:val="003F7FDD"/>
    <w:rsid w:val="00402481"/>
    <w:rsid w:val="004042B4"/>
    <w:rsid w:val="00405455"/>
    <w:rsid w:val="00410DC4"/>
    <w:rsid w:val="00412DAE"/>
    <w:rsid w:val="00413984"/>
    <w:rsid w:val="004242E6"/>
    <w:rsid w:val="00431598"/>
    <w:rsid w:val="004319AD"/>
    <w:rsid w:val="004426B8"/>
    <w:rsid w:val="004430B0"/>
    <w:rsid w:val="00444432"/>
    <w:rsid w:val="00452BC2"/>
    <w:rsid w:val="00453087"/>
    <w:rsid w:val="00471860"/>
    <w:rsid w:val="00472116"/>
    <w:rsid w:val="00477026"/>
    <w:rsid w:val="00484BA9"/>
    <w:rsid w:val="004A26B2"/>
    <w:rsid w:val="004A744D"/>
    <w:rsid w:val="004B60BD"/>
    <w:rsid w:val="004C3150"/>
    <w:rsid w:val="004C3641"/>
    <w:rsid w:val="004C4390"/>
    <w:rsid w:val="004C4AF7"/>
    <w:rsid w:val="004D2881"/>
    <w:rsid w:val="004D385F"/>
    <w:rsid w:val="004D5B39"/>
    <w:rsid w:val="004E09E3"/>
    <w:rsid w:val="004E330D"/>
    <w:rsid w:val="004E5147"/>
    <w:rsid w:val="004E69B5"/>
    <w:rsid w:val="004F5C43"/>
    <w:rsid w:val="0050652D"/>
    <w:rsid w:val="00506C03"/>
    <w:rsid w:val="00511A11"/>
    <w:rsid w:val="00516496"/>
    <w:rsid w:val="00521EDC"/>
    <w:rsid w:val="00523B11"/>
    <w:rsid w:val="0052572A"/>
    <w:rsid w:val="00532DFB"/>
    <w:rsid w:val="00543CB3"/>
    <w:rsid w:val="005442E4"/>
    <w:rsid w:val="0055529B"/>
    <w:rsid w:val="00560FF0"/>
    <w:rsid w:val="005614BD"/>
    <w:rsid w:val="005633D1"/>
    <w:rsid w:val="0057154F"/>
    <w:rsid w:val="00577C76"/>
    <w:rsid w:val="00580F69"/>
    <w:rsid w:val="00581CA3"/>
    <w:rsid w:val="00587A44"/>
    <w:rsid w:val="00591FAE"/>
    <w:rsid w:val="00597730"/>
    <w:rsid w:val="005977EC"/>
    <w:rsid w:val="00597DE7"/>
    <w:rsid w:val="005A4AA2"/>
    <w:rsid w:val="005B34B6"/>
    <w:rsid w:val="005B6C8F"/>
    <w:rsid w:val="005B6CEA"/>
    <w:rsid w:val="005B6EC3"/>
    <w:rsid w:val="005D0F74"/>
    <w:rsid w:val="005D2E7D"/>
    <w:rsid w:val="005D4A8F"/>
    <w:rsid w:val="005D561B"/>
    <w:rsid w:val="005D5ECF"/>
    <w:rsid w:val="005D6E9D"/>
    <w:rsid w:val="005E4B61"/>
    <w:rsid w:val="005E6F8B"/>
    <w:rsid w:val="005F468D"/>
    <w:rsid w:val="005F4B2E"/>
    <w:rsid w:val="005F69A3"/>
    <w:rsid w:val="00604CC7"/>
    <w:rsid w:val="00613967"/>
    <w:rsid w:val="00613A45"/>
    <w:rsid w:val="00615423"/>
    <w:rsid w:val="006165B2"/>
    <w:rsid w:val="00617276"/>
    <w:rsid w:val="0062527B"/>
    <w:rsid w:val="00625D97"/>
    <w:rsid w:val="00625F1C"/>
    <w:rsid w:val="006279E1"/>
    <w:rsid w:val="00630CEB"/>
    <w:rsid w:val="00632264"/>
    <w:rsid w:val="006453E0"/>
    <w:rsid w:val="006470BC"/>
    <w:rsid w:val="006554D3"/>
    <w:rsid w:val="00661CBE"/>
    <w:rsid w:val="00667036"/>
    <w:rsid w:val="006713A5"/>
    <w:rsid w:val="00673BDB"/>
    <w:rsid w:val="00674341"/>
    <w:rsid w:val="006771B8"/>
    <w:rsid w:val="006843B6"/>
    <w:rsid w:val="0068481F"/>
    <w:rsid w:val="00696F5D"/>
    <w:rsid w:val="00697249"/>
    <w:rsid w:val="006B3947"/>
    <w:rsid w:val="006B4293"/>
    <w:rsid w:val="006B624F"/>
    <w:rsid w:val="006C0C95"/>
    <w:rsid w:val="006C31E3"/>
    <w:rsid w:val="006D18D3"/>
    <w:rsid w:val="006D47B5"/>
    <w:rsid w:val="006D6DB0"/>
    <w:rsid w:val="006E08CB"/>
    <w:rsid w:val="006E3CEA"/>
    <w:rsid w:val="006E598D"/>
    <w:rsid w:val="006F7B4B"/>
    <w:rsid w:val="0070212F"/>
    <w:rsid w:val="0070437D"/>
    <w:rsid w:val="00704CF1"/>
    <w:rsid w:val="00704F9D"/>
    <w:rsid w:val="00705B04"/>
    <w:rsid w:val="00721831"/>
    <w:rsid w:val="00724992"/>
    <w:rsid w:val="00734820"/>
    <w:rsid w:val="007349DC"/>
    <w:rsid w:val="0074365E"/>
    <w:rsid w:val="00744B55"/>
    <w:rsid w:val="007515FD"/>
    <w:rsid w:val="0075347F"/>
    <w:rsid w:val="0075722C"/>
    <w:rsid w:val="00760D80"/>
    <w:rsid w:val="0076596D"/>
    <w:rsid w:val="00780C09"/>
    <w:rsid w:val="00780DDF"/>
    <w:rsid w:val="007834E9"/>
    <w:rsid w:val="00787DBC"/>
    <w:rsid w:val="0079019A"/>
    <w:rsid w:val="007923AA"/>
    <w:rsid w:val="00792935"/>
    <w:rsid w:val="007A04A1"/>
    <w:rsid w:val="007A1840"/>
    <w:rsid w:val="007C0528"/>
    <w:rsid w:val="007C3D38"/>
    <w:rsid w:val="007D0F35"/>
    <w:rsid w:val="007D4FEB"/>
    <w:rsid w:val="007D6146"/>
    <w:rsid w:val="007E0CE7"/>
    <w:rsid w:val="007E703C"/>
    <w:rsid w:val="007F1193"/>
    <w:rsid w:val="007F1B33"/>
    <w:rsid w:val="007F417F"/>
    <w:rsid w:val="007F7644"/>
    <w:rsid w:val="00802725"/>
    <w:rsid w:val="008042BD"/>
    <w:rsid w:val="00814873"/>
    <w:rsid w:val="00816624"/>
    <w:rsid w:val="00822427"/>
    <w:rsid w:val="00822562"/>
    <w:rsid w:val="00823663"/>
    <w:rsid w:val="00832DDC"/>
    <w:rsid w:val="008339A3"/>
    <w:rsid w:val="00850BAC"/>
    <w:rsid w:val="00854A3E"/>
    <w:rsid w:val="00855D08"/>
    <w:rsid w:val="0086095F"/>
    <w:rsid w:val="00874344"/>
    <w:rsid w:val="00882155"/>
    <w:rsid w:val="0088233B"/>
    <w:rsid w:val="0088599E"/>
    <w:rsid w:val="00886C37"/>
    <w:rsid w:val="00892D99"/>
    <w:rsid w:val="00893315"/>
    <w:rsid w:val="00894061"/>
    <w:rsid w:val="008B62AE"/>
    <w:rsid w:val="008B718C"/>
    <w:rsid w:val="008C04B5"/>
    <w:rsid w:val="008C14FA"/>
    <w:rsid w:val="008C7B0B"/>
    <w:rsid w:val="008D029B"/>
    <w:rsid w:val="008D4057"/>
    <w:rsid w:val="008E1F19"/>
    <w:rsid w:val="008F0F37"/>
    <w:rsid w:val="008F1025"/>
    <w:rsid w:val="008F2262"/>
    <w:rsid w:val="008F4D2B"/>
    <w:rsid w:val="008F7736"/>
    <w:rsid w:val="0090019E"/>
    <w:rsid w:val="00900A7C"/>
    <w:rsid w:val="00901086"/>
    <w:rsid w:val="00901C8A"/>
    <w:rsid w:val="00902254"/>
    <w:rsid w:val="00905886"/>
    <w:rsid w:val="009070D6"/>
    <w:rsid w:val="009076C6"/>
    <w:rsid w:val="0091019E"/>
    <w:rsid w:val="009106F1"/>
    <w:rsid w:val="00912404"/>
    <w:rsid w:val="009145D6"/>
    <w:rsid w:val="00920E64"/>
    <w:rsid w:val="009214CE"/>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53F4"/>
    <w:rsid w:val="009A7C96"/>
    <w:rsid w:val="009B0EBC"/>
    <w:rsid w:val="009B5A57"/>
    <w:rsid w:val="009C3DB9"/>
    <w:rsid w:val="009D0159"/>
    <w:rsid w:val="009D1923"/>
    <w:rsid w:val="009D46E5"/>
    <w:rsid w:val="009D4A1B"/>
    <w:rsid w:val="009D568A"/>
    <w:rsid w:val="009E724A"/>
    <w:rsid w:val="009F04EC"/>
    <w:rsid w:val="009F2A7C"/>
    <w:rsid w:val="009F3B36"/>
    <w:rsid w:val="00A019B9"/>
    <w:rsid w:val="00A12508"/>
    <w:rsid w:val="00A1282B"/>
    <w:rsid w:val="00A13A27"/>
    <w:rsid w:val="00A175B6"/>
    <w:rsid w:val="00A21835"/>
    <w:rsid w:val="00A2374B"/>
    <w:rsid w:val="00A27D6E"/>
    <w:rsid w:val="00A328EC"/>
    <w:rsid w:val="00A33A51"/>
    <w:rsid w:val="00A36874"/>
    <w:rsid w:val="00A41CA6"/>
    <w:rsid w:val="00A47877"/>
    <w:rsid w:val="00A47927"/>
    <w:rsid w:val="00A47FFC"/>
    <w:rsid w:val="00A5442F"/>
    <w:rsid w:val="00A54FF9"/>
    <w:rsid w:val="00A56765"/>
    <w:rsid w:val="00A675AC"/>
    <w:rsid w:val="00A7581F"/>
    <w:rsid w:val="00A92FB1"/>
    <w:rsid w:val="00A95A0C"/>
    <w:rsid w:val="00AA1E75"/>
    <w:rsid w:val="00AA2765"/>
    <w:rsid w:val="00AA77B5"/>
    <w:rsid w:val="00AB6C5D"/>
    <w:rsid w:val="00AC3401"/>
    <w:rsid w:val="00AC51A7"/>
    <w:rsid w:val="00AD444B"/>
    <w:rsid w:val="00AD5614"/>
    <w:rsid w:val="00AD6C78"/>
    <w:rsid w:val="00AD76A5"/>
    <w:rsid w:val="00AE2EAB"/>
    <w:rsid w:val="00AF45AC"/>
    <w:rsid w:val="00AF5F89"/>
    <w:rsid w:val="00AF73CB"/>
    <w:rsid w:val="00B002D6"/>
    <w:rsid w:val="00B03379"/>
    <w:rsid w:val="00B05B51"/>
    <w:rsid w:val="00B07887"/>
    <w:rsid w:val="00B14E5A"/>
    <w:rsid w:val="00B15370"/>
    <w:rsid w:val="00B16DA4"/>
    <w:rsid w:val="00B17BEB"/>
    <w:rsid w:val="00B20AD9"/>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1410"/>
    <w:rsid w:val="00B96250"/>
    <w:rsid w:val="00BA0D55"/>
    <w:rsid w:val="00BA37B3"/>
    <w:rsid w:val="00BA4CC6"/>
    <w:rsid w:val="00BB3493"/>
    <w:rsid w:val="00BB5CCA"/>
    <w:rsid w:val="00BB7468"/>
    <w:rsid w:val="00BC0091"/>
    <w:rsid w:val="00BC188A"/>
    <w:rsid w:val="00BC402E"/>
    <w:rsid w:val="00BD0F48"/>
    <w:rsid w:val="00BE6DDB"/>
    <w:rsid w:val="00BF5010"/>
    <w:rsid w:val="00C03D5F"/>
    <w:rsid w:val="00C04F29"/>
    <w:rsid w:val="00C129A2"/>
    <w:rsid w:val="00C13791"/>
    <w:rsid w:val="00C31BB3"/>
    <w:rsid w:val="00C36977"/>
    <w:rsid w:val="00C467DA"/>
    <w:rsid w:val="00C477D9"/>
    <w:rsid w:val="00C60BA3"/>
    <w:rsid w:val="00C623F7"/>
    <w:rsid w:val="00C62A81"/>
    <w:rsid w:val="00C7462D"/>
    <w:rsid w:val="00C75BC5"/>
    <w:rsid w:val="00C81670"/>
    <w:rsid w:val="00C81773"/>
    <w:rsid w:val="00C82861"/>
    <w:rsid w:val="00C86896"/>
    <w:rsid w:val="00C907A8"/>
    <w:rsid w:val="00C93211"/>
    <w:rsid w:val="00C9387A"/>
    <w:rsid w:val="00C942EC"/>
    <w:rsid w:val="00C96047"/>
    <w:rsid w:val="00C979D0"/>
    <w:rsid w:val="00CA0818"/>
    <w:rsid w:val="00CA15C8"/>
    <w:rsid w:val="00CA2C8F"/>
    <w:rsid w:val="00CA30DA"/>
    <w:rsid w:val="00CA3A24"/>
    <w:rsid w:val="00CA5163"/>
    <w:rsid w:val="00CB1777"/>
    <w:rsid w:val="00CB33E9"/>
    <w:rsid w:val="00CC10A9"/>
    <w:rsid w:val="00CD0B3A"/>
    <w:rsid w:val="00CE2BF8"/>
    <w:rsid w:val="00CE484E"/>
    <w:rsid w:val="00CE656F"/>
    <w:rsid w:val="00CF0DA8"/>
    <w:rsid w:val="00CF2E25"/>
    <w:rsid w:val="00CF4453"/>
    <w:rsid w:val="00CF5D94"/>
    <w:rsid w:val="00CF7E0F"/>
    <w:rsid w:val="00D00A88"/>
    <w:rsid w:val="00D034D7"/>
    <w:rsid w:val="00D04BE4"/>
    <w:rsid w:val="00D0529E"/>
    <w:rsid w:val="00D06FC7"/>
    <w:rsid w:val="00D12565"/>
    <w:rsid w:val="00D14127"/>
    <w:rsid w:val="00D163BC"/>
    <w:rsid w:val="00D33AE1"/>
    <w:rsid w:val="00D372C1"/>
    <w:rsid w:val="00D561A8"/>
    <w:rsid w:val="00D60B16"/>
    <w:rsid w:val="00D60F02"/>
    <w:rsid w:val="00D66E49"/>
    <w:rsid w:val="00D70D71"/>
    <w:rsid w:val="00D72F74"/>
    <w:rsid w:val="00D81563"/>
    <w:rsid w:val="00D85907"/>
    <w:rsid w:val="00D9073E"/>
    <w:rsid w:val="00D9221D"/>
    <w:rsid w:val="00D958DF"/>
    <w:rsid w:val="00D96DA1"/>
    <w:rsid w:val="00DA51E7"/>
    <w:rsid w:val="00DB0260"/>
    <w:rsid w:val="00DB0B1F"/>
    <w:rsid w:val="00DB1C78"/>
    <w:rsid w:val="00DB7D96"/>
    <w:rsid w:val="00DC23FE"/>
    <w:rsid w:val="00DC59E6"/>
    <w:rsid w:val="00DD0E14"/>
    <w:rsid w:val="00DD150B"/>
    <w:rsid w:val="00DD5025"/>
    <w:rsid w:val="00DE5622"/>
    <w:rsid w:val="00DF1510"/>
    <w:rsid w:val="00E0015A"/>
    <w:rsid w:val="00E02F1F"/>
    <w:rsid w:val="00E06484"/>
    <w:rsid w:val="00E064B6"/>
    <w:rsid w:val="00E20A79"/>
    <w:rsid w:val="00E20A7D"/>
    <w:rsid w:val="00E2336C"/>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97A9C"/>
    <w:rsid w:val="00EA2273"/>
    <w:rsid w:val="00EA7539"/>
    <w:rsid w:val="00EA7C3C"/>
    <w:rsid w:val="00EB274E"/>
    <w:rsid w:val="00EB2DB3"/>
    <w:rsid w:val="00EC3FBB"/>
    <w:rsid w:val="00EC6B7A"/>
    <w:rsid w:val="00ED3A5E"/>
    <w:rsid w:val="00ED3A87"/>
    <w:rsid w:val="00ED3D3A"/>
    <w:rsid w:val="00ED427E"/>
    <w:rsid w:val="00ED5B67"/>
    <w:rsid w:val="00EF264C"/>
    <w:rsid w:val="00EF3FEE"/>
    <w:rsid w:val="00F03493"/>
    <w:rsid w:val="00F04B59"/>
    <w:rsid w:val="00F07248"/>
    <w:rsid w:val="00F11741"/>
    <w:rsid w:val="00F12B1C"/>
    <w:rsid w:val="00F13CF8"/>
    <w:rsid w:val="00F15855"/>
    <w:rsid w:val="00F200B2"/>
    <w:rsid w:val="00F227DC"/>
    <w:rsid w:val="00F32978"/>
    <w:rsid w:val="00F45CB2"/>
    <w:rsid w:val="00F46C45"/>
    <w:rsid w:val="00F5016B"/>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395E"/>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47105"/>
    <o:shapelayout v:ext="edit">
      <o:idmap v:ext="edit" data="1"/>
    </o:shapelayout>
  </w:shapeDefaults>
  <w:decimalSymbol w:val="."/>
  <w:listSeparator w:val=","/>
  <w15:docId w15:val="{33DE7BC7-F02B-4F95-AC36-5B4FE01F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7923AA"/>
  </w:style>
  <w:style w:type="character" w:customStyle="1" w:styleId="bodytextchar2">
    <w:name w:val="bodytextchar2"/>
    <w:basedOn w:val="DefaultParagraphFont"/>
    <w:rsid w:val="003B61B3"/>
  </w:style>
  <w:style w:type="character" w:customStyle="1" w:styleId="bodytextchar0">
    <w:name w:val="bodytextchar"/>
    <w:basedOn w:val="DefaultParagraphFont"/>
    <w:rsid w:val="003B61B3"/>
  </w:style>
  <w:style w:type="table" w:customStyle="1" w:styleId="TableGrid1">
    <w:name w:val="Table Grid1"/>
    <w:basedOn w:val="TableNormal"/>
    <w:next w:val="TableGrid"/>
    <w:uiPriority w:val="39"/>
    <w:unhideWhenUsed/>
    <w:rsid w:val="008027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17</Pages>
  <Words>3948</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2020-10-22T12:22:00Z</dcterms:created>
  <dcterms:modified xsi:type="dcterms:W3CDTF">2020-10-22T12:22:00Z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20180214-WS</vt:lpwstr>
  </property>
  <property fmtid="{D5CDD505-2E9C-101B-9397-08002B2CF9AE}" pid="3" name="MasterDocument">
    <vt:bool>false</vt:bool>
  </property>
</Properties>
</file>