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DA184A">
            <w:pPr>
              <w:pStyle w:val="MemoHeading"/>
            </w:pPr>
            <w:bookmarkStart w:id="1" w:name="FilingDate"/>
            <w:r>
              <w:t>October 22, 2020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DA184A" w:rsidRDefault="00DA184A">
            <w:pPr>
              <w:pStyle w:val="MemoHeading"/>
            </w:pPr>
            <w:bookmarkStart w:id="2" w:name="From"/>
            <w:r>
              <w:t>Division of Economics (Guffey)</w:t>
            </w:r>
          </w:p>
          <w:p w:rsidR="007C0528" w:rsidRDefault="00DA184A">
            <w:pPr>
              <w:pStyle w:val="MemoHeading"/>
            </w:pPr>
            <w:r>
              <w:t>Office of the General Counsel (Schrader)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DA184A">
            <w:pPr>
              <w:pStyle w:val="MemoHeadingRe"/>
            </w:pPr>
            <w:bookmarkStart w:id="3" w:name="Re"/>
            <w:r>
              <w:t>Docket No. 20200222-EI – Petition for approval of modifications to rate schedule FB-1, fixedbill program by Duke Energy Florida, LLC.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DA184A" w:rsidP="000574D9">
            <w:pPr>
              <w:pStyle w:val="MemoHeading"/>
            </w:pPr>
            <w:bookmarkStart w:id="4" w:name="AgendaDate"/>
            <w:r>
              <w:t>11/03/20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Tariff </w:t>
            </w:r>
            <w:r w:rsidR="000574D9">
              <w:t>Suspension</w:t>
            </w:r>
            <w:r>
              <w:t xml:space="preserve"> – </w:t>
            </w:r>
            <w:bookmarkEnd w:id="5"/>
            <w:r w:rsidR="000574D9">
              <w:t xml:space="preserve">Participation is at the Commission’s discretion 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E5FF5">
            <w:pPr>
              <w:pStyle w:val="MemoHeading"/>
            </w:pPr>
            <w:bookmarkStart w:id="6" w:name="CommissionersAssigned"/>
            <w:bookmarkEnd w:id="6"/>
            <w:r>
              <w:t>All Commissioners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409EA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DA184A">
            <w:pPr>
              <w:pStyle w:val="MemoHeading"/>
            </w:pPr>
            <w:bookmarkStart w:id="9" w:name="CriticalDates"/>
            <w:r>
              <w:t>11/27/20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DA184A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9E6772" w:rsidRDefault="00DA184A" w:rsidP="00171E0E">
      <w:pPr>
        <w:pStyle w:val="BodyText"/>
      </w:pPr>
      <w:r w:rsidRPr="005F503D">
        <w:t>On September 28, 2020, Duke Energy Florida, LLC (DEF) filed a petition for approval of modif</w:t>
      </w:r>
      <w:r w:rsidR="002523C0">
        <w:t xml:space="preserve">ications to </w:t>
      </w:r>
      <w:r w:rsidR="004008A5">
        <w:t>its</w:t>
      </w:r>
      <w:r w:rsidR="002523C0">
        <w:t xml:space="preserve"> Optional </w:t>
      </w:r>
      <w:r w:rsidRPr="005F503D">
        <w:t xml:space="preserve">FixedBill </w:t>
      </w:r>
      <w:r w:rsidR="002523C0">
        <w:t xml:space="preserve">(FB-1) </w:t>
      </w:r>
      <w:r w:rsidR="004008A5">
        <w:t>rate s</w:t>
      </w:r>
      <w:r w:rsidR="002523C0">
        <w:t>chedule and associated</w:t>
      </w:r>
      <w:r w:rsidRPr="005F503D">
        <w:t xml:space="preserve"> Tariff Sheet No. 6.391. </w:t>
      </w:r>
      <w:r w:rsidR="002523C0">
        <w:t xml:space="preserve">The FB-1 rate schedule is </w:t>
      </w:r>
      <w:r w:rsidR="004008A5">
        <w:t>available to residential customers and</w:t>
      </w:r>
      <w:r w:rsidR="002523C0">
        <w:t xml:space="preserve"> </w:t>
      </w:r>
      <w:r w:rsidR="00171E0E">
        <w:t>offers</w:t>
      </w:r>
      <w:r w:rsidR="002523C0">
        <w:t xml:space="preserve"> </w:t>
      </w:r>
      <w:r w:rsidR="00900372">
        <w:t>participating</w:t>
      </w:r>
      <w:r w:rsidR="002523C0">
        <w:t xml:space="preserve"> customers a predetermined electric bill for 12 months protect</w:t>
      </w:r>
      <w:r w:rsidR="004008A5">
        <w:t>ing</w:t>
      </w:r>
      <w:r w:rsidR="00900372">
        <w:t xml:space="preserve"> </w:t>
      </w:r>
      <w:r w:rsidR="002523C0">
        <w:t xml:space="preserve">customers from </w:t>
      </w:r>
      <w:r w:rsidR="004008A5">
        <w:t>fluctuating</w:t>
      </w:r>
      <w:r w:rsidR="002523C0">
        <w:t xml:space="preserve"> electric bills </w:t>
      </w:r>
      <w:r w:rsidR="004008A5">
        <w:t xml:space="preserve">resulting </w:t>
      </w:r>
      <w:r w:rsidR="00171E0E">
        <w:t xml:space="preserve">from weather or non-weather related impacts. </w:t>
      </w:r>
    </w:p>
    <w:p w:rsidR="007C0528" w:rsidRDefault="00171E0E" w:rsidP="00171E0E">
      <w:pPr>
        <w:pStyle w:val="BodyText"/>
      </w:pPr>
      <w:r>
        <w:t xml:space="preserve">DEF is proposing revisions to Tariff Sheet No. 6.391 to allow </w:t>
      </w:r>
      <w:r w:rsidR="00900372">
        <w:t>DEF</w:t>
      </w:r>
      <w:r>
        <w:t xml:space="preserve"> to have control of thermostats of customers </w:t>
      </w:r>
      <w:r w:rsidR="00CF17D4">
        <w:t xml:space="preserve">taking service on the FB-1 rate schedule </w:t>
      </w:r>
      <w:r w:rsidR="00900372">
        <w:t>in addition to applicable Demand</w:t>
      </w:r>
      <w:r w:rsidR="00234CC4">
        <w:t>-</w:t>
      </w:r>
      <w:r w:rsidR="00900372">
        <w:t xml:space="preserve">Side Management programs through December 31, 2021. </w:t>
      </w:r>
      <w:r w:rsidR="00DA184A" w:rsidRPr="005F503D">
        <w:t xml:space="preserve">DEF </w:t>
      </w:r>
      <w:r w:rsidR="00CF17D4">
        <w:t xml:space="preserve">explains that the goal is </w:t>
      </w:r>
      <w:r>
        <w:t xml:space="preserve">to </w:t>
      </w:r>
      <w:r w:rsidR="00CF17D4">
        <w:t>test customer willingness to allow DEF to control ‘eligible’ customers’ thermostats in exchange for a $50 prepaid credit card.</w:t>
      </w:r>
      <w:r w:rsidR="00DA184A" w:rsidRPr="005F503D">
        <w:t xml:space="preserve"> </w:t>
      </w:r>
      <w:r w:rsidR="00D10CED">
        <w:t xml:space="preserve">The proposed program is limited to 2,000 participants. </w:t>
      </w:r>
      <w:r w:rsidR="00DA184A" w:rsidRPr="005F503D">
        <w:lastRenderedPageBreak/>
        <w:t>The Commission has jurisdiction over this matter pursuant to Sections 366.03, 366.04, 366.05, and 366.06, Florida Statutes (F.S.)</w:t>
      </w:r>
      <w:r>
        <w:t xml:space="preserve">. 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DA184A" w:rsidRDefault="00DA184A">
      <w:pPr>
        <w:pStyle w:val="IssueHeading"/>
        <w:rPr>
          <w:vanish/>
          <w:specVanish/>
        </w:rPr>
      </w:pPr>
      <w:r w:rsidRPr="004C3641">
        <w:t xml:space="preserve">Issue </w:t>
      </w:r>
      <w:r w:rsidR="00556BEC">
        <w:fldChar w:fldCharType="begin"/>
      </w:r>
      <w:r w:rsidR="00556BEC">
        <w:instrText xml:space="preserve"> SEQ Issue \* MERGEFORMAT </w:instrText>
      </w:r>
      <w:r w:rsidR="00556BEC">
        <w:fldChar w:fldCharType="separate"/>
      </w:r>
      <w:r w:rsidR="00C76C18">
        <w:rPr>
          <w:noProof/>
        </w:rPr>
        <w:t>1</w:t>
      </w:r>
      <w:r w:rsidR="00556BE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C76C18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:rsidR="00DA184A" w:rsidRDefault="00DA184A">
      <w:pPr>
        <w:pStyle w:val="BodyText"/>
      </w:pPr>
      <w:r>
        <w:t xml:space="preserve"> Should DEF's proposed </w:t>
      </w:r>
      <w:r w:rsidR="009D1454">
        <w:t xml:space="preserve">Optional </w:t>
      </w:r>
      <w:r w:rsidR="009D1454" w:rsidRPr="005F503D">
        <w:t xml:space="preserve">FixedBill </w:t>
      </w:r>
      <w:r w:rsidR="009D1454">
        <w:t>(FB-1) Rate Schedule and associated</w:t>
      </w:r>
      <w:r w:rsidR="009D1454" w:rsidRPr="005F503D">
        <w:t xml:space="preserve"> Tariff Sheet No. 6.391</w:t>
      </w:r>
      <w:r>
        <w:t xml:space="preserve"> </w:t>
      </w:r>
      <w:r w:rsidR="00171E0E">
        <w:t>revisions</w:t>
      </w:r>
      <w:r>
        <w:t xml:space="preserve"> be suspended?</w:t>
      </w:r>
    </w:p>
    <w:p w:rsidR="00DA184A" w:rsidRPr="004C3641" w:rsidRDefault="00DA184A">
      <w:pPr>
        <w:pStyle w:val="IssueSubsectionHeading"/>
        <w:rPr>
          <w:vanish/>
          <w:specVanish/>
        </w:rPr>
      </w:pPr>
      <w:r w:rsidRPr="004C3641">
        <w:t>Recommendation: </w:t>
      </w:r>
    </w:p>
    <w:p w:rsidR="00DA184A" w:rsidRDefault="00DA184A">
      <w:pPr>
        <w:pStyle w:val="BodyText"/>
      </w:pPr>
      <w:r>
        <w:t> </w:t>
      </w:r>
      <w:r w:rsidR="00C76C18">
        <w:t xml:space="preserve">Yes. </w:t>
      </w:r>
      <w:r w:rsidR="00C76C18" w:rsidRPr="005F503D">
        <w:t xml:space="preserve">Staff recommends that the </w:t>
      </w:r>
      <w:r w:rsidR="009D1454">
        <w:t xml:space="preserve">Optional </w:t>
      </w:r>
      <w:r w:rsidR="009D1454" w:rsidRPr="005F503D">
        <w:t xml:space="preserve">FixedBill </w:t>
      </w:r>
      <w:r w:rsidR="009D1454">
        <w:t>(FB-1) Rate Schedule and associated</w:t>
      </w:r>
      <w:r w:rsidR="009D1454" w:rsidRPr="005F503D">
        <w:t xml:space="preserve"> Tariff Sheet No. 6.391</w:t>
      </w:r>
      <w:r w:rsidR="00C76C18" w:rsidRPr="005F503D">
        <w:t xml:space="preserve"> be suspended to allow staff sufficient time to review the petition and gather all pertinent information in order to present the Commission with an informed recommendation on the </w:t>
      </w:r>
      <w:r w:rsidR="009D1454">
        <w:t xml:space="preserve">proposed </w:t>
      </w:r>
      <w:r w:rsidR="00C76C18" w:rsidRPr="005F503D">
        <w:t xml:space="preserve">tariff </w:t>
      </w:r>
      <w:r w:rsidR="009D1454">
        <w:t>modifications</w:t>
      </w:r>
      <w:r w:rsidR="00C76C18" w:rsidRPr="005F503D">
        <w:t>.</w:t>
      </w:r>
      <w:r>
        <w:t xml:space="preserve"> (Guffey)</w:t>
      </w:r>
    </w:p>
    <w:p w:rsidR="00DA184A" w:rsidRPr="004C3641" w:rsidRDefault="00DA184A">
      <w:pPr>
        <w:pStyle w:val="IssueSubsectionHeading"/>
        <w:rPr>
          <w:vanish/>
          <w:specVanish/>
        </w:rPr>
      </w:pPr>
      <w:r w:rsidRPr="004C3641">
        <w:t>Staff Analysis: </w:t>
      </w:r>
    </w:p>
    <w:p w:rsidR="00C76C18" w:rsidRPr="005F503D" w:rsidRDefault="00DA184A" w:rsidP="00C76C18">
      <w:pPr>
        <w:pStyle w:val="BodyText"/>
      </w:pPr>
      <w:r>
        <w:t> </w:t>
      </w:r>
      <w:r w:rsidR="00C76C18" w:rsidRPr="005F503D">
        <w:t xml:space="preserve">Staff recommends that the </w:t>
      </w:r>
      <w:r w:rsidR="009D1454">
        <w:t xml:space="preserve">Optional </w:t>
      </w:r>
      <w:r w:rsidR="009D1454" w:rsidRPr="005F503D">
        <w:t xml:space="preserve">FixedBill </w:t>
      </w:r>
      <w:r w:rsidR="009D1454">
        <w:t>(FB-1) Rate Schedule and associated Tariff Sheet No. 6.391</w:t>
      </w:r>
      <w:r w:rsidR="00C76C18" w:rsidRPr="005F503D">
        <w:t xml:space="preserve"> be suspended to allow staff sufficient time to review the petition and gather all pertinent information in order to present the Commission with an informed recommendation on the </w:t>
      </w:r>
      <w:r w:rsidR="009D1454">
        <w:t xml:space="preserve">proposed </w:t>
      </w:r>
      <w:r w:rsidR="00C76C18" w:rsidRPr="005F503D">
        <w:t xml:space="preserve">tariff </w:t>
      </w:r>
      <w:r w:rsidR="009D1454">
        <w:t>modifications</w:t>
      </w:r>
      <w:r w:rsidR="00C76C18" w:rsidRPr="005F503D">
        <w:t>.</w:t>
      </w:r>
    </w:p>
    <w:p w:rsidR="00C76C18" w:rsidRPr="005F503D" w:rsidRDefault="00C76C18" w:rsidP="00C76C18">
      <w:pPr>
        <w:jc w:val="both"/>
      </w:pPr>
      <w:r w:rsidRPr="005F503D">
        <w:t>Pursuant to Section 366.06(3), F.S., the Commission may withhold consent to the operation of all or any portion of the new rate schedules, delivering to the utility requesting such a change, a reason, or written statement of a good cause for doing so within 60 days. Staff believes that the reason stated above is a good cause consistent with the requirement of Section 366.06(3), F.S</w:t>
      </w:r>
      <w:r w:rsidR="001A3277">
        <w:t>.</w:t>
      </w:r>
    </w:p>
    <w:p w:rsidR="00DA184A" w:rsidRDefault="00DA184A">
      <w:pPr>
        <w:pStyle w:val="BodyText"/>
      </w:pPr>
    </w:p>
    <w:p w:rsidR="00C76C18" w:rsidRDefault="00C76C1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556BEC">
        <w:fldChar w:fldCharType="begin"/>
      </w:r>
      <w:r w:rsidR="00556BEC">
        <w:instrText xml:space="preserve"> SEQ Issue \* MERGEFORMAT </w:instrText>
      </w:r>
      <w:r w:rsidR="00556BEC">
        <w:fldChar w:fldCharType="separate"/>
      </w:r>
      <w:r>
        <w:rPr>
          <w:noProof/>
        </w:rPr>
        <w:t>2</w:t>
      </w:r>
      <w:r w:rsidR="00556BE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2</w:instrText>
      </w:r>
      <w:r>
        <w:fldChar w:fldCharType="end"/>
      </w:r>
      <w:r>
        <w:tab/>
        <w:instrText xml:space="preserve">(Schrader)" \l 1 </w:instrText>
      </w:r>
      <w:r>
        <w:fldChar w:fldCharType="end"/>
      </w:r>
      <w:r>
        <w:t> </w:t>
      </w:r>
    </w:p>
    <w:p w:rsidR="00C76C18" w:rsidRDefault="00C76C18">
      <w:pPr>
        <w:pStyle w:val="BodyText"/>
      </w:pPr>
      <w:r>
        <w:t> Should this docket be closed?</w:t>
      </w:r>
    </w:p>
    <w:p w:rsidR="00C76C18" w:rsidRPr="004C3641" w:rsidRDefault="00C76C18">
      <w:pPr>
        <w:pStyle w:val="IssueSubsectionHeading"/>
        <w:rPr>
          <w:vanish/>
          <w:specVanish/>
        </w:rPr>
      </w:pPr>
      <w:r w:rsidRPr="004C3641">
        <w:t>Recommendation: </w:t>
      </w:r>
    </w:p>
    <w:p w:rsidR="00C76C18" w:rsidRDefault="00C76C18">
      <w:pPr>
        <w:pStyle w:val="BodyText"/>
      </w:pPr>
      <w:r>
        <w:t> </w:t>
      </w:r>
      <w:r w:rsidRPr="005F503D">
        <w:t xml:space="preserve">No. This docket should remain open pending the Commission decision on the proposed </w:t>
      </w:r>
      <w:r w:rsidR="009D1454">
        <w:t xml:space="preserve">Optional </w:t>
      </w:r>
      <w:r w:rsidR="009D1454" w:rsidRPr="005F503D">
        <w:t xml:space="preserve">FixedBill </w:t>
      </w:r>
      <w:r w:rsidR="009D1454">
        <w:t>(FB-1) Rate Schedule and associated</w:t>
      </w:r>
      <w:r w:rsidR="009D1454" w:rsidRPr="005F503D">
        <w:t xml:space="preserve"> Tariff Sheet No. 6.391</w:t>
      </w:r>
      <w:r>
        <w:t xml:space="preserve"> revisions</w:t>
      </w:r>
      <w:r w:rsidRPr="005F503D">
        <w:t>.</w:t>
      </w:r>
      <w:r>
        <w:t xml:space="preserve"> (Schrader)</w:t>
      </w:r>
    </w:p>
    <w:p w:rsidR="00C76C18" w:rsidRPr="004C3641" w:rsidRDefault="00C76C18">
      <w:pPr>
        <w:pStyle w:val="IssueSubsectionHeading"/>
        <w:rPr>
          <w:vanish/>
          <w:specVanish/>
        </w:rPr>
      </w:pPr>
      <w:r w:rsidRPr="004C3641">
        <w:t>Staff Analysis: </w:t>
      </w:r>
    </w:p>
    <w:p w:rsidR="00C76C18" w:rsidRDefault="00C76C18">
      <w:pPr>
        <w:pStyle w:val="BodyText"/>
      </w:pPr>
      <w:r>
        <w:t> </w:t>
      </w:r>
      <w:r w:rsidRPr="005F503D">
        <w:t xml:space="preserve">This docket should remain open pending the Commission decision on the proposed </w:t>
      </w:r>
      <w:r w:rsidR="009D1454">
        <w:t xml:space="preserve">Optional </w:t>
      </w:r>
      <w:r w:rsidR="009D1454" w:rsidRPr="005F503D">
        <w:t xml:space="preserve">FixedBill </w:t>
      </w:r>
      <w:r w:rsidR="009D1454">
        <w:t>(FB-1) Rate Schedule and associated</w:t>
      </w:r>
      <w:r w:rsidR="009D1454" w:rsidRPr="005F503D">
        <w:t xml:space="preserve"> Tariff Sheet No. 6.391</w:t>
      </w:r>
      <w:r>
        <w:t xml:space="preserve"> revisions.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4A" w:rsidRDefault="00DA184A">
      <w:r>
        <w:separator/>
      </w:r>
    </w:p>
  </w:endnote>
  <w:endnote w:type="continuationSeparator" w:id="0">
    <w:p w:rsidR="00DA184A" w:rsidRDefault="00D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581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4A" w:rsidRDefault="00DA184A">
      <w:r>
        <w:separator/>
      </w:r>
    </w:p>
  </w:footnote>
  <w:footnote w:type="continuationSeparator" w:id="0">
    <w:p w:rsidR="00DA184A" w:rsidRDefault="00DA1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DA184A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20200222-EI</w:t>
    </w:r>
    <w:bookmarkEnd w:id="15"/>
  </w:p>
  <w:p w:rsidR="00BC402E" w:rsidRDefault="00BC402E">
    <w:pPr>
      <w:pStyle w:val="Header"/>
    </w:pPr>
    <w:r>
      <w:t xml:space="preserve">Date: </w:t>
    </w:r>
    <w:r w:rsidR="00556BEC">
      <w:fldChar w:fldCharType="begin"/>
    </w:r>
    <w:r w:rsidR="00556BEC">
      <w:instrText xml:space="preserve"> REF FilingDate </w:instrText>
    </w:r>
    <w:r w:rsidR="00556BEC">
      <w:fldChar w:fldCharType="separate"/>
    </w:r>
    <w:r w:rsidR="00C76C18">
      <w:t>October 22, 2020</w:t>
    </w:r>
    <w:r w:rsidR="00556BE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C76C1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C76C18">
      <w:t>20200222-EI</w:t>
    </w:r>
    <w:r>
      <w:fldChar w:fldCharType="end"/>
    </w:r>
    <w:r>
      <w:tab/>
      <w:t xml:space="preserve">Issue </w:t>
    </w:r>
    <w:fldSimple w:instr=" Seq Issue \c \* Arabic ">
      <w:r w:rsidR="008A5812">
        <w:rPr>
          <w:noProof/>
        </w:rPr>
        <w:t>1</w:t>
      </w:r>
    </w:fldSimple>
  </w:p>
  <w:p w:rsidR="00BC402E" w:rsidRDefault="00BC402E">
    <w:pPr>
      <w:pStyle w:val="Header"/>
    </w:pPr>
    <w:r>
      <w:t xml:space="preserve">Date: </w:t>
    </w:r>
    <w:r w:rsidR="00556BEC">
      <w:fldChar w:fldCharType="begin"/>
    </w:r>
    <w:r w:rsidR="00556BEC">
      <w:instrText xml:space="preserve"> REF FilingDate </w:instrText>
    </w:r>
    <w:r w:rsidR="00556BEC">
      <w:fldChar w:fldCharType="separate"/>
    </w:r>
    <w:r w:rsidR="00C76C18">
      <w:t>October 22, 2020</w:t>
    </w:r>
    <w:r w:rsidR="00556BEC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DA184A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574D9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71E0E"/>
    <w:rsid w:val="00180254"/>
    <w:rsid w:val="00191E1F"/>
    <w:rsid w:val="00192943"/>
    <w:rsid w:val="001A3277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34CC4"/>
    <w:rsid w:val="002523C0"/>
    <w:rsid w:val="00263D44"/>
    <w:rsid w:val="002702AD"/>
    <w:rsid w:val="00292D82"/>
    <w:rsid w:val="002963CB"/>
    <w:rsid w:val="002B4A01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948AE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08A5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09EA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A5812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0372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1454"/>
    <w:rsid w:val="009D46E5"/>
    <w:rsid w:val="009D568A"/>
    <w:rsid w:val="009E6772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B3493"/>
    <w:rsid w:val="00BB7468"/>
    <w:rsid w:val="00BC188A"/>
    <w:rsid w:val="00BC402E"/>
    <w:rsid w:val="00BD0F48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75BC5"/>
    <w:rsid w:val="00C76C18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17D4"/>
    <w:rsid w:val="00CF2E25"/>
    <w:rsid w:val="00CF4453"/>
    <w:rsid w:val="00CF5D94"/>
    <w:rsid w:val="00CF7E0F"/>
    <w:rsid w:val="00D034D7"/>
    <w:rsid w:val="00D04BE4"/>
    <w:rsid w:val="00D06FC7"/>
    <w:rsid w:val="00D10CED"/>
    <w:rsid w:val="00D12565"/>
    <w:rsid w:val="00D14127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184A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75D8"/>
    <w:rsid w:val="00E30F6A"/>
    <w:rsid w:val="00E3117C"/>
    <w:rsid w:val="00E375CA"/>
    <w:rsid w:val="00E5364F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5B67"/>
    <w:rsid w:val="00FE5FF5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485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Sevini Guffey</cp:lastModifiedBy>
  <cp:revision>2</cp:revision>
  <cp:lastPrinted>2004-01-27T20:32:00Z</cp:lastPrinted>
  <dcterms:created xsi:type="dcterms:W3CDTF">2020-10-22T13:36:00Z</dcterms:created>
  <dcterms:modified xsi:type="dcterms:W3CDTF">2020-10-22T13:36:00Z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20200222-EI</vt:lpwstr>
  </property>
  <property fmtid="{D5CDD505-2E9C-101B-9397-08002B2CF9AE}" pid="3" name="MasterDocument">
    <vt:bool>false</vt:bool>
  </property>
</Properties>
</file>