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95BCC" w:rsidP="00F95BCC">
      <w:pPr>
        <w:pStyle w:val="OrderHeading"/>
      </w:pPr>
      <w:r>
        <w:t>BEFORE THE FLORIDA PUBLIC SERVICE COMMISSION</w:t>
      </w:r>
    </w:p>
    <w:p w:rsidR="00F95BCC" w:rsidRDefault="00F95BCC" w:rsidP="00F95BCC">
      <w:pPr>
        <w:pStyle w:val="OrderBody"/>
      </w:pPr>
    </w:p>
    <w:p w:rsidR="00F95BCC" w:rsidRDefault="00F95BCC" w:rsidP="00F95B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5BCC" w:rsidRPr="00C63FCF" w:rsidTr="00C63FCF">
        <w:trPr>
          <w:trHeight w:val="828"/>
        </w:trPr>
        <w:tc>
          <w:tcPr>
            <w:tcW w:w="4788" w:type="dxa"/>
            <w:tcBorders>
              <w:bottom w:val="single" w:sz="8" w:space="0" w:color="auto"/>
              <w:right w:val="double" w:sz="6" w:space="0" w:color="auto"/>
            </w:tcBorders>
            <w:shd w:val="clear" w:color="auto" w:fill="auto"/>
          </w:tcPr>
          <w:p w:rsidR="00F95BCC" w:rsidRDefault="00F95BCC" w:rsidP="00C63FCF">
            <w:pPr>
              <w:pStyle w:val="OrderBody"/>
              <w:tabs>
                <w:tab w:val="center" w:pos="4320"/>
                <w:tab w:val="right" w:pos="8640"/>
              </w:tabs>
              <w:jc w:val="left"/>
            </w:pPr>
            <w:r>
              <w:t xml:space="preserve">In re: </w:t>
            </w:r>
            <w:bookmarkStart w:id="0" w:name="SSInRe"/>
            <w:bookmarkEnd w:id="0"/>
            <w:r>
              <w:t>Petition for approval of optional electric vehicle public charging pilot tariffs, by Florida Power &amp; Light Company.</w:t>
            </w:r>
          </w:p>
        </w:tc>
        <w:tc>
          <w:tcPr>
            <w:tcW w:w="4788" w:type="dxa"/>
            <w:tcBorders>
              <w:left w:val="double" w:sz="6" w:space="0" w:color="auto"/>
            </w:tcBorders>
            <w:shd w:val="clear" w:color="auto" w:fill="auto"/>
          </w:tcPr>
          <w:p w:rsidR="00F95BCC" w:rsidRDefault="00F95BCC" w:rsidP="00F95BCC">
            <w:pPr>
              <w:pStyle w:val="OrderBody"/>
            </w:pPr>
            <w:r>
              <w:t xml:space="preserve">DOCKET NO. </w:t>
            </w:r>
            <w:bookmarkStart w:id="1" w:name="SSDocketNo"/>
            <w:bookmarkEnd w:id="1"/>
            <w:r>
              <w:t>20200170-EI</w:t>
            </w:r>
          </w:p>
          <w:p w:rsidR="00F95BCC" w:rsidRDefault="00F95BCC" w:rsidP="00C63FCF">
            <w:pPr>
              <w:pStyle w:val="OrderBody"/>
              <w:tabs>
                <w:tab w:val="center" w:pos="4320"/>
                <w:tab w:val="right" w:pos="8640"/>
              </w:tabs>
              <w:jc w:val="left"/>
            </w:pPr>
            <w:r>
              <w:t xml:space="preserve">ORDER NO. </w:t>
            </w:r>
            <w:bookmarkStart w:id="2" w:name="OrderNo0398"/>
            <w:r w:rsidR="00DD1858">
              <w:t>PSC-2020-0398-PCO-EI</w:t>
            </w:r>
            <w:bookmarkEnd w:id="2"/>
          </w:p>
          <w:p w:rsidR="00F95BCC" w:rsidRDefault="00F95BCC" w:rsidP="00C63FCF">
            <w:pPr>
              <w:pStyle w:val="OrderBody"/>
              <w:tabs>
                <w:tab w:val="center" w:pos="4320"/>
                <w:tab w:val="right" w:pos="8640"/>
              </w:tabs>
              <w:jc w:val="left"/>
            </w:pPr>
            <w:r>
              <w:t xml:space="preserve">ISSUED: </w:t>
            </w:r>
            <w:r w:rsidR="00DD1858">
              <w:t>October 26, 2020</w:t>
            </w:r>
          </w:p>
        </w:tc>
      </w:tr>
    </w:tbl>
    <w:p w:rsidR="00F95BCC" w:rsidRDefault="00F95BCC" w:rsidP="00F95BCC"/>
    <w:p w:rsidR="00F95BCC" w:rsidRDefault="00F95BCC" w:rsidP="00F95BCC"/>
    <w:p w:rsidR="00F95BCC" w:rsidRDefault="00F95BCC" w:rsidP="00B67A43">
      <w:pPr>
        <w:ind w:firstLine="720"/>
        <w:jc w:val="both"/>
      </w:pPr>
      <w:bookmarkStart w:id="3" w:name="Commissioners"/>
      <w:bookmarkEnd w:id="3"/>
      <w:r>
        <w:t>The following Commissioners participated in the disposition of this matter:</w:t>
      </w:r>
    </w:p>
    <w:p w:rsidR="00F95BCC" w:rsidRDefault="00F95BCC" w:rsidP="00B67A43"/>
    <w:p w:rsidR="00F95BCC" w:rsidRDefault="00F95BCC" w:rsidP="00B67A43">
      <w:pPr>
        <w:jc w:val="center"/>
      </w:pPr>
      <w:r>
        <w:t>GARY F. CLARK, Chairman</w:t>
      </w:r>
    </w:p>
    <w:p w:rsidR="00F95BCC" w:rsidRDefault="00F95BCC" w:rsidP="00B67A43">
      <w:pPr>
        <w:jc w:val="center"/>
      </w:pPr>
      <w:r>
        <w:t>ART GRAHAM</w:t>
      </w:r>
    </w:p>
    <w:p w:rsidR="00F95BCC" w:rsidRDefault="00F95BCC" w:rsidP="00B67A43">
      <w:pPr>
        <w:jc w:val="center"/>
      </w:pPr>
      <w:r>
        <w:t>JULIE I. BROWN</w:t>
      </w:r>
    </w:p>
    <w:p w:rsidR="00F95BCC" w:rsidRDefault="00F95BCC" w:rsidP="00B67A43">
      <w:pPr>
        <w:jc w:val="center"/>
      </w:pPr>
      <w:r>
        <w:t>DONALD J. POLMANN</w:t>
      </w:r>
    </w:p>
    <w:p w:rsidR="00F95BCC" w:rsidRDefault="00F95BCC" w:rsidP="00B67A43">
      <w:pPr>
        <w:jc w:val="center"/>
      </w:pPr>
      <w:r>
        <w:t>ANDREW GILES FAY</w:t>
      </w:r>
    </w:p>
    <w:p w:rsidR="00ED65AF" w:rsidRDefault="00ED65AF" w:rsidP="00B67A43">
      <w:pPr>
        <w:jc w:val="center"/>
      </w:pPr>
    </w:p>
    <w:p w:rsidR="00660841" w:rsidRDefault="00F95BCC" w:rsidP="006D3776">
      <w:pPr>
        <w:pStyle w:val="CenterUnderline"/>
      </w:pPr>
      <w:r>
        <w:t>ORDER</w:t>
      </w:r>
      <w:bookmarkStart w:id="4" w:name="OrderTitle"/>
      <w:r w:rsidR="006D3776">
        <w:t xml:space="preserve"> </w:t>
      </w:r>
      <w:r w:rsidR="00660841">
        <w:t>SUSPENDING FLORIDA POWER &amp; LIGHT COMPANY’S TARIFF</w:t>
      </w:r>
    </w:p>
    <w:p w:rsidR="00F95BCC" w:rsidRDefault="00D666F6" w:rsidP="006D3776">
      <w:pPr>
        <w:pStyle w:val="CenterUnderline"/>
      </w:pPr>
      <w:r>
        <w:t xml:space="preserve"> </w:t>
      </w:r>
      <w:bookmarkEnd w:id="4"/>
    </w:p>
    <w:p w:rsidR="00F95BCC" w:rsidRDefault="00F95BCC" w:rsidP="00F95BCC">
      <w:pPr>
        <w:pStyle w:val="OrderBody"/>
      </w:pPr>
      <w:r>
        <w:t>BY THE COMMISSION:</w:t>
      </w:r>
    </w:p>
    <w:p w:rsidR="00F95BCC" w:rsidRDefault="00F95BCC" w:rsidP="00F95BCC">
      <w:pPr>
        <w:pStyle w:val="OrderBody"/>
      </w:pPr>
    </w:p>
    <w:p w:rsidR="00F95BCC" w:rsidRPr="00660841" w:rsidRDefault="00F95BCC" w:rsidP="00F95BCC">
      <w:pPr>
        <w:keepNext/>
        <w:spacing w:after="240"/>
        <w:jc w:val="center"/>
        <w:outlineLvl w:val="0"/>
        <w:rPr>
          <w:b/>
          <w:bCs/>
          <w:kern w:val="32"/>
          <w:szCs w:val="32"/>
        </w:rPr>
      </w:pPr>
      <w:bookmarkStart w:id="5" w:name="OrderText"/>
      <w:bookmarkEnd w:id="5"/>
      <w:r w:rsidRPr="00660841">
        <w:rPr>
          <w:b/>
          <w:bCs/>
          <w:kern w:val="32"/>
          <w:szCs w:val="32"/>
        </w:rPr>
        <w:t>Background</w:t>
      </w:r>
      <w:r w:rsidRPr="00660841">
        <w:rPr>
          <w:b/>
          <w:bCs/>
          <w:kern w:val="32"/>
          <w:szCs w:val="32"/>
        </w:rPr>
        <w:fldChar w:fldCharType="begin"/>
      </w:r>
      <w:r w:rsidRPr="00660841">
        <w:rPr>
          <w:b/>
          <w:bCs/>
          <w:kern w:val="32"/>
          <w:szCs w:val="32"/>
        </w:rPr>
        <w:instrText xml:space="preserve"> TC  "</w:instrText>
      </w:r>
      <w:r w:rsidRPr="00660841">
        <w:rPr>
          <w:b/>
          <w:bCs/>
          <w:kern w:val="32"/>
          <w:szCs w:val="32"/>
        </w:rPr>
        <w:tab/>
      </w:r>
      <w:bookmarkStart w:id="6" w:name="_Toc94516455"/>
      <w:r w:rsidRPr="00660841">
        <w:rPr>
          <w:b/>
          <w:bCs/>
          <w:kern w:val="32"/>
          <w:szCs w:val="32"/>
        </w:rPr>
        <w:instrText>Case Background</w:instrText>
      </w:r>
      <w:bookmarkEnd w:id="6"/>
      <w:r w:rsidRPr="00660841">
        <w:rPr>
          <w:b/>
          <w:bCs/>
          <w:kern w:val="32"/>
          <w:szCs w:val="32"/>
        </w:rPr>
        <w:instrText xml:space="preserve">" \l 1 </w:instrText>
      </w:r>
      <w:r w:rsidRPr="00660841">
        <w:rPr>
          <w:b/>
          <w:bCs/>
          <w:kern w:val="32"/>
          <w:szCs w:val="32"/>
        </w:rPr>
        <w:fldChar w:fldCharType="end"/>
      </w:r>
    </w:p>
    <w:p w:rsidR="00F95BCC" w:rsidRPr="00F95BCC" w:rsidRDefault="00F95BCC" w:rsidP="00F95BCC">
      <w:pPr>
        <w:spacing w:after="240"/>
        <w:jc w:val="both"/>
      </w:pPr>
      <w:r>
        <w:tab/>
      </w:r>
      <w:r w:rsidRPr="00F95BCC">
        <w:t>On June 19, 2020, Florida Power &amp; Light Company (FPL or utility) filed a petition requesting approval of three optional electric vehicle (EV) public charging pilot tariffs. The first tariff, Utility-Owned Public Charging for Electric Vehicles (Rate Schedule UEV), would establish a charging rate for utility-owned direct current fast charging stations.  The second set of tariffs, Electric Vehicle Charging Infrastructure Riders for General Service Demand and General Service Large Demand (Rate Schedules GSD-1EV and GSLD-1EV), would establish a rate for competitive market charging stations operating in FPL’s service area. This rate would implement a threshold on the demand charge associated with the general service rates. The utility requests for these rates to take effect in January 2021.</w:t>
      </w:r>
    </w:p>
    <w:p w:rsidR="00F95BCC" w:rsidRDefault="00F95BCC" w:rsidP="00F95BCC">
      <w:pPr>
        <w:spacing w:after="240"/>
        <w:jc w:val="both"/>
      </w:pPr>
      <w:r>
        <w:tab/>
      </w:r>
      <w:r w:rsidRPr="00F95BCC">
        <w:t xml:space="preserve">On June 26, 2020, FPL waived the 60-day file and suspend provision pursuant to Section 366.06(3), Florida Statutes (F.S.), until the September 1, 2020 Agenda Conference. After further discussion with </w:t>
      </w:r>
      <w:r w:rsidR="00A97E1E">
        <w:t xml:space="preserve">Commission </w:t>
      </w:r>
      <w:r w:rsidRPr="00F95BCC">
        <w:t>staff, on July 17, 2020, the utility extended the 60-day file and suspend provision until the October 6, 2020 Agenda Conference. There are eleven interested persons in this docket.</w:t>
      </w:r>
      <w:r w:rsidRPr="00F95BCC">
        <w:rPr>
          <w:vertAlign w:val="superscript"/>
        </w:rPr>
        <w:footnoteReference w:id="1"/>
      </w:r>
    </w:p>
    <w:p w:rsidR="00EC361D" w:rsidRPr="00F95BCC" w:rsidRDefault="00EC361D" w:rsidP="00EC361D">
      <w:pPr>
        <w:spacing w:after="240"/>
        <w:ind w:firstLine="720"/>
        <w:jc w:val="both"/>
      </w:pPr>
      <w:r>
        <w:t>Commission s</w:t>
      </w:r>
      <w:r w:rsidRPr="00F95BCC">
        <w:t xml:space="preserve">taff has issued three data requests. Staff issued </w:t>
      </w:r>
      <w:r w:rsidR="00A97E1E">
        <w:t>a</w:t>
      </w:r>
      <w:r w:rsidR="00A97E1E" w:rsidRPr="00A97E1E">
        <w:t xml:space="preserve"> </w:t>
      </w:r>
      <w:r w:rsidR="00A97E1E" w:rsidRPr="00F95BCC">
        <w:t xml:space="preserve">first data request </w:t>
      </w:r>
      <w:r w:rsidRPr="00F95BCC">
        <w:t>on July 20, 2020, with responses provided by the utility</w:t>
      </w:r>
      <w:r w:rsidR="00A97E1E">
        <w:t xml:space="preserve"> on August 3, 2020, and</w:t>
      </w:r>
      <w:r w:rsidRPr="00F95BCC">
        <w:t xml:space="preserve"> a second data request on September 3, 2020, with response</w:t>
      </w:r>
      <w:r w:rsidR="00A97E1E">
        <w:t>s provided on August 10, 2020. Commission s</w:t>
      </w:r>
      <w:r w:rsidRPr="00F95BCC">
        <w:t>taff’s third data request was issued on September 18, 2020, with responses due on October 2, 2020.</w:t>
      </w:r>
    </w:p>
    <w:p w:rsidR="00F95BCC" w:rsidRPr="00F95BCC" w:rsidRDefault="00F95BCC" w:rsidP="00EC361D">
      <w:pPr>
        <w:spacing w:after="240"/>
        <w:jc w:val="both"/>
      </w:pPr>
      <w:r>
        <w:lastRenderedPageBreak/>
        <w:tab/>
      </w:r>
      <w:r w:rsidRPr="00F95BCC">
        <w:t xml:space="preserve">This </w:t>
      </w:r>
      <w:r w:rsidR="00351FA5">
        <w:t xml:space="preserve">Order </w:t>
      </w:r>
      <w:r w:rsidRPr="00F95BCC">
        <w:t>addresses the suspension of FPL’s proposed pilot tariffs in order to provide sufficient tim</w:t>
      </w:r>
      <w:r w:rsidR="00351FA5">
        <w:t>e for review. We have</w:t>
      </w:r>
      <w:r w:rsidRPr="00F95BCC">
        <w:t xml:space="preserve"> jurisdiction over this matter pursuant to Sections 366.03, 366.04, 366.05, and 366.06, F.S.</w:t>
      </w:r>
    </w:p>
    <w:p w:rsidR="00F95BCC" w:rsidRPr="00EC361D" w:rsidRDefault="00EC361D" w:rsidP="00F95BCC">
      <w:pPr>
        <w:keepNext/>
        <w:spacing w:after="240"/>
        <w:jc w:val="center"/>
        <w:outlineLvl w:val="0"/>
        <w:rPr>
          <w:b/>
          <w:bCs/>
          <w:kern w:val="32"/>
          <w:szCs w:val="32"/>
        </w:rPr>
      </w:pPr>
      <w:bookmarkStart w:id="7" w:name="DiscussionOfIssues"/>
      <w:r w:rsidRPr="00EC361D">
        <w:rPr>
          <w:b/>
          <w:bCs/>
          <w:kern w:val="32"/>
          <w:szCs w:val="32"/>
        </w:rPr>
        <w:t>Decision</w:t>
      </w:r>
    </w:p>
    <w:bookmarkEnd w:id="7"/>
    <w:p w:rsidR="005112F5" w:rsidRDefault="00F95BCC" w:rsidP="00EC361D">
      <w:pPr>
        <w:spacing w:after="240"/>
        <w:jc w:val="both"/>
      </w:pPr>
      <w:r>
        <w:tab/>
      </w:r>
      <w:r w:rsidR="001A5C53" w:rsidRPr="001A5C53">
        <w:t>FPL’s petition to establish rates for EV charging stations is the first request of this type to be considered by th</w:t>
      </w:r>
      <w:r w:rsidR="001A5C53">
        <w:t>is</w:t>
      </w:r>
      <w:r w:rsidR="001A5C53" w:rsidRPr="001A5C53">
        <w:t xml:space="preserve"> Commission. As such, there are a number of factors to consider when evaluating the proposed tariffs. </w:t>
      </w:r>
      <w:r w:rsidR="001A5C53">
        <w:t>We find it appropriate to suspend</w:t>
      </w:r>
      <w:r w:rsidR="001A5C53" w:rsidRPr="001A5C53">
        <w:t xml:space="preserve"> the tariffs to allow </w:t>
      </w:r>
      <w:r w:rsidR="001A5C53">
        <w:t xml:space="preserve">Commission </w:t>
      </w:r>
      <w:r w:rsidR="001A5C53" w:rsidRPr="001A5C53">
        <w:t xml:space="preserve">staff additional time to review the petition and gather all pertinent information in order to present </w:t>
      </w:r>
      <w:r w:rsidR="001A5C53">
        <w:t>us</w:t>
      </w:r>
      <w:r w:rsidR="001A5C53" w:rsidRPr="001A5C53">
        <w:t xml:space="preserve"> with an informed recommendation on the tariff proposals.</w:t>
      </w:r>
    </w:p>
    <w:p w:rsidR="00CB5276" w:rsidRDefault="00F95BCC" w:rsidP="00C61AC0">
      <w:pPr>
        <w:spacing w:after="240"/>
        <w:ind w:firstLine="720"/>
        <w:jc w:val="both"/>
      </w:pPr>
      <w:r w:rsidRPr="00F95BCC">
        <w:t xml:space="preserve">Pursuant to Section 366.06(3), F.S., </w:t>
      </w:r>
      <w:r w:rsidR="00EC361D">
        <w:t xml:space="preserve">we </w:t>
      </w:r>
      <w:r w:rsidRPr="00F95BCC">
        <w:t>may withhold consent to the operation of all or any portion of a new rate schedule, delivering to the utility requesting such a change a reason or written statement of good cause for doing so within 60 days.</w:t>
      </w:r>
      <w:r w:rsidR="00EC361D">
        <w:t xml:space="preserve"> We find </w:t>
      </w:r>
      <w:r w:rsidRPr="00F95BCC">
        <w:t xml:space="preserve">that the </w:t>
      </w:r>
      <w:r w:rsidR="00EC361D">
        <w:t xml:space="preserve">facts set forth above </w:t>
      </w:r>
      <w:r w:rsidR="00321262">
        <w:t>constitute</w:t>
      </w:r>
      <w:r w:rsidR="00EC361D">
        <w:t xml:space="preserve"> </w:t>
      </w:r>
      <w:r w:rsidRPr="00F95BCC">
        <w:t>good cause consistent with the requirement of Section 366.06(3), F.S., and prior practice of the Commission.</w:t>
      </w:r>
      <w:r w:rsidRPr="00F95BCC">
        <w:rPr>
          <w:vertAlign w:val="superscript"/>
        </w:rPr>
        <w:footnoteReference w:id="2"/>
      </w:r>
    </w:p>
    <w:p w:rsidR="00F95BCC" w:rsidRDefault="00F95BCC" w:rsidP="00F95BCC">
      <w:pPr>
        <w:pStyle w:val="OrderBody"/>
      </w:pPr>
      <w:r>
        <w:tab/>
        <w:t>Based on the foregoing, it is</w:t>
      </w:r>
    </w:p>
    <w:p w:rsidR="00F95BCC" w:rsidRDefault="00F95BCC" w:rsidP="00F95BCC">
      <w:pPr>
        <w:pStyle w:val="OrderBody"/>
      </w:pPr>
    </w:p>
    <w:p w:rsidR="00ED65AF" w:rsidRDefault="00F95BCC" w:rsidP="001B21F7">
      <w:pPr>
        <w:pStyle w:val="OrderBody"/>
      </w:pPr>
      <w:r>
        <w:tab/>
      </w:r>
      <w:r w:rsidR="001B21F7">
        <w:t>ORDERED by the Florida Public Service Commission that</w:t>
      </w:r>
      <w:r w:rsidR="00A356FC">
        <w:t xml:space="preserve"> Florida Power &amp; Light Company’s </w:t>
      </w:r>
      <w:r w:rsidR="00A356FC" w:rsidRPr="00F95BCC">
        <w:t>thre</w:t>
      </w:r>
      <w:r w:rsidR="00A356FC">
        <w:t xml:space="preserve">e </w:t>
      </w:r>
      <w:r w:rsidR="004271A6">
        <w:t xml:space="preserve">proposed </w:t>
      </w:r>
      <w:r w:rsidR="00A356FC">
        <w:t>optional electric vehicle</w:t>
      </w:r>
      <w:r w:rsidR="00A356FC" w:rsidRPr="00F95BCC">
        <w:t xml:space="preserve"> public charging pilot tariffs</w:t>
      </w:r>
      <w:r w:rsidR="00A356FC">
        <w:t xml:space="preserve"> are suspended. It is further</w:t>
      </w:r>
    </w:p>
    <w:p w:rsidR="00ED65AF" w:rsidRDefault="00ED65AF" w:rsidP="001B21F7">
      <w:pPr>
        <w:pStyle w:val="OrderBody"/>
      </w:pPr>
    </w:p>
    <w:p w:rsidR="00ED65AF" w:rsidRDefault="001B21F7" w:rsidP="001B21F7">
      <w:pPr>
        <w:pStyle w:val="OrderBody"/>
      </w:pPr>
      <w:r>
        <w:tab/>
        <w:t>ORDERED that the docket shall remain open</w:t>
      </w:r>
      <w:r w:rsidR="004271A6" w:rsidRPr="004271A6">
        <w:t xml:space="preserve"> </w:t>
      </w:r>
      <w:r w:rsidR="004271A6" w:rsidRPr="00B85F6F">
        <w:t xml:space="preserve">pending </w:t>
      </w:r>
      <w:r w:rsidR="004271A6">
        <w:t>our final action on FPL</w:t>
      </w:r>
      <w:r w:rsidR="004271A6" w:rsidRPr="00B85F6F">
        <w:t>’s reque</w:t>
      </w:r>
      <w:r w:rsidR="004271A6">
        <w:t>sted approval of the three proposed pilot EV tariffs</w:t>
      </w:r>
      <w:r w:rsidR="00ED65AF">
        <w:t>.</w:t>
      </w:r>
    </w:p>
    <w:p w:rsidR="00ED65AF" w:rsidRDefault="00ED65AF" w:rsidP="001B21F7">
      <w:pPr>
        <w:pStyle w:val="OrderBody"/>
      </w:pPr>
    </w:p>
    <w:p w:rsidR="00F44999" w:rsidRDefault="00F95BCC" w:rsidP="00DD1858">
      <w:pPr>
        <w:pStyle w:val="OrderBody"/>
      </w:pPr>
      <w:r>
        <w:tab/>
      </w:r>
    </w:p>
    <w:p w:rsidR="00F44999" w:rsidRDefault="00F44999">
      <w:r>
        <w:br w:type="page"/>
      </w:r>
    </w:p>
    <w:p w:rsidR="00F95BCC" w:rsidRDefault="00F95BCC" w:rsidP="00861931">
      <w:pPr>
        <w:pStyle w:val="OrderBody"/>
        <w:ind w:firstLine="720"/>
      </w:pPr>
      <w:r>
        <w:lastRenderedPageBreak/>
        <w:t xml:space="preserve">By ORDER of the Florida Public Service Commission this </w:t>
      </w:r>
      <w:bookmarkStart w:id="8" w:name="replaceDate"/>
      <w:bookmarkEnd w:id="8"/>
      <w:r w:rsidR="00861931">
        <w:rPr>
          <w:u w:val="single"/>
        </w:rPr>
        <w:t>26th</w:t>
      </w:r>
      <w:r w:rsidR="00861931">
        <w:t xml:space="preserve"> day of </w:t>
      </w:r>
      <w:r w:rsidR="00861931">
        <w:rPr>
          <w:u w:val="single"/>
        </w:rPr>
        <w:t>October</w:t>
      </w:r>
      <w:r w:rsidR="00861931">
        <w:t xml:space="preserve">, </w:t>
      </w:r>
      <w:r w:rsidR="00861931">
        <w:rPr>
          <w:u w:val="single"/>
        </w:rPr>
        <w:t>2020</w:t>
      </w:r>
      <w:r w:rsidR="00861931">
        <w:t>.</w:t>
      </w:r>
    </w:p>
    <w:p w:rsidR="00861931" w:rsidRPr="00861931" w:rsidRDefault="00861931" w:rsidP="00861931">
      <w:pPr>
        <w:pStyle w:val="OrderBody"/>
        <w:ind w:firstLine="720"/>
      </w:pPr>
    </w:p>
    <w:p w:rsidR="00F95BCC" w:rsidRDefault="00F95BCC" w:rsidP="00F95BC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95BCC" w:rsidTr="00F95BCC">
        <w:tc>
          <w:tcPr>
            <w:tcW w:w="720" w:type="dxa"/>
            <w:shd w:val="clear" w:color="auto" w:fill="auto"/>
          </w:tcPr>
          <w:p w:rsidR="00F95BCC" w:rsidRDefault="00F95BCC" w:rsidP="00F95BCC">
            <w:pPr>
              <w:pStyle w:val="OrderBody"/>
              <w:keepNext/>
              <w:keepLines/>
            </w:pPr>
            <w:bookmarkStart w:id="9" w:name="bkmrkSignature" w:colFirst="0" w:colLast="0"/>
          </w:p>
        </w:tc>
        <w:tc>
          <w:tcPr>
            <w:tcW w:w="4320" w:type="dxa"/>
            <w:tcBorders>
              <w:bottom w:val="single" w:sz="4" w:space="0" w:color="auto"/>
            </w:tcBorders>
            <w:shd w:val="clear" w:color="auto" w:fill="auto"/>
          </w:tcPr>
          <w:p w:rsidR="00F95BCC" w:rsidRDefault="00861931" w:rsidP="00F95BCC">
            <w:pPr>
              <w:pStyle w:val="OrderBody"/>
              <w:keepNext/>
              <w:keepLines/>
            </w:pPr>
            <w:r>
              <w:t>/s/ Adam J. Teitzman</w:t>
            </w:r>
          </w:p>
        </w:tc>
      </w:tr>
      <w:bookmarkEnd w:id="9"/>
      <w:tr w:rsidR="00F95BCC" w:rsidTr="00F95BCC">
        <w:tc>
          <w:tcPr>
            <w:tcW w:w="720" w:type="dxa"/>
            <w:shd w:val="clear" w:color="auto" w:fill="auto"/>
          </w:tcPr>
          <w:p w:rsidR="00F95BCC" w:rsidRDefault="00F95BCC" w:rsidP="00F95BCC">
            <w:pPr>
              <w:pStyle w:val="OrderBody"/>
              <w:keepNext/>
              <w:keepLines/>
            </w:pPr>
          </w:p>
        </w:tc>
        <w:tc>
          <w:tcPr>
            <w:tcW w:w="4320" w:type="dxa"/>
            <w:tcBorders>
              <w:top w:val="single" w:sz="4" w:space="0" w:color="auto"/>
            </w:tcBorders>
            <w:shd w:val="clear" w:color="auto" w:fill="auto"/>
          </w:tcPr>
          <w:p w:rsidR="00F95BCC" w:rsidRDefault="00F95BCC" w:rsidP="00F95BCC">
            <w:pPr>
              <w:pStyle w:val="OrderBody"/>
              <w:keepNext/>
              <w:keepLines/>
            </w:pPr>
            <w:r>
              <w:t>ADAM J. TEITZMAN</w:t>
            </w:r>
          </w:p>
          <w:p w:rsidR="00F95BCC" w:rsidRDefault="00F95BCC" w:rsidP="00F95BCC">
            <w:pPr>
              <w:pStyle w:val="OrderBody"/>
              <w:keepNext/>
              <w:keepLines/>
            </w:pPr>
            <w:r>
              <w:t>Commission Clerk</w:t>
            </w:r>
          </w:p>
        </w:tc>
      </w:tr>
    </w:tbl>
    <w:p w:rsidR="00F95BCC" w:rsidRDefault="00F95BCC" w:rsidP="00F95BCC">
      <w:pPr>
        <w:pStyle w:val="OrderSigInfo"/>
        <w:keepNext/>
        <w:keepLines/>
      </w:pPr>
      <w:r>
        <w:t>Florida Public Service Commission</w:t>
      </w:r>
    </w:p>
    <w:p w:rsidR="00F95BCC" w:rsidRDefault="00F95BCC" w:rsidP="00F95BCC">
      <w:pPr>
        <w:pStyle w:val="OrderSigInfo"/>
        <w:keepNext/>
        <w:keepLines/>
      </w:pPr>
      <w:r>
        <w:t>2540 Shumard Oak Boulevard</w:t>
      </w:r>
    </w:p>
    <w:p w:rsidR="00F95BCC" w:rsidRDefault="00F95BCC" w:rsidP="00F95BCC">
      <w:pPr>
        <w:pStyle w:val="OrderSigInfo"/>
        <w:keepNext/>
        <w:keepLines/>
      </w:pPr>
      <w:r>
        <w:t>Tallahassee, Florida 32399</w:t>
      </w:r>
    </w:p>
    <w:p w:rsidR="00F95BCC" w:rsidRDefault="00F95BCC" w:rsidP="00F95BCC">
      <w:pPr>
        <w:pStyle w:val="OrderSigInfo"/>
        <w:keepNext/>
        <w:keepLines/>
      </w:pPr>
      <w:r>
        <w:t>(850) 413</w:t>
      </w:r>
      <w:r>
        <w:noBreakHyphen/>
        <w:t>6770</w:t>
      </w:r>
    </w:p>
    <w:p w:rsidR="00F95BCC" w:rsidRDefault="00F95BCC" w:rsidP="00F95BCC">
      <w:pPr>
        <w:pStyle w:val="OrderSigInfo"/>
        <w:keepNext/>
        <w:keepLines/>
      </w:pPr>
      <w:r>
        <w:t>www.floridapsc.com</w:t>
      </w:r>
    </w:p>
    <w:p w:rsidR="00F95BCC" w:rsidRDefault="00F95BCC" w:rsidP="00F95BCC">
      <w:pPr>
        <w:pStyle w:val="OrderSigInfo"/>
        <w:keepNext/>
        <w:keepLines/>
      </w:pPr>
    </w:p>
    <w:p w:rsidR="00F95BCC" w:rsidRDefault="00F95BCC" w:rsidP="00F95BCC">
      <w:pPr>
        <w:pStyle w:val="OrderSigInfo"/>
        <w:keepNext/>
        <w:keepLines/>
      </w:pPr>
      <w:r>
        <w:t>Copies furnished:  A copy of this document is provided to the parties of record at the time of issuance and, if applicable, interested persons.</w:t>
      </w:r>
    </w:p>
    <w:p w:rsidR="00F95BCC" w:rsidRDefault="00F95BCC" w:rsidP="00F95BCC">
      <w:pPr>
        <w:pStyle w:val="OrderBody"/>
        <w:keepNext/>
        <w:keepLines/>
      </w:pPr>
    </w:p>
    <w:p w:rsidR="00F95BCC" w:rsidRDefault="00F95BCC" w:rsidP="00F95BCC">
      <w:pPr>
        <w:pStyle w:val="OrderBody"/>
        <w:keepNext/>
        <w:keepLines/>
      </w:pPr>
      <w:r>
        <w:t>SPS</w:t>
      </w:r>
    </w:p>
    <w:p w:rsidR="00F95BCC" w:rsidRDefault="00F95BCC" w:rsidP="00F95BCC">
      <w:pPr>
        <w:pStyle w:val="OrderBody"/>
      </w:pPr>
    </w:p>
    <w:p w:rsidR="00F95BCC" w:rsidRDefault="00F95BCC" w:rsidP="00F95BCC">
      <w:pPr>
        <w:pStyle w:val="OrderBody"/>
      </w:pPr>
    </w:p>
    <w:p w:rsidR="00D666F6" w:rsidRDefault="00D666F6" w:rsidP="00D666F6">
      <w:pPr>
        <w:pStyle w:val="CenterUnderline"/>
      </w:pPr>
      <w:r>
        <w:t>NOTICE OF FURTHER PROCEEDINGS OR JUDICIAL REVIEW</w:t>
      </w:r>
    </w:p>
    <w:p w:rsidR="00D666F6" w:rsidRDefault="00D666F6" w:rsidP="00D666F6">
      <w:pPr>
        <w:pStyle w:val="CenterUnderline"/>
      </w:pPr>
    </w:p>
    <w:p w:rsidR="00D666F6" w:rsidRDefault="00D666F6" w:rsidP="00D666F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66F6" w:rsidRDefault="00D666F6" w:rsidP="00D666F6">
      <w:pPr>
        <w:pStyle w:val="OrderBody"/>
      </w:pPr>
    </w:p>
    <w:p w:rsidR="00D666F6" w:rsidRDefault="00D666F6" w:rsidP="00D666F6">
      <w:pPr>
        <w:pStyle w:val="OrderBody"/>
      </w:pPr>
      <w:r>
        <w:tab/>
        <w:t>Mediation may be available on a case-by-case basis.  If mediation is conducted, it does not affect a substantially interested person's right to a hearing.</w:t>
      </w:r>
    </w:p>
    <w:p w:rsidR="00D666F6" w:rsidRDefault="00D666F6" w:rsidP="00D666F6">
      <w:pPr>
        <w:pStyle w:val="OrderBody"/>
      </w:pPr>
    </w:p>
    <w:p w:rsidR="00D57E57" w:rsidRDefault="00D666F6" w:rsidP="007756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CC" w:rsidRDefault="00F95BCC">
      <w:r>
        <w:separator/>
      </w:r>
    </w:p>
  </w:endnote>
  <w:endnote w:type="continuationSeparator" w:id="0">
    <w:p w:rsidR="00F95BCC" w:rsidRDefault="00F9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31" w:rsidRDefault="0086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31" w:rsidRDefault="00861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CC" w:rsidRDefault="00F95BCC">
      <w:r>
        <w:separator/>
      </w:r>
    </w:p>
  </w:footnote>
  <w:footnote w:type="continuationSeparator" w:id="0">
    <w:p w:rsidR="00F95BCC" w:rsidRDefault="00F95BCC">
      <w:r>
        <w:continuationSeparator/>
      </w:r>
    </w:p>
  </w:footnote>
  <w:footnote w:id="1">
    <w:p w:rsidR="00F95BCC" w:rsidRDefault="00F95BCC" w:rsidP="00F95BCC">
      <w:pPr>
        <w:pStyle w:val="FootnoteText"/>
      </w:pPr>
      <w:r>
        <w:rPr>
          <w:rStyle w:val="FootnoteReference"/>
        </w:rPr>
        <w:footnoteRef/>
      </w:r>
      <w:r>
        <w:t xml:space="preserve"> The interested persons are: Walmart, Inc.; Tesla, Inc.; Southern Alliance for Clean Energy; Sierra Club; Rivian; the Office of Public Counsel; Florida Solar Energy Center; EVgo; Electrify America, LLC; Drive Electric Florida; and Central Florida Clean Cities Coalition.</w:t>
      </w:r>
    </w:p>
  </w:footnote>
  <w:footnote w:id="2">
    <w:p w:rsidR="00F95BCC" w:rsidRDefault="00F95BCC" w:rsidP="00F95BCC">
      <w:pPr>
        <w:pStyle w:val="FootnoteText"/>
      </w:pPr>
      <w:r w:rsidRPr="00DD0AA6">
        <w:rPr>
          <w:rStyle w:val="FootnoteReference"/>
        </w:rPr>
        <w:footnoteRef/>
      </w:r>
      <w:r w:rsidRPr="00DD0AA6">
        <w:t xml:space="preserve"> Order PSC-17-0193-PCO-EI, issued May 5, 2019, in Docket No. 170074-EI, </w:t>
      </w:r>
      <w:r w:rsidRPr="00DD0AA6">
        <w:rPr>
          <w:i/>
          <w:color w:val="252525"/>
        </w:rPr>
        <w:t>In re: Petition for approval of 2017 revisions to underground residential distribution tariffs,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31" w:rsidRDefault="0086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61931">
      <w:fldChar w:fldCharType="begin"/>
    </w:r>
    <w:r w:rsidR="00861931">
      <w:instrText xml:space="preserve"> REF OrderNo0398 </w:instrText>
    </w:r>
    <w:r w:rsidR="00861931">
      <w:fldChar w:fldCharType="separate"/>
    </w:r>
    <w:r w:rsidR="00861931">
      <w:t>PSC-</w:t>
    </w:r>
    <w:bookmarkStart w:id="10" w:name="_GoBack"/>
    <w:r w:rsidR="00861931">
      <w:t>2020-0398</w:t>
    </w:r>
    <w:bookmarkEnd w:id="10"/>
    <w:r w:rsidR="00861931">
      <w:t>-PCO-EI</w:t>
    </w:r>
    <w:r w:rsidR="00861931">
      <w:fldChar w:fldCharType="end"/>
    </w:r>
  </w:p>
  <w:p w:rsidR="00FA6EFD" w:rsidRDefault="00F95BCC">
    <w:pPr>
      <w:pStyle w:val="OrderHeader"/>
    </w:pPr>
    <w:bookmarkStart w:id="11" w:name="HeaderDocketNo"/>
    <w:bookmarkEnd w:id="11"/>
    <w:r>
      <w:t>DOCKET NO. 20200170-EI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1931">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31" w:rsidRDefault="00861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0-EI"/>
  </w:docVars>
  <w:rsids>
    <w:rsidRoot w:val="00F95BCC"/>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5C53"/>
    <w:rsid w:val="001B034E"/>
    <w:rsid w:val="001B21F7"/>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8AE"/>
    <w:rsid w:val="00303FDE"/>
    <w:rsid w:val="00313C5B"/>
    <w:rsid w:val="003140E8"/>
    <w:rsid w:val="00321262"/>
    <w:rsid w:val="003231C7"/>
    <w:rsid w:val="00323839"/>
    <w:rsid w:val="003270C4"/>
    <w:rsid w:val="00331ED0"/>
    <w:rsid w:val="00332B0A"/>
    <w:rsid w:val="00333A41"/>
    <w:rsid w:val="00345434"/>
    <w:rsid w:val="00351FA5"/>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1A6"/>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2F5"/>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0841"/>
    <w:rsid w:val="0066389A"/>
    <w:rsid w:val="0066495C"/>
    <w:rsid w:val="00665CC7"/>
    <w:rsid w:val="00672612"/>
    <w:rsid w:val="00677F18"/>
    <w:rsid w:val="00693483"/>
    <w:rsid w:val="006A0BF3"/>
    <w:rsid w:val="006A3D73"/>
    <w:rsid w:val="006B0036"/>
    <w:rsid w:val="006B0DA6"/>
    <w:rsid w:val="006C547E"/>
    <w:rsid w:val="006D2B51"/>
    <w:rsid w:val="006D3776"/>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5658"/>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1931"/>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56FC"/>
    <w:rsid w:val="00A4034A"/>
    <w:rsid w:val="00A4303C"/>
    <w:rsid w:val="00A46CAF"/>
    <w:rsid w:val="00A470FD"/>
    <w:rsid w:val="00A50B5E"/>
    <w:rsid w:val="00A62DAB"/>
    <w:rsid w:val="00A6757A"/>
    <w:rsid w:val="00A726A6"/>
    <w:rsid w:val="00A74842"/>
    <w:rsid w:val="00A97535"/>
    <w:rsid w:val="00A97E1E"/>
    <w:rsid w:val="00AA2BAA"/>
    <w:rsid w:val="00AA6516"/>
    <w:rsid w:val="00AA73F1"/>
    <w:rsid w:val="00AB0E1A"/>
    <w:rsid w:val="00AB1A30"/>
    <w:rsid w:val="00AB3C36"/>
    <w:rsid w:val="00AB3D30"/>
    <w:rsid w:val="00AD10EB"/>
    <w:rsid w:val="00AD1ED3"/>
    <w:rsid w:val="00B019C1"/>
    <w:rsid w:val="00B02001"/>
    <w:rsid w:val="00B03C50"/>
    <w:rsid w:val="00B0777D"/>
    <w:rsid w:val="00B106F0"/>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7A23"/>
    <w:rsid w:val="00C206DB"/>
    <w:rsid w:val="00C24098"/>
    <w:rsid w:val="00C30A4E"/>
    <w:rsid w:val="00C411F3"/>
    <w:rsid w:val="00C44105"/>
    <w:rsid w:val="00C55A33"/>
    <w:rsid w:val="00C61AC0"/>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09A"/>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66F6"/>
    <w:rsid w:val="00D70752"/>
    <w:rsid w:val="00D80E2D"/>
    <w:rsid w:val="00D84D5E"/>
    <w:rsid w:val="00D8560E"/>
    <w:rsid w:val="00D8758F"/>
    <w:rsid w:val="00DA4EDD"/>
    <w:rsid w:val="00DA6B78"/>
    <w:rsid w:val="00DC1D94"/>
    <w:rsid w:val="00DC42CF"/>
    <w:rsid w:val="00DD1858"/>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C361D"/>
    <w:rsid w:val="00ED65A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999"/>
    <w:rsid w:val="00F54380"/>
    <w:rsid w:val="00F54B47"/>
    <w:rsid w:val="00F61247"/>
    <w:rsid w:val="00F63191"/>
    <w:rsid w:val="00F6702E"/>
    <w:rsid w:val="00F70E84"/>
    <w:rsid w:val="00F95BCC"/>
    <w:rsid w:val="00FA092B"/>
    <w:rsid w:val="00FA4F6C"/>
    <w:rsid w:val="00FA6EFD"/>
    <w:rsid w:val="00FB1247"/>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112F5"/>
    <w:rPr>
      <w:sz w:val="16"/>
      <w:szCs w:val="16"/>
    </w:rPr>
  </w:style>
  <w:style w:type="paragraph" w:styleId="CommentText">
    <w:name w:val="annotation text"/>
    <w:basedOn w:val="Normal"/>
    <w:link w:val="CommentTextChar"/>
    <w:semiHidden/>
    <w:unhideWhenUsed/>
    <w:rsid w:val="005112F5"/>
    <w:rPr>
      <w:sz w:val="20"/>
      <w:szCs w:val="20"/>
    </w:rPr>
  </w:style>
  <w:style w:type="character" w:customStyle="1" w:styleId="CommentTextChar">
    <w:name w:val="Comment Text Char"/>
    <w:basedOn w:val="DefaultParagraphFont"/>
    <w:link w:val="CommentText"/>
    <w:semiHidden/>
    <w:rsid w:val="005112F5"/>
  </w:style>
  <w:style w:type="paragraph" w:styleId="CommentSubject">
    <w:name w:val="annotation subject"/>
    <w:basedOn w:val="CommentText"/>
    <w:next w:val="CommentText"/>
    <w:link w:val="CommentSubjectChar"/>
    <w:semiHidden/>
    <w:unhideWhenUsed/>
    <w:rsid w:val="005112F5"/>
    <w:rPr>
      <w:b/>
      <w:bCs/>
    </w:rPr>
  </w:style>
  <w:style w:type="character" w:customStyle="1" w:styleId="CommentSubjectChar">
    <w:name w:val="Comment Subject Char"/>
    <w:basedOn w:val="CommentTextChar"/>
    <w:link w:val="CommentSubject"/>
    <w:semiHidden/>
    <w:rsid w:val="005112F5"/>
    <w:rPr>
      <w:b/>
      <w:bCs/>
    </w:rPr>
  </w:style>
  <w:style w:type="paragraph" w:styleId="BalloonText">
    <w:name w:val="Balloon Text"/>
    <w:basedOn w:val="Normal"/>
    <w:link w:val="BalloonTextChar"/>
    <w:semiHidden/>
    <w:unhideWhenUsed/>
    <w:rsid w:val="005112F5"/>
    <w:rPr>
      <w:rFonts w:ascii="Tahoma" w:hAnsi="Tahoma" w:cs="Tahoma"/>
      <w:sz w:val="16"/>
      <w:szCs w:val="16"/>
    </w:rPr>
  </w:style>
  <w:style w:type="character" w:customStyle="1" w:styleId="BalloonTextChar">
    <w:name w:val="Balloon Text Char"/>
    <w:basedOn w:val="DefaultParagraphFont"/>
    <w:link w:val="BalloonText"/>
    <w:semiHidden/>
    <w:rsid w:val="00511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2020-10-26T13:08:00Z</dcterms:created>
  <dcterms:modified xsi:type="dcterms:W3CDTF">2020-10-26T15:09:00Z</dcterms:modified>
</cp:coreProperties>
</file>