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578E5" w:rsidP="004578E5">
      <w:pPr>
        <w:pStyle w:val="OrderHeading"/>
      </w:pPr>
      <w:r>
        <w:t>BEFORE THE FLORIDA PUBLIC SERVICE COMMISSION</w:t>
      </w:r>
    </w:p>
    <w:p w:rsidR="004578E5" w:rsidRDefault="004578E5" w:rsidP="004578E5">
      <w:pPr>
        <w:pStyle w:val="OrderBody"/>
      </w:pPr>
    </w:p>
    <w:p w:rsidR="004578E5" w:rsidRDefault="004578E5" w:rsidP="004578E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78E5" w:rsidRPr="00C63FCF" w:rsidTr="00F856DC">
        <w:trPr>
          <w:trHeight w:val="828"/>
        </w:trPr>
        <w:tc>
          <w:tcPr>
            <w:tcW w:w="4788" w:type="dxa"/>
            <w:tcBorders>
              <w:bottom w:val="single" w:sz="8" w:space="0" w:color="auto"/>
              <w:right w:val="double" w:sz="6" w:space="0" w:color="auto"/>
            </w:tcBorders>
            <w:shd w:val="clear" w:color="auto" w:fill="auto"/>
          </w:tcPr>
          <w:p w:rsidR="004578E5" w:rsidRDefault="004578E5" w:rsidP="00F856DC">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4578E5" w:rsidRDefault="004578E5" w:rsidP="004578E5">
            <w:pPr>
              <w:pStyle w:val="OrderBody"/>
            </w:pPr>
            <w:r>
              <w:t xml:space="preserve">DOCKET NO. </w:t>
            </w:r>
            <w:bookmarkStart w:id="1" w:name="SSDocketNo"/>
            <w:bookmarkEnd w:id="1"/>
            <w:r>
              <w:t>20200007-EI</w:t>
            </w:r>
          </w:p>
          <w:p w:rsidR="004578E5" w:rsidRDefault="004578E5" w:rsidP="00F856DC">
            <w:pPr>
              <w:pStyle w:val="OrderBody"/>
              <w:tabs>
                <w:tab w:val="center" w:pos="4320"/>
                <w:tab w:val="right" w:pos="8640"/>
              </w:tabs>
              <w:jc w:val="left"/>
            </w:pPr>
            <w:r>
              <w:t xml:space="preserve">ORDER NO. </w:t>
            </w:r>
            <w:bookmarkStart w:id="2" w:name="OrderNo0411"/>
            <w:r w:rsidR="0083473B">
              <w:t>PSC-2020-0411-PHO-EI</w:t>
            </w:r>
            <w:bookmarkEnd w:id="2"/>
          </w:p>
          <w:p w:rsidR="004578E5" w:rsidRDefault="004578E5" w:rsidP="00F856DC">
            <w:pPr>
              <w:pStyle w:val="OrderBody"/>
              <w:tabs>
                <w:tab w:val="center" w:pos="4320"/>
                <w:tab w:val="right" w:pos="8640"/>
              </w:tabs>
              <w:jc w:val="left"/>
            </w:pPr>
            <w:r>
              <w:t xml:space="preserve">ISSUED: </w:t>
            </w:r>
            <w:r w:rsidR="0083473B">
              <w:t>October 27, 2020</w:t>
            </w:r>
          </w:p>
        </w:tc>
      </w:tr>
    </w:tbl>
    <w:p w:rsidR="004578E5" w:rsidRDefault="004578E5" w:rsidP="004578E5"/>
    <w:p w:rsidR="004578E5" w:rsidRDefault="004578E5" w:rsidP="004578E5"/>
    <w:p w:rsidR="00CB5276" w:rsidRDefault="004578E5" w:rsidP="004578E5">
      <w:pPr>
        <w:pStyle w:val="CenterUnderline"/>
      </w:pPr>
      <w:bookmarkStart w:id="3" w:name="Commissioners"/>
      <w:bookmarkStart w:id="4" w:name="OrderTitle"/>
      <w:bookmarkEnd w:id="3"/>
      <w:r>
        <w:t xml:space="preserve">PREHEARING ORDER </w:t>
      </w:r>
      <w:bookmarkEnd w:id="4"/>
    </w:p>
    <w:p w:rsidR="004578E5" w:rsidRDefault="004578E5" w:rsidP="004578E5">
      <w:pPr>
        <w:pStyle w:val="CenterUnderline"/>
      </w:pPr>
    </w:p>
    <w:p w:rsidR="004578E5" w:rsidRPr="00701945" w:rsidRDefault="004578E5" w:rsidP="004578E5">
      <w:pPr>
        <w:ind w:firstLine="720"/>
        <w:jc w:val="both"/>
      </w:pPr>
      <w:r w:rsidRPr="00701945">
        <w:t xml:space="preserve">Pursuant to Notice and in accordance with Rule 28-106.209, </w:t>
      </w:r>
      <w:r>
        <w:t>Florida Administrative Code (F.A.C.)</w:t>
      </w:r>
      <w:r w:rsidRPr="00701945">
        <w:t xml:space="preserve">, a Prehearing Conference was held </w:t>
      </w:r>
      <w:r>
        <w:t>on October 26, 2020</w:t>
      </w:r>
      <w:r w:rsidRPr="00701945">
        <w:t xml:space="preserve"> in Tallahassee, Florida, before Commissioner </w:t>
      </w:r>
      <w:r>
        <w:t>Andrew Giles Fay</w:t>
      </w:r>
      <w:r w:rsidRPr="00701945">
        <w:t>, as Prehearing Officer.</w:t>
      </w:r>
    </w:p>
    <w:p w:rsidR="004578E5" w:rsidRPr="00701945" w:rsidRDefault="004578E5" w:rsidP="004578E5">
      <w:pPr>
        <w:jc w:val="both"/>
      </w:pPr>
    </w:p>
    <w:p w:rsidR="004578E5" w:rsidRPr="00701945" w:rsidRDefault="004578E5" w:rsidP="004578E5">
      <w:pPr>
        <w:jc w:val="both"/>
      </w:pPr>
      <w:r w:rsidRPr="00701945">
        <w:t>APPEARANCES:</w:t>
      </w:r>
    </w:p>
    <w:p w:rsidR="004578E5" w:rsidRDefault="004578E5" w:rsidP="004578E5">
      <w:pPr>
        <w:pStyle w:val="OrderBody"/>
      </w:pPr>
    </w:p>
    <w:p w:rsidR="004578E5" w:rsidRDefault="004578E5" w:rsidP="004578E5">
      <w:pPr>
        <w:ind w:left="1440"/>
        <w:jc w:val="both"/>
      </w:pPr>
      <w:bookmarkStart w:id="5" w:name="OrderText"/>
      <w:bookmarkEnd w:id="5"/>
      <w:r>
        <w:t>MARIA JOSE MONCADA</w:t>
      </w:r>
      <w:r w:rsidRPr="00701945">
        <w:t xml:space="preserve">, ESQUIRE, </w:t>
      </w:r>
      <w:r>
        <w:t xml:space="preserve">and DAVID LEE, ESQUIRE, </w:t>
      </w:r>
      <w:r w:rsidRPr="008D429F">
        <w:t>700 Universe Boulevard</w:t>
      </w:r>
      <w:r>
        <w:t xml:space="preserve">, </w:t>
      </w:r>
      <w:r w:rsidRPr="008D429F">
        <w:t>Juno Beach, F</w:t>
      </w:r>
      <w:r>
        <w:t>lorida</w:t>
      </w:r>
      <w:r w:rsidRPr="008D429F">
        <w:t xml:space="preserve"> 33408</w:t>
      </w:r>
      <w:r>
        <w:t xml:space="preserve"> </w:t>
      </w:r>
    </w:p>
    <w:p w:rsidR="00CB5276" w:rsidRDefault="004578E5" w:rsidP="004578E5">
      <w:pPr>
        <w:ind w:left="1440"/>
        <w:jc w:val="both"/>
      </w:pPr>
      <w:r w:rsidRPr="00701945">
        <w:rPr>
          <w:u w:val="single"/>
        </w:rPr>
        <w:t xml:space="preserve">On behalf of </w:t>
      </w:r>
      <w:r>
        <w:rPr>
          <w:u w:val="single"/>
        </w:rPr>
        <w:t>FLORIDA POWER &amp; LIGHT COMPANY (FPL)</w:t>
      </w:r>
      <w:r w:rsidRPr="00701945">
        <w:t>.</w:t>
      </w:r>
    </w:p>
    <w:p w:rsidR="00D57E57" w:rsidRDefault="00D57E57" w:rsidP="00D57E57"/>
    <w:p w:rsidR="004578E5" w:rsidRDefault="004578E5" w:rsidP="004578E5">
      <w:pPr>
        <w:ind w:left="1440"/>
        <w:jc w:val="both"/>
      </w:pPr>
      <w:r>
        <w:t>RUSSELL A. BADDERS</w:t>
      </w:r>
      <w:r w:rsidRPr="00701945">
        <w:t xml:space="preserve">, ESQUIRE, </w:t>
      </w:r>
      <w:r>
        <w:t xml:space="preserve">One Energy Place, </w:t>
      </w:r>
      <w:r w:rsidRPr="008D429F">
        <w:t>Pensacola, Florida 32520-0100</w:t>
      </w:r>
      <w:r>
        <w:t xml:space="preserve"> and MARIA JOSE MONCADA, ESQUIRE, </w:t>
      </w:r>
      <w:r w:rsidRPr="008D429F">
        <w:t>700 Universe Boulevard</w:t>
      </w:r>
      <w:r>
        <w:t xml:space="preserve">, </w:t>
      </w:r>
      <w:r w:rsidRPr="008D429F">
        <w:t>Juno Beach, F</w:t>
      </w:r>
      <w:r>
        <w:t>lorida</w:t>
      </w:r>
      <w:r w:rsidRPr="008D429F">
        <w:t xml:space="preserve"> 33408</w:t>
      </w:r>
      <w:r>
        <w:t xml:space="preserve"> </w:t>
      </w:r>
    </w:p>
    <w:p w:rsidR="004578E5" w:rsidRDefault="004578E5" w:rsidP="004578E5">
      <w:pPr>
        <w:ind w:left="1440"/>
        <w:jc w:val="both"/>
      </w:pPr>
      <w:r w:rsidRPr="00701945">
        <w:rPr>
          <w:u w:val="single"/>
        </w:rPr>
        <w:t xml:space="preserve">On behalf of </w:t>
      </w:r>
      <w:r>
        <w:rPr>
          <w:u w:val="single"/>
        </w:rPr>
        <w:t>GULF POWER COMPANY (Gulf)</w:t>
      </w:r>
      <w:r w:rsidRPr="00701945">
        <w:t>.</w:t>
      </w:r>
    </w:p>
    <w:p w:rsidR="004578E5" w:rsidRDefault="004578E5" w:rsidP="004578E5">
      <w:pPr>
        <w:ind w:left="1440"/>
        <w:jc w:val="both"/>
      </w:pPr>
    </w:p>
    <w:p w:rsidR="004578E5" w:rsidRDefault="004578E5" w:rsidP="004578E5">
      <w:pPr>
        <w:ind w:left="1440"/>
      </w:pPr>
      <w:r>
        <w:t>DIANNE M. TRIPLETT</w:t>
      </w:r>
      <w:r w:rsidRPr="00701945">
        <w:t xml:space="preserve">, ESQUIRE, </w:t>
      </w:r>
      <w:r w:rsidRPr="002F20D1">
        <w:t>299 First Avenue North</w:t>
      </w:r>
      <w:r>
        <w:t xml:space="preserve">, </w:t>
      </w:r>
      <w:r w:rsidRPr="002F20D1">
        <w:t>St. Petersburg, F</w:t>
      </w:r>
      <w:r>
        <w:t xml:space="preserve">lorida </w:t>
      </w:r>
      <w:r w:rsidRPr="002F20D1">
        <w:t>33701</w:t>
      </w:r>
      <w:r>
        <w:t xml:space="preserve"> and MATTHEW R. BERNIER, ESQUIRE, </w:t>
      </w:r>
      <w:r w:rsidRPr="002F20D1">
        <w:t>106 East College Avenue</w:t>
      </w:r>
      <w:r>
        <w:t xml:space="preserve">, </w:t>
      </w:r>
      <w:r w:rsidRPr="002F20D1">
        <w:t>Suite 800</w:t>
      </w:r>
      <w:r>
        <w:t xml:space="preserve">, </w:t>
      </w:r>
      <w:r w:rsidRPr="002F20D1">
        <w:t>Tallahassee, Florida 32301</w:t>
      </w:r>
    </w:p>
    <w:p w:rsidR="004578E5" w:rsidRDefault="004578E5" w:rsidP="004578E5">
      <w:pPr>
        <w:ind w:left="1440"/>
        <w:jc w:val="both"/>
      </w:pPr>
      <w:r w:rsidRPr="00701945">
        <w:rPr>
          <w:u w:val="single"/>
        </w:rPr>
        <w:t xml:space="preserve">On behalf of </w:t>
      </w:r>
      <w:r>
        <w:rPr>
          <w:u w:val="single"/>
        </w:rPr>
        <w:t>DUKE ENERGY FLORIDA, LLC (DEF)</w:t>
      </w:r>
      <w:r w:rsidRPr="00701945">
        <w:t>.</w:t>
      </w:r>
    </w:p>
    <w:p w:rsidR="004578E5" w:rsidRDefault="004578E5" w:rsidP="004578E5">
      <w:pPr>
        <w:ind w:left="1440"/>
        <w:jc w:val="both"/>
      </w:pPr>
    </w:p>
    <w:p w:rsidR="004578E5" w:rsidRDefault="004578E5" w:rsidP="004578E5">
      <w:pPr>
        <w:ind w:left="1440"/>
        <w:jc w:val="both"/>
      </w:pPr>
      <w:r>
        <w:t>JAMES D. BEASLEY</w:t>
      </w:r>
      <w:r w:rsidRPr="00701945">
        <w:t>, ESQUIRE,</w:t>
      </w:r>
      <w:r>
        <w:t xml:space="preserve"> J. JEFFRY WAHLEN, ESQUIRE, and MALCOLM N. MEANS, ESQUIRE, </w:t>
      </w:r>
      <w:r w:rsidRPr="00701945">
        <w:t xml:space="preserve"> </w:t>
      </w:r>
      <w:r w:rsidRPr="00051473">
        <w:t>Post Office Box 391</w:t>
      </w:r>
      <w:r>
        <w:t xml:space="preserve">, </w:t>
      </w:r>
      <w:r w:rsidRPr="00051473">
        <w:t>Tallahassee, Florida 32302</w:t>
      </w:r>
    </w:p>
    <w:p w:rsidR="004578E5" w:rsidRDefault="004578E5" w:rsidP="004578E5">
      <w:pPr>
        <w:ind w:left="1440"/>
        <w:jc w:val="both"/>
      </w:pPr>
      <w:r w:rsidRPr="00701945">
        <w:rPr>
          <w:u w:val="single"/>
        </w:rPr>
        <w:t xml:space="preserve">On behalf of </w:t>
      </w:r>
      <w:r>
        <w:rPr>
          <w:u w:val="single"/>
        </w:rPr>
        <w:t>TAMPA ELECTRIC COMPANY (TECO)</w:t>
      </w:r>
      <w:r w:rsidRPr="00701945">
        <w:t>.</w:t>
      </w:r>
    </w:p>
    <w:p w:rsidR="004578E5" w:rsidRDefault="004578E5" w:rsidP="004578E5">
      <w:pPr>
        <w:ind w:left="1440"/>
        <w:jc w:val="both"/>
      </w:pPr>
    </w:p>
    <w:p w:rsidR="004578E5" w:rsidRDefault="004578E5" w:rsidP="004578E5">
      <w:pPr>
        <w:ind w:left="1440"/>
        <w:jc w:val="both"/>
      </w:pPr>
      <w:r>
        <w:t xml:space="preserve">JON C. MOYLE, JR., ESQUIRE and KAREN PUTNAL, ESQUIRE, </w:t>
      </w:r>
      <w:r w:rsidRPr="00B2066A">
        <w:rPr>
          <w:bCs/>
        </w:rPr>
        <w:t>118 North Gadsden Street</w:t>
      </w:r>
      <w:r>
        <w:rPr>
          <w:bCs/>
        </w:rPr>
        <w:t xml:space="preserve">, </w:t>
      </w:r>
      <w:r w:rsidRPr="00B2066A">
        <w:rPr>
          <w:bCs/>
        </w:rPr>
        <w:t>Tallahassee, F</w:t>
      </w:r>
      <w:r>
        <w:rPr>
          <w:bCs/>
        </w:rPr>
        <w:t>lorida</w:t>
      </w:r>
      <w:r w:rsidRPr="00B2066A">
        <w:rPr>
          <w:bCs/>
        </w:rPr>
        <w:t xml:space="preserve">  32312</w:t>
      </w:r>
    </w:p>
    <w:p w:rsidR="004578E5" w:rsidRDefault="004578E5" w:rsidP="004578E5">
      <w:pPr>
        <w:ind w:left="1440"/>
        <w:jc w:val="both"/>
      </w:pPr>
      <w:r w:rsidRPr="00701945">
        <w:rPr>
          <w:u w:val="single"/>
        </w:rPr>
        <w:t xml:space="preserve">On behalf of </w:t>
      </w:r>
      <w:r>
        <w:rPr>
          <w:u w:val="single"/>
        </w:rPr>
        <w:t>FLORIDA INDUSTRIAL POWER USERS GROUP (FIPUG)</w:t>
      </w:r>
      <w:r w:rsidRPr="00701945">
        <w:t>.</w:t>
      </w:r>
    </w:p>
    <w:p w:rsidR="004578E5" w:rsidRDefault="004578E5" w:rsidP="004578E5">
      <w:pPr>
        <w:ind w:left="1440"/>
        <w:jc w:val="both"/>
      </w:pPr>
    </w:p>
    <w:p w:rsidR="004578E5" w:rsidRDefault="004578E5" w:rsidP="004578E5">
      <w:pPr>
        <w:ind w:left="1440"/>
      </w:pPr>
      <w:r>
        <w:t>JAMES W. BREW</w:t>
      </w:r>
      <w:r w:rsidRPr="00701945">
        <w:t>, ESQUIRE,</w:t>
      </w:r>
      <w:r>
        <w:t xml:space="preserve"> and LAURA WYNN BAKER, ESQUIRE</w:t>
      </w:r>
      <w:r w:rsidR="00E06DA7">
        <w:t>,</w:t>
      </w:r>
      <w:r w:rsidRPr="00701945">
        <w:t xml:space="preserve"> </w:t>
      </w:r>
      <w:r w:rsidRPr="009C3BF1">
        <w:t>1025 Thomas Jefferson Street, NW</w:t>
      </w:r>
      <w:r>
        <w:t xml:space="preserve">, </w:t>
      </w:r>
      <w:r w:rsidRPr="009C3BF1">
        <w:t>Eighth Floor, West Tower</w:t>
      </w:r>
      <w:r>
        <w:t xml:space="preserve">, </w:t>
      </w:r>
      <w:r w:rsidRPr="009C3BF1">
        <w:t>Washington, D.C. 20007</w:t>
      </w:r>
    </w:p>
    <w:p w:rsidR="004578E5" w:rsidRDefault="004578E5" w:rsidP="004578E5">
      <w:pPr>
        <w:ind w:left="1440"/>
        <w:jc w:val="both"/>
      </w:pPr>
      <w:r w:rsidRPr="00701945">
        <w:rPr>
          <w:u w:val="single"/>
        </w:rPr>
        <w:t xml:space="preserve">On behalf of </w:t>
      </w:r>
      <w:r>
        <w:rPr>
          <w:u w:val="single"/>
        </w:rPr>
        <w:t>PCS PHOSPHATE (PCS)</w:t>
      </w:r>
      <w:r w:rsidRPr="00701945">
        <w:t>.</w:t>
      </w:r>
    </w:p>
    <w:p w:rsidR="004578E5" w:rsidRDefault="004578E5" w:rsidP="004578E5">
      <w:pPr>
        <w:ind w:left="1440"/>
        <w:jc w:val="both"/>
      </w:pPr>
    </w:p>
    <w:p w:rsidR="004578E5" w:rsidRDefault="004578E5" w:rsidP="004578E5">
      <w:pPr>
        <w:ind w:left="1440"/>
        <w:jc w:val="both"/>
      </w:pPr>
    </w:p>
    <w:p w:rsidR="004578E5" w:rsidRPr="00701945" w:rsidRDefault="004578E5" w:rsidP="004578E5">
      <w:pPr>
        <w:ind w:left="1440"/>
        <w:jc w:val="both"/>
      </w:pPr>
      <w:r>
        <w:lastRenderedPageBreak/>
        <w:t>JR KELLY</w:t>
      </w:r>
      <w:r w:rsidRPr="00701945">
        <w:t>, ESQUIRE,</w:t>
      </w:r>
      <w:r>
        <w:t xml:space="preserve"> PATRICIA A. CHRISTENSEN, ESQUIRE, THOMAS A. (TAD) DAVID, ESQUIRE, A. MIREILLE FALL-FRY, ESQUIRE, STEPHANIE MORSE, ESQUIRE, and CHARLES REHWINKEL, ESQUIRE,</w:t>
      </w:r>
      <w:r w:rsidRPr="00701945">
        <w:t xml:space="preserve"> </w:t>
      </w:r>
      <w:r w:rsidRPr="00460BEE">
        <w:rPr>
          <w:bCs/>
        </w:rPr>
        <w:t>111 West Madison Street, Room 812</w:t>
      </w:r>
      <w:r>
        <w:rPr>
          <w:bCs/>
        </w:rPr>
        <w:t xml:space="preserve">, </w:t>
      </w:r>
      <w:r w:rsidRPr="00460BEE">
        <w:rPr>
          <w:bCs/>
        </w:rPr>
        <w:t>Tallahassee, Florida 32399-1400</w:t>
      </w:r>
    </w:p>
    <w:p w:rsidR="004578E5" w:rsidRDefault="004578E5" w:rsidP="004578E5">
      <w:pPr>
        <w:ind w:left="1440"/>
        <w:jc w:val="both"/>
      </w:pPr>
      <w:r w:rsidRPr="00701945">
        <w:rPr>
          <w:u w:val="single"/>
        </w:rPr>
        <w:t xml:space="preserve">On behalf of </w:t>
      </w:r>
      <w:r>
        <w:rPr>
          <w:u w:val="single"/>
        </w:rPr>
        <w:t>OFFICE OF THE PUBLIC COUNSEL (OPC)</w:t>
      </w:r>
      <w:r w:rsidRPr="00701945">
        <w:t>.</w:t>
      </w:r>
    </w:p>
    <w:p w:rsidR="004578E5" w:rsidRDefault="004578E5" w:rsidP="004578E5">
      <w:pPr>
        <w:ind w:left="1440"/>
        <w:jc w:val="both"/>
      </w:pPr>
    </w:p>
    <w:p w:rsidR="004578E5" w:rsidRPr="00701945" w:rsidRDefault="004578E5" w:rsidP="004578E5">
      <w:pPr>
        <w:ind w:left="1440"/>
        <w:jc w:val="both"/>
      </w:pPr>
      <w:r>
        <w:t>CHARLES MURPHY</w:t>
      </w:r>
      <w:r w:rsidRPr="00701945">
        <w:t>, ESQUIRE, Florida Public Service Commission, 2540 Shumard Oak Boulevard, Tallahassee, Florida 32399-0850</w:t>
      </w:r>
    </w:p>
    <w:p w:rsidR="004578E5" w:rsidRPr="00701945" w:rsidRDefault="004578E5" w:rsidP="004578E5">
      <w:pPr>
        <w:ind w:left="720" w:firstLine="720"/>
        <w:jc w:val="both"/>
      </w:pPr>
      <w:r w:rsidRPr="00701945">
        <w:rPr>
          <w:u w:val="single"/>
        </w:rPr>
        <w:t>On behalf of the Florida Public Service Commission</w:t>
      </w:r>
      <w:r>
        <w:rPr>
          <w:u w:val="single"/>
        </w:rPr>
        <w:t xml:space="preserve"> (Staff)</w:t>
      </w:r>
      <w:r w:rsidRPr="00701945">
        <w:t>.</w:t>
      </w:r>
    </w:p>
    <w:p w:rsidR="004578E5" w:rsidRPr="00701945" w:rsidRDefault="004578E5" w:rsidP="004578E5">
      <w:pPr>
        <w:jc w:val="both"/>
      </w:pPr>
    </w:p>
    <w:p w:rsidR="004578E5" w:rsidRPr="00701945" w:rsidRDefault="004578E5" w:rsidP="004578E5">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4578E5" w:rsidRPr="00701945" w:rsidRDefault="004578E5" w:rsidP="004578E5">
      <w:pPr>
        <w:ind w:left="720" w:firstLine="720"/>
        <w:jc w:val="both"/>
      </w:pPr>
      <w:r>
        <w:rPr>
          <w:u w:val="single"/>
        </w:rPr>
        <w:t>Advisor to the</w:t>
      </w:r>
      <w:r w:rsidRPr="00701945">
        <w:rPr>
          <w:u w:val="single"/>
        </w:rPr>
        <w:t xml:space="preserve"> Florida Public Service Commission</w:t>
      </w:r>
      <w:r w:rsidRPr="00701945">
        <w:t>.</w:t>
      </w:r>
    </w:p>
    <w:p w:rsidR="004578E5" w:rsidRPr="00701945" w:rsidRDefault="004578E5" w:rsidP="004578E5">
      <w:pPr>
        <w:jc w:val="center"/>
        <w:rPr>
          <w:b/>
          <w:bCs/>
          <w:u w:val="single"/>
        </w:rPr>
      </w:pPr>
    </w:p>
    <w:p w:rsidR="004578E5" w:rsidRPr="00D033EB" w:rsidRDefault="004578E5" w:rsidP="004578E5">
      <w:pPr>
        <w:ind w:left="1440"/>
        <w:jc w:val="both"/>
      </w:pPr>
      <w:r w:rsidRPr="00D033EB">
        <w:t>K</w:t>
      </w:r>
      <w:r>
        <w:t>EITH C. HETRICK</w:t>
      </w:r>
      <w:r w:rsidRPr="00D033EB">
        <w:t>, ESQUIRE, General Counsel, Florida Public Service Commission, 2540 Shumard Oak Boulevard, Tallahassee, Florida 32399-0850</w:t>
      </w:r>
    </w:p>
    <w:p w:rsidR="004578E5" w:rsidRDefault="004578E5" w:rsidP="004578E5">
      <w:pPr>
        <w:ind w:left="1440"/>
        <w:jc w:val="both"/>
        <w:rPr>
          <w:u w:val="single"/>
        </w:rPr>
      </w:pPr>
      <w:r w:rsidRPr="00D033EB">
        <w:rPr>
          <w:u w:val="single"/>
        </w:rPr>
        <w:t>Florida Public Service Commission General Counsel</w:t>
      </w:r>
    </w:p>
    <w:p w:rsidR="004578E5" w:rsidRDefault="004578E5" w:rsidP="004578E5">
      <w:pPr>
        <w:jc w:val="both"/>
        <w:rPr>
          <w:u w:val="single"/>
        </w:rPr>
      </w:pPr>
    </w:p>
    <w:p w:rsidR="004578E5" w:rsidRDefault="004578E5" w:rsidP="004578E5">
      <w:pPr>
        <w:jc w:val="both"/>
      </w:pPr>
    </w:p>
    <w:p w:rsidR="004578E5" w:rsidRPr="00A32DC5" w:rsidRDefault="004578E5" w:rsidP="004578E5">
      <w:pPr>
        <w:jc w:val="both"/>
        <w:rPr>
          <w:b/>
        </w:rPr>
      </w:pPr>
      <w:r w:rsidRPr="00A32DC5">
        <w:rPr>
          <w:b/>
        </w:rPr>
        <w:t>I.</w:t>
      </w:r>
      <w:r w:rsidRPr="00A32DC5">
        <w:rPr>
          <w:b/>
        </w:rPr>
        <w:tab/>
      </w:r>
      <w:r w:rsidRPr="00A32DC5">
        <w:rPr>
          <w:b/>
          <w:u w:val="single"/>
        </w:rPr>
        <w:t>CASE BACKGROUND</w:t>
      </w:r>
    </w:p>
    <w:p w:rsidR="004578E5" w:rsidRPr="00701945" w:rsidRDefault="004578E5" w:rsidP="004578E5">
      <w:pPr>
        <w:jc w:val="both"/>
      </w:pPr>
    </w:p>
    <w:p w:rsidR="004578E5" w:rsidRDefault="004578E5" w:rsidP="004578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As part of the Florida Public Service Commission’s (Commission) continuing Environmental Cost Recovery Clause (ECRC) proceeding, undertaken pursuant to Section 366.8255, Florida Statutes (F.S.), a hearing has been set in this Docket for </w:t>
      </w:r>
      <w:r w:rsidRPr="001C6958">
        <w:t xml:space="preserve">November </w:t>
      </w:r>
      <w:r>
        <w:t>3-5</w:t>
      </w:r>
      <w:r w:rsidRPr="001C6958">
        <w:t>, 20</w:t>
      </w:r>
      <w:r>
        <w:t>20</w:t>
      </w:r>
      <w:r w:rsidRPr="001C6958">
        <w:t>.</w:t>
      </w:r>
      <w:r>
        <w:t xml:space="preserve">  The ECRC proceeding allows investor-owned electric utilities to seek recovery of their costs for approved environmental programs on an annual bas</w:t>
      </w:r>
      <w:r w:rsidRPr="000F306D">
        <w:t xml:space="preserve">is. </w:t>
      </w:r>
    </w:p>
    <w:p w:rsidR="004578E5" w:rsidRPr="00D1317C" w:rsidRDefault="004578E5" w:rsidP="004578E5">
      <w:pPr>
        <w:jc w:val="both"/>
      </w:pPr>
    </w:p>
    <w:p w:rsidR="004578E5" w:rsidRDefault="004578E5" w:rsidP="004578E5">
      <w:pPr>
        <w:jc w:val="both"/>
      </w:pPr>
    </w:p>
    <w:p w:rsidR="004578E5" w:rsidRPr="00A32DC5" w:rsidRDefault="004578E5" w:rsidP="004578E5">
      <w:pPr>
        <w:jc w:val="both"/>
        <w:rPr>
          <w:b/>
        </w:rPr>
      </w:pPr>
      <w:r w:rsidRPr="00A32DC5">
        <w:rPr>
          <w:b/>
        </w:rPr>
        <w:t>II.</w:t>
      </w:r>
      <w:r w:rsidRPr="00A32DC5">
        <w:rPr>
          <w:b/>
        </w:rPr>
        <w:tab/>
      </w:r>
      <w:r w:rsidRPr="00A32DC5">
        <w:rPr>
          <w:b/>
          <w:u w:val="single"/>
        </w:rPr>
        <w:t>CONDUCT OF PROCEEDINGS</w:t>
      </w:r>
    </w:p>
    <w:p w:rsidR="004578E5" w:rsidRPr="00701945" w:rsidRDefault="004578E5" w:rsidP="004578E5">
      <w:pPr>
        <w:jc w:val="both"/>
      </w:pPr>
    </w:p>
    <w:p w:rsidR="00EC3EEB" w:rsidRDefault="004578E5" w:rsidP="00EC3EEB">
      <w:pPr>
        <w:jc w:val="both"/>
      </w:pPr>
      <w:r w:rsidRPr="00701945">
        <w:tab/>
      </w:r>
      <w:r w:rsidR="00EC3EEB" w:rsidRPr="00701945">
        <w:t xml:space="preserve">Pursuant to Rule 28-106.211, </w:t>
      </w:r>
      <w:r w:rsidR="00EC3EEB">
        <w:t>F.A.C.</w:t>
      </w:r>
      <w:r w:rsidR="00EC3EEB" w:rsidRPr="00701945">
        <w:t xml:space="preserve">, this </w:t>
      </w:r>
      <w:r w:rsidR="00EC3EEB">
        <w:t xml:space="preserve">Prehearing </w:t>
      </w:r>
      <w:r w:rsidR="00EC3EEB" w:rsidRPr="00701945">
        <w:t>Order is issued to prevent delay and to promote the just, speedy, and inexpensive determination of all aspects of this case.</w:t>
      </w:r>
    </w:p>
    <w:p w:rsidR="00EC3EEB" w:rsidRDefault="00EC3EEB" w:rsidP="00EC3EEB">
      <w:pPr>
        <w:jc w:val="both"/>
      </w:pPr>
    </w:p>
    <w:p w:rsidR="00EC3EEB" w:rsidRDefault="00EC3EEB" w:rsidP="00EC3EEB">
      <w:pPr>
        <w:ind w:firstLine="720"/>
        <w:jc w:val="both"/>
      </w:pPr>
      <w:r>
        <w:t>State buildings are currently closed to the public and other restrictions on gathering remain in place due to COVID-19. Accordingly, the hearing will be conducted remotely, and all parties and witnesses shall be prepared to present argument and testimony by communications media technology. The Commission shall act as the host of the hearing and will use a combination of technologies to ensure full participation. The Commission will employ GoToMeeting as an audio and video platform for the hearing, which will include a telephone number for audio-only participation.</w:t>
      </w:r>
    </w:p>
    <w:p w:rsidR="00EC3EEB" w:rsidRDefault="00EC3EEB" w:rsidP="00EC3EEB">
      <w:pPr>
        <w:ind w:firstLine="720"/>
        <w:jc w:val="both"/>
      </w:pPr>
    </w:p>
    <w:p w:rsidR="00EC3EEB" w:rsidRDefault="00EC3EEB" w:rsidP="00EC3EEB">
      <w:pPr>
        <w:jc w:val="both"/>
      </w:pPr>
      <w:r>
        <w:tab/>
        <w:t xml:space="preserve">A GoToMeeting invitation shall be provided to counsel for each party. It shall be the responsibility of counsel to provide their clients, client representatives, and witnesses with the </w:t>
      </w:r>
      <w:r>
        <w:lastRenderedPageBreak/>
        <w:t>invitation, which will allow them to access the hearing, as necessary. Counsel for each party will also be provided the call-in number for audio participation.</w:t>
      </w:r>
    </w:p>
    <w:p w:rsidR="00EC3EEB" w:rsidRDefault="00EC3EEB" w:rsidP="00EC3EEB">
      <w:pPr>
        <w:jc w:val="both"/>
      </w:pPr>
    </w:p>
    <w:p w:rsidR="00EC3EEB" w:rsidRPr="00701945" w:rsidRDefault="00EC3EEB" w:rsidP="00EC3EEB">
      <w:pPr>
        <w:ind w:firstLine="720"/>
        <w:jc w:val="both"/>
      </w:pPr>
      <w:r>
        <w:t>Any member of the public who wants to observe or listen to the proceedings may do so by accessing the live video broadcast on each day of the hearing, which is available from the Commission website. Upon completion of the hearing, the archived video will also be available.</w:t>
      </w:r>
    </w:p>
    <w:p w:rsidR="004578E5" w:rsidRDefault="004578E5" w:rsidP="004578E5">
      <w:pPr>
        <w:jc w:val="both"/>
      </w:pPr>
    </w:p>
    <w:p w:rsidR="004578E5" w:rsidRPr="00701945" w:rsidRDefault="004578E5" w:rsidP="004578E5">
      <w:pPr>
        <w:jc w:val="both"/>
      </w:pPr>
    </w:p>
    <w:p w:rsidR="004578E5" w:rsidRPr="00A32DC5" w:rsidRDefault="004578E5" w:rsidP="004578E5">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rsidR="004578E5" w:rsidRPr="00701945" w:rsidRDefault="004578E5" w:rsidP="004578E5">
      <w:pPr>
        <w:jc w:val="both"/>
      </w:pPr>
    </w:p>
    <w:p w:rsidR="004578E5" w:rsidRPr="00701945" w:rsidRDefault="004578E5" w:rsidP="004578E5">
      <w:pPr>
        <w:jc w:val="both"/>
      </w:pPr>
      <w:r w:rsidRPr="00701945">
        <w:tab/>
        <w:t>This Commission is vested with jurisdiction over the subject matter by the provisions of Chapter</w:t>
      </w:r>
      <w:r>
        <w:t xml:space="preserve"> 366, F.S</w:t>
      </w:r>
      <w:r w:rsidRPr="00701945">
        <w:t xml:space="preserve">. This </w:t>
      </w:r>
      <w:r w:rsidR="00F856DC">
        <w:t>hearing will be governed by</w:t>
      </w:r>
      <w:r w:rsidRPr="00701945">
        <w:t xml:space="preserve"> Chapter</w:t>
      </w:r>
      <w:r w:rsidR="00F856DC">
        <w:t xml:space="preserve"> 366</w:t>
      </w:r>
      <w:r>
        <w:t>,</w:t>
      </w:r>
      <w:r w:rsidRPr="00701945">
        <w:t xml:space="preserve"> and </w:t>
      </w:r>
      <w:r>
        <w:t xml:space="preserve">by </w:t>
      </w:r>
      <w:r w:rsidRPr="00701945">
        <w:t>Chapters</w:t>
      </w:r>
      <w:r>
        <w:t xml:space="preserve"> 25-6</w:t>
      </w:r>
      <w:r w:rsidRPr="00701945">
        <w:t xml:space="preserve">, 25-22, and 28-106, </w:t>
      </w:r>
      <w:r>
        <w:t>F.A.C., as well as any other applicable provisions of law</w:t>
      </w:r>
      <w:r w:rsidRPr="00701945">
        <w:t>.</w:t>
      </w:r>
    </w:p>
    <w:p w:rsidR="00D1317C" w:rsidRDefault="00D1317C" w:rsidP="004578E5">
      <w:pPr>
        <w:jc w:val="both"/>
      </w:pPr>
    </w:p>
    <w:p w:rsidR="00D1317C" w:rsidRPr="00701945" w:rsidRDefault="00D1317C" w:rsidP="004578E5">
      <w:pPr>
        <w:jc w:val="both"/>
      </w:pPr>
    </w:p>
    <w:p w:rsidR="004578E5" w:rsidRPr="00237584" w:rsidRDefault="004578E5" w:rsidP="004578E5">
      <w:pPr>
        <w:jc w:val="both"/>
        <w:rPr>
          <w:b/>
        </w:rPr>
      </w:pPr>
      <w:r w:rsidRPr="00237584">
        <w:rPr>
          <w:b/>
        </w:rPr>
        <w:t>IV.</w:t>
      </w:r>
      <w:r w:rsidRPr="00237584">
        <w:rPr>
          <w:b/>
        </w:rPr>
        <w:tab/>
      </w:r>
      <w:r w:rsidRPr="00237584">
        <w:rPr>
          <w:b/>
          <w:u w:val="single"/>
        </w:rPr>
        <w:t>PROCEDURE FOR HANDLING CONFIDENTIAL INFORMATION</w:t>
      </w:r>
    </w:p>
    <w:p w:rsidR="004578E5" w:rsidRPr="00237584" w:rsidRDefault="004578E5" w:rsidP="004578E5">
      <w:pPr>
        <w:jc w:val="both"/>
        <w:rPr>
          <w:b/>
        </w:rPr>
      </w:pPr>
    </w:p>
    <w:p w:rsidR="008D072C" w:rsidRDefault="008D072C" w:rsidP="008D072C">
      <w:pPr>
        <w:ind w:firstLine="720"/>
        <w:jc w:val="both"/>
      </w:pPr>
      <w:r>
        <w:t>Information for which proprietary confidential business information status is requested pursuant to Section 366.093,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rsidR="008D072C" w:rsidRDefault="008D072C" w:rsidP="008D072C">
      <w:pPr>
        <w:jc w:val="both"/>
      </w:pPr>
    </w:p>
    <w:p w:rsidR="008D072C" w:rsidRDefault="008D072C" w:rsidP="008D07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rsidR="008D072C" w:rsidRDefault="008D072C" w:rsidP="008D07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72C" w:rsidRDefault="008D072C" w:rsidP="008D072C">
      <w:pPr>
        <w:spacing w:line="2" w:lineRule="exact"/>
        <w:jc w:val="both"/>
      </w:pPr>
    </w:p>
    <w:p w:rsidR="008D072C" w:rsidRDefault="008D072C" w:rsidP="008D072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follow the procedures for providing confidential electronic exhibits to the Commission Clerk prior to the hearing.</w:t>
      </w:r>
    </w:p>
    <w:p w:rsidR="008D072C" w:rsidRDefault="008D072C" w:rsidP="008D07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D072C" w:rsidRDefault="008D072C" w:rsidP="008D072C">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electronic exhibit.</w:t>
      </w:r>
    </w:p>
    <w:p w:rsidR="008D072C" w:rsidRDefault="008D072C" w:rsidP="008D072C">
      <w:pPr>
        <w:pStyle w:val="Level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8D072C" w:rsidRDefault="008D072C" w:rsidP="008D072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1317C" w:rsidRDefault="00D1317C" w:rsidP="004578E5">
      <w:pPr>
        <w:jc w:val="both"/>
      </w:pPr>
    </w:p>
    <w:p w:rsidR="00F5200A" w:rsidRDefault="00F5200A" w:rsidP="004578E5">
      <w:pPr>
        <w:jc w:val="both"/>
        <w:rPr>
          <w:b/>
        </w:rPr>
      </w:pPr>
    </w:p>
    <w:p w:rsidR="004578E5" w:rsidRPr="00A32DC5" w:rsidRDefault="004578E5" w:rsidP="004578E5">
      <w:pPr>
        <w:jc w:val="both"/>
        <w:rPr>
          <w:b/>
        </w:rPr>
      </w:pPr>
      <w:r w:rsidRPr="005437DF">
        <w:rPr>
          <w:b/>
        </w:rPr>
        <w:t>V.</w:t>
      </w:r>
      <w:r w:rsidRPr="005437DF">
        <w:rPr>
          <w:b/>
        </w:rPr>
        <w:tab/>
      </w:r>
      <w:r w:rsidRPr="005437DF">
        <w:rPr>
          <w:b/>
          <w:u w:val="single"/>
        </w:rPr>
        <w:t xml:space="preserve">PREFILED TESTIMONY </w:t>
      </w:r>
      <w:smartTag w:uri="urn:schemas-microsoft-com:office:smarttags" w:element="stockticker">
        <w:r w:rsidRPr="005437DF">
          <w:rPr>
            <w:b/>
            <w:u w:val="single"/>
          </w:rPr>
          <w:t>AND</w:t>
        </w:r>
      </w:smartTag>
      <w:r w:rsidRPr="005437DF">
        <w:rPr>
          <w:b/>
          <w:u w:val="single"/>
        </w:rPr>
        <w:t xml:space="preserve"> EXHIBITS; WITNESSES</w:t>
      </w:r>
      <w:r w:rsidR="005437DF">
        <w:rPr>
          <w:b/>
          <w:u w:val="single"/>
        </w:rPr>
        <w:t>*</w:t>
      </w:r>
    </w:p>
    <w:p w:rsidR="004578E5" w:rsidRDefault="004578E5" w:rsidP="004578E5">
      <w:pPr>
        <w:jc w:val="both"/>
      </w:pPr>
    </w:p>
    <w:p w:rsidR="005437DF" w:rsidRPr="0092615B" w:rsidRDefault="00543A68" w:rsidP="005437DF">
      <w:pPr>
        <w:jc w:val="both"/>
      </w:pPr>
      <w:r w:rsidRPr="0092615B">
        <w:tab/>
      </w:r>
      <w:r w:rsidR="005437DF" w:rsidRPr="0092615B">
        <w:t>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three minutes.</w:t>
      </w:r>
    </w:p>
    <w:p w:rsidR="005437DF" w:rsidRPr="0092615B" w:rsidRDefault="005437DF" w:rsidP="005437DF">
      <w:pPr>
        <w:jc w:val="both"/>
      </w:pPr>
    </w:p>
    <w:p w:rsidR="005437DF" w:rsidRPr="0092615B" w:rsidRDefault="005437DF" w:rsidP="005437DF">
      <w:pPr>
        <w:ind w:firstLine="720"/>
        <w:jc w:val="both"/>
      </w:pPr>
      <w:r w:rsidRPr="0092615B">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rsidR="005437DF" w:rsidRPr="0092615B" w:rsidRDefault="005437DF" w:rsidP="005437DF">
      <w:pPr>
        <w:jc w:val="both"/>
      </w:pPr>
    </w:p>
    <w:p w:rsidR="005437DF" w:rsidRPr="0092615B" w:rsidRDefault="005437DF" w:rsidP="005437DF">
      <w:pPr>
        <w:jc w:val="both"/>
      </w:pPr>
      <w:r w:rsidRPr="0092615B">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5437DF" w:rsidRPr="0092615B" w:rsidRDefault="005437DF" w:rsidP="005437DF">
      <w:pPr>
        <w:jc w:val="both"/>
        <w:rPr>
          <w:color w:val="000000"/>
        </w:rPr>
      </w:pPr>
    </w:p>
    <w:p w:rsidR="005437DF" w:rsidRPr="0092615B" w:rsidRDefault="005437DF" w:rsidP="005437DF">
      <w:pPr>
        <w:ind w:firstLine="720"/>
        <w:jc w:val="both"/>
        <w:rPr>
          <w:color w:val="000000"/>
        </w:rPr>
      </w:pPr>
      <w:r w:rsidRPr="0092615B">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5437DF" w:rsidRPr="0092615B" w:rsidRDefault="005437DF" w:rsidP="004578E5">
      <w:pPr>
        <w:jc w:val="both"/>
      </w:pPr>
    </w:p>
    <w:p w:rsidR="005437DF" w:rsidRDefault="005437DF" w:rsidP="005437DF">
      <w:pPr>
        <w:jc w:val="both"/>
      </w:pPr>
      <w:r w:rsidRPr="0092615B">
        <w:t>*All witnesses have been excused with testimony and exhibits to be included in the record.</w:t>
      </w:r>
    </w:p>
    <w:p w:rsidR="003D6885" w:rsidRPr="00D4653A" w:rsidRDefault="005437DF" w:rsidP="005437DF">
      <w:pPr>
        <w:rPr>
          <w:color w:val="000000"/>
        </w:rPr>
      </w:pPr>
      <w:r>
        <w:rPr>
          <w:color w:val="000000"/>
        </w:rPr>
        <w:br w:type="page"/>
      </w:r>
    </w:p>
    <w:p w:rsidR="004578E5" w:rsidRPr="00A32DC5" w:rsidRDefault="004578E5" w:rsidP="004578E5">
      <w:pPr>
        <w:jc w:val="both"/>
        <w:rPr>
          <w:b/>
        </w:rPr>
      </w:pPr>
      <w:r w:rsidRPr="00A32DC5">
        <w:rPr>
          <w:b/>
        </w:rPr>
        <w:lastRenderedPageBreak/>
        <w:t>VI.</w:t>
      </w:r>
      <w:r w:rsidRPr="00A32DC5">
        <w:rPr>
          <w:b/>
        </w:rPr>
        <w:tab/>
      </w:r>
      <w:r w:rsidRPr="00A32DC5">
        <w:rPr>
          <w:b/>
          <w:u w:val="single"/>
        </w:rPr>
        <w:t>ORDER OF WITNESSES</w:t>
      </w:r>
    </w:p>
    <w:p w:rsidR="004578E5" w:rsidRDefault="004578E5" w:rsidP="004578E5">
      <w:pPr>
        <w:jc w:val="both"/>
      </w:pPr>
    </w:p>
    <w:p w:rsidR="00D4653A" w:rsidRDefault="004578E5" w:rsidP="00D4653A">
      <w:pPr>
        <w:jc w:val="both"/>
      </w:pPr>
      <w:r>
        <w:tab/>
      </w:r>
    </w:p>
    <w:p w:rsidR="004578E5" w:rsidRDefault="004578E5" w:rsidP="004578E5">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4578E5" w:rsidRPr="00701945" w:rsidTr="00F856DC">
        <w:trPr>
          <w:cantSplit/>
          <w:trHeight w:val="362"/>
          <w:tblHeader/>
        </w:trPr>
        <w:tc>
          <w:tcPr>
            <w:tcW w:w="3507" w:type="dxa"/>
            <w:tcBorders>
              <w:top w:val="nil"/>
              <w:left w:val="nil"/>
              <w:bottom w:val="nil"/>
              <w:right w:val="nil"/>
            </w:tcBorders>
          </w:tcPr>
          <w:p w:rsidR="004578E5" w:rsidRPr="00701945" w:rsidRDefault="004578E5" w:rsidP="00F856DC">
            <w:pPr>
              <w:jc w:val="both"/>
            </w:pPr>
            <w:r w:rsidRPr="00701945">
              <w:rPr>
                <w:u w:val="single"/>
              </w:rPr>
              <w:t>Witness</w:t>
            </w:r>
          </w:p>
        </w:tc>
        <w:tc>
          <w:tcPr>
            <w:tcW w:w="2511" w:type="dxa"/>
            <w:tcBorders>
              <w:top w:val="nil"/>
              <w:left w:val="nil"/>
              <w:bottom w:val="nil"/>
              <w:right w:val="nil"/>
            </w:tcBorders>
          </w:tcPr>
          <w:p w:rsidR="004578E5" w:rsidRPr="00701945" w:rsidRDefault="004578E5" w:rsidP="00F856DC">
            <w:pPr>
              <w:jc w:val="center"/>
            </w:pPr>
            <w:r w:rsidRPr="00701945">
              <w:rPr>
                <w:u w:val="single"/>
              </w:rPr>
              <w:t>Proffered By</w:t>
            </w:r>
          </w:p>
        </w:tc>
        <w:tc>
          <w:tcPr>
            <w:tcW w:w="3546" w:type="dxa"/>
            <w:tcBorders>
              <w:top w:val="nil"/>
              <w:left w:val="nil"/>
              <w:bottom w:val="nil"/>
              <w:right w:val="nil"/>
            </w:tcBorders>
          </w:tcPr>
          <w:p w:rsidR="004578E5" w:rsidRPr="00701945" w:rsidRDefault="004578E5" w:rsidP="00F856DC">
            <w:pPr>
              <w:jc w:val="both"/>
            </w:pPr>
            <w:r w:rsidRPr="00701945">
              <w:rPr>
                <w:u w:val="single"/>
              </w:rPr>
              <w:t>Issues #</w:t>
            </w:r>
          </w:p>
        </w:tc>
      </w:tr>
      <w:tr w:rsidR="004578E5" w:rsidRPr="00701945" w:rsidTr="00F856DC">
        <w:trPr>
          <w:cantSplit/>
          <w:trHeight w:val="362"/>
        </w:trPr>
        <w:tc>
          <w:tcPr>
            <w:tcW w:w="3507" w:type="dxa"/>
            <w:tcBorders>
              <w:top w:val="nil"/>
              <w:left w:val="nil"/>
              <w:bottom w:val="nil"/>
              <w:right w:val="nil"/>
            </w:tcBorders>
          </w:tcPr>
          <w:p w:rsidR="004578E5" w:rsidRPr="00AC105C" w:rsidRDefault="004578E5" w:rsidP="00F856DC">
            <w:pPr>
              <w:jc w:val="both"/>
              <w:rPr>
                <w:u w:val="single"/>
              </w:rPr>
            </w:pPr>
            <w:r w:rsidRPr="00AC105C">
              <w:tab/>
            </w:r>
            <w:r w:rsidRPr="00AC105C">
              <w:rPr>
                <w:u w:val="single"/>
              </w:rPr>
              <w:t>Direct</w:t>
            </w:r>
          </w:p>
        </w:tc>
        <w:tc>
          <w:tcPr>
            <w:tcW w:w="2511" w:type="dxa"/>
            <w:tcBorders>
              <w:top w:val="nil"/>
              <w:left w:val="nil"/>
              <w:bottom w:val="nil"/>
              <w:right w:val="nil"/>
            </w:tcBorders>
          </w:tcPr>
          <w:p w:rsidR="004578E5" w:rsidRPr="00701945" w:rsidRDefault="004578E5" w:rsidP="00F856DC">
            <w:pPr>
              <w:jc w:val="center"/>
            </w:pPr>
          </w:p>
        </w:tc>
        <w:tc>
          <w:tcPr>
            <w:tcW w:w="3546" w:type="dxa"/>
            <w:tcBorders>
              <w:top w:val="nil"/>
              <w:left w:val="nil"/>
              <w:bottom w:val="nil"/>
              <w:right w:val="nil"/>
            </w:tcBorders>
          </w:tcPr>
          <w:p w:rsidR="004578E5" w:rsidRPr="00701945" w:rsidRDefault="004578E5" w:rsidP="00F856DC"/>
        </w:tc>
      </w:tr>
      <w:tr w:rsidR="004578E5" w:rsidRPr="00701945" w:rsidTr="004578E5">
        <w:trPr>
          <w:cantSplit/>
          <w:trHeight w:val="382"/>
        </w:trPr>
        <w:tc>
          <w:tcPr>
            <w:tcW w:w="3507" w:type="dxa"/>
            <w:tcBorders>
              <w:top w:val="nil"/>
              <w:left w:val="nil"/>
              <w:bottom w:val="nil"/>
              <w:right w:val="nil"/>
            </w:tcBorders>
          </w:tcPr>
          <w:p w:rsidR="004578E5" w:rsidRPr="00701945" w:rsidRDefault="004578E5" w:rsidP="00D4653A">
            <w:pPr>
              <w:jc w:val="both"/>
            </w:pPr>
            <w:r>
              <w:t>Renae B. Deaton</w:t>
            </w:r>
          </w:p>
        </w:tc>
        <w:tc>
          <w:tcPr>
            <w:tcW w:w="2511" w:type="dxa"/>
            <w:tcBorders>
              <w:top w:val="nil"/>
              <w:left w:val="nil"/>
              <w:bottom w:val="nil"/>
              <w:right w:val="nil"/>
            </w:tcBorders>
          </w:tcPr>
          <w:p w:rsidR="004578E5" w:rsidRPr="00701945" w:rsidRDefault="004578E5" w:rsidP="00F856DC">
            <w:pPr>
              <w:jc w:val="center"/>
            </w:pPr>
            <w:r>
              <w:t>FPL</w:t>
            </w:r>
          </w:p>
        </w:tc>
        <w:tc>
          <w:tcPr>
            <w:tcW w:w="3546" w:type="dxa"/>
            <w:tcBorders>
              <w:top w:val="nil"/>
              <w:left w:val="nil"/>
              <w:bottom w:val="nil"/>
              <w:right w:val="nil"/>
            </w:tcBorders>
          </w:tcPr>
          <w:p w:rsidR="004578E5" w:rsidRPr="00701945" w:rsidRDefault="004578E5" w:rsidP="00F856DC">
            <w:r>
              <w:t>1-10, 14</w:t>
            </w:r>
          </w:p>
        </w:tc>
      </w:tr>
      <w:tr w:rsidR="001B6F28" w:rsidRPr="00701945" w:rsidTr="001B6F28">
        <w:trPr>
          <w:cantSplit/>
          <w:trHeight w:val="382"/>
        </w:trPr>
        <w:tc>
          <w:tcPr>
            <w:tcW w:w="3507" w:type="dxa"/>
            <w:tcBorders>
              <w:top w:val="nil"/>
              <w:left w:val="nil"/>
              <w:bottom w:val="nil"/>
              <w:right w:val="nil"/>
            </w:tcBorders>
          </w:tcPr>
          <w:p w:rsidR="001B6F28" w:rsidRDefault="001B6F28" w:rsidP="00D4653A">
            <w:pPr>
              <w:jc w:val="both"/>
            </w:pPr>
            <w:r>
              <w:t>Michael W. Sole</w:t>
            </w:r>
          </w:p>
        </w:tc>
        <w:tc>
          <w:tcPr>
            <w:tcW w:w="2511" w:type="dxa"/>
            <w:tcBorders>
              <w:top w:val="nil"/>
              <w:left w:val="nil"/>
              <w:bottom w:val="nil"/>
              <w:right w:val="nil"/>
            </w:tcBorders>
          </w:tcPr>
          <w:p w:rsidR="001B6F28" w:rsidRDefault="001B6F28" w:rsidP="00F856DC">
            <w:pPr>
              <w:jc w:val="center"/>
            </w:pPr>
            <w:r>
              <w:t>FPL</w:t>
            </w:r>
          </w:p>
        </w:tc>
        <w:tc>
          <w:tcPr>
            <w:tcW w:w="3546" w:type="dxa"/>
            <w:tcBorders>
              <w:top w:val="nil"/>
              <w:left w:val="nil"/>
              <w:bottom w:val="nil"/>
              <w:right w:val="nil"/>
            </w:tcBorders>
          </w:tcPr>
          <w:p w:rsidR="001B6F28" w:rsidRDefault="001B6F28" w:rsidP="00F856DC">
            <w:r>
              <w:t>1-3, 13, 15</w:t>
            </w:r>
          </w:p>
        </w:tc>
      </w:tr>
      <w:tr w:rsidR="001B6F28" w:rsidRPr="00701945" w:rsidTr="001B6F28">
        <w:trPr>
          <w:cantSplit/>
          <w:trHeight w:val="382"/>
        </w:trPr>
        <w:tc>
          <w:tcPr>
            <w:tcW w:w="3507" w:type="dxa"/>
            <w:tcBorders>
              <w:top w:val="nil"/>
              <w:left w:val="nil"/>
              <w:bottom w:val="nil"/>
              <w:right w:val="nil"/>
            </w:tcBorders>
          </w:tcPr>
          <w:p w:rsidR="001B6F28" w:rsidRPr="00701945" w:rsidRDefault="001B6F28" w:rsidP="00D4653A">
            <w:pPr>
              <w:jc w:val="both"/>
            </w:pPr>
            <w:r>
              <w:t>Richard L. Hume</w:t>
            </w:r>
          </w:p>
        </w:tc>
        <w:tc>
          <w:tcPr>
            <w:tcW w:w="2511" w:type="dxa"/>
            <w:tcBorders>
              <w:top w:val="nil"/>
              <w:left w:val="nil"/>
              <w:bottom w:val="nil"/>
              <w:right w:val="nil"/>
            </w:tcBorders>
          </w:tcPr>
          <w:p w:rsidR="001B6F28" w:rsidRPr="00701945" w:rsidRDefault="001B6F28" w:rsidP="00F856DC">
            <w:pPr>
              <w:jc w:val="center"/>
            </w:pPr>
            <w:r>
              <w:t>Gulf</w:t>
            </w:r>
          </w:p>
        </w:tc>
        <w:tc>
          <w:tcPr>
            <w:tcW w:w="3546" w:type="dxa"/>
            <w:tcBorders>
              <w:top w:val="nil"/>
              <w:left w:val="nil"/>
              <w:bottom w:val="nil"/>
              <w:right w:val="nil"/>
            </w:tcBorders>
          </w:tcPr>
          <w:p w:rsidR="001B6F28" w:rsidRPr="00701945" w:rsidRDefault="001B6F28" w:rsidP="00F856DC">
            <w:r>
              <w:t>1-10</w:t>
            </w:r>
          </w:p>
        </w:tc>
      </w:tr>
      <w:tr w:rsidR="001B6F28" w:rsidRPr="00701945" w:rsidTr="001B6F28">
        <w:trPr>
          <w:cantSplit/>
          <w:trHeight w:val="382"/>
        </w:trPr>
        <w:tc>
          <w:tcPr>
            <w:tcW w:w="3507" w:type="dxa"/>
            <w:tcBorders>
              <w:top w:val="nil"/>
              <w:left w:val="nil"/>
              <w:bottom w:val="nil"/>
              <w:right w:val="nil"/>
            </w:tcBorders>
          </w:tcPr>
          <w:p w:rsidR="001B6F28" w:rsidRDefault="001B6F28" w:rsidP="00D4653A">
            <w:pPr>
              <w:jc w:val="both"/>
            </w:pPr>
            <w:r>
              <w:t>Michael W. Sole</w:t>
            </w:r>
          </w:p>
        </w:tc>
        <w:tc>
          <w:tcPr>
            <w:tcW w:w="2511" w:type="dxa"/>
            <w:tcBorders>
              <w:top w:val="nil"/>
              <w:left w:val="nil"/>
              <w:bottom w:val="nil"/>
              <w:right w:val="nil"/>
            </w:tcBorders>
          </w:tcPr>
          <w:p w:rsidR="001B6F28" w:rsidRDefault="001B6F28" w:rsidP="00F856DC">
            <w:pPr>
              <w:jc w:val="center"/>
            </w:pPr>
            <w:r>
              <w:t>Gulf</w:t>
            </w:r>
          </w:p>
        </w:tc>
        <w:tc>
          <w:tcPr>
            <w:tcW w:w="3546" w:type="dxa"/>
            <w:tcBorders>
              <w:top w:val="nil"/>
              <w:left w:val="nil"/>
              <w:bottom w:val="nil"/>
              <w:right w:val="nil"/>
            </w:tcBorders>
          </w:tcPr>
          <w:p w:rsidR="001B6F28" w:rsidRDefault="001B6F28" w:rsidP="00F856DC">
            <w:r>
              <w:t>1-3</w:t>
            </w:r>
          </w:p>
        </w:tc>
      </w:tr>
      <w:tr w:rsidR="004578E5" w:rsidRPr="00701945" w:rsidTr="00F856DC">
        <w:trPr>
          <w:cantSplit/>
          <w:trHeight w:val="382"/>
        </w:trPr>
        <w:tc>
          <w:tcPr>
            <w:tcW w:w="3507" w:type="dxa"/>
            <w:tcBorders>
              <w:top w:val="nil"/>
              <w:left w:val="nil"/>
              <w:bottom w:val="nil"/>
              <w:right w:val="nil"/>
            </w:tcBorders>
          </w:tcPr>
          <w:p w:rsidR="004578E5" w:rsidRPr="00701945" w:rsidRDefault="004578E5" w:rsidP="00D4653A">
            <w:pPr>
              <w:jc w:val="both"/>
            </w:pPr>
            <w:r>
              <w:t>Christopher Menendez</w:t>
            </w:r>
          </w:p>
        </w:tc>
        <w:tc>
          <w:tcPr>
            <w:tcW w:w="2511" w:type="dxa"/>
            <w:tcBorders>
              <w:top w:val="nil"/>
              <w:left w:val="nil"/>
              <w:bottom w:val="nil"/>
              <w:right w:val="nil"/>
            </w:tcBorders>
          </w:tcPr>
          <w:p w:rsidR="004578E5" w:rsidRPr="00701945" w:rsidRDefault="004578E5" w:rsidP="00F856DC">
            <w:pPr>
              <w:jc w:val="center"/>
            </w:pPr>
            <w:r>
              <w:t>DEF</w:t>
            </w:r>
          </w:p>
        </w:tc>
        <w:tc>
          <w:tcPr>
            <w:tcW w:w="3546" w:type="dxa"/>
            <w:tcBorders>
              <w:top w:val="nil"/>
              <w:left w:val="nil"/>
              <w:bottom w:val="nil"/>
              <w:right w:val="nil"/>
            </w:tcBorders>
          </w:tcPr>
          <w:p w:rsidR="004578E5" w:rsidRPr="00701945" w:rsidRDefault="004578E5" w:rsidP="00F856DC">
            <w:r>
              <w:t>1-12</w:t>
            </w:r>
          </w:p>
        </w:tc>
      </w:tr>
      <w:tr w:rsidR="004578E5" w:rsidRPr="00701945" w:rsidTr="00F856DC">
        <w:trPr>
          <w:cantSplit/>
          <w:trHeight w:val="382"/>
        </w:trPr>
        <w:tc>
          <w:tcPr>
            <w:tcW w:w="3507" w:type="dxa"/>
            <w:tcBorders>
              <w:top w:val="nil"/>
              <w:left w:val="nil"/>
              <w:bottom w:val="nil"/>
              <w:right w:val="nil"/>
            </w:tcBorders>
          </w:tcPr>
          <w:p w:rsidR="004578E5" w:rsidRPr="00701945" w:rsidRDefault="004578E5" w:rsidP="00D4653A">
            <w:pPr>
              <w:jc w:val="both"/>
            </w:pPr>
            <w:r>
              <w:t>Timothy Hill</w:t>
            </w:r>
          </w:p>
        </w:tc>
        <w:tc>
          <w:tcPr>
            <w:tcW w:w="2511" w:type="dxa"/>
            <w:tcBorders>
              <w:top w:val="nil"/>
              <w:left w:val="nil"/>
              <w:bottom w:val="nil"/>
              <w:right w:val="nil"/>
            </w:tcBorders>
          </w:tcPr>
          <w:p w:rsidR="004578E5" w:rsidRDefault="004578E5" w:rsidP="00F856DC">
            <w:pPr>
              <w:jc w:val="center"/>
            </w:pPr>
            <w:r>
              <w:t>DEF</w:t>
            </w:r>
          </w:p>
        </w:tc>
        <w:tc>
          <w:tcPr>
            <w:tcW w:w="3546" w:type="dxa"/>
            <w:tcBorders>
              <w:top w:val="nil"/>
              <w:left w:val="nil"/>
              <w:bottom w:val="nil"/>
              <w:right w:val="nil"/>
            </w:tcBorders>
          </w:tcPr>
          <w:p w:rsidR="004578E5" w:rsidRPr="00701945" w:rsidRDefault="004578E5" w:rsidP="00F856DC">
            <w:r>
              <w:t>1-3</w:t>
            </w:r>
          </w:p>
        </w:tc>
      </w:tr>
      <w:tr w:rsidR="004578E5" w:rsidRPr="00701945" w:rsidTr="00F856DC">
        <w:trPr>
          <w:cantSplit/>
          <w:trHeight w:val="382"/>
        </w:trPr>
        <w:tc>
          <w:tcPr>
            <w:tcW w:w="3507" w:type="dxa"/>
            <w:tcBorders>
              <w:top w:val="nil"/>
              <w:left w:val="nil"/>
              <w:bottom w:val="nil"/>
              <w:right w:val="nil"/>
            </w:tcBorders>
          </w:tcPr>
          <w:p w:rsidR="004578E5" w:rsidRPr="00701945" w:rsidRDefault="004578E5" w:rsidP="00D4653A">
            <w:pPr>
              <w:jc w:val="both"/>
            </w:pPr>
            <w:r>
              <w:t>Jeffrey Swartz</w:t>
            </w:r>
          </w:p>
        </w:tc>
        <w:tc>
          <w:tcPr>
            <w:tcW w:w="2511" w:type="dxa"/>
            <w:tcBorders>
              <w:top w:val="nil"/>
              <w:left w:val="nil"/>
              <w:bottom w:val="nil"/>
              <w:right w:val="nil"/>
            </w:tcBorders>
          </w:tcPr>
          <w:p w:rsidR="004578E5" w:rsidRDefault="004578E5" w:rsidP="00F856DC">
            <w:pPr>
              <w:jc w:val="center"/>
            </w:pPr>
            <w:r>
              <w:t>DEF</w:t>
            </w:r>
          </w:p>
        </w:tc>
        <w:tc>
          <w:tcPr>
            <w:tcW w:w="3546" w:type="dxa"/>
            <w:tcBorders>
              <w:top w:val="nil"/>
              <w:left w:val="nil"/>
              <w:bottom w:val="nil"/>
              <w:right w:val="nil"/>
            </w:tcBorders>
          </w:tcPr>
          <w:p w:rsidR="004578E5" w:rsidRPr="00701945" w:rsidRDefault="004578E5" w:rsidP="00F856DC">
            <w:r>
              <w:t>1-3</w:t>
            </w:r>
          </w:p>
        </w:tc>
      </w:tr>
      <w:tr w:rsidR="004578E5" w:rsidRPr="00701945" w:rsidTr="00F856DC">
        <w:trPr>
          <w:cantSplit/>
          <w:trHeight w:val="382"/>
        </w:trPr>
        <w:tc>
          <w:tcPr>
            <w:tcW w:w="3507" w:type="dxa"/>
            <w:tcBorders>
              <w:top w:val="nil"/>
              <w:left w:val="nil"/>
              <w:bottom w:val="nil"/>
              <w:right w:val="nil"/>
            </w:tcBorders>
          </w:tcPr>
          <w:p w:rsidR="004578E5" w:rsidRPr="00701945" w:rsidRDefault="004578E5" w:rsidP="00D4653A">
            <w:pPr>
              <w:jc w:val="both"/>
            </w:pPr>
            <w:r>
              <w:t>Kim Spence McDaniel</w:t>
            </w:r>
          </w:p>
        </w:tc>
        <w:tc>
          <w:tcPr>
            <w:tcW w:w="2511" w:type="dxa"/>
            <w:tcBorders>
              <w:top w:val="nil"/>
              <w:left w:val="nil"/>
              <w:bottom w:val="nil"/>
              <w:right w:val="nil"/>
            </w:tcBorders>
          </w:tcPr>
          <w:p w:rsidR="004578E5" w:rsidRDefault="004578E5" w:rsidP="00F856DC">
            <w:pPr>
              <w:jc w:val="center"/>
            </w:pPr>
            <w:r>
              <w:t>DEF</w:t>
            </w:r>
          </w:p>
        </w:tc>
        <w:tc>
          <w:tcPr>
            <w:tcW w:w="3546" w:type="dxa"/>
            <w:tcBorders>
              <w:top w:val="nil"/>
              <w:left w:val="nil"/>
              <w:bottom w:val="nil"/>
              <w:right w:val="nil"/>
            </w:tcBorders>
          </w:tcPr>
          <w:p w:rsidR="004578E5" w:rsidRPr="00701945" w:rsidRDefault="004578E5" w:rsidP="00F856DC">
            <w:r>
              <w:t>1-3, 11</w:t>
            </w:r>
          </w:p>
        </w:tc>
      </w:tr>
      <w:tr w:rsidR="004578E5" w:rsidRPr="00701945" w:rsidTr="00F856DC">
        <w:trPr>
          <w:cantSplit/>
          <w:trHeight w:val="362"/>
        </w:trPr>
        <w:tc>
          <w:tcPr>
            <w:tcW w:w="3507" w:type="dxa"/>
            <w:tcBorders>
              <w:top w:val="nil"/>
              <w:left w:val="nil"/>
              <w:bottom w:val="nil"/>
              <w:right w:val="nil"/>
            </w:tcBorders>
          </w:tcPr>
          <w:p w:rsidR="004578E5" w:rsidRPr="00701945" w:rsidRDefault="004578E5" w:rsidP="00D4653A">
            <w:pPr>
              <w:jc w:val="both"/>
            </w:pPr>
            <w:r>
              <w:t>M. Ashley Sizemore</w:t>
            </w:r>
          </w:p>
        </w:tc>
        <w:tc>
          <w:tcPr>
            <w:tcW w:w="2511" w:type="dxa"/>
            <w:tcBorders>
              <w:top w:val="nil"/>
              <w:left w:val="nil"/>
              <w:bottom w:val="nil"/>
              <w:right w:val="nil"/>
            </w:tcBorders>
          </w:tcPr>
          <w:p w:rsidR="004578E5" w:rsidRPr="00701945" w:rsidRDefault="004578E5" w:rsidP="00F856DC">
            <w:pPr>
              <w:jc w:val="center"/>
            </w:pPr>
            <w:r>
              <w:t>TECO</w:t>
            </w:r>
          </w:p>
        </w:tc>
        <w:tc>
          <w:tcPr>
            <w:tcW w:w="3546" w:type="dxa"/>
            <w:tcBorders>
              <w:top w:val="nil"/>
              <w:left w:val="nil"/>
              <w:bottom w:val="nil"/>
              <w:right w:val="nil"/>
            </w:tcBorders>
          </w:tcPr>
          <w:p w:rsidR="004578E5" w:rsidRPr="00701945" w:rsidRDefault="004578E5" w:rsidP="00F856DC">
            <w:r>
              <w:t>1, 2, 3, 4, 5, 6, 7, 8, 9</w:t>
            </w:r>
          </w:p>
        </w:tc>
      </w:tr>
      <w:tr w:rsidR="004578E5" w:rsidRPr="00701945" w:rsidTr="00F856DC">
        <w:trPr>
          <w:cantSplit/>
          <w:trHeight w:val="362"/>
        </w:trPr>
        <w:tc>
          <w:tcPr>
            <w:tcW w:w="3507" w:type="dxa"/>
            <w:tcBorders>
              <w:top w:val="nil"/>
              <w:left w:val="nil"/>
              <w:bottom w:val="nil"/>
              <w:right w:val="nil"/>
            </w:tcBorders>
          </w:tcPr>
          <w:p w:rsidR="004578E5" w:rsidRDefault="004578E5" w:rsidP="00D4653A">
            <w:pPr>
              <w:jc w:val="both"/>
            </w:pPr>
            <w:r>
              <w:t>Byron T. Burrows</w:t>
            </w:r>
          </w:p>
        </w:tc>
        <w:tc>
          <w:tcPr>
            <w:tcW w:w="2511" w:type="dxa"/>
            <w:tcBorders>
              <w:top w:val="nil"/>
              <w:left w:val="nil"/>
              <w:bottom w:val="nil"/>
              <w:right w:val="nil"/>
            </w:tcBorders>
          </w:tcPr>
          <w:p w:rsidR="004578E5" w:rsidRDefault="004578E5" w:rsidP="00F856DC">
            <w:pPr>
              <w:jc w:val="center"/>
            </w:pPr>
            <w:r>
              <w:t>TECO</w:t>
            </w:r>
          </w:p>
        </w:tc>
        <w:tc>
          <w:tcPr>
            <w:tcW w:w="3546" w:type="dxa"/>
            <w:tcBorders>
              <w:top w:val="nil"/>
              <w:left w:val="nil"/>
              <w:bottom w:val="nil"/>
              <w:right w:val="nil"/>
            </w:tcBorders>
          </w:tcPr>
          <w:p w:rsidR="004578E5" w:rsidRDefault="004578E5" w:rsidP="00F856DC">
            <w:r>
              <w:t>3</w:t>
            </w:r>
          </w:p>
        </w:tc>
      </w:tr>
    </w:tbl>
    <w:p w:rsidR="004578E5" w:rsidRDefault="004578E5" w:rsidP="004578E5">
      <w:pPr>
        <w:jc w:val="both"/>
      </w:pPr>
    </w:p>
    <w:p w:rsidR="004F601F" w:rsidRDefault="004F601F" w:rsidP="004578E5">
      <w:pPr>
        <w:jc w:val="both"/>
      </w:pPr>
    </w:p>
    <w:p w:rsidR="001B6F28" w:rsidRPr="00A32DC5" w:rsidRDefault="001B6F28" w:rsidP="001B6F28">
      <w:pPr>
        <w:jc w:val="both"/>
        <w:rPr>
          <w:b/>
        </w:rPr>
      </w:pPr>
      <w:r w:rsidRPr="00A32DC5">
        <w:rPr>
          <w:b/>
        </w:rPr>
        <w:t>VII.</w:t>
      </w:r>
      <w:r w:rsidRPr="00A32DC5">
        <w:rPr>
          <w:b/>
        </w:rPr>
        <w:tab/>
      </w:r>
      <w:r w:rsidRPr="00A32DC5">
        <w:rPr>
          <w:b/>
          <w:u w:val="single"/>
        </w:rPr>
        <w:t>BASIC POSITIONS</w:t>
      </w:r>
    </w:p>
    <w:p w:rsidR="001B6F28" w:rsidRDefault="001B6F28" w:rsidP="004578E5">
      <w:pPr>
        <w:jc w:val="both"/>
      </w:pPr>
    </w:p>
    <w:p w:rsidR="001B6F28" w:rsidRDefault="001B6F28" w:rsidP="001B6F28">
      <w:pPr>
        <w:ind w:left="1440" w:hanging="1440"/>
        <w:jc w:val="both"/>
        <w:rPr>
          <w:bCs/>
        </w:rPr>
      </w:pPr>
      <w:r>
        <w:rPr>
          <w:b/>
          <w:bCs/>
        </w:rPr>
        <w:t>FPL:</w:t>
      </w:r>
      <w:r>
        <w:rPr>
          <w:b/>
          <w:bCs/>
        </w:rPr>
        <w:tab/>
      </w:r>
      <w:r>
        <w:t>FPL’s 2021 ECRC factors, including prior period true-ups, are reasonable and should be approved.</w:t>
      </w:r>
      <w:r>
        <w:rPr>
          <w:bCs/>
        </w:rPr>
        <w:t xml:space="preserve">  The Commission also should approve FPL’s proposed Power Plant Intake Protected Species Project and the modification to its approved Turkey Point Cooling Canal Monitoring Plan Project.</w:t>
      </w:r>
    </w:p>
    <w:p w:rsidR="001B6F28" w:rsidRDefault="001B6F28" w:rsidP="001B6F28">
      <w:pPr>
        <w:ind w:left="1440" w:hanging="1440"/>
        <w:jc w:val="both"/>
        <w:rPr>
          <w:bCs/>
        </w:rPr>
      </w:pPr>
    </w:p>
    <w:p w:rsidR="001B6F28" w:rsidRDefault="001B6F28" w:rsidP="001B6F28">
      <w:pPr>
        <w:ind w:left="1440" w:hanging="1440"/>
        <w:jc w:val="both"/>
      </w:pPr>
      <w:r>
        <w:rPr>
          <w:b/>
          <w:bCs/>
        </w:rPr>
        <w:t>GULF:</w:t>
      </w:r>
      <w:r>
        <w:rPr>
          <w:b/>
          <w:bCs/>
        </w:rPr>
        <w:tab/>
      </w:r>
      <w:r>
        <w:t>Gulf’s 2021 ECRC factors, including prior period true-ups, are reasonable and should be approved.</w:t>
      </w:r>
    </w:p>
    <w:p w:rsidR="001B6F28" w:rsidRDefault="001B6F28" w:rsidP="001B6F28">
      <w:pPr>
        <w:ind w:left="1440" w:hanging="1440"/>
        <w:jc w:val="both"/>
      </w:pPr>
    </w:p>
    <w:p w:rsidR="001B6F28" w:rsidRDefault="001B6F28" w:rsidP="001B6F28">
      <w:pPr>
        <w:ind w:left="1440" w:hanging="1440"/>
        <w:jc w:val="both"/>
        <w:rPr>
          <w:b/>
          <w:bCs/>
        </w:rPr>
      </w:pPr>
      <w:r>
        <w:rPr>
          <w:b/>
          <w:bCs/>
        </w:rPr>
        <w:t>DEF:</w:t>
      </w:r>
      <w:r>
        <w:rPr>
          <w:b/>
          <w:bCs/>
        </w:rPr>
        <w:tab/>
      </w:r>
      <w:r>
        <w:t>DEF’s positions to specific issues are listed below.</w:t>
      </w:r>
    </w:p>
    <w:p w:rsidR="001B6F28" w:rsidRDefault="001B6F28" w:rsidP="001B6F28">
      <w:pPr>
        <w:ind w:left="1440" w:hanging="1440"/>
        <w:jc w:val="both"/>
      </w:pPr>
    </w:p>
    <w:p w:rsidR="001B6F28" w:rsidRDefault="001B6F28" w:rsidP="001B6F28">
      <w:pPr>
        <w:ind w:left="1440" w:hanging="1440"/>
        <w:jc w:val="both"/>
      </w:pPr>
      <w:r>
        <w:rPr>
          <w:b/>
          <w:bCs/>
        </w:rPr>
        <w:t>TECO:</w:t>
      </w:r>
      <w:r>
        <w:rPr>
          <w:b/>
          <w:bCs/>
        </w:rPr>
        <w:tab/>
      </w:r>
      <w:r>
        <w:t xml:space="preserve">The Commission should approve the compliance programs described in the testimony and exhibits of Tampa Electric witnesses Sizemore and Burrows for environmental cost recovery. The Commission should also approve Tampa Electric’s calculation of its environmental cost recovery final true-up for the </w:t>
      </w:r>
      <w:r>
        <w:lastRenderedPageBreak/>
        <w:t>period January 2019 through December 2019, the actual/estimated environmental cost recovery true-up for the current period January 2020 through December 2020, and the company’s projected ECRC revenue requirement and the company’s proposed ECRC factors for the period January 2021 through December 2021.</w:t>
      </w:r>
    </w:p>
    <w:p w:rsidR="001B6F28" w:rsidRDefault="001B6F28" w:rsidP="001B6F28">
      <w:pPr>
        <w:ind w:left="1440" w:hanging="1440"/>
        <w:jc w:val="both"/>
      </w:pPr>
    </w:p>
    <w:p w:rsidR="001B6F28" w:rsidRDefault="001B6F28" w:rsidP="001B6F28">
      <w:pPr>
        <w:ind w:left="1440" w:hanging="1440"/>
        <w:jc w:val="both"/>
        <w:rPr>
          <w:bCs/>
        </w:rPr>
      </w:pPr>
      <w:r>
        <w:rPr>
          <w:b/>
          <w:bCs/>
        </w:rPr>
        <w:t>FIPUG:</w:t>
      </w:r>
      <w:r>
        <w:rPr>
          <w:b/>
          <w:bCs/>
        </w:rPr>
        <w:tab/>
      </w:r>
      <w:r w:rsidRPr="00271E56">
        <w:rPr>
          <w:bCs/>
        </w:rPr>
        <w:t>Only costs legally authorized should be recovered through the envi</w:t>
      </w:r>
      <w:r>
        <w:rPr>
          <w:bCs/>
        </w:rPr>
        <w:t xml:space="preserve">ronmental cost recovery clause. </w:t>
      </w:r>
      <w:r w:rsidRPr="00271E56">
        <w:rPr>
          <w:bCs/>
        </w:rPr>
        <w:t xml:space="preserve"> FIPUG maintains that the respective utilities must satisfy their burden of proof for any and all monies or other relief sought in this proceeding.</w:t>
      </w:r>
    </w:p>
    <w:p w:rsidR="001B6F28" w:rsidRDefault="001B6F28" w:rsidP="001B6F28">
      <w:pPr>
        <w:ind w:left="1440" w:hanging="1440"/>
        <w:jc w:val="both"/>
        <w:rPr>
          <w:bCs/>
        </w:rPr>
      </w:pPr>
    </w:p>
    <w:p w:rsidR="001B6F28" w:rsidRDefault="001B6F28" w:rsidP="001B6F28">
      <w:pPr>
        <w:ind w:left="1440" w:hanging="1440"/>
        <w:jc w:val="both"/>
        <w:rPr>
          <w:bCs/>
        </w:rPr>
      </w:pPr>
      <w:r>
        <w:rPr>
          <w:b/>
          <w:bCs/>
        </w:rPr>
        <w:t>PCS:</w:t>
      </w:r>
      <w:r>
        <w:rPr>
          <w:b/>
          <w:bCs/>
        </w:rPr>
        <w:tab/>
      </w:r>
      <w:r w:rsidRPr="00A705D9">
        <w:rPr>
          <w:bCs/>
        </w:rPr>
        <w:t>PCS Phosphate generally adopts the positions taken by the Florida Office of Public Counsel (“OPC”) unless a differing position is specifically stated.</w:t>
      </w:r>
    </w:p>
    <w:p w:rsidR="001B6F28" w:rsidRDefault="001B6F28" w:rsidP="001B6F28">
      <w:pPr>
        <w:ind w:left="1440" w:hanging="1440"/>
        <w:jc w:val="both"/>
        <w:rPr>
          <w:bCs/>
        </w:rPr>
      </w:pPr>
    </w:p>
    <w:p w:rsidR="001B6F28" w:rsidRDefault="001B6F28" w:rsidP="001B6F28">
      <w:pPr>
        <w:ind w:left="1440" w:hanging="1440"/>
        <w:jc w:val="both"/>
        <w:rPr>
          <w:bCs/>
        </w:rPr>
      </w:pPr>
      <w:r>
        <w:rPr>
          <w:b/>
          <w:bCs/>
        </w:rPr>
        <w:t>OPC:</w:t>
      </w:r>
      <w:r>
        <w:rPr>
          <w:b/>
          <w:bCs/>
        </w:rPr>
        <w:tab/>
      </w:r>
      <w:r w:rsidRPr="00460BEE">
        <w:rPr>
          <w:bCs/>
        </w:rPr>
        <w:t>The utilities bear the burden of proof to justify the recovery of costs they request in this docket.  The utilities must carry this burden regardless of whether or not the Interveners provide evidence to the contrary.  Further, the utilities bear the burden of proof to support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  Further, recovery of even prudently incurred costs is constrained by the Commission’s obligation to set fair, just, and reasonable rates.  Further, pursuant to Section 366.01, Florida Statutes, the provisions of Chapter 366 must be liberally construed to protect the public welfare.</w:t>
      </w:r>
    </w:p>
    <w:p w:rsidR="001B6F28" w:rsidRPr="00460BEE" w:rsidRDefault="001B6F28" w:rsidP="001B6F28">
      <w:pPr>
        <w:ind w:left="1440" w:hanging="1440"/>
        <w:jc w:val="both"/>
        <w:rPr>
          <w:bCs/>
        </w:rPr>
      </w:pPr>
    </w:p>
    <w:p w:rsidR="001B6F28" w:rsidRPr="00460BEE" w:rsidRDefault="001B6F28" w:rsidP="001B6F28">
      <w:pPr>
        <w:ind w:left="1440" w:hanging="1440"/>
        <w:jc w:val="both"/>
      </w:pPr>
      <w:r>
        <w:rPr>
          <w:bCs/>
        </w:rPr>
        <w:tab/>
      </w:r>
      <w:r w:rsidRPr="00460BEE">
        <w:rPr>
          <w:bCs/>
        </w:rPr>
        <w:t xml:space="preserve">The Commission must independently determine that each cost submitted for recovery, deferred or new, meets each element of the statutory requirements for recovery through this clause as set out in Section 366.8255, Florida Statutes.  Specifically, each activity proposed for recovery must be legally </w:t>
      </w:r>
      <w:r w:rsidRPr="00460BEE">
        <w:rPr>
          <w:bCs/>
          <w:i/>
        </w:rPr>
        <w:t>required</w:t>
      </w:r>
      <w:r w:rsidRPr="00460BEE">
        <w:rPr>
          <w:bCs/>
        </w:rPr>
        <w:t xml:space="preserve"> to comply with a governmentally imposed environmental regulation that was enacted, became effective, or whose effect was triggered after the company's last test year upon which rates are based, and such costs may not be costs that are recovered through base rates or any other cost recovery mechanism.</w:t>
      </w:r>
    </w:p>
    <w:p w:rsidR="001B6F28" w:rsidRPr="00701945" w:rsidRDefault="001B6F28" w:rsidP="001B6F28">
      <w:pPr>
        <w:jc w:val="both"/>
      </w:pPr>
    </w:p>
    <w:p w:rsidR="001B6F28" w:rsidRDefault="001B6F28" w:rsidP="001B6F28">
      <w:pPr>
        <w:ind w:left="1440" w:hanging="1440"/>
        <w:jc w:val="both"/>
      </w:pPr>
      <w:r w:rsidRPr="005D4B47">
        <w:rPr>
          <w:b/>
          <w:bCs/>
        </w:rPr>
        <w:t>STAFF</w:t>
      </w:r>
      <w:r w:rsidRPr="00701945">
        <w:rPr>
          <w:b/>
          <w:bCs/>
        </w:rPr>
        <w:t>:</w:t>
      </w:r>
      <w:r>
        <w:rPr>
          <w:b/>
          <w:bCs/>
        </w:rPr>
        <w:tab/>
      </w:r>
      <w:r w:rsidRPr="00701945">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p>
    <w:p w:rsidR="009515A2" w:rsidRDefault="009515A2" w:rsidP="001B6F28">
      <w:pPr>
        <w:jc w:val="both"/>
        <w:rPr>
          <w:b/>
        </w:rPr>
      </w:pPr>
    </w:p>
    <w:p w:rsidR="009515A2" w:rsidRDefault="009515A2" w:rsidP="001B6F28">
      <w:pPr>
        <w:jc w:val="both"/>
        <w:rPr>
          <w:b/>
        </w:rPr>
      </w:pPr>
    </w:p>
    <w:p w:rsidR="005437DF" w:rsidRDefault="005437DF" w:rsidP="005437DF">
      <w:pPr>
        <w:rPr>
          <w:b/>
        </w:rPr>
      </w:pPr>
      <w:r>
        <w:rPr>
          <w:b/>
        </w:rPr>
        <w:br w:type="page"/>
      </w:r>
    </w:p>
    <w:p w:rsidR="001B6F28" w:rsidRPr="00A32DC5" w:rsidRDefault="001B6F28" w:rsidP="001B6F28">
      <w:pPr>
        <w:jc w:val="both"/>
        <w:rPr>
          <w:b/>
        </w:rPr>
      </w:pPr>
      <w:r w:rsidRPr="00A32DC5">
        <w:rPr>
          <w:b/>
        </w:rPr>
        <w:lastRenderedPageBreak/>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rsidR="001B6F28" w:rsidRDefault="001B6F28" w:rsidP="001B6F28">
      <w:pPr>
        <w:ind w:left="1440" w:hanging="1440"/>
        <w:jc w:val="both"/>
      </w:pPr>
    </w:p>
    <w:p w:rsidR="00D4653A" w:rsidRDefault="00543A68" w:rsidP="00D4653A">
      <w:pPr>
        <w:jc w:val="both"/>
      </w:pPr>
      <w:r>
        <w:tab/>
      </w:r>
      <w:r w:rsidR="00E82950">
        <w:t xml:space="preserve">The parties’ positions on the issues are set forth below; however, as set forth at Section X of this Order, </w:t>
      </w:r>
      <w:r w:rsidR="00D4653A" w:rsidRPr="007D5D23">
        <w:t>stipulation</w:t>
      </w:r>
      <w:r w:rsidR="00E82950">
        <w:t>s have been proposed for each of these issues.</w:t>
      </w:r>
      <w:r w:rsidR="00D4653A" w:rsidRPr="007D5D23">
        <w:t xml:space="preserve"> </w:t>
      </w:r>
    </w:p>
    <w:p w:rsidR="00E82950" w:rsidRDefault="00E82950" w:rsidP="00D4653A">
      <w:pPr>
        <w:jc w:val="both"/>
      </w:pPr>
    </w:p>
    <w:p w:rsidR="00E82950" w:rsidRPr="00654FC3" w:rsidRDefault="00E82950" w:rsidP="00E82950">
      <w:pPr>
        <w:ind w:left="1440" w:hanging="1440"/>
        <w:jc w:val="both"/>
        <w:rPr>
          <w:b/>
        </w:rPr>
      </w:pPr>
      <w:r w:rsidRPr="00654FC3">
        <w:rPr>
          <w:b/>
          <w:bCs/>
        </w:rPr>
        <w:t>ISSUE 1:</w:t>
      </w:r>
      <w:r w:rsidRPr="00654FC3">
        <w:rPr>
          <w:b/>
        </w:rPr>
        <w:tab/>
        <w:t>What are the final environmental cost recovery true-up amounts for the period January 2019 through December 2019?</w:t>
      </w:r>
    </w:p>
    <w:p w:rsidR="00E82950" w:rsidRDefault="00E82950" w:rsidP="00E82950">
      <w:pPr>
        <w:ind w:left="1440" w:hanging="1440"/>
        <w:jc w:val="both"/>
      </w:pPr>
    </w:p>
    <w:p w:rsidR="00E82950" w:rsidRDefault="00E82950" w:rsidP="00E82950">
      <w:pPr>
        <w:ind w:left="1440" w:hanging="1440"/>
        <w:jc w:val="both"/>
      </w:pPr>
      <w:r>
        <w:rPr>
          <w:b/>
          <w:bCs/>
        </w:rPr>
        <w:t>FPL:</w:t>
      </w:r>
      <w:r>
        <w:rPr>
          <w:b/>
          <w:bCs/>
        </w:rPr>
        <w:tab/>
      </w:r>
      <w:r>
        <w:t>$14,087,943 over-recovery.  (Deaton, Sole)</w:t>
      </w:r>
    </w:p>
    <w:p w:rsidR="00E82950" w:rsidRDefault="00E82950" w:rsidP="00E82950">
      <w:pPr>
        <w:ind w:left="1440" w:hanging="1440"/>
        <w:jc w:val="both"/>
      </w:pPr>
    </w:p>
    <w:p w:rsidR="00E82950" w:rsidRDefault="00E82950" w:rsidP="00E82950">
      <w:pPr>
        <w:ind w:left="1440" w:hanging="1440"/>
        <w:jc w:val="both"/>
      </w:pPr>
      <w:r>
        <w:rPr>
          <w:b/>
          <w:bCs/>
        </w:rPr>
        <w:t>GULF:</w:t>
      </w:r>
      <w:r>
        <w:rPr>
          <w:b/>
          <w:bCs/>
        </w:rPr>
        <w:tab/>
      </w:r>
      <w:r>
        <w:t>$5,891,843 over-recovery. (Hume, Sole)</w:t>
      </w:r>
    </w:p>
    <w:p w:rsidR="00E82950" w:rsidRDefault="00E82950" w:rsidP="00E82950">
      <w:pPr>
        <w:ind w:left="1440" w:hanging="1440"/>
        <w:jc w:val="both"/>
      </w:pPr>
    </w:p>
    <w:p w:rsidR="00E82950" w:rsidRDefault="00E82950" w:rsidP="00E82950">
      <w:pPr>
        <w:ind w:left="1440" w:hanging="1440"/>
        <w:jc w:val="both"/>
        <w:rPr>
          <w:bCs/>
        </w:rPr>
      </w:pPr>
      <w:r>
        <w:rPr>
          <w:b/>
          <w:bCs/>
        </w:rPr>
        <w:t>DEF:</w:t>
      </w:r>
      <w:r>
        <w:rPr>
          <w:b/>
          <w:bCs/>
        </w:rPr>
        <w:tab/>
      </w:r>
      <w:r>
        <w:rPr>
          <w:bCs/>
        </w:rPr>
        <w:t>$1,792,439 under-recovery. (Menendez, Hill, Swartz, McDaniel)</w:t>
      </w:r>
    </w:p>
    <w:p w:rsidR="00E82950" w:rsidRDefault="00E82950" w:rsidP="00E82950">
      <w:pPr>
        <w:ind w:left="1440" w:hanging="1440"/>
        <w:jc w:val="both"/>
        <w:rPr>
          <w:bCs/>
        </w:rPr>
      </w:pPr>
    </w:p>
    <w:p w:rsidR="00E82950" w:rsidRDefault="00E82950" w:rsidP="00E82950">
      <w:pPr>
        <w:ind w:left="1440" w:hanging="1440"/>
        <w:jc w:val="both"/>
      </w:pPr>
      <w:r>
        <w:rPr>
          <w:b/>
          <w:bCs/>
        </w:rPr>
        <w:t>TECO:</w:t>
      </w:r>
      <w:r>
        <w:rPr>
          <w:b/>
          <w:bCs/>
        </w:rPr>
        <w:tab/>
      </w:r>
      <w:r>
        <w:t>The appropriate final environmental cost recovery true-up amount for this period is an over-recovery of $3,987,915. (Sizemore)</w:t>
      </w:r>
    </w:p>
    <w:p w:rsidR="00E82950" w:rsidRDefault="00E82950" w:rsidP="00E82950">
      <w:pPr>
        <w:ind w:left="1440" w:hanging="1440"/>
        <w:jc w:val="both"/>
      </w:pPr>
    </w:p>
    <w:p w:rsidR="00E82950" w:rsidRDefault="00E82950" w:rsidP="00E82950">
      <w:pPr>
        <w:ind w:left="1440" w:hanging="1440"/>
        <w:jc w:val="both"/>
      </w:pPr>
      <w:r>
        <w:rPr>
          <w:b/>
          <w:bCs/>
        </w:rPr>
        <w:t>FIPUG:</w:t>
      </w:r>
      <w:r>
        <w:rPr>
          <w:b/>
          <w:bCs/>
        </w:rPr>
        <w:tab/>
      </w:r>
      <w:r>
        <w:t>Adopt the position of OPC.</w:t>
      </w:r>
    </w:p>
    <w:p w:rsidR="00E82950" w:rsidRDefault="00E82950" w:rsidP="00E82950">
      <w:pPr>
        <w:ind w:left="1440" w:hanging="1440"/>
        <w:jc w:val="both"/>
      </w:pPr>
    </w:p>
    <w:p w:rsidR="00E82950" w:rsidRDefault="00E82950" w:rsidP="00E82950">
      <w:pPr>
        <w:ind w:left="1440" w:hanging="1440"/>
        <w:jc w:val="both"/>
        <w:rPr>
          <w:b/>
          <w:bCs/>
        </w:rPr>
      </w:pPr>
      <w:r>
        <w:rPr>
          <w:b/>
          <w:bCs/>
        </w:rPr>
        <w:t>PCS:</w:t>
      </w:r>
      <w:r>
        <w:rPr>
          <w:b/>
          <w:bCs/>
        </w:rPr>
        <w:tab/>
      </w:r>
      <w:r>
        <w:t>Agree with OPC.</w:t>
      </w:r>
    </w:p>
    <w:p w:rsidR="00E82950" w:rsidRDefault="00E82950" w:rsidP="00E82950">
      <w:pPr>
        <w:ind w:left="1440" w:hanging="1440"/>
        <w:jc w:val="both"/>
      </w:pPr>
    </w:p>
    <w:p w:rsidR="00E82950" w:rsidRDefault="00E82950" w:rsidP="00E82950">
      <w:pPr>
        <w:ind w:left="1440" w:hanging="1440"/>
        <w:jc w:val="both"/>
      </w:pPr>
      <w:r>
        <w:rPr>
          <w:b/>
          <w:bCs/>
        </w:rPr>
        <w:t>OPC:</w:t>
      </w:r>
      <w:r>
        <w:rPr>
          <w:b/>
          <w:bCs/>
        </w:rPr>
        <w:tab/>
      </w:r>
      <w: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  Nevertheless, t</w:t>
      </w:r>
      <w:r w:rsidRPr="00C21924">
        <w:t xml:space="preserve">he 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ind w:left="1440" w:hanging="1440"/>
        <w:jc w:val="both"/>
      </w:pPr>
    </w:p>
    <w:p w:rsidR="00E82950" w:rsidRDefault="00E82950" w:rsidP="00E82950">
      <w:pPr>
        <w:jc w:val="both"/>
      </w:pPr>
    </w:p>
    <w:p w:rsidR="00E82950" w:rsidRDefault="00E82950" w:rsidP="00E82950">
      <w:pPr>
        <w:ind w:left="1440" w:hanging="1440"/>
        <w:jc w:val="both"/>
      </w:pPr>
      <w:r>
        <w:rPr>
          <w:b/>
          <w:bCs/>
        </w:rPr>
        <w:t>STAFF:</w:t>
      </w:r>
      <w:r>
        <w:rPr>
          <w:b/>
          <w:bCs/>
        </w:rPr>
        <w:tab/>
      </w:r>
      <w:r>
        <w:t xml:space="preserve">Staff has no position at this time. </w:t>
      </w:r>
    </w:p>
    <w:p w:rsidR="00E82950" w:rsidRDefault="00E82950" w:rsidP="00E82950">
      <w:pPr>
        <w:ind w:left="1440" w:hanging="1440"/>
        <w:jc w:val="both"/>
      </w:pPr>
    </w:p>
    <w:p w:rsidR="00E82950" w:rsidRDefault="00E82950" w:rsidP="00E82950">
      <w:pPr>
        <w:ind w:left="1440" w:hanging="1440"/>
        <w:jc w:val="both"/>
      </w:pPr>
    </w:p>
    <w:p w:rsidR="00E82950" w:rsidRPr="00654FC3" w:rsidRDefault="00E82950" w:rsidP="00E82950">
      <w:pPr>
        <w:ind w:left="1440" w:hanging="1440"/>
        <w:jc w:val="both"/>
        <w:rPr>
          <w:b/>
        </w:rPr>
      </w:pPr>
      <w:r w:rsidRPr="00D94839">
        <w:rPr>
          <w:b/>
          <w:bCs/>
        </w:rPr>
        <w:t xml:space="preserve">ISSUE </w:t>
      </w:r>
      <w:r w:rsidRPr="00D94839">
        <w:rPr>
          <w:b/>
          <w:bCs/>
        </w:rPr>
        <w:fldChar w:fldCharType="begin"/>
      </w:r>
      <w:r w:rsidRPr="00D94839">
        <w:rPr>
          <w:b/>
          <w:bCs/>
        </w:rPr>
        <w:instrText xml:space="preserve"> SEQ Issue \* Arabic \n  \* MERGEFORMAT </w:instrText>
      </w:r>
      <w:r w:rsidRPr="00D94839">
        <w:rPr>
          <w:b/>
          <w:bCs/>
        </w:rPr>
        <w:fldChar w:fldCharType="separate"/>
      </w:r>
      <w:r w:rsidR="00B306B9">
        <w:rPr>
          <w:b/>
          <w:bCs/>
          <w:noProof/>
        </w:rPr>
        <w:t>1</w:t>
      </w:r>
      <w:r w:rsidRPr="00D94839">
        <w:fldChar w:fldCharType="end"/>
      </w:r>
      <w:r w:rsidRPr="00D94839">
        <w:rPr>
          <w:b/>
          <w:bCs/>
        </w:rPr>
        <w:fldChar w:fldCharType="begin"/>
      </w:r>
      <w:r w:rsidRPr="00D94839">
        <w:rPr>
          <w:b/>
          <w:bCs/>
        </w:rPr>
        <w:instrText xml:space="preserve"> SEQ AddendedLetter \r 0 \h  \* MERGEFORMAT </w:instrText>
      </w:r>
      <w:r w:rsidRPr="00D94839">
        <w:fldChar w:fldCharType="end"/>
      </w:r>
      <w:r w:rsidRPr="00D94839">
        <w:rPr>
          <w:b/>
          <w:bCs/>
        </w:rPr>
        <w:t>:</w:t>
      </w:r>
      <w:r w:rsidRPr="00D94839">
        <w:rPr>
          <w:b/>
          <w:bCs/>
        </w:rPr>
        <w:tab/>
      </w:r>
      <w:r w:rsidRPr="00654FC3">
        <w:rPr>
          <w:b/>
        </w:rPr>
        <w:t>What are the estimated/actual environmental cost recovery true-up amounts for the period January 2020 through December 2020?</w:t>
      </w:r>
    </w:p>
    <w:p w:rsidR="00E82950" w:rsidRDefault="00E82950" w:rsidP="00E82950">
      <w:pPr>
        <w:ind w:left="1440" w:hanging="1440"/>
        <w:jc w:val="both"/>
      </w:pPr>
    </w:p>
    <w:p w:rsidR="00E82950" w:rsidRDefault="00E82950" w:rsidP="00E82950">
      <w:pPr>
        <w:ind w:left="1440" w:hanging="1440"/>
        <w:jc w:val="both"/>
        <w:rPr>
          <w:b/>
          <w:bCs/>
        </w:rPr>
      </w:pPr>
      <w:r>
        <w:rPr>
          <w:b/>
          <w:bCs/>
        </w:rPr>
        <w:t>FPL:</w:t>
      </w:r>
      <w:r>
        <w:rPr>
          <w:b/>
          <w:bCs/>
        </w:rPr>
        <w:tab/>
      </w:r>
      <w:r>
        <w:t>$4,763,785 over-recovery. (Deaton, Sole)</w:t>
      </w:r>
    </w:p>
    <w:p w:rsidR="00E82950" w:rsidRDefault="00E82950" w:rsidP="00E82950">
      <w:pPr>
        <w:ind w:left="1440" w:hanging="1440"/>
        <w:jc w:val="both"/>
      </w:pPr>
    </w:p>
    <w:p w:rsidR="00E82950" w:rsidRDefault="00E82950" w:rsidP="00E82950">
      <w:pPr>
        <w:ind w:left="1440" w:hanging="1440"/>
        <w:jc w:val="both"/>
        <w:rPr>
          <w:b/>
          <w:bCs/>
        </w:rPr>
      </w:pPr>
      <w:r>
        <w:rPr>
          <w:b/>
          <w:bCs/>
        </w:rPr>
        <w:t>GULF:</w:t>
      </w:r>
      <w:r>
        <w:rPr>
          <w:b/>
          <w:bCs/>
        </w:rPr>
        <w:tab/>
      </w:r>
      <w:r>
        <w:t>$2,837,159 over-recovery. (Hume, Sole)</w:t>
      </w:r>
    </w:p>
    <w:p w:rsidR="00E82950" w:rsidRDefault="00E82950" w:rsidP="00E82950">
      <w:pPr>
        <w:ind w:left="1440" w:hanging="1440"/>
        <w:jc w:val="both"/>
      </w:pPr>
    </w:p>
    <w:p w:rsidR="00E82950" w:rsidRDefault="00E82950" w:rsidP="00E82950">
      <w:pPr>
        <w:ind w:left="1440" w:hanging="1440"/>
        <w:jc w:val="both"/>
        <w:rPr>
          <w:b/>
          <w:bCs/>
        </w:rPr>
      </w:pPr>
      <w:r>
        <w:rPr>
          <w:b/>
          <w:bCs/>
        </w:rPr>
        <w:t>DEF:</w:t>
      </w:r>
      <w:r>
        <w:rPr>
          <w:b/>
          <w:bCs/>
        </w:rPr>
        <w:tab/>
      </w:r>
      <w:r>
        <w:rPr>
          <w:bCs/>
        </w:rPr>
        <w:t>$8,097,179 over-recovery. (Menendez, Hill, Swartz, McDaniel)</w:t>
      </w:r>
    </w:p>
    <w:p w:rsidR="00E82950" w:rsidRDefault="00E82950" w:rsidP="00E82950">
      <w:pPr>
        <w:ind w:left="1440" w:hanging="1440"/>
        <w:jc w:val="both"/>
      </w:pPr>
    </w:p>
    <w:p w:rsidR="00E82950" w:rsidRDefault="00E82950" w:rsidP="00E82950">
      <w:pPr>
        <w:ind w:left="1440" w:hanging="1440"/>
        <w:jc w:val="both"/>
      </w:pPr>
      <w:r>
        <w:rPr>
          <w:b/>
          <w:bCs/>
        </w:rPr>
        <w:t>TECO:</w:t>
      </w:r>
      <w:r>
        <w:rPr>
          <w:b/>
          <w:bCs/>
        </w:rPr>
        <w:tab/>
      </w:r>
      <w:r>
        <w:t>The actual/estimated environmental cost recovery true-up amount for the period is an under-recovery of $7,841,176. (Sizemore)</w:t>
      </w:r>
    </w:p>
    <w:p w:rsidR="00E82950" w:rsidRDefault="00E82950" w:rsidP="00E82950">
      <w:pPr>
        <w:ind w:left="1440" w:hanging="1440"/>
        <w:jc w:val="both"/>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pPr>
    </w:p>
    <w:p w:rsidR="00E82950" w:rsidRDefault="00E82950" w:rsidP="00E82950">
      <w:pPr>
        <w:ind w:left="1440" w:hanging="1440"/>
        <w:jc w:val="both"/>
        <w:rPr>
          <w:b/>
          <w:bCs/>
        </w:rPr>
      </w:pPr>
      <w:r>
        <w:rPr>
          <w:b/>
          <w:bCs/>
        </w:rPr>
        <w:t>PCS:</w:t>
      </w:r>
      <w:r>
        <w:rPr>
          <w:b/>
          <w:bCs/>
        </w:rPr>
        <w:tab/>
      </w:r>
      <w:r>
        <w:t>Agree with OPC.</w:t>
      </w:r>
    </w:p>
    <w:p w:rsidR="00E82950" w:rsidRDefault="00E82950" w:rsidP="00E82950">
      <w:pPr>
        <w:ind w:left="1440" w:hanging="1440"/>
        <w:jc w:val="both"/>
      </w:pPr>
    </w:p>
    <w:p w:rsidR="00E82950" w:rsidRDefault="00E82950" w:rsidP="00E82950">
      <w:pPr>
        <w:ind w:left="1440" w:hanging="1440"/>
        <w:jc w:val="both"/>
      </w:pPr>
      <w:r>
        <w:rPr>
          <w:b/>
          <w:bCs/>
        </w:rPr>
        <w:t>OPC:</w:t>
      </w:r>
      <w:r>
        <w:rPr>
          <w:b/>
          <w:bCs/>
        </w:rPr>
        <w:tab/>
      </w:r>
      <w: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 Nevertheless, t</w:t>
      </w:r>
      <w:r w:rsidRPr="00C21924">
        <w:t xml:space="preserve">he 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ind w:left="1440" w:hanging="1440"/>
        <w:jc w:val="both"/>
      </w:pPr>
    </w:p>
    <w:p w:rsidR="00E82950" w:rsidRDefault="00E82950" w:rsidP="00E82950">
      <w:pPr>
        <w:ind w:left="1440" w:hanging="1440"/>
        <w:jc w:val="both"/>
      </w:pPr>
      <w:r>
        <w:rPr>
          <w:b/>
          <w:bCs/>
        </w:rPr>
        <w:t>STAFF:</w:t>
      </w:r>
      <w:r>
        <w:rPr>
          <w:b/>
          <w:bCs/>
        </w:rPr>
        <w:tab/>
      </w:r>
      <w:r>
        <w:t xml:space="preserve">Staff has no position at this time. </w:t>
      </w:r>
    </w:p>
    <w:p w:rsidR="00E82950" w:rsidRDefault="00E82950" w:rsidP="00E82950">
      <w:pPr>
        <w:ind w:left="1440" w:hanging="1440"/>
        <w:jc w:val="both"/>
      </w:pPr>
    </w:p>
    <w:p w:rsidR="00E82950" w:rsidRDefault="00E82950" w:rsidP="00E82950">
      <w:pPr>
        <w:ind w:left="1440" w:hanging="1440"/>
        <w:jc w:val="both"/>
      </w:pPr>
    </w:p>
    <w:p w:rsidR="00E82950" w:rsidRPr="00654FC3" w:rsidRDefault="00E82950" w:rsidP="00E82950">
      <w:pPr>
        <w:ind w:left="1440" w:hanging="1440"/>
        <w:jc w:val="both"/>
        <w:rPr>
          <w:b/>
        </w:rPr>
      </w:pPr>
      <w:r>
        <w:rPr>
          <w:b/>
        </w:rPr>
        <w:t>ISSUE 3:</w:t>
      </w:r>
      <w:r>
        <w:rPr>
          <w:b/>
        </w:rPr>
        <w:tab/>
      </w:r>
      <w:r w:rsidRPr="00654FC3">
        <w:rPr>
          <w:b/>
        </w:rPr>
        <w:t>What are the projected environmental cost recovery amounts for the period January 2021 through December 2021?</w:t>
      </w:r>
    </w:p>
    <w:p w:rsidR="00E82950" w:rsidRDefault="00E82950" w:rsidP="00E82950">
      <w:pPr>
        <w:ind w:left="1440" w:hanging="1440"/>
        <w:jc w:val="both"/>
      </w:pPr>
    </w:p>
    <w:p w:rsidR="00E82950" w:rsidRDefault="00E82950" w:rsidP="00E82950">
      <w:pPr>
        <w:ind w:left="1440" w:hanging="1440"/>
        <w:jc w:val="both"/>
        <w:rPr>
          <w:b/>
          <w:bCs/>
        </w:rPr>
      </w:pPr>
      <w:r>
        <w:rPr>
          <w:b/>
          <w:bCs/>
        </w:rPr>
        <w:t>FPL:</w:t>
      </w:r>
      <w:r>
        <w:rPr>
          <w:b/>
          <w:bCs/>
        </w:rPr>
        <w:tab/>
      </w:r>
      <w:r>
        <w:t>$176,174,665. (Deaton, Sole)</w:t>
      </w:r>
    </w:p>
    <w:p w:rsidR="00E82950" w:rsidRDefault="00E82950" w:rsidP="00E82950">
      <w:pPr>
        <w:ind w:left="1440" w:hanging="1440"/>
        <w:jc w:val="both"/>
      </w:pPr>
    </w:p>
    <w:p w:rsidR="00E82950" w:rsidRDefault="00E82950" w:rsidP="00E82950">
      <w:pPr>
        <w:ind w:left="1440" w:hanging="1440"/>
        <w:jc w:val="both"/>
        <w:rPr>
          <w:b/>
          <w:bCs/>
        </w:rPr>
      </w:pPr>
      <w:r>
        <w:rPr>
          <w:b/>
          <w:bCs/>
        </w:rPr>
        <w:t>GULF:</w:t>
      </w:r>
      <w:r>
        <w:rPr>
          <w:b/>
          <w:bCs/>
        </w:rPr>
        <w:tab/>
      </w:r>
      <w:r>
        <w:t>$197,635,007. (Hume, Sole)</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DEF:</w:t>
      </w:r>
      <w:r>
        <w:rPr>
          <w:b/>
          <w:bCs/>
        </w:rPr>
        <w:tab/>
      </w:r>
      <w:r>
        <w:rPr>
          <w:bCs/>
        </w:rPr>
        <w:t>$44,725,047. (Menendez, Hill, Swartz, McDaniel</w:t>
      </w:r>
      <w:r>
        <w:rPr>
          <w:b/>
          <w:bCs/>
        </w:rPr>
        <w:t>)</w:t>
      </w:r>
    </w:p>
    <w:p w:rsidR="00E82950" w:rsidRDefault="00E82950" w:rsidP="00E82950">
      <w:pPr>
        <w:ind w:left="1440" w:hanging="1440"/>
        <w:jc w:val="both"/>
        <w:rPr>
          <w:b/>
          <w:bCs/>
        </w:rPr>
      </w:pPr>
    </w:p>
    <w:p w:rsidR="00E82950" w:rsidRDefault="00E82950" w:rsidP="00E82950">
      <w:pPr>
        <w:ind w:left="1440" w:hanging="1440"/>
        <w:jc w:val="both"/>
      </w:pPr>
      <w:r>
        <w:rPr>
          <w:b/>
          <w:bCs/>
        </w:rPr>
        <w:t>TECO:</w:t>
      </w:r>
      <w:r>
        <w:rPr>
          <w:b/>
          <w:bCs/>
        </w:rPr>
        <w:tab/>
      </w:r>
      <w:r>
        <w:t>The appropriate amount of environmental costs projected to be recovered for the period January 2021 through December 2021 is $48,192,906. (Sizemore, Burrows)</w:t>
      </w:r>
    </w:p>
    <w:p w:rsidR="00E82950" w:rsidRDefault="00E82950" w:rsidP="00E82950">
      <w:pPr>
        <w:ind w:left="1440" w:hanging="1440"/>
        <w:jc w:val="both"/>
      </w:pPr>
    </w:p>
    <w:p w:rsidR="00E82950" w:rsidRDefault="00E82950" w:rsidP="00E82950">
      <w:pPr>
        <w:ind w:left="1440" w:hanging="1440"/>
        <w:jc w:val="both"/>
      </w:pPr>
      <w:r>
        <w:rPr>
          <w:b/>
          <w:bCs/>
        </w:rPr>
        <w:t>FIPUG:</w:t>
      </w:r>
      <w:r>
        <w:rPr>
          <w:b/>
          <w:bCs/>
        </w:rPr>
        <w:tab/>
      </w:r>
      <w:r>
        <w:t>Adopt the position of OPC.</w:t>
      </w:r>
    </w:p>
    <w:p w:rsidR="00E82950" w:rsidRDefault="00E82950" w:rsidP="00E82950">
      <w:pPr>
        <w:ind w:left="1440" w:hanging="1440"/>
        <w:jc w:val="both"/>
      </w:pPr>
    </w:p>
    <w:p w:rsidR="00E82950" w:rsidRDefault="00E82950" w:rsidP="00E82950">
      <w:pPr>
        <w:ind w:left="1440" w:hanging="1440"/>
        <w:jc w:val="both"/>
        <w:rPr>
          <w:b/>
          <w:bCs/>
        </w:rPr>
      </w:pPr>
      <w:r>
        <w:rPr>
          <w:b/>
          <w:bCs/>
        </w:rPr>
        <w:t>PCS:</w:t>
      </w:r>
      <w:r>
        <w:rPr>
          <w:b/>
          <w:bCs/>
        </w:rPr>
        <w:tab/>
      </w:r>
      <w:r>
        <w:t>Agree with OPC.</w:t>
      </w:r>
    </w:p>
    <w:p w:rsidR="00E82950" w:rsidRDefault="00E82950" w:rsidP="00E82950">
      <w:pPr>
        <w:ind w:left="1440" w:hanging="1440"/>
        <w:jc w:val="both"/>
      </w:pPr>
    </w:p>
    <w:p w:rsidR="00E82950" w:rsidRDefault="00E82950" w:rsidP="00E82950">
      <w:pPr>
        <w:ind w:left="1440" w:hanging="1440"/>
        <w:jc w:val="both"/>
      </w:pPr>
      <w:r>
        <w:rPr>
          <w:b/>
          <w:bCs/>
        </w:rPr>
        <w:lastRenderedPageBreak/>
        <w:t>OPC:</w:t>
      </w:r>
      <w:r>
        <w:rPr>
          <w:b/>
          <w:bCs/>
        </w:rPr>
        <w:tab/>
      </w:r>
      <w: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 Nevertheless, t</w:t>
      </w:r>
      <w:r w:rsidRPr="00C21924">
        <w:t xml:space="preserve">he 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ind w:left="1440" w:hanging="1440"/>
        <w:jc w:val="both"/>
      </w:pPr>
    </w:p>
    <w:p w:rsidR="00E82950" w:rsidRDefault="00E82950" w:rsidP="00E82950">
      <w:pPr>
        <w:ind w:left="1440" w:hanging="1440"/>
        <w:jc w:val="both"/>
      </w:pPr>
      <w:r>
        <w:rPr>
          <w:b/>
          <w:bCs/>
        </w:rPr>
        <w:t>STAFF:</w:t>
      </w:r>
      <w:r>
        <w:rPr>
          <w:b/>
          <w:bCs/>
        </w:rPr>
        <w:tab/>
      </w:r>
      <w:r>
        <w:t xml:space="preserve">Staff has no position at this time. </w:t>
      </w:r>
    </w:p>
    <w:p w:rsidR="00E82950" w:rsidRDefault="00E82950" w:rsidP="00E82950">
      <w:pPr>
        <w:ind w:left="1440" w:hanging="1440"/>
        <w:jc w:val="both"/>
      </w:pPr>
    </w:p>
    <w:p w:rsidR="00E82950" w:rsidRDefault="00E82950" w:rsidP="00E82950">
      <w:pPr>
        <w:ind w:left="1440" w:hanging="1440"/>
        <w:jc w:val="both"/>
      </w:pPr>
    </w:p>
    <w:p w:rsidR="00E82950" w:rsidRPr="00654FC3" w:rsidRDefault="00E82950" w:rsidP="00E82950">
      <w:pPr>
        <w:ind w:left="1440" w:hanging="1440"/>
        <w:jc w:val="both"/>
        <w:outlineLvl w:val="2"/>
        <w:rPr>
          <w:b/>
        </w:rPr>
      </w:pPr>
      <w:r w:rsidRPr="00D94839">
        <w:rPr>
          <w:rFonts w:cs="Arial"/>
          <w:b/>
          <w:bCs/>
          <w:szCs w:val="26"/>
        </w:rPr>
        <w:t xml:space="preserve">ISSUE </w:t>
      </w:r>
      <w:r w:rsidRPr="00D94839">
        <w:rPr>
          <w:rFonts w:cs="Arial"/>
          <w:b/>
          <w:bCs/>
          <w:szCs w:val="26"/>
        </w:rPr>
        <w:fldChar w:fldCharType="begin"/>
      </w:r>
      <w:r w:rsidRPr="00D94839">
        <w:rPr>
          <w:rFonts w:cs="Arial"/>
          <w:b/>
          <w:bCs/>
          <w:szCs w:val="26"/>
        </w:rPr>
        <w:instrText xml:space="preserve"> SEQ Issue \* Arabic \n  \* MERGEFORMAT </w:instrText>
      </w:r>
      <w:r w:rsidRPr="00D94839">
        <w:rPr>
          <w:rFonts w:cs="Arial"/>
          <w:b/>
          <w:bCs/>
          <w:szCs w:val="26"/>
        </w:rPr>
        <w:fldChar w:fldCharType="separate"/>
      </w:r>
      <w:r w:rsidR="00B306B9">
        <w:rPr>
          <w:rFonts w:cs="Arial"/>
          <w:b/>
          <w:bCs/>
          <w:noProof/>
          <w:szCs w:val="26"/>
        </w:rPr>
        <w:t>2</w:t>
      </w:r>
      <w:r w:rsidRPr="00D94839">
        <w:rPr>
          <w:rFonts w:cs="Arial"/>
          <w:b/>
          <w:bCs/>
          <w:noProof/>
          <w:szCs w:val="26"/>
        </w:rPr>
        <w:fldChar w:fldCharType="end"/>
      </w:r>
      <w:r w:rsidRPr="00D94839">
        <w:rPr>
          <w:rFonts w:cs="Arial"/>
          <w:b/>
          <w:bCs/>
          <w:szCs w:val="26"/>
        </w:rPr>
        <w:fldChar w:fldCharType="begin"/>
      </w:r>
      <w:r w:rsidRPr="00D94839">
        <w:rPr>
          <w:rFonts w:cs="Arial"/>
          <w:b/>
          <w:bCs/>
          <w:szCs w:val="26"/>
        </w:rPr>
        <w:instrText xml:space="preserve"> SEQ AddendedLetter \r 0 \h  \* MERGEFORMAT </w:instrText>
      </w:r>
      <w:r w:rsidRPr="00D94839">
        <w:rPr>
          <w:rFonts w:cs="Arial"/>
          <w:b/>
          <w:bCs/>
          <w:szCs w:val="26"/>
        </w:rPr>
        <w:fldChar w:fldCharType="end"/>
      </w:r>
      <w:r w:rsidRPr="00D94839">
        <w:rPr>
          <w:rFonts w:cs="Arial"/>
          <w:b/>
          <w:bCs/>
          <w:szCs w:val="26"/>
        </w:rPr>
        <w:t>:</w:t>
      </w:r>
      <w:r w:rsidRPr="00D94839">
        <w:rPr>
          <w:rFonts w:cs="Arial"/>
          <w:b/>
          <w:bCs/>
          <w:szCs w:val="26"/>
        </w:rPr>
        <w:tab/>
      </w:r>
      <w:r w:rsidRPr="00654FC3">
        <w:rPr>
          <w:b/>
        </w:rPr>
        <w:t>What are the environmental cost recovery amounts, including true-up amounts, for the period January 2021 through December 2021?</w:t>
      </w:r>
    </w:p>
    <w:p w:rsidR="00E82950" w:rsidRDefault="00E82950" w:rsidP="00E82950">
      <w:pPr>
        <w:ind w:left="1440" w:hanging="1440"/>
        <w:jc w:val="both"/>
        <w:outlineLvl w:val="2"/>
      </w:pPr>
    </w:p>
    <w:p w:rsidR="00E82950" w:rsidRDefault="00E82950" w:rsidP="00E82950">
      <w:pPr>
        <w:ind w:left="1440" w:hanging="1440"/>
        <w:jc w:val="both"/>
      </w:pPr>
      <w:r>
        <w:rPr>
          <w:b/>
          <w:bCs/>
        </w:rPr>
        <w:t>FPL:</w:t>
      </w:r>
      <w:r>
        <w:rPr>
          <w:b/>
          <w:bCs/>
        </w:rPr>
        <w:tab/>
      </w:r>
      <w:r>
        <w:t>$157,436,210, including prior period true-up amounts and revenue taxes.  (Deaton)</w:t>
      </w:r>
    </w:p>
    <w:p w:rsidR="00E82950" w:rsidRDefault="00E82950" w:rsidP="00E82950">
      <w:pPr>
        <w:ind w:left="1440" w:hanging="1440"/>
        <w:jc w:val="both"/>
      </w:pPr>
    </w:p>
    <w:p w:rsidR="00E82950" w:rsidRDefault="00E82950" w:rsidP="00E82950">
      <w:pPr>
        <w:ind w:left="1440" w:hanging="1440"/>
        <w:jc w:val="both"/>
      </w:pPr>
      <w:r>
        <w:rPr>
          <w:b/>
          <w:bCs/>
        </w:rPr>
        <w:t>GULF:</w:t>
      </w:r>
      <w:r>
        <w:rPr>
          <w:b/>
          <w:bCs/>
        </w:rPr>
        <w:tab/>
      </w:r>
      <w:r>
        <w:t>$189,042,018, including prior period true-up amounts and revenue taxes.  (Hume)</w:t>
      </w:r>
    </w:p>
    <w:p w:rsidR="00E82950" w:rsidRDefault="00E82950" w:rsidP="00E82950">
      <w:pPr>
        <w:ind w:left="1440" w:hanging="1440"/>
        <w:jc w:val="both"/>
      </w:pPr>
    </w:p>
    <w:p w:rsidR="00E82950" w:rsidRDefault="00E82950" w:rsidP="00E82950">
      <w:pPr>
        <w:ind w:left="1440" w:hanging="1440"/>
        <w:jc w:val="both"/>
        <w:rPr>
          <w:b/>
          <w:bCs/>
        </w:rPr>
      </w:pPr>
      <w:r>
        <w:rPr>
          <w:b/>
          <w:bCs/>
        </w:rPr>
        <w:t>DEF:</w:t>
      </w:r>
      <w:r>
        <w:rPr>
          <w:b/>
          <w:bCs/>
        </w:rPr>
        <w:tab/>
      </w:r>
      <w:r>
        <w:rPr>
          <w:bCs/>
        </w:rPr>
        <w:t>$38,447,970. (Menendez)</w:t>
      </w:r>
    </w:p>
    <w:p w:rsidR="00E82950" w:rsidRDefault="00E82950" w:rsidP="00E82950">
      <w:pPr>
        <w:ind w:left="1440" w:hanging="1440"/>
        <w:jc w:val="both"/>
      </w:pPr>
    </w:p>
    <w:p w:rsidR="00E82950" w:rsidRDefault="00E82950" w:rsidP="00E82950">
      <w:pPr>
        <w:ind w:left="1440" w:hanging="1440"/>
        <w:jc w:val="both"/>
      </w:pPr>
      <w:r>
        <w:rPr>
          <w:b/>
          <w:bCs/>
        </w:rPr>
        <w:t>TECO:</w:t>
      </w:r>
      <w:r>
        <w:rPr>
          <w:b/>
          <w:bCs/>
        </w:rPr>
        <w:tab/>
      </w:r>
      <w:r>
        <w:t>The total environmental cost recovery amount, including true-up amounts, for the period January 2021 through December 2021 is $52,083,641 after the adjustment for taxes. (Sizemore)</w:t>
      </w:r>
    </w:p>
    <w:p w:rsidR="00E82950" w:rsidRDefault="00E82950" w:rsidP="00E82950">
      <w:pPr>
        <w:ind w:left="1440" w:hanging="1440"/>
        <w:jc w:val="both"/>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pPr>
    </w:p>
    <w:p w:rsidR="00E82950" w:rsidRDefault="00E82950" w:rsidP="00E82950">
      <w:pPr>
        <w:ind w:left="1440" w:hanging="1440"/>
        <w:jc w:val="both"/>
        <w:rPr>
          <w:b/>
          <w:bCs/>
        </w:rPr>
      </w:pPr>
      <w:r>
        <w:rPr>
          <w:b/>
          <w:bCs/>
        </w:rPr>
        <w:t>PCS:</w:t>
      </w:r>
      <w:r>
        <w:rPr>
          <w:b/>
          <w:bCs/>
        </w:rPr>
        <w:tab/>
      </w:r>
      <w:r>
        <w:t>Agree with OPC.</w:t>
      </w:r>
    </w:p>
    <w:p w:rsidR="00E82950" w:rsidRDefault="00E82950" w:rsidP="00E82950">
      <w:pPr>
        <w:ind w:left="1440" w:hanging="1440"/>
        <w:jc w:val="both"/>
      </w:pPr>
    </w:p>
    <w:p w:rsidR="00E82950" w:rsidRDefault="00E82950" w:rsidP="00E82950">
      <w:pPr>
        <w:ind w:left="1440" w:hanging="1440"/>
        <w:jc w:val="both"/>
      </w:pPr>
      <w:r>
        <w:rPr>
          <w:b/>
          <w:bCs/>
        </w:rPr>
        <w:t>OPC:</w:t>
      </w:r>
      <w:r>
        <w:rPr>
          <w:b/>
          <w:bCs/>
        </w:rPr>
        <w:tab/>
      </w:r>
      <w: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w:t>
      </w:r>
      <w:r w:rsidRPr="00C21924">
        <w:t xml:space="preserve"> </w:t>
      </w:r>
      <w:r>
        <w:t>Nevertheless, t</w:t>
      </w:r>
      <w:r w:rsidRPr="00C21924">
        <w:t xml:space="preserve">he 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w:t>
      </w:r>
      <w:r w:rsidRPr="00C21924">
        <w:lastRenderedPageBreak/>
        <w:t>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ind w:left="1440" w:hanging="1440"/>
        <w:jc w:val="both"/>
      </w:pPr>
      <w:r>
        <w:t xml:space="preserve"> </w:t>
      </w:r>
    </w:p>
    <w:p w:rsidR="00E82950" w:rsidRDefault="00E82950" w:rsidP="00E82950">
      <w:pPr>
        <w:ind w:left="1440" w:hanging="1440"/>
        <w:jc w:val="both"/>
      </w:pPr>
      <w:r>
        <w:rPr>
          <w:b/>
          <w:bCs/>
        </w:rPr>
        <w:t>STAFF:</w:t>
      </w:r>
      <w:r>
        <w:rPr>
          <w:b/>
          <w:bCs/>
        </w:rPr>
        <w:tab/>
      </w:r>
      <w:r>
        <w:t>Staff has no position at this time.</w:t>
      </w:r>
    </w:p>
    <w:p w:rsidR="00E82950" w:rsidRDefault="00E82950" w:rsidP="00E82950">
      <w:pPr>
        <w:ind w:left="1440" w:hanging="1440"/>
        <w:jc w:val="both"/>
      </w:pPr>
    </w:p>
    <w:p w:rsidR="00E82950" w:rsidRDefault="00E82950" w:rsidP="00E82950">
      <w:pPr>
        <w:ind w:left="1440" w:hanging="1440"/>
        <w:jc w:val="both"/>
      </w:pPr>
    </w:p>
    <w:p w:rsidR="00E82950" w:rsidRPr="00654FC3" w:rsidRDefault="00E82950" w:rsidP="00E82950">
      <w:pPr>
        <w:ind w:left="1440" w:hanging="1440"/>
        <w:jc w:val="both"/>
        <w:rPr>
          <w:b/>
        </w:rPr>
      </w:pPr>
      <w:r w:rsidRPr="00D94839">
        <w:rPr>
          <w:rFonts w:cs="Arial"/>
          <w:b/>
          <w:bCs/>
          <w:szCs w:val="26"/>
        </w:rPr>
        <w:t xml:space="preserve">ISSUE </w:t>
      </w:r>
      <w:r w:rsidRPr="00D94839">
        <w:rPr>
          <w:rFonts w:cs="Arial"/>
          <w:b/>
          <w:bCs/>
          <w:szCs w:val="26"/>
        </w:rPr>
        <w:fldChar w:fldCharType="begin"/>
      </w:r>
      <w:r w:rsidRPr="00D94839">
        <w:rPr>
          <w:rFonts w:cs="Arial"/>
          <w:b/>
          <w:bCs/>
          <w:szCs w:val="26"/>
        </w:rPr>
        <w:instrText xml:space="preserve"> SEQ Issue \* Arabic \n  \* MERGEFORMAT </w:instrText>
      </w:r>
      <w:r w:rsidRPr="00D94839">
        <w:rPr>
          <w:rFonts w:cs="Arial"/>
          <w:b/>
          <w:bCs/>
          <w:szCs w:val="26"/>
        </w:rPr>
        <w:fldChar w:fldCharType="separate"/>
      </w:r>
      <w:r w:rsidR="00B306B9">
        <w:rPr>
          <w:rFonts w:cs="Arial"/>
          <w:b/>
          <w:bCs/>
          <w:noProof/>
          <w:szCs w:val="26"/>
        </w:rPr>
        <w:t>3</w:t>
      </w:r>
      <w:r w:rsidRPr="00D94839">
        <w:rPr>
          <w:rFonts w:cs="Arial"/>
          <w:b/>
          <w:bCs/>
          <w:noProof/>
          <w:szCs w:val="26"/>
        </w:rPr>
        <w:fldChar w:fldCharType="end"/>
      </w:r>
      <w:r w:rsidRPr="00D94839">
        <w:rPr>
          <w:rFonts w:cs="Arial"/>
          <w:b/>
          <w:bCs/>
          <w:szCs w:val="26"/>
        </w:rPr>
        <w:fldChar w:fldCharType="begin"/>
      </w:r>
      <w:r w:rsidRPr="00D94839">
        <w:rPr>
          <w:rFonts w:cs="Arial"/>
          <w:b/>
          <w:bCs/>
          <w:szCs w:val="26"/>
        </w:rPr>
        <w:instrText xml:space="preserve"> SEQ AddendedLetter \r 0 \h  \* MERGEFORMAT </w:instrText>
      </w:r>
      <w:r w:rsidRPr="00D94839">
        <w:rPr>
          <w:rFonts w:cs="Arial"/>
          <w:b/>
          <w:bCs/>
          <w:szCs w:val="26"/>
        </w:rPr>
        <w:fldChar w:fldCharType="end"/>
      </w:r>
      <w:r w:rsidRPr="00D94839">
        <w:rPr>
          <w:rFonts w:cs="Arial"/>
          <w:b/>
          <w:bCs/>
          <w:szCs w:val="26"/>
        </w:rPr>
        <w:t>:</w:t>
      </w:r>
      <w:r w:rsidRPr="00D94839">
        <w:rPr>
          <w:rFonts w:cs="Arial"/>
          <w:b/>
          <w:bCs/>
          <w:szCs w:val="26"/>
        </w:rPr>
        <w:tab/>
      </w:r>
      <w:r w:rsidRPr="00654FC3">
        <w:rPr>
          <w:b/>
        </w:rPr>
        <w:t>What depreciation rates should be used to develop the depreciation expense included in the total environmental cost recovery amounts for the period January 2021 through December 2021?</w:t>
      </w:r>
    </w:p>
    <w:p w:rsidR="00E82950" w:rsidRDefault="00E82950" w:rsidP="00E82950">
      <w:pPr>
        <w:ind w:left="1440" w:hanging="1440"/>
        <w:jc w:val="both"/>
      </w:pPr>
    </w:p>
    <w:p w:rsidR="00E82950" w:rsidRDefault="00E82950" w:rsidP="00E82950">
      <w:pPr>
        <w:ind w:left="1440" w:hanging="1440"/>
        <w:jc w:val="both"/>
      </w:pPr>
      <w:r>
        <w:rPr>
          <w:b/>
          <w:bCs/>
        </w:rPr>
        <w:t>FPL:</w:t>
      </w:r>
      <w:r>
        <w:rPr>
          <w:b/>
          <w:bCs/>
        </w:rPr>
        <w:tab/>
      </w:r>
      <w:r>
        <w:t>The depreciation rates used to calculate the depreciation expense should be the rates that are in effect during the period the allowed capital investment is in service.  For the period January 2021 through December 2021, FPL should use the depreciation rates approved by the Commission in FPL’s 2016 rate case settlement agreement, Order No. PSC-16-0560-AS-EI.  (Deaton)</w:t>
      </w:r>
    </w:p>
    <w:p w:rsidR="00E82950" w:rsidRDefault="00E82950" w:rsidP="00E82950">
      <w:pPr>
        <w:ind w:left="1440" w:hanging="1440"/>
        <w:jc w:val="both"/>
      </w:pPr>
    </w:p>
    <w:p w:rsidR="00E82950" w:rsidRDefault="00E82950" w:rsidP="00E82950">
      <w:pPr>
        <w:ind w:left="1440" w:hanging="1440"/>
        <w:jc w:val="both"/>
      </w:pPr>
      <w:r>
        <w:rPr>
          <w:b/>
          <w:bCs/>
        </w:rPr>
        <w:t>GULF:</w:t>
      </w:r>
      <w:r>
        <w:rPr>
          <w:b/>
          <w:bCs/>
        </w:rPr>
        <w:tab/>
      </w:r>
      <w:r>
        <w:t>The depreciation rates used to calculate the depreciation expense should be the rates that are in effect during the period applied against the allowed capital investment that is in service.  (Hume)</w:t>
      </w:r>
    </w:p>
    <w:p w:rsidR="00E82950" w:rsidRDefault="00E82950" w:rsidP="00E82950">
      <w:pPr>
        <w:ind w:left="1440" w:hanging="1440"/>
        <w:jc w:val="both"/>
      </w:pPr>
    </w:p>
    <w:p w:rsidR="00E82950" w:rsidRDefault="00E82950" w:rsidP="00E82950">
      <w:pPr>
        <w:ind w:left="1440" w:hanging="1440"/>
        <w:jc w:val="both"/>
        <w:rPr>
          <w:bCs/>
        </w:rPr>
      </w:pPr>
      <w:r>
        <w:rPr>
          <w:b/>
          <w:bCs/>
        </w:rPr>
        <w:t>DEF:</w:t>
      </w:r>
      <w:r>
        <w:rPr>
          <w:b/>
          <w:bCs/>
        </w:rPr>
        <w:tab/>
      </w:r>
      <w:r>
        <w:rPr>
          <w:bCs/>
        </w:rPr>
        <w:t>The depreciation rates used to calculate depreciation expense should be the rates that are in effect during the period the allowed capital investment is in service. (Menendez)</w:t>
      </w:r>
    </w:p>
    <w:p w:rsidR="00E82950" w:rsidRDefault="00E82950" w:rsidP="00E82950">
      <w:pPr>
        <w:ind w:left="1440" w:hanging="1440"/>
        <w:jc w:val="both"/>
        <w:rPr>
          <w:bCs/>
        </w:rPr>
      </w:pPr>
    </w:p>
    <w:p w:rsidR="00E82950" w:rsidRDefault="00E82950" w:rsidP="00E82950">
      <w:pPr>
        <w:ind w:left="1440" w:hanging="1440"/>
        <w:jc w:val="both"/>
      </w:pPr>
      <w:r>
        <w:rPr>
          <w:b/>
          <w:bCs/>
        </w:rPr>
        <w:t>TECO:</w:t>
      </w:r>
      <w:r>
        <w:rPr>
          <w:b/>
          <w:bCs/>
        </w:rPr>
        <w:tab/>
      </w:r>
      <w:r>
        <w:t>The depreciation rates used to calculate the depreciation expense shall be the rates that are in effect during the period the allowed capital investment is in service with the exception of Big Bend Fuel Oil Tanks 1 &amp; 2 which were retired in 2016 and are depreciated over a five-year period from the date of retirement. (Sizemore)</w:t>
      </w:r>
    </w:p>
    <w:p w:rsidR="00E82950" w:rsidRDefault="00E82950" w:rsidP="00E82950">
      <w:pPr>
        <w:ind w:left="1440" w:hanging="1440"/>
        <w:jc w:val="both"/>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pPr>
    </w:p>
    <w:p w:rsidR="00E82950" w:rsidRDefault="00E82950" w:rsidP="00E82950">
      <w:pPr>
        <w:ind w:left="1440" w:hanging="1440"/>
        <w:jc w:val="both"/>
        <w:rPr>
          <w:b/>
          <w:bCs/>
        </w:rPr>
      </w:pPr>
      <w:r>
        <w:rPr>
          <w:b/>
          <w:bCs/>
        </w:rPr>
        <w:t>PCS:</w:t>
      </w:r>
      <w:r>
        <w:rPr>
          <w:b/>
          <w:bCs/>
        </w:rPr>
        <w:tab/>
      </w:r>
      <w:r>
        <w:t>Agree with OPC.</w:t>
      </w:r>
    </w:p>
    <w:p w:rsidR="00E82950" w:rsidRDefault="00E82950" w:rsidP="00E82950">
      <w:pPr>
        <w:ind w:left="1440" w:hanging="1440"/>
        <w:jc w:val="both"/>
      </w:pPr>
    </w:p>
    <w:p w:rsidR="00E82950" w:rsidRPr="003A22A4" w:rsidRDefault="00E82950" w:rsidP="00E82950">
      <w:pPr>
        <w:ind w:left="1440" w:hanging="1440"/>
        <w:jc w:val="both"/>
      </w:pPr>
      <w:r w:rsidRPr="003A22A4">
        <w:rPr>
          <w:b/>
          <w:bCs/>
        </w:rPr>
        <w:t>OPC:</w:t>
      </w:r>
      <w:r w:rsidRPr="003A22A4">
        <w:rPr>
          <w:b/>
          <w:bCs/>
        </w:rPr>
        <w:tab/>
      </w:r>
      <w:r>
        <w:t>The</w:t>
      </w:r>
      <w:r w:rsidRPr="00C21924">
        <w:t xml:space="preserve"> 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Pr="003A22A4" w:rsidRDefault="00E82950" w:rsidP="00E82950">
      <w:pPr>
        <w:ind w:left="1440" w:hanging="1440"/>
        <w:jc w:val="both"/>
      </w:pPr>
    </w:p>
    <w:p w:rsidR="00E82950" w:rsidRPr="003A22A4" w:rsidRDefault="00E82950" w:rsidP="00E82950">
      <w:pPr>
        <w:ind w:left="1440" w:hanging="1440"/>
        <w:jc w:val="both"/>
      </w:pPr>
      <w:r w:rsidRPr="003A22A4">
        <w:rPr>
          <w:b/>
          <w:bCs/>
        </w:rPr>
        <w:t>STAFF:</w:t>
      </w:r>
      <w:r w:rsidRPr="003A22A4">
        <w:rPr>
          <w:b/>
          <w:bCs/>
        </w:rPr>
        <w:tab/>
      </w:r>
      <w:r w:rsidRPr="003A22A4">
        <w:t xml:space="preserve">Staff has no position at this time. </w:t>
      </w: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Pr="00654FC3" w:rsidRDefault="00E82950" w:rsidP="00E82950">
      <w:pPr>
        <w:ind w:left="1440" w:hanging="1440"/>
        <w:jc w:val="both"/>
        <w:rPr>
          <w:b/>
        </w:rPr>
      </w:pPr>
      <w:r w:rsidRPr="003A22A4">
        <w:rPr>
          <w:b/>
          <w:bCs/>
        </w:rPr>
        <w:t xml:space="preserve">ISSUE </w:t>
      </w:r>
      <w:r w:rsidRPr="003A22A4">
        <w:rPr>
          <w:b/>
          <w:bCs/>
        </w:rPr>
        <w:fldChar w:fldCharType="begin"/>
      </w:r>
      <w:r w:rsidRPr="003A22A4">
        <w:rPr>
          <w:b/>
          <w:bCs/>
        </w:rPr>
        <w:instrText xml:space="preserve"> SEQ Issue \* Arabic \n  \* MERGEFORMAT </w:instrText>
      </w:r>
      <w:r w:rsidRPr="003A22A4">
        <w:rPr>
          <w:b/>
          <w:bCs/>
        </w:rPr>
        <w:fldChar w:fldCharType="separate"/>
      </w:r>
      <w:r w:rsidR="00B306B9">
        <w:rPr>
          <w:b/>
          <w:bCs/>
          <w:noProof/>
        </w:rPr>
        <w:t>4</w:t>
      </w:r>
      <w:r w:rsidRPr="003A22A4">
        <w:fldChar w:fldCharType="end"/>
      </w:r>
      <w:r w:rsidRPr="003A22A4">
        <w:rPr>
          <w:b/>
          <w:bCs/>
        </w:rPr>
        <w:fldChar w:fldCharType="begin"/>
      </w:r>
      <w:r w:rsidRPr="003A22A4">
        <w:rPr>
          <w:b/>
          <w:bCs/>
        </w:rPr>
        <w:instrText xml:space="preserve"> SEQ AddendedLetter \r 0 \h  \* MERGEFORMAT </w:instrText>
      </w:r>
      <w:r w:rsidRPr="003A22A4">
        <w:fldChar w:fldCharType="end"/>
      </w:r>
      <w:r w:rsidRPr="003A22A4">
        <w:rPr>
          <w:b/>
          <w:bCs/>
        </w:rPr>
        <w:t>:</w:t>
      </w:r>
      <w:r w:rsidRPr="003A22A4">
        <w:rPr>
          <w:b/>
          <w:bCs/>
        </w:rPr>
        <w:tab/>
      </w:r>
      <w:r w:rsidRPr="00654FC3">
        <w:rPr>
          <w:b/>
        </w:rPr>
        <w:t>What are the appropriate jurisdictional separation factors for the projected period January 2021 through December 2021?</w:t>
      </w:r>
    </w:p>
    <w:p w:rsidR="00E82950" w:rsidRDefault="00E82950" w:rsidP="00E82950">
      <w:pPr>
        <w:ind w:left="1440" w:hanging="1440"/>
        <w:jc w:val="both"/>
      </w:pPr>
    </w:p>
    <w:p w:rsidR="00E82950" w:rsidRPr="003A22A4" w:rsidRDefault="00E82950" w:rsidP="00E82950">
      <w:pPr>
        <w:ind w:left="1440" w:hanging="1440"/>
        <w:jc w:val="both"/>
        <w:rPr>
          <w:b/>
        </w:rPr>
      </w:pPr>
      <w:r w:rsidRPr="003A22A4">
        <w:rPr>
          <w:b/>
          <w:bCs/>
        </w:rPr>
        <w:t>FPL:</w:t>
      </w:r>
      <w:r w:rsidRPr="003A22A4">
        <w:rPr>
          <w:rFonts w:ascii="Arial" w:hAnsi="Arial"/>
          <w:b/>
          <w:bCs/>
          <w:sz w:val="22"/>
          <w:szCs w:val="20"/>
        </w:rPr>
        <w:tab/>
      </w:r>
      <w:r w:rsidRPr="003A22A4">
        <w:rPr>
          <w:b/>
          <w:u w:val="single"/>
        </w:rPr>
        <w:t>ENERGY</w:t>
      </w:r>
    </w:p>
    <w:p w:rsidR="00E82950" w:rsidRPr="003A22A4" w:rsidRDefault="00E82950" w:rsidP="00E82950">
      <w:pPr>
        <w:ind w:left="720" w:firstLine="720"/>
        <w:jc w:val="both"/>
      </w:pPr>
      <w:r w:rsidRPr="003A22A4">
        <w:t>Retail Energy Jurisdictional Factor - Base/Solar</w:t>
      </w:r>
      <w:r w:rsidRPr="003A22A4">
        <w:tab/>
      </w:r>
      <w:r w:rsidRPr="003A22A4">
        <w:tab/>
        <w:t>95.6788%</w:t>
      </w:r>
    </w:p>
    <w:p w:rsidR="00E82950" w:rsidRPr="003A22A4" w:rsidRDefault="00E82950" w:rsidP="00E82950">
      <w:pPr>
        <w:ind w:left="720" w:firstLine="720"/>
        <w:jc w:val="both"/>
      </w:pPr>
      <w:r w:rsidRPr="003A22A4">
        <w:t xml:space="preserve">Retail Energy Jurisdictional Factor - Intermediate </w:t>
      </w:r>
      <w:r w:rsidRPr="003A22A4">
        <w:tab/>
      </w:r>
      <w:r w:rsidRPr="003A22A4">
        <w:tab/>
        <w:t>94.9979%</w:t>
      </w:r>
    </w:p>
    <w:p w:rsidR="00E82950" w:rsidRPr="003A22A4" w:rsidRDefault="00E82950" w:rsidP="00E82950">
      <w:pPr>
        <w:ind w:left="720" w:firstLine="720"/>
        <w:jc w:val="both"/>
      </w:pPr>
      <w:r w:rsidRPr="003A22A4">
        <w:t>Retail Energy Jurisdictional Factor - Peaking</w:t>
      </w:r>
      <w:r w:rsidRPr="003A22A4">
        <w:tab/>
        <w:t xml:space="preserve"> </w:t>
      </w:r>
      <w:r w:rsidRPr="003A22A4">
        <w:tab/>
        <w:t>95.2675%</w:t>
      </w:r>
    </w:p>
    <w:p w:rsidR="00E82950" w:rsidRPr="003A22A4" w:rsidRDefault="00E82950" w:rsidP="00E82950">
      <w:pPr>
        <w:ind w:left="720" w:firstLine="720"/>
        <w:jc w:val="both"/>
      </w:pPr>
    </w:p>
    <w:p w:rsidR="00E82950" w:rsidRPr="003A22A4" w:rsidRDefault="00E82950" w:rsidP="00E82950">
      <w:pPr>
        <w:ind w:left="720" w:firstLine="720"/>
        <w:jc w:val="both"/>
        <w:rPr>
          <w:b/>
          <w:u w:val="single"/>
        </w:rPr>
      </w:pPr>
      <w:r w:rsidRPr="003A22A4">
        <w:rPr>
          <w:b/>
          <w:u w:val="single"/>
        </w:rPr>
        <w:t>DEMAND</w:t>
      </w:r>
    </w:p>
    <w:p w:rsidR="00E82950" w:rsidRPr="003A22A4" w:rsidRDefault="00E82950" w:rsidP="00E82950">
      <w:pPr>
        <w:ind w:left="720" w:firstLine="720"/>
        <w:jc w:val="both"/>
      </w:pPr>
      <w:r w:rsidRPr="003A22A4">
        <w:t xml:space="preserve">Retail Demand Jurisdictional Factor - Transmission    </w:t>
      </w:r>
      <w:r w:rsidRPr="003A22A4">
        <w:tab/>
        <w:t>90.2300%</w:t>
      </w:r>
    </w:p>
    <w:p w:rsidR="00E82950" w:rsidRPr="003A22A4" w:rsidRDefault="00E82950" w:rsidP="00E82950">
      <w:pPr>
        <w:ind w:left="720" w:firstLine="720"/>
        <w:jc w:val="both"/>
      </w:pPr>
      <w:r w:rsidRPr="003A22A4">
        <w:t xml:space="preserve">Retail Demand Jurisdictional Factor - Base/Solar      </w:t>
      </w:r>
      <w:r w:rsidRPr="003A22A4">
        <w:tab/>
        <w:t>95.6891%</w:t>
      </w:r>
    </w:p>
    <w:p w:rsidR="00E82950" w:rsidRPr="003A22A4" w:rsidRDefault="00E82950" w:rsidP="00E82950">
      <w:pPr>
        <w:ind w:left="720" w:firstLine="720"/>
        <w:jc w:val="both"/>
      </w:pPr>
      <w:r w:rsidRPr="003A22A4">
        <w:t xml:space="preserve">Retail Demand Jurisdictional Factor - Intermediate     </w:t>
      </w:r>
      <w:r w:rsidRPr="003A22A4">
        <w:tab/>
        <w:t>95.0081%</w:t>
      </w:r>
    </w:p>
    <w:p w:rsidR="00E82950" w:rsidRPr="003A22A4" w:rsidRDefault="00E82950" w:rsidP="00E82950">
      <w:pPr>
        <w:ind w:left="720" w:firstLine="720"/>
        <w:jc w:val="both"/>
      </w:pPr>
      <w:r w:rsidRPr="003A22A4">
        <w:t xml:space="preserve">Retail Demand Jurisdictional Factor - Peaking       </w:t>
      </w:r>
      <w:r w:rsidRPr="003A22A4">
        <w:tab/>
      </w:r>
      <w:r w:rsidRPr="003A22A4">
        <w:tab/>
        <w:t>95.2778%</w:t>
      </w:r>
    </w:p>
    <w:p w:rsidR="00E82950" w:rsidRPr="003A22A4" w:rsidRDefault="00E82950" w:rsidP="00E82950">
      <w:pPr>
        <w:ind w:left="720" w:firstLine="720"/>
        <w:jc w:val="both"/>
      </w:pPr>
      <w:r w:rsidRPr="003A22A4">
        <w:t xml:space="preserve">Retail Demand Jurisdictional Factor - Distribution   </w:t>
      </w:r>
      <w:r w:rsidRPr="003A22A4">
        <w:tab/>
      </w:r>
      <w:r w:rsidRPr="003A22A4">
        <w:tab/>
        <w:t>100.0000%</w:t>
      </w:r>
    </w:p>
    <w:p w:rsidR="00E82950" w:rsidRPr="003A22A4" w:rsidRDefault="00E82950" w:rsidP="00E82950">
      <w:pPr>
        <w:ind w:left="720" w:firstLine="720"/>
        <w:jc w:val="both"/>
      </w:pPr>
    </w:p>
    <w:p w:rsidR="00E82950" w:rsidRPr="003A22A4" w:rsidRDefault="00E82950" w:rsidP="00E82950">
      <w:pPr>
        <w:ind w:left="720" w:firstLine="720"/>
        <w:jc w:val="both"/>
        <w:rPr>
          <w:b/>
          <w:u w:val="single"/>
        </w:rPr>
      </w:pPr>
      <w:r w:rsidRPr="003A22A4">
        <w:rPr>
          <w:b/>
          <w:u w:val="single"/>
        </w:rPr>
        <w:t>GENERAL PLANT</w:t>
      </w:r>
    </w:p>
    <w:p w:rsidR="00E82950" w:rsidRPr="003A22A4" w:rsidRDefault="00E82950" w:rsidP="00E82950">
      <w:pPr>
        <w:ind w:left="720" w:firstLine="720"/>
        <w:jc w:val="both"/>
      </w:pPr>
      <w:r w:rsidRPr="003A22A4">
        <w:t>Retail General Plant Jurisdictional Factor - Labor</w:t>
      </w:r>
      <w:r w:rsidRPr="003A22A4">
        <w:tab/>
      </w:r>
      <w:r w:rsidRPr="003A22A4">
        <w:tab/>
        <w:t>96.9888%</w:t>
      </w:r>
    </w:p>
    <w:p w:rsidR="00E82950" w:rsidRPr="003A22A4" w:rsidRDefault="00E82950" w:rsidP="00E82950">
      <w:pPr>
        <w:ind w:left="7200" w:firstLine="720"/>
        <w:jc w:val="both"/>
      </w:pPr>
      <w:r w:rsidRPr="003A22A4">
        <w:t>(Deaton)</w:t>
      </w:r>
    </w:p>
    <w:p w:rsidR="00E82950" w:rsidRPr="003A22A4" w:rsidRDefault="00E82950" w:rsidP="00E82950">
      <w:pPr>
        <w:ind w:left="1440" w:hanging="1440"/>
        <w:jc w:val="both"/>
        <w:rPr>
          <w:b/>
          <w:bCs/>
        </w:rPr>
      </w:pPr>
    </w:p>
    <w:p w:rsidR="00E82950" w:rsidRPr="003A22A4" w:rsidRDefault="00E82950" w:rsidP="00E82950">
      <w:pPr>
        <w:ind w:left="1440" w:hanging="1440"/>
        <w:jc w:val="both"/>
      </w:pPr>
      <w:r w:rsidRPr="003A22A4">
        <w:rPr>
          <w:b/>
          <w:bCs/>
        </w:rPr>
        <w:t>GULF:</w:t>
      </w:r>
      <w:r w:rsidRPr="003A22A4">
        <w:rPr>
          <w:b/>
          <w:bCs/>
        </w:rPr>
        <w:tab/>
      </w:r>
      <w:r w:rsidRPr="003A22A4">
        <w:t>Retail Energy Jurisdictional Factor - Base</w:t>
      </w:r>
      <w:r w:rsidRPr="003A22A4">
        <w:tab/>
      </w:r>
      <w:r w:rsidRPr="003A22A4">
        <w:tab/>
        <w:t xml:space="preserve">           100.0000%</w:t>
      </w:r>
    </w:p>
    <w:p w:rsidR="00E82950" w:rsidRPr="003A22A4" w:rsidRDefault="00E82950" w:rsidP="00E82950">
      <w:pPr>
        <w:ind w:left="720" w:firstLine="720"/>
        <w:jc w:val="both"/>
      </w:pPr>
      <w:r w:rsidRPr="003A22A4">
        <w:t xml:space="preserve">Retail Energy Jurisdictional Factor - Intermediate </w:t>
      </w:r>
      <w:r w:rsidRPr="003A22A4">
        <w:tab/>
      </w:r>
      <w:r w:rsidRPr="003A22A4">
        <w:tab/>
        <w:t xml:space="preserve"> 97.5922%</w:t>
      </w:r>
    </w:p>
    <w:p w:rsidR="00E82950" w:rsidRPr="003A22A4" w:rsidRDefault="00E82950" w:rsidP="00E82950">
      <w:pPr>
        <w:ind w:left="2340" w:hanging="900"/>
        <w:jc w:val="both"/>
        <w:rPr>
          <w:b/>
        </w:rPr>
      </w:pPr>
      <w:r w:rsidRPr="003A22A4">
        <w:t>Retail Energy Jurisdictional Factor - Peaking</w:t>
      </w:r>
      <w:r w:rsidRPr="003A22A4">
        <w:tab/>
        <w:t xml:space="preserve"> </w:t>
      </w:r>
      <w:r w:rsidRPr="003A22A4">
        <w:tab/>
        <w:t xml:space="preserve"> 76.0860%</w:t>
      </w:r>
    </w:p>
    <w:p w:rsidR="00E82950" w:rsidRPr="003A22A4" w:rsidRDefault="00E82950" w:rsidP="00E82950">
      <w:pPr>
        <w:ind w:left="2340" w:hanging="900"/>
        <w:jc w:val="both"/>
      </w:pPr>
      <w:r w:rsidRPr="003A22A4">
        <w:t xml:space="preserve">Retail Demand Jurisdictional Factor - Transmission    </w:t>
      </w:r>
      <w:r w:rsidRPr="003A22A4">
        <w:tab/>
        <w:t xml:space="preserve"> 97.2343%</w:t>
      </w:r>
    </w:p>
    <w:p w:rsidR="00E82950" w:rsidRPr="003A22A4" w:rsidRDefault="00E82950" w:rsidP="00E82950">
      <w:pPr>
        <w:ind w:left="2340" w:hanging="900"/>
        <w:jc w:val="both"/>
      </w:pPr>
      <w:r w:rsidRPr="003A22A4">
        <w:t>Retail Demand Jurisdictional Factor - Base                        100.0000%</w:t>
      </w:r>
    </w:p>
    <w:p w:rsidR="00E82950" w:rsidRPr="003A22A4" w:rsidRDefault="00E82950" w:rsidP="00E82950">
      <w:pPr>
        <w:ind w:left="2340" w:hanging="900"/>
        <w:jc w:val="both"/>
      </w:pPr>
      <w:r w:rsidRPr="003A22A4">
        <w:t xml:space="preserve">Retail Demand Jurisdictional Factor - Intermediate     </w:t>
      </w:r>
      <w:r w:rsidRPr="003A22A4">
        <w:tab/>
        <w:t xml:space="preserve"> 97.5922%</w:t>
      </w:r>
    </w:p>
    <w:p w:rsidR="00E82950" w:rsidRPr="003A22A4" w:rsidRDefault="00E82950" w:rsidP="00E82950">
      <w:pPr>
        <w:ind w:left="2340" w:hanging="900"/>
        <w:jc w:val="both"/>
      </w:pPr>
      <w:r w:rsidRPr="003A22A4">
        <w:t xml:space="preserve">Retail Demand Jurisdictional Factor - Peaking       </w:t>
      </w:r>
      <w:r w:rsidRPr="003A22A4">
        <w:tab/>
      </w:r>
      <w:r w:rsidRPr="003A22A4">
        <w:tab/>
        <w:t xml:space="preserve"> 76.0860%</w:t>
      </w:r>
    </w:p>
    <w:p w:rsidR="00E82950" w:rsidRPr="003A22A4" w:rsidRDefault="00E82950" w:rsidP="00E82950">
      <w:pPr>
        <w:ind w:left="2340" w:hanging="900"/>
        <w:jc w:val="both"/>
      </w:pPr>
      <w:r w:rsidRPr="003A22A4">
        <w:t xml:space="preserve">Retail Demand Jurisdictional Factor - General Plant </w:t>
      </w:r>
      <w:r w:rsidRPr="003A22A4">
        <w:tab/>
        <w:t xml:space="preserve"> 96.9888%</w:t>
      </w:r>
    </w:p>
    <w:p w:rsidR="00E82950" w:rsidRPr="003A22A4" w:rsidRDefault="00E82950" w:rsidP="00E82950">
      <w:pPr>
        <w:ind w:left="2340" w:hanging="900"/>
        <w:jc w:val="both"/>
      </w:pPr>
      <w:r w:rsidRPr="003A22A4">
        <w:t xml:space="preserve">Retail Demand Jurisdictional Factor - Distribution   </w:t>
      </w:r>
      <w:r w:rsidRPr="003A22A4">
        <w:tab/>
      </w:r>
      <w:r w:rsidRPr="003A22A4">
        <w:tab/>
        <w:t xml:space="preserve"> 98.1419%</w:t>
      </w:r>
    </w:p>
    <w:p w:rsidR="00E82950" w:rsidRPr="003A22A4" w:rsidRDefault="00E82950" w:rsidP="00E82950">
      <w:pPr>
        <w:ind w:left="7200" w:firstLine="720"/>
        <w:jc w:val="both"/>
      </w:pPr>
      <w:r w:rsidRPr="003A22A4">
        <w:t>(Hume)</w:t>
      </w:r>
    </w:p>
    <w:p w:rsidR="00E82950" w:rsidRPr="003A22A4" w:rsidRDefault="00344DD4" w:rsidP="00344DD4">
      <w:pPr>
        <w:rPr>
          <w:b/>
          <w:bCs/>
        </w:rPr>
      </w:pPr>
      <w:r>
        <w:rPr>
          <w:b/>
          <w:bCs/>
        </w:rPr>
        <w:br w:type="page"/>
      </w:r>
    </w:p>
    <w:p w:rsidR="00E82950" w:rsidRDefault="00E82950" w:rsidP="00E82950">
      <w:pPr>
        <w:spacing w:line="276" w:lineRule="auto"/>
        <w:ind w:left="1440" w:right="-432" w:hanging="1440"/>
        <w:jc w:val="both"/>
        <w:rPr>
          <w:bCs/>
        </w:rPr>
      </w:pPr>
      <w:r>
        <w:rPr>
          <w:b/>
          <w:bCs/>
        </w:rPr>
        <w:lastRenderedPageBreak/>
        <w:t>DEF:</w:t>
      </w:r>
      <w:r>
        <w:rPr>
          <w:b/>
          <w:bCs/>
        </w:rPr>
        <w:tab/>
      </w:r>
      <w:r>
        <w:rPr>
          <w:bCs/>
        </w:rPr>
        <w:t>The Energy separation factor is calculated for each month based on retail kWh sales as a percentage of projected total kWh sales.  The remaining separation factors are below and are consistent with DEF’s 2017 Second Revised and Restated Stipulation and Settlement Agreement (“2017 Agreement”) approved in Order No. PSC-2017-0451-AS-EU.</w:t>
      </w:r>
    </w:p>
    <w:p w:rsidR="00E82950" w:rsidRDefault="00E82950" w:rsidP="00E82950">
      <w:pPr>
        <w:ind w:left="360" w:right="-432"/>
        <w:jc w:val="both"/>
        <w:rPr>
          <w:bCs/>
        </w:rPr>
      </w:pPr>
    </w:p>
    <w:p w:rsidR="00E82950" w:rsidRDefault="00E82950" w:rsidP="00E82950">
      <w:pPr>
        <w:ind w:left="720" w:right="-432" w:firstLine="720"/>
        <w:jc w:val="both"/>
        <w:rPr>
          <w:bCs/>
        </w:rPr>
      </w:pPr>
      <w:r>
        <w:rPr>
          <w:bCs/>
        </w:rPr>
        <w:t>Transmission Average 12 CP Demand – 70.203%</w:t>
      </w:r>
    </w:p>
    <w:p w:rsidR="00E82950" w:rsidRDefault="00E82950" w:rsidP="00E82950">
      <w:pPr>
        <w:ind w:left="1080" w:right="-432" w:firstLine="360"/>
        <w:jc w:val="both"/>
        <w:rPr>
          <w:bCs/>
        </w:rPr>
      </w:pPr>
      <w:r>
        <w:rPr>
          <w:bCs/>
        </w:rPr>
        <w:t xml:space="preserve">Distribution Primary Demand – 99.561% </w:t>
      </w:r>
    </w:p>
    <w:p w:rsidR="00E82950" w:rsidRDefault="00E82950" w:rsidP="00E82950">
      <w:pPr>
        <w:ind w:left="360" w:right="-432"/>
        <w:jc w:val="both"/>
        <w:rPr>
          <w:bCs/>
        </w:rPr>
      </w:pPr>
    </w:p>
    <w:p w:rsidR="00E82950" w:rsidRDefault="00E82950" w:rsidP="00E82950">
      <w:pPr>
        <w:ind w:left="720" w:right="-432" w:firstLine="720"/>
        <w:jc w:val="both"/>
        <w:rPr>
          <w:bCs/>
        </w:rPr>
      </w:pPr>
      <w:r>
        <w:rPr>
          <w:bCs/>
        </w:rPr>
        <w:t>Production Demand:</w:t>
      </w:r>
    </w:p>
    <w:p w:rsidR="00E82950" w:rsidRDefault="00E82950" w:rsidP="00E82950">
      <w:pPr>
        <w:ind w:left="720" w:right="-432" w:firstLine="720"/>
        <w:jc w:val="both"/>
        <w:rPr>
          <w:bCs/>
        </w:rPr>
      </w:pPr>
      <w:r>
        <w:rPr>
          <w:bCs/>
        </w:rPr>
        <w:t>Production Base – 92.885%</w:t>
      </w:r>
    </w:p>
    <w:p w:rsidR="00E82950" w:rsidRDefault="00E82950" w:rsidP="00E82950">
      <w:pPr>
        <w:ind w:left="1080" w:right="-432" w:firstLine="360"/>
        <w:jc w:val="both"/>
        <w:rPr>
          <w:bCs/>
        </w:rPr>
      </w:pPr>
      <w:r>
        <w:rPr>
          <w:bCs/>
        </w:rPr>
        <w:t>Production Intermediate – 72.703%</w:t>
      </w:r>
    </w:p>
    <w:p w:rsidR="00E82950" w:rsidRDefault="00E82950" w:rsidP="00E82950">
      <w:pPr>
        <w:ind w:left="720" w:right="-432" w:firstLine="720"/>
        <w:jc w:val="both"/>
        <w:rPr>
          <w:bCs/>
        </w:rPr>
      </w:pPr>
      <w:r>
        <w:rPr>
          <w:bCs/>
        </w:rPr>
        <w:t>Production Peaking – 95.924%</w:t>
      </w:r>
    </w:p>
    <w:p w:rsidR="00E82950" w:rsidRDefault="00E82950" w:rsidP="00E82950">
      <w:pPr>
        <w:ind w:left="720" w:right="-432" w:firstLine="720"/>
        <w:jc w:val="both"/>
        <w:rPr>
          <w:bCs/>
        </w:rPr>
      </w:pPr>
      <w:r>
        <w:rPr>
          <w:bCs/>
        </w:rPr>
        <w:t xml:space="preserve">Production A&amp;G – 93.221% </w:t>
      </w:r>
    </w:p>
    <w:p w:rsidR="00E82950" w:rsidRDefault="00E82950" w:rsidP="00E82950">
      <w:pPr>
        <w:ind w:left="1440" w:hanging="1440"/>
        <w:jc w:val="both"/>
        <w:rPr>
          <w:b/>
          <w:bCs/>
        </w:rPr>
      </w:pPr>
      <w:r>
        <w:rPr>
          <w:bCs/>
        </w:rPr>
        <w:tab/>
        <w:t>(Menendez)</w:t>
      </w:r>
    </w:p>
    <w:p w:rsidR="00E82950" w:rsidRDefault="00E82950" w:rsidP="00E82950">
      <w:pPr>
        <w:ind w:left="1440" w:hanging="1440"/>
        <w:jc w:val="both"/>
      </w:pPr>
    </w:p>
    <w:p w:rsidR="00E82950" w:rsidRDefault="00E82950" w:rsidP="00E82950">
      <w:pPr>
        <w:ind w:left="1440" w:right="-360" w:hanging="1440"/>
        <w:jc w:val="both"/>
      </w:pPr>
      <w:r>
        <w:rPr>
          <w:b/>
          <w:bCs/>
        </w:rPr>
        <w:t>TECO:</w:t>
      </w:r>
      <w:r>
        <w:rPr>
          <w:b/>
          <w:bCs/>
        </w:rPr>
        <w:tab/>
      </w:r>
      <w:r>
        <w:t>Energy: 100.00%</w:t>
      </w:r>
    </w:p>
    <w:p w:rsidR="00E82950" w:rsidRDefault="00E82950" w:rsidP="00E82950">
      <w:pPr>
        <w:ind w:left="1440" w:hanging="1440"/>
        <w:jc w:val="both"/>
      </w:pPr>
      <w:r>
        <w:tab/>
        <w:t>Demand: 100.00% (Sizemore)</w:t>
      </w:r>
    </w:p>
    <w:p w:rsidR="00E82950" w:rsidRDefault="00E82950" w:rsidP="00E82950">
      <w:pPr>
        <w:ind w:left="1440" w:hanging="1440"/>
        <w:jc w:val="both"/>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rPr>
          <w:b/>
          <w:bCs/>
        </w:rPr>
      </w:pPr>
    </w:p>
    <w:p w:rsidR="00E82950" w:rsidRDefault="00E82950" w:rsidP="00E82950">
      <w:pPr>
        <w:ind w:left="1440" w:hanging="1440"/>
        <w:jc w:val="both"/>
      </w:pPr>
      <w:r>
        <w:rPr>
          <w:b/>
          <w:bCs/>
        </w:rPr>
        <w:t>PCS:</w:t>
      </w:r>
      <w:r>
        <w:rPr>
          <w:b/>
          <w:bCs/>
        </w:rPr>
        <w:tab/>
      </w:r>
      <w:r>
        <w:t>Agree with OPC.</w:t>
      </w:r>
    </w:p>
    <w:p w:rsidR="00E82950" w:rsidRDefault="00E82950" w:rsidP="00E82950">
      <w:pPr>
        <w:ind w:left="1440" w:hanging="1440"/>
        <w:jc w:val="both"/>
      </w:pPr>
    </w:p>
    <w:p w:rsidR="00E82950" w:rsidRDefault="00E82950" w:rsidP="00E82950">
      <w:pPr>
        <w:ind w:left="1440" w:hanging="1440"/>
        <w:jc w:val="both"/>
      </w:pPr>
      <w:r>
        <w:rPr>
          <w:b/>
          <w:bCs/>
        </w:rPr>
        <w:t>OPC:</w:t>
      </w:r>
      <w:r>
        <w:rPr>
          <w:b/>
          <w:bCs/>
        </w:rPr>
        <w:tab/>
      </w:r>
      <w:r>
        <w:t>The</w:t>
      </w:r>
      <w:r w:rsidRPr="00C21924">
        <w:t xml:space="preserve"> 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ind w:left="1440" w:hanging="1440"/>
        <w:jc w:val="both"/>
      </w:pPr>
    </w:p>
    <w:p w:rsidR="00E82950" w:rsidRDefault="00E82950" w:rsidP="00E82950">
      <w:pPr>
        <w:ind w:left="1440" w:hanging="1440"/>
        <w:jc w:val="both"/>
      </w:pPr>
      <w:r>
        <w:rPr>
          <w:b/>
          <w:bCs/>
        </w:rPr>
        <w:t>STAFF:</w:t>
      </w:r>
      <w:r>
        <w:rPr>
          <w:b/>
          <w:bCs/>
        </w:rPr>
        <w:tab/>
      </w:r>
      <w:r>
        <w:t xml:space="preserve">Staff has no position at this time. </w:t>
      </w:r>
    </w:p>
    <w:p w:rsidR="00E82950" w:rsidRDefault="00E82950" w:rsidP="00E82950">
      <w:pPr>
        <w:ind w:left="1440" w:hanging="1440"/>
        <w:jc w:val="both"/>
      </w:pPr>
    </w:p>
    <w:p w:rsidR="00E82950" w:rsidRDefault="00E82950" w:rsidP="00E82950">
      <w:pPr>
        <w:ind w:left="1440" w:hanging="1440"/>
        <w:jc w:val="both"/>
        <w:outlineLvl w:val="2"/>
        <w:rPr>
          <w:rFonts w:cs="Arial"/>
          <w:b/>
          <w:bCs/>
          <w:szCs w:val="26"/>
        </w:rPr>
      </w:pPr>
    </w:p>
    <w:p w:rsidR="00E82950" w:rsidRDefault="00E82950" w:rsidP="00E82950">
      <w:pPr>
        <w:ind w:left="1440" w:hanging="1440"/>
        <w:jc w:val="both"/>
        <w:outlineLvl w:val="2"/>
        <w:rPr>
          <w:rFonts w:cs="Arial"/>
          <w:b/>
          <w:bCs/>
          <w:szCs w:val="26"/>
        </w:rPr>
      </w:pPr>
    </w:p>
    <w:p w:rsidR="00E82950" w:rsidRDefault="00E82950" w:rsidP="00E82950">
      <w:pPr>
        <w:ind w:left="1440" w:hanging="1440"/>
        <w:jc w:val="both"/>
        <w:outlineLvl w:val="2"/>
        <w:rPr>
          <w:rFonts w:cs="Arial"/>
          <w:b/>
          <w:bCs/>
          <w:szCs w:val="26"/>
        </w:rPr>
      </w:pPr>
    </w:p>
    <w:p w:rsidR="00E82950" w:rsidRDefault="00E82950" w:rsidP="00E82950">
      <w:pPr>
        <w:ind w:left="1440" w:hanging="1440"/>
        <w:jc w:val="both"/>
        <w:outlineLvl w:val="2"/>
        <w:rPr>
          <w:rFonts w:cs="Arial"/>
          <w:b/>
          <w:bCs/>
          <w:szCs w:val="26"/>
        </w:rPr>
      </w:pPr>
    </w:p>
    <w:p w:rsidR="00E82950" w:rsidRDefault="00E82950" w:rsidP="00E82950">
      <w:pPr>
        <w:rPr>
          <w:rFonts w:cs="Arial"/>
          <w:b/>
          <w:bCs/>
          <w:szCs w:val="26"/>
        </w:rPr>
      </w:pPr>
      <w:r>
        <w:rPr>
          <w:rFonts w:cs="Arial"/>
          <w:b/>
          <w:bCs/>
          <w:szCs w:val="26"/>
        </w:rPr>
        <w:br w:type="page"/>
      </w:r>
    </w:p>
    <w:p w:rsidR="00E82950" w:rsidRPr="00654FC3" w:rsidRDefault="00E82950" w:rsidP="00E82950">
      <w:pPr>
        <w:ind w:left="1440" w:hanging="1440"/>
        <w:jc w:val="both"/>
        <w:outlineLvl w:val="2"/>
        <w:rPr>
          <w:b/>
        </w:rPr>
      </w:pPr>
      <w:r w:rsidRPr="008C23A2">
        <w:rPr>
          <w:rFonts w:cs="Arial"/>
          <w:b/>
          <w:bCs/>
          <w:szCs w:val="26"/>
        </w:rPr>
        <w:lastRenderedPageBreak/>
        <w:t xml:space="preserve">ISSUE </w:t>
      </w:r>
      <w:r w:rsidRPr="008C23A2">
        <w:rPr>
          <w:rFonts w:cs="Arial"/>
          <w:b/>
          <w:bCs/>
          <w:szCs w:val="26"/>
        </w:rPr>
        <w:fldChar w:fldCharType="begin"/>
      </w:r>
      <w:r w:rsidRPr="008C23A2">
        <w:rPr>
          <w:rFonts w:cs="Arial"/>
          <w:b/>
          <w:bCs/>
          <w:szCs w:val="26"/>
        </w:rPr>
        <w:instrText xml:space="preserve"> SEQ Issue \* Arabic \n  \* MERGEFORMAT </w:instrText>
      </w:r>
      <w:r w:rsidRPr="008C23A2">
        <w:rPr>
          <w:rFonts w:cs="Arial"/>
          <w:b/>
          <w:bCs/>
          <w:szCs w:val="26"/>
        </w:rPr>
        <w:fldChar w:fldCharType="separate"/>
      </w:r>
      <w:r w:rsidR="00B306B9">
        <w:rPr>
          <w:rFonts w:cs="Arial"/>
          <w:b/>
          <w:bCs/>
          <w:noProof/>
          <w:szCs w:val="26"/>
        </w:rPr>
        <w:t>5</w:t>
      </w:r>
      <w:r w:rsidRPr="008C23A2">
        <w:rPr>
          <w:rFonts w:cs="Arial"/>
          <w:b/>
          <w:bCs/>
          <w:noProof/>
          <w:szCs w:val="26"/>
        </w:rPr>
        <w:fldChar w:fldCharType="end"/>
      </w:r>
      <w:r w:rsidRPr="008C23A2">
        <w:rPr>
          <w:rFonts w:cs="Arial"/>
          <w:b/>
          <w:bCs/>
          <w:szCs w:val="26"/>
        </w:rPr>
        <w:fldChar w:fldCharType="begin"/>
      </w:r>
      <w:r w:rsidRPr="008C23A2">
        <w:rPr>
          <w:rFonts w:cs="Arial"/>
          <w:b/>
          <w:bCs/>
          <w:szCs w:val="26"/>
        </w:rPr>
        <w:instrText xml:space="preserve"> SEQ AddendedLetter \r 0 \h  \* MERGEFORMAT </w:instrText>
      </w:r>
      <w:r w:rsidRPr="008C23A2">
        <w:rPr>
          <w:rFonts w:cs="Arial"/>
          <w:b/>
          <w:bCs/>
          <w:szCs w:val="26"/>
        </w:rPr>
        <w:fldChar w:fldCharType="end"/>
      </w:r>
      <w:r w:rsidRPr="008C23A2">
        <w:rPr>
          <w:rFonts w:cs="Arial"/>
          <w:b/>
          <w:bCs/>
          <w:szCs w:val="26"/>
        </w:rPr>
        <w:t>:</w:t>
      </w:r>
      <w:r w:rsidRPr="008C23A2">
        <w:rPr>
          <w:rFonts w:cs="Arial"/>
          <w:b/>
          <w:bCs/>
          <w:szCs w:val="26"/>
        </w:rPr>
        <w:tab/>
      </w:r>
      <w:r w:rsidRPr="00654FC3">
        <w:rPr>
          <w:b/>
        </w:rPr>
        <w:t>What are the appropriate environmental cost recovery factors for the period January 2021 through December 2021 for each rate group?</w:t>
      </w:r>
    </w:p>
    <w:p w:rsidR="00E82950" w:rsidRDefault="00E82950" w:rsidP="00E82950">
      <w:pPr>
        <w:ind w:left="1440" w:hanging="1440"/>
        <w:jc w:val="both"/>
      </w:pPr>
    </w:p>
    <w:p w:rsidR="00E82950" w:rsidRDefault="00E82950" w:rsidP="00E82950">
      <w:pPr>
        <w:ind w:left="1440" w:hanging="1440"/>
        <w:jc w:val="both"/>
        <w:rPr>
          <w:b/>
          <w:bCs/>
        </w:rPr>
      </w:pPr>
      <w:r>
        <w:rPr>
          <w:b/>
          <w:bCs/>
        </w:rPr>
        <w:t>FPL:</w:t>
      </w:r>
      <w:r>
        <w:rPr>
          <w:b/>
          <w:bCs/>
        </w:rPr>
        <w:tab/>
      </w:r>
    </w:p>
    <w:tbl>
      <w:tblPr>
        <w:tblW w:w="5870" w:type="dxa"/>
        <w:tblInd w:w="1638" w:type="dxa"/>
        <w:tblLook w:val="04A0" w:firstRow="1" w:lastRow="0" w:firstColumn="1" w:lastColumn="0" w:noHBand="0" w:noVBand="1"/>
      </w:tblPr>
      <w:tblGrid>
        <w:gridCol w:w="4375"/>
        <w:gridCol w:w="1495"/>
      </w:tblGrid>
      <w:tr w:rsidR="00E82950" w:rsidTr="00E82950">
        <w:trPr>
          <w:trHeight w:val="781"/>
        </w:trPr>
        <w:tc>
          <w:tcPr>
            <w:tcW w:w="4375" w:type="dxa"/>
            <w:tcBorders>
              <w:top w:val="single" w:sz="8" w:space="0" w:color="auto"/>
              <w:left w:val="single" w:sz="8" w:space="0" w:color="auto"/>
              <w:bottom w:val="single" w:sz="8" w:space="0" w:color="000000"/>
              <w:right w:val="single" w:sz="8" w:space="0" w:color="000000"/>
            </w:tcBorders>
            <w:vAlign w:val="center"/>
            <w:hideMark/>
          </w:tcPr>
          <w:p w:rsidR="00E82950" w:rsidRDefault="00E82950" w:rsidP="00E82950">
            <w:pPr>
              <w:jc w:val="center"/>
              <w:rPr>
                <w:rFonts w:ascii="Arial" w:hAnsi="Arial" w:cs="Arial"/>
                <w:sz w:val="20"/>
                <w:szCs w:val="20"/>
              </w:rPr>
            </w:pPr>
            <w:r>
              <w:rPr>
                <w:rFonts w:ascii="Arial" w:hAnsi="Arial" w:cs="Arial"/>
                <w:sz w:val="20"/>
                <w:szCs w:val="20"/>
              </w:rPr>
              <w:t>RATE CLASS</w:t>
            </w:r>
          </w:p>
        </w:tc>
        <w:tc>
          <w:tcPr>
            <w:tcW w:w="1495" w:type="dxa"/>
            <w:tcBorders>
              <w:top w:val="single" w:sz="8" w:space="0" w:color="auto"/>
              <w:left w:val="single" w:sz="8" w:space="0" w:color="auto"/>
              <w:bottom w:val="single" w:sz="8" w:space="0" w:color="000000"/>
              <w:right w:val="single" w:sz="8" w:space="0" w:color="auto"/>
            </w:tcBorders>
            <w:vAlign w:val="center"/>
            <w:hideMark/>
          </w:tcPr>
          <w:p w:rsidR="00E82950" w:rsidRDefault="00E82950" w:rsidP="00E82950">
            <w:pPr>
              <w:jc w:val="center"/>
              <w:rPr>
                <w:rFonts w:ascii="Arial" w:hAnsi="Arial" w:cs="Arial"/>
                <w:sz w:val="20"/>
                <w:szCs w:val="20"/>
              </w:rPr>
            </w:pPr>
            <w:r>
              <w:rPr>
                <w:rFonts w:ascii="Arial" w:hAnsi="Arial" w:cs="Arial"/>
                <w:sz w:val="20"/>
                <w:szCs w:val="20"/>
              </w:rPr>
              <w:t>Environmental Cost Recovery Factor (cents/kWh)</w:t>
            </w:r>
            <w:r>
              <w:rPr>
                <w:rFonts w:ascii="Arial" w:hAnsi="Arial" w:cs="Arial"/>
                <w:sz w:val="20"/>
                <w:szCs w:val="20"/>
                <w:vertAlign w:val="superscript"/>
              </w:rPr>
              <w:t xml:space="preserve">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RS1/RTR1</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0.149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GS1/GST1</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0.150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GSD1/GSDT1/HLFT1/GSD1-EV</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0.133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OS2</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0.080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GSLD1/GSLDT1/CS1/CST1/HLFT2/GSLD1-EV</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0.135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GSLD2/GSLDT2/CS2/CST2/HLFT3</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0.114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GSLD3/GSLDT3/CS3/CST3</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0.110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SST1T</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0.110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SST1D1/SST1D2/SST1D3</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0.175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CILC D/CILC G</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0.113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CILC T</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0.102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MET</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0.122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OL1/SL1/SL1M/PL1</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0.027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SL2/SL2M/GSCU1</w:t>
            </w:r>
          </w:p>
        </w:tc>
        <w:tc>
          <w:tcPr>
            <w:tcW w:w="1495" w:type="dxa"/>
            <w:tcBorders>
              <w:top w:val="nil"/>
              <w:left w:val="single" w:sz="8" w:space="0" w:color="auto"/>
              <w:bottom w:val="nil"/>
              <w:right w:val="single" w:sz="8" w:space="0" w:color="auto"/>
            </w:tcBorders>
            <w:noWrap/>
            <w:hideMark/>
          </w:tcPr>
          <w:p w:rsidR="00E82950" w:rsidRDefault="00E82950" w:rsidP="00E82950">
            <w:pPr>
              <w:jc w:val="center"/>
              <w:rPr>
                <w:rFonts w:ascii="Arial" w:hAnsi="Arial" w:cs="Arial"/>
                <w:color w:val="000000"/>
                <w:sz w:val="20"/>
                <w:szCs w:val="20"/>
              </w:rPr>
            </w:pPr>
            <w:r>
              <w:rPr>
                <w:rFonts w:ascii="Arial" w:hAnsi="Arial" w:cs="Arial"/>
                <w:sz w:val="20"/>
                <w:szCs w:val="20"/>
              </w:rPr>
              <w:t xml:space="preserve">0.104 </w:t>
            </w:r>
          </w:p>
        </w:tc>
      </w:tr>
      <w:tr w:rsidR="00E82950" w:rsidTr="00E82950">
        <w:trPr>
          <w:trHeight w:val="243"/>
        </w:trPr>
        <w:tc>
          <w:tcPr>
            <w:tcW w:w="4375" w:type="dxa"/>
            <w:tcBorders>
              <w:top w:val="nil"/>
              <w:left w:val="single" w:sz="8" w:space="0" w:color="auto"/>
              <w:bottom w:val="nil"/>
              <w:right w:val="nil"/>
            </w:tcBorders>
            <w:noWrap/>
            <w:vAlign w:val="bottom"/>
            <w:hideMark/>
          </w:tcPr>
          <w:p w:rsidR="00E82950" w:rsidRDefault="00E82950" w:rsidP="00E82950">
            <w:pPr>
              <w:rPr>
                <w:rFonts w:ascii="Arial" w:hAnsi="Arial" w:cs="Arial"/>
                <w:color w:val="000000"/>
                <w:sz w:val="20"/>
                <w:szCs w:val="20"/>
              </w:rPr>
            </w:pPr>
            <w:r>
              <w:rPr>
                <w:rFonts w:ascii="Arial" w:hAnsi="Arial" w:cs="Arial"/>
                <w:color w:val="000000"/>
                <w:sz w:val="20"/>
                <w:szCs w:val="20"/>
              </w:rPr>
              <w:t> </w:t>
            </w:r>
          </w:p>
        </w:tc>
        <w:tc>
          <w:tcPr>
            <w:tcW w:w="1495" w:type="dxa"/>
            <w:tcBorders>
              <w:top w:val="nil"/>
              <w:left w:val="single" w:sz="8" w:space="0" w:color="auto"/>
              <w:bottom w:val="nil"/>
              <w:right w:val="single" w:sz="8" w:space="0" w:color="auto"/>
            </w:tcBorders>
            <w:noWrap/>
            <w:vAlign w:val="bottom"/>
            <w:hideMark/>
          </w:tcPr>
          <w:p w:rsidR="00E82950" w:rsidRDefault="00E82950" w:rsidP="00E82950">
            <w:pPr>
              <w:jc w:val="center"/>
              <w:rPr>
                <w:rFonts w:ascii="Arial" w:hAnsi="Arial" w:cs="Arial"/>
                <w:color w:val="000000"/>
                <w:sz w:val="20"/>
                <w:szCs w:val="20"/>
              </w:rPr>
            </w:pPr>
            <w:r>
              <w:rPr>
                <w:rFonts w:ascii="Arial" w:hAnsi="Arial" w:cs="Arial"/>
                <w:color w:val="000000"/>
                <w:sz w:val="20"/>
                <w:szCs w:val="20"/>
              </w:rPr>
              <w:t> </w:t>
            </w:r>
          </w:p>
        </w:tc>
      </w:tr>
      <w:tr w:rsidR="00E82950" w:rsidTr="00E82950">
        <w:trPr>
          <w:trHeight w:val="256"/>
        </w:trPr>
        <w:tc>
          <w:tcPr>
            <w:tcW w:w="4375" w:type="dxa"/>
            <w:tcBorders>
              <w:top w:val="nil"/>
              <w:left w:val="single" w:sz="8" w:space="0" w:color="auto"/>
              <w:bottom w:val="single" w:sz="8" w:space="0" w:color="auto"/>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Total</w:t>
            </w:r>
          </w:p>
        </w:tc>
        <w:tc>
          <w:tcPr>
            <w:tcW w:w="1495" w:type="dxa"/>
            <w:tcBorders>
              <w:top w:val="nil"/>
              <w:left w:val="single" w:sz="8" w:space="0" w:color="auto"/>
              <w:bottom w:val="single" w:sz="8" w:space="0" w:color="auto"/>
              <w:right w:val="single" w:sz="8" w:space="0" w:color="auto"/>
            </w:tcBorders>
            <w:noWrap/>
            <w:vAlign w:val="bottom"/>
            <w:hideMark/>
          </w:tcPr>
          <w:p w:rsidR="00E82950" w:rsidRDefault="00E82950" w:rsidP="00E82950">
            <w:pPr>
              <w:jc w:val="center"/>
              <w:rPr>
                <w:rFonts w:ascii="Arial" w:hAnsi="Arial" w:cs="Arial"/>
                <w:color w:val="000000"/>
                <w:sz w:val="20"/>
                <w:szCs w:val="20"/>
              </w:rPr>
            </w:pPr>
            <w:r>
              <w:rPr>
                <w:rFonts w:ascii="Arial" w:hAnsi="Arial" w:cs="Arial"/>
                <w:color w:val="000000"/>
                <w:sz w:val="20"/>
                <w:szCs w:val="20"/>
              </w:rPr>
              <w:t>0.141</w:t>
            </w:r>
          </w:p>
        </w:tc>
      </w:tr>
    </w:tbl>
    <w:p w:rsidR="00E82950" w:rsidRPr="00F22B09" w:rsidRDefault="00E82950" w:rsidP="00E82950">
      <w:pPr>
        <w:ind w:left="7200" w:firstLine="720"/>
        <w:jc w:val="both"/>
      </w:pPr>
      <w:r w:rsidRPr="00F22B09">
        <w:t>(Deaton)</w:t>
      </w: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r>
        <w:rPr>
          <w:b/>
          <w:bCs/>
        </w:rPr>
        <w:t>GULF:</w:t>
      </w:r>
      <w:r>
        <w:rPr>
          <w:b/>
          <w:bCs/>
        </w:rPr>
        <w:tab/>
      </w:r>
    </w:p>
    <w:tbl>
      <w:tblPr>
        <w:tblW w:w="5240" w:type="dxa"/>
        <w:tblInd w:w="1585" w:type="dxa"/>
        <w:tblLook w:val="04A0" w:firstRow="1" w:lastRow="0" w:firstColumn="1" w:lastColumn="0" w:noHBand="0" w:noVBand="1"/>
      </w:tblPr>
      <w:tblGrid>
        <w:gridCol w:w="3880"/>
        <w:gridCol w:w="1360"/>
      </w:tblGrid>
      <w:tr w:rsidR="00E82950" w:rsidTr="00E82950">
        <w:trPr>
          <w:trHeight w:val="990"/>
        </w:trPr>
        <w:tc>
          <w:tcPr>
            <w:tcW w:w="3880" w:type="dxa"/>
            <w:tcBorders>
              <w:top w:val="single" w:sz="4" w:space="0" w:color="auto"/>
              <w:left w:val="single" w:sz="4" w:space="0" w:color="auto"/>
              <w:bottom w:val="single" w:sz="4" w:space="0" w:color="auto"/>
              <w:right w:val="nil"/>
            </w:tcBorders>
            <w:vAlign w:val="center"/>
            <w:hideMark/>
          </w:tcPr>
          <w:p w:rsidR="00E82950" w:rsidRDefault="00E82950" w:rsidP="00E82950">
            <w:pPr>
              <w:jc w:val="center"/>
              <w:rPr>
                <w:rFonts w:ascii="Arial" w:hAnsi="Arial" w:cs="Arial"/>
                <w:sz w:val="20"/>
                <w:szCs w:val="20"/>
              </w:rPr>
            </w:pPr>
            <w:r>
              <w:rPr>
                <w:rFonts w:ascii="Arial" w:hAnsi="Arial" w:cs="Arial"/>
                <w:sz w:val="20"/>
                <w:szCs w:val="20"/>
              </w:rPr>
              <w:t>RATE CLASS</w:t>
            </w:r>
          </w:p>
        </w:tc>
        <w:tc>
          <w:tcPr>
            <w:tcW w:w="1360" w:type="dxa"/>
            <w:tcBorders>
              <w:top w:val="single" w:sz="4" w:space="0" w:color="auto"/>
              <w:left w:val="single" w:sz="4" w:space="0" w:color="auto"/>
              <w:bottom w:val="single" w:sz="4" w:space="0" w:color="auto"/>
              <w:right w:val="single" w:sz="4" w:space="0" w:color="auto"/>
            </w:tcBorders>
            <w:vAlign w:val="center"/>
            <w:hideMark/>
          </w:tcPr>
          <w:p w:rsidR="00E82950" w:rsidRDefault="00E82950" w:rsidP="00E82950">
            <w:pPr>
              <w:jc w:val="center"/>
              <w:rPr>
                <w:rFonts w:ascii="Arial" w:hAnsi="Arial" w:cs="Arial"/>
                <w:sz w:val="20"/>
                <w:szCs w:val="20"/>
              </w:rPr>
            </w:pPr>
            <w:r>
              <w:rPr>
                <w:rFonts w:ascii="Arial" w:hAnsi="Arial" w:cs="Arial"/>
                <w:sz w:val="20"/>
                <w:szCs w:val="20"/>
              </w:rPr>
              <w:t>ECRC Factor (cents/kWh)</w:t>
            </w:r>
          </w:p>
        </w:tc>
      </w:tr>
      <w:tr w:rsidR="00E82950" w:rsidTr="00E82950">
        <w:trPr>
          <w:trHeight w:val="285"/>
        </w:trPr>
        <w:tc>
          <w:tcPr>
            <w:tcW w:w="3880" w:type="dxa"/>
            <w:tcBorders>
              <w:top w:val="nil"/>
              <w:left w:val="single" w:sz="4"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RS, RSVP,  RSTOU</w:t>
            </w:r>
          </w:p>
        </w:tc>
        <w:tc>
          <w:tcPr>
            <w:tcW w:w="1360" w:type="dxa"/>
            <w:tcBorders>
              <w:top w:val="nil"/>
              <w:left w:val="single" w:sz="4" w:space="0" w:color="auto"/>
              <w:bottom w:val="nil"/>
              <w:right w:val="single" w:sz="4" w:space="0" w:color="auto"/>
            </w:tcBorders>
            <w:noWrap/>
            <w:vAlign w:val="bottom"/>
            <w:hideMark/>
          </w:tcPr>
          <w:p w:rsidR="00E82950" w:rsidRDefault="00E82950" w:rsidP="00E82950">
            <w:pPr>
              <w:jc w:val="center"/>
              <w:rPr>
                <w:rFonts w:ascii="Arial" w:hAnsi="Arial" w:cs="Arial"/>
                <w:sz w:val="20"/>
                <w:szCs w:val="20"/>
              </w:rPr>
            </w:pPr>
            <w:r>
              <w:rPr>
                <w:rFonts w:ascii="Arial" w:hAnsi="Arial" w:cs="Arial"/>
                <w:sz w:val="20"/>
                <w:szCs w:val="20"/>
              </w:rPr>
              <w:t xml:space="preserve">1.992 </w:t>
            </w:r>
          </w:p>
        </w:tc>
      </w:tr>
      <w:tr w:rsidR="00E82950" w:rsidTr="00E82950">
        <w:trPr>
          <w:trHeight w:val="285"/>
        </w:trPr>
        <w:tc>
          <w:tcPr>
            <w:tcW w:w="3880" w:type="dxa"/>
            <w:tcBorders>
              <w:top w:val="nil"/>
              <w:left w:val="single" w:sz="4"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GS</w:t>
            </w:r>
          </w:p>
        </w:tc>
        <w:tc>
          <w:tcPr>
            <w:tcW w:w="1360" w:type="dxa"/>
            <w:tcBorders>
              <w:top w:val="nil"/>
              <w:left w:val="single" w:sz="4" w:space="0" w:color="auto"/>
              <w:bottom w:val="nil"/>
              <w:right w:val="single" w:sz="4" w:space="0" w:color="auto"/>
            </w:tcBorders>
            <w:noWrap/>
            <w:vAlign w:val="bottom"/>
            <w:hideMark/>
          </w:tcPr>
          <w:p w:rsidR="00E82950" w:rsidRDefault="00E82950" w:rsidP="00E82950">
            <w:pPr>
              <w:jc w:val="center"/>
              <w:rPr>
                <w:rFonts w:ascii="Arial" w:hAnsi="Arial" w:cs="Arial"/>
                <w:sz w:val="20"/>
                <w:szCs w:val="20"/>
              </w:rPr>
            </w:pPr>
            <w:r>
              <w:rPr>
                <w:rFonts w:ascii="Arial" w:hAnsi="Arial" w:cs="Arial"/>
                <w:sz w:val="20"/>
                <w:szCs w:val="20"/>
              </w:rPr>
              <w:t xml:space="preserve">2.025 </w:t>
            </w:r>
          </w:p>
        </w:tc>
      </w:tr>
      <w:tr w:rsidR="00E82950" w:rsidTr="00E82950">
        <w:trPr>
          <w:trHeight w:val="285"/>
        </w:trPr>
        <w:tc>
          <w:tcPr>
            <w:tcW w:w="3880" w:type="dxa"/>
            <w:tcBorders>
              <w:top w:val="nil"/>
              <w:left w:val="single" w:sz="4"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GSD, GSDT, GSTOU</w:t>
            </w:r>
          </w:p>
        </w:tc>
        <w:tc>
          <w:tcPr>
            <w:tcW w:w="1360" w:type="dxa"/>
            <w:tcBorders>
              <w:top w:val="nil"/>
              <w:left w:val="single" w:sz="4" w:space="0" w:color="auto"/>
              <w:bottom w:val="nil"/>
              <w:right w:val="single" w:sz="4" w:space="0" w:color="auto"/>
            </w:tcBorders>
            <w:noWrap/>
            <w:vAlign w:val="bottom"/>
            <w:hideMark/>
          </w:tcPr>
          <w:p w:rsidR="00E82950" w:rsidRDefault="00E82950" w:rsidP="00E82950">
            <w:pPr>
              <w:jc w:val="center"/>
              <w:rPr>
                <w:rFonts w:ascii="Arial" w:hAnsi="Arial" w:cs="Arial"/>
                <w:sz w:val="20"/>
                <w:szCs w:val="20"/>
              </w:rPr>
            </w:pPr>
            <w:r>
              <w:rPr>
                <w:rFonts w:ascii="Arial" w:hAnsi="Arial" w:cs="Arial"/>
                <w:sz w:val="20"/>
                <w:szCs w:val="20"/>
              </w:rPr>
              <w:t xml:space="preserve">1.628 </w:t>
            </w:r>
          </w:p>
        </w:tc>
      </w:tr>
      <w:tr w:rsidR="00E82950" w:rsidTr="00E82950">
        <w:trPr>
          <w:trHeight w:val="285"/>
        </w:trPr>
        <w:tc>
          <w:tcPr>
            <w:tcW w:w="3880" w:type="dxa"/>
            <w:tcBorders>
              <w:top w:val="nil"/>
              <w:left w:val="single" w:sz="4"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LP, LPT</w:t>
            </w:r>
          </w:p>
        </w:tc>
        <w:tc>
          <w:tcPr>
            <w:tcW w:w="1360" w:type="dxa"/>
            <w:tcBorders>
              <w:top w:val="nil"/>
              <w:left w:val="single" w:sz="4" w:space="0" w:color="auto"/>
              <w:bottom w:val="nil"/>
              <w:right w:val="single" w:sz="4" w:space="0" w:color="auto"/>
            </w:tcBorders>
            <w:noWrap/>
            <w:vAlign w:val="bottom"/>
            <w:hideMark/>
          </w:tcPr>
          <w:p w:rsidR="00E82950" w:rsidRDefault="00E82950" w:rsidP="00E82950">
            <w:pPr>
              <w:jc w:val="center"/>
              <w:rPr>
                <w:rFonts w:ascii="Arial" w:hAnsi="Arial" w:cs="Arial"/>
                <w:sz w:val="20"/>
                <w:szCs w:val="20"/>
              </w:rPr>
            </w:pPr>
            <w:r>
              <w:rPr>
                <w:rFonts w:ascii="Arial" w:hAnsi="Arial" w:cs="Arial"/>
                <w:sz w:val="20"/>
                <w:szCs w:val="20"/>
              </w:rPr>
              <w:t xml:space="preserve">1.428 </w:t>
            </w:r>
          </w:p>
        </w:tc>
      </w:tr>
      <w:tr w:rsidR="00E82950" w:rsidTr="00E82950">
        <w:trPr>
          <w:trHeight w:val="285"/>
        </w:trPr>
        <w:tc>
          <w:tcPr>
            <w:tcW w:w="3880" w:type="dxa"/>
            <w:tcBorders>
              <w:top w:val="nil"/>
              <w:left w:val="single" w:sz="4"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PX, PXT, RTP, SBS</w:t>
            </w:r>
          </w:p>
        </w:tc>
        <w:tc>
          <w:tcPr>
            <w:tcW w:w="1360" w:type="dxa"/>
            <w:tcBorders>
              <w:top w:val="nil"/>
              <w:left w:val="single" w:sz="4" w:space="0" w:color="auto"/>
              <w:bottom w:val="nil"/>
              <w:right w:val="single" w:sz="4" w:space="0" w:color="auto"/>
            </w:tcBorders>
            <w:noWrap/>
            <w:vAlign w:val="bottom"/>
            <w:hideMark/>
          </w:tcPr>
          <w:p w:rsidR="00E82950" w:rsidRDefault="00E82950" w:rsidP="00E82950">
            <w:pPr>
              <w:jc w:val="center"/>
              <w:rPr>
                <w:rFonts w:ascii="Arial" w:hAnsi="Arial" w:cs="Arial"/>
                <w:sz w:val="20"/>
                <w:szCs w:val="20"/>
              </w:rPr>
            </w:pPr>
            <w:r>
              <w:rPr>
                <w:rFonts w:ascii="Arial" w:hAnsi="Arial" w:cs="Arial"/>
                <w:sz w:val="20"/>
                <w:szCs w:val="20"/>
              </w:rPr>
              <w:t xml:space="preserve">1.405 </w:t>
            </w:r>
          </w:p>
        </w:tc>
      </w:tr>
      <w:tr w:rsidR="00E82950" w:rsidTr="00E82950">
        <w:trPr>
          <w:trHeight w:val="300"/>
        </w:trPr>
        <w:tc>
          <w:tcPr>
            <w:tcW w:w="3880" w:type="dxa"/>
            <w:tcBorders>
              <w:top w:val="nil"/>
              <w:left w:val="single" w:sz="4" w:space="0" w:color="auto"/>
              <w:bottom w:val="nil"/>
              <w:right w:val="nil"/>
            </w:tcBorders>
            <w:noWrap/>
            <w:vAlign w:val="bottom"/>
            <w:hideMark/>
          </w:tcPr>
          <w:p w:rsidR="00E82950" w:rsidRDefault="00E82950" w:rsidP="00E82950">
            <w:pPr>
              <w:rPr>
                <w:rFonts w:ascii="Arial" w:hAnsi="Arial" w:cs="Arial"/>
              </w:rPr>
            </w:pPr>
            <w:r>
              <w:rPr>
                <w:rFonts w:ascii="Arial" w:hAnsi="Arial" w:cs="Arial"/>
              </w:rPr>
              <w:t>OS-I/II</w:t>
            </w:r>
          </w:p>
        </w:tc>
        <w:tc>
          <w:tcPr>
            <w:tcW w:w="1360" w:type="dxa"/>
            <w:tcBorders>
              <w:top w:val="nil"/>
              <w:left w:val="single" w:sz="4" w:space="0" w:color="auto"/>
              <w:bottom w:val="nil"/>
              <w:right w:val="single" w:sz="4" w:space="0" w:color="auto"/>
            </w:tcBorders>
            <w:noWrap/>
            <w:vAlign w:val="bottom"/>
            <w:hideMark/>
          </w:tcPr>
          <w:p w:rsidR="00E82950" w:rsidRDefault="00E82950" w:rsidP="00E82950">
            <w:pPr>
              <w:jc w:val="center"/>
              <w:rPr>
                <w:rFonts w:ascii="Arial" w:hAnsi="Arial" w:cs="Arial"/>
                <w:sz w:val="20"/>
                <w:szCs w:val="20"/>
              </w:rPr>
            </w:pPr>
            <w:r>
              <w:rPr>
                <w:rFonts w:ascii="Arial" w:hAnsi="Arial" w:cs="Arial"/>
                <w:sz w:val="20"/>
                <w:szCs w:val="20"/>
              </w:rPr>
              <w:t xml:space="preserve">0.446 </w:t>
            </w:r>
          </w:p>
        </w:tc>
      </w:tr>
      <w:tr w:rsidR="00E82950" w:rsidTr="00E82950">
        <w:trPr>
          <w:trHeight w:val="300"/>
        </w:trPr>
        <w:tc>
          <w:tcPr>
            <w:tcW w:w="3880" w:type="dxa"/>
            <w:tcBorders>
              <w:top w:val="nil"/>
              <w:left w:val="single" w:sz="4" w:space="0" w:color="auto"/>
              <w:bottom w:val="nil"/>
              <w:right w:val="nil"/>
            </w:tcBorders>
            <w:noWrap/>
            <w:vAlign w:val="bottom"/>
            <w:hideMark/>
          </w:tcPr>
          <w:p w:rsidR="00E82950" w:rsidRDefault="00E82950" w:rsidP="00E82950">
            <w:pPr>
              <w:rPr>
                <w:rFonts w:ascii="Arial" w:hAnsi="Arial" w:cs="Arial"/>
              </w:rPr>
            </w:pPr>
            <w:r>
              <w:rPr>
                <w:rFonts w:ascii="Arial" w:hAnsi="Arial" w:cs="Arial"/>
              </w:rPr>
              <w:t>OS-III</w:t>
            </w:r>
          </w:p>
        </w:tc>
        <w:tc>
          <w:tcPr>
            <w:tcW w:w="1360" w:type="dxa"/>
            <w:tcBorders>
              <w:top w:val="nil"/>
              <w:left w:val="single" w:sz="4" w:space="0" w:color="auto"/>
              <w:bottom w:val="nil"/>
              <w:right w:val="single" w:sz="4" w:space="0" w:color="auto"/>
            </w:tcBorders>
            <w:noWrap/>
            <w:vAlign w:val="bottom"/>
            <w:hideMark/>
          </w:tcPr>
          <w:p w:rsidR="00E82950" w:rsidRDefault="00E82950" w:rsidP="00E82950">
            <w:pPr>
              <w:jc w:val="center"/>
              <w:rPr>
                <w:rFonts w:ascii="Arial" w:hAnsi="Arial" w:cs="Arial"/>
                <w:sz w:val="20"/>
                <w:szCs w:val="20"/>
              </w:rPr>
            </w:pPr>
            <w:r>
              <w:rPr>
                <w:rFonts w:ascii="Arial" w:hAnsi="Arial" w:cs="Arial"/>
                <w:sz w:val="20"/>
                <w:szCs w:val="20"/>
              </w:rPr>
              <w:t xml:space="preserve">1.290 </w:t>
            </w:r>
          </w:p>
        </w:tc>
      </w:tr>
      <w:tr w:rsidR="00E82950" w:rsidTr="00E82950">
        <w:trPr>
          <w:trHeight w:val="285"/>
        </w:trPr>
        <w:tc>
          <w:tcPr>
            <w:tcW w:w="3880" w:type="dxa"/>
            <w:tcBorders>
              <w:top w:val="nil"/>
              <w:left w:val="single" w:sz="4" w:space="0" w:color="auto"/>
              <w:bottom w:val="nil"/>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 </w:t>
            </w:r>
          </w:p>
        </w:tc>
        <w:tc>
          <w:tcPr>
            <w:tcW w:w="1360" w:type="dxa"/>
            <w:tcBorders>
              <w:top w:val="nil"/>
              <w:left w:val="single" w:sz="4" w:space="0" w:color="auto"/>
              <w:bottom w:val="nil"/>
              <w:right w:val="single" w:sz="4" w:space="0" w:color="auto"/>
            </w:tcBorders>
            <w:noWrap/>
            <w:vAlign w:val="bottom"/>
            <w:hideMark/>
          </w:tcPr>
          <w:p w:rsidR="00E82950" w:rsidRDefault="00E82950" w:rsidP="00E82950">
            <w:pPr>
              <w:jc w:val="center"/>
              <w:rPr>
                <w:rFonts w:ascii="Arial" w:hAnsi="Arial" w:cs="Arial"/>
                <w:sz w:val="20"/>
                <w:szCs w:val="20"/>
              </w:rPr>
            </w:pPr>
            <w:r>
              <w:rPr>
                <w:rFonts w:ascii="Arial" w:hAnsi="Arial" w:cs="Arial"/>
                <w:sz w:val="20"/>
                <w:szCs w:val="20"/>
              </w:rPr>
              <w:t> </w:t>
            </w:r>
          </w:p>
        </w:tc>
      </w:tr>
      <w:tr w:rsidR="00E82950" w:rsidTr="00E82950">
        <w:trPr>
          <w:trHeight w:val="285"/>
        </w:trPr>
        <w:tc>
          <w:tcPr>
            <w:tcW w:w="3880" w:type="dxa"/>
            <w:tcBorders>
              <w:top w:val="nil"/>
              <w:left w:val="single" w:sz="4" w:space="0" w:color="auto"/>
              <w:bottom w:val="single" w:sz="4" w:space="0" w:color="auto"/>
              <w:right w:val="nil"/>
            </w:tcBorders>
            <w:noWrap/>
            <w:vAlign w:val="bottom"/>
            <w:hideMark/>
          </w:tcPr>
          <w:p w:rsidR="00E82950" w:rsidRDefault="00E82950" w:rsidP="00E82950">
            <w:pPr>
              <w:rPr>
                <w:rFonts w:ascii="Arial" w:hAnsi="Arial" w:cs="Arial"/>
                <w:sz w:val="20"/>
                <w:szCs w:val="20"/>
              </w:rPr>
            </w:pPr>
            <w:r>
              <w:rPr>
                <w:rFonts w:ascii="Arial" w:hAnsi="Arial" w:cs="Arial"/>
                <w:sz w:val="20"/>
                <w:szCs w:val="20"/>
              </w:rPr>
              <w:t>TOTAL</w:t>
            </w:r>
          </w:p>
        </w:tc>
        <w:tc>
          <w:tcPr>
            <w:tcW w:w="1360" w:type="dxa"/>
            <w:tcBorders>
              <w:top w:val="nil"/>
              <w:left w:val="single" w:sz="4" w:space="0" w:color="auto"/>
              <w:bottom w:val="single" w:sz="4" w:space="0" w:color="auto"/>
              <w:right w:val="single" w:sz="4" w:space="0" w:color="auto"/>
            </w:tcBorders>
            <w:noWrap/>
            <w:vAlign w:val="bottom"/>
            <w:hideMark/>
          </w:tcPr>
          <w:p w:rsidR="00E82950" w:rsidRDefault="00E82950" w:rsidP="00E82950">
            <w:pPr>
              <w:jc w:val="center"/>
              <w:rPr>
                <w:rFonts w:ascii="Arial" w:hAnsi="Arial" w:cs="Arial"/>
                <w:sz w:val="20"/>
                <w:szCs w:val="20"/>
              </w:rPr>
            </w:pPr>
            <w:r>
              <w:rPr>
                <w:rFonts w:ascii="Arial" w:hAnsi="Arial" w:cs="Arial"/>
                <w:sz w:val="20"/>
                <w:szCs w:val="20"/>
              </w:rPr>
              <w:t xml:space="preserve">1.762 </w:t>
            </w:r>
          </w:p>
        </w:tc>
      </w:tr>
    </w:tbl>
    <w:p w:rsidR="00E82950" w:rsidRPr="00F22B09" w:rsidRDefault="00E82950" w:rsidP="00E82950">
      <w:pPr>
        <w:ind w:left="7200" w:firstLine="720"/>
        <w:jc w:val="both"/>
      </w:pPr>
      <w:r w:rsidRPr="00F22B09">
        <w:t>(Hume)</w:t>
      </w:r>
    </w:p>
    <w:p w:rsidR="00E82950" w:rsidRDefault="00E82950" w:rsidP="00E82950">
      <w:pPr>
        <w:rPr>
          <w:b/>
          <w:bCs/>
        </w:rPr>
      </w:pPr>
      <w:r>
        <w:rPr>
          <w:b/>
          <w:bCs/>
        </w:rPr>
        <w:lastRenderedPageBreak/>
        <w:t>DEF:</w:t>
      </w:r>
      <w:r>
        <w:rPr>
          <w:b/>
          <w:bCs/>
        </w:rPr>
        <w:tab/>
      </w:r>
    </w:p>
    <w:tbl>
      <w:tblPr>
        <w:tblpPr w:leftFromText="180" w:rightFromText="180" w:vertAnchor="text" w:horzAnchor="margin" w:tblpX="1548" w:tblpY="112"/>
        <w:tblW w:w="7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6"/>
        <w:gridCol w:w="3551"/>
      </w:tblGrid>
      <w:tr w:rsidR="00E82950" w:rsidTr="00E82950">
        <w:trPr>
          <w:trHeight w:val="534"/>
        </w:trPr>
        <w:tc>
          <w:tcPr>
            <w:tcW w:w="3746" w:type="dxa"/>
            <w:tcBorders>
              <w:top w:val="single" w:sz="4" w:space="0" w:color="auto"/>
              <w:left w:val="single" w:sz="4" w:space="0" w:color="auto"/>
              <w:bottom w:val="single" w:sz="4" w:space="0" w:color="auto"/>
              <w:right w:val="single" w:sz="4" w:space="0" w:color="auto"/>
            </w:tcBorders>
            <w:vAlign w:val="center"/>
            <w:hideMark/>
          </w:tcPr>
          <w:p w:rsidR="00E82950" w:rsidRDefault="00E82950" w:rsidP="00E82950">
            <w:pPr>
              <w:suppressLineNumbers/>
              <w:spacing w:line="500" w:lineRule="exact"/>
              <w:jc w:val="center"/>
              <w:rPr>
                <w:b/>
                <w:sz w:val="18"/>
                <w:szCs w:val="18"/>
              </w:rPr>
            </w:pPr>
            <w:r>
              <w:rPr>
                <w:b/>
                <w:sz w:val="18"/>
                <w:szCs w:val="18"/>
              </w:rPr>
              <w:t>RATE CLASS</w:t>
            </w:r>
          </w:p>
        </w:tc>
        <w:tc>
          <w:tcPr>
            <w:tcW w:w="3551" w:type="dxa"/>
            <w:tcBorders>
              <w:top w:val="single" w:sz="4" w:space="0" w:color="auto"/>
              <w:left w:val="single" w:sz="4" w:space="0" w:color="auto"/>
              <w:bottom w:val="single" w:sz="4" w:space="0" w:color="auto"/>
              <w:right w:val="single" w:sz="4" w:space="0" w:color="auto"/>
            </w:tcBorders>
            <w:vAlign w:val="center"/>
            <w:hideMark/>
          </w:tcPr>
          <w:p w:rsidR="00E82950" w:rsidRDefault="00E82950" w:rsidP="00E82950">
            <w:pPr>
              <w:suppressLineNumbers/>
              <w:spacing w:line="500" w:lineRule="exact"/>
              <w:jc w:val="center"/>
              <w:rPr>
                <w:b/>
                <w:sz w:val="18"/>
                <w:szCs w:val="18"/>
              </w:rPr>
            </w:pPr>
            <w:r>
              <w:rPr>
                <w:b/>
                <w:sz w:val="18"/>
                <w:szCs w:val="18"/>
              </w:rPr>
              <w:t>ECRC FACTORS</w:t>
            </w:r>
          </w:p>
        </w:tc>
      </w:tr>
      <w:tr w:rsidR="00E82950" w:rsidTr="00E82950">
        <w:trPr>
          <w:trHeight w:val="282"/>
        </w:trPr>
        <w:tc>
          <w:tcPr>
            <w:tcW w:w="3746"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spacing w:line="500" w:lineRule="exact"/>
              <w:rPr>
                <w:sz w:val="18"/>
                <w:szCs w:val="18"/>
              </w:rPr>
            </w:pPr>
            <w:r>
              <w:rPr>
                <w:sz w:val="18"/>
                <w:szCs w:val="18"/>
              </w:rPr>
              <w:t>Residential</w:t>
            </w:r>
          </w:p>
        </w:tc>
        <w:tc>
          <w:tcPr>
            <w:tcW w:w="3551"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spacing w:line="500" w:lineRule="exact"/>
              <w:jc w:val="center"/>
              <w:rPr>
                <w:sz w:val="18"/>
                <w:szCs w:val="18"/>
              </w:rPr>
            </w:pPr>
            <w:r>
              <w:rPr>
                <w:sz w:val="18"/>
                <w:szCs w:val="18"/>
              </w:rPr>
              <w:t>0.099 cents/kWh</w:t>
            </w:r>
          </w:p>
        </w:tc>
      </w:tr>
      <w:tr w:rsidR="00E82950" w:rsidTr="00E82950">
        <w:trPr>
          <w:trHeight w:val="1138"/>
        </w:trPr>
        <w:tc>
          <w:tcPr>
            <w:tcW w:w="3746"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tabs>
                <w:tab w:val="left" w:pos="576"/>
                <w:tab w:val="left" w:pos="1440"/>
                <w:tab w:val="left" w:pos="1728"/>
                <w:tab w:val="left" w:pos="5904"/>
              </w:tabs>
              <w:spacing w:line="500" w:lineRule="exact"/>
              <w:rPr>
                <w:sz w:val="18"/>
                <w:szCs w:val="18"/>
              </w:rPr>
            </w:pPr>
            <w:r>
              <w:rPr>
                <w:sz w:val="18"/>
                <w:szCs w:val="18"/>
              </w:rPr>
              <w:t>General Service Non-Demand</w:t>
            </w:r>
          </w:p>
          <w:p w:rsidR="00E82950" w:rsidRDefault="00E82950" w:rsidP="00E82950">
            <w:pPr>
              <w:suppressLineNumbers/>
              <w:spacing w:line="500" w:lineRule="exact"/>
              <w:rPr>
                <w:sz w:val="18"/>
                <w:szCs w:val="18"/>
              </w:rPr>
            </w:pPr>
            <w:r>
              <w:rPr>
                <w:sz w:val="18"/>
                <w:szCs w:val="18"/>
              </w:rPr>
              <w:t xml:space="preserve">          @ Secondary Voltage</w:t>
            </w:r>
          </w:p>
          <w:p w:rsidR="00E82950" w:rsidRDefault="00E82950" w:rsidP="00E82950">
            <w:pPr>
              <w:suppressLineNumbers/>
              <w:spacing w:line="500" w:lineRule="exact"/>
              <w:rPr>
                <w:sz w:val="18"/>
                <w:szCs w:val="18"/>
              </w:rPr>
            </w:pPr>
            <w:r>
              <w:rPr>
                <w:sz w:val="18"/>
                <w:szCs w:val="18"/>
              </w:rPr>
              <w:t xml:space="preserve">          @ Primary Voltage</w:t>
            </w:r>
          </w:p>
          <w:p w:rsidR="00E82950" w:rsidRDefault="00E82950" w:rsidP="00E82950">
            <w:pPr>
              <w:suppressLineNumbers/>
              <w:spacing w:line="500" w:lineRule="exact"/>
              <w:rPr>
                <w:sz w:val="18"/>
                <w:szCs w:val="18"/>
              </w:rPr>
            </w:pPr>
            <w:r>
              <w:rPr>
                <w:sz w:val="18"/>
                <w:szCs w:val="18"/>
              </w:rPr>
              <w:t xml:space="preserve">          @ Transmission Voltage</w:t>
            </w:r>
          </w:p>
        </w:tc>
        <w:tc>
          <w:tcPr>
            <w:tcW w:w="3551" w:type="dxa"/>
            <w:tcBorders>
              <w:top w:val="single" w:sz="4" w:space="0" w:color="auto"/>
              <w:left w:val="single" w:sz="4" w:space="0" w:color="auto"/>
              <w:bottom w:val="single" w:sz="4" w:space="0" w:color="auto"/>
              <w:right w:val="single" w:sz="4" w:space="0" w:color="auto"/>
            </w:tcBorders>
          </w:tcPr>
          <w:p w:rsidR="00E82950" w:rsidRDefault="00E82950" w:rsidP="00E82950">
            <w:pPr>
              <w:suppressLineNumbers/>
              <w:spacing w:line="500" w:lineRule="exact"/>
              <w:jc w:val="center"/>
              <w:rPr>
                <w:sz w:val="18"/>
                <w:szCs w:val="18"/>
              </w:rPr>
            </w:pPr>
          </w:p>
          <w:p w:rsidR="00E82950" w:rsidRDefault="00E82950" w:rsidP="00E82950">
            <w:pPr>
              <w:suppressLineNumbers/>
              <w:spacing w:line="500" w:lineRule="exact"/>
              <w:jc w:val="center"/>
              <w:rPr>
                <w:sz w:val="18"/>
                <w:szCs w:val="18"/>
              </w:rPr>
            </w:pPr>
            <w:r>
              <w:rPr>
                <w:sz w:val="18"/>
                <w:szCs w:val="18"/>
              </w:rPr>
              <w:t>0.098 cents/kWh</w:t>
            </w:r>
          </w:p>
          <w:p w:rsidR="00E82950" w:rsidRDefault="00E82950" w:rsidP="00E82950">
            <w:pPr>
              <w:suppressLineNumbers/>
              <w:spacing w:line="500" w:lineRule="exact"/>
              <w:jc w:val="center"/>
              <w:rPr>
                <w:sz w:val="18"/>
                <w:szCs w:val="18"/>
              </w:rPr>
            </w:pPr>
            <w:r>
              <w:rPr>
                <w:sz w:val="18"/>
                <w:szCs w:val="18"/>
              </w:rPr>
              <w:t>0.097 cents/kWh</w:t>
            </w:r>
          </w:p>
          <w:p w:rsidR="00E82950" w:rsidRDefault="00E82950" w:rsidP="00E82950">
            <w:pPr>
              <w:suppressLineNumbers/>
              <w:spacing w:line="500" w:lineRule="exact"/>
              <w:jc w:val="center"/>
              <w:rPr>
                <w:sz w:val="18"/>
                <w:szCs w:val="18"/>
              </w:rPr>
            </w:pPr>
            <w:r>
              <w:rPr>
                <w:sz w:val="18"/>
                <w:szCs w:val="18"/>
              </w:rPr>
              <w:t>0.096 cents/kWh</w:t>
            </w:r>
          </w:p>
        </w:tc>
      </w:tr>
      <w:tr w:rsidR="00E82950" w:rsidTr="00E82950">
        <w:trPr>
          <w:trHeight w:val="282"/>
        </w:trPr>
        <w:tc>
          <w:tcPr>
            <w:tcW w:w="3746"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spacing w:line="500" w:lineRule="exact"/>
              <w:rPr>
                <w:sz w:val="18"/>
                <w:szCs w:val="18"/>
              </w:rPr>
            </w:pPr>
            <w:r>
              <w:rPr>
                <w:sz w:val="18"/>
                <w:szCs w:val="18"/>
              </w:rPr>
              <w:t>General Service 100% Load Factor</w:t>
            </w:r>
          </w:p>
        </w:tc>
        <w:tc>
          <w:tcPr>
            <w:tcW w:w="3551"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spacing w:line="500" w:lineRule="exact"/>
              <w:jc w:val="center"/>
              <w:rPr>
                <w:sz w:val="18"/>
                <w:szCs w:val="18"/>
              </w:rPr>
            </w:pPr>
            <w:r>
              <w:rPr>
                <w:sz w:val="18"/>
                <w:szCs w:val="18"/>
              </w:rPr>
              <w:t>0.095 cents/kWh</w:t>
            </w:r>
          </w:p>
        </w:tc>
      </w:tr>
      <w:tr w:rsidR="00E82950" w:rsidTr="00E82950">
        <w:trPr>
          <w:trHeight w:val="1171"/>
        </w:trPr>
        <w:tc>
          <w:tcPr>
            <w:tcW w:w="3746"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tabs>
                <w:tab w:val="left" w:pos="576"/>
                <w:tab w:val="left" w:pos="1440"/>
                <w:tab w:val="left" w:pos="1728"/>
                <w:tab w:val="left" w:pos="5904"/>
              </w:tabs>
              <w:spacing w:line="500" w:lineRule="exact"/>
              <w:rPr>
                <w:sz w:val="18"/>
                <w:szCs w:val="18"/>
              </w:rPr>
            </w:pPr>
            <w:r>
              <w:rPr>
                <w:sz w:val="18"/>
                <w:szCs w:val="18"/>
              </w:rPr>
              <w:t>General Service Demand</w:t>
            </w:r>
          </w:p>
          <w:p w:rsidR="00E82950" w:rsidRDefault="00E82950" w:rsidP="00E82950">
            <w:pPr>
              <w:suppressLineNumbers/>
              <w:spacing w:line="500" w:lineRule="exact"/>
              <w:jc w:val="both"/>
              <w:rPr>
                <w:sz w:val="18"/>
                <w:szCs w:val="18"/>
              </w:rPr>
            </w:pPr>
            <w:r>
              <w:rPr>
                <w:sz w:val="18"/>
                <w:szCs w:val="18"/>
              </w:rPr>
              <w:t xml:space="preserve">            @ Secondary Voltage</w:t>
            </w:r>
          </w:p>
          <w:p w:rsidR="00E82950" w:rsidRDefault="00E82950" w:rsidP="00E82950">
            <w:pPr>
              <w:suppressLineNumbers/>
              <w:spacing w:line="500" w:lineRule="exact"/>
              <w:jc w:val="both"/>
              <w:rPr>
                <w:sz w:val="18"/>
                <w:szCs w:val="18"/>
              </w:rPr>
            </w:pPr>
            <w:r>
              <w:rPr>
                <w:sz w:val="18"/>
                <w:szCs w:val="18"/>
              </w:rPr>
              <w:t xml:space="preserve">            @ Primary Voltage</w:t>
            </w:r>
          </w:p>
          <w:p w:rsidR="00E82950" w:rsidRDefault="00E82950" w:rsidP="00E82950">
            <w:pPr>
              <w:suppressLineNumbers/>
              <w:spacing w:line="500" w:lineRule="exact"/>
              <w:jc w:val="both"/>
              <w:rPr>
                <w:sz w:val="18"/>
                <w:szCs w:val="18"/>
              </w:rPr>
            </w:pPr>
            <w:r>
              <w:rPr>
                <w:sz w:val="18"/>
                <w:szCs w:val="18"/>
              </w:rPr>
              <w:t xml:space="preserve">            @ Transmission Voltage</w:t>
            </w:r>
          </w:p>
        </w:tc>
        <w:tc>
          <w:tcPr>
            <w:tcW w:w="3551" w:type="dxa"/>
            <w:tcBorders>
              <w:top w:val="single" w:sz="4" w:space="0" w:color="auto"/>
              <w:left w:val="single" w:sz="4" w:space="0" w:color="auto"/>
              <w:bottom w:val="single" w:sz="4" w:space="0" w:color="auto"/>
              <w:right w:val="single" w:sz="4" w:space="0" w:color="auto"/>
            </w:tcBorders>
          </w:tcPr>
          <w:p w:rsidR="00E82950" w:rsidRDefault="00E82950" w:rsidP="00E82950">
            <w:pPr>
              <w:keepNext/>
              <w:suppressLineNumbers/>
              <w:suppressAutoHyphens/>
              <w:spacing w:after="60" w:line="500" w:lineRule="exact"/>
              <w:jc w:val="center"/>
              <w:outlineLvl w:val="2"/>
              <w:rPr>
                <w:sz w:val="18"/>
                <w:szCs w:val="18"/>
              </w:rPr>
            </w:pPr>
          </w:p>
          <w:p w:rsidR="00E82950" w:rsidRDefault="00E82950" w:rsidP="00E82950">
            <w:pPr>
              <w:suppressLineNumbers/>
              <w:spacing w:line="500" w:lineRule="exact"/>
              <w:jc w:val="center"/>
              <w:rPr>
                <w:sz w:val="18"/>
                <w:szCs w:val="18"/>
              </w:rPr>
            </w:pPr>
            <w:r>
              <w:rPr>
                <w:sz w:val="18"/>
                <w:szCs w:val="18"/>
              </w:rPr>
              <w:t>0.096 cents/kWh</w:t>
            </w:r>
          </w:p>
          <w:p w:rsidR="00E82950" w:rsidRDefault="00E82950" w:rsidP="00E82950">
            <w:pPr>
              <w:suppressLineNumbers/>
              <w:spacing w:line="500" w:lineRule="exact"/>
              <w:jc w:val="center"/>
              <w:rPr>
                <w:sz w:val="18"/>
                <w:szCs w:val="18"/>
              </w:rPr>
            </w:pPr>
            <w:r>
              <w:rPr>
                <w:sz w:val="18"/>
                <w:szCs w:val="18"/>
              </w:rPr>
              <w:t>0.095 cents/kWh</w:t>
            </w:r>
          </w:p>
          <w:p w:rsidR="00E82950" w:rsidRDefault="00E82950" w:rsidP="00E82950">
            <w:pPr>
              <w:suppressLineNumbers/>
              <w:spacing w:line="500" w:lineRule="exact"/>
              <w:jc w:val="center"/>
              <w:rPr>
                <w:sz w:val="18"/>
                <w:szCs w:val="18"/>
              </w:rPr>
            </w:pPr>
            <w:r>
              <w:rPr>
                <w:sz w:val="18"/>
                <w:szCs w:val="18"/>
              </w:rPr>
              <w:t>0.094 cents/kWh</w:t>
            </w:r>
          </w:p>
        </w:tc>
      </w:tr>
      <w:tr w:rsidR="00E82950" w:rsidTr="00E82950">
        <w:trPr>
          <w:trHeight w:val="1138"/>
        </w:trPr>
        <w:tc>
          <w:tcPr>
            <w:tcW w:w="3746"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tabs>
                <w:tab w:val="left" w:pos="576"/>
                <w:tab w:val="left" w:pos="1440"/>
                <w:tab w:val="left" w:pos="1728"/>
                <w:tab w:val="left" w:pos="5904"/>
              </w:tabs>
              <w:spacing w:line="500" w:lineRule="exact"/>
              <w:ind w:firstLine="72"/>
              <w:jc w:val="both"/>
              <w:rPr>
                <w:sz w:val="18"/>
                <w:szCs w:val="18"/>
              </w:rPr>
            </w:pPr>
            <w:r>
              <w:rPr>
                <w:sz w:val="18"/>
                <w:szCs w:val="18"/>
              </w:rPr>
              <w:t>Curtailable</w:t>
            </w:r>
          </w:p>
          <w:p w:rsidR="00E82950" w:rsidRDefault="00E82950" w:rsidP="00E82950">
            <w:pPr>
              <w:suppressLineNumbers/>
              <w:spacing w:line="500" w:lineRule="exact"/>
              <w:ind w:firstLine="72"/>
              <w:rPr>
                <w:sz w:val="18"/>
                <w:szCs w:val="18"/>
              </w:rPr>
            </w:pPr>
            <w:r>
              <w:rPr>
                <w:sz w:val="18"/>
                <w:szCs w:val="18"/>
              </w:rPr>
              <w:t xml:space="preserve">            @ Secondary Voltage</w:t>
            </w:r>
          </w:p>
          <w:p w:rsidR="00E82950" w:rsidRDefault="00E82950" w:rsidP="00E82950">
            <w:pPr>
              <w:suppressLineNumbers/>
              <w:spacing w:line="500" w:lineRule="exact"/>
              <w:ind w:firstLine="72"/>
              <w:rPr>
                <w:sz w:val="18"/>
                <w:szCs w:val="18"/>
              </w:rPr>
            </w:pPr>
            <w:r>
              <w:rPr>
                <w:sz w:val="18"/>
                <w:szCs w:val="18"/>
              </w:rPr>
              <w:t xml:space="preserve">            @ Primary Voltage</w:t>
            </w:r>
          </w:p>
          <w:p w:rsidR="00E82950" w:rsidRDefault="00E82950" w:rsidP="00E82950">
            <w:pPr>
              <w:suppressLineNumbers/>
              <w:spacing w:line="500" w:lineRule="exact"/>
              <w:ind w:firstLine="72"/>
              <w:rPr>
                <w:sz w:val="18"/>
                <w:szCs w:val="18"/>
              </w:rPr>
            </w:pPr>
            <w:r>
              <w:rPr>
                <w:sz w:val="18"/>
                <w:szCs w:val="18"/>
              </w:rPr>
              <w:t xml:space="preserve">            @ Transmission Voltage</w:t>
            </w:r>
          </w:p>
        </w:tc>
        <w:tc>
          <w:tcPr>
            <w:tcW w:w="3551" w:type="dxa"/>
            <w:tcBorders>
              <w:top w:val="single" w:sz="4" w:space="0" w:color="auto"/>
              <w:left w:val="single" w:sz="4" w:space="0" w:color="auto"/>
              <w:bottom w:val="single" w:sz="4" w:space="0" w:color="auto"/>
              <w:right w:val="single" w:sz="4" w:space="0" w:color="auto"/>
            </w:tcBorders>
          </w:tcPr>
          <w:p w:rsidR="00E82950" w:rsidRDefault="00E82950" w:rsidP="00E82950">
            <w:pPr>
              <w:suppressLineNumbers/>
              <w:spacing w:line="500" w:lineRule="exact"/>
              <w:jc w:val="center"/>
              <w:rPr>
                <w:sz w:val="18"/>
                <w:szCs w:val="18"/>
              </w:rPr>
            </w:pPr>
          </w:p>
          <w:p w:rsidR="00E82950" w:rsidRDefault="00E82950" w:rsidP="00E82950">
            <w:pPr>
              <w:suppressLineNumbers/>
              <w:spacing w:line="500" w:lineRule="exact"/>
              <w:jc w:val="center"/>
              <w:rPr>
                <w:sz w:val="18"/>
                <w:szCs w:val="18"/>
              </w:rPr>
            </w:pPr>
            <w:r>
              <w:rPr>
                <w:sz w:val="18"/>
                <w:szCs w:val="18"/>
              </w:rPr>
              <w:t>0.091 cents/kWh</w:t>
            </w:r>
          </w:p>
          <w:p w:rsidR="00E82950" w:rsidRDefault="00E82950" w:rsidP="00E82950">
            <w:pPr>
              <w:suppressLineNumbers/>
              <w:spacing w:line="500" w:lineRule="exact"/>
              <w:jc w:val="center"/>
              <w:rPr>
                <w:sz w:val="18"/>
                <w:szCs w:val="18"/>
              </w:rPr>
            </w:pPr>
            <w:r>
              <w:rPr>
                <w:sz w:val="18"/>
                <w:szCs w:val="18"/>
              </w:rPr>
              <w:t>0.090 cents/kWh</w:t>
            </w:r>
          </w:p>
          <w:p w:rsidR="00E82950" w:rsidRDefault="00E82950" w:rsidP="00E82950">
            <w:pPr>
              <w:suppressLineNumbers/>
              <w:spacing w:line="500" w:lineRule="exact"/>
              <w:jc w:val="center"/>
              <w:rPr>
                <w:sz w:val="18"/>
                <w:szCs w:val="18"/>
              </w:rPr>
            </w:pPr>
            <w:r>
              <w:rPr>
                <w:sz w:val="18"/>
                <w:szCs w:val="18"/>
              </w:rPr>
              <w:t>0.089 cents/kWh</w:t>
            </w:r>
          </w:p>
        </w:tc>
      </w:tr>
      <w:tr w:rsidR="00E82950" w:rsidTr="00E82950">
        <w:trPr>
          <w:trHeight w:val="291"/>
        </w:trPr>
        <w:tc>
          <w:tcPr>
            <w:tcW w:w="3746"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tabs>
                <w:tab w:val="left" w:pos="576"/>
                <w:tab w:val="left" w:pos="1440"/>
                <w:tab w:val="left" w:pos="1728"/>
                <w:tab w:val="left" w:pos="5904"/>
              </w:tabs>
              <w:spacing w:line="500" w:lineRule="exact"/>
              <w:ind w:firstLine="90"/>
              <w:jc w:val="both"/>
              <w:rPr>
                <w:sz w:val="18"/>
                <w:szCs w:val="18"/>
              </w:rPr>
            </w:pPr>
            <w:r>
              <w:rPr>
                <w:sz w:val="18"/>
                <w:szCs w:val="18"/>
              </w:rPr>
              <w:t>Interruptible</w:t>
            </w:r>
          </w:p>
          <w:p w:rsidR="00E82950" w:rsidRDefault="00E82950" w:rsidP="00E82950">
            <w:pPr>
              <w:suppressLineNumbers/>
              <w:spacing w:line="500" w:lineRule="exact"/>
              <w:rPr>
                <w:sz w:val="18"/>
                <w:szCs w:val="18"/>
              </w:rPr>
            </w:pPr>
            <w:r>
              <w:rPr>
                <w:sz w:val="18"/>
                <w:szCs w:val="18"/>
              </w:rPr>
              <w:t xml:space="preserve">            @ Secondary Voltage</w:t>
            </w:r>
          </w:p>
          <w:p w:rsidR="00E82950" w:rsidRDefault="00E82950" w:rsidP="00E82950">
            <w:pPr>
              <w:suppressLineNumbers/>
              <w:spacing w:line="500" w:lineRule="exact"/>
              <w:rPr>
                <w:sz w:val="18"/>
                <w:szCs w:val="18"/>
              </w:rPr>
            </w:pPr>
            <w:r>
              <w:rPr>
                <w:sz w:val="18"/>
                <w:szCs w:val="18"/>
              </w:rPr>
              <w:t xml:space="preserve">            @ Primary Voltage</w:t>
            </w:r>
          </w:p>
          <w:p w:rsidR="00E82950" w:rsidRDefault="00E82950" w:rsidP="00E82950">
            <w:pPr>
              <w:suppressLineNumbers/>
              <w:spacing w:line="500" w:lineRule="exact"/>
              <w:rPr>
                <w:sz w:val="18"/>
                <w:szCs w:val="18"/>
              </w:rPr>
            </w:pPr>
            <w:r>
              <w:rPr>
                <w:sz w:val="18"/>
                <w:szCs w:val="18"/>
              </w:rPr>
              <w:t xml:space="preserve">            @ Transmission Voltage</w:t>
            </w:r>
          </w:p>
        </w:tc>
        <w:tc>
          <w:tcPr>
            <w:tcW w:w="3551" w:type="dxa"/>
            <w:tcBorders>
              <w:top w:val="single" w:sz="4" w:space="0" w:color="auto"/>
              <w:left w:val="single" w:sz="4" w:space="0" w:color="auto"/>
              <w:bottom w:val="single" w:sz="4" w:space="0" w:color="auto"/>
              <w:right w:val="single" w:sz="4" w:space="0" w:color="auto"/>
            </w:tcBorders>
          </w:tcPr>
          <w:p w:rsidR="00E82950" w:rsidRDefault="00E82950" w:rsidP="00E82950">
            <w:pPr>
              <w:suppressLineNumbers/>
              <w:spacing w:line="500" w:lineRule="exact"/>
              <w:jc w:val="center"/>
              <w:rPr>
                <w:sz w:val="18"/>
                <w:szCs w:val="18"/>
              </w:rPr>
            </w:pPr>
          </w:p>
          <w:p w:rsidR="00E82950" w:rsidRDefault="00E82950" w:rsidP="00E82950">
            <w:pPr>
              <w:suppressLineNumbers/>
              <w:spacing w:line="500" w:lineRule="exact"/>
              <w:jc w:val="center"/>
              <w:rPr>
                <w:sz w:val="18"/>
                <w:szCs w:val="18"/>
              </w:rPr>
            </w:pPr>
            <w:r>
              <w:rPr>
                <w:sz w:val="18"/>
                <w:szCs w:val="18"/>
              </w:rPr>
              <w:t>0.093 cents/kWh</w:t>
            </w:r>
          </w:p>
          <w:p w:rsidR="00E82950" w:rsidRDefault="00E82950" w:rsidP="00E82950">
            <w:pPr>
              <w:suppressLineNumbers/>
              <w:spacing w:line="500" w:lineRule="exact"/>
              <w:jc w:val="center"/>
              <w:rPr>
                <w:sz w:val="18"/>
                <w:szCs w:val="18"/>
              </w:rPr>
            </w:pPr>
            <w:r>
              <w:rPr>
                <w:sz w:val="18"/>
                <w:szCs w:val="18"/>
              </w:rPr>
              <w:t>0.092 cents/kWh</w:t>
            </w:r>
          </w:p>
          <w:p w:rsidR="00E82950" w:rsidRDefault="00E82950" w:rsidP="00E82950">
            <w:pPr>
              <w:suppressLineNumbers/>
              <w:spacing w:line="500" w:lineRule="exact"/>
              <w:jc w:val="center"/>
              <w:rPr>
                <w:sz w:val="18"/>
                <w:szCs w:val="18"/>
              </w:rPr>
            </w:pPr>
            <w:r>
              <w:rPr>
                <w:sz w:val="18"/>
                <w:szCs w:val="18"/>
              </w:rPr>
              <w:t>0.091 cents/kWh</w:t>
            </w:r>
          </w:p>
        </w:tc>
      </w:tr>
      <w:tr w:rsidR="00E82950" w:rsidTr="00E82950">
        <w:trPr>
          <w:trHeight w:val="291"/>
        </w:trPr>
        <w:tc>
          <w:tcPr>
            <w:tcW w:w="3746"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spacing w:line="500" w:lineRule="exact"/>
              <w:rPr>
                <w:sz w:val="18"/>
                <w:szCs w:val="18"/>
              </w:rPr>
            </w:pPr>
            <w:r>
              <w:rPr>
                <w:sz w:val="18"/>
                <w:szCs w:val="18"/>
              </w:rPr>
              <w:t xml:space="preserve">  Lighting</w:t>
            </w:r>
          </w:p>
        </w:tc>
        <w:tc>
          <w:tcPr>
            <w:tcW w:w="3551" w:type="dxa"/>
            <w:tcBorders>
              <w:top w:val="single" w:sz="4" w:space="0" w:color="auto"/>
              <w:left w:val="single" w:sz="4" w:space="0" w:color="auto"/>
              <w:bottom w:val="single" w:sz="4" w:space="0" w:color="auto"/>
              <w:right w:val="single" w:sz="4" w:space="0" w:color="auto"/>
            </w:tcBorders>
            <w:hideMark/>
          </w:tcPr>
          <w:p w:rsidR="00E82950" w:rsidRDefault="00E82950" w:rsidP="00E82950">
            <w:pPr>
              <w:suppressLineNumbers/>
              <w:spacing w:line="500" w:lineRule="exact"/>
              <w:jc w:val="center"/>
              <w:rPr>
                <w:sz w:val="18"/>
                <w:szCs w:val="18"/>
              </w:rPr>
            </w:pPr>
            <w:r>
              <w:rPr>
                <w:sz w:val="18"/>
                <w:szCs w:val="18"/>
              </w:rPr>
              <w:t>0.091 cents/kWh</w:t>
            </w:r>
          </w:p>
        </w:tc>
      </w:tr>
    </w:tbl>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Pr="00F22B09" w:rsidRDefault="00E82950" w:rsidP="00E82950">
      <w:pPr>
        <w:ind w:left="1440" w:hanging="1440"/>
        <w:jc w:val="both"/>
        <w:rPr>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1F6819">
        <w:rPr>
          <w:bCs/>
        </w:rPr>
        <w:t>(Menendez)</w:t>
      </w: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ind w:left="1440" w:hanging="1440"/>
        <w:jc w:val="both"/>
        <w:rPr>
          <w:b/>
          <w:bCs/>
        </w:rPr>
      </w:pPr>
    </w:p>
    <w:p w:rsidR="00E82950" w:rsidRDefault="00E82950" w:rsidP="00E82950">
      <w:pPr>
        <w:rPr>
          <w:b/>
          <w:bCs/>
        </w:rPr>
      </w:pPr>
      <w:r>
        <w:rPr>
          <w:b/>
          <w:bCs/>
        </w:rPr>
        <w:br w:type="page"/>
      </w:r>
    </w:p>
    <w:p w:rsidR="00E82950" w:rsidRDefault="00E82950" w:rsidP="00E82950">
      <w:pPr>
        <w:ind w:left="1440" w:hanging="1440"/>
        <w:jc w:val="both"/>
      </w:pPr>
      <w:r>
        <w:rPr>
          <w:b/>
          <w:bCs/>
        </w:rPr>
        <w:lastRenderedPageBreak/>
        <w:t>TECO:</w:t>
      </w:r>
      <w:r>
        <w:rPr>
          <w:b/>
          <w:bCs/>
        </w:rPr>
        <w:tab/>
      </w:r>
      <w:r>
        <w:t>The appropriate environmental cost recovery factors are as follows:</w:t>
      </w:r>
    </w:p>
    <w:p w:rsidR="00E82950" w:rsidRDefault="00E82950" w:rsidP="00E82950">
      <w:pPr>
        <w:ind w:left="1440" w:hanging="1440"/>
        <w:jc w:val="both"/>
      </w:pPr>
    </w:p>
    <w:p w:rsidR="00E82950" w:rsidRPr="00051473" w:rsidRDefault="00E82950" w:rsidP="00E82950">
      <w:pPr>
        <w:ind w:left="1440" w:hanging="1440"/>
        <w:jc w:val="both"/>
        <w:rPr>
          <w:b/>
          <w:u w:val="single"/>
        </w:rPr>
      </w:pPr>
      <w:r>
        <w:tab/>
      </w:r>
      <w:r w:rsidRPr="00051473">
        <w:rPr>
          <w:b/>
          <w:u w:val="single"/>
        </w:rPr>
        <w:t>Rate Class</w:t>
      </w:r>
      <w:r w:rsidRPr="00051473">
        <w:tab/>
      </w:r>
      <w:r w:rsidRPr="00051473">
        <w:tab/>
      </w:r>
      <w:r w:rsidRPr="00051473">
        <w:tab/>
      </w:r>
      <w:r w:rsidRPr="00051473">
        <w:tab/>
      </w:r>
      <w:r w:rsidRPr="00051473">
        <w:tab/>
      </w:r>
      <w:r w:rsidRPr="00051473">
        <w:tab/>
      </w:r>
      <w:r w:rsidRPr="00051473">
        <w:rPr>
          <w:b/>
          <w:u w:val="single"/>
        </w:rPr>
        <w:t>Factor (¢/kWh)</w:t>
      </w:r>
    </w:p>
    <w:p w:rsidR="00E82950" w:rsidRPr="00051473" w:rsidRDefault="00E82950" w:rsidP="00E82950">
      <w:pPr>
        <w:ind w:left="1440" w:hanging="1440"/>
        <w:jc w:val="both"/>
      </w:pPr>
    </w:p>
    <w:p w:rsidR="00E82950" w:rsidRPr="00051473" w:rsidRDefault="00E82950" w:rsidP="00E82950">
      <w:pPr>
        <w:tabs>
          <w:tab w:val="left" w:pos="7200"/>
        </w:tabs>
        <w:ind w:left="1440" w:hanging="1440"/>
        <w:jc w:val="both"/>
      </w:pPr>
      <w:r>
        <w:tab/>
      </w:r>
      <w:r w:rsidRPr="00051473">
        <w:t>RS</w:t>
      </w:r>
      <w:r w:rsidRPr="00051473">
        <w:tab/>
        <w:t>0.269</w:t>
      </w:r>
    </w:p>
    <w:p w:rsidR="00E82950" w:rsidRPr="00051473" w:rsidRDefault="00E82950" w:rsidP="00E82950">
      <w:pPr>
        <w:tabs>
          <w:tab w:val="left" w:pos="7200"/>
        </w:tabs>
        <w:ind w:left="1440" w:hanging="1440"/>
        <w:jc w:val="both"/>
      </w:pPr>
      <w:r>
        <w:tab/>
      </w:r>
      <w:r w:rsidRPr="00051473">
        <w:t>GS, CS</w:t>
      </w:r>
      <w:r w:rsidRPr="00051473">
        <w:tab/>
        <w:t>0.269</w:t>
      </w:r>
    </w:p>
    <w:p w:rsidR="00E82950" w:rsidRPr="00051473" w:rsidRDefault="00E82950" w:rsidP="00E82950">
      <w:pPr>
        <w:ind w:left="1440" w:hanging="1440"/>
        <w:jc w:val="both"/>
      </w:pPr>
      <w:r>
        <w:tab/>
      </w:r>
      <w:r w:rsidRPr="00051473">
        <w:t>GSD, SBF</w:t>
      </w:r>
    </w:p>
    <w:p w:rsidR="00E82950" w:rsidRPr="00051473" w:rsidRDefault="00E82950" w:rsidP="00E82950">
      <w:pPr>
        <w:tabs>
          <w:tab w:val="left" w:pos="2160"/>
          <w:tab w:val="left" w:pos="7200"/>
        </w:tabs>
        <w:ind w:left="1440" w:hanging="1440"/>
        <w:jc w:val="both"/>
      </w:pPr>
      <w:r w:rsidRPr="00051473">
        <w:tab/>
      </w:r>
      <w:r w:rsidRPr="00051473">
        <w:tab/>
        <w:t>Secondary</w:t>
      </w:r>
      <w:r w:rsidRPr="00051473">
        <w:tab/>
        <w:t>0.265</w:t>
      </w:r>
    </w:p>
    <w:p w:rsidR="00E82950" w:rsidRPr="00051473" w:rsidRDefault="00E82950" w:rsidP="00E82950">
      <w:pPr>
        <w:tabs>
          <w:tab w:val="left" w:pos="2160"/>
          <w:tab w:val="left" w:pos="7200"/>
        </w:tabs>
        <w:ind w:left="1440" w:hanging="1440"/>
        <w:jc w:val="both"/>
      </w:pPr>
      <w:r w:rsidRPr="00051473">
        <w:tab/>
      </w:r>
      <w:r w:rsidRPr="00051473">
        <w:tab/>
        <w:t>Primary</w:t>
      </w:r>
      <w:r w:rsidRPr="00051473">
        <w:tab/>
        <w:t>0.262</w:t>
      </w:r>
    </w:p>
    <w:p w:rsidR="00E82950" w:rsidRPr="00051473" w:rsidRDefault="00E82950" w:rsidP="00E82950">
      <w:pPr>
        <w:tabs>
          <w:tab w:val="left" w:pos="2160"/>
          <w:tab w:val="left" w:pos="7200"/>
        </w:tabs>
        <w:ind w:left="1440" w:hanging="1440"/>
        <w:jc w:val="both"/>
      </w:pPr>
      <w:r w:rsidRPr="00051473">
        <w:tab/>
      </w:r>
      <w:r w:rsidRPr="00051473">
        <w:tab/>
        <w:t>Transmission</w:t>
      </w:r>
      <w:r w:rsidRPr="00051473">
        <w:tab/>
        <w:t>0.260</w:t>
      </w:r>
    </w:p>
    <w:p w:rsidR="00E82950" w:rsidRPr="00051473" w:rsidRDefault="00E82950" w:rsidP="00E82950">
      <w:pPr>
        <w:ind w:left="1440" w:hanging="1440"/>
        <w:jc w:val="both"/>
      </w:pPr>
      <w:r>
        <w:tab/>
      </w:r>
      <w:r w:rsidRPr="00051473">
        <w:t>IS</w:t>
      </w:r>
    </w:p>
    <w:p w:rsidR="00E82950" w:rsidRPr="00051473" w:rsidRDefault="00E82950" w:rsidP="00E82950">
      <w:pPr>
        <w:tabs>
          <w:tab w:val="left" w:pos="2160"/>
          <w:tab w:val="left" w:pos="7200"/>
        </w:tabs>
        <w:ind w:left="1440" w:hanging="1440"/>
        <w:jc w:val="both"/>
      </w:pPr>
      <w:r w:rsidRPr="00051473">
        <w:tab/>
      </w:r>
      <w:r>
        <w:tab/>
      </w:r>
      <w:r w:rsidRPr="00051473">
        <w:t>Secondary</w:t>
      </w:r>
      <w:r w:rsidRPr="00051473">
        <w:tab/>
        <w:t>0.257</w:t>
      </w:r>
    </w:p>
    <w:p w:rsidR="00E82950" w:rsidRPr="00051473" w:rsidRDefault="00E82950" w:rsidP="00E82950">
      <w:pPr>
        <w:tabs>
          <w:tab w:val="left" w:pos="2160"/>
          <w:tab w:val="left" w:pos="7200"/>
        </w:tabs>
        <w:ind w:left="1440" w:hanging="1440"/>
        <w:jc w:val="both"/>
      </w:pPr>
      <w:r w:rsidRPr="00051473">
        <w:tab/>
      </w:r>
      <w:r>
        <w:tab/>
      </w:r>
      <w:r w:rsidRPr="00051473">
        <w:t>Primary</w:t>
      </w:r>
      <w:r w:rsidRPr="00051473">
        <w:tab/>
        <w:t>0.254</w:t>
      </w:r>
    </w:p>
    <w:p w:rsidR="00E82950" w:rsidRPr="00051473" w:rsidRDefault="00E82950" w:rsidP="00E82950">
      <w:pPr>
        <w:tabs>
          <w:tab w:val="left" w:pos="2160"/>
          <w:tab w:val="left" w:pos="7200"/>
        </w:tabs>
        <w:ind w:left="1440" w:hanging="1440"/>
        <w:jc w:val="both"/>
      </w:pPr>
      <w:r w:rsidRPr="00051473">
        <w:tab/>
      </w:r>
      <w:r>
        <w:tab/>
      </w:r>
      <w:r w:rsidRPr="00051473">
        <w:t>Transmission</w:t>
      </w:r>
      <w:r w:rsidRPr="00051473">
        <w:tab/>
        <w:t>0.252</w:t>
      </w:r>
    </w:p>
    <w:p w:rsidR="00E82950" w:rsidRPr="00051473" w:rsidRDefault="00E82950" w:rsidP="00E82950">
      <w:pPr>
        <w:tabs>
          <w:tab w:val="left" w:pos="7200"/>
        </w:tabs>
        <w:ind w:left="1440" w:hanging="1440"/>
        <w:jc w:val="both"/>
      </w:pPr>
      <w:r>
        <w:tab/>
      </w:r>
      <w:r w:rsidRPr="00051473">
        <w:t>LS1</w:t>
      </w:r>
      <w:r w:rsidRPr="00051473">
        <w:tab/>
        <w:t>0.258</w:t>
      </w:r>
    </w:p>
    <w:p w:rsidR="00E82950" w:rsidRPr="00051473" w:rsidRDefault="00E82950" w:rsidP="00E82950">
      <w:pPr>
        <w:tabs>
          <w:tab w:val="left" w:pos="7200"/>
        </w:tabs>
        <w:ind w:left="1440" w:hanging="1440"/>
        <w:jc w:val="both"/>
      </w:pPr>
      <w:r>
        <w:tab/>
      </w:r>
      <w:r w:rsidRPr="00051473">
        <w:t>Average Factor</w:t>
      </w:r>
      <w:r w:rsidRPr="00051473">
        <w:tab/>
        <w:t>0.267</w:t>
      </w:r>
    </w:p>
    <w:p w:rsidR="00E82950" w:rsidRDefault="00E82950" w:rsidP="00E82950">
      <w:pPr>
        <w:ind w:left="1440" w:hanging="1440"/>
        <w:jc w:val="both"/>
      </w:pPr>
      <w:r w:rsidRPr="00051473">
        <w:tab/>
      </w:r>
      <w:r>
        <w:tab/>
      </w:r>
      <w:r>
        <w:tab/>
      </w:r>
      <w:r>
        <w:tab/>
      </w:r>
      <w:r>
        <w:tab/>
      </w:r>
      <w:r>
        <w:tab/>
      </w:r>
      <w:r>
        <w:tab/>
      </w:r>
      <w:r>
        <w:tab/>
      </w:r>
      <w:r>
        <w:tab/>
      </w:r>
      <w:r>
        <w:tab/>
      </w:r>
      <w:r w:rsidRPr="001F6819">
        <w:t>(Sizemore)</w:t>
      </w:r>
    </w:p>
    <w:p w:rsidR="00E82950" w:rsidRDefault="00E82950" w:rsidP="00E82950">
      <w:pPr>
        <w:ind w:left="1440" w:hanging="1440"/>
        <w:jc w:val="both"/>
      </w:pPr>
    </w:p>
    <w:p w:rsidR="00E82950" w:rsidRDefault="00E82950" w:rsidP="00E82950">
      <w:pPr>
        <w:ind w:left="1440" w:hanging="1440"/>
        <w:jc w:val="both"/>
      </w:pPr>
      <w:r>
        <w:rPr>
          <w:b/>
          <w:bCs/>
        </w:rPr>
        <w:t>FIPUG:</w:t>
      </w:r>
      <w:r>
        <w:rPr>
          <w:b/>
          <w:bCs/>
        </w:rPr>
        <w:tab/>
      </w:r>
      <w:r>
        <w:t>Adopt the position of OPC.</w:t>
      </w:r>
    </w:p>
    <w:p w:rsidR="00E82950" w:rsidRDefault="00E82950" w:rsidP="00E82950">
      <w:pPr>
        <w:ind w:left="1440" w:hanging="1440"/>
        <w:jc w:val="both"/>
      </w:pPr>
    </w:p>
    <w:p w:rsidR="00E82950" w:rsidRDefault="00E82950" w:rsidP="00E82950">
      <w:pPr>
        <w:ind w:left="1440" w:hanging="1440"/>
        <w:jc w:val="both"/>
        <w:rPr>
          <w:b/>
          <w:bCs/>
        </w:rPr>
      </w:pPr>
      <w:r>
        <w:rPr>
          <w:b/>
          <w:bCs/>
        </w:rPr>
        <w:t>PCS:</w:t>
      </w:r>
      <w:r>
        <w:rPr>
          <w:b/>
          <w:bCs/>
        </w:rPr>
        <w:tab/>
      </w:r>
      <w:r>
        <w:t>Agree with OPC.</w:t>
      </w:r>
    </w:p>
    <w:p w:rsidR="00E82950" w:rsidRDefault="00E82950" w:rsidP="00E82950">
      <w:pPr>
        <w:ind w:left="1440" w:hanging="1440"/>
        <w:jc w:val="both"/>
        <w:rPr>
          <w:b/>
          <w:bCs/>
        </w:rPr>
      </w:pPr>
    </w:p>
    <w:p w:rsidR="00E82950" w:rsidRDefault="00E82950" w:rsidP="00E82950">
      <w:pPr>
        <w:ind w:left="1440" w:hanging="1440"/>
        <w:jc w:val="both"/>
      </w:pPr>
      <w:r>
        <w:rPr>
          <w:b/>
          <w:bCs/>
        </w:rPr>
        <w:t>OPC:</w:t>
      </w:r>
      <w:r>
        <w:rPr>
          <w:b/>
          <w:bCs/>
        </w:rPr>
        <w:tab/>
      </w:r>
      <w:r>
        <w:t>The factors should be based on costs deemed reasonable and or prudent after a hearing. Nevertheless, t</w:t>
      </w:r>
      <w:r w:rsidRPr="00C21924">
        <w:t xml:space="preserve">he 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jc w:val="both"/>
      </w:pPr>
    </w:p>
    <w:p w:rsidR="00E82950" w:rsidRDefault="00E82950" w:rsidP="00E82950">
      <w:pPr>
        <w:ind w:left="1440" w:hanging="1440"/>
        <w:jc w:val="both"/>
      </w:pPr>
      <w:r>
        <w:rPr>
          <w:b/>
          <w:bCs/>
        </w:rPr>
        <w:t>STAFF:</w:t>
      </w:r>
      <w:r>
        <w:rPr>
          <w:b/>
          <w:bCs/>
        </w:rPr>
        <w:tab/>
      </w:r>
      <w:r>
        <w:t>Staff has no position at this time.</w:t>
      </w:r>
    </w:p>
    <w:p w:rsidR="00E82950" w:rsidRDefault="00E82950" w:rsidP="00E82950">
      <w:pPr>
        <w:ind w:left="1440" w:hanging="1440"/>
        <w:jc w:val="both"/>
      </w:pPr>
    </w:p>
    <w:p w:rsidR="00E82950" w:rsidRDefault="00E82950" w:rsidP="00E82950">
      <w:pPr>
        <w:ind w:left="1440" w:hanging="1440"/>
        <w:jc w:val="both"/>
      </w:pPr>
    </w:p>
    <w:p w:rsidR="00E82950" w:rsidRPr="00654FC3" w:rsidRDefault="00E82950" w:rsidP="00E82950">
      <w:pPr>
        <w:ind w:left="1440" w:hanging="1440"/>
        <w:jc w:val="both"/>
        <w:outlineLvl w:val="2"/>
        <w:rPr>
          <w:b/>
        </w:rPr>
      </w:pPr>
      <w:r w:rsidRPr="008C23A2">
        <w:rPr>
          <w:rFonts w:cs="Arial"/>
          <w:b/>
          <w:bCs/>
          <w:szCs w:val="26"/>
        </w:rPr>
        <w:t xml:space="preserve">ISSUE </w:t>
      </w:r>
      <w:r w:rsidRPr="008C23A2">
        <w:rPr>
          <w:rFonts w:cs="Arial"/>
          <w:b/>
          <w:bCs/>
          <w:szCs w:val="26"/>
        </w:rPr>
        <w:fldChar w:fldCharType="begin"/>
      </w:r>
      <w:r w:rsidRPr="008C23A2">
        <w:rPr>
          <w:rFonts w:cs="Arial"/>
          <w:b/>
          <w:bCs/>
          <w:szCs w:val="26"/>
        </w:rPr>
        <w:instrText xml:space="preserve"> SEQ Issue \* Arabic \n  \* MERGEFORMAT </w:instrText>
      </w:r>
      <w:r w:rsidRPr="008C23A2">
        <w:rPr>
          <w:rFonts w:cs="Arial"/>
          <w:b/>
          <w:bCs/>
          <w:szCs w:val="26"/>
        </w:rPr>
        <w:fldChar w:fldCharType="separate"/>
      </w:r>
      <w:r w:rsidR="00B306B9">
        <w:rPr>
          <w:rFonts w:cs="Arial"/>
          <w:b/>
          <w:bCs/>
          <w:noProof/>
          <w:szCs w:val="26"/>
        </w:rPr>
        <w:t>6</w:t>
      </w:r>
      <w:r w:rsidRPr="008C23A2">
        <w:rPr>
          <w:rFonts w:cs="Arial"/>
          <w:b/>
          <w:bCs/>
          <w:noProof/>
          <w:szCs w:val="26"/>
        </w:rPr>
        <w:fldChar w:fldCharType="end"/>
      </w:r>
      <w:r w:rsidRPr="008C23A2">
        <w:rPr>
          <w:rFonts w:cs="Arial"/>
          <w:b/>
          <w:bCs/>
          <w:szCs w:val="26"/>
        </w:rPr>
        <w:fldChar w:fldCharType="begin"/>
      </w:r>
      <w:r w:rsidRPr="008C23A2">
        <w:rPr>
          <w:rFonts w:cs="Arial"/>
          <w:b/>
          <w:bCs/>
          <w:szCs w:val="26"/>
        </w:rPr>
        <w:instrText xml:space="preserve"> SEQ AddendedLetter \r 0 \h  \* MERGEFORMAT </w:instrText>
      </w:r>
      <w:r w:rsidRPr="008C23A2">
        <w:rPr>
          <w:rFonts w:cs="Arial"/>
          <w:b/>
          <w:bCs/>
          <w:szCs w:val="26"/>
        </w:rPr>
        <w:fldChar w:fldCharType="end"/>
      </w:r>
      <w:r w:rsidRPr="008C23A2">
        <w:rPr>
          <w:rFonts w:cs="Arial"/>
          <w:b/>
          <w:bCs/>
          <w:szCs w:val="26"/>
        </w:rPr>
        <w:t>:</w:t>
      </w:r>
      <w:r w:rsidRPr="008C23A2">
        <w:rPr>
          <w:rFonts w:cs="Arial"/>
          <w:b/>
          <w:bCs/>
          <w:szCs w:val="26"/>
        </w:rPr>
        <w:tab/>
      </w:r>
      <w:r w:rsidRPr="00654FC3">
        <w:rPr>
          <w:b/>
        </w:rPr>
        <w:t>What should be the effective date of the new environmental cost recovery factors for billing purposes?</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FPL:</w:t>
      </w:r>
      <w:r>
        <w:rPr>
          <w:b/>
          <w:bCs/>
        </w:rPr>
        <w:tab/>
      </w:r>
      <w:r>
        <w:t>The environmental cost recovery factors should be effective for meter readings that occur on or after January 1, 2021.  These charges should continue in effect until modified by subsequent order of this Commission.  (Deaton)</w:t>
      </w:r>
    </w:p>
    <w:p w:rsidR="00E82950" w:rsidRDefault="00E82950" w:rsidP="00E82950">
      <w:pPr>
        <w:ind w:left="1440" w:hanging="1440"/>
        <w:jc w:val="both"/>
        <w:rPr>
          <w:b/>
          <w:bCs/>
        </w:rPr>
      </w:pPr>
    </w:p>
    <w:p w:rsidR="00E82950" w:rsidRDefault="00E82950" w:rsidP="00E82950">
      <w:pPr>
        <w:ind w:left="1440" w:hanging="1440"/>
        <w:jc w:val="both"/>
      </w:pPr>
      <w:r>
        <w:rPr>
          <w:b/>
          <w:bCs/>
        </w:rPr>
        <w:t>GULF:</w:t>
      </w:r>
      <w:r>
        <w:rPr>
          <w:b/>
          <w:bCs/>
        </w:rPr>
        <w:tab/>
      </w:r>
      <w:r>
        <w:t>The environmental cost recovery factors should be effective for meter readings that occur on or after January 1, 2021. These charges should continue in effect until modified by subsequent order of this Commission.  (Hume)</w:t>
      </w:r>
    </w:p>
    <w:p w:rsidR="00E82950" w:rsidRDefault="00E82950" w:rsidP="00E82950">
      <w:pPr>
        <w:ind w:left="1440" w:hanging="1440"/>
        <w:jc w:val="both"/>
      </w:pPr>
    </w:p>
    <w:p w:rsidR="00E82950" w:rsidRDefault="00E82950" w:rsidP="00E82950">
      <w:pPr>
        <w:ind w:left="1440" w:hanging="1440"/>
        <w:jc w:val="both"/>
        <w:rPr>
          <w:bCs/>
        </w:rPr>
      </w:pPr>
      <w:r>
        <w:rPr>
          <w:b/>
          <w:bCs/>
        </w:rPr>
        <w:lastRenderedPageBreak/>
        <w:t>DEF:</w:t>
      </w:r>
      <w:r>
        <w:rPr>
          <w:b/>
          <w:bCs/>
        </w:rPr>
        <w:tab/>
      </w:r>
      <w:r>
        <w:rPr>
          <w:bCs/>
        </w:rPr>
        <w:t>The factors should be effective beginning with the specified environmental cost recovery cycle and thereafter for the period January 2021 through December 2021.  Billing cycles may start before January 1, 2021 and the last cycle may read after December 31, 2021, so that each customer is billed for twelve months regardless of when the adjustment factor became effective.  These charges will continue in effect until modified by the Commission. (Menendez)</w:t>
      </w:r>
    </w:p>
    <w:p w:rsidR="00E82950" w:rsidRDefault="00E82950" w:rsidP="00E82950">
      <w:pPr>
        <w:ind w:left="1440" w:hanging="1440"/>
        <w:jc w:val="both"/>
        <w:rPr>
          <w:b/>
          <w:bCs/>
        </w:rPr>
      </w:pPr>
    </w:p>
    <w:p w:rsidR="00E82950" w:rsidRDefault="00E82950" w:rsidP="00E82950">
      <w:pPr>
        <w:ind w:left="1440" w:hanging="1440"/>
        <w:jc w:val="both"/>
      </w:pPr>
      <w:r>
        <w:rPr>
          <w:b/>
          <w:bCs/>
        </w:rPr>
        <w:t>TECO:</w:t>
      </w:r>
      <w:r>
        <w:rPr>
          <w:b/>
          <w:bCs/>
        </w:rPr>
        <w:tab/>
      </w:r>
      <w:r>
        <w:rPr>
          <w:bCs/>
        </w:rPr>
        <w:t xml:space="preserve">The factors should be effective beginning with the specified environmental cost recovery cycle and thereafter for the period January 2021 through December 2021.  Billing cycles may start before January 1, 2021 and the last cycle may be read after December 31, 2021, so that each customer is billed for twelve months regardless of when the adjustment factors became effective.  These charges shall continue in effect until modified by subsequent order of this Commission. </w:t>
      </w:r>
      <w:r>
        <w:t>(Sizemore)</w:t>
      </w:r>
    </w:p>
    <w:p w:rsidR="00E82950" w:rsidRDefault="00E82950" w:rsidP="00E82950">
      <w:pPr>
        <w:ind w:left="1440" w:hanging="1440"/>
        <w:jc w:val="both"/>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PCS:</w:t>
      </w:r>
      <w:r>
        <w:rPr>
          <w:b/>
          <w:bCs/>
        </w:rPr>
        <w:tab/>
      </w:r>
      <w:r>
        <w:t>Agree with OPC.</w:t>
      </w:r>
    </w:p>
    <w:p w:rsidR="00E82950" w:rsidRDefault="00E82950" w:rsidP="00E82950">
      <w:pPr>
        <w:ind w:left="1440" w:hanging="1440"/>
        <w:jc w:val="both"/>
        <w:rPr>
          <w:b/>
          <w:bCs/>
        </w:rPr>
      </w:pPr>
    </w:p>
    <w:p w:rsidR="00E82950" w:rsidRPr="00460BEE" w:rsidRDefault="00E82950" w:rsidP="00E82950">
      <w:pPr>
        <w:ind w:left="1440" w:hanging="1440"/>
        <w:jc w:val="both"/>
      </w:pPr>
      <w:r>
        <w:rPr>
          <w:b/>
          <w:bCs/>
        </w:rPr>
        <w:t>OPC:</w:t>
      </w:r>
      <w:r>
        <w:rPr>
          <w:b/>
          <w:bCs/>
        </w:rPr>
        <w:tab/>
      </w:r>
      <w:r>
        <w:t xml:space="preserve">The </w:t>
      </w:r>
      <w:r w:rsidRPr="00C21924">
        <w:t xml:space="preserve">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jc w:val="both"/>
      </w:pPr>
    </w:p>
    <w:p w:rsidR="00E82950" w:rsidRDefault="00E82950" w:rsidP="00E82950">
      <w:pPr>
        <w:ind w:left="1440" w:hanging="1440"/>
        <w:jc w:val="both"/>
      </w:pPr>
      <w:r>
        <w:rPr>
          <w:b/>
          <w:bCs/>
        </w:rPr>
        <w:t>STAFF:</w:t>
      </w:r>
      <w:r>
        <w:rPr>
          <w:b/>
          <w:bCs/>
        </w:rPr>
        <w:tab/>
      </w:r>
      <w:r>
        <w:t>Staff has no position at this time.</w:t>
      </w:r>
    </w:p>
    <w:p w:rsidR="00E82950" w:rsidRDefault="00E82950" w:rsidP="00E82950">
      <w:pPr>
        <w:ind w:left="1440" w:hanging="1440"/>
        <w:jc w:val="both"/>
        <w:outlineLvl w:val="2"/>
      </w:pPr>
    </w:p>
    <w:p w:rsidR="00E82950" w:rsidRDefault="00E82950" w:rsidP="00E82950">
      <w:pPr>
        <w:ind w:left="1440" w:hanging="1440"/>
        <w:jc w:val="both"/>
        <w:outlineLvl w:val="2"/>
      </w:pPr>
    </w:p>
    <w:p w:rsidR="00E82950" w:rsidRPr="00654FC3" w:rsidRDefault="00E82950" w:rsidP="00E82950">
      <w:pPr>
        <w:ind w:left="1440" w:hanging="1440"/>
        <w:jc w:val="both"/>
        <w:outlineLvl w:val="2"/>
        <w:rPr>
          <w:b/>
        </w:rPr>
      </w:pPr>
      <w:r w:rsidRPr="008C23A2">
        <w:rPr>
          <w:rFonts w:cs="Arial"/>
          <w:b/>
          <w:bCs/>
          <w:szCs w:val="26"/>
        </w:rPr>
        <w:t xml:space="preserve">ISSUE </w:t>
      </w:r>
      <w:r w:rsidRPr="008C23A2">
        <w:rPr>
          <w:rFonts w:cs="Arial"/>
          <w:b/>
          <w:bCs/>
          <w:szCs w:val="26"/>
        </w:rPr>
        <w:fldChar w:fldCharType="begin"/>
      </w:r>
      <w:r w:rsidRPr="008C23A2">
        <w:rPr>
          <w:rFonts w:cs="Arial"/>
          <w:b/>
          <w:bCs/>
          <w:szCs w:val="26"/>
        </w:rPr>
        <w:instrText xml:space="preserve"> SEQ Issue \* Arabic \n  \* MERGEFORMAT </w:instrText>
      </w:r>
      <w:r w:rsidRPr="008C23A2">
        <w:rPr>
          <w:rFonts w:cs="Arial"/>
          <w:b/>
          <w:bCs/>
          <w:szCs w:val="26"/>
        </w:rPr>
        <w:fldChar w:fldCharType="separate"/>
      </w:r>
      <w:r w:rsidR="00B306B9">
        <w:rPr>
          <w:rFonts w:cs="Arial"/>
          <w:b/>
          <w:bCs/>
          <w:noProof/>
          <w:szCs w:val="26"/>
        </w:rPr>
        <w:t>7</w:t>
      </w:r>
      <w:r w:rsidRPr="008C23A2">
        <w:rPr>
          <w:rFonts w:cs="Arial"/>
          <w:b/>
          <w:bCs/>
          <w:noProof/>
          <w:szCs w:val="26"/>
        </w:rPr>
        <w:fldChar w:fldCharType="end"/>
      </w:r>
      <w:r w:rsidRPr="008C23A2">
        <w:rPr>
          <w:rFonts w:cs="Arial"/>
          <w:b/>
          <w:bCs/>
          <w:szCs w:val="26"/>
        </w:rPr>
        <w:fldChar w:fldCharType="begin"/>
      </w:r>
      <w:r w:rsidRPr="008C23A2">
        <w:rPr>
          <w:rFonts w:cs="Arial"/>
          <w:b/>
          <w:bCs/>
          <w:szCs w:val="26"/>
        </w:rPr>
        <w:instrText xml:space="preserve"> SEQ AddendedLetter \r 0 \h  \* MERGEFORMAT </w:instrText>
      </w:r>
      <w:r w:rsidRPr="008C23A2">
        <w:rPr>
          <w:rFonts w:cs="Arial"/>
          <w:b/>
          <w:bCs/>
          <w:szCs w:val="26"/>
        </w:rPr>
        <w:fldChar w:fldCharType="end"/>
      </w:r>
      <w:r w:rsidRPr="008C23A2">
        <w:rPr>
          <w:rFonts w:cs="Arial"/>
          <w:b/>
          <w:bCs/>
          <w:szCs w:val="26"/>
        </w:rPr>
        <w:t>:</w:t>
      </w:r>
      <w:r w:rsidRPr="008C23A2">
        <w:rPr>
          <w:rFonts w:cs="Arial"/>
          <w:b/>
          <w:bCs/>
          <w:szCs w:val="26"/>
        </w:rPr>
        <w:tab/>
      </w:r>
      <w:r w:rsidRPr="00654FC3">
        <w:rPr>
          <w:b/>
        </w:rPr>
        <w:t>Should the Commission approve revised tariffs reflecting the environmental cost recovery amounts and environmental cost recovery factors determined to be appropriate in this proceeding?</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FPL:</w:t>
      </w:r>
      <w:r>
        <w:rPr>
          <w:b/>
          <w:bCs/>
        </w:rPr>
        <w:tab/>
      </w:r>
      <w:r>
        <w:t>Yes.  The Commission should approve FPL’s revised tariffs reflecting the environmental cost recovery amounts and environmental cost recovery factors as presented in this proceeding.  (Deaton)</w:t>
      </w:r>
    </w:p>
    <w:p w:rsidR="00E82950" w:rsidRDefault="00E82950" w:rsidP="00E82950">
      <w:pPr>
        <w:ind w:left="1440" w:hanging="1440"/>
        <w:jc w:val="both"/>
        <w:rPr>
          <w:b/>
          <w:bCs/>
        </w:rPr>
      </w:pPr>
    </w:p>
    <w:p w:rsidR="00E82950" w:rsidRDefault="00E82950" w:rsidP="00E82950">
      <w:pPr>
        <w:ind w:left="1440" w:hanging="1440"/>
        <w:jc w:val="both"/>
      </w:pPr>
      <w:r>
        <w:rPr>
          <w:b/>
          <w:bCs/>
        </w:rPr>
        <w:t>GULF:</w:t>
      </w:r>
      <w:r>
        <w:rPr>
          <w:b/>
          <w:bCs/>
        </w:rPr>
        <w:tab/>
      </w:r>
      <w:r>
        <w:t>Yes. The Commission should approve Gulf’s revised tariffs reflecting the environmental cost recovery amounts and environmental cost recovery factors as presented in this proceeding.  (Hume)</w:t>
      </w:r>
    </w:p>
    <w:p w:rsidR="00E82950" w:rsidRDefault="00E82950" w:rsidP="00E82950">
      <w:pPr>
        <w:ind w:left="1440" w:hanging="1440"/>
        <w:jc w:val="both"/>
      </w:pPr>
    </w:p>
    <w:p w:rsidR="00E82950" w:rsidRDefault="00E82950" w:rsidP="00E82950">
      <w:pPr>
        <w:ind w:left="1440" w:hanging="1440"/>
        <w:jc w:val="both"/>
        <w:rPr>
          <w:b/>
          <w:bCs/>
        </w:rPr>
      </w:pPr>
      <w:r>
        <w:rPr>
          <w:b/>
          <w:bCs/>
        </w:rPr>
        <w:t>DEF:</w:t>
      </w:r>
      <w:r>
        <w:rPr>
          <w:b/>
          <w:bCs/>
        </w:rPr>
        <w:tab/>
      </w:r>
      <w:r>
        <w:rPr>
          <w:bCs/>
        </w:rPr>
        <w:t>Yes.</w:t>
      </w:r>
      <w:r>
        <w:rPr>
          <w:b/>
          <w:bCs/>
        </w:rPr>
        <w:t xml:space="preserve"> </w:t>
      </w:r>
      <w:r>
        <w:rPr>
          <w:bCs/>
        </w:rPr>
        <w:t>(Menendez)</w:t>
      </w:r>
    </w:p>
    <w:p w:rsidR="00E82950" w:rsidRDefault="00E82950" w:rsidP="00E82950">
      <w:pPr>
        <w:ind w:left="1440" w:hanging="1440"/>
        <w:jc w:val="both"/>
        <w:rPr>
          <w:b/>
          <w:bCs/>
        </w:rPr>
      </w:pPr>
    </w:p>
    <w:p w:rsidR="00E82950" w:rsidRDefault="00E82950" w:rsidP="00E82950">
      <w:pPr>
        <w:ind w:left="1440" w:hanging="1440"/>
        <w:jc w:val="both"/>
      </w:pPr>
      <w:r>
        <w:rPr>
          <w:b/>
          <w:bCs/>
        </w:rPr>
        <w:t>TECO:</w:t>
      </w:r>
      <w:r>
        <w:rPr>
          <w:b/>
          <w:bCs/>
        </w:rPr>
        <w:tab/>
      </w:r>
      <w:r>
        <w:t>Yes. (Sizemore)</w:t>
      </w:r>
    </w:p>
    <w:p w:rsidR="00E82950" w:rsidRDefault="00E82950" w:rsidP="00E82950">
      <w:pPr>
        <w:jc w:val="both"/>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PCS:</w:t>
      </w:r>
      <w:r>
        <w:rPr>
          <w:b/>
          <w:bCs/>
        </w:rPr>
        <w:tab/>
      </w:r>
      <w:r>
        <w:t>Agree with OPC.</w:t>
      </w:r>
    </w:p>
    <w:p w:rsidR="00E82950" w:rsidRDefault="00E82950" w:rsidP="00E82950">
      <w:pPr>
        <w:ind w:left="1440" w:hanging="1440"/>
        <w:jc w:val="both"/>
        <w:rPr>
          <w:b/>
          <w:bCs/>
        </w:rPr>
      </w:pPr>
    </w:p>
    <w:p w:rsidR="00E82950" w:rsidRDefault="00E82950" w:rsidP="00E82950">
      <w:pPr>
        <w:ind w:left="1440" w:hanging="1440"/>
        <w:jc w:val="both"/>
      </w:pPr>
      <w:r>
        <w:rPr>
          <w:b/>
          <w:bCs/>
        </w:rPr>
        <w:t>OPC:</w:t>
      </w:r>
      <w:r>
        <w:rPr>
          <w:b/>
          <w:bCs/>
        </w:rPr>
        <w:tab/>
      </w:r>
      <w:r>
        <w:t>The factors in the tariffs should be based on costs deemed reasonable and or prudent after a hearing.</w:t>
      </w:r>
      <w:r w:rsidRPr="00C21924">
        <w:t xml:space="preserve"> </w:t>
      </w:r>
      <w:r>
        <w:t>Nevertheless, t</w:t>
      </w:r>
      <w:r w:rsidRPr="00C21924">
        <w:t xml:space="preserve">he 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ind w:left="1440" w:hanging="1440"/>
        <w:jc w:val="both"/>
      </w:pPr>
    </w:p>
    <w:p w:rsidR="00E82950" w:rsidRDefault="00E82950" w:rsidP="00E82950">
      <w:pPr>
        <w:ind w:left="1440" w:hanging="1440"/>
        <w:jc w:val="both"/>
      </w:pPr>
      <w:r>
        <w:rPr>
          <w:b/>
          <w:bCs/>
        </w:rPr>
        <w:t>STAFF:</w:t>
      </w:r>
      <w:r>
        <w:rPr>
          <w:b/>
          <w:bCs/>
        </w:rPr>
        <w:tab/>
      </w:r>
      <w:r>
        <w:t xml:space="preserve">Staff has no position at this time. </w:t>
      </w:r>
    </w:p>
    <w:p w:rsidR="00E82950" w:rsidRDefault="00E82950" w:rsidP="00E82950">
      <w:pPr>
        <w:ind w:left="1440" w:hanging="1440"/>
        <w:jc w:val="both"/>
        <w:outlineLvl w:val="2"/>
      </w:pPr>
    </w:p>
    <w:p w:rsidR="00E82950" w:rsidRDefault="00E82950" w:rsidP="00E82950">
      <w:pPr>
        <w:ind w:left="1440" w:hanging="1440"/>
        <w:jc w:val="both"/>
        <w:outlineLvl w:val="2"/>
      </w:pPr>
    </w:p>
    <w:p w:rsidR="00E82950" w:rsidRPr="00654FC3" w:rsidRDefault="00E82950" w:rsidP="00E82950">
      <w:pPr>
        <w:pStyle w:val="IssueHeading"/>
        <w:spacing w:before="0" w:after="0"/>
        <w:rPr>
          <w:vanish/>
          <w:specVanish/>
        </w:rPr>
      </w:pPr>
      <w:r>
        <w:t xml:space="preserve">ISSUE </w:t>
      </w:r>
      <w:r w:rsidR="00D9404A">
        <w:fldChar w:fldCharType="begin"/>
      </w:r>
      <w:r w:rsidR="00D9404A">
        <w:instrText xml:space="preserve"> SEQ Issue \* Arabic \n  \* MERGEFORMAT </w:instrText>
      </w:r>
      <w:r w:rsidR="00D9404A">
        <w:fldChar w:fldCharType="separate"/>
      </w:r>
      <w:r w:rsidR="00B306B9">
        <w:rPr>
          <w:noProof/>
        </w:rPr>
        <w:t>8</w:t>
      </w:r>
      <w:r w:rsidR="00D9404A">
        <w:rPr>
          <w:noProof/>
        </w:rPr>
        <w:fldChar w:fldCharType="end"/>
      </w:r>
      <w:r>
        <w:fldChar w:fldCharType="begin"/>
      </w:r>
      <w:r>
        <w:instrText xml:space="preserve"> SEQ AddendedLetter \r 0 \h  \* MERGEFORMAT </w:instrText>
      </w:r>
      <w:r>
        <w:fldChar w:fldCharType="end"/>
      </w:r>
      <w:r>
        <w:t>:</w:t>
      </w:r>
      <w:r>
        <w:tab/>
      </w:r>
    </w:p>
    <w:p w:rsidR="00E82950" w:rsidRPr="00654FC3" w:rsidRDefault="00E82950" w:rsidP="00E82950">
      <w:pPr>
        <w:ind w:left="1440" w:hanging="1440"/>
        <w:jc w:val="both"/>
        <w:outlineLvl w:val="2"/>
        <w:rPr>
          <w:b/>
        </w:rPr>
      </w:pPr>
      <w:r w:rsidRPr="00654FC3">
        <w:rPr>
          <w:b/>
        </w:rPr>
        <w:t>Should this docket be closed?</w:t>
      </w:r>
    </w:p>
    <w:p w:rsidR="00E82950" w:rsidRDefault="00E82950" w:rsidP="00E82950">
      <w:pPr>
        <w:ind w:left="1440" w:hanging="1440"/>
        <w:jc w:val="both"/>
        <w:outlineLvl w:val="2"/>
      </w:pPr>
    </w:p>
    <w:p w:rsidR="00E82950" w:rsidRDefault="00E82950" w:rsidP="00E82950">
      <w:pPr>
        <w:ind w:left="1440" w:hanging="1440"/>
        <w:jc w:val="both"/>
        <w:rPr>
          <w:b/>
          <w:bCs/>
        </w:rPr>
      </w:pPr>
      <w:r>
        <w:rPr>
          <w:b/>
          <w:bCs/>
        </w:rPr>
        <w:t>FPL:</w:t>
      </w:r>
      <w:r>
        <w:rPr>
          <w:b/>
          <w:bCs/>
        </w:rPr>
        <w:tab/>
      </w:r>
      <w:r>
        <w:t>No.  While a separate docket number is assigned each year for administrative convenience, this is a continuing docket and should remain open. (Deaton)</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GULF:</w:t>
      </w:r>
      <w:r>
        <w:rPr>
          <w:b/>
          <w:bCs/>
        </w:rPr>
        <w:tab/>
      </w:r>
      <w:r>
        <w:t>No. While a separate docket number is assigned each year for administrative convenience, this is a continuing docket and should remain open. (Hume)</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DEF:</w:t>
      </w:r>
      <w:r>
        <w:rPr>
          <w:b/>
          <w:bCs/>
        </w:rPr>
        <w:tab/>
      </w:r>
      <w:r>
        <w:rPr>
          <w:bCs/>
        </w:rPr>
        <w:t>Yes. (Menendez)</w:t>
      </w:r>
    </w:p>
    <w:p w:rsidR="00E82950" w:rsidRDefault="00E82950" w:rsidP="00E82950">
      <w:pPr>
        <w:ind w:left="1440" w:hanging="1440"/>
        <w:jc w:val="both"/>
        <w:rPr>
          <w:b/>
          <w:bCs/>
        </w:rPr>
      </w:pPr>
    </w:p>
    <w:p w:rsidR="00E82950" w:rsidRPr="007F5CC4" w:rsidRDefault="00E82950" w:rsidP="00E82950">
      <w:pPr>
        <w:ind w:left="1440" w:hanging="1440"/>
        <w:jc w:val="both"/>
      </w:pPr>
      <w:r>
        <w:rPr>
          <w:b/>
          <w:bCs/>
        </w:rPr>
        <w:t>TECO:</w:t>
      </w:r>
      <w:r>
        <w:rPr>
          <w:b/>
          <w:bCs/>
        </w:rPr>
        <w:tab/>
      </w:r>
      <w:r>
        <w:rPr>
          <w:bCs/>
        </w:rPr>
        <w:t>Yes.</w:t>
      </w:r>
    </w:p>
    <w:p w:rsidR="00E82950" w:rsidRDefault="00E82950" w:rsidP="00E82950">
      <w:pPr>
        <w:ind w:left="1440" w:hanging="1440"/>
        <w:jc w:val="both"/>
        <w:rPr>
          <w:b/>
          <w:bCs/>
        </w:rPr>
      </w:pPr>
    </w:p>
    <w:p w:rsidR="00E82950" w:rsidRPr="00B2066A" w:rsidRDefault="00E82950" w:rsidP="00E82950">
      <w:pPr>
        <w:ind w:left="1440" w:hanging="1440"/>
        <w:jc w:val="both"/>
        <w:rPr>
          <w:bCs/>
        </w:rPr>
      </w:pPr>
      <w:r>
        <w:rPr>
          <w:b/>
          <w:bCs/>
        </w:rPr>
        <w:t>FIPUG:</w:t>
      </w:r>
      <w:r>
        <w:rPr>
          <w:b/>
          <w:bCs/>
        </w:rPr>
        <w:tab/>
      </w:r>
      <w:r>
        <w:rPr>
          <w:bCs/>
        </w:rPr>
        <w:t>Yes.</w:t>
      </w:r>
    </w:p>
    <w:p w:rsidR="00E82950" w:rsidRDefault="00E82950" w:rsidP="00E82950">
      <w:pPr>
        <w:ind w:left="1440" w:hanging="1440"/>
        <w:jc w:val="both"/>
        <w:rPr>
          <w:b/>
          <w:bCs/>
        </w:rPr>
      </w:pPr>
    </w:p>
    <w:p w:rsidR="00E82950" w:rsidRPr="009C3BF1" w:rsidRDefault="00E82950" w:rsidP="00E82950">
      <w:pPr>
        <w:ind w:left="1440" w:hanging="1440"/>
        <w:jc w:val="both"/>
        <w:rPr>
          <w:bCs/>
        </w:rPr>
      </w:pPr>
      <w:r>
        <w:rPr>
          <w:b/>
          <w:bCs/>
        </w:rPr>
        <w:t>PCS:</w:t>
      </w:r>
      <w:r>
        <w:rPr>
          <w:b/>
          <w:bCs/>
        </w:rPr>
        <w:tab/>
      </w:r>
      <w:r>
        <w:rPr>
          <w:bCs/>
        </w:rPr>
        <w:t>No position.</w:t>
      </w:r>
    </w:p>
    <w:p w:rsidR="00E82950" w:rsidRDefault="00E82950" w:rsidP="00E82950">
      <w:pPr>
        <w:ind w:left="1440" w:hanging="1440"/>
        <w:jc w:val="both"/>
        <w:rPr>
          <w:b/>
          <w:bCs/>
        </w:rPr>
      </w:pPr>
    </w:p>
    <w:p w:rsidR="00E82950" w:rsidRPr="00460BEE" w:rsidRDefault="00E82950" w:rsidP="00E82950">
      <w:pPr>
        <w:ind w:left="1440" w:hanging="1440"/>
        <w:jc w:val="both"/>
      </w:pPr>
      <w:r>
        <w:rPr>
          <w:b/>
          <w:bCs/>
        </w:rPr>
        <w:t>OPC:</w:t>
      </w:r>
      <w:r>
        <w:rPr>
          <w:b/>
          <w:bCs/>
        </w:rPr>
        <w:tab/>
      </w:r>
      <w:r>
        <w:rPr>
          <w:bCs/>
        </w:rPr>
        <w:t>No position.</w:t>
      </w:r>
    </w:p>
    <w:p w:rsidR="00E82950" w:rsidRDefault="00E82950" w:rsidP="00E82950">
      <w:pPr>
        <w:jc w:val="both"/>
      </w:pPr>
    </w:p>
    <w:p w:rsidR="00E82950" w:rsidRDefault="00E82950" w:rsidP="00E82950">
      <w:pPr>
        <w:ind w:left="1440" w:hanging="1440"/>
        <w:jc w:val="both"/>
      </w:pPr>
      <w:r>
        <w:rPr>
          <w:b/>
          <w:bCs/>
        </w:rPr>
        <w:t>STAFF:</w:t>
      </w:r>
      <w:r>
        <w:rPr>
          <w:b/>
          <w:bCs/>
        </w:rPr>
        <w:tab/>
      </w:r>
      <w:r>
        <w:t>Staff has no position at this time.</w:t>
      </w:r>
    </w:p>
    <w:p w:rsidR="00E82950" w:rsidRDefault="00E82950" w:rsidP="00E82950">
      <w:pPr>
        <w:ind w:left="1440" w:hanging="1440"/>
        <w:jc w:val="both"/>
        <w:outlineLvl w:val="2"/>
      </w:pPr>
    </w:p>
    <w:p w:rsidR="00344DD4" w:rsidRDefault="00344DD4">
      <w:r>
        <w:br w:type="page"/>
      </w:r>
    </w:p>
    <w:p w:rsidR="00E82950" w:rsidRPr="008C23A2" w:rsidRDefault="00E82950" w:rsidP="00E82950">
      <w:pPr>
        <w:ind w:left="1440" w:hanging="1440"/>
        <w:jc w:val="center"/>
      </w:pPr>
      <w:r w:rsidRPr="008C23A2">
        <w:lastRenderedPageBreak/>
        <w:t>COMPANY-SPECIFIC ENVIRONMENTAL COST RECOVERY ISSUES</w:t>
      </w:r>
    </w:p>
    <w:p w:rsidR="00E82950" w:rsidRPr="008C23A2" w:rsidRDefault="00E82950" w:rsidP="00E82950">
      <w:pPr>
        <w:ind w:left="1440" w:hanging="1440"/>
        <w:jc w:val="both"/>
      </w:pPr>
    </w:p>
    <w:p w:rsidR="00E82950" w:rsidRPr="008C23A2" w:rsidRDefault="00E82950" w:rsidP="00E82950">
      <w:pPr>
        <w:spacing w:after="240"/>
        <w:jc w:val="both"/>
        <w:rPr>
          <w:szCs w:val="20"/>
        </w:rPr>
      </w:pPr>
      <w:r w:rsidRPr="00F5200A">
        <w:rPr>
          <w:szCs w:val="20"/>
          <w:u w:val="single"/>
        </w:rPr>
        <w:t>Duke Energy Florida, LLC</w:t>
      </w:r>
      <w:r w:rsidRPr="008C23A2">
        <w:rPr>
          <w:szCs w:val="20"/>
        </w:rPr>
        <w:t>:</w:t>
      </w:r>
    </w:p>
    <w:p w:rsidR="00E82950" w:rsidRPr="00654FC3" w:rsidRDefault="00E82950" w:rsidP="00E82950">
      <w:pPr>
        <w:ind w:left="1440" w:hanging="1440"/>
        <w:jc w:val="both"/>
        <w:rPr>
          <w:b/>
        </w:rPr>
      </w:pPr>
      <w:r w:rsidRPr="008C23A2">
        <w:rPr>
          <w:rFonts w:cs="Arial"/>
          <w:b/>
          <w:bCs/>
          <w:szCs w:val="26"/>
        </w:rPr>
        <w:t xml:space="preserve">ISSUE </w:t>
      </w:r>
      <w:r w:rsidRPr="008C23A2">
        <w:rPr>
          <w:rFonts w:cs="Arial"/>
          <w:b/>
          <w:bCs/>
          <w:szCs w:val="26"/>
        </w:rPr>
        <w:fldChar w:fldCharType="begin"/>
      </w:r>
      <w:r w:rsidRPr="008C23A2">
        <w:rPr>
          <w:rFonts w:cs="Arial"/>
          <w:b/>
          <w:bCs/>
          <w:szCs w:val="26"/>
        </w:rPr>
        <w:instrText xml:space="preserve"> SEQ Issue \* Arabic \n  \* MERGEFORMAT </w:instrText>
      </w:r>
      <w:r w:rsidRPr="008C23A2">
        <w:rPr>
          <w:rFonts w:cs="Arial"/>
          <w:b/>
          <w:bCs/>
          <w:szCs w:val="26"/>
        </w:rPr>
        <w:fldChar w:fldCharType="separate"/>
      </w:r>
      <w:r w:rsidR="00B306B9">
        <w:rPr>
          <w:rFonts w:cs="Arial"/>
          <w:b/>
          <w:bCs/>
          <w:noProof/>
          <w:szCs w:val="26"/>
        </w:rPr>
        <w:t>9</w:t>
      </w:r>
      <w:r w:rsidRPr="008C23A2">
        <w:rPr>
          <w:rFonts w:cs="Arial"/>
          <w:b/>
          <w:bCs/>
          <w:noProof/>
          <w:szCs w:val="26"/>
        </w:rPr>
        <w:fldChar w:fldCharType="end"/>
      </w:r>
      <w:r w:rsidRPr="008C23A2">
        <w:rPr>
          <w:rFonts w:cs="Arial"/>
          <w:b/>
          <w:bCs/>
          <w:szCs w:val="26"/>
        </w:rPr>
        <w:t>:</w:t>
      </w:r>
      <w:r w:rsidRPr="008C23A2">
        <w:rPr>
          <w:rFonts w:cs="Arial"/>
          <w:b/>
          <w:bCs/>
          <w:szCs w:val="26"/>
        </w:rPr>
        <w:tab/>
      </w:r>
      <w:r w:rsidRPr="00654FC3">
        <w:rPr>
          <w:b/>
        </w:rPr>
        <w:t>Should the Commission approve DEF’s Anclote and Bartow Stations 316(b) Rule Compliance Plan Projects for cost recovery through the Environmental Cost Recovery Clause?</w:t>
      </w:r>
    </w:p>
    <w:p w:rsidR="00E82950" w:rsidRDefault="00E82950" w:rsidP="00E82950">
      <w:pPr>
        <w:ind w:left="1440" w:hanging="1440"/>
        <w:jc w:val="both"/>
      </w:pPr>
    </w:p>
    <w:p w:rsidR="00E82950" w:rsidRPr="00C74CE3" w:rsidRDefault="00E82950" w:rsidP="00E82950">
      <w:pPr>
        <w:ind w:left="1440" w:hanging="1440"/>
        <w:jc w:val="both"/>
        <w:rPr>
          <w:bCs/>
        </w:rPr>
      </w:pPr>
      <w:r>
        <w:rPr>
          <w:b/>
          <w:bCs/>
        </w:rPr>
        <w:t>FPL:</w:t>
      </w:r>
      <w:r>
        <w:rPr>
          <w:b/>
          <w:bCs/>
        </w:rPr>
        <w:tab/>
      </w:r>
      <w:r>
        <w:rPr>
          <w:bCs/>
        </w:rPr>
        <w:t>No position.</w:t>
      </w:r>
    </w:p>
    <w:p w:rsidR="00E82950" w:rsidRDefault="00E82950" w:rsidP="00E82950">
      <w:pPr>
        <w:ind w:left="1440" w:hanging="1440"/>
        <w:jc w:val="both"/>
        <w:rPr>
          <w:b/>
          <w:bCs/>
        </w:rPr>
      </w:pPr>
    </w:p>
    <w:p w:rsidR="00E82950" w:rsidRPr="00BE7A24" w:rsidRDefault="00E82950" w:rsidP="00E82950">
      <w:pPr>
        <w:ind w:left="1440" w:hanging="1440"/>
        <w:jc w:val="both"/>
        <w:rPr>
          <w:bCs/>
        </w:rPr>
      </w:pPr>
      <w:r>
        <w:rPr>
          <w:b/>
          <w:bCs/>
        </w:rPr>
        <w:t>GULF:</w:t>
      </w:r>
      <w:r>
        <w:rPr>
          <w:b/>
          <w:bCs/>
        </w:rPr>
        <w:tab/>
      </w:r>
      <w:r>
        <w:rPr>
          <w:bCs/>
        </w:rPr>
        <w:t>No position.</w:t>
      </w:r>
    </w:p>
    <w:p w:rsidR="00E82950" w:rsidRDefault="00E82950" w:rsidP="00E82950">
      <w:pPr>
        <w:ind w:left="1440" w:hanging="1440"/>
        <w:jc w:val="both"/>
        <w:rPr>
          <w:b/>
          <w:bCs/>
        </w:rPr>
      </w:pPr>
    </w:p>
    <w:p w:rsidR="00E82950" w:rsidRDefault="00E82950" w:rsidP="00E82950">
      <w:pPr>
        <w:ind w:left="1440" w:hanging="1440"/>
        <w:jc w:val="both"/>
      </w:pPr>
      <w:r>
        <w:rPr>
          <w:b/>
          <w:bCs/>
        </w:rPr>
        <w:t>DEF:</w:t>
      </w:r>
      <w:r>
        <w:rPr>
          <w:b/>
          <w:bCs/>
        </w:rPr>
        <w:tab/>
      </w:r>
      <w:r>
        <w:t>Yes.  In Order Nos. PSC-2004-0990-PAA-EI and PSC-2018-0014-FOF-EI, the Commission found that DEF’s Section 316(b) of the Clean Water Act Program (“316(b) Program”) met the criteria for recovery through the Environmental Cost Recovery Clause.  DEF’s Anclote and Bartow Stations 316(b) Compliance Plan Projects meet the criteria for recovery through the Environmental Cost Recovery Clause.  (McDaniel, Menendez)</w:t>
      </w:r>
    </w:p>
    <w:p w:rsidR="00E82950" w:rsidRDefault="00E82950" w:rsidP="00E82950">
      <w:pPr>
        <w:ind w:left="1440" w:hanging="1440"/>
        <w:jc w:val="both"/>
      </w:pPr>
    </w:p>
    <w:p w:rsidR="00E82950" w:rsidRPr="007F5CC4" w:rsidRDefault="00E82950" w:rsidP="00E82950">
      <w:pPr>
        <w:ind w:left="1440" w:hanging="1440"/>
        <w:jc w:val="both"/>
      </w:pPr>
      <w:r>
        <w:rPr>
          <w:b/>
          <w:bCs/>
        </w:rPr>
        <w:t>TECO:</w:t>
      </w:r>
      <w:r>
        <w:rPr>
          <w:b/>
          <w:bCs/>
        </w:rPr>
        <w:tab/>
      </w:r>
      <w:r>
        <w:rPr>
          <w:bCs/>
        </w:rPr>
        <w:t>No position.</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PCS:</w:t>
      </w:r>
      <w:r>
        <w:rPr>
          <w:b/>
          <w:bCs/>
        </w:rPr>
        <w:tab/>
      </w:r>
      <w:r w:rsidRPr="00D64D1C">
        <w:t>PCS agrees that these are the types of projects normally recovered under the Environmental Cost Recovery Clause. The only costs of the 316(b) Anclote and Bartow projects that DEF has included in this case are the cost of the studies DEF prepared as part of its NPDES renewal submission. While that renewal is pending, clause recovery of any subsequent project costs would be speculative. Further, DEF continues to bear the burden of proving the prudence of any subsequent project costs.</w:t>
      </w:r>
    </w:p>
    <w:p w:rsidR="00E82950" w:rsidRDefault="00E82950" w:rsidP="00E82950">
      <w:pPr>
        <w:ind w:left="1440" w:hanging="1440"/>
        <w:jc w:val="both"/>
        <w:rPr>
          <w:b/>
          <w:bCs/>
        </w:rPr>
      </w:pPr>
    </w:p>
    <w:p w:rsidR="00E82950" w:rsidRDefault="00E82950" w:rsidP="00E82950">
      <w:pPr>
        <w:ind w:left="1440" w:hanging="1440"/>
        <w:jc w:val="both"/>
      </w:pPr>
      <w:r>
        <w:rPr>
          <w:b/>
          <w:bCs/>
        </w:rPr>
        <w:t>OPC:</w:t>
      </w:r>
      <w:r>
        <w:rPr>
          <w:b/>
          <w:bCs/>
        </w:rPr>
        <w:tab/>
      </w:r>
      <w: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  Nevertheless, t</w:t>
      </w:r>
      <w:r w:rsidRPr="00C21924">
        <w:t xml:space="preserve">he OPC takes no position on this issue nor does it have the burden of proof related to it. As such, the OPC represents that it will not contest or oppose the Commission taking action approving </w:t>
      </w:r>
      <w:r>
        <w:t>a</w:t>
      </w:r>
      <w:r w:rsidRPr="00C21924">
        <w:t xml:space="preserve">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344DD4" w:rsidRDefault="00344DD4" w:rsidP="00E82950">
      <w:pPr>
        <w:ind w:left="1440" w:hanging="1440"/>
        <w:jc w:val="both"/>
      </w:pPr>
    </w:p>
    <w:p w:rsidR="00E82950" w:rsidRDefault="00E82950" w:rsidP="00E82950">
      <w:pPr>
        <w:ind w:left="1440" w:hanging="1440"/>
        <w:jc w:val="both"/>
      </w:pPr>
      <w:r>
        <w:rPr>
          <w:b/>
          <w:bCs/>
        </w:rPr>
        <w:lastRenderedPageBreak/>
        <w:t>STAFF:</w:t>
      </w:r>
      <w:r>
        <w:rPr>
          <w:b/>
          <w:bCs/>
        </w:rPr>
        <w:tab/>
      </w:r>
      <w:r>
        <w:t xml:space="preserve">Staff has no position at this time. </w:t>
      </w:r>
    </w:p>
    <w:p w:rsidR="00E82950" w:rsidRDefault="00E82950" w:rsidP="00E82950">
      <w:pPr>
        <w:ind w:left="1440" w:hanging="1440"/>
        <w:jc w:val="both"/>
        <w:outlineLvl w:val="2"/>
      </w:pPr>
    </w:p>
    <w:p w:rsidR="00E82950" w:rsidRDefault="00E82950" w:rsidP="00E82950">
      <w:pPr>
        <w:ind w:left="1440" w:hanging="1440"/>
        <w:jc w:val="both"/>
        <w:outlineLvl w:val="2"/>
      </w:pPr>
    </w:p>
    <w:p w:rsidR="00E82950" w:rsidRPr="00654FC3" w:rsidRDefault="00E82950" w:rsidP="00E82950">
      <w:pPr>
        <w:ind w:left="1440" w:hanging="1440"/>
        <w:jc w:val="both"/>
        <w:outlineLvl w:val="2"/>
        <w:rPr>
          <w:b/>
        </w:rPr>
      </w:pPr>
      <w:r w:rsidRPr="008C23A2">
        <w:rPr>
          <w:rFonts w:cs="Arial"/>
          <w:b/>
          <w:bCs/>
          <w:szCs w:val="26"/>
        </w:rPr>
        <w:t xml:space="preserve">ISSUE </w:t>
      </w:r>
      <w:r w:rsidRPr="008C23A2">
        <w:rPr>
          <w:rFonts w:cs="Arial"/>
          <w:b/>
          <w:bCs/>
          <w:szCs w:val="26"/>
        </w:rPr>
        <w:fldChar w:fldCharType="begin"/>
      </w:r>
      <w:r w:rsidRPr="008C23A2">
        <w:rPr>
          <w:rFonts w:cs="Arial"/>
          <w:b/>
          <w:bCs/>
          <w:szCs w:val="26"/>
        </w:rPr>
        <w:instrText xml:space="preserve"> SEQ Issue \* Arabic \n  \* MERGEFORMAT </w:instrText>
      </w:r>
      <w:r w:rsidRPr="008C23A2">
        <w:rPr>
          <w:rFonts w:cs="Arial"/>
          <w:b/>
          <w:bCs/>
          <w:szCs w:val="26"/>
        </w:rPr>
        <w:fldChar w:fldCharType="separate"/>
      </w:r>
      <w:r w:rsidR="00B306B9">
        <w:rPr>
          <w:rFonts w:cs="Arial"/>
          <w:b/>
          <w:bCs/>
          <w:noProof/>
          <w:szCs w:val="26"/>
        </w:rPr>
        <w:t>10</w:t>
      </w:r>
      <w:r w:rsidRPr="008C23A2">
        <w:rPr>
          <w:rFonts w:cs="Arial"/>
          <w:b/>
          <w:bCs/>
          <w:noProof/>
          <w:szCs w:val="26"/>
        </w:rPr>
        <w:fldChar w:fldCharType="end"/>
      </w:r>
      <w:r w:rsidRPr="008C23A2">
        <w:rPr>
          <w:rFonts w:cs="Arial"/>
          <w:b/>
          <w:bCs/>
          <w:szCs w:val="26"/>
        </w:rPr>
        <w:fldChar w:fldCharType="begin"/>
      </w:r>
      <w:r w:rsidRPr="008C23A2">
        <w:rPr>
          <w:rFonts w:cs="Arial"/>
          <w:b/>
          <w:bCs/>
          <w:szCs w:val="26"/>
        </w:rPr>
        <w:instrText xml:space="preserve"> SEQ AddendedLetter \r 0 \h  \* MERGEFORMAT </w:instrText>
      </w:r>
      <w:r w:rsidRPr="008C23A2">
        <w:rPr>
          <w:rFonts w:cs="Arial"/>
          <w:b/>
          <w:bCs/>
          <w:szCs w:val="26"/>
        </w:rPr>
        <w:fldChar w:fldCharType="end"/>
      </w:r>
      <w:r w:rsidRPr="008C23A2">
        <w:rPr>
          <w:rFonts w:cs="Arial"/>
          <w:b/>
          <w:bCs/>
          <w:szCs w:val="26"/>
        </w:rPr>
        <w:t>:</w:t>
      </w:r>
      <w:r w:rsidRPr="008C23A2">
        <w:rPr>
          <w:rFonts w:cs="Arial"/>
          <w:b/>
          <w:bCs/>
          <w:szCs w:val="26"/>
        </w:rPr>
        <w:tab/>
      </w:r>
      <w:r w:rsidRPr="00654FC3">
        <w:rPr>
          <w:b/>
        </w:rPr>
        <w:t>How should any approved Environmental Cost Recovery Clause costs associated with DEF’s Anclote and Bartow Stations 316(b) Rule Compliance Plan Projects be allocated to the rate classes?</w:t>
      </w:r>
    </w:p>
    <w:p w:rsidR="00E82950" w:rsidRDefault="00E82950" w:rsidP="00E82950">
      <w:pPr>
        <w:ind w:left="1440" w:hanging="1440"/>
        <w:jc w:val="both"/>
        <w:rPr>
          <w:b/>
          <w:bCs/>
        </w:rPr>
      </w:pPr>
    </w:p>
    <w:p w:rsidR="00E82950" w:rsidRPr="00C74CE3" w:rsidRDefault="00E82950" w:rsidP="00E82950">
      <w:pPr>
        <w:ind w:left="1440" w:hanging="1440"/>
        <w:jc w:val="both"/>
        <w:rPr>
          <w:bCs/>
        </w:rPr>
      </w:pPr>
      <w:r>
        <w:rPr>
          <w:b/>
          <w:bCs/>
        </w:rPr>
        <w:t>FPL:</w:t>
      </w:r>
      <w:r>
        <w:rPr>
          <w:b/>
          <w:bCs/>
        </w:rPr>
        <w:tab/>
      </w:r>
      <w:r>
        <w:rPr>
          <w:bCs/>
        </w:rPr>
        <w:t>No position.</w:t>
      </w:r>
    </w:p>
    <w:p w:rsidR="00E82950" w:rsidRDefault="00E82950" w:rsidP="00E82950">
      <w:pPr>
        <w:ind w:left="1440" w:hanging="1440"/>
        <w:jc w:val="both"/>
        <w:rPr>
          <w:b/>
          <w:bCs/>
        </w:rPr>
      </w:pPr>
    </w:p>
    <w:p w:rsidR="00E82950" w:rsidRPr="00BE7A24" w:rsidRDefault="00E82950" w:rsidP="00E82950">
      <w:pPr>
        <w:ind w:left="1440" w:hanging="1440"/>
        <w:jc w:val="both"/>
        <w:rPr>
          <w:bCs/>
        </w:rPr>
      </w:pPr>
      <w:r>
        <w:rPr>
          <w:b/>
          <w:bCs/>
        </w:rPr>
        <w:t>GULF:</w:t>
      </w:r>
      <w:r>
        <w:rPr>
          <w:b/>
          <w:bCs/>
        </w:rPr>
        <w:tab/>
      </w:r>
      <w:r>
        <w:rPr>
          <w:bCs/>
        </w:rPr>
        <w:t>No position.</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DEF:</w:t>
      </w:r>
      <w:r>
        <w:rPr>
          <w:b/>
          <w:bCs/>
        </w:rPr>
        <w:tab/>
      </w:r>
      <w:r>
        <w:t>Consistent with Order No. PSC-2018-0014-FOF-EI which approved the cost allocation for DEF’s 316(b) Program at Crystal River North, Capital and O&amp;M costs for the Anclote and Bartow 316(b) Programs should be allocated on a demand basis. (Menendez)</w:t>
      </w:r>
    </w:p>
    <w:p w:rsidR="00E82950" w:rsidRDefault="00E82950" w:rsidP="00E82950">
      <w:pPr>
        <w:ind w:left="1440" w:hanging="1440"/>
        <w:jc w:val="both"/>
        <w:rPr>
          <w:b/>
          <w:bCs/>
        </w:rPr>
      </w:pPr>
    </w:p>
    <w:p w:rsidR="00E82950" w:rsidRPr="007F5CC4" w:rsidRDefault="00E82950" w:rsidP="00E82950">
      <w:pPr>
        <w:ind w:left="1440" w:hanging="1440"/>
        <w:jc w:val="both"/>
      </w:pPr>
      <w:r>
        <w:rPr>
          <w:b/>
          <w:bCs/>
        </w:rPr>
        <w:t>TECO:</w:t>
      </w:r>
      <w:r>
        <w:rPr>
          <w:b/>
          <w:bCs/>
        </w:rPr>
        <w:tab/>
      </w:r>
      <w:r>
        <w:rPr>
          <w:bCs/>
        </w:rPr>
        <w:t>No position.</w:t>
      </w:r>
    </w:p>
    <w:p w:rsidR="00E82950" w:rsidRDefault="00E82950" w:rsidP="00E82950">
      <w:pPr>
        <w:jc w:val="both"/>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PCS:</w:t>
      </w:r>
      <w:r>
        <w:rPr>
          <w:b/>
          <w:bCs/>
        </w:rPr>
        <w:tab/>
      </w:r>
      <w:r>
        <w:t>Agree with OPC.</w:t>
      </w:r>
    </w:p>
    <w:p w:rsidR="00E82950" w:rsidRDefault="00E82950" w:rsidP="00E82950">
      <w:pPr>
        <w:ind w:left="1440" w:hanging="1440"/>
        <w:jc w:val="both"/>
        <w:rPr>
          <w:b/>
          <w:bCs/>
        </w:rPr>
      </w:pPr>
    </w:p>
    <w:p w:rsidR="00E82950" w:rsidRPr="00460BEE" w:rsidRDefault="00E82950" w:rsidP="00E82950">
      <w:pPr>
        <w:ind w:left="1440" w:hanging="1440"/>
        <w:jc w:val="both"/>
      </w:pPr>
      <w:r>
        <w:rPr>
          <w:b/>
          <w:bCs/>
        </w:rPr>
        <w:t>OPC:</w:t>
      </w:r>
      <w:r>
        <w:rPr>
          <w:b/>
          <w:bCs/>
        </w:rPr>
        <w:tab/>
      </w:r>
      <w:r w:rsidRPr="00DD55C2">
        <w:t>The 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jc w:val="both"/>
      </w:pPr>
    </w:p>
    <w:p w:rsidR="00E82950" w:rsidRDefault="00E82950" w:rsidP="00E82950">
      <w:pPr>
        <w:ind w:left="1440" w:hanging="1440"/>
        <w:jc w:val="both"/>
      </w:pPr>
      <w:r>
        <w:rPr>
          <w:b/>
          <w:bCs/>
        </w:rPr>
        <w:t>STAFF:</w:t>
      </w:r>
      <w:r>
        <w:rPr>
          <w:b/>
          <w:bCs/>
        </w:rPr>
        <w:tab/>
      </w:r>
      <w:r>
        <w:t xml:space="preserve">Staff has no position at this time. </w:t>
      </w:r>
    </w:p>
    <w:p w:rsidR="00E82950" w:rsidRDefault="00E82950" w:rsidP="00E82950">
      <w:pPr>
        <w:ind w:left="1440" w:hanging="1440"/>
        <w:jc w:val="both"/>
        <w:outlineLvl w:val="2"/>
      </w:pPr>
    </w:p>
    <w:p w:rsidR="00E82950" w:rsidRPr="002F20D1" w:rsidRDefault="00E82950" w:rsidP="00E82950">
      <w:pPr>
        <w:ind w:left="1440" w:hanging="1440"/>
        <w:jc w:val="both"/>
        <w:outlineLvl w:val="2"/>
        <w:rPr>
          <w:b/>
        </w:rPr>
      </w:pPr>
    </w:p>
    <w:p w:rsidR="00E82950" w:rsidRPr="00F5200A" w:rsidRDefault="00E82950" w:rsidP="00E82950">
      <w:pPr>
        <w:ind w:left="1440" w:hanging="1440"/>
        <w:jc w:val="both"/>
        <w:rPr>
          <w:szCs w:val="20"/>
          <w:u w:val="single"/>
        </w:rPr>
      </w:pPr>
      <w:r w:rsidRPr="00F5200A">
        <w:rPr>
          <w:szCs w:val="20"/>
          <w:u w:val="single"/>
        </w:rPr>
        <w:t>Florida Power &amp; Light Company</w:t>
      </w:r>
    </w:p>
    <w:p w:rsidR="00E82950" w:rsidRPr="008C23A2" w:rsidRDefault="00E82950" w:rsidP="00E82950">
      <w:pPr>
        <w:ind w:left="1440" w:hanging="1440"/>
        <w:jc w:val="both"/>
        <w:rPr>
          <w:szCs w:val="20"/>
        </w:rPr>
      </w:pPr>
    </w:p>
    <w:p w:rsidR="00E82950" w:rsidRPr="00654FC3" w:rsidRDefault="00E82950" w:rsidP="00E82950">
      <w:pPr>
        <w:ind w:left="1440" w:hanging="1440"/>
        <w:jc w:val="both"/>
        <w:outlineLvl w:val="2"/>
        <w:rPr>
          <w:b/>
        </w:rPr>
      </w:pPr>
      <w:r w:rsidRPr="008C23A2">
        <w:rPr>
          <w:b/>
        </w:rPr>
        <w:t>ISSUE 13:</w:t>
      </w:r>
      <w:r w:rsidRPr="008C23A2">
        <w:tab/>
      </w:r>
      <w:r w:rsidRPr="00654FC3">
        <w:rPr>
          <w:b/>
        </w:rPr>
        <w:t>Should FPL be allowed to recover, through the ECRC, prudently incurred costs associated with its proposed Power Plant Intake Protected Species Project?</w:t>
      </w:r>
    </w:p>
    <w:p w:rsidR="00E82950" w:rsidRDefault="00E82950" w:rsidP="00E82950">
      <w:pPr>
        <w:ind w:left="1440" w:hanging="1440"/>
        <w:jc w:val="both"/>
        <w:outlineLvl w:val="2"/>
      </w:pPr>
    </w:p>
    <w:p w:rsidR="00E82950" w:rsidRDefault="00E82950" w:rsidP="00E82950">
      <w:pPr>
        <w:ind w:left="1440" w:hanging="1440"/>
        <w:jc w:val="both"/>
      </w:pPr>
      <w:r>
        <w:rPr>
          <w:b/>
          <w:bCs/>
        </w:rPr>
        <w:t>FPL:</w:t>
      </w:r>
      <w:r>
        <w:rPr>
          <w:b/>
          <w:bCs/>
        </w:rPr>
        <w:tab/>
      </w:r>
      <w:r>
        <w:t>Yes.</w:t>
      </w:r>
      <w:r>
        <w:rPr>
          <w:b/>
        </w:rPr>
        <w:t xml:space="preserve"> </w:t>
      </w:r>
      <w:r>
        <w:t>Under the United States Endangered Species Act (“ESA”) (16 U.S.C. § 1531 et seq.), the Marine Mammal Protection Act (“MMPA”) (16 U.S.C. § 1361-1407) and Chapter 68A-27 of the Florida Administrative Code, FPL is required to avoid the “take” of species listed as endangered or threatened.</w:t>
      </w:r>
    </w:p>
    <w:p w:rsidR="00E82950" w:rsidRDefault="00E82950" w:rsidP="00E82950">
      <w:pPr>
        <w:ind w:left="1440" w:hanging="720"/>
        <w:jc w:val="both"/>
        <w:rPr>
          <w:lang w:val="en"/>
        </w:rPr>
      </w:pPr>
    </w:p>
    <w:p w:rsidR="00E82950" w:rsidRDefault="00E82950" w:rsidP="00E82950">
      <w:pPr>
        <w:ind w:left="1440"/>
        <w:jc w:val="both"/>
      </w:pPr>
      <w:r>
        <w:rPr>
          <w:lang w:val="en"/>
        </w:rPr>
        <w:lastRenderedPageBreak/>
        <w:t xml:space="preserve">Recently, FPL power plants have had interactions with the smalltooth sawfish and the </w:t>
      </w:r>
      <w:r>
        <w:t>Florida</w:t>
      </w:r>
      <w:r>
        <w:rPr>
          <w:lang w:val="en"/>
        </w:rPr>
        <w:t xml:space="preserve"> manatee which are listed as an endangered and threatened species, respectively, under the ESA.  FPL has received letters from NOAA Fisheries and the USFWS stating that pursuant to the ESA, FPL must undertake measures to address the unauthorized takes of these species.  </w:t>
      </w:r>
      <w:r>
        <w:t>In order to prevent further take of the species, FPL plans to hire consultants to evaluate and recommend design solutions that will be proposed to the environmental agencies.  FPL will implement the agreed upon solution.</w:t>
      </w:r>
    </w:p>
    <w:p w:rsidR="00E82950" w:rsidRDefault="00E82950" w:rsidP="00E82950">
      <w:pPr>
        <w:ind w:left="1440" w:hanging="720"/>
        <w:jc w:val="both"/>
        <w:rPr>
          <w:lang w:val="en"/>
        </w:rPr>
      </w:pPr>
    </w:p>
    <w:p w:rsidR="00E82950" w:rsidRDefault="00E82950" w:rsidP="00E82950">
      <w:pPr>
        <w:ind w:left="1440" w:hanging="1440"/>
        <w:jc w:val="both"/>
        <w:rPr>
          <w:b/>
          <w:bCs/>
        </w:rPr>
      </w:pPr>
      <w:r>
        <w:tab/>
        <w:t>Additionally, on July 15, 2020, at FPL’s Cape Canaveral Energy Center, a live Florida manatee calf was discovered in the plant’s intake facilities.  The FWC determined the manatee calf was separated from its mother and the mother was unable to be located at the time of the intended release and the calf needed to be transferred to a federally permitted rehabilitation facility, therefore the calf was taken to Sea World for rehabilitation.  USFWS is exercising its enforcement discretion and has requested that the Company assist with the costs of rehabilitating the manatee calf.  This cooperation between FWC/USFWS and FPL is consistent with FPL’s collaborative work on developing solutions to reduce interactions between the Florida manatee and intake facilities, and to reduce the risk of enforcement actions for unauthorized takes.  (Sole)</w:t>
      </w:r>
    </w:p>
    <w:p w:rsidR="00E82950" w:rsidRDefault="00E82950" w:rsidP="00E82950">
      <w:pPr>
        <w:ind w:left="1440" w:hanging="1440"/>
        <w:jc w:val="both"/>
        <w:rPr>
          <w:b/>
          <w:bCs/>
        </w:rPr>
      </w:pPr>
    </w:p>
    <w:p w:rsidR="00E82950" w:rsidRPr="00BE7A24" w:rsidRDefault="00E82950" w:rsidP="00E82950">
      <w:pPr>
        <w:ind w:left="1440" w:hanging="1440"/>
        <w:jc w:val="both"/>
        <w:rPr>
          <w:bCs/>
        </w:rPr>
      </w:pPr>
      <w:r>
        <w:rPr>
          <w:b/>
          <w:bCs/>
        </w:rPr>
        <w:t>GULF:</w:t>
      </w:r>
      <w:r>
        <w:rPr>
          <w:b/>
          <w:bCs/>
        </w:rPr>
        <w:tab/>
      </w:r>
      <w:r>
        <w:rPr>
          <w:bCs/>
        </w:rPr>
        <w:t>No position.</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DEF:</w:t>
      </w:r>
      <w:r>
        <w:rPr>
          <w:b/>
          <w:bCs/>
        </w:rPr>
        <w:tab/>
      </w:r>
      <w:r>
        <w:t>No position.</w:t>
      </w:r>
    </w:p>
    <w:p w:rsidR="00E82950" w:rsidRDefault="00E82950" w:rsidP="00E82950">
      <w:pPr>
        <w:ind w:left="1440" w:hanging="1440"/>
        <w:jc w:val="both"/>
        <w:rPr>
          <w:b/>
          <w:bCs/>
        </w:rPr>
      </w:pPr>
    </w:p>
    <w:p w:rsidR="00E82950" w:rsidRPr="007F5CC4" w:rsidRDefault="00E82950" w:rsidP="00E82950">
      <w:pPr>
        <w:ind w:left="1440" w:hanging="1440"/>
        <w:jc w:val="both"/>
      </w:pPr>
      <w:r>
        <w:rPr>
          <w:b/>
          <w:bCs/>
        </w:rPr>
        <w:t>TECO:</w:t>
      </w:r>
      <w:r>
        <w:rPr>
          <w:b/>
          <w:bCs/>
        </w:rPr>
        <w:tab/>
      </w:r>
      <w:r>
        <w:rPr>
          <w:bCs/>
        </w:rPr>
        <w:t>No position.</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PCS:</w:t>
      </w:r>
      <w:r>
        <w:rPr>
          <w:b/>
          <w:bCs/>
        </w:rPr>
        <w:tab/>
      </w:r>
      <w:r>
        <w:rPr>
          <w:bCs/>
        </w:rPr>
        <w:t>No position.</w:t>
      </w:r>
    </w:p>
    <w:p w:rsidR="00E82950" w:rsidRDefault="00E82950" w:rsidP="00E82950">
      <w:pPr>
        <w:ind w:left="1440" w:hanging="1440"/>
        <w:jc w:val="both"/>
        <w:rPr>
          <w:b/>
          <w:bCs/>
        </w:rPr>
      </w:pPr>
    </w:p>
    <w:p w:rsidR="00E82950" w:rsidRPr="00344DD4" w:rsidRDefault="00E82950" w:rsidP="00E82950">
      <w:pPr>
        <w:ind w:left="1440" w:hanging="1440"/>
        <w:jc w:val="both"/>
        <w:rPr>
          <w:bCs/>
        </w:rPr>
      </w:pPr>
      <w:r>
        <w:rPr>
          <w:b/>
          <w:bCs/>
        </w:rPr>
        <w:t>OPC:</w:t>
      </w:r>
      <w:r>
        <w:rPr>
          <w:b/>
          <w:bCs/>
        </w:rPr>
        <w:tab/>
      </w:r>
      <w:r w:rsidRPr="00416674">
        <w:rPr>
          <w:b/>
          <w:bCs/>
        </w:rPr>
        <w:t xml:space="preserve">No (related to the manatee calf).  </w:t>
      </w:r>
      <w:r w:rsidRPr="00416674">
        <w:rPr>
          <w:bCs/>
        </w:rPr>
        <w:t>The OPC is willing to agree to litigate this issue in the 2021 hearing cycle if all parties and staff agree to such a deferral.</w:t>
      </w:r>
      <w:r w:rsidR="00344DD4">
        <w:rPr>
          <w:bCs/>
        </w:rPr>
        <w:t xml:space="preserve">   </w:t>
      </w:r>
      <w:r>
        <w:t>The OPC is not in agreement that the Companies have demonstrated that they have met their burden to demonstrate that costs are reasonable and prudent. A significant percentage of the costs on a customer’s bill is based on clause recovery in this docket and others. The Commission has not held a contested proceeding where testimony from witnesses was heard and discussed in open hearing. The OPC does not accept that, given these circumstances, that the costs proposed for final true-up can necessarily be deemed prudent.</w:t>
      </w:r>
    </w:p>
    <w:p w:rsidR="00E82950" w:rsidRDefault="00E82950" w:rsidP="00E82950">
      <w:pPr>
        <w:jc w:val="both"/>
      </w:pPr>
    </w:p>
    <w:p w:rsidR="00E82950" w:rsidRDefault="00E82950" w:rsidP="00E82950">
      <w:pPr>
        <w:ind w:left="1440" w:hanging="1440"/>
        <w:jc w:val="both"/>
      </w:pPr>
      <w:r>
        <w:rPr>
          <w:b/>
          <w:bCs/>
        </w:rPr>
        <w:t>STAFF:</w:t>
      </w:r>
      <w:r>
        <w:rPr>
          <w:b/>
          <w:bCs/>
        </w:rPr>
        <w:tab/>
      </w:r>
      <w:r>
        <w:t>Staff has no position at this time.</w:t>
      </w:r>
    </w:p>
    <w:p w:rsidR="00E82950" w:rsidRDefault="00E82950" w:rsidP="00E82950">
      <w:pPr>
        <w:ind w:left="1440" w:hanging="1440"/>
        <w:jc w:val="both"/>
        <w:outlineLvl w:val="2"/>
      </w:pPr>
    </w:p>
    <w:p w:rsidR="00E82950" w:rsidRDefault="00E82950" w:rsidP="00E82950">
      <w:pPr>
        <w:ind w:left="1440" w:hanging="1440"/>
        <w:jc w:val="both"/>
        <w:outlineLvl w:val="2"/>
      </w:pPr>
    </w:p>
    <w:p w:rsidR="00E82950" w:rsidRPr="00654FC3" w:rsidRDefault="00E82950" w:rsidP="00E82950">
      <w:pPr>
        <w:ind w:left="1440" w:hanging="1440"/>
        <w:jc w:val="both"/>
        <w:rPr>
          <w:b/>
        </w:rPr>
      </w:pPr>
      <w:r w:rsidRPr="008C23A2">
        <w:rPr>
          <w:b/>
        </w:rPr>
        <w:lastRenderedPageBreak/>
        <w:t>ISSUE 14</w:t>
      </w:r>
      <w:r w:rsidRPr="008C23A2">
        <w:rPr>
          <w:b/>
        </w:rPr>
        <w:fldChar w:fldCharType="begin"/>
      </w:r>
      <w:r w:rsidRPr="008C23A2">
        <w:rPr>
          <w:b/>
        </w:rPr>
        <w:instrText xml:space="preserve"> SEQ AddendedLetter \r 0 \h  \* MERGEFORMAT </w:instrText>
      </w:r>
      <w:r w:rsidRPr="008C23A2">
        <w:rPr>
          <w:b/>
        </w:rPr>
        <w:fldChar w:fldCharType="end"/>
      </w:r>
      <w:r w:rsidRPr="008C23A2">
        <w:rPr>
          <w:b/>
        </w:rPr>
        <w:t>:</w:t>
      </w:r>
      <w:r w:rsidRPr="008C23A2">
        <w:tab/>
      </w:r>
      <w:r w:rsidRPr="00654FC3">
        <w:rPr>
          <w:b/>
        </w:rPr>
        <w:t>How should any approved Environmental Cost Recovery</w:t>
      </w:r>
      <w:r w:rsidRPr="00654FC3">
        <w:rPr>
          <w:b/>
          <w:bCs/>
        </w:rPr>
        <w:t xml:space="preserve"> </w:t>
      </w:r>
      <w:r w:rsidRPr="00654FC3">
        <w:rPr>
          <w:b/>
        </w:rPr>
        <w:t>Clause costs associated with FPL’s proposed Power Plant Intake Protected Species Project be allocated to the rate classes?</w:t>
      </w:r>
    </w:p>
    <w:p w:rsidR="00E82950" w:rsidRDefault="00E82950" w:rsidP="00E82950">
      <w:pPr>
        <w:ind w:left="1440" w:hanging="1440"/>
        <w:jc w:val="both"/>
      </w:pPr>
    </w:p>
    <w:p w:rsidR="00E82950" w:rsidRDefault="00E82950" w:rsidP="00E82950">
      <w:pPr>
        <w:ind w:left="1440" w:hanging="1440"/>
        <w:jc w:val="both"/>
        <w:rPr>
          <w:b/>
          <w:bCs/>
        </w:rPr>
      </w:pPr>
      <w:r>
        <w:rPr>
          <w:b/>
          <w:bCs/>
        </w:rPr>
        <w:t>FPL:</w:t>
      </w:r>
      <w:r>
        <w:rPr>
          <w:b/>
          <w:bCs/>
        </w:rPr>
        <w:tab/>
      </w:r>
      <w:r>
        <w:t>O&amp;M and Capital costs associated with FPL’s proposed Power Plant Intake Protected Species Project should be allocated to rate classes based on 100% CP Demand.  (Deaton)</w:t>
      </w:r>
    </w:p>
    <w:p w:rsidR="00E82950" w:rsidRDefault="00E82950" w:rsidP="00E82950">
      <w:pPr>
        <w:ind w:left="1440" w:hanging="1440"/>
        <w:jc w:val="both"/>
        <w:rPr>
          <w:b/>
          <w:bCs/>
        </w:rPr>
      </w:pPr>
    </w:p>
    <w:p w:rsidR="00E82950" w:rsidRPr="00BE7A24" w:rsidRDefault="00E82950" w:rsidP="00E82950">
      <w:pPr>
        <w:ind w:left="1440" w:hanging="1440"/>
        <w:jc w:val="both"/>
        <w:rPr>
          <w:bCs/>
        </w:rPr>
      </w:pPr>
      <w:r>
        <w:rPr>
          <w:b/>
          <w:bCs/>
        </w:rPr>
        <w:t>GULF:</w:t>
      </w:r>
      <w:r>
        <w:rPr>
          <w:b/>
          <w:bCs/>
        </w:rPr>
        <w:tab/>
      </w:r>
      <w:r>
        <w:rPr>
          <w:bCs/>
        </w:rPr>
        <w:t>No position.</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DEF:</w:t>
      </w:r>
      <w:r>
        <w:rPr>
          <w:b/>
          <w:bCs/>
        </w:rPr>
        <w:tab/>
      </w:r>
      <w:r>
        <w:t>No position.</w:t>
      </w:r>
    </w:p>
    <w:p w:rsidR="00E82950" w:rsidRDefault="00E82950" w:rsidP="00E82950">
      <w:pPr>
        <w:ind w:left="1440" w:hanging="1440"/>
        <w:jc w:val="both"/>
        <w:rPr>
          <w:b/>
          <w:bCs/>
        </w:rPr>
      </w:pPr>
    </w:p>
    <w:p w:rsidR="00E82950" w:rsidRPr="007F5CC4" w:rsidRDefault="00E82950" w:rsidP="00E82950">
      <w:pPr>
        <w:ind w:left="1440" w:hanging="1440"/>
        <w:jc w:val="both"/>
      </w:pPr>
      <w:r>
        <w:rPr>
          <w:b/>
          <w:bCs/>
        </w:rPr>
        <w:t>TECO:</w:t>
      </w:r>
      <w:r>
        <w:rPr>
          <w:b/>
          <w:bCs/>
        </w:rPr>
        <w:tab/>
      </w:r>
      <w:r>
        <w:rPr>
          <w:bCs/>
        </w:rPr>
        <w:t>No position.</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PCS:</w:t>
      </w:r>
      <w:r>
        <w:rPr>
          <w:b/>
          <w:bCs/>
        </w:rPr>
        <w:tab/>
      </w:r>
      <w:r>
        <w:rPr>
          <w:bCs/>
        </w:rPr>
        <w:t>No position.</w:t>
      </w:r>
    </w:p>
    <w:p w:rsidR="00E82950" w:rsidRDefault="00E82950" w:rsidP="00E82950">
      <w:pPr>
        <w:ind w:left="1440" w:hanging="1440"/>
        <w:jc w:val="both"/>
        <w:rPr>
          <w:b/>
          <w:bCs/>
        </w:rPr>
      </w:pPr>
    </w:p>
    <w:p w:rsidR="00E82950" w:rsidRDefault="00E82950" w:rsidP="00E82950">
      <w:pPr>
        <w:ind w:left="1440" w:hanging="1440"/>
        <w:jc w:val="both"/>
      </w:pPr>
      <w:r>
        <w:rPr>
          <w:b/>
          <w:bCs/>
        </w:rPr>
        <w:t>OPC:</w:t>
      </w:r>
      <w:r>
        <w:rPr>
          <w:b/>
          <w:bCs/>
        </w:rPr>
        <w:tab/>
      </w:r>
      <w:r w:rsidRPr="00416674">
        <w:t>The OPC takes no position on this issue nor does it have the burden of proof related to it.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this issue, either in this docket, in an order of the Commission or in a representation to a Court.</w:t>
      </w:r>
    </w:p>
    <w:p w:rsidR="00E82950" w:rsidRDefault="00E82950" w:rsidP="00E82950">
      <w:pPr>
        <w:jc w:val="both"/>
      </w:pPr>
    </w:p>
    <w:p w:rsidR="00E82950" w:rsidRDefault="00E82950" w:rsidP="00E82950">
      <w:pPr>
        <w:ind w:left="1440" w:hanging="1440"/>
        <w:jc w:val="both"/>
      </w:pPr>
      <w:r>
        <w:rPr>
          <w:b/>
          <w:bCs/>
        </w:rPr>
        <w:t>STAFF:</w:t>
      </w:r>
      <w:r>
        <w:rPr>
          <w:b/>
          <w:bCs/>
        </w:rPr>
        <w:tab/>
      </w:r>
      <w:r>
        <w:t>Staff has no position at this time.</w:t>
      </w:r>
    </w:p>
    <w:p w:rsidR="00E82950" w:rsidRDefault="00E82950" w:rsidP="00E82950">
      <w:pPr>
        <w:ind w:left="1440" w:hanging="1440"/>
        <w:jc w:val="both"/>
        <w:outlineLvl w:val="2"/>
      </w:pPr>
    </w:p>
    <w:p w:rsidR="00E82950" w:rsidRDefault="00E82950" w:rsidP="00E82950">
      <w:pPr>
        <w:ind w:left="1440" w:hanging="1440"/>
        <w:jc w:val="both"/>
        <w:outlineLvl w:val="2"/>
      </w:pPr>
    </w:p>
    <w:p w:rsidR="00E82950" w:rsidRPr="00654FC3" w:rsidRDefault="00E82950" w:rsidP="00E82950">
      <w:pPr>
        <w:ind w:left="1440" w:hanging="1440"/>
        <w:jc w:val="both"/>
        <w:outlineLvl w:val="2"/>
        <w:rPr>
          <w:b/>
        </w:rPr>
      </w:pPr>
      <w:r w:rsidRPr="00803520">
        <w:rPr>
          <w:b/>
        </w:rPr>
        <w:t>ISSUE 15</w:t>
      </w:r>
      <w:r w:rsidRPr="00803520">
        <w:rPr>
          <w:b/>
        </w:rPr>
        <w:fldChar w:fldCharType="begin"/>
      </w:r>
      <w:r w:rsidRPr="00803520">
        <w:rPr>
          <w:b/>
        </w:rPr>
        <w:instrText xml:space="preserve"> SEQ AddendedLetter \r 0 \h  \* MERGEFORMAT </w:instrText>
      </w:r>
      <w:r w:rsidRPr="00803520">
        <w:rPr>
          <w:b/>
        </w:rPr>
        <w:fldChar w:fldCharType="end"/>
      </w:r>
      <w:r w:rsidRPr="00803520">
        <w:rPr>
          <w:b/>
        </w:rPr>
        <w:t>:</w:t>
      </w:r>
      <w:r>
        <w:tab/>
      </w:r>
      <w:r w:rsidRPr="00654FC3">
        <w:rPr>
          <w:b/>
        </w:rPr>
        <w:t>Should FPL be allowed to recover, through the ECRC, prudently incurred costs associated with its proposed modification to its Turkey Point Cooling Canal Monitoring Plan Project?</w:t>
      </w:r>
    </w:p>
    <w:p w:rsidR="00E82950" w:rsidRDefault="00E82950" w:rsidP="00E82950">
      <w:pPr>
        <w:ind w:left="1440" w:hanging="1440"/>
        <w:jc w:val="both"/>
        <w:outlineLvl w:val="2"/>
      </w:pPr>
    </w:p>
    <w:p w:rsidR="00E82950" w:rsidRDefault="00E82950" w:rsidP="00E82950">
      <w:pPr>
        <w:ind w:left="1440" w:hanging="1440"/>
        <w:jc w:val="both"/>
        <w:rPr>
          <w:b/>
          <w:bCs/>
        </w:rPr>
      </w:pPr>
    </w:p>
    <w:p w:rsidR="00E82950" w:rsidRDefault="00E82950" w:rsidP="00E82950">
      <w:pPr>
        <w:ind w:left="1440" w:hanging="1440"/>
        <w:jc w:val="both"/>
        <w:rPr>
          <w:b/>
          <w:bCs/>
        </w:rPr>
      </w:pPr>
      <w:r>
        <w:rPr>
          <w:b/>
          <w:bCs/>
        </w:rPr>
        <w:t>FPL:</w:t>
      </w:r>
      <w:r>
        <w:rPr>
          <w:b/>
          <w:bCs/>
        </w:rPr>
        <w:tab/>
      </w:r>
      <w:r>
        <w:rPr>
          <w:bCs/>
        </w:rPr>
        <w:t>Yes.  FPL is in the process of renewing its NPDES/IWW permit for the Turkey Point facility and FDEP has noticed an intent to issue a permit, but parties have filed administrative challenges, resulting in litigation concerning the issuance of the final permit.  The NPDES/IWW permit is an integral piece of FPL’s compliance with the 2016 Consent Order issued by FDEP, the environmental requirement that forms the basis for the Cooling Canal Project. The proposed NPDES/IWW permit incorporates the 2016 Consent Order remedial actions and timelines related to retraction of the hypersaline plume as well as monitoring and reporting requirements. Therefore, FPL is requesting to recover costs associated with litigating the NPDES/IWW permit challenges.  (Sole)</w:t>
      </w:r>
    </w:p>
    <w:p w:rsidR="00E82950" w:rsidRDefault="00E82950" w:rsidP="00E82950">
      <w:pPr>
        <w:ind w:left="1440" w:hanging="1440"/>
        <w:jc w:val="both"/>
        <w:rPr>
          <w:b/>
          <w:bCs/>
        </w:rPr>
      </w:pPr>
    </w:p>
    <w:p w:rsidR="00E82950" w:rsidRPr="00BE7A24" w:rsidRDefault="00E82950" w:rsidP="00E82950">
      <w:pPr>
        <w:ind w:left="1440" w:hanging="1440"/>
        <w:jc w:val="both"/>
        <w:rPr>
          <w:bCs/>
        </w:rPr>
      </w:pPr>
      <w:r>
        <w:rPr>
          <w:b/>
          <w:bCs/>
        </w:rPr>
        <w:lastRenderedPageBreak/>
        <w:t>GULF:</w:t>
      </w:r>
      <w:r>
        <w:rPr>
          <w:b/>
          <w:bCs/>
        </w:rPr>
        <w:tab/>
      </w:r>
      <w:r>
        <w:rPr>
          <w:bCs/>
        </w:rPr>
        <w:t>No position.</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DEF:</w:t>
      </w:r>
      <w:r>
        <w:rPr>
          <w:b/>
          <w:bCs/>
        </w:rPr>
        <w:tab/>
      </w:r>
      <w:r>
        <w:t>No position.</w:t>
      </w:r>
    </w:p>
    <w:p w:rsidR="00E82950" w:rsidRDefault="00E82950" w:rsidP="00E82950">
      <w:pPr>
        <w:ind w:left="1440" w:hanging="1440"/>
        <w:jc w:val="both"/>
        <w:rPr>
          <w:b/>
          <w:bCs/>
        </w:rPr>
      </w:pPr>
    </w:p>
    <w:p w:rsidR="00E82950" w:rsidRPr="007F5CC4" w:rsidRDefault="00E82950" w:rsidP="00E82950">
      <w:pPr>
        <w:ind w:left="1440" w:hanging="1440"/>
        <w:jc w:val="both"/>
      </w:pPr>
      <w:r>
        <w:rPr>
          <w:b/>
          <w:bCs/>
        </w:rPr>
        <w:t>TECO:</w:t>
      </w:r>
      <w:r>
        <w:rPr>
          <w:b/>
          <w:bCs/>
        </w:rPr>
        <w:tab/>
      </w:r>
      <w:r>
        <w:rPr>
          <w:bCs/>
        </w:rPr>
        <w:t>No position.</w:t>
      </w:r>
    </w:p>
    <w:p w:rsidR="00E82950" w:rsidRDefault="00E82950" w:rsidP="00E82950">
      <w:pPr>
        <w:jc w:val="both"/>
      </w:pPr>
    </w:p>
    <w:p w:rsidR="00E82950" w:rsidRDefault="00E82950" w:rsidP="00E82950">
      <w:pPr>
        <w:ind w:left="1440" w:hanging="1440"/>
        <w:jc w:val="both"/>
        <w:rPr>
          <w:b/>
          <w:bCs/>
        </w:rPr>
      </w:pPr>
      <w:r>
        <w:rPr>
          <w:b/>
          <w:bCs/>
        </w:rPr>
        <w:t>FIPUG:</w:t>
      </w:r>
      <w:r>
        <w:rPr>
          <w:b/>
          <w:bCs/>
        </w:rPr>
        <w:tab/>
      </w:r>
      <w:r>
        <w:t>Adopt the position of OPC.</w:t>
      </w:r>
    </w:p>
    <w:p w:rsidR="00E82950" w:rsidRDefault="00E82950" w:rsidP="00E82950">
      <w:pPr>
        <w:ind w:left="1440" w:hanging="1440"/>
        <w:jc w:val="both"/>
        <w:rPr>
          <w:b/>
          <w:bCs/>
        </w:rPr>
      </w:pPr>
    </w:p>
    <w:p w:rsidR="00E82950" w:rsidRDefault="00E82950" w:rsidP="00E82950">
      <w:pPr>
        <w:ind w:left="1440" w:hanging="1440"/>
        <w:jc w:val="both"/>
        <w:rPr>
          <w:b/>
          <w:bCs/>
        </w:rPr>
      </w:pPr>
      <w:r>
        <w:rPr>
          <w:b/>
          <w:bCs/>
        </w:rPr>
        <w:t>PCS:</w:t>
      </w:r>
      <w:r>
        <w:rPr>
          <w:b/>
          <w:bCs/>
        </w:rPr>
        <w:tab/>
      </w:r>
      <w:r>
        <w:rPr>
          <w:bCs/>
        </w:rPr>
        <w:t>No position.</w:t>
      </w:r>
    </w:p>
    <w:p w:rsidR="00E82950" w:rsidRDefault="00E82950" w:rsidP="00E82950">
      <w:pPr>
        <w:ind w:left="1440" w:hanging="1440"/>
        <w:jc w:val="both"/>
        <w:rPr>
          <w:b/>
          <w:bCs/>
        </w:rPr>
      </w:pPr>
    </w:p>
    <w:p w:rsidR="00E82950" w:rsidRPr="00166DA4" w:rsidRDefault="00E82950" w:rsidP="00E82950">
      <w:pPr>
        <w:ind w:left="1440" w:hanging="1440"/>
        <w:jc w:val="both"/>
      </w:pPr>
      <w:r>
        <w:rPr>
          <w:b/>
          <w:bCs/>
        </w:rPr>
        <w:t>OPC:</w:t>
      </w:r>
      <w:r>
        <w:rPr>
          <w:b/>
          <w:bCs/>
        </w:rPr>
        <w:tab/>
      </w:r>
      <w:r>
        <w:rPr>
          <w:bCs/>
        </w:rPr>
        <w:t>No.  The OPC is willing to agree to litigate this issue in the 2021 hearing cycle if all parties and staff agree to such a deferral.</w:t>
      </w:r>
    </w:p>
    <w:p w:rsidR="00E82950" w:rsidRPr="00166DA4" w:rsidRDefault="00E82950" w:rsidP="00E82950">
      <w:pPr>
        <w:ind w:left="1440" w:hanging="1440"/>
        <w:jc w:val="both"/>
      </w:pPr>
    </w:p>
    <w:p w:rsidR="00E82950" w:rsidRDefault="00E82950" w:rsidP="00E82950">
      <w:pPr>
        <w:ind w:left="1440" w:hanging="1440"/>
        <w:jc w:val="both"/>
      </w:pPr>
      <w:r>
        <w:rPr>
          <w:b/>
          <w:bCs/>
        </w:rPr>
        <w:t>STAFF:</w:t>
      </w:r>
      <w:r>
        <w:rPr>
          <w:b/>
          <w:bCs/>
        </w:rPr>
        <w:tab/>
      </w:r>
      <w:r>
        <w:t>Staff has no position at this time.</w:t>
      </w:r>
    </w:p>
    <w:p w:rsidR="00E82950" w:rsidRDefault="00E82950" w:rsidP="00D4653A">
      <w:pPr>
        <w:jc w:val="both"/>
      </w:pPr>
    </w:p>
    <w:p w:rsidR="00D1317C" w:rsidRDefault="00D1317C" w:rsidP="00E76E7A">
      <w:pPr>
        <w:ind w:left="1440" w:hanging="1440"/>
        <w:jc w:val="both"/>
      </w:pPr>
    </w:p>
    <w:p w:rsidR="00E76E7A" w:rsidRPr="00A32DC5" w:rsidRDefault="00E76E7A" w:rsidP="00E76E7A">
      <w:pPr>
        <w:jc w:val="both"/>
        <w:rPr>
          <w:b/>
        </w:rPr>
      </w:pPr>
      <w:r w:rsidRPr="00A32DC5">
        <w:rPr>
          <w:b/>
        </w:rPr>
        <w:t>IX.</w:t>
      </w:r>
      <w:r w:rsidRPr="00A32DC5">
        <w:rPr>
          <w:b/>
        </w:rPr>
        <w:tab/>
      </w:r>
      <w:r w:rsidRPr="00A32DC5">
        <w:rPr>
          <w:b/>
          <w:u w:val="single"/>
        </w:rPr>
        <w:t>EXHIBIT LIST</w:t>
      </w:r>
    </w:p>
    <w:p w:rsidR="00E76E7A" w:rsidRPr="00701945" w:rsidRDefault="00E76E7A" w:rsidP="00E76E7A">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E76E7A" w:rsidRPr="00701945" w:rsidTr="00F856DC">
        <w:trPr>
          <w:cantSplit/>
          <w:trHeight w:val="373"/>
          <w:tblHeader/>
        </w:trPr>
        <w:tc>
          <w:tcPr>
            <w:tcW w:w="3198" w:type="dxa"/>
            <w:tcBorders>
              <w:top w:val="nil"/>
              <w:left w:val="nil"/>
              <w:bottom w:val="nil"/>
              <w:right w:val="nil"/>
            </w:tcBorders>
          </w:tcPr>
          <w:p w:rsidR="00E76E7A" w:rsidRPr="00701945" w:rsidRDefault="00E76E7A" w:rsidP="00F856DC">
            <w:pPr>
              <w:jc w:val="both"/>
            </w:pPr>
            <w:r w:rsidRPr="00701945">
              <w:rPr>
                <w:u w:val="single"/>
              </w:rPr>
              <w:t>Witness</w:t>
            </w:r>
          </w:p>
        </w:tc>
        <w:tc>
          <w:tcPr>
            <w:tcW w:w="1680" w:type="dxa"/>
            <w:tcBorders>
              <w:top w:val="nil"/>
              <w:left w:val="nil"/>
              <w:bottom w:val="nil"/>
              <w:right w:val="nil"/>
            </w:tcBorders>
          </w:tcPr>
          <w:p w:rsidR="00E76E7A" w:rsidRPr="00701945" w:rsidRDefault="00E76E7A" w:rsidP="00F856DC">
            <w:pPr>
              <w:jc w:val="center"/>
            </w:pPr>
            <w:r w:rsidRPr="00701945">
              <w:rPr>
                <w:u w:val="single"/>
              </w:rPr>
              <w:t>Proffered By</w:t>
            </w:r>
          </w:p>
        </w:tc>
        <w:tc>
          <w:tcPr>
            <w:tcW w:w="1482" w:type="dxa"/>
            <w:tcBorders>
              <w:top w:val="nil"/>
              <w:left w:val="nil"/>
              <w:bottom w:val="nil"/>
              <w:right w:val="nil"/>
            </w:tcBorders>
          </w:tcPr>
          <w:p w:rsidR="00E76E7A" w:rsidRPr="004515FB" w:rsidRDefault="00E76E7A" w:rsidP="00F856DC">
            <w:pPr>
              <w:jc w:val="center"/>
            </w:pPr>
          </w:p>
        </w:tc>
        <w:tc>
          <w:tcPr>
            <w:tcW w:w="3205" w:type="dxa"/>
            <w:tcBorders>
              <w:top w:val="nil"/>
              <w:left w:val="nil"/>
              <w:bottom w:val="nil"/>
              <w:right w:val="nil"/>
            </w:tcBorders>
          </w:tcPr>
          <w:p w:rsidR="00E76E7A" w:rsidRPr="00701945" w:rsidRDefault="00E76E7A" w:rsidP="00F856DC">
            <w:pPr>
              <w:jc w:val="both"/>
            </w:pPr>
            <w:r w:rsidRPr="00701945">
              <w:rPr>
                <w:u w:val="single"/>
              </w:rPr>
              <w:t>Description</w:t>
            </w:r>
          </w:p>
        </w:tc>
      </w:tr>
      <w:tr w:rsidR="00E76E7A" w:rsidRPr="00701945" w:rsidTr="00F856DC">
        <w:trPr>
          <w:cantSplit/>
          <w:trHeight w:val="353"/>
        </w:trPr>
        <w:tc>
          <w:tcPr>
            <w:tcW w:w="3198" w:type="dxa"/>
            <w:tcBorders>
              <w:top w:val="nil"/>
              <w:left w:val="nil"/>
              <w:bottom w:val="nil"/>
              <w:right w:val="nil"/>
            </w:tcBorders>
          </w:tcPr>
          <w:p w:rsidR="00E76E7A" w:rsidRPr="00701945" w:rsidRDefault="00E76E7A" w:rsidP="00F856DC">
            <w:pPr>
              <w:jc w:val="both"/>
            </w:pPr>
            <w:r w:rsidRPr="00701945">
              <w:tab/>
            </w:r>
            <w:r w:rsidRPr="00701945">
              <w:rPr>
                <w:u w:val="single"/>
              </w:rPr>
              <w:t>Direct</w:t>
            </w:r>
          </w:p>
        </w:tc>
        <w:tc>
          <w:tcPr>
            <w:tcW w:w="1680" w:type="dxa"/>
            <w:tcBorders>
              <w:top w:val="nil"/>
              <w:left w:val="nil"/>
              <w:bottom w:val="nil"/>
              <w:right w:val="nil"/>
            </w:tcBorders>
          </w:tcPr>
          <w:p w:rsidR="00E76E7A" w:rsidRPr="00701945" w:rsidRDefault="00E76E7A" w:rsidP="00F856DC">
            <w:pPr>
              <w:jc w:val="center"/>
            </w:pPr>
          </w:p>
        </w:tc>
        <w:tc>
          <w:tcPr>
            <w:tcW w:w="1482" w:type="dxa"/>
            <w:tcBorders>
              <w:top w:val="nil"/>
              <w:left w:val="nil"/>
              <w:bottom w:val="nil"/>
              <w:right w:val="nil"/>
            </w:tcBorders>
          </w:tcPr>
          <w:p w:rsidR="00E76E7A" w:rsidRPr="004515FB" w:rsidRDefault="00E76E7A" w:rsidP="00F856DC">
            <w:pPr>
              <w:jc w:val="center"/>
            </w:pPr>
          </w:p>
        </w:tc>
        <w:tc>
          <w:tcPr>
            <w:tcW w:w="3205" w:type="dxa"/>
            <w:tcBorders>
              <w:top w:val="nil"/>
              <w:left w:val="nil"/>
              <w:bottom w:val="nil"/>
              <w:right w:val="nil"/>
            </w:tcBorders>
          </w:tcPr>
          <w:p w:rsidR="00E76E7A" w:rsidRPr="00701945" w:rsidRDefault="00E76E7A" w:rsidP="00F856DC"/>
        </w:tc>
      </w:tr>
      <w:tr w:rsidR="00E76E7A" w:rsidRPr="00701945" w:rsidTr="00F856DC">
        <w:trPr>
          <w:cantSplit/>
          <w:trHeight w:val="373"/>
        </w:trPr>
        <w:tc>
          <w:tcPr>
            <w:tcW w:w="3198" w:type="dxa"/>
            <w:tcBorders>
              <w:top w:val="nil"/>
              <w:left w:val="nil"/>
              <w:bottom w:val="nil"/>
              <w:right w:val="nil"/>
            </w:tcBorders>
          </w:tcPr>
          <w:p w:rsidR="00E76E7A" w:rsidRPr="00701945" w:rsidRDefault="00E76E7A" w:rsidP="00F856DC">
            <w:pPr>
              <w:jc w:val="both"/>
            </w:pPr>
            <w:r>
              <w:t>Renae B. Deaton</w:t>
            </w:r>
          </w:p>
        </w:tc>
        <w:tc>
          <w:tcPr>
            <w:tcW w:w="1680" w:type="dxa"/>
            <w:tcBorders>
              <w:top w:val="nil"/>
              <w:left w:val="nil"/>
              <w:bottom w:val="nil"/>
              <w:right w:val="nil"/>
            </w:tcBorders>
          </w:tcPr>
          <w:p w:rsidR="00E76E7A" w:rsidRPr="00701945" w:rsidRDefault="00E76E7A" w:rsidP="00F856DC">
            <w:pPr>
              <w:jc w:val="center"/>
            </w:pPr>
            <w:r>
              <w:t>FPL</w:t>
            </w:r>
          </w:p>
        </w:tc>
        <w:tc>
          <w:tcPr>
            <w:tcW w:w="1482" w:type="dxa"/>
            <w:tcBorders>
              <w:top w:val="nil"/>
              <w:left w:val="nil"/>
              <w:bottom w:val="nil"/>
              <w:right w:val="nil"/>
            </w:tcBorders>
          </w:tcPr>
          <w:p w:rsidR="00E76E7A" w:rsidRPr="004515FB" w:rsidRDefault="00E76E7A" w:rsidP="00F856DC">
            <w:pPr>
              <w:jc w:val="center"/>
            </w:pPr>
            <w:r>
              <w:t>RBD-1</w:t>
            </w:r>
          </w:p>
        </w:tc>
        <w:tc>
          <w:tcPr>
            <w:tcW w:w="3205" w:type="dxa"/>
            <w:tcBorders>
              <w:top w:val="nil"/>
              <w:left w:val="nil"/>
              <w:bottom w:val="nil"/>
              <w:right w:val="nil"/>
            </w:tcBorders>
          </w:tcPr>
          <w:p w:rsidR="00E76E7A" w:rsidRDefault="00E76E7A" w:rsidP="00F856DC">
            <w:pPr>
              <w:rPr>
                <w:color w:val="000000"/>
              </w:rPr>
            </w:pPr>
            <w:r>
              <w:rPr>
                <w:color w:val="000000"/>
              </w:rPr>
              <w:t xml:space="preserve">Environmental Cost Recovery Final True-up January 2019 - December 2019  </w:t>
            </w:r>
          </w:p>
          <w:p w:rsidR="00E76E7A" w:rsidRPr="00701945" w:rsidRDefault="00E76E7A" w:rsidP="00F856DC">
            <w:r>
              <w:rPr>
                <w:color w:val="000000"/>
              </w:rPr>
              <w:t>Commission Forms 42-1A through 42-9A</w:t>
            </w:r>
          </w:p>
        </w:tc>
      </w:tr>
      <w:tr w:rsidR="00E76E7A" w:rsidRPr="00701945" w:rsidTr="00F856DC">
        <w:trPr>
          <w:cantSplit/>
          <w:trHeight w:val="373"/>
        </w:trPr>
        <w:tc>
          <w:tcPr>
            <w:tcW w:w="3198" w:type="dxa"/>
            <w:tcBorders>
              <w:top w:val="nil"/>
              <w:left w:val="nil"/>
              <w:bottom w:val="nil"/>
              <w:right w:val="nil"/>
            </w:tcBorders>
          </w:tcPr>
          <w:p w:rsidR="00E76E7A" w:rsidRPr="00701945" w:rsidRDefault="00E76E7A" w:rsidP="00F856DC">
            <w:pPr>
              <w:jc w:val="both"/>
            </w:pPr>
            <w:r>
              <w:t>Renae B. Deaton</w:t>
            </w:r>
          </w:p>
        </w:tc>
        <w:tc>
          <w:tcPr>
            <w:tcW w:w="1680" w:type="dxa"/>
            <w:tcBorders>
              <w:top w:val="nil"/>
              <w:left w:val="nil"/>
              <w:bottom w:val="nil"/>
              <w:right w:val="nil"/>
            </w:tcBorders>
          </w:tcPr>
          <w:p w:rsidR="00E76E7A" w:rsidRDefault="00E76E7A" w:rsidP="00F856DC">
            <w:pPr>
              <w:jc w:val="center"/>
            </w:pPr>
            <w:r>
              <w:t>FPL</w:t>
            </w:r>
          </w:p>
        </w:tc>
        <w:tc>
          <w:tcPr>
            <w:tcW w:w="1482" w:type="dxa"/>
            <w:tcBorders>
              <w:top w:val="nil"/>
              <w:left w:val="nil"/>
              <w:bottom w:val="nil"/>
              <w:right w:val="nil"/>
            </w:tcBorders>
          </w:tcPr>
          <w:p w:rsidR="00E76E7A" w:rsidRPr="004515FB" w:rsidRDefault="00E76E7A" w:rsidP="00F856DC">
            <w:pPr>
              <w:jc w:val="center"/>
            </w:pPr>
            <w:r>
              <w:t>RBD-2</w:t>
            </w:r>
          </w:p>
        </w:tc>
        <w:tc>
          <w:tcPr>
            <w:tcW w:w="3205" w:type="dxa"/>
            <w:tcBorders>
              <w:top w:val="nil"/>
              <w:left w:val="nil"/>
              <w:bottom w:val="nil"/>
              <w:right w:val="nil"/>
            </w:tcBorders>
          </w:tcPr>
          <w:p w:rsidR="00E76E7A" w:rsidRDefault="00E76E7A" w:rsidP="00F856DC">
            <w:pPr>
              <w:rPr>
                <w:color w:val="000000"/>
              </w:rPr>
            </w:pPr>
            <w:r>
              <w:rPr>
                <w:color w:val="000000"/>
              </w:rPr>
              <w:t xml:space="preserve">Environmental Cost Recovery Actual/Estimated True-up January 2020 - December 2020 </w:t>
            </w:r>
          </w:p>
          <w:p w:rsidR="00E76E7A" w:rsidRPr="00701945" w:rsidRDefault="00E76E7A" w:rsidP="00F856DC">
            <w:r>
              <w:rPr>
                <w:color w:val="000000"/>
              </w:rPr>
              <w:t>Commission Forms 42-1E through 42-9E</w:t>
            </w:r>
          </w:p>
        </w:tc>
      </w:tr>
      <w:tr w:rsidR="00E76E7A" w:rsidRPr="00701945" w:rsidTr="00F856DC">
        <w:trPr>
          <w:cantSplit/>
          <w:trHeight w:val="373"/>
        </w:trPr>
        <w:tc>
          <w:tcPr>
            <w:tcW w:w="3198" w:type="dxa"/>
            <w:tcBorders>
              <w:top w:val="nil"/>
              <w:left w:val="nil"/>
              <w:bottom w:val="nil"/>
              <w:right w:val="nil"/>
            </w:tcBorders>
          </w:tcPr>
          <w:p w:rsidR="00E76E7A" w:rsidRPr="00701945" w:rsidRDefault="00E76E7A" w:rsidP="00F856DC">
            <w:pPr>
              <w:jc w:val="both"/>
            </w:pPr>
            <w:r>
              <w:t>Renae B. Deaton</w:t>
            </w:r>
          </w:p>
        </w:tc>
        <w:tc>
          <w:tcPr>
            <w:tcW w:w="1680" w:type="dxa"/>
            <w:tcBorders>
              <w:top w:val="nil"/>
              <w:left w:val="nil"/>
              <w:bottom w:val="nil"/>
              <w:right w:val="nil"/>
            </w:tcBorders>
          </w:tcPr>
          <w:p w:rsidR="00E76E7A" w:rsidRDefault="00E76E7A" w:rsidP="00F856DC">
            <w:pPr>
              <w:jc w:val="center"/>
            </w:pPr>
            <w:r>
              <w:t>FPL</w:t>
            </w:r>
          </w:p>
        </w:tc>
        <w:tc>
          <w:tcPr>
            <w:tcW w:w="1482" w:type="dxa"/>
            <w:tcBorders>
              <w:top w:val="nil"/>
              <w:left w:val="nil"/>
              <w:bottom w:val="nil"/>
              <w:right w:val="nil"/>
            </w:tcBorders>
          </w:tcPr>
          <w:p w:rsidR="00E76E7A" w:rsidRPr="004515FB" w:rsidRDefault="00E76E7A" w:rsidP="00F856DC">
            <w:pPr>
              <w:jc w:val="center"/>
            </w:pPr>
            <w:r>
              <w:t>RBD-3</w:t>
            </w:r>
          </w:p>
        </w:tc>
        <w:tc>
          <w:tcPr>
            <w:tcW w:w="3205" w:type="dxa"/>
            <w:tcBorders>
              <w:top w:val="nil"/>
              <w:left w:val="nil"/>
              <w:bottom w:val="nil"/>
              <w:right w:val="nil"/>
            </w:tcBorders>
          </w:tcPr>
          <w:p w:rsidR="00E76E7A" w:rsidRDefault="00E76E7A" w:rsidP="00F856DC">
            <w:pPr>
              <w:rPr>
                <w:color w:val="000000"/>
              </w:rPr>
            </w:pPr>
            <w:r>
              <w:rPr>
                <w:color w:val="000000"/>
              </w:rPr>
              <w:t>Appendix I - Environmental Cost Recovery Projections - January 2021 - December 2021 Commission Forms 42-1P through 42-8P</w:t>
            </w:r>
          </w:p>
          <w:p w:rsidR="00E76E7A" w:rsidRDefault="00E76E7A" w:rsidP="00F856DC">
            <w:pPr>
              <w:rPr>
                <w:color w:val="000000"/>
              </w:rPr>
            </w:pPr>
          </w:p>
          <w:p w:rsidR="00E76E7A" w:rsidRPr="00701945" w:rsidRDefault="00E76E7A" w:rsidP="00F856DC">
            <w:r>
              <w:rPr>
                <w:color w:val="000000"/>
              </w:rPr>
              <w:t>Appendix II - Calculation of Stratified Separation Factors</w:t>
            </w:r>
          </w:p>
        </w:tc>
      </w:tr>
      <w:tr w:rsidR="00E76E7A" w:rsidRPr="00701945" w:rsidTr="00F856DC">
        <w:trPr>
          <w:cantSplit/>
          <w:trHeight w:val="373"/>
        </w:trPr>
        <w:tc>
          <w:tcPr>
            <w:tcW w:w="3198" w:type="dxa"/>
            <w:tcBorders>
              <w:top w:val="nil"/>
              <w:left w:val="nil"/>
              <w:bottom w:val="nil"/>
              <w:right w:val="nil"/>
            </w:tcBorders>
          </w:tcPr>
          <w:p w:rsidR="00E76E7A" w:rsidRPr="00701945" w:rsidRDefault="00E76E7A" w:rsidP="00F856DC">
            <w:pPr>
              <w:jc w:val="both"/>
            </w:pPr>
            <w:r>
              <w:t>Michael W. Sole</w:t>
            </w:r>
          </w:p>
        </w:tc>
        <w:tc>
          <w:tcPr>
            <w:tcW w:w="1680" w:type="dxa"/>
            <w:tcBorders>
              <w:top w:val="nil"/>
              <w:left w:val="nil"/>
              <w:bottom w:val="nil"/>
              <w:right w:val="nil"/>
            </w:tcBorders>
          </w:tcPr>
          <w:p w:rsidR="00E76E7A" w:rsidRDefault="00E76E7A" w:rsidP="00F856DC">
            <w:pPr>
              <w:jc w:val="center"/>
            </w:pPr>
            <w:r>
              <w:t>FPL</w:t>
            </w:r>
          </w:p>
        </w:tc>
        <w:tc>
          <w:tcPr>
            <w:tcW w:w="1482" w:type="dxa"/>
            <w:tcBorders>
              <w:top w:val="nil"/>
              <w:left w:val="nil"/>
              <w:bottom w:val="nil"/>
              <w:right w:val="nil"/>
            </w:tcBorders>
          </w:tcPr>
          <w:p w:rsidR="00E76E7A" w:rsidRPr="004515FB" w:rsidRDefault="00E76E7A" w:rsidP="00F856DC">
            <w:pPr>
              <w:jc w:val="center"/>
            </w:pPr>
            <w:r>
              <w:t>MWS-1</w:t>
            </w:r>
          </w:p>
        </w:tc>
        <w:tc>
          <w:tcPr>
            <w:tcW w:w="3205" w:type="dxa"/>
            <w:tcBorders>
              <w:top w:val="nil"/>
              <w:left w:val="nil"/>
              <w:bottom w:val="nil"/>
              <w:right w:val="nil"/>
            </w:tcBorders>
          </w:tcPr>
          <w:p w:rsidR="00E76E7A" w:rsidRPr="00701945" w:rsidRDefault="00E76E7A" w:rsidP="00F856DC">
            <w:r>
              <w:t>FPL Supplemental CAIR/MATS/CAVR Filing</w:t>
            </w:r>
          </w:p>
        </w:tc>
      </w:tr>
      <w:tr w:rsidR="00E76E7A" w:rsidRPr="00701945" w:rsidTr="00F856DC">
        <w:trPr>
          <w:cantSplit/>
          <w:trHeight w:val="373"/>
        </w:trPr>
        <w:tc>
          <w:tcPr>
            <w:tcW w:w="3198" w:type="dxa"/>
            <w:tcBorders>
              <w:top w:val="nil"/>
              <w:left w:val="nil"/>
              <w:bottom w:val="nil"/>
              <w:right w:val="nil"/>
            </w:tcBorders>
          </w:tcPr>
          <w:p w:rsidR="00E76E7A" w:rsidRDefault="00E76E7A" w:rsidP="00F856DC">
            <w:r w:rsidRPr="00A24628">
              <w:lastRenderedPageBreak/>
              <w:t>Michael W. Sole</w:t>
            </w:r>
          </w:p>
        </w:tc>
        <w:tc>
          <w:tcPr>
            <w:tcW w:w="1680" w:type="dxa"/>
            <w:tcBorders>
              <w:top w:val="nil"/>
              <w:left w:val="nil"/>
              <w:bottom w:val="nil"/>
              <w:right w:val="nil"/>
            </w:tcBorders>
          </w:tcPr>
          <w:p w:rsidR="00E76E7A" w:rsidRDefault="00E76E7A" w:rsidP="00F856DC">
            <w:pPr>
              <w:jc w:val="center"/>
            </w:pPr>
            <w:r>
              <w:t>FPL</w:t>
            </w:r>
          </w:p>
        </w:tc>
        <w:tc>
          <w:tcPr>
            <w:tcW w:w="1482" w:type="dxa"/>
            <w:tcBorders>
              <w:top w:val="nil"/>
              <w:left w:val="nil"/>
              <w:bottom w:val="nil"/>
              <w:right w:val="nil"/>
            </w:tcBorders>
          </w:tcPr>
          <w:p w:rsidR="00E76E7A" w:rsidRDefault="00E76E7A" w:rsidP="00F856DC">
            <w:pPr>
              <w:jc w:val="center"/>
            </w:pPr>
            <w:r w:rsidRPr="00FE5EFF">
              <w:t>MWS-</w:t>
            </w:r>
            <w:r>
              <w:t>2</w:t>
            </w:r>
          </w:p>
        </w:tc>
        <w:tc>
          <w:tcPr>
            <w:tcW w:w="3205" w:type="dxa"/>
            <w:tcBorders>
              <w:top w:val="nil"/>
              <w:left w:val="nil"/>
              <w:bottom w:val="nil"/>
              <w:right w:val="nil"/>
            </w:tcBorders>
          </w:tcPr>
          <w:p w:rsidR="00E76E7A" w:rsidRPr="00701945" w:rsidRDefault="00E76E7A" w:rsidP="00F856DC">
            <w:r>
              <w:t>June 12, 2019 NOAA Letter to FPL</w:t>
            </w:r>
          </w:p>
        </w:tc>
      </w:tr>
      <w:tr w:rsidR="00E76E7A" w:rsidRPr="00701945" w:rsidTr="00F856DC">
        <w:trPr>
          <w:cantSplit/>
          <w:trHeight w:val="373"/>
        </w:trPr>
        <w:tc>
          <w:tcPr>
            <w:tcW w:w="3198" w:type="dxa"/>
            <w:tcBorders>
              <w:top w:val="nil"/>
              <w:left w:val="nil"/>
              <w:bottom w:val="nil"/>
              <w:right w:val="nil"/>
            </w:tcBorders>
          </w:tcPr>
          <w:p w:rsidR="00E76E7A" w:rsidRDefault="00E76E7A" w:rsidP="00F856DC">
            <w:r w:rsidRPr="00A24628">
              <w:t>Michael W. Sole</w:t>
            </w:r>
          </w:p>
        </w:tc>
        <w:tc>
          <w:tcPr>
            <w:tcW w:w="1680" w:type="dxa"/>
            <w:tcBorders>
              <w:top w:val="nil"/>
              <w:left w:val="nil"/>
              <w:bottom w:val="nil"/>
              <w:right w:val="nil"/>
            </w:tcBorders>
          </w:tcPr>
          <w:p w:rsidR="00E76E7A" w:rsidRDefault="00E76E7A" w:rsidP="00F856DC">
            <w:pPr>
              <w:jc w:val="center"/>
            </w:pPr>
            <w:r>
              <w:t>FPL</w:t>
            </w:r>
          </w:p>
        </w:tc>
        <w:tc>
          <w:tcPr>
            <w:tcW w:w="1482" w:type="dxa"/>
            <w:tcBorders>
              <w:top w:val="nil"/>
              <w:left w:val="nil"/>
              <w:bottom w:val="nil"/>
              <w:right w:val="nil"/>
            </w:tcBorders>
          </w:tcPr>
          <w:p w:rsidR="00E76E7A" w:rsidRDefault="00E76E7A" w:rsidP="00F856DC">
            <w:pPr>
              <w:jc w:val="center"/>
            </w:pPr>
            <w:r w:rsidRPr="00FE5EFF">
              <w:t>MWS-</w:t>
            </w:r>
            <w:r>
              <w:t>3</w:t>
            </w:r>
          </w:p>
        </w:tc>
        <w:tc>
          <w:tcPr>
            <w:tcW w:w="3205" w:type="dxa"/>
            <w:tcBorders>
              <w:top w:val="nil"/>
              <w:left w:val="nil"/>
              <w:bottom w:val="nil"/>
              <w:right w:val="nil"/>
            </w:tcBorders>
          </w:tcPr>
          <w:p w:rsidR="00E76E7A" w:rsidRPr="00701945" w:rsidRDefault="00E76E7A" w:rsidP="00F856DC">
            <w:r>
              <w:t>March 25, 2020 USFWS Letter to FPL</w:t>
            </w:r>
          </w:p>
        </w:tc>
      </w:tr>
      <w:tr w:rsidR="00E76E7A" w:rsidRPr="00701945" w:rsidTr="00F856DC">
        <w:trPr>
          <w:cantSplit/>
          <w:trHeight w:val="373"/>
        </w:trPr>
        <w:tc>
          <w:tcPr>
            <w:tcW w:w="3198" w:type="dxa"/>
            <w:tcBorders>
              <w:top w:val="nil"/>
              <w:left w:val="nil"/>
              <w:bottom w:val="nil"/>
              <w:right w:val="nil"/>
            </w:tcBorders>
          </w:tcPr>
          <w:p w:rsidR="00E76E7A" w:rsidRDefault="00E76E7A" w:rsidP="00F856DC">
            <w:r w:rsidRPr="00A24628">
              <w:t>Michael W. Sole</w:t>
            </w:r>
          </w:p>
        </w:tc>
        <w:tc>
          <w:tcPr>
            <w:tcW w:w="1680" w:type="dxa"/>
            <w:tcBorders>
              <w:top w:val="nil"/>
              <w:left w:val="nil"/>
              <w:bottom w:val="nil"/>
              <w:right w:val="nil"/>
            </w:tcBorders>
          </w:tcPr>
          <w:p w:rsidR="00E76E7A" w:rsidRDefault="00E76E7A" w:rsidP="00F856DC">
            <w:pPr>
              <w:jc w:val="center"/>
            </w:pPr>
            <w:r w:rsidRPr="00AD04D1">
              <w:t>FPL</w:t>
            </w:r>
          </w:p>
        </w:tc>
        <w:tc>
          <w:tcPr>
            <w:tcW w:w="1482" w:type="dxa"/>
            <w:tcBorders>
              <w:top w:val="nil"/>
              <w:left w:val="nil"/>
              <w:bottom w:val="nil"/>
              <w:right w:val="nil"/>
            </w:tcBorders>
          </w:tcPr>
          <w:p w:rsidR="00E76E7A" w:rsidRDefault="00E76E7A" w:rsidP="00F856DC">
            <w:pPr>
              <w:jc w:val="center"/>
            </w:pPr>
            <w:r w:rsidRPr="00FE5EFF">
              <w:t>MWS-</w:t>
            </w:r>
            <w:r>
              <w:t>4</w:t>
            </w:r>
          </w:p>
        </w:tc>
        <w:tc>
          <w:tcPr>
            <w:tcW w:w="3205" w:type="dxa"/>
            <w:tcBorders>
              <w:top w:val="nil"/>
              <w:left w:val="nil"/>
              <w:bottom w:val="nil"/>
              <w:right w:val="nil"/>
            </w:tcBorders>
          </w:tcPr>
          <w:p w:rsidR="00E76E7A" w:rsidRPr="00701945" w:rsidRDefault="00E76E7A" w:rsidP="00F856DC">
            <w:r>
              <w:t>2015 Consent Agreement</w:t>
            </w:r>
          </w:p>
        </w:tc>
      </w:tr>
      <w:tr w:rsidR="00E76E7A" w:rsidRPr="00701945" w:rsidTr="00F856DC">
        <w:trPr>
          <w:cantSplit/>
          <w:trHeight w:val="373"/>
        </w:trPr>
        <w:tc>
          <w:tcPr>
            <w:tcW w:w="3198" w:type="dxa"/>
            <w:tcBorders>
              <w:top w:val="nil"/>
              <w:left w:val="nil"/>
              <w:bottom w:val="nil"/>
              <w:right w:val="nil"/>
            </w:tcBorders>
          </w:tcPr>
          <w:p w:rsidR="00E76E7A" w:rsidRDefault="00E76E7A" w:rsidP="00F856DC">
            <w:r w:rsidRPr="00A24628">
              <w:t>Michael W. Sole</w:t>
            </w:r>
          </w:p>
        </w:tc>
        <w:tc>
          <w:tcPr>
            <w:tcW w:w="1680" w:type="dxa"/>
            <w:tcBorders>
              <w:top w:val="nil"/>
              <w:left w:val="nil"/>
              <w:bottom w:val="nil"/>
              <w:right w:val="nil"/>
            </w:tcBorders>
          </w:tcPr>
          <w:p w:rsidR="00E76E7A" w:rsidRDefault="00E76E7A" w:rsidP="00F856DC">
            <w:pPr>
              <w:jc w:val="center"/>
            </w:pPr>
            <w:r w:rsidRPr="00AD04D1">
              <w:t>FPL</w:t>
            </w:r>
          </w:p>
        </w:tc>
        <w:tc>
          <w:tcPr>
            <w:tcW w:w="1482" w:type="dxa"/>
            <w:tcBorders>
              <w:top w:val="nil"/>
              <w:left w:val="nil"/>
              <w:bottom w:val="nil"/>
              <w:right w:val="nil"/>
            </w:tcBorders>
          </w:tcPr>
          <w:p w:rsidR="00E76E7A" w:rsidRDefault="00E76E7A" w:rsidP="00F856DC">
            <w:pPr>
              <w:jc w:val="center"/>
            </w:pPr>
            <w:r w:rsidRPr="00FE5EFF">
              <w:t>MWS-</w:t>
            </w:r>
            <w:r>
              <w:t>5</w:t>
            </w:r>
          </w:p>
        </w:tc>
        <w:tc>
          <w:tcPr>
            <w:tcW w:w="3205" w:type="dxa"/>
            <w:tcBorders>
              <w:top w:val="nil"/>
              <w:left w:val="nil"/>
              <w:bottom w:val="nil"/>
              <w:right w:val="nil"/>
            </w:tcBorders>
          </w:tcPr>
          <w:p w:rsidR="00E76E7A" w:rsidRPr="00701945" w:rsidRDefault="00E76E7A" w:rsidP="00F856DC">
            <w:r>
              <w:t>June 2016 FDEP Consent Order</w:t>
            </w:r>
          </w:p>
        </w:tc>
      </w:tr>
      <w:tr w:rsidR="00E76E7A" w:rsidRPr="00701945" w:rsidTr="00F856DC">
        <w:trPr>
          <w:cantSplit/>
          <w:trHeight w:val="373"/>
        </w:trPr>
        <w:tc>
          <w:tcPr>
            <w:tcW w:w="3198" w:type="dxa"/>
            <w:tcBorders>
              <w:top w:val="nil"/>
              <w:left w:val="nil"/>
              <w:bottom w:val="nil"/>
              <w:right w:val="nil"/>
            </w:tcBorders>
          </w:tcPr>
          <w:p w:rsidR="00E76E7A" w:rsidRDefault="00E76E7A" w:rsidP="00F856DC">
            <w:r w:rsidRPr="00A24628">
              <w:t>Michael W. Sole</w:t>
            </w:r>
          </w:p>
        </w:tc>
        <w:tc>
          <w:tcPr>
            <w:tcW w:w="1680" w:type="dxa"/>
            <w:tcBorders>
              <w:top w:val="nil"/>
              <w:left w:val="nil"/>
              <w:bottom w:val="nil"/>
              <w:right w:val="nil"/>
            </w:tcBorders>
          </w:tcPr>
          <w:p w:rsidR="00E76E7A" w:rsidRDefault="00E76E7A" w:rsidP="00F856DC">
            <w:pPr>
              <w:jc w:val="center"/>
            </w:pPr>
            <w:r w:rsidRPr="00AD04D1">
              <w:t>FPL</w:t>
            </w:r>
          </w:p>
        </w:tc>
        <w:tc>
          <w:tcPr>
            <w:tcW w:w="1482" w:type="dxa"/>
            <w:tcBorders>
              <w:top w:val="nil"/>
              <w:left w:val="nil"/>
              <w:bottom w:val="nil"/>
              <w:right w:val="nil"/>
            </w:tcBorders>
          </w:tcPr>
          <w:p w:rsidR="00E76E7A" w:rsidRDefault="00E76E7A" w:rsidP="00F856DC">
            <w:pPr>
              <w:jc w:val="center"/>
            </w:pPr>
            <w:r w:rsidRPr="00FE5EFF">
              <w:t>MWS-</w:t>
            </w:r>
            <w:r>
              <w:t>6</w:t>
            </w:r>
          </w:p>
        </w:tc>
        <w:tc>
          <w:tcPr>
            <w:tcW w:w="3205" w:type="dxa"/>
            <w:tcBorders>
              <w:top w:val="nil"/>
              <w:left w:val="nil"/>
              <w:bottom w:val="nil"/>
              <w:right w:val="nil"/>
            </w:tcBorders>
          </w:tcPr>
          <w:p w:rsidR="00E76E7A" w:rsidRPr="00701945" w:rsidRDefault="00E76E7A" w:rsidP="00F856DC">
            <w:r>
              <w:t>2016 Consent Agreement Addendum</w:t>
            </w:r>
          </w:p>
        </w:tc>
      </w:tr>
      <w:tr w:rsidR="00E76E7A" w:rsidRPr="00701945" w:rsidTr="00F856DC">
        <w:trPr>
          <w:cantSplit/>
          <w:trHeight w:val="373"/>
        </w:trPr>
        <w:tc>
          <w:tcPr>
            <w:tcW w:w="3198" w:type="dxa"/>
            <w:tcBorders>
              <w:top w:val="nil"/>
              <w:left w:val="nil"/>
              <w:bottom w:val="nil"/>
              <w:right w:val="nil"/>
            </w:tcBorders>
          </w:tcPr>
          <w:p w:rsidR="00E76E7A" w:rsidRDefault="00E76E7A" w:rsidP="00F856DC">
            <w:r w:rsidRPr="00A24628">
              <w:t>Michael W. Sole</w:t>
            </w:r>
          </w:p>
        </w:tc>
        <w:tc>
          <w:tcPr>
            <w:tcW w:w="1680" w:type="dxa"/>
            <w:tcBorders>
              <w:top w:val="nil"/>
              <w:left w:val="nil"/>
              <w:bottom w:val="nil"/>
              <w:right w:val="nil"/>
            </w:tcBorders>
          </w:tcPr>
          <w:p w:rsidR="00E76E7A" w:rsidRDefault="00E76E7A" w:rsidP="00F856DC">
            <w:pPr>
              <w:jc w:val="center"/>
            </w:pPr>
            <w:r w:rsidRPr="00AD04D1">
              <w:t>FPL</w:t>
            </w:r>
          </w:p>
        </w:tc>
        <w:tc>
          <w:tcPr>
            <w:tcW w:w="1482" w:type="dxa"/>
            <w:tcBorders>
              <w:top w:val="nil"/>
              <w:left w:val="nil"/>
              <w:bottom w:val="nil"/>
              <w:right w:val="nil"/>
            </w:tcBorders>
          </w:tcPr>
          <w:p w:rsidR="00E76E7A" w:rsidRDefault="00E76E7A" w:rsidP="00F856DC">
            <w:pPr>
              <w:jc w:val="center"/>
            </w:pPr>
            <w:r w:rsidRPr="00FE5EFF">
              <w:t>MWS-</w:t>
            </w:r>
            <w:r>
              <w:t>7</w:t>
            </w:r>
          </w:p>
        </w:tc>
        <w:tc>
          <w:tcPr>
            <w:tcW w:w="3205" w:type="dxa"/>
            <w:tcBorders>
              <w:top w:val="nil"/>
              <w:left w:val="nil"/>
              <w:bottom w:val="nil"/>
              <w:right w:val="nil"/>
            </w:tcBorders>
          </w:tcPr>
          <w:p w:rsidR="00E76E7A" w:rsidRPr="00701945" w:rsidRDefault="00E76E7A" w:rsidP="00F856DC">
            <w:r>
              <w:t>July 2020 Plan Submitted to FDEP</w:t>
            </w:r>
          </w:p>
        </w:tc>
      </w:tr>
      <w:tr w:rsidR="00E76E7A" w:rsidRPr="00701945" w:rsidTr="00F856DC">
        <w:trPr>
          <w:cantSplit/>
          <w:trHeight w:val="373"/>
        </w:trPr>
        <w:tc>
          <w:tcPr>
            <w:tcW w:w="3198" w:type="dxa"/>
            <w:tcBorders>
              <w:top w:val="nil"/>
              <w:left w:val="nil"/>
              <w:bottom w:val="nil"/>
              <w:right w:val="nil"/>
            </w:tcBorders>
          </w:tcPr>
          <w:p w:rsidR="00E76E7A" w:rsidRDefault="00E76E7A" w:rsidP="00F856DC">
            <w:r w:rsidRPr="00A24628">
              <w:t>Michael W. Sole</w:t>
            </w:r>
          </w:p>
        </w:tc>
        <w:tc>
          <w:tcPr>
            <w:tcW w:w="1680" w:type="dxa"/>
            <w:tcBorders>
              <w:top w:val="nil"/>
              <w:left w:val="nil"/>
              <w:bottom w:val="nil"/>
              <w:right w:val="nil"/>
            </w:tcBorders>
          </w:tcPr>
          <w:p w:rsidR="00E76E7A" w:rsidRDefault="00E76E7A" w:rsidP="00F856DC">
            <w:pPr>
              <w:jc w:val="center"/>
            </w:pPr>
            <w:r w:rsidRPr="00AD04D1">
              <w:t>FPL</w:t>
            </w:r>
          </w:p>
        </w:tc>
        <w:tc>
          <w:tcPr>
            <w:tcW w:w="1482" w:type="dxa"/>
            <w:tcBorders>
              <w:top w:val="nil"/>
              <w:left w:val="nil"/>
              <w:bottom w:val="nil"/>
              <w:right w:val="nil"/>
            </w:tcBorders>
          </w:tcPr>
          <w:p w:rsidR="00E76E7A" w:rsidRDefault="00E76E7A" w:rsidP="00F856DC">
            <w:pPr>
              <w:jc w:val="center"/>
            </w:pPr>
            <w:r w:rsidRPr="00FE5EFF">
              <w:t>MWS-</w:t>
            </w:r>
            <w:r>
              <w:t>8</w:t>
            </w:r>
          </w:p>
        </w:tc>
        <w:tc>
          <w:tcPr>
            <w:tcW w:w="3205" w:type="dxa"/>
            <w:tcBorders>
              <w:top w:val="nil"/>
              <w:left w:val="nil"/>
              <w:bottom w:val="nil"/>
              <w:right w:val="nil"/>
            </w:tcBorders>
          </w:tcPr>
          <w:p w:rsidR="00E76E7A" w:rsidRPr="00701945" w:rsidRDefault="00E76E7A" w:rsidP="00F856DC">
            <w:r>
              <w:t>NPDES/IWW Permit Number FL0001562</w:t>
            </w:r>
          </w:p>
        </w:tc>
      </w:tr>
      <w:tr w:rsidR="00E76E7A" w:rsidRPr="00701945" w:rsidTr="00F856DC">
        <w:trPr>
          <w:cantSplit/>
          <w:trHeight w:val="373"/>
        </w:trPr>
        <w:tc>
          <w:tcPr>
            <w:tcW w:w="3198" w:type="dxa"/>
            <w:tcBorders>
              <w:top w:val="nil"/>
              <w:left w:val="nil"/>
              <w:bottom w:val="nil"/>
              <w:right w:val="nil"/>
            </w:tcBorders>
          </w:tcPr>
          <w:p w:rsidR="00E76E7A" w:rsidRDefault="00E76E7A" w:rsidP="00F856DC">
            <w:r w:rsidRPr="00A24628">
              <w:t>Michael W. Sole</w:t>
            </w:r>
          </w:p>
        </w:tc>
        <w:tc>
          <w:tcPr>
            <w:tcW w:w="1680" w:type="dxa"/>
            <w:tcBorders>
              <w:top w:val="nil"/>
              <w:left w:val="nil"/>
              <w:bottom w:val="nil"/>
              <w:right w:val="nil"/>
            </w:tcBorders>
          </w:tcPr>
          <w:p w:rsidR="00E76E7A" w:rsidRDefault="00E76E7A" w:rsidP="00F856DC">
            <w:pPr>
              <w:jc w:val="center"/>
            </w:pPr>
            <w:r w:rsidRPr="00AD04D1">
              <w:t>FPL</w:t>
            </w:r>
          </w:p>
        </w:tc>
        <w:tc>
          <w:tcPr>
            <w:tcW w:w="1482" w:type="dxa"/>
            <w:tcBorders>
              <w:top w:val="nil"/>
              <w:left w:val="nil"/>
              <w:bottom w:val="nil"/>
              <w:right w:val="nil"/>
            </w:tcBorders>
          </w:tcPr>
          <w:p w:rsidR="00E76E7A" w:rsidRDefault="00E76E7A" w:rsidP="00F856DC">
            <w:pPr>
              <w:jc w:val="center"/>
            </w:pPr>
            <w:r w:rsidRPr="00FE5EFF">
              <w:t>MWS-</w:t>
            </w:r>
            <w:r>
              <w:t>9</w:t>
            </w:r>
          </w:p>
        </w:tc>
        <w:tc>
          <w:tcPr>
            <w:tcW w:w="3205" w:type="dxa"/>
            <w:tcBorders>
              <w:top w:val="nil"/>
              <w:left w:val="nil"/>
              <w:bottom w:val="nil"/>
              <w:right w:val="nil"/>
            </w:tcBorders>
          </w:tcPr>
          <w:p w:rsidR="00E76E7A" w:rsidRPr="00701945" w:rsidRDefault="00E76E7A" w:rsidP="00F856DC">
            <w:r>
              <w:t>April 13, 2020 Notice of Intent to Issue Permit</w:t>
            </w:r>
          </w:p>
        </w:tc>
      </w:tr>
      <w:tr w:rsidR="00E76E7A" w:rsidRPr="00701945" w:rsidTr="00F856DC">
        <w:trPr>
          <w:cantSplit/>
          <w:trHeight w:val="373"/>
        </w:trPr>
        <w:tc>
          <w:tcPr>
            <w:tcW w:w="3198" w:type="dxa"/>
            <w:tcBorders>
              <w:top w:val="nil"/>
              <w:left w:val="nil"/>
              <w:bottom w:val="nil"/>
              <w:right w:val="nil"/>
            </w:tcBorders>
          </w:tcPr>
          <w:p w:rsidR="00E76E7A" w:rsidRDefault="00E76E7A" w:rsidP="00F856DC">
            <w:r w:rsidRPr="00A24628">
              <w:t>Michael W. Sole</w:t>
            </w:r>
          </w:p>
        </w:tc>
        <w:tc>
          <w:tcPr>
            <w:tcW w:w="1680" w:type="dxa"/>
            <w:tcBorders>
              <w:top w:val="nil"/>
              <w:left w:val="nil"/>
              <w:bottom w:val="nil"/>
              <w:right w:val="nil"/>
            </w:tcBorders>
          </w:tcPr>
          <w:p w:rsidR="00E76E7A" w:rsidRDefault="00E76E7A" w:rsidP="00F856DC">
            <w:pPr>
              <w:jc w:val="center"/>
            </w:pPr>
            <w:r w:rsidRPr="00AD04D1">
              <w:t>FPL</w:t>
            </w:r>
          </w:p>
        </w:tc>
        <w:tc>
          <w:tcPr>
            <w:tcW w:w="1482" w:type="dxa"/>
            <w:tcBorders>
              <w:top w:val="nil"/>
              <w:left w:val="nil"/>
              <w:bottom w:val="nil"/>
              <w:right w:val="nil"/>
            </w:tcBorders>
          </w:tcPr>
          <w:p w:rsidR="00E76E7A" w:rsidRDefault="00E76E7A" w:rsidP="00F856DC">
            <w:pPr>
              <w:jc w:val="center"/>
            </w:pPr>
            <w:r w:rsidRPr="00FE5EFF">
              <w:t>MWS-1</w:t>
            </w:r>
            <w:r>
              <w:t>0</w:t>
            </w:r>
          </w:p>
        </w:tc>
        <w:tc>
          <w:tcPr>
            <w:tcW w:w="3205" w:type="dxa"/>
            <w:tcBorders>
              <w:top w:val="nil"/>
              <w:left w:val="nil"/>
              <w:bottom w:val="nil"/>
              <w:right w:val="nil"/>
            </w:tcBorders>
          </w:tcPr>
          <w:p w:rsidR="00E76E7A" w:rsidRPr="00701945" w:rsidRDefault="00E76E7A" w:rsidP="00F856DC">
            <w:r>
              <w:t>Photo of Manatee Calf at Sea World Rehabilitation Center</w:t>
            </w:r>
          </w:p>
        </w:tc>
      </w:tr>
      <w:tr w:rsidR="00E76E7A" w:rsidRPr="00701945" w:rsidTr="00F856DC">
        <w:trPr>
          <w:cantSplit/>
          <w:trHeight w:val="353"/>
        </w:trPr>
        <w:tc>
          <w:tcPr>
            <w:tcW w:w="3198" w:type="dxa"/>
            <w:tcBorders>
              <w:top w:val="nil"/>
              <w:left w:val="nil"/>
              <w:bottom w:val="nil"/>
              <w:right w:val="nil"/>
            </w:tcBorders>
          </w:tcPr>
          <w:p w:rsidR="00E76E7A" w:rsidRPr="00701945" w:rsidRDefault="00E76E7A" w:rsidP="00F856DC">
            <w:pPr>
              <w:jc w:val="both"/>
            </w:pPr>
            <w:r>
              <w:t>Richard L. Hume</w:t>
            </w:r>
          </w:p>
        </w:tc>
        <w:tc>
          <w:tcPr>
            <w:tcW w:w="1680" w:type="dxa"/>
            <w:tcBorders>
              <w:top w:val="nil"/>
              <w:left w:val="nil"/>
              <w:bottom w:val="nil"/>
              <w:right w:val="nil"/>
            </w:tcBorders>
          </w:tcPr>
          <w:p w:rsidR="00E76E7A" w:rsidRPr="00701945" w:rsidRDefault="00E76E7A" w:rsidP="00F856DC">
            <w:pPr>
              <w:jc w:val="center"/>
            </w:pPr>
            <w:r>
              <w:t>Gulf</w:t>
            </w:r>
          </w:p>
        </w:tc>
        <w:tc>
          <w:tcPr>
            <w:tcW w:w="1482" w:type="dxa"/>
            <w:tcBorders>
              <w:top w:val="nil"/>
              <w:left w:val="nil"/>
              <w:bottom w:val="nil"/>
              <w:right w:val="nil"/>
            </w:tcBorders>
          </w:tcPr>
          <w:p w:rsidR="00E76E7A" w:rsidRPr="004515FB" w:rsidRDefault="00E76E7A" w:rsidP="00F856DC">
            <w:pPr>
              <w:jc w:val="center"/>
            </w:pPr>
            <w:r>
              <w:t>RLH-1</w:t>
            </w:r>
          </w:p>
        </w:tc>
        <w:tc>
          <w:tcPr>
            <w:tcW w:w="3205" w:type="dxa"/>
            <w:tcBorders>
              <w:top w:val="nil"/>
              <w:left w:val="nil"/>
              <w:bottom w:val="nil"/>
              <w:right w:val="nil"/>
            </w:tcBorders>
          </w:tcPr>
          <w:p w:rsidR="00E76E7A" w:rsidRPr="00701945" w:rsidRDefault="00E76E7A" w:rsidP="00F856DC">
            <w:r>
              <w:rPr>
                <w:color w:val="000000"/>
              </w:rPr>
              <w:t>Environmental Cost Recovery Final True-up January 2019 - December 2019 Commission Forms 42-1A through 42-9A</w:t>
            </w:r>
          </w:p>
        </w:tc>
      </w:tr>
      <w:tr w:rsidR="00E76E7A" w:rsidRPr="00701945" w:rsidTr="00F856DC">
        <w:trPr>
          <w:cantSplit/>
          <w:trHeight w:val="353"/>
        </w:trPr>
        <w:tc>
          <w:tcPr>
            <w:tcW w:w="3198" w:type="dxa"/>
            <w:tcBorders>
              <w:top w:val="nil"/>
              <w:left w:val="nil"/>
              <w:bottom w:val="nil"/>
              <w:right w:val="nil"/>
            </w:tcBorders>
          </w:tcPr>
          <w:p w:rsidR="00E76E7A" w:rsidRDefault="00E76E7A" w:rsidP="00F856DC">
            <w:pPr>
              <w:jc w:val="both"/>
            </w:pPr>
            <w:r>
              <w:t>Richard L. Hume</w:t>
            </w:r>
          </w:p>
        </w:tc>
        <w:tc>
          <w:tcPr>
            <w:tcW w:w="1680" w:type="dxa"/>
            <w:tcBorders>
              <w:top w:val="nil"/>
              <w:left w:val="nil"/>
              <w:bottom w:val="nil"/>
              <w:right w:val="nil"/>
            </w:tcBorders>
          </w:tcPr>
          <w:p w:rsidR="00E76E7A" w:rsidRDefault="00E76E7A" w:rsidP="00F856DC">
            <w:pPr>
              <w:jc w:val="center"/>
            </w:pPr>
            <w:r>
              <w:t>Gulf</w:t>
            </w:r>
          </w:p>
        </w:tc>
        <w:tc>
          <w:tcPr>
            <w:tcW w:w="1482" w:type="dxa"/>
            <w:tcBorders>
              <w:top w:val="nil"/>
              <w:left w:val="nil"/>
              <w:bottom w:val="nil"/>
              <w:right w:val="nil"/>
            </w:tcBorders>
          </w:tcPr>
          <w:p w:rsidR="00E76E7A" w:rsidRDefault="00E76E7A" w:rsidP="00F856DC">
            <w:pPr>
              <w:jc w:val="center"/>
            </w:pPr>
            <w:r>
              <w:t>RLH-2</w:t>
            </w:r>
          </w:p>
        </w:tc>
        <w:tc>
          <w:tcPr>
            <w:tcW w:w="3205" w:type="dxa"/>
            <w:tcBorders>
              <w:top w:val="nil"/>
              <w:left w:val="nil"/>
              <w:bottom w:val="nil"/>
              <w:right w:val="nil"/>
            </w:tcBorders>
          </w:tcPr>
          <w:p w:rsidR="00E76E7A" w:rsidRDefault="00E76E7A" w:rsidP="00F856DC">
            <w:pPr>
              <w:rPr>
                <w:color w:val="000000"/>
              </w:rPr>
            </w:pPr>
            <w:r>
              <w:rPr>
                <w:color w:val="000000"/>
              </w:rPr>
              <w:t>Environmental Cost Recovery Actual/Estimated True-up January 2020 - December 2020 Commission Forms 42-1E through 42-9E</w:t>
            </w:r>
          </w:p>
        </w:tc>
      </w:tr>
      <w:tr w:rsidR="00E76E7A" w:rsidRPr="00701945" w:rsidTr="00F856DC">
        <w:trPr>
          <w:cantSplit/>
          <w:trHeight w:val="353"/>
        </w:trPr>
        <w:tc>
          <w:tcPr>
            <w:tcW w:w="3198" w:type="dxa"/>
            <w:tcBorders>
              <w:top w:val="nil"/>
              <w:left w:val="nil"/>
              <w:bottom w:val="nil"/>
              <w:right w:val="nil"/>
            </w:tcBorders>
          </w:tcPr>
          <w:p w:rsidR="00E76E7A" w:rsidRDefault="00E76E7A" w:rsidP="00F856DC">
            <w:pPr>
              <w:jc w:val="both"/>
            </w:pPr>
            <w:r>
              <w:t>Richard L. Hume</w:t>
            </w:r>
          </w:p>
        </w:tc>
        <w:tc>
          <w:tcPr>
            <w:tcW w:w="1680" w:type="dxa"/>
            <w:tcBorders>
              <w:top w:val="nil"/>
              <w:left w:val="nil"/>
              <w:bottom w:val="nil"/>
              <w:right w:val="nil"/>
            </w:tcBorders>
          </w:tcPr>
          <w:p w:rsidR="00E76E7A" w:rsidRDefault="00E76E7A" w:rsidP="00F856DC">
            <w:pPr>
              <w:jc w:val="center"/>
            </w:pPr>
            <w:r>
              <w:t>Gulf</w:t>
            </w:r>
          </w:p>
        </w:tc>
        <w:tc>
          <w:tcPr>
            <w:tcW w:w="1482" w:type="dxa"/>
            <w:tcBorders>
              <w:top w:val="nil"/>
              <w:left w:val="nil"/>
              <w:bottom w:val="nil"/>
              <w:right w:val="nil"/>
            </w:tcBorders>
          </w:tcPr>
          <w:p w:rsidR="00E76E7A" w:rsidRDefault="00E76E7A" w:rsidP="00F856DC">
            <w:pPr>
              <w:jc w:val="center"/>
            </w:pPr>
            <w:r>
              <w:t>RLH-3</w:t>
            </w:r>
          </w:p>
        </w:tc>
        <w:tc>
          <w:tcPr>
            <w:tcW w:w="3205" w:type="dxa"/>
            <w:tcBorders>
              <w:top w:val="nil"/>
              <w:left w:val="nil"/>
              <w:bottom w:val="nil"/>
              <w:right w:val="nil"/>
            </w:tcBorders>
          </w:tcPr>
          <w:p w:rsidR="00E76E7A" w:rsidRDefault="00E76E7A" w:rsidP="00F856DC">
            <w:pPr>
              <w:rPr>
                <w:color w:val="000000"/>
              </w:rPr>
            </w:pPr>
            <w:r>
              <w:rPr>
                <w:color w:val="000000"/>
              </w:rPr>
              <w:t>Environmental Cost Recovery Projections - January 2021 - December 2021 Commission Forms 42-1P through 42-8P</w:t>
            </w:r>
          </w:p>
        </w:tc>
      </w:tr>
      <w:tr w:rsidR="00E76E7A" w:rsidRPr="00701945" w:rsidTr="00F856DC">
        <w:trPr>
          <w:cantSplit/>
          <w:trHeight w:val="353"/>
        </w:trPr>
        <w:tc>
          <w:tcPr>
            <w:tcW w:w="3198" w:type="dxa"/>
            <w:tcBorders>
              <w:top w:val="nil"/>
              <w:left w:val="nil"/>
              <w:bottom w:val="nil"/>
              <w:right w:val="nil"/>
            </w:tcBorders>
          </w:tcPr>
          <w:p w:rsidR="00E76E7A" w:rsidRDefault="00E76E7A" w:rsidP="00F856DC">
            <w:pPr>
              <w:jc w:val="both"/>
            </w:pPr>
            <w:r>
              <w:t>Richard L. Hume</w:t>
            </w:r>
          </w:p>
        </w:tc>
        <w:tc>
          <w:tcPr>
            <w:tcW w:w="1680" w:type="dxa"/>
            <w:tcBorders>
              <w:top w:val="nil"/>
              <w:left w:val="nil"/>
              <w:bottom w:val="nil"/>
              <w:right w:val="nil"/>
            </w:tcBorders>
          </w:tcPr>
          <w:p w:rsidR="00E76E7A" w:rsidRDefault="00E76E7A" w:rsidP="00F856DC">
            <w:pPr>
              <w:jc w:val="center"/>
            </w:pPr>
            <w:r>
              <w:t>Gulf</w:t>
            </w:r>
          </w:p>
        </w:tc>
        <w:tc>
          <w:tcPr>
            <w:tcW w:w="1482" w:type="dxa"/>
            <w:tcBorders>
              <w:top w:val="nil"/>
              <w:left w:val="nil"/>
              <w:bottom w:val="nil"/>
              <w:right w:val="nil"/>
            </w:tcBorders>
          </w:tcPr>
          <w:p w:rsidR="00E76E7A" w:rsidRDefault="00E76E7A" w:rsidP="00F856DC">
            <w:pPr>
              <w:jc w:val="center"/>
            </w:pPr>
            <w:r>
              <w:t>RLH-4</w:t>
            </w:r>
          </w:p>
        </w:tc>
        <w:tc>
          <w:tcPr>
            <w:tcW w:w="3205" w:type="dxa"/>
            <w:tcBorders>
              <w:top w:val="nil"/>
              <w:left w:val="nil"/>
              <w:bottom w:val="nil"/>
              <w:right w:val="nil"/>
            </w:tcBorders>
          </w:tcPr>
          <w:p w:rsidR="00E76E7A" w:rsidRDefault="00E76E7A" w:rsidP="00F856DC">
            <w:pPr>
              <w:rPr>
                <w:color w:val="000000"/>
              </w:rPr>
            </w:pPr>
            <w:r>
              <w:rPr>
                <w:color w:val="000000"/>
              </w:rPr>
              <w:t>Calculation of Stratified Separation Factors</w:t>
            </w:r>
          </w:p>
        </w:tc>
      </w:tr>
      <w:tr w:rsidR="00E76E7A" w:rsidRPr="00701945" w:rsidTr="00F856DC">
        <w:trPr>
          <w:cantSplit/>
          <w:trHeight w:val="353"/>
        </w:trPr>
        <w:tc>
          <w:tcPr>
            <w:tcW w:w="3198" w:type="dxa"/>
            <w:tcBorders>
              <w:top w:val="nil"/>
              <w:left w:val="nil"/>
              <w:bottom w:val="nil"/>
              <w:right w:val="nil"/>
            </w:tcBorders>
          </w:tcPr>
          <w:p w:rsidR="00E76E7A" w:rsidRDefault="00E76E7A" w:rsidP="00F856DC">
            <w:pPr>
              <w:jc w:val="both"/>
            </w:pPr>
            <w:r>
              <w:lastRenderedPageBreak/>
              <w:t>Michael W. Sole</w:t>
            </w:r>
          </w:p>
        </w:tc>
        <w:tc>
          <w:tcPr>
            <w:tcW w:w="1680" w:type="dxa"/>
            <w:tcBorders>
              <w:top w:val="nil"/>
              <w:left w:val="nil"/>
              <w:bottom w:val="nil"/>
              <w:right w:val="nil"/>
            </w:tcBorders>
          </w:tcPr>
          <w:p w:rsidR="00E76E7A" w:rsidRDefault="00E76E7A" w:rsidP="00F856DC">
            <w:pPr>
              <w:jc w:val="center"/>
            </w:pPr>
            <w:r>
              <w:t>Gulf</w:t>
            </w:r>
          </w:p>
        </w:tc>
        <w:tc>
          <w:tcPr>
            <w:tcW w:w="1482" w:type="dxa"/>
            <w:tcBorders>
              <w:top w:val="nil"/>
              <w:left w:val="nil"/>
              <w:bottom w:val="nil"/>
              <w:right w:val="nil"/>
            </w:tcBorders>
          </w:tcPr>
          <w:p w:rsidR="00E76E7A" w:rsidRDefault="00E76E7A" w:rsidP="00F856DC">
            <w:pPr>
              <w:jc w:val="center"/>
            </w:pPr>
            <w:r>
              <w:t>MWS-1</w:t>
            </w:r>
          </w:p>
        </w:tc>
        <w:tc>
          <w:tcPr>
            <w:tcW w:w="3205" w:type="dxa"/>
            <w:tcBorders>
              <w:top w:val="nil"/>
              <w:left w:val="nil"/>
              <w:bottom w:val="nil"/>
              <w:right w:val="nil"/>
            </w:tcBorders>
          </w:tcPr>
          <w:p w:rsidR="00E76E7A" w:rsidRDefault="00E76E7A" w:rsidP="00F856DC">
            <w:pPr>
              <w:rPr>
                <w:color w:val="000000"/>
              </w:rPr>
            </w:pPr>
            <w:r>
              <w:rPr>
                <w:color w:val="000000"/>
              </w:rPr>
              <w:t>Federal Coal Combustion Residuals Rule and 2018 Amendment (40 CFR Parts 257 and 261)</w:t>
            </w:r>
          </w:p>
        </w:tc>
      </w:tr>
      <w:tr w:rsidR="00E76E7A" w:rsidRPr="00701945" w:rsidTr="00F856DC">
        <w:trPr>
          <w:cantSplit/>
          <w:trHeight w:val="353"/>
        </w:trPr>
        <w:tc>
          <w:tcPr>
            <w:tcW w:w="3198" w:type="dxa"/>
            <w:tcBorders>
              <w:top w:val="nil"/>
              <w:left w:val="nil"/>
              <w:bottom w:val="nil"/>
              <w:right w:val="nil"/>
            </w:tcBorders>
          </w:tcPr>
          <w:p w:rsidR="00E76E7A" w:rsidRDefault="00E76E7A" w:rsidP="00F856DC">
            <w:pPr>
              <w:jc w:val="both"/>
            </w:pPr>
            <w:r>
              <w:t>Michael W. Sole</w:t>
            </w:r>
          </w:p>
        </w:tc>
        <w:tc>
          <w:tcPr>
            <w:tcW w:w="1680" w:type="dxa"/>
            <w:tcBorders>
              <w:top w:val="nil"/>
              <w:left w:val="nil"/>
              <w:bottom w:val="nil"/>
              <w:right w:val="nil"/>
            </w:tcBorders>
          </w:tcPr>
          <w:p w:rsidR="00E76E7A" w:rsidRDefault="00E76E7A" w:rsidP="00F856DC">
            <w:pPr>
              <w:jc w:val="center"/>
            </w:pPr>
            <w:r>
              <w:t>Gulf</w:t>
            </w:r>
          </w:p>
        </w:tc>
        <w:tc>
          <w:tcPr>
            <w:tcW w:w="1482" w:type="dxa"/>
            <w:tcBorders>
              <w:top w:val="nil"/>
              <w:left w:val="nil"/>
              <w:bottom w:val="nil"/>
              <w:right w:val="nil"/>
            </w:tcBorders>
          </w:tcPr>
          <w:p w:rsidR="00E76E7A" w:rsidRDefault="00E76E7A" w:rsidP="00F856DC">
            <w:pPr>
              <w:jc w:val="center"/>
            </w:pPr>
            <w:r>
              <w:t>MWS-2</w:t>
            </w:r>
          </w:p>
        </w:tc>
        <w:tc>
          <w:tcPr>
            <w:tcW w:w="3205" w:type="dxa"/>
            <w:tcBorders>
              <w:top w:val="nil"/>
              <w:left w:val="nil"/>
              <w:bottom w:val="nil"/>
              <w:right w:val="nil"/>
            </w:tcBorders>
          </w:tcPr>
          <w:p w:rsidR="00E76E7A" w:rsidRDefault="00E76E7A" w:rsidP="00F856DC">
            <w:pPr>
              <w:rPr>
                <w:color w:val="000000"/>
              </w:rPr>
            </w:pPr>
            <w:r>
              <w:rPr>
                <w:color w:val="000000"/>
              </w:rPr>
              <w:t>Mississippi PSC Order dated October 28, 2019</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t>Christopher Menendez</w:t>
            </w:r>
          </w:p>
        </w:tc>
        <w:tc>
          <w:tcPr>
            <w:tcW w:w="1680" w:type="dxa"/>
            <w:tcBorders>
              <w:top w:val="nil"/>
              <w:left w:val="nil"/>
              <w:bottom w:val="nil"/>
              <w:right w:val="nil"/>
            </w:tcBorders>
          </w:tcPr>
          <w:p w:rsidR="00D1317C" w:rsidRPr="00701945" w:rsidRDefault="00D1317C" w:rsidP="00F856DC">
            <w:pPr>
              <w:jc w:val="center"/>
            </w:pPr>
            <w:r>
              <w:t>DEF</w:t>
            </w:r>
          </w:p>
        </w:tc>
        <w:tc>
          <w:tcPr>
            <w:tcW w:w="1482" w:type="dxa"/>
            <w:tcBorders>
              <w:top w:val="nil"/>
              <w:left w:val="nil"/>
              <w:bottom w:val="nil"/>
              <w:right w:val="nil"/>
            </w:tcBorders>
          </w:tcPr>
          <w:p w:rsidR="00D1317C" w:rsidRPr="004515FB" w:rsidRDefault="00D1317C" w:rsidP="00F856DC">
            <w:pPr>
              <w:jc w:val="center"/>
            </w:pPr>
            <w:r>
              <w:t>CAM-1</w:t>
            </w:r>
          </w:p>
        </w:tc>
        <w:tc>
          <w:tcPr>
            <w:tcW w:w="3205" w:type="dxa"/>
            <w:tcBorders>
              <w:top w:val="nil"/>
              <w:left w:val="nil"/>
              <w:bottom w:val="nil"/>
              <w:right w:val="nil"/>
            </w:tcBorders>
          </w:tcPr>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Forms 42-1A - 42-9A January 2019 – December 2019</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t>Christopher Menendez</w:t>
            </w:r>
          </w:p>
        </w:tc>
        <w:tc>
          <w:tcPr>
            <w:tcW w:w="1680" w:type="dxa"/>
            <w:tcBorders>
              <w:top w:val="nil"/>
              <w:left w:val="nil"/>
              <w:bottom w:val="nil"/>
              <w:right w:val="nil"/>
            </w:tcBorders>
          </w:tcPr>
          <w:p w:rsidR="00D1317C" w:rsidRDefault="00D1317C" w:rsidP="00F856DC">
            <w:pPr>
              <w:jc w:val="center"/>
            </w:pPr>
            <w:r w:rsidRPr="00CB0492">
              <w:t>DEF</w:t>
            </w:r>
          </w:p>
        </w:tc>
        <w:tc>
          <w:tcPr>
            <w:tcW w:w="1482" w:type="dxa"/>
            <w:tcBorders>
              <w:top w:val="nil"/>
              <w:left w:val="nil"/>
              <w:bottom w:val="nil"/>
              <w:right w:val="nil"/>
            </w:tcBorders>
          </w:tcPr>
          <w:p w:rsidR="00D1317C" w:rsidRDefault="00D1317C" w:rsidP="00F856DC">
            <w:pPr>
              <w:jc w:val="center"/>
            </w:pPr>
            <w:r>
              <w:t>CAM-2</w:t>
            </w:r>
          </w:p>
        </w:tc>
        <w:tc>
          <w:tcPr>
            <w:tcW w:w="3205" w:type="dxa"/>
            <w:tcBorders>
              <w:top w:val="nil"/>
              <w:left w:val="nil"/>
              <w:bottom w:val="nil"/>
              <w:right w:val="nil"/>
            </w:tcBorders>
          </w:tcPr>
          <w:p w:rsidR="00D1317C"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Capital Program Detail</w:t>
            </w:r>
          </w:p>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January 2019– December 2019</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t>Christopher Menendez</w:t>
            </w:r>
          </w:p>
        </w:tc>
        <w:tc>
          <w:tcPr>
            <w:tcW w:w="1680" w:type="dxa"/>
            <w:tcBorders>
              <w:top w:val="nil"/>
              <w:left w:val="nil"/>
              <w:bottom w:val="nil"/>
              <w:right w:val="nil"/>
            </w:tcBorders>
          </w:tcPr>
          <w:p w:rsidR="00D1317C" w:rsidRDefault="00D1317C" w:rsidP="00F856DC">
            <w:pPr>
              <w:jc w:val="center"/>
            </w:pPr>
            <w:r w:rsidRPr="00CB0492">
              <w:t>DEF</w:t>
            </w:r>
          </w:p>
        </w:tc>
        <w:tc>
          <w:tcPr>
            <w:tcW w:w="1482" w:type="dxa"/>
            <w:tcBorders>
              <w:top w:val="nil"/>
              <w:left w:val="nil"/>
              <w:bottom w:val="nil"/>
              <w:right w:val="nil"/>
            </w:tcBorders>
          </w:tcPr>
          <w:p w:rsidR="00D1317C" w:rsidRDefault="00D1317C" w:rsidP="00F856DC">
            <w:pPr>
              <w:jc w:val="center"/>
            </w:pPr>
            <w:r>
              <w:t>CAM-3</w:t>
            </w:r>
          </w:p>
        </w:tc>
        <w:tc>
          <w:tcPr>
            <w:tcW w:w="3205" w:type="dxa"/>
            <w:tcBorders>
              <w:top w:val="nil"/>
              <w:left w:val="nil"/>
              <w:bottom w:val="nil"/>
              <w:right w:val="nil"/>
            </w:tcBorders>
          </w:tcPr>
          <w:p w:rsidR="00D1317C" w:rsidRDefault="00D1317C" w:rsidP="00F856DC">
            <w:pPr>
              <w:autoSpaceDE w:val="0"/>
              <w:autoSpaceDN w:val="0"/>
              <w:adjustRightInd w:val="0"/>
              <w:ind w:left="720" w:hanging="720"/>
            </w:pPr>
            <w:r>
              <w:t>Forms 42-1E – 42-9E</w:t>
            </w:r>
          </w:p>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January 2020– December 2020</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t>Christopher Menendez</w:t>
            </w:r>
          </w:p>
        </w:tc>
        <w:tc>
          <w:tcPr>
            <w:tcW w:w="1680" w:type="dxa"/>
            <w:tcBorders>
              <w:top w:val="nil"/>
              <w:left w:val="nil"/>
              <w:bottom w:val="nil"/>
              <w:right w:val="nil"/>
            </w:tcBorders>
          </w:tcPr>
          <w:p w:rsidR="00D1317C" w:rsidRDefault="00D1317C" w:rsidP="00F856DC">
            <w:pPr>
              <w:jc w:val="center"/>
            </w:pPr>
            <w:r w:rsidRPr="00CB0492">
              <w:t>DEF</w:t>
            </w:r>
          </w:p>
        </w:tc>
        <w:tc>
          <w:tcPr>
            <w:tcW w:w="1482" w:type="dxa"/>
            <w:tcBorders>
              <w:top w:val="nil"/>
              <w:left w:val="nil"/>
              <w:bottom w:val="nil"/>
              <w:right w:val="nil"/>
            </w:tcBorders>
          </w:tcPr>
          <w:p w:rsidR="00D1317C" w:rsidRDefault="00D1317C" w:rsidP="00F856DC">
            <w:pPr>
              <w:jc w:val="center"/>
            </w:pPr>
            <w:r>
              <w:t>CAM-4</w:t>
            </w:r>
          </w:p>
        </w:tc>
        <w:tc>
          <w:tcPr>
            <w:tcW w:w="3205" w:type="dxa"/>
            <w:tcBorders>
              <w:top w:val="nil"/>
              <w:left w:val="nil"/>
              <w:bottom w:val="nil"/>
              <w:right w:val="nil"/>
            </w:tcBorders>
          </w:tcPr>
          <w:p w:rsidR="00D1317C"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Capital Program Detail</w:t>
            </w:r>
          </w:p>
          <w:p w:rsidR="00D1317C" w:rsidRPr="00701945" w:rsidRDefault="00D1317C" w:rsidP="00F856DC">
            <w:r>
              <w:t>January 2020 – December 2020</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t>Christopher Menendez</w:t>
            </w:r>
          </w:p>
        </w:tc>
        <w:tc>
          <w:tcPr>
            <w:tcW w:w="1680" w:type="dxa"/>
            <w:tcBorders>
              <w:top w:val="nil"/>
              <w:left w:val="nil"/>
              <w:bottom w:val="nil"/>
              <w:right w:val="nil"/>
            </w:tcBorders>
          </w:tcPr>
          <w:p w:rsidR="00D1317C" w:rsidRDefault="00D1317C" w:rsidP="00F856DC">
            <w:pPr>
              <w:jc w:val="center"/>
            </w:pPr>
            <w:r w:rsidRPr="00CB0492">
              <w:t>DEF</w:t>
            </w:r>
          </w:p>
        </w:tc>
        <w:tc>
          <w:tcPr>
            <w:tcW w:w="1482" w:type="dxa"/>
            <w:tcBorders>
              <w:top w:val="nil"/>
              <w:left w:val="nil"/>
              <w:bottom w:val="nil"/>
              <w:right w:val="nil"/>
            </w:tcBorders>
          </w:tcPr>
          <w:p w:rsidR="00D1317C" w:rsidRDefault="00D1317C" w:rsidP="00F856DC">
            <w:pPr>
              <w:jc w:val="center"/>
            </w:pPr>
            <w:r>
              <w:t>CAM-5</w:t>
            </w:r>
          </w:p>
        </w:tc>
        <w:tc>
          <w:tcPr>
            <w:tcW w:w="3205" w:type="dxa"/>
            <w:tcBorders>
              <w:top w:val="nil"/>
              <w:left w:val="nil"/>
              <w:bottom w:val="nil"/>
              <w:right w:val="nil"/>
            </w:tcBorders>
          </w:tcPr>
          <w:p w:rsidR="00D1317C"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Forms 42-1P – 42-8P</w:t>
            </w:r>
          </w:p>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January 2021– December 2021</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t>Christopher Menendez</w:t>
            </w:r>
          </w:p>
        </w:tc>
        <w:tc>
          <w:tcPr>
            <w:tcW w:w="1680" w:type="dxa"/>
            <w:tcBorders>
              <w:top w:val="nil"/>
              <w:left w:val="nil"/>
              <w:bottom w:val="nil"/>
              <w:right w:val="nil"/>
            </w:tcBorders>
          </w:tcPr>
          <w:p w:rsidR="00D1317C" w:rsidRDefault="00D1317C" w:rsidP="00F856DC">
            <w:pPr>
              <w:jc w:val="center"/>
            </w:pPr>
            <w:r w:rsidRPr="00CB0492">
              <w:t>DEF</w:t>
            </w:r>
          </w:p>
        </w:tc>
        <w:tc>
          <w:tcPr>
            <w:tcW w:w="1482" w:type="dxa"/>
            <w:tcBorders>
              <w:top w:val="nil"/>
              <w:left w:val="nil"/>
              <w:bottom w:val="nil"/>
              <w:right w:val="nil"/>
            </w:tcBorders>
          </w:tcPr>
          <w:p w:rsidR="00D1317C" w:rsidRDefault="00D1317C" w:rsidP="00F856DC">
            <w:pPr>
              <w:jc w:val="center"/>
            </w:pPr>
            <w:r>
              <w:t>CAM-6</w:t>
            </w:r>
          </w:p>
        </w:tc>
        <w:tc>
          <w:tcPr>
            <w:tcW w:w="3205" w:type="dxa"/>
            <w:tcBorders>
              <w:top w:val="nil"/>
              <w:left w:val="nil"/>
              <w:bottom w:val="nil"/>
              <w:right w:val="nil"/>
            </w:tcBorders>
          </w:tcPr>
          <w:p w:rsidR="00D1317C" w:rsidRDefault="00D1317C" w:rsidP="00F856DC">
            <w:pPr>
              <w:autoSpaceDE w:val="0"/>
              <w:autoSpaceDN w:val="0"/>
              <w:adjustRightInd w:val="0"/>
              <w:ind w:left="720" w:hanging="720"/>
            </w:pPr>
            <w:r>
              <w:t>Capital Program Detail</w:t>
            </w:r>
          </w:p>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January 2021– December 2021</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t>Timothy Hill</w:t>
            </w:r>
          </w:p>
        </w:tc>
        <w:tc>
          <w:tcPr>
            <w:tcW w:w="1680" w:type="dxa"/>
            <w:tcBorders>
              <w:top w:val="nil"/>
              <w:left w:val="nil"/>
              <w:bottom w:val="nil"/>
              <w:right w:val="nil"/>
            </w:tcBorders>
          </w:tcPr>
          <w:p w:rsidR="00D1317C" w:rsidRDefault="00D1317C" w:rsidP="00F856DC">
            <w:pPr>
              <w:jc w:val="center"/>
            </w:pPr>
            <w:r w:rsidRPr="00CB0492">
              <w:t>DEF</w:t>
            </w:r>
          </w:p>
        </w:tc>
        <w:tc>
          <w:tcPr>
            <w:tcW w:w="1482" w:type="dxa"/>
            <w:tcBorders>
              <w:top w:val="nil"/>
              <w:left w:val="nil"/>
              <w:bottom w:val="nil"/>
              <w:right w:val="nil"/>
            </w:tcBorders>
          </w:tcPr>
          <w:p w:rsidR="00D1317C" w:rsidRDefault="00D1317C" w:rsidP="00F856DC">
            <w:pPr>
              <w:jc w:val="center"/>
            </w:pPr>
            <w:r>
              <w:t>CAM-5</w:t>
            </w:r>
          </w:p>
        </w:tc>
        <w:tc>
          <w:tcPr>
            <w:tcW w:w="3205" w:type="dxa"/>
            <w:tcBorders>
              <w:top w:val="nil"/>
              <w:left w:val="nil"/>
              <w:bottom w:val="nil"/>
              <w:right w:val="nil"/>
            </w:tcBorders>
          </w:tcPr>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Form 42-5P, page 23 of 23</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Jeffrey Swartz</w:t>
            </w:r>
          </w:p>
        </w:tc>
        <w:tc>
          <w:tcPr>
            <w:tcW w:w="1680" w:type="dxa"/>
            <w:tcBorders>
              <w:top w:val="nil"/>
              <w:left w:val="nil"/>
              <w:bottom w:val="nil"/>
              <w:right w:val="nil"/>
            </w:tcBorders>
          </w:tcPr>
          <w:p w:rsidR="00D1317C" w:rsidRDefault="00D1317C" w:rsidP="00F856DC">
            <w:pPr>
              <w:jc w:val="center"/>
            </w:pPr>
            <w:r w:rsidRPr="00CB0492">
              <w:t>DEF</w:t>
            </w:r>
          </w:p>
        </w:tc>
        <w:tc>
          <w:tcPr>
            <w:tcW w:w="1482" w:type="dxa"/>
            <w:tcBorders>
              <w:top w:val="nil"/>
              <w:left w:val="nil"/>
              <w:bottom w:val="nil"/>
              <w:right w:val="nil"/>
            </w:tcBorders>
          </w:tcPr>
          <w:p w:rsidR="00D1317C" w:rsidRDefault="00D1317C" w:rsidP="00F856DC">
            <w:pPr>
              <w:jc w:val="center"/>
            </w:pPr>
            <w:r>
              <w:t>JS-1</w:t>
            </w:r>
          </w:p>
        </w:tc>
        <w:tc>
          <w:tcPr>
            <w:tcW w:w="3205" w:type="dxa"/>
            <w:tcBorders>
              <w:top w:val="nil"/>
              <w:left w:val="nil"/>
              <w:bottom w:val="nil"/>
              <w:right w:val="nil"/>
            </w:tcBorders>
          </w:tcPr>
          <w:p w:rsidR="00D1317C" w:rsidRDefault="00D1317C" w:rsidP="00F856DC">
            <w:pPr>
              <w:autoSpaceDE w:val="0"/>
              <w:autoSpaceDN w:val="0"/>
              <w:adjustRightInd w:val="0"/>
              <w:ind w:left="720" w:hanging="720"/>
            </w:pPr>
            <w:r>
              <w:t>Crystal River Clean Air</w:t>
            </w:r>
          </w:p>
          <w:p w:rsidR="00D1317C" w:rsidRPr="00701945" w:rsidRDefault="00D1317C" w:rsidP="00F856DC">
            <w:r>
              <w:t>Projects Organizational Chart</w:t>
            </w:r>
            <w:r>
              <w:tab/>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jc w:val="both"/>
            </w:pPr>
            <w:r>
              <w:t>Jeffrey Swartz</w:t>
            </w:r>
          </w:p>
        </w:tc>
        <w:tc>
          <w:tcPr>
            <w:tcW w:w="1680" w:type="dxa"/>
            <w:tcBorders>
              <w:top w:val="nil"/>
              <w:left w:val="nil"/>
              <w:bottom w:val="nil"/>
              <w:right w:val="nil"/>
            </w:tcBorders>
          </w:tcPr>
          <w:p w:rsidR="00D1317C" w:rsidRDefault="00D1317C" w:rsidP="00F856DC">
            <w:pPr>
              <w:jc w:val="center"/>
            </w:pPr>
            <w:r>
              <w:t>DEF</w:t>
            </w:r>
          </w:p>
        </w:tc>
        <w:tc>
          <w:tcPr>
            <w:tcW w:w="1482" w:type="dxa"/>
            <w:tcBorders>
              <w:top w:val="nil"/>
              <w:left w:val="nil"/>
              <w:bottom w:val="nil"/>
              <w:right w:val="nil"/>
            </w:tcBorders>
          </w:tcPr>
          <w:p w:rsidR="00D1317C" w:rsidRDefault="00D1317C" w:rsidP="00F856DC">
            <w:pPr>
              <w:jc w:val="center"/>
            </w:pPr>
            <w:r>
              <w:t>CAM-5</w:t>
            </w:r>
          </w:p>
        </w:tc>
        <w:tc>
          <w:tcPr>
            <w:tcW w:w="3205" w:type="dxa"/>
            <w:tcBorders>
              <w:top w:val="nil"/>
              <w:left w:val="nil"/>
              <w:bottom w:val="nil"/>
              <w:right w:val="nil"/>
            </w:tcBorders>
          </w:tcPr>
          <w:p w:rsidR="00D1317C" w:rsidRPr="00701945" w:rsidRDefault="00D1317C" w:rsidP="00F856DC">
            <w:r>
              <w:t>Form 42-5P, pages 7, 21 and 22 of 23</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t>Kim Spence McDaniel</w:t>
            </w:r>
          </w:p>
        </w:tc>
        <w:tc>
          <w:tcPr>
            <w:tcW w:w="1680" w:type="dxa"/>
            <w:tcBorders>
              <w:top w:val="nil"/>
              <w:left w:val="nil"/>
              <w:bottom w:val="nil"/>
              <w:right w:val="nil"/>
            </w:tcBorders>
          </w:tcPr>
          <w:p w:rsidR="00D1317C" w:rsidRDefault="00D1317C" w:rsidP="00F856DC">
            <w:pPr>
              <w:jc w:val="center"/>
            </w:pPr>
            <w:r>
              <w:t>DEF</w:t>
            </w:r>
          </w:p>
        </w:tc>
        <w:tc>
          <w:tcPr>
            <w:tcW w:w="1482" w:type="dxa"/>
            <w:tcBorders>
              <w:top w:val="nil"/>
              <w:left w:val="nil"/>
              <w:bottom w:val="nil"/>
              <w:right w:val="nil"/>
            </w:tcBorders>
          </w:tcPr>
          <w:p w:rsidR="00D1317C" w:rsidRDefault="00D1317C" w:rsidP="00F856DC">
            <w:pPr>
              <w:jc w:val="center"/>
            </w:pPr>
            <w:r>
              <w:t>KSM-1</w:t>
            </w:r>
          </w:p>
        </w:tc>
        <w:tc>
          <w:tcPr>
            <w:tcW w:w="3205" w:type="dxa"/>
            <w:tcBorders>
              <w:top w:val="nil"/>
              <w:left w:val="nil"/>
              <w:bottom w:val="nil"/>
              <w:right w:val="nil"/>
            </w:tcBorders>
          </w:tcPr>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Review of Integrated Clean Air Compliance Plan</w:t>
            </w: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t>Kim Spence McDaniel</w:t>
            </w:r>
          </w:p>
        </w:tc>
        <w:tc>
          <w:tcPr>
            <w:tcW w:w="1680" w:type="dxa"/>
            <w:tcBorders>
              <w:top w:val="nil"/>
              <w:left w:val="nil"/>
              <w:bottom w:val="nil"/>
              <w:right w:val="nil"/>
            </w:tcBorders>
          </w:tcPr>
          <w:p w:rsidR="00D1317C" w:rsidRDefault="00D1317C" w:rsidP="00F856DC">
            <w:pPr>
              <w:jc w:val="center"/>
            </w:pPr>
            <w:r>
              <w:t>DEF</w:t>
            </w:r>
          </w:p>
        </w:tc>
        <w:tc>
          <w:tcPr>
            <w:tcW w:w="1482" w:type="dxa"/>
            <w:tcBorders>
              <w:top w:val="nil"/>
              <w:left w:val="nil"/>
              <w:bottom w:val="nil"/>
              <w:right w:val="nil"/>
            </w:tcBorders>
          </w:tcPr>
          <w:p w:rsidR="00D1317C" w:rsidRDefault="00D1317C" w:rsidP="00F856DC">
            <w:pPr>
              <w:jc w:val="center"/>
            </w:pPr>
            <w:r>
              <w:t>CAM-5</w:t>
            </w:r>
          </w:p>
        </w:tc>
        <w:tc>
          <w:tcPr>
            <w:tcW w:w="3205" w:type="dxa"/>
            <w:tcBorders>
              <w:top w:val="nil"/>
              <w:left w:val="nil"/>
              <w:bottom w:val="nil"/>
              <w:right w:val="nil"/>
            </w:tcBorders>
          </w:tcPr>
          <w:p w:rsidR="00D1317C"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Form 42-5P, pages 1-4 and 6- 20 of 23</w:t>
            </w:r>
          </w:p>
          <w:p w:rsidR="00D1317C" w:rsidRPr="00701945" w:rsidRDefault="00D1317C" w:rsidP="00F856DC">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D1317C" w:rsidRPr="00701945" w:rsidTr="00F856DC">
        <w:trPr>
          <w:cantSplit/>
          <w:trHeight w:val="373"/>
        </w:trPr>
        <w:tc>
          <w:tcPr>
            <w:tcW w:w="3198" w:type="dxa"/>
            <w:tcBorders>
              <w:top w:val="nil"/>
              <w:left w:val="nil"/>
              <w:bottom w:val="nil"/>
              <w:right w:val="nil"/>
            </w:tcBorders>
          </w:tcPr>
          <w:p w:rsidR="00D1317C" w:rsidRPr="00701945" w:rsidRDefault="00D1317C" w:rsidP="00F856DC">
            <w:pPr>
              <w:jc w:val="both"/>
            </w:pPr>
            <w:r>
              <w:lastRenderedPageBreak/>
              <w:t>M. Ashley Sizemore</w:t>
            </w:r>
          </w:p>
        </w:tc>
        <w:tc>
          <w:tcPr>
            <w:tcW w:w="1680" w:type="dxa"/>
            <w:tcBorders>
              <w:top w:val="nil"/>
              <w:left w:val="nil"/>
              <w:bottom w:val="nil"/>
              <w:right w:val="nil"/>
            </w:tcBorders>
          </w:tcPr>
          <w:p w:rsidR="00D1317C" w:rsidRPr="00701945" w:rsidRDefault="00D1317C" w:rsidP="00F856DC">
            <w:pPr>
              <w:jc w:val="center"/>
            </w:pPr>
            <w:r>
              <w:t>TECO</w:t>
            </w:r>
          </w:p>
        </w:tc>
        <w:tc>
          <w:tcPr>
            <w:tcW w:w="1482" w:type="dxa"/>
            <w:tcBorders>
              <w:top w:val="nil"/>
              <w:left w:val="nil"/>
              <w:bottom w:val="nil"/>
              <w:right w:val="nil"/>
            </w:tcBorders>
          </w:tcPr>
          <w:p w:rsidR="00D1317C" w:rsidRPr="004515FB" w:rsidRDefault="00D1317C" w:rsidP="00F856DC">
            <w:pPr>
              <w:jc w:val="center"/>
            </w:pPr>
            <w:r>
              <w:t>MAS-1</w:t>
            </w:r>
          </w:p>
        </w:tc>
        <w:tc>
          <w:tcPr>
            <w:tcW w:w="3205" w:type="dxa"/>
            <w:tcBorders>
              <w:top w:val="nil"/>
              <w:left w:val="nil"/>
              <w:bottom w:val="nil"/>
              <w:right w:val="nil"/>
            </w:tcBorders>
          </w:tcPr>
          <w:p w:rsidR="00D1317C" w:rsidRPr="00051473" w:rsidRDefault="00D1317C" w:rsidP="00F856DC">
            <w:r w:rsidRPr="00051473">
              <w:t>Final Environmental Cost Recovery Commission Forms 42-1A through 42-9A for the period January 2019 through December 2019</w:t>
            </w:r>
          </w:p>
          <w:p w:rsidR="00D1317C" w:rsidRPr="00701945" w:rsidRDefault="00D1317C" w:rsidP="00F856DC"/>
        </w:tc>
      </w:tr>
      <w:tr w:rsidR="00D1317C" w:rsidRPr="00701945" w:rsidTr="00F856DC">
        <w:trPr>
          <w:cantSplit/>
          <w:trHeight w:val="373"/>
        </w:trPr>
        <w:tc>
          <w:tcPr>
            <w:tcW w:w="3198" w:type="dxa"/>
            <w:tcBorders>
              <w:top w:val="nil"/>
              <w:left w:val="nil"/>
              <w:bottom w:val="nil"/>
              <w:right w:val="nil"/>
            </w:tcBorders>
          </w:tcPr>
          <w:p w:rsidR="00D1317C" w:rsidRDefault="00D1317C" w:rsidP="00F856DC">
            <w:pPr>
              <w:jc w:val="both"/>
            </w:pPr>
            <w:r>
              <w:t>M. Ashley Sizemore</w:t>
            </w:r>
          </w:p>
        </w:tc>
        <w:tc>
          <w:tcPr>
            <w:tcW w:w="1680" w:type="dxa"/>
            <w:tcBorders>
              <w:top w:val="nil"/>
              <w:left w:val="nil"/>
              <w:bottom w:val="nil"/>
              <w:right w:val="nil"/>
            </w:tcBorders>
          </w:tcPr>
          <w:p w:rsidR="00D1317C" w:rsidRDefault="00D1317C" w:rsidP="00F856DC">
            <w:pPr>
              <w:jc w:val="center"/>
            </w:pPr>
            <w:r>
              <w:t>TECO</w:t>
            </w:r>
          </w:p>
        </w:tc>
        <w:tc>
          <w:tcPr>
            <w:tcW w:w="1482" w:type="dxa"/>
            <w:tcBorders>
              <w:top w:val="nil"/>
              <w:left w:val="nil"/>
              <w:bottom w:val="nil"/>
              <w:right w:val="nil"/>
            </w:tcBorders>
          </w:tcPr>
          <w:p w:rsidR="00D1317C" w:rsidRDefault="00D1317C" w:rsidP="00F856DC">
            <w:pPr>
              <w:jc w:val="center"/>
            </w:pPr>
            <w:r>
              <w:t>MAS-2</w:t>
            </w:r>
          </w:p>
        </w:tc>
        <w:tc>
          <w:tcPr>
            <w:tcW w:w="3205" w:type="dxa"/>
            <w:tcBorders>
              <w:top w:val="nil"/>
              <w:left w:val="nil"/>
              <w:bottom w:val="nil"/>
              <w:right w:val="nil"/>
            </w:tcBorders>
          </w:tcPr>
          <w:p w:rsidR="00D1317C" w:rsidRPr="00051473" w:rsidRDefault="00D1317C" w:rsidP="00F856DC">
            <w:r w:rsidRPr="00051473">
              <w:t>Environmental Cost Recovery Commission Forms 42-1E through 42-9E for the Period January 2020 through December 2020</w:t>
            </w:r>
          </w:p>
          <w:p w:rsidR="00D1317C" w:rsidRPr="00051473" w:rsidRDefault="00D1317C" w:rsidP="00F856DC"/>
        </w:tc>
      </w:tr>
      <w:tr w:rsidR="00D1317C" w:rsidRPr="00701945" w:rsidTr="00F856DC">
        <w:trPr>
          <w:cantSplit/>
          <w:trHeight w:val="373"/>
        </w:trPr>
        <w:tc>
          <w:tcPr>
            <w:tcW w:w="3198" w:type="dxa"/>
            <w:tcBorders>
              <w:top w:val="nil"/>
              <w:left w:val="nil"/>
              <w:bottom w:val="nil"/>
              <w:right w:val="nil"/>
            </w:tcBorders>
          </w:tcPr>
          <w:p w:rsidR="00D1317C" w:rsidRDefault="00D1317C" w:rsidP="00F856DC">
            <w:pPr>
              <w:jc w:val="both"/>
            </w:pPr>
            <w:r>
              <w:t>M. Ashley Sizemore</w:t>
            </w:r>
          </w:p>
        </w:tc>
        <w:tc>
          <w:tcPr>
            <w:tcW w:w="1680" w:type="dxa"/>
            <w:tcBorders>
              <w:top w:val="nil"/>
              <w:left w:val="nil"/>
              <w:bottom w:val="nil"/>
              <w:right w:val="nil"/>
            </w:tcBorders>
          </w:tcPr>
          <w:p w:rsidR="00D1317C" w:rsidRDefault="00D1317C" w:rsidP="00F856DC">
            <w:pPr>
              <w:jc w:val="center"/>
            </w:pPr>
            <w:r>
              <w:t>TECO</w:t>
            </w:r>
          </w:p>
        </w:tc>
        <w:tc>
          <w:tcPr>
            <w:tcW w:w="1482" w:type="dxa"/>
            <w:tcBorders>
              <w:top w:val="nil"/>
              <w:left w:val="nil"/>
              <w:bottom w:val="nil"/>
              <w:right w:val="nil"/>
            </w:tcBorders>
          </w:tcPr>
          <w:p w:rsidR="00D1317C" w:rsidRDefault="00D1317C" w:rsidP="00F856DC">
            <w:pPr>
              <w:jc w:val="center"/>
            </w:pPr>
            <w:r>
              <w:t>MAS-3</w:t>
            </w:r>
          </w:p>
        </w:tc>
        <w:tc>
          <w:tcPr>
            <w:tcW w:w="3205" w:type="dxa"/>
            <w:tcBorders>
              <w:top w:val="nil"/>
              <w:left w:val="nil"/>
              <w:bottom w:val="nil"/>
              <w:right w:val="nil"/>
            </w:tcBorders>
          </w:tcPr>
          <w:p w:rsidR="00D1317C" w:rsidRPr="00051473" w:rsidRDefault="00D1317C" w:rsidP="00F856DC">
            <w:r w:rsidRPr="00051473">
              <w:t xml:space="preserve">Environmental Cost Recovery </w:t>
            </w:r>
          </w:p>
          <w:p w:rsidR="00D1317C" w:rsidRPr="00051473" w:rsidRDefault="00D1317C" w:rsidP="00F856DC">
            <w:r w:rsidRPr="00051473">
              <w:t>Forms 42-1P through 42-8P Forms for the Period</w:t>
            </w:r>
            <w:r>
              <w:t xml:space="preserve"> </w:t>
            </w:r>
            <w:r w:rsidRPr="00051473">
              <w:t>January 2021 through December 2021</w:t>
            </w:r>
          </w:p>
        </w:tc>
      </w:tr>
    </w:tbl>
    <w:p w:rsidR="00D1317C" w:rsidRDefault="00D1317C" w:rsidP="00D1317C">
      <w:pPr>
        <w:jc w:val="both"/>
      </w:pPr>
    </w:p>
    <w:p w:rsidR="00D1317C" w:rsidRPr="00701945" w:rsidRDefault="00D1317C" w:rsidP="00D1317C">
      <w:pPr>
        <w:jc w:val="both"/>
      </w:pPr>
      <w:r w:rsidRPr="00701945">
        <w:tab/>
        <w:t>Parties and Staff reserve the right to identify additional exhibits for the purpose of cross-examination.</w:t>
      </w:r>
    </w:p>
    <w:p w:rsidR="00D1317C" w:rsidRDefault="00D1317C" w:rsidP="00D1317C">
      <w:pPr>
        <w:jc w:val="both"/>
      </w:pPr>
    </w:p>
    <w:p w:rsidR="00D1317C" w:rsidRPr="00701945" w:rsidRDefault="00D1317C" w:rsidP="00D1317C">
      <w:pPr>
        <w:jc w:val="both"/>
      </w:pPr>
    </w:p>
    <w:p w:rsidR="00E76E7A" w:rsidRDefault="00E76E7A" w:rsidP="00CD50DE">
      <w:pPr>
        <w:ind w:left="1440" w:hanging="1440"/>
        <w:jc w:val="both"/>
        <w:rPr>
          <w:b/>
          <w:bCs/>
        </w:rPr>
      </w:pPr>
    </w:p>
    <w:p w:rsidR="00DC48B2" w:rsidRPr="00DC48B2" w:rsidRDefault="00DC48B2" w:rsidP="00DC48B2">
      <w:pPr>
        <w:jc w:val="both"/>
        <w:rPr>
          <w:b/>
        </w:rPr>
      </w:pPr>
      <w:r w:rsidRPr="00DC48B2">
        <w:rPr>
          <w:b/>
        </w:rPr>
        <w:t>X.</w:t>
      </w:r>
      <w:r w:rsidRPr="00DC48B2">
        <w:rPr>
          <w:b/>
        </w:rPr>
        <w:tab/>
      </w:r>
      <w:r w:rsidRPr="00DC48B2">
        <w:rPr>
          <w:b/>
          <w:u w:val="single"/>
        </w:rPr>
        <w:t>PROPOSED STIPULATIONS</w:t>
      </w:r>
    </w:p>
    <w:p w:rsidR="00DC48B2" w:rsidRPr="00DC48B2" w:rsidRDefault="00DC48B2" w:rsidP="00DC48B2">
      <w:pPr>
        <w:jc w:val="both"/>
      </w:pPr>
    </w:p>
    <w:p w:rsidR="00DC48B2" w:rsidRPr="00DC48B2" w:rsidRDefault="00543A68" w:rsidP="003A74A8">
      <w:pPr>
        <w:rPr>
          <w:bCs/>
        </w:rPr>
      </w:pPr>
      <w:r>
        <w:tab/>
      </w:r>
      <w:r w:rsidR="00DC48B2" w:rsidRPr="00DC48B2">
        <w:t>There are proposed Type 2 stipulations</w:t>
      </w:r>
      <w:r w:rsidR="00DC48B2" w:rsidRPr="00DC48B2">
        <w:rPr>
          <w:bCs/>
          <w:vertAlign w:val="superscript"/>
        </w:rPr>
        <w:footnoteReference w:id="1"/>
      </w:r>
      <w:r w:rsidR="00DC48B2" w:rsidRPr="00DC48B2">
        <w:t xml:space="preserve"> as stated below.  </w:t>
      </w:r>
    </w:p>
    <w:p w:rsidR="00DC48B2" w:rsidRPr="00DC48B2" w:rsidRDefault="00DC48B2" w:rsidP="00DC48B2">
      <w:pPr>
        <w:jc w:val="both"/>
      </w:pPr>
    </w:p>
    <w:p w:rsidR="003A74A8" w:rsidRPr="00DC48B2" w:rsidRDefault="006B30AE" w:rsidP="006B30AE">
      <w:pPr>
        <w:jc w:val="both"/>
      </w:pPr>
      <w:r>
        <w:t xml:space="preserve">DEF, FPL, </w:t>
      </w:r>
      <w:r w:rsidR="003A74A8">
        <w:t>Gulf, TECO</w:t>
      </w:r>
      <w:r w:rsidR="00E82950">
        <w:t xml:space="preserve"> </w:t>
      </w:r>
      <w:r w:rsidR="003A74A8">
        <w:t xml:space="preserve">and Commission staff support the proposed stipulations. FIPUG, PCS Phosphate and OPC take no positions on the issues. </w:t>
      </w:r>
      <w:r w:rsidR="003A74A8" w:rsidRPr="00DC48B2">
        <w:t>The OPC position on each Type 2 stipulation  is as follows:</w:t>
      </w:r>
    </w:p>
    <w:p w:rsidR="003A74A8" w:rsidRPr="00DC48B2" w:rsidRDefault="003A74A8" w:rsidP="003A74A8"/>
    <w:p w:rsidR="003A74A8" w:rsidRDefault="003A74A8" w:rsidP="003A74A8">
      <w:pPr>
        <w:autoSpaceDE w:val="0"/>
        <w:autoSpaceDN w:val="0"/>
        <w:adjustRightInd w:val="0"/>
        <w:ind w:left="720" w:right="720"/>
        <w:jc w:val="both"/>
        <w:rPr>
          <w:bCs/>
        </w:rPr>
      </w:pPr>
      <w:r w:rsidRPr="00DC48B2">
        <w:rPr>
          <w:bCs/>
        </w:rPr>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  </w:t>
      </w:r>
    </w:p>
    <w:p w:rsidR="003A74A8" w:rsidRPr="00DC48B2" w:rsidRDefault="003A74A8" w:rsidP="00543A68">
      <w:pPr>
        <w:autoSpaceDE w:val="0"/>
        <w:autoSpaceDN w:val="0"/>
        <w:adjustRightInd w:val="0"/>
        <w:ind w:right="720"/>
        <w:jc w:val="both"/>
        <w:rPr>
          <w:bCs/>
        </w:rPr>
      </w:pPr>
      <w:r>
        <w:lastRenderedPageBreak/>
        <w:t>All witnesses are excused. Testimony and hearing exhibits are included in the record.</w:t>
      </w:r>
    </w:p>
    <w:p w:rsidR="00DC48B2" w:rsidRPr="00DC48B2" w:rsidRDefault="00DC48B2" w:rsidP="00DC48B2">
      <w:pPr>
        <w:jc w:val="both"/>
      </w:pPr>
    </w:p>
    <w:p w:rsidR="00DC48B2" w:rsidRPr="00DC48B2" w:rsidRDefault="00DC48B2" w:rsidP="00DC48B2">
      <w:pPr>
        <w:spacing w:line="276" w:lineRule="auto"/>
        <w:ind w:left="1440" w:hanging="1440"/>
        <w:jc w:val="both"/>
        <w:rPr>
          <w:rFonts w:eastAsia="Calibri"/>
          <w:b/>
          <w:bCs/>
        </w:rPr>
      </w:pPr>
    </w:p>
    <w:p w:rsidR="00DC48B2" w:rsidRPr="00DC48B2" w:rsidRDefault="00DC48B2" w:rsidP="00DC48B2">
      <w:pPr>
        <w:ind w:left="1440" w:hanging="1440"/>
        <w:jc w:val="both"/>
        <w:rPr>
          <w:rFonts w:eastAsia="Calibri"/>
          <w:b/>
        </w:rPr>
      </w:pPr>
      <w:r w:rsidRPr="00DC48B2">
        <w:rPr>
          <w:rFonts w:eastAsia="Calibri"/>
          <w:b/>
          <w:bCs/>
          <w:u w:val="single"/>
        </w:rPr>
        <w:t>ISSUE 1</w:t>
      </w:r>
      <w:r w:rsidRPr="00DC48B2">
        <w:rPr>
          <w:rFonts w:eastAsia="Calibri"/>
          <w:b/>
          <w:bCs/>
        </w:rPr>
        <w:t>:</w:t>
      </w:r>
      <w:r w:rsidRPr="00DC48B2">
        <w:rPr>
          <w:rFonts w:eastAsia="Calibri"/>
          <w:b/>
          <w:bCs/>
        </w:rPr>
        <w:tab/>
      </w:r>
      <w:r w:rsidRPr="00DC48B2">
        <w:rPr>
          <w:rFonts w:eastAsia="Calibri"/>
          <w:b/>
        </w:rPr>
        <w:t>What are the final environmental cost recovery true-up amounts for the period January 2019 through December 2019?</w:t>
      </w:r>
    </w:p>
    <w:p w:rsidR="00DC48B2" w:rsidRPr="00DC48B2" w:rsidRDefault="00DC48B2" w:rsidP="00DC48B2">
      <w:pPr>
        <w:spacing w:line="276" w:lineRule="auto"/>
        <w:ind w:left="900" w:hanging="900"/>
        <w:jc w:val="both"/>
        <w:rPr>
          <w:rFonts w:eastAsia="Calibri"/>
          <w:b/>
        </w:rPr>
      </w:pPr>
    </w:p>
    <w:tbl>
      <w:tblPr>
        <w:tblW w:w="457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2195"/>
      </w:tblGrid>
      <w:tr w:rsidR="00DC48B2" w:rsidRPr="00DC48B2" w:rsidTr="00E829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$14,087,943</w:t>
            </w:r>
          </w:p>
        </w:tc>
        <w:tc>
          <w:tcPr>
            <w:tcW w:w="2195" w:type="dxa"/>
            <w:tcBorders>
              <w:top w:val="single" w:sz="4" w:space="0" w:color="auto"/>
              <w:left w:val="single" w:sz="4" w:space="0" w:color="auto"/>
              <w:bottom w:val="single" w:sz="4" w:space="0" w:color="auto"/>
              <w:right w:val="single" w:sz="4" w:space="0" w:color="auto"/>
            </w:tcBorders>
            <w:noWrap/>
            <w:vAlign w:val="bottom"/>
            <w:hideMark/>
          </w:tcPr>
          <w:p w:rsidR="00DC48B2" w:rsidRPr="00DC48B2" w:rsidRDefault="00DC48B2" w:rsidP="00DC48B2">
            <w:pPr>
              <w:jc w:val="both"/>
              <w:rPr>
                <w:sz w:val="22"/>
                <w:szCs w:val="22"/>
              </w:rPr>
            </w:pPr>
            <w:r w:rsidRPr="00DC48B2">
              <w:rPr>
                <w:sz w:val="22"/>
                <w:szCs w:val="22"/>
              </w:rPr>
              <w:t>Over-recovery</w:t>
            </w:r>
          </w:p>
        </w:tc>
      </w:tr>
      <w:tr w:rsidR="00DC48B2" w:rsidRPr="00DC48B2" w:rsidTr="00E829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$1,792,439</w:t>
            </w:r>
          </w:p>
        </w:tc>
        <w:tc>
          <w:tcPr>
            <w:tcW w:w="2195"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Under-recovery</w:t>
            </w:r>
          </w:p>
        </w:tc>
      </w:tr>
      <w:tr w:rsidR="00DC48B2" w:rsidRPr="00DC48B2" w:rsidTr="00E829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$3,987,915</w:t>
            </w:r>
          </w:p>
        </w:tc>
        <w:tc>
          <w:tcPr>
            <w:tcW w:w="2195"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Over-recovery</w:t>
            </w:r>
          </w:p>
        </w:tc>
      </w:tr>
      <w:tr w:rsidR="00DC48B2" w:rsidRPr="00DC48B2" w:rsidTr="00E829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$5,891,843</w:t>
            </w:r>
          </w:p>
        </w:tc>
        <w:tc>
          <w:tcPr>
            <w:tcW w:w="2195"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Over-recovery</w:t>
            </w:r>
          </w:p>
        </w:tc>
      </w:tr>
    </w:tbl>
    <w:p w:rsidR="00DC48B2" w:rsidRPr="00DC48B2" w:rsidRDefault="00DC48B2" w:rsidP="00DC48B2">
      <w:pPr>
        <w:spacing w:after="200" w:line="276" w:lineRule="auto"/>
        <w:jc w:val="both"/>
        <w:rPr>
          <w:rFonts w:eastAsia="Calibri"/>
        </w:rPr>
      </w:pPr>
      <w:r w:rsidRPr="00DC48B2">
        <w:rPr>
          <w:rFonts w:eastAsia="Calibri"/>
          <w:sz w:val="22"/>
          <w:szCs w:val="22"/>
        </w:rPr>
        <w:tab/>
      </w:r>
      <w:r w:rsidRPr="00DC48B2">
        <w:rPr>
          <w:rFonts w:eastAsia="Calibri"/>
          <w:sz w:val="22"/>
          <w:szCs w:val="22"/>
        </w:rPr>
        <w:tab/>
      </w:r>
    </w:p>
    <w:p w:rsidR="00DC48B2" w:rsidRPr="00DC48B2" w:rsidRDefault="00DC48B2" w:rsidP="00DC48B2">
      <w:pPr>
        <w:ind w:left="1440" w:hanging="1440"/>
        <w:jc w:val="both"/>
        <w:rPr>
          <w:rFonts w:eastAsia="Calibri"/>
          <w:b/>
        </w:rPr>
      </w:pPr>
      <w:r w:rsidRPr="00DC48B2">
        <w:rPr>
          <w:rFonts w:eastAsia="Calibri"/>
          <w:b/>
          <w:bCs/>
          <w:u w:val="single"/>
        </w:rPr>
        <w:t>ISSUE 2</w:t>
      </w:r>
      <w:r w:rsidRPr="00DC48B2">
        <w:rPr>
          <w:rFonts w:eastAsia="Calibri"/>
          <w:b/>
          <w:bCs/>
        </w:rPr>
        <w:t>:</w:t>
      </w:r>
      <w:r w:rsidRPr="00DC48B2">
        <w:rPr>
          <w:rFonts w:eastAsia="Calibri"/>
          <w:b/>
          <w:bCs/>
        </w:rPr>
        <w:tab/>
      </w:r>
      <w:r w:rsidRPr="00DC48B2">
        <w:rPr>
          <w:rFonts w:eastAsia="Calibri"/>
          <w:b/>
        </w:rPr>
        <w:t>What are the actual/estimated environmental cost recovery true-up amounts for the period January 2020 through December 2020?</w:t>
      </w:r>
    </w:p>
    <w:p w:rsidR="00DC48B2" w:rsidRPr="00DC48B2" w:rsidRDefault="00DC48B2" w:rsidP="00DC48B2">
      <w:pPr>
        <w:ind w:left="1080" w:hanging="1080"/>
        <w:jc w:val="both"/>
        <w:rPr>
          <w:rFonts w:eastAsia="Calibri"/>
          <w:b/>
        </w:rPr>
      </w:pPr>
    </w:p>
    <w:tbl>
      <w:tblPr>
        <w:tblW w:w="4211"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416"/>
        <w:gridCol w:w="1835"/>
      </w:tblGrid>
      <w:tr w:rsidR="00DC48B2" w:rsidRPr="00DC48B2" w:rsidTr="00E829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FPL </w:t>
            </w:r>
          </w:p>
        </w:tc>
        <w:tc>
          <w:tcPr>
            <w:tcW w:w="141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$4,763,785</w:t>
            </w:r>
          </w:p>
        </w:tc>
        <w:tc>
          <w:tcPr>
            <w:tcW w:w="1835"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Over-recovery</w:t>
            </w:r>
          </w:p>
        </w:tc>
      </w:tr>
      <w:tr w:rsidR="00DC48B2" w:rsidRPr="00DC48B2" w:rsidTr="00E829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DEF </w:t>
            </w:r>
          </w:p>
        </w:tc>
        <w:tc>
          <w:tcPr>
            <w:tcW w:w="141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$8,097,179</w:t>
            </w:r>
          </w:p>
        </w:tc>
        <w:tc>
          <w:tcPr>
            <w:tcW w:w="1835"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Over-recovery</w:t>
            </w:r>
          </w:p>
        </w:tc>
      </w:tr>
      <w:tr w:rsidR="00DC48B2" w:rsidRPr="00DC48B2" w:rsidTr="00E829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TECO </w:t>
            </w:r>
          </w:p>
        </w:tc>
        <w:tc>
          <w:tcPr>
            <w:tcW w:w="141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$7,841,176</w:t>
            </w:r>
          </w:p>
        </w:tc>
        <w:tc>
          <w:tcPr>
            <w:tcW w:w="1835"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Under-recovery</w:t>
            </w:r>
          </w:p>
        </w:tc>
      </w:tr>
      <w:tr w:rsidR="00DC48B2" w:rsidRPr="00DC48B2" w:rsidTr="00E829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GULF </w:t>
            </w:r>
          </w:p>
        </w:tc>
        <w:tc>
          <w:tcPr>
            <w:tcW w:w="141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$2,837,159</w:t>
            </w:r>
          </w:p>
        </w:tc>
        <w:tc>
          <w:tcPr>
            <w:tcW w:w="1835"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Over-recovery</w:t>
            </w:r>
          </w:p>
        </w:tc>
      </w:tr>
    </w:tbl>
    <w:p w:rsidR="00DC48B2" w:rsidRPr="00DC48B2" w:rsidRDefault="00DC48B2" w:rsidP="00DC48B2">
      <w:pPr>
        <w:spacing w:after="240"/>
        <w:jc w:val="both"/>
        <w:rPr>
          <w:rFonts w:eastAsia="Calibri"/>
          <w:b/>
          <w:bCs/>
        </w:rPr>
      </w:pPr>
    </w:p>
    <w:p w:rsidR="00DC48B2" w:rsidRPr="00DC48B2" w:rsidRDefault="00DC48B2" w:rsidP="00DC48B2">
      <w:pPr>
        <w:spacing w:after="200"/>
        <w:ind w:left="1440" w:hanging="1440"/>
        <w:jc w:val="both"/>
        <w:rPr>
          <w:rFonts w:eastAsia="Calibri"/>
          <w:b/>
        </w:rPr>
      </w:pPr>
      <w:r w:rsidRPr="00DC48B2">
        <w:rPr>
          <w:rFonts w:eastAsia="Calibri"/>
          <w:b/>
          <w:bCs/>
          <w:u w:val="single"/>
        </w:rPr>
        <w:t>ISSUE 3</w:t>
      </w:r>
      <w:r w:rsidRPr="00DC48B2">
        <w:rPr>
          <w:rFonts w:eastAsia="Calibri"/>
          <w:b/>
        </w:rPr>
        <w:t xml:space="preserve">: </w:t>
      </w:r>
      <w:r w:rsidRPr="00DC48B2">
        <w:rPr>
          <w:rFonts w:eastAsia="Calibri"/>
          <w:b/>
        </w:rPr>
        <w:tab/>
        <w:t>What are the projected environmental cost recovery amounts for the period January 2021 through December 2021?</w:t>
      </w:r>
    </w:p>
    <w:tbl>
      <w:tblPr>
        <w:tblW w:w="249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DC48B2" w:rsidRPr="00DC48B2" w:rsidTr="00E829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FPL </w:t>
            </w:r>
          </w:p>
        </w:tc>
        <w:tc>
          <w:tcPr>
            <w:tcW w:w="153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$176,174,665</w:t>
            </w:r>
          </w:p>
        </w:tc>
      </w:tr>
      <w:tr w:rsidR="00DC48B2" w:rsidRPr="00DC48B2" w:rsidTr="00E829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$44,725,047</w:t>
            </w:r>
          </w:p>
        </w:tc>
      </w:tr>
      <w:tr w:rsidR="00DC48B2" w:rsidRPr="00DC48B2" w:rsidTr="00E829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$48,192,906</w:t>
            </w:r>
          </w:p>
        </w:tc>
      </w:tr>
      <w:tr w:rsidR="00DC48B2" w:rsidRPr="00DC48B2" w:rsidTr="00E829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$197,635,007</w:t>
            </w:r>
          </w:p>
        </w:tc>
      </w:tr>
    </w:tbl>
    <w:p w:rsidR="00DC48B2" w:rsidRPr="00DC48B2" w:rsidRDefault="00DC48B2" w:rsidP="00DC48B2">
      <w:pPr>
        <w:spacing w:after="200" w:line="276" w:lineRule="auto"/>
        <w:jc w:val="both"/>
        <w:rPr>
          <w:rFonts w:eastAsia="Calibri"/>
        </w:rPr>
      </w:pPr>
      <w:r w:rsidRPr="00DC48B2">
        <w:rPr>
          <w:rFonts w:eastAsia="Calibri"/>
          <w:sz w:val="22"/>
          <w:szCs w:val="22"/>
        </w:rPr>
        <w:tab/>
      </w:r>
      <w:r w:rsidRPr="00DC48B2">
        <w:rPr>
          <w:rFonts w:eastAsia="Calibri"/>
          <w:sz w:val="22"/>
          <w:szCs w:val="22"/>
        </w:rPr>
        <w:tab/>
      </w:r>
    </w:p>
    <w:p w:rsidR="00DC48B2" w:rsidRPr="00DC48B2" w:rsidRDefault="00DC48B2" w:rsidP="00DC48B2">
      <w:pPr>
        <w:spacing w:after="200"/>
        <w:ind w:left="1440" w:hanging="1440"/>
        <w:jc w:val="both"/>
        <w:rPr>
          <w:rFonts w:eastAsia="Calibri"/>
          <w:b/>
        </w:rPr>
      </w:pPr>
      <w:r w:rsidRPr="00DC48B2">
        <w:rPr>
          <w:rFonts w:eastAsia="Calibri"/>
          <w:b/>
          <w:bCs/>
          <w:u w:val="single"/>
        </w:rPr>
        <w:t>ISSUE 4</w:t>
      </w:r>
      <w:r w:rsidRPr="00DC48B2">
        <w:rPr>
          <w:rFonts w:eastAsia="Calibri"/>
          <w:b/>
        </w:rPr>
        <w:t xml:space="preserve">: </w:t>
      </w:r>
      <w:r w:rsidRPr="00DC48B2">
        <w:rPr>
          <w:rFonts w:eastAsia="Calibri"/>
          <w:b/>
        </w:rPr>
        <w:tab/>
        <w:t>What are the environmental cost recovery amounts, including true-up amounts, for the period January 2021 through December 2021?</w:t>
      </w:r>
    </w:p>
    <w:tbl>
      <w:tblPr>
        <w:tblW w:w="249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36"/>
      </w:tblGrid>
      <w:tr w:rsidR="00DC48B2" w:rsidRPr="00DC48B2" w:rsidTr="00E829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FPL</w:t>
            </w:r>
          </w:p>
        </w:tc>
        <w:tc>
          <w:tcPr>
            <w:tcW w:w="153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$157,436,210</w:t>
            </w:r>
          </w:p>
        </w:tc>
      </w:tr>
      <w:tr w:rsidR="00DC48B2" w:rsidRPr="00DC48B2" w:rsidTr="00E82950">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$38,447,970</w:t>
            </w:r>
          </w:p>
        </w:tc>
      </w:tr>
      <w:tr w:rsidR="00DC48B2" w:rsidRPr="00DC48B2" w:rsidTr="00E829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$52,083,641</w:t>
            </w:r>
          </w:p>
        </w:tc>
      </w:tr>
      <w:tr w:rsidR="00DC48B2" w:rsidRPr="00DC48B2" w:rsidTr="00E82950">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DC48B2" w:rsidRPr="00DC48B2" w:rsidRDefault="00DC48B2" w:rsidP="00DC48B2">
            <w:pPr>
              <w:jc w:val="both"/>
              <w:rPr>
                <w:sz w:val="22"/>
                <w:szCs w:val="22"/>
              </w:rPr>
            </w:pPr>
            <w:r w:rsidRPr="00DC48B2">
              <w:rPr>
                <w:sz w:val="22"/>
                <w:szCs w:val="22"/>
              </w:rPr>
              <w:t xml:space="preserve">Gulf </w:t>
            </w:r>
          </w:p>
        </w:tc>
        <w:tc>
          <w:tcPr>
            <w:tcW w:w="1536" w:type="dxa"/>
            <w:tcBorders>
              <w:top w:val="single" w:sz="4" w:space="0" w:color="auto"/>
              <w:left w:val="single" w:sz="4" w:space="0" w:color="auto"/>
              <w:bottom w:val="single" w:sz="4" w:space="0" w:color="auto"/>
              <w:right w:val="single" w:sz="4" w:space="0" w:color="auto"/>
            </w:tcBorders>
            <w:noWrap/>
            <w:vAlign w:val="bottom"/>
          </w:tcPr>
          <w:p w:rsidR="00DC48B2" w:rsidRPr="00DC48B2" w:rsidRDefault="00DC48B2" w:rsidP="00DC48B2">
            <w:pPr>
              <w:jc w:val="both"/>
              <w:rPr>
                <w:sz w:val="22"/>
                <w:szCs w:val="22"/>
              </w:rPr>
            </w:pPr>
            <w:r w:rsidRPr="00DC48B2">
              <w:rPr>
                <w:sz w:val="22"/>
                <w:szCs w:val="22"/>
              </w:rPr>
              <w:t>$189,042,018</w:t>
            </w:r>
          </w:p>
        </w:tc>
      </w:tr>
    </w:tbl>
    <w:p w:rsidR="00DC48B2" w:rsidRPr="00DC48B2" w:rsidRDefault="00DC48B2" w:rsidP="00DC48B2">
      <w:pPr>
        <w:keepNext/>
        <w:spacing w:after="200"/>
        <w:ind w:left="1440" w:hanging="1440"/>
        <w:jc w:val="both"/>
        <w:rPr>
          <w:rFonts w:eastAsia="Calibri"/>
          <w:b/>
          <w:bCs/>
          <w:u w:val="single"/>
        </w:rPr>
      </w:pPr>
    </w:p>
    <w:p w:rsidR="00DC48B2" w:rsidRPr="00DC48B2" w:rsidRDefault="00DC48B2" w:rsidP="00DC48B2">
      <w:pPr>
        <w:keepNext/>
        <w:spacing w:after="200"/>
        <w:ind w:left="1440" w:hanging="1440"/>
        <w:jc w:val="both"/>
        <w:rPr>
          <w:rFonts w:eastAsia="Calibri"/>
          <w:b/>
        </w:rPr>
      </w:pPr>
      <w:r w:rsidRPr="00DC48B2">
        <w:rPr>
          <w:rFonts w:eastAsia="Calibri"/>
          <w:b/>
          <w:bCs/>
          <w:u w:val="single"/>
        </w:rPr>
        <w:t>ISSUE 5</w:t>
      </w:r>
      <w:r w:rsidRPr="00DC48B2">
        <w:rPr>
          <w:rFonts w:eastAsia="Calibri"/>
          <w:b/>
        </w:rPr>
        <w:t xml:space="preserve">: </w:t>
      </w:r>
      <w:r w:rsidRPr="00DC48B2">
        <w:rPr>
          <w:rFonts w:eastAsia="Calibri"/>
          <w:b/>
        </w:rPr>
        <w:tab/>
        <w:t>What depreciation rates should be used to develop the depreciation expense included in the total environmental cost recovery amounts for the period January 2021 through December 2021?</w:t>
      </w:r>
    </w:p>
    <w:p w:rsidR="00DC48B2" w:rsidRPr="00DC48B2" w:rsidRDefault="00DC48B2" w:rsidP="00DC48B2">
      <w:pPr>
        <w:keepNext/>
        <w:spacing w:after="200"/>
        <w:ind w:left="1440"/>
        <w:jc w:val="both"/>
        <w:rPr>
          <w:rFonts w:eastAsia="Calibri"/>
        </w:rPr>
      </w:pPr>
      <w:r w:rsidRPr="00DC48B2">
        <w:rPr>
          <w:rFonts w:eastAsia="Calibri"/>
        </w:rPr>
        <w:t>The depreciation rates used to calculate depreciation expense shall be the rates that are in effect during the period the allowed capital investment is in service, with the following exception: TECO -- Big Bend Fuel Oil Tanks 1 &amp; 2, which were retired in 2016, will be depreciated over a five-year period from the date of retirement.</w:t>
      </w:r>
    </w:p>
    <w:p w:rsidR="00DC48B2" w:rsidRPr="00DC48B2" w:rsidRDefault="00DC48B2" w:rsidP="00DC48B2">
      <w:pPr>
        <w:spacing w:line="276" w:lineRule="auto"/>
        <w:ind w:left="1440" w:hanging="1440"/>
        <w:jc w:val="both"/>
        <w:rPr>
          <w:rFonts w:eastAsia="Calibri"/>
          <w:b/>
          <w:bCs/>
          <w:u w:val="single"/>
        </w:rPr>
      </w:pPr>
    </w:p>
    <w:p w:rsidR="00DC48B2" w:rsidRPr="00DC48B2" w:rsidRDefault="00DC48B2" w:rsidP="00DC48B2">
      <w:pPr>
        <w:spacing w:after="200"/>
        <w:ind w:left="1440" w:hanging="1440"/>
        <w:jc w:val="both"/>
        <w:rPr>
          <w:rFonts w:eastAsia="Calibri"/>
          <w:b/>
          <w:bCs/>
        </w:rPr>
      </w:pPr>
      <w:r w:rsidRPr="00DC48B2">
        <w:rPr>
          <w:rFonts w:eastAsia="Calibri"/>
          <w:b/>
          <w:bCs/>
          <w:u w:val="single"/>
        </w:rPr>
        <w:t>ISSUE 6</w:t>
      </w:r>
      <w:r w:rsidRPr="00DC48B2">
        <w:rPr>
          <w:rFonts w:eastAsia="Calibri"/>
          <w:b/>
          <w:bCs/>
        </w:rPr>
        <w:t xml:space="preserve">: </w:t>
      </w:r>
      <w:r w:rsidRPr="00DC48B2">
        <w:rPr>
          <w:rFonts w:eastAsia="Calibri"/>
          <w:b/>
          <w:bCs/>
        </w:rPr>
        <w:tab/>
        <w:t>What are the appropriate jurisdictional separation factors for the projected period January 2021 through December 2021?</w:t>
      </w:r>
    </w:p>
    <w:p w:rsidR="00DC48B2" w:rsidRPr="00DC48B2" w:rsidRDefault="00DC48B2" w:rsidP="00DC48B2">
      <w:pPr>
        <w:spacing w:after="200" w:line="276" w:lineRule="auto"/>
        <w:ind w:left="1440"/>
        <w:jc w:val="both"/>
        <w:rPr>
          <w:rFonts w:eastAsia="Calibri"/>
        </w:rPr>
      </w:pPr>
      <w:r w:rsidRPr="00DC48B2">
        <w:rPr>
          <w:rFonts w:eastAsia="Calibri"/>
        </w:rPr>
        <w:t>The appropriate jurisdictional separation factors for the period January 2021 through December 2021 are as follows:</w:t>
      </w:r>
    </w:p>
    <w:p w:rsidR="00DC48B2" w:rsidRPr="00DC48B2" w:rsidRDefault="00DC48B2" w:rsidP="00DC48B2">
      <w:pPr>
        <w:spacing w:line="276" w:lineRule="auto"/>
        <w:jc w:val="both"/>
        <w:rPr>
          <w:rFonts w:eastAsia="Calibri"/>
          <w:iCs/>
        </w:rPr>
      </w:pPr>
      <w:r w:rsidRPr="00DC48B2">
        <w:rPr>
          <w:rFonts w:eastAsia="Calibri"/>
          <w:b/>
          <w:bCs/>
        </w:rPr>
        <w:t xml:space="preserve">FPL: </w:t>
      </w:r>
      <w:r w:rsidRPr="00DC48B2">
        <w:rPr>
          <w:rFonts w:eastAsia="Calibri"/>
          <w:b/>
          <w:bCs/>
        </w:rPr>
        <w:tab/>
      </w:r>
      <w:r w:rsidRPr="00DC48B2">
        <w:rPr>
          <w:rFonts w:eastAsia="Calibri"/>
          <w:b/>
          <w:bCs/>
        </w:rPr>
        <w:tab/>
      </w:r>
      <w:r w:rsidRPr="00DC48B2">
        <w:rPr>
          <w:rFonts w:eastAsia="Calibri"/>
          <w:iCs/>
        </w:rPr>
        <w:t>Retail Energy Jurisdictional Factor - Base/Solar 95.6788%</w:t>
      </w:r>
    </w:p>
    <w:p w:rsidR="00DC48B2" w:rsidRPr="00DC48B2" w:rsidRDefault="00DC48B2" w:rsidP="00DC48B2">
      <w:pPr>
        <w:spacing w:line="276" w:lineRule="auto"/>
        <w:ind w:left="1440"/>
        <w:jc w:val="both"/>
        <w:rPr>
          <w:rFonts w:eastAsia="Calibri"/>
          <w:iCs/>
        </w:rPr>
      </w:pPr>
      <w:r w:rsidRPr="00DC48B2">
        <w:rPr>
          <w:rFonts w:eastAsia="Calibri"/>
          <w:iCs/>
        </w:rPr>
        <w:t>Retail Energy Jurisdictional Factor - Intermediate 94.9979%</w:t>
      </w:r>
    </w:p>
    <w:p w:rsidR="00DC48B2" w:rsidRPr="00DC48B2" w:rsidRDefault="00DC48B2" w:rsidP="00DC48B2">
      <w:pPr>
        <w:spacing w:line="276" w:lineRule="auto"/>
        <w:ind w:left="1440"/>
        <w:jc w:val="both"/>
        <w:rPr>
          <w:rFonts w:eastAsia="Calibri"/>
          <w:iCs/>
        </w:rPr>
      </w:pPr>
      <w:r w:rsidRPr="00DC48B2">
        <w:rPr>
          <w:rFonts w:eastAsia="Calibri"/>
          <w:iCs/>
        </w:rPr>
        <w:t>Retail Energy Jurisdictional Factor - Peaking 95.2675%</w:t>
      </w:r>
    </w:p>
    <w:p w:rsidR="00DC48B2" w:rsidRPr="00DC48B2" w:rsidRDefault="00DC48B2" w:rsidP="00DC48B2">
      <w:pPr>
        <w:spacing w:line="276" w:lineRule="auto"/>
        <w:ind w:left="1440"/>
        <w:jc w:val="both"/>
        <w:rPr>
          <w:rFonts w:eastAsia="Calibri"/>
          <w:iCs/>
        </w:rPr>
      </w:pPr>
      <w:r w:rsidRPr="00DC48B2">
        <w:rPr>
          <w:rFonts w:eastAsia="Calibri"/>
          <w:iCs/>
        </w:rPr>
        <w:t>Retail Demand Jurisdictional Factor - Transmission 90.2300%</w:t>
      </w:r>
    </w:p>
    <w:p w:rsidR="00DC48B2" w:rsidRPr="00DC48B2" w:rsidRDefault="00DC48B2" w:rsidP="00DC48B2">
      <w:pPr>
        <w:spacing w:line="276" w:lineRule="auto"/>
        <w:ind w:left="1440"/>
        <w:jc w:val="both"/>
        <w:rPr>
          <w:rFonts w:eastAsia="Calibri"/>
          <w:iCs/>
        </w:rPr>
      </w:pPr>
      <w:r w:rsidRPr="00DC48B2">
        <w:rPr>
          <w:rFonts w:eastAsia="Calibri"/>
          <w:iCs/>
        </w:rPr>
        <w:t>Retail Demand Jurisdictional Factor - Base/Solar 95.6891%</w:t>
      </w:r>
    </w:p>
    <w:p w:rsidR="00DC48B2" w:rsidRPr="00DC48B2" w:rsidRDefault="00DC48B2" w:rsidP="00DC48B2">
      <w:pPr>
        <w:spacing w:line="276" w:lineRule="auto"/>
        <w:ind w:left="1440"/>
        <w:jc w:val="both"/>
        <w:rPr>
          <w:rFonts w:eastAsia="Calibri"/>
          <w:iCs/>
        </w:rPr>
      </w:pPr>
      <w:r w:rsidRPr="00DC48B2">
        <w:rPr>
          <w:rFonts w:eastAsia="Calibri"/>
          <w:iCs/>
        </w:rPr>
        <w:t>Retail Demand Jurisdictional Factor - Intermediate 95.0081%</w:t>
      </w:r>
    </w:p>
    <w:p w:rsidR="00DC48B2" w:rsidRPr="00DC48B2" w:rsidRDefault="00DC48B2" w:rsidP="00DC48B2">
      <w:pPr>
        <w:spacing w:line="276" w:lineRule="auto"/>
        <w:ind w:left="1440"/>
        <w:jc w:val="both"/>
        <w:rPr>
          <w:rFonts w:eastAsia="Calibri"/>
          <w:iCs/>
        </w:rPr>
      </w:pPr>
      <w:r w:rsidRPr="00DC48B2">
        <w:rPr>
          <w:rFonts w:eastAsia="Calibri"/>
          <w:iCs/>
        </w:rPr>
        <w:t>Retail Demand Jurisdictional Factor - Peaking 95.2778%</w:t>
      </w:r>
    </w:p>
    <w:p w:rsidR="00DC48B2" w:rsidRPr="00DC48B2" w:rsidRDefault="00DC48B2" w:rsidP="00DC48B2">
      <w:pPr>
        <w:spacing w:line="276" w:lineRule="auto"/>
        <w:ind w:left="1440"/>
        <w:jc w:val="both"/>
        <w:rPr>
          <w:rFonts w:eastAsia="Calibri"/>
          <w:iCs/>
        </w:rPr>
      </w:pPr>
      <w:r w:rsidRPr="00DC48B2">
        <w:rPr>
          <w:rFonts w:eastAsia="Calibri"/>
          <w:iCs/>
        </w:rPr>
        <w:t>Retail Demand Jurisdictional Factor - General Plant 96.9888%</w:t>
      </w:r>
    </w:p>
    <w:p w:rsidR="00DC48B2" w:rsidRPr="00DC48B2" w:rsidRDefault="00DC48B2" w:rsidP="00DC48B2">
      <w:pPr>
        <w:spacing w:after="200" w:line="276" w:lineRule="auto"/>
        <w:ind w:left="1440"/>
        <w:jc w:val="both"/>
        <w:rPr>
          <w:rFonts w:eastAsia="Calibri"/>
          <w:b/>
          <w:bCs/>
        </w:rPr>
      </w:pPr>
      <w:r w:rsidRPr="00DC48B2">
        <w:rPr>
          <w:rFonts w:eastAsia="Calibri"/>
          <w:iCs/>
        </w:rPr>
        <w:t>Retail Demand Jurisdictional Factor - Distribution 100.0000%</w:t>
      </w:r>
      <w:r w:rsidRPr="00DC48B2">
        <w:rPr>
          <w:rFonts w:eastAsia="Calibri"/>
          <w:b/>
          <w:bCs/>
          <w:iCs/>
        </w:rPr>
        <w:tab/>
      </w:r>
      <w:r w:rsidRPr="00DC48B2">
        <w:rPr>
          <w:rFonts w:eastAsia="Calibri"/>
          <w:b/>
          <w:bCs/>
        </w:rPr>
        <w:tab/>
      </w:r>
    </w:p>
    <w:p w:rsidR="00DC48B2" w:rsidRPr="00DC48B2" w:rsidRDefault="00DC48B2" w:rsidP="00DC48B2">
      <w:pPr>
        <w:ind w:left="1440" w:hanging="1440"/>
        <w:jc w:val="both"/>
        <w:rPr>
          <w:rFonts w:eastAsia="Calibri"/>
        </w:rPr>
      </w:pPr>
      <w:r w:rsidRPr="00DC48B2">
        <w:rPr>
          <w:rFonts w:eastAsia="Calibri"/>
          <w:b/>
          <w:bCs/>
        </w:rPr>
        <w:t>DEF:</w:t>
      </w:r>
      <w:r w:rsidRPr="00DC48B2">
        <w:rPr>
          <w:rFonts w:eastAsia="Calibri"/>
          <w:b/>
          <w:bCs/>
        </w:rPr>
        <w:tab/>
      </w:r>
      <w:r w:rsidRPr="00DC48B2">
        <w:rPr>
          <w:rFonts w:eastAsia="Calibri"/>
        </w:rPr>
        <w:t>The Energy separation factor is calculated for each month based on retail kWh sales as a percentage of projected total kWh sales. The remaining separation factors are below and are consistent with DEF’s 2017 Second Revised and Restated Stipulation and Settlement Agreement (“2017 Agreement”) approved in Order No. PSC-2017-0451-AS-EU.</w:t>
      </w:r>
    </w:p>
    <w:p w:rsidR="00DC48B2" w:rsidRPr="00DC48B2" w:rsidRDefault="00DC48B2" w:rsidP="00DC48B2">
      <w:pPr>
        <w:ind w:left="1440" w:hanging="1440"/>
        <w:jc w:val="both"/>
        <w:rPr>
          <w:rFonts w:eastAsia="Calibri"/>
        </w:rPr>
      </w:pPr>
    </w:p>
    <w:p w:rsidR="00DC48B2" w:rsidRPr="00DC48B2" w:rsidRDefault="00DC48B2" w:rsidP="00DC48B2">
      <w:pPr>
        <w:ind w:left="2880" w:hanging="1440"/>
        <w:jc w:val="both"/>
        <w:rPr>
          <w:rFonts w:eastAsia="Calibri"/>
        </w:rPr>
      </w:pPr>
      <w:r w:rsidRPr="00DC48B2">
        <w:rPr>
          <w:rFonts w:eastAsia="Calibri"/>
        </w:rPr>
        <w:t>Transmission Average 12 CP Demand – 70.203%</w:t>
      </w:r>
    </w:p>
    <w:p w:rsidR="00DC48B2" w:rsidRPr="00DC48B2" w:rsidRDefault="00DC48B2" w:rsidP="00DC48B2">
      <w:pPr>
        <w:ind w:left="2880" w:hanging="1440"/>
        <w:jc w:val="both"/>
        <w:rPr>
          <w:rFonts w:eastAsia="Calibri"/>
        </w:rPr>
      </w:pPr>
      <w:r w:rsidRPr="00DC48B2">
        <w:rPr>
          <w:rFonts w:eastAsia="Calibri"/>
        </w:rPr>
        <w:t>Distribution Primary Demand – 99.561%</w:t>
      </w:r>
    </w:p>
    <w:p w:rsidR="00DC48B2" w:rsidRPr="00DC48B2" w:rsidRDefault="00DC48B2" w:rsidP="00DC48B2">
      <w:pPr>
        <w:ind w:left="2880" w:hanging="1440"/>
        <w:jc w:val="both"/>
        <w:rPr>
          <w:rFonts w:eastAsia="Calibri"/>
        </w:rPr>
      </w:pPr>
    </w:p>
    <w:p w:rsidR="00DC48B2" w:rsidRPr="00DC48B2" w:rsidRDefault="00DC48B2" w:rsidP="00DC48B2">
      <w:pPr>
        <w:ind w:left="2880" w:hanging="1440"/>
        <w:jc w:val="both"/>
        <w:rPr>
          <w:rFonts w:eastAsia="Calibri"/>
        </w:rPr>
      </w:pPr>
      <w:r w:rsidRPr="00DC48B2">
        <w:rPr>
          <w:rFonts w:eastAsia="Calibri"/>
        </w:rPr>
        <w:t>Production Demand:</w:t>
      </w:r>
    </w:p>
    <w:p w:rsidR="00DC48B2" w:rsidRPr="00DC48B2" w:rsidRDefault="00DC48B2" w:rsidP="00DC48B2">
      <w:pPr>
        <w:ind w:left="2880" w:hanging="1440"/>
        <w:jc w:val="both"/>
        <w:rPr>
          <w:rFonts w:eastAsia="Calibri"/>
        </w:rPr>
      </w:pPr>
      <w:r w:rsidRPr="00DC48B2">
        <w:rPr>
          <w:rFonts w:eastAsia="Calibri"/>
        </w:rPr>
        <w:t>Production Base – 92.885%</w:t>
      </w:r>
    </w:p>
    <w:p w:rsidR="00DC48B2" w:rsidRPr="00DC48B2" w:rsidRDefault="00DC48B2" w:rsidP="00DC48B2">
      <w:pPr>
        <w:ind w:left="2880" w:hanging="1440"/>
        <w:jc w:val="both"/>
        <w:rPr>
          <w:rFonts w:eastAsia="Calibri"/>
        </w:rPr>
      </w:pPr>
      <w:r w:rsidRPr="00DC48B2">
        <w:rPr>
          <w:rFonts w:eastAsia="Calibri"/>
        </w:rPr>
        <w:t>Production Intermediate – 72.703%</w:t>
      </w:r>
    </w:p>
    <w:p w:rsidR="00DC48B2" w:rsidRPr="00DC48B2" w:rsidRDefault="00DC48B2" w:rsidP="00DC48B2">
      <w:pPr>
        <w:ind w:left="2880" w:hanging="1440"/>
        <w:jc w:val="both"/>
        <w:rPr>
          <w:rFonts w:eastAsia="Calibri"/>
        </w:rPr>
      </w:pPr>
      <w:r w:rsidRPr="00DC48B2">
        <w:rPr>
          <w:rFonts w:eastAsia="Calibri"/>
        </w:rPr>
        <w:t>Production Peaking – 95.924%</w:t>
      </w:r>
    </w:p>
    <w:p w:rsidR="00DC48B2" w:rsidRPr="00DC48B2" w:rsidRDefault="00DC48B2" w:rsidP="00DC48B2">
      <w:pPr>
        <w:ind w:left="2880" w:hanging="1440"/>
        <w:jc w:val="both"/>
        <w:rPr>
          <w:rFonts w:eastAsia="Calibri"/>
          <w:bCs/>
        </w:rPr>
      </w:pPr>
      <w:r w:rsidRPr="00DC48B2">
        <w:rPr>
          <w:rFonts w:eastAsia="Calibri"/>
        </w:rPr>
        <w:t>Production A&amp;G – 93.221%</w:t>
      </w:r>
    </w:p>
    <w:p w:rsidR="00DC48B2" w:rsidRPr="00DC48B2" w:rsidRDefault="00DC48B2" w:rsidP="00DC48B2">
      <w:pPr>
        <w:ind w:left="1440"/>
        <w:jc w:val="both"/>
        <w:rPr>
          <w:rFonts w:eastAsia="Calibri"/>
          <w:bCs/>
        </w:rPr>
      </w:pPr>
    </w:p>
    <w:p w:rsidR="00DC48B2" w:rsidRPr="00DC48B2" w:rsidRDefault="00DC48B2" w:rsidP="00DC48B2">
      <w:pPr>
        <w:jc w:val="both"/>
        <w:rPr>
          <w:rFonts w:eastAsia="Calibri"/>
          <w:b/>
          <w:bCs/>
        </w:rPr>
      </w:pPr>
      <w:r w:rsidRPr="00DC48B2">
        <w:rPr>
          <w:rFonts w:eastAsia="Calibri"/>
          <w:b/>
          <w:bCs/>
        </w:rPr>
        <w:t>TECO:</w:t>
      </w:r>
      <w:r w:rsidRPr="00DC48B2">
        <w:rPr>
          <w:rFonts w:eastAsia="Calibri"/>
          <w:b/>
          <w:bCs/>
        </w:rPr>
        <w:tab/>
      </w:r>
      <w:r w:rsidRPr="00DC48B2">
        <w:rPr>
          <w:rFonts w:eastAsia="Calibri"/>
        </w:rPr>
        <w:t>Energy: 100.00%</w:t>
      </w:r>
    </w:p>
    <w:p w:rsidR="00DC48B2" w:rsidRPr="00DC48B2" w:rsidRDefault="00DC48B2" w:rsidP="00DC48B2">
      <w:pPr>
        <w:ind w:left="1440"/>
        <w:jc w:val="both"/>
        <w:rPr>
          <w:rFonts w:eastAsia="Calibri"/>
        </w:rPr>
      </w:pPr>
      <w:r w:rsidRPr="00DC48B2">
        <w:rPr>
          <w:rFonts w:eastAsia="Calibri"/>
        </w:rPr>
        <w:lastRenderedPageBreak/>
        <w:t>Demand: 100.00%</w:t>
      </w:r>
    </w:p>
    <w:p w:rsidR="00DC48B2" w:rsidRPr="00DC48B2" w:rsidRDefault="00DC48B2" w:rsidP="00DC48B2">
      <w:pPr>
        <w:ind w:left="720"/>
        <w:jc w:val="both"/>
        <w:rPr>
          <w:rFonts w:eastAsia="Calibri"/>
          <w:b/>
          <w:bCs/>
        </w:rPr>
      </w:pPr>
    </w:p>
    <w:p w:rsidR="00DC48B2" w:rsidRPr="00DC48B2" w:rsidRDefault="00DC48B2" w:rsidP="00DC48B2">
      <w:pPr>
        <w:spacing w:line="276" w:lineRule="auto"/>
        <w:jc w:val="both"/>
        <w:rPr>
          <w:rFonts w:eastAsia="Calibri"/>
        </w:rPr>
      </w:pPr>
      <w:r w:rsidRPr="00DC48B2">
        <w:rPr>
          <w:rFonts w:eastAsia="Calibri"/>
          <w:b/>
          <w:bCs/>
        </w:rPr>
        <w:t>GULF:</w:t>
      </w:r>
      <w:r w:rsidRPr="00DC48B2">
        <w:rPr>
          <w:rFonts w:eastAsia="Calibri"/>
          <w:b/>
          <w:bCs/>
        </w:rPr>
        <w:tab/>
      </w:r>
      <w:r w:rsidRPr="00DC48B2">
        <w:rPr>
          <w:rFonts w:eastAsia="Calibri"/>
        </w:rPr>
        <w:t>Retail Energy Jurisdictional Factor - Base 100.0000%</w:t>
      </w:r>
    </w:p>
    <w:p w:rsidR="00DC48B2" w:rsidRPr="00DC48B2" w:rsidRDefault="00DC48B2" w:rsidP="00DC48B2">
      <w:pPr>
        <w:spacing w:line="276" w:lineRule="auto"/>
        <w:ind w:left="1440"/>
        <w:jc w:val="both"/>
        <w:rPr>
          <w:rFonts w:eastAsia="Calibri"/>
        </w:rPr>
      </w:pPr>
      <w:r w:rsidRPr="00DC48B2">
        <w:rPr>
          <w:rFonts w:eastAsia="Calibri"/>
        </w:rPr>
        <w:t xml:space="preserve">Retail Energy Jurisdictional Factor - Intermediate 97.5922% </w:t>
      </w:r>
    </w:p>
    <w:p w:rsidR="00DC48B2" w:rsidRPr="00DC48B2" w:rsidRDefault="00DC48B2" w:rsidP="00DC48B2">
      <w:pPr>
        <w:spacing w:line="276" w:lineRule="auto"/>
        <w:ind w:left="1440"/>
        <w:jc w:val="both"/>
        <w:rPr>
          <w:rFonts w:eastAsia="Calibri"/>
        </w:rPr>
      </w:pPr>
      <w:r w:rsidRPr="00DC48B2">
        <w:rPr>
          <w:rFonts w:eastAsia="Calibri"/>
        </w:rPr>
        <w:t>Retail Energy Jurisdictional Factor - Peaking 76.0860%</w:t>
      </w:r>
    </w:p>
    <w:p w:rsidR="00DC48B2" w:rsidRPr="00DC48B2" w:rsidRDefault="00DC48B2" w:rsidP="00DC48B2">
      <w:pPr>
        <w:spacing w:line="276" w:lineRule="auto"/>
        <w:ind w:left="1440"/>
        <w:jc w:val="both"/>
        <w:rPr>
          <w:rFonts w:eastAsia="Calibri"/>
        </w:rPr>
      </w:pPr>
      <w:r w:rsidRPr="00DC48B2">
        <w:rPr>
          <w:rFonts w:eastAsia="Calibri"/>
        </w:rPr>
        <w:t>Retail Demand Jurisdictional Factor - Transmission 97.2343%</w:t>
      </w:r>
    </w:p>
    <w:p w:rsidR="00DC48B2" w:rsidRPr="00DC48B2" w:rsidRDefault="00DC48B2" w:rsidP="00DC48B2">
      <w:pPr>
        <w:spacing w:line="276" w:lineRule="auto"/>
        <w:ind w:left="1440"/>
        <w:jc w:val="both"/>
        <w:rPr>
          <w:rFonts w:eastAsia="Calibri"/>
        </w:rPr>
      </w:pPr>
      <w:r w:rsidRPr="00DC48B2">
        <w:rPr>
          <w:rFonts w:eastAsia="Calibri"/>
        </w:rPr>
        <w:t>Retail Demand Jurisdictional Factor - Base 100.0000%</w:t>
      </w:r>
    </w:p>
    <w:p w:rsidR="00DC48B2" w:rsidRPr="00DC48B2" w:rsidRDefault="00DC48B2" w:rsidP="00DC48B2">
      <w:pPr>
        <w:spacing w:line="276" w:lineRule="auto"/>
        <w:ind w:left="1440"/>
        <w:jc w:val="both"/>
        <w:rPr>
          <w:rFonts w:eastAsia="Calibri"/>
        </w:rPr>
      </w:pPr>
      <w:r w:rsidRPr="00DC48B2">
        <w:rPr>
          <w:rFonts w:eastAsia="Calibri"/>
        </w:rPr>
        <w:t>Retail Demand Jurisdictional Factor - Intermediate 97.5922%</w:t>
      </w:r>
    </w:p>
    <w:p w:rsidR="00DC48B2" w:rsidRPr="00DC48B2" w:rsidRDefault="00DC48B2" w:rsidP="00DC48B2">
      <w:pPr>
        <w:spacing w:line="276" w:lineRule="auto"/>
        <w:ind w:left="1440"/>
        <w:jc w:val="both"/>
        <w:rPr>
          <w:rFonts w:eastAsia="Calibri"/>
        </w:rPr>
      </w:pPr>
      <w:r w:rsidRPr="00DC48B2">
        <w:rPr>
          <w:rFonts w:eastAsia="Calibri"/>
        </w:rPr>
        <w:t>Retail Demand Jurisdictional Factor - Peaking 76.0860%</w:t>
      </w:r>
    </w:p>
    <w:p w:rsidR="00DC48B2" w:rsidRPr="00DC48B2" w:rsidRDefault="00DC48B2" w:rsidP="00DC48B2">
      <w:pPr>
        <w:spacing w:line="276" w:lineRule="auto"/>
        <w:ind w:left="1440"/>
        <w:jc w:val="both"/>
        <w:rPr>
          <w:rFonts w:eastAsia="Calibri"/>
        </w:rPr>
      </w:pPr>
      <w:r w:rsidRPr="00DC48B2">
        <w:rPr>
          <w:rFonts w:eastAsia="Calibri"/>
        </w:rPr>
        <w:t>Retail Demand Jurisdictional Factor - General Plant 96.9888%</w:t>
      </w:r>
    </w:p>
    <w:p w:rsidR="00DC48B2" w:rsidRPr="00DC48B2" w:rsidRDefault="00DC48B2" w:rsidP="00DC48B2">
      <w:pPr>
        <w:ind w:left="2880" w:hanging="1440"/>
        <w:jc w:val="both"/>
        <w:rPr>
          <w:rFonts w:eastAsia="Calibri"/>
          <w:bCs/>
        </w:rPr>
      </w:pPr>
      <w:r w:rsidRPr="00DC48B2">
        <w:rPr>
          <w:rFonts w:eastAsia="Calibri"/>
        </w:rPr>
        <w:t>Retail Demand Jurisdictional Factor - Distribution 98.1419%</w:t>
      </w:r>
    </w:p>
    <w:p w:rsidR="00DC48B2" w:rsidRPr="00DC48B2" w:rsidRDefault="00DC48B2" w:rsidP="00DC48B2">
      <w:pPr>
        <w:spacing w:after="240"/>
        <w:ind w:left="1440" w:hanging="1440"/>
        <w:jc w:val="both"/>
        <w:rPr>
          <w:rFonts w:eastAsia="Calibri"/>
          <w:b/>
          <w:bCs/>
        </w:rPr>
      </w:pPr>
    </w:p>
    <w:p w:rsidR="00DC48B2" w:rsidRPr="00DC48B2" w:rsidRDefault="00DC48B2" w:rsidP="00DC48B2">
      <w:pPr>
        <w:spacing w:after="200"/>
        <w:ind w:left="1440" w:hanging="1440"/>
        <w:jc w:val="both"/>
        <w:rPr>
          <w:rFonts w:eastAsia="Calibri"/>
          <w:b/>
        </w:rPr>
      </w:pPr>
      <w:r w:rsidRPr="00DC48B2">
        <w:rPr>
          <w:rFonts w:eastAsia="Calibri"/>
          <w:b/>
        </w:rPr>
        <w:t xml:space="preserve">ISSUE 7: </w:t>
      </w:r>
      <w:r w:rsidRPr="00DC48B2">
        <w:rPr>
          <w:rFonts w:eastAsia="Calibri"/>
          <w:b/>
        </w:rPr>
        <w:tab/>
        <w:t>What are the appropriate environmental cost recovery factors for the period January 2021 through December 2021 for each rate group?</w:t>
      </w:r>
    </w:p>
    <w:p w:rsidR="00DC48B2" w:rsidRPr="00DC48B2" w:rsidRDefault="00DC48B2" w:rsidP="00DC48B2">
      <w:pPr>
        <w:ind w:left="1440"/>
        <w:jc w:val="both"/>
        <w:rPr>
          <w:rFonts w:eastAsia="Calibri"/>
          <w:bCs/>
        </w:rPr>
      </w:pPr>
      <w:r w:rsidRPr="00DC48B2">
        <w:rPr>
          <w:rFonts w:eastAsia="Calibri"/>
          <w:bCs/>
        </w:rPr>
        <w:t>The appropriate environmental cost recovery factors for the period January 2021 through December 2021 for each rate group are as follows:</w:t>
      </w:r>
    </w:p>
    <w:p w:rsidR="00DC48B2" w:rsidRPr="00DC48B2" w:rsidRDefault="00DC48B2" w:rsidP="00DC48B2">
      <w:pPr>
        <w:ind w:left="1440"/>
        <w:jc w:val="both"/>
        <w:rPr>
          <w:rFonts w:eastAsia="Calibri"/>
          <w:bCs/>
        </w:rPr>
      </w:pPr>
    </w:p>
    <w:p w:rsidR="00DC48B2" w:rsidRPr="00DC48B2" w:rsidRDefault="00DC48B2" w:rsidP="00DC48B2">
      <w:pPr>
        <w:spacing w:after="200" w:line="276" w:lineRule="auto"/>
        <w:jc w:val="both"/>
        <w:rPr>
          <w:rFonts w:eastAsia="Calibri"/>
        </w:rPr>
      </w:pPr>
      <w:r w:rsidRPr="00DC48B2">
        <w:rPr>
          <w:rFonts w:eastAsia="Calibri"/>
          <w:b/>
          <w:bCs/>
        </w:rPr>
        <w:t>FPL:</w:t>
      </w:r>
      <w:r w:rsidRPr="00DC48B2">
        <w:rPr>
          <w:rFonts w:eastAsia="Calibri"/>
          <w:b/>
          <w:bCs/>
        </w:rPr>
        <w:tab/>
      </w:r>
      <w:r w:rsidRPr="00DC48B2">
        <w:rPr>
          <w:rFonts w:eastAsia="Calibri"/>
          <w:b/>
          <w:bCs/>
        </w:rPr>
        <w:tab/>
      </w:r>
    </w:p>
    <w:tbl>
      <w:tblPr>
        <w:tblW w:w="6357" w:type="dxa"/>
        <w:tblInd w:w="1440" w:type="dxa"/>
        <w:tblLook w:val="04A0" w:firstRow="1" w:lastRow="0" w:firstColumn="1" w:lastColumn="0" w:noHBand="0" w:noVBand="1"/>
      </w:tblPr>
      <w:tblGrid>
        <w:gridCol w:w="3937"/>
        <w:gridCol w:w="2420"/>
      </w:tblGrid>
      <w:tr w:rsidR="00DC48B2" w:rsidRPr="00DC48B2" w:rsidTr="00E82950">
        <w:trPr>
          <w:trHeight w:val="915"/>
          <w:tblHeader/>
        </w:trPr>
        <w:tc>
          <w:tcPr>
            <w:tcW w:w="393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C48B2" w:rsidRPr="00DC48B2" w:rsidRDefault="00DC48B2" w:rsidP="00DC48B2">
            <w:pPr>
              <w:jc w:val="both"/>
              <w:rPr>
                <w:b/>
                <w:iCs/>
              </w:rPr>
            </w:pPr>
            <w:r w:rsidRPr="00DC48B2">
              <w:rPr>
                <w:b/>
                <w:iCs/>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C48B2" w:rsidRPr="00DC48B2" w:rsidRDefault="00DC48B2" w:rsidP="00DC48B2">
            <w:pPr>
              <w:jc w:val="both"/>
              <w:rPr>
                <w:b/>
                <w:iCs/>
              </w:rPr>
            </w:pPr>
            <w:r w:rsidRPr="00DC48B2">
              <w:rPr>
                <w:b/>
                <w:iCs/>
              </w:rPr>
              <w:t>Environmental Cost</w:t>
            </w:r>
          </w:p>
          <w:p w:rsidR="00DC48B2" w:rsidRPr="00DC48B2" w:rsidRDefault="00DC48B2" w:rsidP="00DC48B2">
            <w:pPr>
              <w:jc w:val="both"/>
              <w:rPr>
                <w:b/>
                <w:iCs/>
              </w:rPr>
            </w:pPr>
            <w:r w:rsidRPr="00DC48B2">
              <w:rPr>
                <w:b/>
                <w:iCs/>
              </w:rPr>
              <w:t>Recovery Factor</w:t>
            </w:r>
          </w:p>
          <w:p w:rsidR="00DC48B2" w:rsidRPr="00DC48B2" w:rsidRDefault="00DC48B2" w:rsidP="00DC48B2">
            <w:pPr>
              <w:jc w:val="both"/>
              <w:rPr>
                <w:b/>
                <w:iCs/>
              </w:rPr>
            </w:pPr>
            <w:r w:rsidRPr="00DC48B2">
              <w:rPr>
                <w:b/>
                <w:iCs/>
              </w:rPr>
              <w:t>(cents/kWh)</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RS1/RTR1</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0.149</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GS1/GST1</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0.150</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0.133</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OS2</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0.080</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GSLD1/GSLDT1/CS1/CST1/HLFT2/ GSLD1-EV</w:t>
            </w:r>
          </w:p>
        </w:tc>
        <w:tc>
          <w:tcPr>
            <w:tcW w:w="2420" w:type="dxa"/>
            <w:tcBorders>
              <w:top w:val="nil"/>
              <w:left w:val="single" w:sz="8" w:space="0" w:color="auto"/>
              <w:bottom w:val="nil"/>
              <w:right w:val="single" w:sz="8" w:space="0" w:color="auto"/>
            </w:tcBorders>
            <w:shd w:val="clear" w:color="auto" w:fill="auto"/>
            <w:noWrap/>
          </w:tcPr>
          <w:p w:rsidR="00DC48B2" w:rsidRPr="00DC48B2" w:rsidRDefault="00DC48B2" w:rsidP="00DC48B2">
            <w:pPr>
              <w:rPr>
                <w:iCs/>
                <w:color w:val="000000"/>
              </w:rPr>
            </w:pPr>
            <w:r w:rsidRPr="00DC48B2">
              <w:rPr>
                <w:iCs/>
                <w:color w:val="000000"/>
              </w:rPr>
              <w:t>0.135</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0.114</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GSLD3/GSLDT3/CS3/CST3</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0.110</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SST1T</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0.110</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SST1D1/SST1D2/SST1D3</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0.175</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CILC D/CILC G</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0.113</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CILC T</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0.102</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MET</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0.122</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OL1/SL1/SL1M/PL1</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0.027</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rPr>
            </w:pPr>
            <w:r w:rsidRPr="00DC48B2">
              <w:rPr>
                <w:iCs/>
              </w:rPr>
              <w:t>SL2/SL2M/GSCU1</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0.104</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iCs/>
                <w:color w:val="000000"/>
              </w:rPr>
            </w:pPr>
            <w:r w:rsidRPr="00DC48B2">
              <w:rPr>
                <w:iCs/>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iCs/>
                <w:color w:val="000000"/>
              </w:rPr>
            </w:pPr>
          </w:p>
        </w:tc>
      </w:tr>
      <w:tr w:rsidR="00DC48B2" w:rsidRPr="00DC48B2" w:rsidTr="00E82950">
        <w:trPr>
          <w:trHeight w:val="300"/>
        </w:trPr>
        <w:tc>
          <w:tcPr>
            <w:tcW w:w="3937" w:type="dxa"/>
            <w:tcBorders>
              <w:top w:val="nil"/>
              <w:left w:val="single" w:sz="8" w:space="0" w:color="auto"/>
              <w:bottom w:val="single" w:sz="8" w:space="0" w:color="auto"/>
              <w:right w:val="nil"/>
            </w:tcBorders>
            <w:shd w:val="clear" w:color="auto" w:fill="auto"/>
            <w:noWrap/>
            <w:vAlign w:val="bottom"/>
            <w:hideMark/>
          </w:tcPr>
          <w:p w:rsidR="00DC48B2" w:rsidRPr="00DC48B2" w:rsidRDefault="00DC48B2" w:rsidP="00DC48B2">
            <w:pPr>
              <w:jc w:val="both"/>
              <w:rPr>
                <w:iCs/>
              </w:rPr>
            </w:pPr>
            <w:r w:rsidRPr="00DC48B2">
              <w:rPr>
                <w:iCs/>
              </w:rPr>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DC48B2" w:rsidRPr="00DC48B2" w:rsidRDefault="00DC48B2" w:rsidP="00DC48B2">
            <w:pPr>
              <w:jc w:val="both"/>
              <w:rPr>
                <w:iCs/>
                <w:color w:val="000000"/>
              </w:rPr>
            </w:pPr>
            <w:r w:rsidRPr="00DC48B2">
              <w:rPr>
                <w:iCs/>
                <w:color w:val="000000"/>
              </w:rPr>
              <w:t>0.141</w:t>
            </w:r>
          </w:p>
        </w:tc>
      </w:tr>
    </w:tbl>
    <w:p w:rsidR="00DC48B2" w:rsidRPr="00DC48B2" w:rsidRDefault="00DC48B2" w:rsidP="00DC48B2">
      <w:pPr>
        <w:jc w:val="both"/>
        <w:rPr>
          <w:rFonts w:eastAsia="Calibri"/>
          <w:b/>
          <w:bCs/>
        </w:rPr>
      </w:pPr>
      <w:r w:rsidRPr="00DC48B2">
        <w:rPr>
          <w:rFonts w:eastAsia="Calibri"/>
          <w:b/>
          <w:bCs/>
        </w:rPr>
        <w:br w:type="page"/>
      </w:r>
    </w:p>
    <w:p w:rsidR="00DC48B2" w:rsidRPr="00DC48B2" w:rsidRDefault="00DC48B2" w:rsidP="00DC48B2">
      <w:pPr>
        <w:spacing w:after="200" w:line="276" w:lineRule="auto"/>
        <w:jc w:val="both"/>
        <w:rPr>
          <w:rFonts w:eastAsia="Calibri"/>
        </w:rPr>
      </w:pPr>
      <w:r w:rsidRPr="00DC48B2">
        <w:rPr>
          <w:rFonts w:eastAsia="Calibri"/>
          <w:b/>
          <w:bCs/>
        </w:rPr>
        <w:lastRenderedPageBreak/>
        <w:t>DEF:</w:t>
      </w:r>
    </w:p>
    <w:tbl>
      <w:tblPr>
        <w:tblW w:w="532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tblGrid>
      <w:tr w:rsidR="00DC48B2" w:rsidRPr="00DC48B2" w:rsidTr="00E82950">
        <w:trPr>
          <w:trHeight w:val="534"/>
        </w:trPr>
        <w:tc>
          <w:tcPr>
            <w:tcW w:w="3348" w:type="dxa"/>
            <w:tcBorders>
              <w:top w:val="single" w:sz="4" w:space="0" w:color="auto"/>
              <w:left w:val="single" w:sz="4" w:space="0" w:color="auto"/>
              <w:bottom w:val="single" w:sz="4" w:space="0" w:color="auto"/>
              <w:right w:val="single" w:sz="4" w:space="0" w:color="auto"/>
            </w:tcBorders>
            <w:vAlign w:val="center"/>
            <w:hideMark/>
          </w:tcPr>
          <w:p w:rsidR="00DC48B2" w:rsidRPr="00DC48B2" w:rsidRDefault="00DC48B2" w:rsidP="00DC48B2">
            <w:pPr>
              <w:keepNext/>
              <w:suppressLineNumbers/>
              <w:jc w:val="both"/>
              <w:rPr>
                <w:rFonts w:eastAsia="Calibri"/>
                <w:b/>
              </w:rPr>
            </w:pPr>
            <w:r w:rsidRPr="00DC48B2">
              <w:rPr>
                <w:rFonts w:eastAsia="Calibri"/>
                <w:b/>
              </w:rPr>
              <w:t>RATE CLASS</w:t>
            </w:r>
          </w:p>
        </w:tc>
        <w:tc>
          <w:tcPr>
            <w:tcW w:w="1980" w:type="dxa"/>
            <w:tcBorders>
              <w:top w:val="single" w:sz="4" w:space="0" w:color="auto"/>
              <w:left w:val="single" w:sz="4" w:space="0" w:color="auto"/>
              <w:bottom w:val="single" w:sz="4" w:space="0" w:color="auto"/>
              <w:right w:val="single" w:sz="4" w:space="0" w:color="auto"/>
            </w:tcBorders>
            <w:vAlign w:val="center"/>
            <w:hideMark/>
          </w:tcPr>
          <w:p w:rsidR="00DC48B2" w:rsidRPr="00DC48B2" w:rsidRDefault="00DC48B2" w:rsidP="00DC48B2">
            <w:pPr>
              <w:keepNext/>
              <w:suppressLineNumbers/>
              <w:jc w:val="both"/>
              <w:rPr>
                <w:rFonts w:eastAsia="Calibri"/>
                <w:b/>
              </w:rPr>
            </w:pPr>
            <w:r w:rsidRPr="00DC48B2">
              <w:rPr>
                <w:rFonts w:eastAsia="Calibri"/>
                <w:b/>
              </w:rPr>
              <w:t>ECRC FACTORS</w:t>
            </w:r>
          </w:p>
        </w:tc>
      </w:tr>
      <w:tr w:rsidR="00DC48B2" w:rsidRPr="00DC48B2" w:rsidTr="00E82950">
        <w:trPr>
          <w:trHeight w:val="282"/>
        </w:trPr>
        <w:tc>
          <w:tcPr>
            <w:tcW w:w="3348"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keepNext/>
              <w:suppressLineNumbers/>
              <w:jc w:val="both"/>
              <w:rPr>
                <w:rFonts w:eastAsia="Calibri"/>
              </w:rPr>
            </w:pPr>
            <w:r w:rsidRPr="00DC48B2">
              <w:rPr>
                <w:rFonts w:eastAsia="Calibri"/>
              </w:rPr>
              <w:t>Residential</w:t>
            </w:r>
          </w:p>
        </w:tc>
        <w:tc>
          <w:tcPr>
            <w:tcW w:w="1980"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keepNext/>
              <w:suppressLineNumbers/>
              <w:jc w:val="both"/>
              <w:rPr>
                <w:rFonts w:eastAsia="Calibri"/>
              </w:rPr>
            </w:pPr>
            <w:r w:rsidRPr="00DC48B2">
              <w:rPr>
                <w:rFonts w:eastAsia="Calibri"/>
              </w:rPr>
              <w:t>0.099 cents/kWh</w:t>
            </w:r>
          </w:p>
        </w:tc>
      </w:tr>
      <w:tr w:rsidR="00DC48B2" w:rsidRPr="00DC48B2" w:rsidTr="00E82950">
        <w:trPr>
          <w:trHeight w:val="1138"/>
        </w:trPr>
        <w:tc>
          <w:tcPr>
            <w:tcW w:w="3348"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keepNext/>
              <w:suppressLineNumbers/>
              <w:tabs>
                <w:tab w:val="left" w:pos="576"/>
                <w:tab w:val="left" w:pos="1440"/>
                <w:tab w:val="left" w:pos="1728"/>
                <w:tab w:val="left" w:pos="5904"/>
              </w:tabs>
              <w:jc w:val="both"/>
              <w:rPr>
                <w:rFonts w:eastAsia="Calibri"/>
              </w:rPr>
            </w:pPr>
            <w:r w:rsidRPr="00DC48B2">
              <w:rPr>
                <w:rFonts w:eastAsia="Calibri"/>
              </w:rPr>
              <w:t>General Service Non-Demand</w:t>
            </w:r>
          </w:p>
          <w:p w:rsidR="00DC48B2" w:rsidRPr="00DC48B2" w:rsidRDefault="00DC48B2" w:rsidP="00DC48B2">
            <w:pPr>
              <w:keepNext/>
              <w:suppressLineNumbers/>
              <w:tabs>
                <w:tab w:val="left" w:pos="576"/>
                <w:tab w:val="left" w:pos="1440"/>
                <w:tab w:val="left" w:pos="1728"/>
                <w:tab w:val="left" w:pos="5904"/>
              </w:tabs>
              <w:jc w:val="both"/>
              <w:rPr>
                <w:rFonts w:eastAsia="Calibri"/>
              </w:rPr>
            </w:pPr>
            <w:r w:rsidRPr="00DC48B2">
              <w:rPr>
                <w:rFonts w:eastAsia="Calibri"/>
              </w:rPr>
              <w:t>@ Secondary Voltage</w:t>
            </w:r>
          </w:p>
          <w:p w:rsidR="00DC48B2" w:rsidRPr="00DC48B2" w:rsidRDefault="00DC48B2" w:rsidP="00DC48B2">
            <w:pPr>
              <w:keepNext/>
              <w:suppressLineNumbers/>
              <w:tabs>
                <w:tab w:val="left" w:pos="576"/>
                <w:tab w:val="left" w:pos="1440"/>
                <w:tab w:val="left" w:pos="1728"/>
                <w:tab w:val="left" w:pos="5904"/>
              </w:tabs>
              <w:jc w:val="both"/>
              <w:rPr>
                <w:rFonts w:eastAsia="Calibri"/>
              </w:rPr>
            </w:pPr>
            <w:r w:rsidRPr="00DC48B2">
              <w:rPr>
                <w:rFonts w:eastAsia="Calibri"/>
              </w:rPr>
              <w:t>@ Primary Voltage</w:t>
            </w:r>
          </w:p>
          <w:p w:rsidR="00DC48B2" w:rsidRPr="00DC48B2" w:rsidRDefault="00DC48B2" w:rsidP="00DC48B2">
            <w:pPr>
              <w:keepNext/>
              <w:suppressLineNumbers/>
              <w:tabs>
                <w:tab w:val="left" w:pos="576"/>
                <w:tab w:val="left" w:pos="1440"/>
                <w:tab w:val="left" w:pos="1728"/>
                <w:tab w:val="left" w:pos="5904"/>
              </w:tabs>
              <w:jc w:val="both"/>
              <w:rPr>
                <w:rFonts w:eastAsia="Calibri"/>
              </w:rPr>
            </w:pPr>
            <w:r w:rsidRPr="00DC48B2">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C48B2" w:rsidRPr="00DC48B2" w:rsidRDefault="00DC48B2" w:rsidP="00DC48B2">
            <w:pPr>
              <w:keepNext/>
              <w:suppressLineNumbers/>
              <w:jc w:val="both"/>
              <w:rPr>
                <w:rFonts w:eastAsia="Calibri"/>
              </w:rPr>
            </w:pPr>
          </w:p>
          <w:p w:rsidR="00DC48B2" w:rsidRPr="00DC48B2" w:rsidRDefault="00DC48B2" w:rsidP="00DC48B2">
            <w:pPr>
              <w:keepNext/>
              <w:suppressLineNumbers/>
              <w:jc w:val="both"/>
              <w:rPr>
                <w:rFonts w:eastAsia="Calibri"/>
              </w:rPr>
            </w:pPr>
            <w:r w:rsidRPr="00DC48B2">
              <w:rPr>
                <w:rFonts w:eastAsia="Calibri"/>
              </w:rPr>
              <w:t>0.098 cents/kWh</w:t>
            </w:r>
          </w:p>
          <w:p w:rsidR="00DC48B2" w:rsidRPr="00DC48B2" w:rsidRDefault="00DC48B2" w:rsidP="00DC48B2">
            <w:pPr>
              <w:keepNext/>
              <w:suppressLineNumbers/>
              <w:jc w:val="both"/>
              <w:rPr>
                <w:rFonts w:eastAsia="Calibri"/>
              </w:rPr>
            </w:pPr>
            <w:r w:rsidRPr="00DC48B2">
              <w:rPr>
                <w:rFonts w:eastAsia="Calibri"/>
              </w:rPr>
              <w:t>0.097 cents/kWh</w:t>
            </w:r>
          </w:p>
          <w:p w:rsidR="00DC48B2" w:rsidRPr="00DC48B2" w:rsidRDefault="00DC48B2" w:rsidP="00DC48B2">
            <w:pPr>
              <w:keepNext/>
              <w:suppressLineNumbers/>
              <w:jc w:val="both"/>
              <w:rPr>
                <w:rFonts w:eastAsia="Calibri"/>
              </w:rPr>
            </w:pPr>
            <w:r w:rsidRPr="00DC48B2">
              <w:rPr>
                <w:rFonts w:eastAsia="Calibri"/>
              </w:rPr>
              <w:t>0.096 cents/kWh</w:t>
            </w:r>
          </w:p>
        </w:tc>
      </w:tr>
      <w:tr w:rsidR="00DC48B2" w:rsidRPr="00DC48B2" w:rsidTr="00E82950">
        <w:trPr>
          <w:trHeight w:val="282"/>
        </w:trPr>
        <w:tc>
          <w:tcPr>
            <w:tcW w:w="3348"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keepNext/>
              <w:suppressLineNumbers/>
              <w:jc w:val="both"/>
              <w:rPr>
                <w:rFonts w:eastAsia="Calibri"/>
              </w:rPr>
            </w:pPr>
            <w:r w:rsidRPr="00DC48B2">
              <w:rPr>
                <w:rFonts w:eastAsia="Calibri"/>
              </w:rPr>
              <w:t>General Service 100% Load Factor</w:t>
            </w:r>
          </w:p>
        </w:tc>
        <w:tc>
          <w:tcPr>
            <w:tcW w:w="1980"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keepNext/>
              <w:suppressLineNumbers/>
              <w:jc w:val="both"/>
              <w:rPr>
                <w:rFonts w:eastAsia="Calibri"/>
              </w:rPr>
            </w:pPr>
            <w:r w:rsidRPr="00DC48B2">
              <w:rPr>
                <w:rFonts w:eastAsia="Calibri"/>
              </w:rPr>
              <w:t>0.095 cents/kWh</w:t>
            </w:r>
          </w:p>
        </w:tc>
      </w:tr>
      <w:tr w:rsidR="00DC48B2" w:rsidRPr="00DC48B2" w:rsidTr="00E82950">
        <w:trPr>
          <w:trHeight w:val="1171"/>
        </w:trPr>
        <w:tc>
          <w:tcPr>
            <w:tcW w:w="3348"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keepNext/>
              <w:suppressLineNumbers/>
              <w:tabs>
                <w:tab w:val="left" w:pos="576"/>
                <w:tab w:val="left" w:pos="1440"/>
                <w:tab w:val="left" w:pos="1728"/>
                <w:tab w:val="left" w:pos="5904"/>
              </w:tabs>
              <w:jc w:val="both"/>
              <w:rPr>
                <w:rFonts w:eastAsia="Calibri"/>
              </w:rPr>
            </w:pPr>
            <w:r w:rsidRPr="00DC48B2">
              <w:rPr>
                <w:rFonts w:eastAsia="Calibri"/>
              </w:rPr>
              <w:t>General Service Demand</w:t>
            </w:r>
          </w:p>
          <w:p w:rsidR="00DC48B2" w:rsidRPr="00DC48B2" w:rsidRDefault="00DC48B2" w:rsidP="00DC48B2">
            <w:pPr>
              <w:keepNext/>
              <w:suppressLineNumbers/>
              <w:jc w:val="both"/>
              <w:rPr>
                <w:rFonts w:eastAsia="Calibri"/>
              </w:rPr>
            </w:pPr>
            <w:r w:rsidRPr="00DC48B2">
              <w:rPr>
                <w:rFonts w:eastAsia="Calibri"/>
              </w:rPr>
              <w:t>@ Secondary Voltage</w:t>
            </w:r>
          </w:p>
          <w:p w:rsidR="00DC48B2" w:rsidRPr="00DC48B2" w:rsidRDefault="00DC48B2" w:rsidP="00DC48B2">
            <w:pPr>
              <w:keepNext/>
              <w:suppressLineNumbers/>
              <w:jc w:val="both"/>
              <w:rPr>
                <w:rFonts w:eastAsia="Calibri"/>
              </w:rPr>
            </w:pPr>
            <w:r w:rsidRPr="00DC48B2">
              <w:rPr>
                <w:rFonts w:eastAsia="Calibri"/>
              </w:rPr>
              <w:t>@ Primary Voltage</w:t>
            </w:r>
          </w:p>
          <w:p w:rsidR="00DC48B2" w:rsidRPr="00DC48B2" w:rsidRDefault="00DC48B2" w:rsidP="00DC48B2">
            <w:pPr>
              <w:keepNext/>
              <w:suppressLineNumbers/>
              <w:jc w:val="both"/>
              <w:rPr>
                <w:rFonts w:eastAsia="Calibri"/>
              </w:rPr>
            </w:pPr>
            <w:r w:rsidRPr="00DC48B2">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C48B2" w:rsidRPr="00DC48B2" w:rsidRDefault="00DC48B2" w:rsidP="00DC48B2">
            <w:pPr>
              <w:keepNext/>
              <w:suppressLineNumbers/>
              <w:suppressAutoHyphens/>
              <w:jc w:val="both"/>
              <w:outlineLvl w:val="2"/>
              <w:rPr>
                <w:rFonts w:eastAsia="Calibri"/>
              </w:rPr>
            </w:pPr>
          </w:p>
          <w:p w:rsidR="00DC48B2" w:rsidRPr="00DC48B2" w:rsidRDefault="00DC48B2" w:rsidP="00DC48B2">
            <w:pPr>
              <w:keepNext/>
              <w:suppressLineNumbers/>
              <w:jc w:val="both"/>
              <w:rPr>
                <w:rFonts w:eastAsia="Calibri"/>
              </w:rPr>
            </w:pPr>
            <w:r w:rsidRPr="00DC48B2">
              <w:rPr>
                <w:rFonts w:eastAsia="Calibri"/>
              </w:rPr>
              <w:t>0.096 cents/kWh</w:t>
            </w:r>
          </w:p>
          <w:p w:rsidR="00DC48B2" w:rsidRPr="00DC48B2" w:rsidRDefault="00DC48B2" w:rsidP="00DC48B2">
            <w:pPr>
              <w:keepNext/>
              <w:suppressLineNumbers/>
              <w:jc w:val="both"/>
              <w:rPr>
                <w:rFonts w:eastAsia="Calibri"/>
              </w:rPr>
            </w:pPr>
            <w:r w:rsidRPr="00DC48B2">
              <w:rPr>
                <w:rFonts w:eastAsia="Calibri"/>
              </w:rPr>
              <w:t>0.095 cents/kWh</w:t>
            </w:r>
          </w:p>
          <w:p w:rsidR="00DC48B2" w:rsidRPr="00DC48B2" w:rsidRDefault="00DC48B2" w:rsidP="00DC48B2">
            <w:pPr>
              <w:keepNext/>
              <w:suppressLineNumbers/>
              <w:jc w:val="both"/>
              <w:rPr>
                <w:rFonts w:eastAsia="Calibri"/>
              </w:rPr>
            </w:pPr>
            <w:r w:rsidRPr="00DC48B2">
              <w:rPr>
                <w:rFonts w:eastAsia="Calibri"/>
              </w:rPr>
              <w:t>0.094 cents/kWh</w:t>
            </w:r>
          </w:p>
        </w:tc>
      </w:tr>
      <w:tr w:rsidR="00DC48B2" w:rsidRPr="00DC48B2" w:rsidTr="00E82950">
        <w:trPr>
          <w:trHeight w:val="1138"/>
        </w:trPr>
        <w:tc>
          <w:tcPr>
            <w:tcW w:w="3348"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keepNext/>
              <w:suppressLineNumbers/>
              <w:tabs>
                <w:tab w:val="left" w:pos="576"/>
                <w:tab w:val="left" w:pos="1440"/>
                <w:tab w:val="left" w:pos="1728"/>
                <w:tab w:val="left" w:pos="5904"/>
              </w:tabs>
              <w:ind w:firstLine="90"/>
              <w:jc w:val="both"/>
              <w:rPr>
                <w:rFonts w:eastAsia="Calibri"/>
              </w:rPr>
            </w:pPr>
            <w:r w:rsidRPr="00DC48B2">
              <w:rPr>
                <w:rFonts w:eastAsia="Calibri"/>
              </w:rPr>
              <w:t>Curtailable</w:t>
            </w:r>
          </w:p>
          <w:p w:rsidR="00DC48B2" w:rsidRPr="00DC48B2" w:rsidRDefault="00DC48B2" w:rsidP="00DC48B2">
            <w:pPr>
              <w:keepNext/>
              <w:suppressLineNumbers/>
              <w:tabs>
                <w:tab w:val="left" w:pos="576"/>
                <w:tab w:val="left" w:pos="1440"/>
                <w:tab w:val="left" w:pos="1728"/>
                <w:tab w:val="left" w:pos="5904"/>
              </w:tabs>
              <w:ind w:firstLine="90"/>
              <w:jc w:val="both"/>
              <w:rPr>
                <w:rFonts w:eastAsia="Calibri"/>
              </w:rPr>
            </w:pPr>
            <w:r w:rsidRPr="00DC48B2">
              <w:rPr>
                <w:rFonts w:eastAsia="Calibri"/>
              </w:rPr>
              <w:t>@ Secondary Voltage</w:t>
            </w:r>
          </w:p>
          <w:p w:rsidR="00DC48B2" w:rsidRPr="00DC48B2" w:rsidRDefault="00DC48B2" w:rsidP="00DC48B2">
            <w:pPr>
              <w:keepNext/>
              <w:suppressLineNumbers/>
              <w:tabs>
                <w:tab w:val="left" w:pos="576"/>
                <w:tab w:val="left" w:pos="1440"/>
                <w:tab w:val="left" w:pos="1728"/>
                <w:tab w:val="left" w:pos="5904"/>
              </w:tabs>
              <w:ind w:firstLine="90"/>
              <w:jc w:val="both"/>
              <w:rPr>
                <w:rFonts w:eastAsia="Calibri"/>
              </w:rPr>
            </w:pPr>
            <w:r w:rsidRPr="00DC48B2">
              <w:rPr>
                <w:rFonts w:eastAsia="Calibri"/>
              </w:rPr>
              <w:t>@ Primary Voltage</w:t>
            </w:r>
          </w:p>
          <w:p w:rsidR="00DC48B2" w:rsidRPr="00DC48B2" w:rsidRDefault="00DC48B2" w:rsidP="00DC48B2">
            <w:pPr>
              <w:keepNext/>
              <w:suppressLineNumbers/>
              <w:tabs>
                <w:tab w:val="left" w:pos="576"/>
                <w:tab w:val="left" w:pos="1440"/>
                <w:tab w:val="left" w:pos="1728"/>
                <w:tab w:val="left" w:pos="5904"/>
              </w:tabs>
              <w:ind w:firstLine="90"/>
              <w:jc w:val="both"/>
              <w:rPr>
                <w:rFonts w:eastAsia="Calibri"/>
              </w:rPr>
            </w:pPr>
            <w:r w:rsidRPr="00DC48B2">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C48B2" w:rsidRPr="00DC48B2" w:rsidRDefault="00DC48B2" w:rsidP="00DC48B2">
            <w:pPr>
              <w:keepNext/>
              <w:suppressLineNumbers/>
              <w:jc w:val="both"/>
              <w:rPr>
                <w:rFonts w:eastAsia="Calibri"/>
              </w:rPr>
            </w:pPr>
          </w:p>
          <w:p w:rsidR="00DC48B2" w:rsidRPr="00DC48B2" w:rsidRDefault="00DC48B2" w:rsidP="00DC48B2">
            <w:pPr>
              <w:keepNext/>
              <w:suppressLineNumbers/>
              <w:jc w:val="both"/>
              <w:rPr>
                <w:rFonts w:eastAsia="Calibri"/>
              </w:rPr>
            </w:pPr>
            <w:r w:rsidRPr="00DC48B2">
              <w:rPr>
                <w:rFonts w:eastAsia="Calibri"/>
              </w:rPr>
              <w:t>0.091 cents/kWh</w:t>
            </w:r>
          </w:p>
          <w:p w:rsidR="00DC48B2" w:rsidRPr="00DC48B2" w:rsidRDefault="00DC48B2" w:rsidP="00DC48B2">
            <w:pPr>
              <w:keepNext/>
              <w:suppressLineNumbers/>
              <w:jc w:val="both"/>
              <w:rPr>
                <w:rFonts w:eastAsia="Calibri"/>
              </w:rPr>
            </w:pPr>
            <w:r w:rsidRPr="00DC48B2">
              <w:rPr>
                <w:rFonts w:eastAsia="Calibri"/>
              </w:rPr>
              <w:t>0.090 cents/kWh</w:t>
            </w:r>
          </w:p>
          <w:p w:rsidR="00DC48B2" w:rsidRPr="00DC48B2" w:rsidRDefault="00DC48B2" w:rsidP="00DC48B2">
            <w:pPr>
              <w:keepNext/>
              <w:suppressLineNumbers/>
              <w:jc w:val="both"/>
              <w:rPr>
                <w:rFonts w:eastAsia="Calibri"/>
              </w:rPr>
            </w:pPr>
            <w:r w:rsidRPr="00DC48B2">
              <w:rPr>
                <w:rFonts w:eastAsia="Calibri"/>
              </w:rPr>
              <w:t>0.089 cents/kWh</w:t>
            </w:r>
          </w:p>
        </w:tc>
      </w:tr>
      <w:tr w:rsidR="00DC48B2" w:rsidRPr="00DC48B2" w:rsidTr="00E82950">
        <w:trPr>
          <w:trHeight w:val="291"/>
        </w:trPr>
        <w:tc>
          <w:tcPr>
            <w:tcW w:w="3348"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keepNext/>
              <w:suppressLineNumbers/>
              <w:tabs>
                <w:tab w:val="left" w:pos="576"/>
                <w:tab w:val="left" w:pos="1440"/>
                <w:tab w:val="left" w:pos="1728"/>
                <w:tab w:val="left" w:pos="5904"/>
              </w:tabs>
              <w:ind w:firstLine="90"/>
              <w:jc w:val="both"/>
              <w:rPr>
                <w:rFonts w:eastAsia="Calibri"/>
              </w:rPr>
            </w:pPr>
            <w:r w:rsidRPr="00DC48B2">
              <w:rPr>
                <w:rFonts w:eastAsia="Calibri"/>
              </w:rPr>
              <w:t>Interruptible</w:t>
            </w:r>
          </w:p>
          <w:p w:rsidR="00DC48B2" w:rsidRPr="00DC48B2" w:rsidRDefault="00DC48B2" w:rsidP="00DC48B2">
            <w:pPr>
              <w:keepNext/>
              <w:suppressLineNumbers/>
              <w:tabs>
                <w:tab w:val="left" w:pos="576"/>
                <w:tab w:val="left" w:pos="1440"/>
                <w:tab w:val="left" w:pos="1728"/>
                <w:tab w:val="left" w:pos="5904"/>
              </w:tabs>
              <w:ind w:firstLine="90"/>
              <w:jc w:val="both"/>
              <w:rPr>
                <w:rFonts w:eastAsia="Calibri"/>
              </w:rPr>
            </w:pPr>
            <w:r w:rsidRPr="00DC48B2">
              <w:rPr>
                <w:rFonts w:eastAsia="Calibri"/>
              </w:rPr>
              <w:t>@ Secondary Voltage</w:t>
            </w:r>
          </w:p>
          <w:p w:rsidR="00DC48B2" w:rsidRPr="00DC48B2" w:rsidRDefault="00DC48B2" w:rsidP="00DC48B2">
            <w:pPr>
              <w:keepNext/>
              <w:suppressLineNumbers/>
              <w:tabs>
                <w:tab w:val="left" w:pos="576"/>
                <w:tab w:val="left" w:pos="1440"/>
                <w:tab w:val="left" w:pos="1728"/>
                <w:tab w:val="left" w:pos="5904"/>
              </w:tabs>
              <w:ind w:firstLine="90"/>
              <w:jc w:val="both"/>
              <w:rPr>
                <w:rFonts w:eastAsia="Calibri"/>
              </w:rPr>
            </w:pPr>
            <w:r w:rsidRPr="00DC48B2">
              <w:rPr>
                <w:rFonts w:eastAsia="Calibri"/>
              </w:rPr>
              <w:t>@ Primary Voltage</w:t>
            </w:r>
          </w:p>
          <w:p w:rsidR="00DC48B2" w:rsidRPr="00DC48B2" w:rsidRDefault="00DC48B2" w:rsidP="00DC48B2">
            <w:pPr>
              <w:keepNext/>
              <w:suppressLineNumbers/>
              <w:tabs>
                <w:tab w:val="left" w:pos="576"/>
                <w:tab w:val="left" w:pos="1440"/>
                <w:tab w:val="left" w:pos="1728"/>
                <w:tab w:val="left" w:pos="5904"/>
              </w:tabs>
              <w:ind w:firstLine="90"/>
              <w:jc w:val="both"/>
              <w:rPr>
                <w:rFonts w:eastAsia="Calibri"/>
              </w:rPr>
            </w:pPr>
            <w:r w:rsidRPr="00DC48B2">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rsidR="00DC48B2" w:rsidRPr="00DC48B2" w:rsidRDefault="00DC48B2" w:rsidP="00DC48B2">
            <w:pPr>
              <w:keepNext/>
              <w:suppressLineNumbers/>
              <w:jc w:val="both"/>
              <w:rPr>
                <w:rFonts w:eastAsia="Calibri"/>
              </w:rPr>
            </w:pPr>
          </w:p>
          <w:p w:rsidR="00DC48B2" w:rsidRPr="00DC48B2" w:rsidRDefault="00DC48B2" w:rsidP="00DC48B2">
            <w:pPr>
              <w:keepNext/>
              <w:suppressLineNumbers/>
              <w:jc w:val="both"/>
              <w:rPr>
                <w:rFonts w:eastAsia="Calibri"/>
              </w:rPr>
            </w:pPr>
            <w:r w:rsidRPr="00DC48B2">
              <w:rPr>
                <w:rFonts w:eastAsia="Calibri"/>
              </w:rPr>
              <w:t>0.093 cents/kWh</w:t>
            </w:r>
          </w:p>
          <w:p w:rsidR="00DC48B2" w:rsidRPr="00DC48B2" w:rsidRDefault="00DC48B2" w:rsidP="00DC48B2">
            <w:pPr>
              <w:keepNext/>
              <w:suppressLineNumbers/>
              <w:jc w:val="both"/>
              <w:rPr>
                <w:rFonts w:eastAsia="Calibri"/>
              </w:rPr>
            </w:pPr>
            <w:r w:rsidRPr="00DC48B2">
              <w:rPr>
                <w:rFonts w:eastAsia="Calibri"/>
              </w:rPr>
              <w:t>0.092 cents/kWh</w:t>
            </w:r>
          </w:p>
          <w:p w:rsidR="00DC48B2" w:rsidRPr="00DC48B2" w:rsidRDefault="00DC48B2" w:rsidP="00DC48B2">
            <w:pPr>
              <w:keepNext/>
              <w:suppressLineNumbers/>
              <w:jc w:val="both"/>
              <w:rPr>
                <w:rFonts w:eastAsia="Calibri"/>
              </w:rPr>
            </w:pPr>
            <w:r w:rsidRPr="00DC48B2">
              <w:rPr>
                <w:rFonts w:eastAsia="Calibri"/>
              </w:rPr>
              <w:t>0.091 cents/kWh</w:t>
            </w:r>
          </w:p>
        </w:tc>
      </w:tr>
      <w:tr w:rsidR="00DC48B2" w:rsidRPr="00DC48B2" w:rsidTr="00E82950">
        <w:trPr>
          <w:trHeight w:val="291"/>
        </w:trPr>
        <w:tc>
          <w:tcPr>
            <w:tcW w:w="3348"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suppressLineNumbers/>
              <w:jc w:val="both"/>
              <w:rPr>
                <w:rFonts w:eastAsia="Calibri"/>
              </w:rPr>
            </w:pPr>
            <w:r w:rsidRPr="00DC48B2">
              <w:rPr>
                <w:rFonts w:eastAsia="Calibri"/>
              </w:rPr>
              <w:t>Lighting</w:t>
            </w:r>
          </w:p>
        </w:tc>
        <w:tc>
          <w:tcPr>
            <w:tcW w:w="1980" w:type="dxa"/>
            <w:tcBorders>
              <w:top w:val="single" w:sz="4" w:space="0" w:color="auto"/>
              <w:left w:val="single" w:sz="4" w:space="0" w:color="auto"/>
              <w:bottom w:val="single" w:sz="4" w:space="0" w:color="auto"/>
              <w:right w:val="single" w:sz="4" w:space="0" w:color="auto"/>
            </w:tcBorders>
            <w:hideMark/>
          </w:tcPr>
          <w:p w:rsidR="00DC48B2" w:rsidRPr="00DC48B2" w:rsidRDefault="00DC48B2" w:rsidP="00DC48B2">
            <w:pPr>
              <w:suppressLineNumbers/>
              <w:jc w:val="both"/>
              <w:rPr>
                <w:rFonts w:eastAsia="Calibri"/>
              </w:rPr>
            </w:pPr>
            <w:r w:rsidRPr="00DC48B2">
              <w:rPr>
                <w:rFonts w:eastAsia="Calibri"/>
              </w:rPr>
              <w:t>0.091 cents/kWh</w:t>
            </w:r>
          </w:p>
        </w:tc>
      </w:tr>
    </w:tbl>
    <w:p w:rsidR="00DC48B2" w:rsidRPr="00DC48B2" w:rsidRDefault="00DC48B2" w:rsidP="00DC48B2">
      <w:pPr>
        <w:spacing w:after="200" w:line="276" w:lineRule="auto"/>
        <w:ind w:left="1440" w:right="-360" w:hanging="720"/>
        <w:jc w:val="both"/>
        <w:rPr>
          <w:rFonts w:eastAsia="Calibri"/>
          <w:b/>
          <w:bCs/>
          <w:sz w:val="22"/>
          <w:szCs w:val="22"/>
        </w:rPr>
      </w:pPr>
    </w:p>
    <w:p w:rsidR="00DC48B2" w:rsidRPr="00DC48B2" w:rsidRDefault="00DC48B2" w:rsidP="00DC48B2">
      <w:pPr>
        <w:ind w:right="-360"/>
        <w:jc w:val="both"/>
        <w:rPr>
          <w:rFonts w:eastAsia="Calibri"/>
          <w:b/>
          <w:bCs/>
        </w:rPr>
      </w:pPr>
      <w:r w:rsidRPr="00DC48B2">
        <w:rPr>
          <w:rFonts w:eastAsia="Calibri"/>
          <w:b/>
          <w:bCs/>
        </w:rPr>
        <w:t>TECO:</w:t>
      </w:r>
      <w:r w:rsidRPr="00DC48B2">
        <w:rPr>
          <w:rFonts w:eastAsia="Calibri"/>
          <w:b/>
          <w:bCs/>
        </w:rPr>
        <w:tab/>
      </w:r>
      <w:r w:rsidRPr="00DC48B2">
        <w:rPr>
          <w:rFonts w:eastAsia="Calibri"/>
          <w:b/>
          <w:bCs/>
        </w:rPr>
        <w:tab/>
      </w:r>
    </w:p>
    <w:p w:rsidR="00DC48B2" w:rsidRPr="00DC48B2" w:rsidRDefault="00DC48B2" w:rsidP="00DC48B2">
      <w:pPr>
        <w:ind w:left="720" w:right="-360" w:firstLine="720"/>
        <w:jc w:val="both"/>
        <w:rPr>
          <w:rFonts w:eastAsia="Calibri"/>
          <w:b/>
          <w:color w:val="000000" w:themeColor="text1"/>
          <w:u w:val="single"/>
        </w:rPr>
      </w:pPr>
      <w:r w:rsidRPr="00DC48B2">
        <w:rPr>
          <w:rFonts w:eastAsia="Calibri"/>
          <w:b/>
          <w:u w:val="single"/>
        </w:rPr>
        <w:t>Rate Class</w:t>
      </w:r>
      <w:r w:rsidRPr="00DC48B2">
        <w:rPr>
          <w:rFonts w:eastAsia="Calibri"/>
        </w:rPr>
        <w:tab/>
      </w:r>
      <w:r w:rsidRPr="00DC48B2">
        <w:rPr>
          <w:rFonts w:eastAsia="Calibri"/>
        </w:rPr>
        <w:tab/>
      </w:r>
      <w:r w:rsidRPr="00DC48B2">
        <w:rPr>
          <w:rFonts w:eastAsia="Calibri"/>
        </w:rPr>
        <w:tab/>
      </w:r>
      <w:r w:rsidRPr="00DC48B2">
        <w:rPr>
          <w:rFonts w:eastAsia="Calibri"/>
        </w:rPr>
        <w:tab/>
      </w:r>
      <w:r w:rsidRPr="00DC48B2">
        <w:rPr>
          <w:rFonts w:eastAsia="Calibri"/>
        </w:rPr>
        <w:tab/>
      </w:r>
      <w:r w:rsidRPr="00DC48B2">
        <w:rPr>
          <w:rFonts w:eastAsia="Calibri"/>
        </w:rPr>
        <w:tab/>
      </w:r>
      <w:r w:rsidRPr="00DC48B2">
        <w:rPr>
          <w:rFonts w:eastAsia="Calibri"/>
          <w:b/>
          <w:u w:val="single"/>
        </w:rPr>
        <w:t>Factor (¢/kWh</w:t>
      </w:r>
      <w:r w:rsidRPr="00DC48B2">
        <w:rPr>
          <w:rFonts w:eastAsia="Calibri"/>
          <w:b/>
          <w:color w:val="000000" w:themeColor="text1"/>
          <w:u w:val="single"/>
        </w:rPr>
        <w:t>)</w:t>
      </w:r>
    </w:p>
    <w:p w:rsidR="00DC48B2" w:rsidRPr="00DC48B2" w:rsidRDefault="00DC48B2" w:rsidP="00DC48B2">
      <w:pPr>
        <w:ind w:left="720" w:right="-360" w:hanging="720"/>
        <w:jc w:val="both"/>
        <w:rPr>
          <w:rFonts w:eastAsia="Calibri"/>
          <w:b/>
          <w:u w:val="single"/>
        </w:rPr>
      </w:pPr>
    </w:p>
    <w:p w:rsidR="00DC48B2" w:rsidRPr="00DC48B2" w:rsidRDefault="00DC48B2" w:rsidP="00DC48B2">
      <w:pPr>
        <w:tabs>
          <w:tab w:val="left" w:pos="-1440"/>
          <w:tab w:val="left" w:pos="-720"/>
          <w:tab w:val="left" w:pos="720"/>
          <w:tab w:val="left" w:pos="1440"/>
          <w:tab w:val="left" w:pos="7200"/>
        </w:tabs>
        <w:ind w:right="-360" w:firstLine="1440"/>
        <w:jc w:val="both"/>
        <w:rPr>
          <w:rFonts w:eastAsia="Calibri"/>
        </w:rPr>
      </w:pPr>
      <w:r w:rsidRPr="00DC48B2">
        <w:rPr>
          <w:rFonts w:eastAsia="Calibri"/>
        </w:rPr>
        <w:t>RS</w:t>
      </w:r>
      <w:r w:rsidRPr="00DC48B2">
        <w:rPr>
          <w:rFonts w:eastAsia="Calibri"/>
        </w:rPr>
        <w:tab/>
        <w:t>0.269</w:t>
      </w:r>
    </w:p>
    <w:p w:rsidR="00DC48B2" w:rsidRPr="00DC48B2" w:rsidRDefault="00DC48B2" w:rsidP="00DC48B2">
      <w:pPr>
        <w:tabs>
          <w:tab w:val="left" w:pos="-1440"/>
          <w:tab w:val="left" w:pos="-720"/>
          <w:tab w:val="left" w:pos="720"/>
          <w:tab w:val="left" w:pos="1440"/>
          <w:tab w:val="left" w:pos="7200"/>
        </w:tabs>
        <w:ind w:right="-360" w:firstLine="1440"/>
        <w:jc w:val="both"/>
        <w:rPr>
          <w:rFonts w:eastAsia="Calibri"/>
        </w:rPr>
      </w:pPr>
      <w:r w:rsidRPr="00DC48B2">
        <w:rPr>
          <w:rFonts w:eastAsia="Calibri"/>
        </w:rPr>
        <w:t>GS, CS</w:t>
      </w:r>
      <w:r w:rsidRPr="00DC48B2">
        <w:rPr>
          <w:rFonts w:eastAsia="Calibri"/>
        </w:rPr>
        <w:tab/>
        <w:t>0.269</w:t>
      </w:r>
    </w:p>
    <w:p w:rsidR="00DC48B2" w:rsidRPr="00DC48B2" w:rsidRDefault="00DC48B2" w:rsidP="00DC48B2">
      <w:pPr>
        <w:tabs>
          <w:tab w:val="left" w:pos="-1440"/>
          <w:tab w:val="left" w:pos="-720"/>
          <w:tab w:val="left" w:pos="720"/>
          <w:tab w:val="left" w:pos="1440"/>
          <w:tab w:val="left" w:pos="6840"/>
        </w:tabs>
        <w:ind w:right="-360" w:firstLine="1440"/>
        <w:jc w:val="both"/>
        <w:rPr>
          <w:rFonts w:eastAsia="Calibri"/>
        </w:rPr>
      </w:pPr>
      <w:r w:rsidRPr="00DC48B2">
        <w:rPr>
          <w:rFonts w:eastAsia="Calibri"/>
        </w:rPr>
        <w:t>GSD, SBF</w:t>
      </w:r>
    </w:p>
    <w:p w:rsidR="00DC48B2" w:rsidRPr="00DC48B2" w:rsidRDefault="00DC48B2" w:rsidP="00DC48B2">
      <w:pPr>
        <w:tabs>
          <w:tab w:val="left" w:pos="-1440"/>
          <w:tab w:val="left" w:pos="-720"/>
          <w:tab w:val="left" w:pos="720"/>
          <w:tab w:val="left" w:pos="1440"/>
          <w:tab w:val="left" w:pos="1800"/>
          <w:tab w:val="left" w:pos="7200"/>
        </w:tabs>
        <w:ind w:right="-360"/>
        <w:jc w:val="both"/>
        <w:rPr>
          <w:rFonts w:eastAsia="Calibri"/>
        </w:rPr>
      </w:pPr>
      <w:r w:rsidRPr="00DC48B2">
        <w:rPr>
          <w:rFonts w:eastAsia="Calibri"/>
        </w:rPr>
        <w:tab/>
      </w:r>
      <w:r w:rsidRPr="00DC48B2">
        <w:rPr>
          <w:rFonts w:eastAsia="Calibri"/>
        </w:rPr>
        <w:tab/>
      </w:r>
      <w:r w:rsidRPr="00DC48B2">
        <w:rPr>
          <w:rFonts w:eastAsia="Calibri"/>
        </w:rPr>
        <w:tab/>
        <w:t>Secondary</w:t>
      </w:r>
      <w:r w:rsidRPr="00DC48B2">
        <w:rPr>
          <w:rFonts w:eastAsia="Calibri"/>
        </w:rPr>
        <w:tab/>
        <w:t>0.265</w:t>
      </w:r>
    </w:p>
    <w:p w:rsidR="00DC48B2" w:rsidRPr="00DC48B2" w:rsidRDefault="00DC48B2" w:rsidP="00DC48B2">
      <w:pPr>
        <w:tabs>
          <w:tab w:val="left" w:pos="-1440"/>
          <w:tab w:val="left" w:pos="-720"/>
          <w:tab w:val="left" w:pos="720"/>
          <w:tab w:val="left" w:pos="1440"/>
          <w:tab w:val="left" w:pos="1800"/>
          <w:tab w:val="left" w:pos="7200"/>
        </w:tabs>
        <w:ind w:right="-360"/>
        <w:jc w:val="both"/>
        <w:rPr>
          <w:rFonts w:eastAsia="Calibri"/>
        </w:rPr>
      </w:pPr>
      <w:r w:rsidRPr="00DC48B2">
        <w:rPr>
          <w:rFonts w:eastAsia="Calibri"/>
        </w:rPr>
        <w:tab/>
      </w:r>
      <w:r w:rsidRPr="00DC48B2">
        <w:rPr>
          <w:rFonts w:eastAsia="Calibri"/>
        </w:rPr>
        <w:tab/>
      </w:r>
      <w:r w:rsidRPr="00DC48B2">
        <w:rPr>
          <w:rFonts w:eastAsia="Calibri"/>
        </w:rPr>
        <w:tab/>
        <w:t>Primary</w:t>
      </w:r>
      <w:r w:rsidRPr="00DC48B2">
        <w:rPr>
          <w:rFonts w:eastAsia="Calibri"/>
        </w:rPr>
        <w:tab/>
        <w:t>0.262</w:t>
      </w:r>
    </w:p>
    <w:p w:rsidR="00DC48B2" w:rsidRPr="00DC48B2" w:rsidRDefault="00DC48B2" w:rsidP="00DC48B2">
      <w:pPr>
        <w:tabs>
          <w:tab w:val="left" w:pos="-1440"/>
          <w:tab w:val="left" w:pos="-720"/>
          <w:tab w:val="left" w:pos="720"/>
          <w:tab w:val="left" w:pos="1440"/>
          <w:tab w:val="left" w:pos="1800"/>
          <w:tab w:val="left" w:pos="7200"/>
        </w:tabs>
        <w:ind w:right="-360"/>
        <w:jc w:val="both"/>
        <w:rPr>
          <w:rFonts w:eastAsia="Calibri"/>
        </w:rPr>
      </w:pPr>
      <w:r w:rsidRPr="00DC48B2">
        <w:rPr>
          <w:rFonts w:eastAsia="Calibri"/>
        </w:rPr>
        <w:tab/>
      </w:r>
      <w:r w:rsidRPr="00DC48B2">
        <w:rPr>
          <w:rFonts w:eastAsia="Calibri"/>
        </w:rPr>
        <w:tab/>
      </w:r>
      <w:r w:rsidRPr="00DC48B2">
        <w:rPr>
          <w:rFonts w:eastAsia="Calibri"/>
        </w:rPr>
        <w:tab/>
        <w:t>Transmission</w:t>
      </w:r>
      <w:r w:rsidRPr="00DC48B2">
        <w:rPr>
          <w:rFonts w:eastAsia="Calibri"/>
        </w:rPr>
        <w:tab/>
        <w:t>0.260</w:t>
      </w:r>
    </w:p>
    <w:p w:rsidR="00DC48B2" w:rsidRPr="00DC48B2" w:rsidRDefault="00DC48B2" w:rsidP="00DC48B2">
      <w:pPr>
        <w:tabs>
          <w:tab w:val="left" w:pos="4590"/>
          <w:tab w:val="left" w:pos="6660"/>
          <w:tab w:val="left" w:pos="6840"/>
        </w:tabs>
        <w:ind w:right="-360" w:firstLine="1440"/>
        <w:jc w:val="both"/>
        <w:rPr>
          <w:rFonts w:eastAsia="Calibri"/>
        </w:rPr>
      </w:pPr>
      <w:r w:rsidRPr="00DC48B2">
        <w:rPr>
          <w:rFonts w:eastAsia="Calibri"/>
        </w:rPr>
        <w:t>IS</w:t>
      </w:r>
    </w:p>
    <w:p w:rsidR="00DC48B2" w:rsidRPr="00DC48B2" w:rsidRDefault="00DC48B2" w:rsidP="00DC48B2">
      <w:pPr>
        <w:tabs>
          <w:tab w:val="left" w:pos="1800"/>
          <w:tab w:val="left" w:pos="4590"/>
          <w:tab w:val="left" w:pos="6840"/>
        </w:tabs>
        <w:ind w:right="-360" w:firstLine="1440"/>
        <w:jc w:val="both"/>
        <w:rPr>
          <w:rFonts w:eastAsia="Calibri"/>
        </w:rPr>
      </w:pPr>
      <w:r w:rsidRPr="00DC48B2">
        <w:rPr>
          <w:rFonts w:eastAsia="Calibri"/>
        </w:rPr>
        <w:tab/>
        <w:t>Secondary</w:t>
      </w:r>
      <w:r w:rsidRPr="00DC48B2">
        <w:rPr>
          <w:rFonts w:eastAsia="Calibri"/>
        </w:rPr>
        <w:tab/>
      </w:r>
      <w:r w:rsidRPr="00DC48B2">
        <w:rPr>
          <w:rFonts w:eastAsia="Calibri"/>
        </w:rPr>
        <w:tab/>
      </w:r>
      <w:r w:rsidRPr="00DC48B2">
        <w:rPr>
          <w:rFonts w:eastAsia="Calibri"/>
        </w:rPr>
        <w:tab/>
        <w:t>0.257</w:t>
      </w:r>
    </w:p>
    <w:p w:rsidR="00DC48B2" w:rsidRPr="00DC48B2" w:rsidRDefault="00DC48B2" w:rsidP="00DC48B2">
      <w:pPr>
        <w:tabs>
          <w:tab w:val="left" w:pos="1800"/>
          <w:tab w:val="left" w:pos="4590"/>
          <w:tab w:val="left" w:pos="6840"/>
        </w:tabs>
        <w:ind w:right="-360" w:firstLine="1440"/>
        <w:jc w:val="both"/>
        <w:rPr>
          <w:rFonts w:eastAsia="Calibri"/>
        </w:rPr>
      </w:pPr>
      <w:r w:rsidRPr="00DC48B2">
        <w:rPr>
          <w:rFonts w:eastAsia="Calibri"/>
        </w:rPr>
        <w:tab/>
        <w:t>Primary</w:t>
      </w:r>
      <w:r w:rsidRPr="00DC48B2">
        <w:rPr>
          <w:rFonts w:eastAsia="Calibri"/>
        </w:rPr>
        <w:tab/>
      </w:r>
      <w:r w:rsidRPr="00DC48B2">
        <w:rPr>
          <w:rFonts w:eastAsia="Calibri"/>
        </w:rPr>
        <w:tab/>
      </w:r>
      <w:r w:rsidRPr="00DC48B2">
        <w:rPr>
          <w:rFonts w:eastAsia="Calibri"/>
        </w:rPr>
        <w:tab/>
        <w:t>0.254</w:t>
      </w:r>
    </w:p>
    <w:p w:rsidR="00DC48B2" w:rsidRPr="00DC48B2" w:rsidRDefault="00DC48B2" w:rsidP="00DC48B2">
      <w:pPr>
        <w:tabs>
          <w:tab w:val="left" w:pos="1800"/>
          <w:tab w:val="left" w:pos="4590"/>
          <w:tab w:val="left" w:pos="6840"/>
        </w:tabs>
        <w:ind w:right="-360" w:firstLine="1440"/>
        <w:jc w:val="both"/>
        <w:rPr>
          <w:rFonts w:eastAsia="Calibri"/>
        </w:rPr>
      </w:pPr>
      <w:r w:rsidRPr="00DC48B2">
        <w:rPr>
          <w:rFonts w:eastAsia="Calibri"/>
        </w:rPr>
        <w:tab/>
        <w:t>Transmission</w:t>
      </w:r>
      <w:r w:rsidRPr="00DC48B2">
        <w:rPr>
          <w:rFonts w:eastAsia="Calibri"/>
        </w:rPr>
        <w:tab/>
      </w:r>
      <w:r w:rsidRPr="00DC48B2">
        <w:rPr>
          <w:rFonts w:eastAsia="Calibri"/>
        </w:rPr>
        <w:tab/>
      </w:r>
      <w:r w:rsidRPr="00DC48B2">
        <w:rPr>
          <w:rFonts w:eastAsia="Calibri"/>
        </w:rPr>
        <w:tab/>
        <w:t>0.252</w:t>
      </w:r>
    </w:p>
    <w:p w:rsidR="00DC48B2" w:rsidRPr="00DC48B2" w:rsidRDefault="00DC48B2" w:rsidP="00DC48B2">
      <w:pPr>
        <w:tabs>
          <w:tab w:val="left" w:pos="1800"/>
          <w:tab w:val="left" w:pos="4590"/>
          <w:tab w:val="left" w:pos="6840"/>
        </w:tabs>
        <w:ind w:right="-360" w:firstLine="1440"/>
        <w:jc w:val="both"/>
        <w:rPr>
          <w:rFonts w:eastAsia="Calibri"/>
        </w:rPr>
      </w:pPr>
    </w:p>
    <w:p w:rsidR="00DC48B2" w:rsidRPr="00DC48B2" w:rsidRDefault="00DC48B2" w:rsidP="00DC48B2">
      <w:pPr>
        <w:tabs>
          <w:tab w:val="left" w:pos="-1440"/>
          <w:tab w:val="left" w:pos="-720"/>
          <w:tab w:val="left" w:pos="720"/>
          <w:tab w:val="left" w:pos="1440"/>
          <w:tab w:val="left" w:pos="7200"/>
        </w:tabs>
        <w:ind w:right="-360" w:firstLine="1440"/>
        <w:jc w:val="both"/>
        <w:rPr>
          <w:rFonts w:eastAsia="Calibri"/>
        </w:rPr>
      </w:pPr>
      <w:r w:rsidRPr="00DC48B2">
        <w:rPr>
          <w:rFonts w:eastAsia="Calibri"/>
        </w:rPr>
        <w:t>LS1</w:t>
      </w:r>
      <w:r w:rsidRPr="00DC48B2">
        <w:rPr>
          <w:rFonts w:eastAsia="Calibri"/>
        </w:rPr>
        <w:tab/>
        <w:t>0.258</w:t>
      </w:r>
    </w:p>
    <w:p w:rsidR="00DC48B2" w:rsidRPr="00DC48B2" w:rsidRDefault="00DC48B2" w:rsidP="00DC48B2">
      <w:pPr>
        <w:tabs>
          <w:tab w:val="left" w:pos="-1440"/>
          <w:tab w:val="left" w:pos="-720"/>
          <w:tab w:val="left" w:pos="720"/>
          <w:tab w:val="left" w:pos="1440"/>
          <w:tab w:val="left" w:pos="7200"/>
        </w:tabs>
        <w:ind w:right="-360" w:firstLine="1440"/>
        <w:jc w:val="both"/>
        <w:rPr>
          <w:rFonts w:eastAsia="Calibri"/>
        </w:rPr>
      </w:pPr>
    </w:p>
    <w:p w:rsidR="00DC48B2" w:rsidRPr="00DC48B2" w:rsidRDefault="00DC48B2" w:rsidP="00DC48B2">
      <w:pPr>
        <w:tabs>
          <w:tab w:val="left" w:pos="-1440"/>
          <w:tab w:val="left" w:pos="-720"/>
          <w:tab w:val="left" w:pos="720"/>
          <w:tab w:val="left" w:pos="1440"/>
          <w:tab w:val="left" w:pos="7200"/>
          <w:tab w:val="right" w:pos="8640"/>
        </w:tabs>
        <w:ind w:right="-360" w:firstLine="1440"/>
        <w:jc w:val="both"/>
      </w:pPr>
      <w:r w:rsidRPr="00DC48B2">
        <w:t>Average Factor</w:t>
      </w:r>
      <w:r w:rsidRPr="00DC48B2">
        <w:tab/>
        <w:t>0.267</w:t>
      </w:r>
    </w:p>
    <w:p w:rsidR="00DC48B2" w:rsidRPr="00DC48B2" w:rsidRDefault="00DC48B2" w:rsidP="00DC48B2">
      <w:pPr>
        <w:keepNext/>
        <w:tabs>
          <w:tab w:val="left" w:pos="-1440"/>
          <w:tab w:val="left" w:pos="-720"/>
          <w:tab w:val="left" w:pos="0"/>
          <w:tab w:val="left" w:pos="720"/>
          <w:tab w:val="left" w:pos="2160"/>
          <w:tab w:val="left" w:pos="2880"/>
          <w:tab w:val="left" w:pos="3600"/>
          <w:tab w:val="left" w:pos="5040"/>
        </w:tabs>
        <w:spacing w:after="200" w:line="276" w:lineRule="auto"/>
        <w:jc w:val="both"/>
        <w:rPr>
          <w:rFonts w:eastAsia="Calibri"/>
        </w:rPr>
      </w:pPr>
      <w:r w:rsidRPr="00DC48B2">
        <w:rPr>
          <w:rFonts w:eastAsia="Calibri"/>
          <w:b/>
          <w:bCs/>
        </w:rPr>
        <w:lastRenderedPageBreak/>
        <w:t>GULF:</w:t>
      </w:r>
    </w:p>
    <w:tbl>
      <w:tblPr>
        <w:tblW w:w="6357" w:type="dxa"/>
        <w:tblInd w:w="1440" w:type="dxa"/>
        <w:tblLook w:val="04A0" w:firstRow="1" w:lastRow="0" w:firstColumn="1" w:lastColumn="0" w:noHBand="0" w:noVBand="1"/>
      </w:tblPr>
      <w:tblGrid>
        <w:gridCol w:w="3937"/>
        <w:gridCol w:w="2420"/>
      </w:tblGrid>
      <w:tr w:rsidR="00DC48B2" w:rsidRPr="00DC48B2" w:rsidTr="00E82950">
        <w:trPr>
          <w:trHeight w:val="915"/>
          <w:tblHeader/>
        </w:trPr>
        <w:tc>
          <w:tcPr>
            <w:tcW w:w="3937"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DC48B2" w:rsidRPr="00DC48B2" w:rsidRDefault="00DC48B2" w:rsidP="00DC48B2">
            <w:pPr>
              <w:jc w:val="both"/>
              <w:rPr>
                <w:b/>
              </w:rPr>
            </w:pPr>
            <w:r w:rsidRPr="00DC48B2">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C48B2" w:rsidRPr="00DC48B2" w:rsidRDefault="00DC48B2" w:rsidP="00DC48B2">
            <w:pPr>
              <w:jc w:val="both"/>
              <w:rPr>
                <w:b/>
              </w:rPr>
            </w:pPr>
            <w:r w:rsidRPr="00DC48B2">
              <w:rPr>
                <w:b/>
              </w:rPr>
              <w:t>Environmental Cost</w:t>
            </w:r>
          </w:p>
          <w:p w:rsidR="00DC48B2" w:rsidRPr="00DC48B2" w:rsidRDefault="00DC48B2" w:rsidP="00DC48B2">
            <w:pPr>
              <w:jc w:val="both"/>
              <w:rPr>
                <w:b/>
              </w:rPr>
            </w:pPr>
            <w:r w:rsidRPr="00DC48B2">
              <w:rPr>
                <w:b/>
              </w:rPr>
              <w:t>Recovery Factor</w:t>
            </w:r>
          </w:p>
          <w:p w:rsidR="00DC48B2" w:rsidRPr="00DC48B2" w:rsidRDefault="00DC48B2" w:rsidP="00DC48B2">
            <w:pPr>
              <w:jc w:val="both"/>
              <w:rPr>
                <w:b/>
              </w:rPr>
            </w:pPr>
            <w:r w:rsidRPr="00DC48B2">
              <w:rPr>
                <w:b/>
              </w:rPr>
              <w:t>(cents/kWh)</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pPr>
            <w:r w:rsidRPr="00DC48B2">
              <w:t>RS, RSVP, RSTOU</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color w:val="000000"/>
              </w:rPr>
            </w:pPr>
            <w:r w:rsidRPr="00DC48B2">
              <w:rPr>
                <w:color w:val="000000"/>
              </w:rPr>
              <w:t>1.992</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pPr>
            <w:r w:rsidRPr="00DC48B2">
              <w:t>GS</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color w:val="000000"/>
              </w:rPr>
            </w:pPr>
            <w:r w:rsidRPr="00DC48B2">
              <w:rPr>
                <w:color w:val="000000"/>
              </w:rPr>
              <w:t>2.025</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pPr>
            <w:r w:rsidRPr="00DC48B2">
              <w:t>GSD, GSDT, GSTOU</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color w:val="000000"/>
              </w:rPr>
            </w:pPr>
            <w:r w:rsidRPr="00DC48B2">
              <w:rPr>
                <w:color w:val="000000"/>
              </w:rPr>
              <w:t>1.628</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pPr>
            <w:r w:rsidRPr="00DC48B2">
              <w:t>LP, LPT</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color w:val="000000"/>
              </w:rPr>
            </w:pPr>
            <w:r w:rsidRPr="00DC48B2">
              <w:rPr>
                <w:color w:val="000000"/>
              </w:rPr>
              <w:t>1.428</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pPr>
            <w:r w:rsidRPr="00DC48B2">
              <w:t>PX, PXT, RTP, SBS</w:t>
            </w:r>
          </w:p>
        </w:tc>
        <w:tc>
          <w:tcPr>
            <w:tcW w:w="2420" w:type="dxa"/>
            <w:tcBorders>
              <w:top w:val="nil"/>
              <w:left w:val="single" w:sz="8" w:space="0" w:color="auto"/>
              <w:bottom w:val="nil"/>
              <w:right w:val="single" w:sz="8" w:space="0" w:color="auto"/>
            </w:tcBorders>
            <w:shd w:val="clear" w:color="auto" w:fill="auto"/>
            <w:noWrap/>
          </w:tcPr>
          <w:p w:rsidR="00DC48B2" w:rsidRPr="00DC48B2" w:rsidRDefault="00DC48B2" w:rsidP="00DC48B2">
            <w:pPr>
              <w:rPr>
                <w:color w:val="000000"/>
              </w:rPr>
            </w:pPr>
            <w:r w:rsidRPr="00DC48B2">
              <w:rPr>
                <w:color w:val="000000"/>
              </w:rPr>
              <w:t>1.405</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pPr>
            <w:r w:rsidRPr="00DC48B2">
              <w:t>OS-I/II</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color w:val="000000"/>
              </w:rPr>
            </w:pPr>
            <w:r w:rsidRPr="00DC48B2">
              <w:rPr>
                <w:color w:val="000000"/>
              </w:rPr>
              <w:t>0.446</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pPr>
            <w:r w:rsidRPr="00DC48B2">
              <w:t>OS-III</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color w:val="000000"/>
              </w:rPr>
            </w:pPr>
            <w:r w:rsidRPr="00DC48B2">
              <w:rPr>
                <w:color w:val="000000"/>
              </w:rPr>
              <w:t>1.290</w:t>
            </w:r>
          </w:p>
        </w:tc>
      </w:tr>
      <w:tr w:rsidR="00DC48B2" w:rsidRPr="00DC48B2" w:rsidTr="00E82950">
        <w:trPr>
          <w:trHeight w:val="285"/>
        </w:trPr>
        <w:tc>
          <w:tcPr>
            <w:tcW w:w="3937" w:type="dxa"/>
            <w:tcBorders>
              <w:top w:val="nil"/>
              <w:left w:val="single" w:sz="8" w:space="0" w:color="auto"/>
              <w:bottom w:val="nil"/>
              <w:right w:val="nil"/>
            </w:tcBorders>
            <w:shd w:val="clear" w:color="auto" w:fill="auto"/>
            <w:noWrap/>
            <w:vAlign w:val="bottom"/>
            <w:hideMark/>
          </w:tcPr>
          <w:p w:rsidR="00DC48B2" w:rsidRPr="00DC48B2" w:rsidRDefault="00DC48B2" w:rsidP="00DC48B2">
            <w:pPr>
              <w:jc w:val="both"/>
              <w:rPr>
                <w:color w:val="000000"/>
              </w:rPr>
            </w:pPr>
            <w:r w:rsidRPr="00DC48B2">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DC48B2" w:rsidRPr="00DC48B2" w:rsidRDefault="00DC48B2" w:rsidP="00DC48B2">
            <w:pPr>
              <w:jc w:val="both"/>
              <w:rPr>
                <w:color w:val="000000"/>
              </w:rPr>
            </w:pPr>
          </w:p>
        </w:tc>
      </w:tr>
      <w:tr w:rsidR="00DC48B2" w:rsidRPr="00DC48B2" w:rsidTr="00E82950">
        <w:trPr>
          <w:trHeight w:val="300"/>
        </w:trPr>
        <w:tc>
          <w:tcPr>
            <w:tcW w:w="3937" w:type="dxa"/>
            <w:tcBorders>
              <w:top w:val="nil"/>
              <w:left w:val="single" w:sz="8" w:space="0" w:color="auto"/>
              <w:bottom w:val="single" w:sz="8" w:space="0" w:color="auto"/>
              <w:right w:val="nil"/>
            </w:tcBorders>
            <w:shd w:val="clear" w:color="auto" w:fill="auto"/>
            <w:noWrap/>
            <w:vAlign w:val="bottom"/>
            <w:hideMark/>
          </w:tcPr>
          <w:p w:rsidR="00DC48B2" w:rsidRPr="00DC48B2" w:rsidRDefault="00DC48B2" w:rsidP="00DC48B2">
            <w:pPr>
              <w:jc w:val="both"/>
            </w:pPr>
            <w:r w:rsidRPr="00DC48B2">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DC48B2" w:rsidRPr="00DC48B2" w:rsidRDefault="00DC48B2" w:rsidP="00DC48B2">
            <w:pPr>
              <w:jc w:val="both"/>
              <w:rPr>
                <w:color w:val="000000"/>
              </w:rPr>
            </w:pPr>
            <w:r w:rsidRPr="00DC48B2">
              <w:rPr>
                <w:color w:val="000000"/>
              </w:rPr>
              <w:t>1.762</w:t>
            </w:r>
          </w:p>
        </w:tc>
      </w:tr>
    </w:tbl>
    <w:p w:rsidR="00DC48B2" w:rsidRPr="00DC48B2" w:rsidRDefault="00DC48B2" w:rsidP="00DC48B2">
      <w:pPr>
        <w:spacing w:after="200" w:line="276" w:lineRule="auto"/>
        <w:ind w:left="1440" w:hanging="1440"/>
        <w:jc w:val="both"/>
        <w:rPr>
          <w:rFonts w:eastAsia="Calibri"/>
          <w:b/>
          <w:bCs/>
        </w:rPr>
      </w:pPr>
    </w:p>
    <w:p w:rsidR="00DC48B2" w:rsidRPr="00DC48B2" w:rsidRDefault="00DC48B2" w:rsidP="00DC48B2">
      <w:pPr>
        <w:spacing w:after="200"/>
        <w:ind w:left="1440" w:hanging="1440"/>
        <w:jc w:val="both"/>
        <w:rPr>
          <w:rFonts w:eastAsia="Calibri"/>
          <w:b/>
        </w:rPr>
      </w:pPr>
      <w:r w:rsidRPr="00DC48B2">
        <w:rPr>
          <w:rFonts w:eastAsia="Calibri"/>
          <w:b/>
          <w:bCs/>
          <w:u w:val="single"/>
        </w:rPr>
        <w:t>ISSUE 8</w:t>
      </w:r>
      <w:r w:rsidRPr="00DC48B2">
        <w:rPr>
          <w:rFonts w:eastAsia="Calibri"/>
          <w:b/>
        </w:rPr>
        <w:t xml:space="preserve">: </w:t>
      </w:r>
      <w:r w:rsidRPr="00DC48B2">
        <w:rPr>
          <w:rFonts w:eastAsia="Calibri"/>
          <w:b/>
        </w:rPr>
        <w:tab/>
        <w:t>What should be the effective date of the new environmental cost recovery factors for billing purposes?</w:t>
      </w:r>
    </w:p>
    <w:p w:rsidR="00DC48B2" w:rsidRPr="00DC48B2" w:rsidRDefault="00DC48B2" w:rsidP="00DC48B2">
      <w:pPr>
        <w:spacing w:after="200"/>
        <w:ind w:left="1440"/>
        <w:jc w:val="both"/>
        <w:rPr>
          <w:rFonts w:eastAsia="Calibri"/>
        </w:rPr>
      </w:pPr>
      <w:r w:rsidRPr="00DC48B2">
        <w:rPr>
          <w:rFonts w:eastAsia="Calibri"/>
        </w:rPr>
        <w:t>The factors shall be effective beginning with the specified environmental cost recovery cycle and thereafter for the period January 2021 through December 2021. Billing cycles may start before January 1, 2021 and the last cycle may read after December 31, 2021, so that each customer is billed for twelve months regardless of when the adjustment factor became effective. These charges will continue in effect until modified by the Commission.</w:t>
      </w:r>
    </w:p>
    <w:p w:rsidR="00DC48B2" w:rsidRPr="00DC48B2" w:rsidRDefault="00DC48B2" w:rsidP="00DC48B2">
      <w:pPr>
        <w:jc w:val="both"/>
      </w:pPr>
    </w:p>
    <w:p w:rsidR="00DC48B2" w:rsidRPr="00DC48B2" w:rsidRDefault="00DC48B2" w:rsidP="00DC48B2">
      <w:pPr>
        <w:ind w:left="1440" w:hanging="1440"/>
        <w:jc w:val="both"/>
        <w:rPr>
          <w:b/>
          <w:bCs/>
        </w:rPr>
      </w:pPr>
      <w:r w:rsidRPr="00DC48B2">
        <w:rPr>
          <w:b/>
          <w:u w:val="single"/>
        </w:rPr>
        <w:t>ISSUE 9</w:t>
      </w:r>
      <w:r w:rsidRPr="00DC48B2">
        <w:rPr>
          <w:b/>
        </w:rPr>
        <w:t>:</w:t>
      </w:r>
      <w:r w:rsidRPr="00DC48B2">
        <w:rPr>
          <w:b/>
        </w:rPr>
        <w:tab/>
      </w:r>
      <w:r w:rsidRPr="00DC48B2">
        <w:rPr>
          <w:b/>
          <w:bCs/>
        </w:rPr>
        <w:t>Should the Commission approve revised tariffs reflecting the environmental cost recovery amounts and environmental cost recovery factors determined to be appropriate in this proceeding?</w:t>
      </w:r>
    </w:p>
    <w:p w:rsidR="00DC48B2" w:rsidRPr="00DC48B2" w:rsidRDefault="00DC48B2" w:rsidP="00DC48B2">
      <w:pPr>
        <w:jc w:val="both"/>
        <w:rPr>
          <w:b/>
          <w:bCs/>
        </w:rPr>
      </w:pPr>
    </w:p>
    <w:p w:rsidR="00DC48B2" w:rsidRPr="00DC48B2" w:rsidRDefault="00DC48B2" w:rsidP="00DC48B2">
      <w:pPr>
        <w:ind w:left="1440" w:hanging="1440"/>
        <w:jc w:val="both"/>
        <w:rPr>
          <w:b/>
          <w:bCs/>
        </w:rPr>
      </w:pPr>
      <w:r w:rsidRPr="00DC48B2">
        <w:rPr>
          <w:bCs/>
        </w:rPr>
        <w:tab/>
        <w:t xml:space="preserve">The Commission shall approve revised tariffs reflecting the environmental cost recovery factors determined to be appropriate in this proceeding. Staff shall verify that the revised tariffs are consistent with the Commission’s decision.  </w:t>
      </w:r>
      <w:r w:rsidRPr="00DC48B2">
        <w:rPr>
          <w:b/>
          <w:bCs/>
        </w:rPr>
        <w:tab/>
      </w:r>
    </w:p>
    <w:p w:rsidR="00DC48B2" w:rsidRPr="00DC48B2" w:rsidRDefault="00DC48B2" w:rsidP="00DC48B2">
      <w:pPr>
        <w:spacing w:after="200"/>
        <w:ind w:left="1440"/>
        <w:jc w:val="both"/>
        <w:rPr>
          <w:rFonts w:eastAsia="Calibri"/>
        </w:rPr>
      </w:pPr>
    </w:p>
    <w:p w:rsidR="00DC48B2" w:rsidRPr="00DC48B2" w:rsidRDefault="00DC48B2" w:rsidP="00DC48B2">
      <w:pPr>
        <w:ind w:left="1440" w:hanging="1440"/>
        <w:jc w:val="both"/>
        <w:rPr>
          <w:rFonts w:eastAsia="Calibri"/>
          <w:b/>
        </w:rPr>
      </w:pPr>
      <w:r w:rsidRPr="00DC48B2">
        <w:rPr>
          <w:rFonts w:eastAsia="Calibri"/>
          <w:b/>
          <w:u w:val="single"/>
        </w:rPr>
        <w:t>ISSUE 10:</w:t>
      </w:r>
      <w:r w:rsidRPr="00DC48B2">
        <w:rPr>
          <w:rFonts w:eastAsia="Calibri"/>
        </w:rPr>
        <w:tab/>
      </w:r>
      <w:r w:rsidRPr="00DC48B2">
        <w:rPr>
          <w:rFonts w:eastAsia="Calibri"/>
          <w:b/>
        </w:rPr>
        <w:t>Should this docket be closed?</w:t>
      </w:r>
    </w:p>
    <w:p w:rsidR="00DC48B2" w:rsidRPr="00DC48B2" w:rsidRDefault="00DC48B2" w:rsidP="00DC48B2">
      <w:pPr>
        <w:jc w:val="both"/>
        <w:rPr>
          <w:rFonts w:eastAsia="Calibri"/>
          <w:b/>
        </w:rPr>
      </w:pPr>
    </w:p>
    <w:p w:rsidR="00DC48B2" w:rsidRPr="00DC48B2" w:rsidRDefault="00DC48B2" w:rsidP="00DC48B2">
      <w:pPr>
        <w:ind w:left="1440"/>
        <w:jc w:val="both"/>
        <w:rPr>
          <w:rFonts w:eastAsia="Calibri"/>
        </w:rPr>
      </w:pPr>
      <w:r w:rsidRPr="00DC48B2">
        <w:rPr>
          <w:rFonts w:eastAsia="Calibri"/>
        </w:rPr>
        <w:t>While a separate docket number is assigned each year for administrative convenience, this is a continuing docket and shall remain open.</w:t>
      </w:r>
    </w:p>
    <w:p w:rsidR="00DC48B2" w:rsidRPr="00DC48B2" w:rsidRDefault="00DC48B2" w:rsidP="00DC48B2">
      <w:pPr>
        <w:spacing w:after="200"/>
        <w:ind w:left="1440"/>
        <w:jc w:val="both"/>
        <w:rPr>
          <w:rFonts w:eastAsia="Calibri"/>
        </w:rPr>
      </w:pPr>
    </w:p>
    <w:p w:rsidR="00DC48B2" w:rsidRPr="00DC48B2" w:rsidRDefault="00DC48B2" w:rsidP="00DC48B2">
      <w:pPr>
        <w:ind w:left="1440" w:hanging="1440"/>
        <w:jc w:val="both"/>
      </w:pPr>
    </w:p>
    <w:p w:rsidR="00DC48B2" w:rsidRPr="00DC48B2" w:rsidRDefault="00DC48B2" w:rsidP="00DC48B2">
      <w:pPr>
        <w:ind w:left="1440" w:hanging="1440"/>
        <w:jc w:val="both"/>
      </w:pPr>
    </w:p>
    <w:p w:rsidR="00DC48B2" w:rsidRPr="00DC48B2" w:rsidRDefault="00DC48B2" w:rsidP="00DC48B2">
      <w:pPr>
        <w:ind w:left="1440" w:hanging="1440"/>
        <w:jc w:val="both"/>
      </w:pPr>
    </w:p>
    <w:p w:rsidR="00DC48B2" w:rsidRPr="00DC48B2" w:rsidRDefault="00DC48B2" w:rsidP="00DC48B2">
      <w:pPr>
        <w:ind w:left="1440" w:hanging="1440"/>
        <w:jc w:val="both"/>
      </w:pPr>
    </w:p>
    <w:p w:rsidR="00DC48B2" w:rsidRPr="00DC48B2" w:rsidRDefault="00DC48B2" w:rsidP="00DC48B2">
      <w:pPr>
        <w:ind w:left="1440" w:hanging="1440"/>
        <w:jc w:val="both"/>
      </w:pPr>
    </w:p>
    <w:p w:rsidR="00DC48B2" w:rsidRPr="00DC48B2" w:rsidRDefault="00DC48B2" w:rsidP="00DC48B2">
      <w:pPr>
        <w:ind w:left="1440" w:hanging="1440"/>
        <w:jc w:val="both"/>
      </w:pPr>
      <w:r w:rsidRPr="00DC48B2">
        <w:t>COMPANY-SPECIFIC ENVIRONMENTAL COST RECOVERY ISSUES</w:t>
      </w:r>
    </w:p>
    <w:p w:rsidR="00DC48B2" w:rsidRPr="00DC48B2" w:rsidRDefault="00DC48B2" w:rsidP="00DC48B2">
      <w:pPr>
        <w:ind w:left="1440" w:hanging="1440"/>
        <w:jc w:val="both"/>
      </w:pPr>
    </w:p>
    <w:p w:rsidR="00DC48B2" w:rsidRPr="00DC48B2" w:rsidRDefault="00DC48B2" w:rsidP="00DC48B2">
      <w:pPr>
        <w:ind w:left="1440" w:hanging="1440"/>
        <w:jc w:val="both"/>
      </w:pPr>
      <w:r w:rsidRPr="00DC48B2">
        <w:t>Duke Energy Florida, LLC:</w:t>
      </w:r>
    </w:p>
    <w:p w:rsidR="00DC48B2" w:rsidRPr="00DC48B2" w:rsidRDefault="00DC48B2" w:rsidP="00DC48B2">
      <w:pPr>
        <w:ind w:left="1440" w:hanging="1440"/>
        <w:jc w:val="both"/>
      </w:pPr>
    </w:p>
    <w:p w:rsidR="00DC48B2" w:rsidRPr="00DC48B2" w:rsidRDefault="00DC48B2" w:rsidP="00DC48B2">
      <w:pPr>
        <w:ind w:left="1440" w:hanging="1440"/>
        <w:jc w:val="both"/>
        <w:rPr>
          <w:rFonts w:eastAsia="Calibri"/>
          <w:b/>
        </w:rPr>
      </w:pPr>
      <w:r w:rsidRPr="00DC48B2">
        <w:rPr>
          <w:rFonts w:eastAsia="Calibri"/>
          <w:b/>
          <w:u w:val="single"/>
        </w:rPr>
        <w:t>ISSUE 11:</w:t>
      </w:r>
      <w:r w:rsidRPr="00DC48B2">
        <w:rPr>
          <w:rFonts w:eastAsia="Calibri"/>
        </w:rPr>
        <w:tab/>
      </w:r>
      <w:r w:rsidRPr="00DC48B2">
        <w:rPr>
          <w:rFonts w:eastAsia="Calibri"/>
          <w:b/>
        </w:rPr>
        <w:t>Should the Commission approve DEF’s Anclote and Bartow Stations 316(b) Rule Compliance Plan Projects for cost recovery through the Environmental Cost Recovery Clause?</w:t>
      </w:r>
    </w:p>
    <w:p w:rsidR="00DC48B2" w:rsidRPr="00DC48B2" w:rsidRDefault="00DC48B2" w:rsidP="00DC48B2">
      <w:pPr>
        <w:jc w:val="both"/>
        <w:rPr>
          <w:rFonts w:eastAsia="Calibri"/>
          <w:b/>
        </w:rPr>
      </w:pPr>
    </w:p>
    <w:p w:rsidR="00B76152" w:rsidRPr="00E240DB" w:rsidRDefault="00B76152" w:rsidP="00B76152">
      <w:pPr>
        <w:pStyle w:val="xmsonormal"/>
        <w:ind w:left="1440"/>
        <w:jc w:val="both"/>
        <w:rPr>
          <w:rFonts w:ascii="Times New Roman" w:hAnsi="Times New Roman"/>
          <w:sz w:val="24"/>
          <w:szCs w:val="24"/>
        </w:rPr>
      </w:pPr>
      <w:r w:rsidRPr="00B76152">
        <w:rPr>
          <w:rFonts w:ascii="Times New Roman" w:eastAsia="Calibri" w:hAnsi="Times New Roman"/>
          <w:sz w:val="24"/>
          <w:szCs w:val="24"/>
        </w:rPr>
        <w:t>The Commission shall approve DEF’s Anclote and Bartow Stations 316(b) Rule Compliance Plan Projects for cost recovery through the Environmental Cost Recovery Clause</w:t>
      </w:r>
      <w:r>
        <w:rPr>
          <w:rFonts w:ascii="Times New Roman" w:eastAsia="Calibri" w:hAnsi="Times New Roman"/>
          <w:sz w:val="24"/>
          <w:szCs w:val="24"/>
        </w:rPr>
        <w:t>.</w:t>
      </w:r>
      <w:r w:rsidRPr="00B76152">
        <w:rPr>
          <w:rFonts w:ascii="Times New Roman" w:hAnsi="Times New Roman"/>
          <w:sz w:val="24"/>
          <w:szCs w:val="24"/>
        </w:rPr>
        <w:t xml:space="preserve"> </w:t>
      </w:r>
      <w:r w:rsidRPr="00E240DB">
        <w:rPr>
          <w:rFonts w:ascii="Times New Roman" w:hAnsi="Times New Roman"/>
          <w:sz w:val="24"/>
          <w:szCs w:val="24"/>
        </w:rPr>
        <w:t>In Order Nos. PSC-2004-0990-PAA-EI and PSC-2018-0014-FOF-EI, the Commission found that DEF’s Section 316(b) of the Clean Water Act Program (“316(b) Program”) met the criteria for recovery through the Environmental Cost Recovery Clause.  DEF’s Anclote and Bartow Stations 316(b) Compliance Plan Projects meet the criteria for recovery through the Envir</w:t>
      </w:r>
      <w:r>
        <w:rPr>
          <w:rFonts w:ascii="Times New Roman" w:hAnsi="Times New Roman"/>
          <w:sz w:val="24"/>
          <w:szCs w:val="24"/>
        </w:rPr>
        <w:t>onmental Cost Recovery Clause. </w:t>
      </w:r>
      <w:r w:rsidRPr="00E240DB">
        <w:rPr>
          <w:rFonts w:ascii="Times New Roman" w:hAnsi="Times New Roman"/>
          <w:sz w:val="24"/>
          <w:szCs w:val="24"/>
        </w:rPr>
        <w:t xml:space="preserve">DEF agrees that, after the Florida Department of Environmental Protection approves DEF’s compliance plans for Bartow and Anclote, respectively, through the issuance of the NPDES permit renewals, it will present its compliance plans, for each plant, as part of a future ECRC docket and has the burden of proving its plan and any associated costs are prudent. </w:t>
      </w:r>
    </w:p>
    <w:p w:rsidR="00DC48B2" w:rsidRPr="00DC48B2" w:rsidRDefault="00DC48B2" w:rsidP="00DC48B2">
      <w:pPr>
        <w:spacing w:after="240"/>
        <w:jc w:val="both"/>
      </w:pPr>
    </w:p>
    <w:p w:rsidR="00DC48B2" w:rsidRPr="00DC48B2" w:rsidRDefault="00DC48B2" w:rsidP="00DC48B2">
      <w:pPr>
        <w:ind w:left="1440" w:hanging="1440"/>
        <w:jc w:val="both"/>
        <w:rPr>
          <w:rFonts w:eastAsia="Calibri"/>
          <w:b/>
        </w:rPr>
      </w:pPr>
      <w:r w:rsidRPr="00DC48B2">
        <w:rPr>
          <w:rFonts w:eastAsia="Calibri"/>
          <w:b/>
          <w:u w:val="single"/>
        </w:rPr>
        <w:t>ISSUE 12:</w:t>
      </w:r>
      <w:r w:rsidRPr="00DC48B2">
        <w:rPr>
          <w:rFonts w:eastAsia="Calibri"/>
        </w:rPr>
        <w:tab/>
      </w:r>
      <w:r w:rsidRPr="00DC48B2">
        <w:rPr>
          <w:rFonts w:eastAsia="Calibri"/>
          <w:b/>
        </w:rPr>
        <w:t>How should any approved Environmental Cost Recovery Clause costs associated with DEF’s Anclote and Bartow Stations 316(b) Rule Compliance Plan Projects be allocated to the rate classes</w:t>
      </w:r>
    </w:p>
    <w:p w:rsidR="00DC48B2" w:rsidRPr="00DC48B2" w:rsidRDefault="00DC48B2" w:rsidP="00DC48B2">
      <w:pPr>
        <w:jc w:val="both"/>
      </w:pPr>
    </w:p>
    <w:p w:rsidR="00DC48B2" w:rsidRDefault="00DC48B2" w:rsidP="004A78DF">
      <w:pPr>
        <w:ind w:left="1440"/>
        <w:jc w:val="both"/>
      </w:pPr>
      <w:r w:rsidRPr="00DC48B2">
        <w:t>Consistent with Order No. PSC-2018-0014-FOF-EI by which the Commission approved the cost allocation for DEF’s 316(b) Program at Crystal River North, Capital and O&amp;M costs for the Anclote and Bartow 316(b) Programs shall be allocated on a demand basis.</w:t>
      </w:r>
    </w:p>
    <w:p w:rsidR="004A78DF" w:rsidRPr="004A78DF" w:rsidRDefault="004A78DF" w:rsidP="004A78DF">
      <w:pPr>
        <w:ind w:left="1440"/>
        <w:jc w:val="both"/>
      </w:pPr>
    </w:p>
    <w:p w:rsidR="00DC48B2" w:rsidRPr="00DC48B2" w:rsidRDefault="00DC48B2" w:rsidP="00DC48B2">
      <w:pPr>
        <w:ind w:left="1440" w:hanging="1440"/>
        <w:jc w:val="both"/>
        <w:rPr>
          <w:color w:val="000000"/>
        </w:rPr>
      </w:pPr>
      <w:r w:rsidRPr="00DC48B2">
        <w:rPr>
          <w:color w:val="000000"/>
        </w:rPr>
        <w:t>Florida Power &amp; Light Company:</w:t>
      </w:r>
    </w:p>
    <w:p w:rsidR="00DC48B2" w:rsidRPr="00DC48B2" w:rsidRDefault="00DC48B2" w:rsidP="00DC48B2">
      <w:pPr>
        <w:ind w:left="1440" w:hanging="1440"/>
        <w:jc w:val="both"/>
        <w:rPr>
          <w:color w:val="000000"/>
        </w:rPr>
      </w:pPr>
    </w:p>
    <w:p w:rsidR="00DC48B2" w:rsidRPr="00DC48B2" w:rsidRDefault="00DC48B2" w:rsidP="00DC48B2">
      <w:pPr>
        <w:ind w:left="1440" w:hanging="1440"/>
        <w:jc w:val="both"/>
        <w:rPr>
          <w:rFonts w:eastAsia="Calibri"/>
          <w:b/>
        </w:rPr>
      </w:pPr>
      <w:r w:rsidRPr="00DC48B2">
        <w:rPr>
          <w:rFonts w:eastAsia="Calibri"/>
          <w:b/>
          <w:u w:val="single"/>
        </w:rPr>
        <w:t>ISSUE 13:</w:t>
      </w:r>
      <w:r w:rsidRPr="00DC48B2">
        <w:rPr>
          <w:rFonts w:eastAsia="Calibri"/>
        </w:rPr>
        <w:tab/>
      </w:r>
      <w:r w:rsidRPr="00DC48B2">
        <w:rPr>
          <w:rFonts w:eastAsia="Calibri"/>
          <w:b/>
        </w:rPr>
        <w:t>Should FPL be allowed to recover, through the ECRC, prudently incurred costs associated with its proposed Power Plant Intake Protected Species Project?</w:t>
      </w:r>
    </w:p>
    <w:p w:rsidR="00DC48B2" w:rsidRPr="00DC48B2" w:rsidRDefault="00DC48B2" w:rsidP="00DC48B2">
      <w:pPr>
        <w:ind w:left="1440" w:hanging="1440"/>
        <w:jc w:val="both"/>
        <w:rPr>
          <w:rFonts w:eastAsia="Calibri"/>
          <w:b/>
        </w:rPr>
      </w:pPr>
    </w:p>
    <w:p w:rsidR="00DC48B2" w:rsidRPr="00DC48B2" w:rsidRDefault="00DC48B2" w:rsidP="00DC48B2">
      <w:pPr>
        <w:spacing w:after="240"/>
        <w:ind w:left="1440"/>
        <w:jc w:val="both"/>
        <w:rPr>
          <w:rFonts w:eastAsia="Calibri"/>
        </w:rPr>
      </w:pPr>
      <w:r w:rsidRPr="00DC48B2">
        <w:rPr>
          <w:rFonts w:eastAsia="Calibri"/>
        </w:rPr>
        <w:t>FPL shall be allowed to recover, through the ECRC, prudently incurred costs associated with its proposed Power Plant Intake Protected Species Project.  Under the United States Endangered Species Act (“ESA”) (16 U.S.C. § 1531 et seq.), the Marine Mammal Protection Act (“MMPA”) (16 U.S.C. § 1361-1407) and Chapter 68A-27 of the Florida Administrative Code, FPL is required to avoid the “take” of species listed as endangered or threatened.</w:t>
      </w:r>
    </w:p>
    <w:p w:rsidR="00DC48B2" w:rsidRPr="00DC48B2" w:rsidRDefault="00DC48B2" w:rsidP="00DC48B2">
      <w:pPr>
        <w:spacing w:after="240"/>
        <w:ind w:left="1440"/>
        <w:jc w:val="both"/>
        <w:rPr>
          <w:rFonts w:eastAsia="Calibri"/>
        </w:rPr>
      </w:pPr>
      <w:r w:rsidRPr="00DC48B2">
        <w:rPr>
          <w:rFonts w:eastAsia="Calibri"/>
        </w:rPr>
        <w:lastRenderedPageBreak/>
        <w:t>Recently, FPL power plants have had interactions with the smalltooth sawfish and the Florida manatee which are listed as an endangered and threatened species, respectively, under the ESA. FPL has received letters from NOAA Fisheries and the USFWS stating that pursuant to the ESA, FPL must undertake measures to address the unauthorized takes of these species. In order to prevent further take of the species, FPL plans to hire consultants to evaluate and recommend design solutions that will be proposed to the environmental agencies. FPL will implement the agreed upon solution.</w:t>
      </w:r>
    </w:p>
    <w:p w:rsidR="00DC48B2" w:rsidRPr="00DC48B2" w:rsidRDefault="00DC48B2" w:rsidP="00DC48B2">
      <w:pPr>
        <w:ind w:left="1440" w:hanging="1440"/>
        <w:jc w:val="both"/>
      </w:pPr>
      <w:r w:rsidRPr="00DC48B2">
        <w:rPr>
          <w:b/>
          <w:bCs/>
        </w:rPr>
        <w:tab/>
      </w:r>
      <w:r w:rsidRPr="00DC48B2">
        <w:rPr>
          <w:bCs/>
        </w:rPr>
        <w:t xml:space="preserve">Although included in FPL’s proposal, the appropriateness of costs related to the manatee calf will be litigated in the 2021 hearing cycle.  </w:t>
      </w:r>
    </w:p>
    <w:p w:rsidR="00DC48B2" w:rsidRPr="00DC48B2" w:rsidRDefault="00DC48B2" w:rsidP="00DC48B2">
      <w:pPr>
        <w:ind w:left="1440" w:hanging="1440"/>
        <w:jc w:val="both"/>
        <w:rPr>
          <w:rFonts w:eastAsia="Calibri"/>
        </w:rPr>
      </w:pPr>
    </w:p>
    <w:p w:rsidR="00DC48B2" w:rsidRPr="00DC48B2" w:rsidRDefault="00DC48B2" w:rsidP="00DC48B2">
      <w:pPr>
        <w:ind w:left="1440" w:hanging="1440"/>
        <w:jc w:val="both"/>
        <w:rPr>
          <w:rFonts w:eastAsia="Calibri"/>
          <w:b/>
        </w:rPr>
      </w:pPr>
      <w:r w:rsidRPr="00DC48B2">
        <w:rPr>
          <w:rFonts w:eastAsia="Calibri"/>
          <w:b/>
          <w:u w:val="single"/>
        </w:rPr>
        <w:t>ISSUE 14:</w:t>
      </w:r>
      <w:r w:rsidRPr="00DC48B2">
        <w:rPr>
          <w:rFonts w:eastAsia="Calibri"/>
        </w:rPr>
        <w:tab/>
      </w:r>
      <w:r w:rsidRPr="00DC48B2">
        <w:rPr>
          <w:rFonts w:eastAsia="Calibri"/>
          <w:b/>
        </w:rPr>
        <w:t>How should any approved Environmental Cost Recovery Clause costs associated with FPL’s proposed Power Plant Intake Protected Species Project be allocated to rate classes</w:t>
      </w:r>
    </w:p>
    <w:p w:rsidR="00DC48B2" w:rsidRPr="00DC48B2" w:rsidRDefault="00DC48B2" w:rsidP="00DC48B2">
      <w:pPr>
        <w:ind w:left="1440" w:hanging="1440"/>
        <w:jc w:val="both"/>
        <w:rPr>
          <w:rFonts w:eastAsia="Calibri"/>
          <w:b/>
        </w:rPr>
      </w:pPr>
    </w:p>
    <w:p w:rsidR="00DC48B2" w:rsidRPr="00DC48B2" w:rsidRDefault="00DC48B2" w:rsidP="00DC48B2">
      <w:pPr>
        <w:spacing w:after="240"/>
        <w:ind w:left="1440"/>
        <w:jc w:val="both"/>
      </w:pPr>
      <w:r w:rsidRPr="00DC48B2">
        <w:t>O&amp;M and Capital costs associated with FPL’s proposed Power Plant Intake Protected Species Project shall be allocated to rate classes based on 100% CP Demand.</w:t>
      </w:r>
    </w:p>
    <w:p w:rsidR="00DC48B2" w:rsidRPr="00DC48B2" w:rsidRDefault="00DC48B2" w:rsidP="00DC48B2">
      <w:pPr>
        <w:ind w:left="1440" w:hanging="1440"/>
        <w:jc w:val="both"/>
        <w:rPr>
          <w:rFonts w:eastAsia="Calibri"/>
          <w:b/>
        </w:rPr>
      </w:pPr>
      <w:r w:rsidRPr="00DC48B2">
        <w:rPr>
          <w:rFonts w:eastAsia="Calibri"/>
          <w:b/>
          <w:u w:val="single"/>
        </w:rPr>
        <w:t>ISSUE 15:</w:t>
      </w:r>
      <w:r w:rsidRPr="00DC48B2">
        <w:rPr>
          <w:rFonts w:eastAsia="Calibri"/>
        </w:rPr>
        <w:tab/>
      </w:r>
      <w:r w:rsidRPr="00DC48B2">
        <w:rPr>
          <w:rFonts w:eastAsia="Calibri"/>
          <w:b/>
        </w:rPr>
        <w:t>Should FPL be allowed to recover, through the ECRC, prudently incurred costs associated with its proposed modification to its Turkey Point Cooling Canal Monitoring Plan Project</w:t>
      </w:r>
    </w:p>
    <w:p w:rsidR="00DC48B2" w:rsidRPr="00DC48B2" w:rsidRDefault="00DC48B2" w:rsidP="00DC48B2">
      <w:pPr>
        <w:jc w:val="both"/>
      </w:pPr>
    </w:p>
    <w:p w:rsidR="00DC48B2" w:rsidRPr="00DC48B2" w:rsidRDefault="00DC48B2" w:rsidP="00DC48B2">
      <w:pPr>
        <w:ind w:left="1440" w:hanging="1440"/>
        <w:jc w:val="both"/>
      </w:pPr>
      <w:r w:rsidRPr="00DC48B2">
        <w:rPr>
          <w:bCs/>
        </w:rPr>
        <w:tab/>
        <w:t xml:space="preserve">Although included in FPL’s proposal, the appropriateness of costs related to proposed modification of the Turkey Point Cooling Canal Monitoring Plan Project will be litigated in the 2021 hearing cycle.  </w:t>
      </w:r>
    </w:p>
    <w:p w:rsidR="00D1317C" w:rsidRDefault="00D1317C" w:rsidP="00D1317C">
      <w:pPr>
        <w:ind w:left="1440" w:hanging="1440"/>
        <w:jc w:val="both"/>
        <w:rPr>
          <w:bCs/>
        </w:rPr>
      </w:pPr>
    </w:p>
    <w:p w:rsidR="00D1317C" w:rsidRDefault="00D1317C" w:rsidP="00D1317C">
      <w:pPr>
        <w:ind w:left="1440" w:hanging="1440"/>
        <w:jc w:val="both"/>
        <w:rPr>
          <w:bCs/>
        </w:rPr>
      </w:pPr>
    </w:p>
    <w:p w:rsidR="00D1317C" w:rsidRPr="00A32DC5" w:rsidRDefault="00D1317C" w:rsidP="00D1317C">
      <w:pPr>
        <w:jc w:val="both"/>
        <w:rPr>
          <w:b/>
        </w:rPr>
      </w:pPr>
      <w:r w:rsidRPr="00A32DC5">
        <w:rPr>
          <w:b/>
        </w:rPr>
        <w:t>XI.</w:t>
      </w:r>
      <w:r w:rsidRPr="00A32DC5">
        <w:rPr>
          <w:b/>
        </w:rPr>
        <w:tab/>
      </w:r>
      <w:r w:rsidRPr="00A32DC5">
        <w:rPr>
          <w:b/>
          <w:u w:val="single"/>
        </w:rPr>
        <w:t>PENDING MOTIONS</w:t>
      </w:r>
    </w:p>
    <w:p w:rsidR="00D1317C" w:rsidRPr="00701945" w:rsidRDefault="00D1317C" w:rsidP="00D1317C">
      <w:pPr>
        <w:jc w:val="both"/>
      </w:pPr>
    </w:p>
    <w:p w:rsidR="00D1317C" w:rsidRPr="00F50D54" w:rsidRDefault="00D1317C" w:rsidP="00D1317C">
      <w:pPr>
        <w:ind w:firstLine="720"/>
        <w:jc w:val="both"/>
      </w:pPr>
      <w:r w:rsidRPr="00F50D54">
        <w:t>There are no pending motions at this time.</w:t>
      </w:r>
    </w:p>
    <w:p w:rsidR="00D1317C" w:rsidRPr="00F50D54" w:rsidRDefault="00D1317C" w:rsidP="00D1317C">
      <w:pPr>
        <w:jc w:val="both"/>
      </w:pPr>
    </w:p>
    <w:p w:rsidR="00D1317C" w:rsidRPr="00F50D54" w:rsidRDefault="00D1317C" w:rsidP="00D1317C">
      <w:pPr>
        <w:jc w:val="both"/>
      </w:pPr>
    </w:p>
    <w:p w:rsidR="00D1317C" w:rsidRPr="00A32DC5" w:rsidRDefault="00D1317C" w:rsidP="00D1317C">
      <w:pPr>
        <w:jc w:val="both"/>
        <w:rPr>
          <w:b/>
        </w:rPr>
      </w:pPr>
      <w:r w:rsidRPr="00A32DC5">
        <w:rPr>
          <w:b/>
        </w:rPr>
        <w:t>XII.</w:t>
      </w:r>
      <w:r w:rsidRPr="00A32DC5">
        <w:rPr>
          <w:b/>
        </w:rPr>
        <w:tab/>
      </w:r>
      <w:r w:rsidRPr="00A32DC5">
        <w:rPr>
          <w:b/>
          <w:u w:val="single"/>
        </w:rPr>
        <w:t>PENDING CONFIDENTIALITY MATTERS</w:t>
      </w:r>
    </w:p>
    <w:p w:rsidR="00D1317C" w:rsidRDefault="00D1317C" w:rsidP="00D1317C">
      <w:pPr>
        <w:jc w:val="both"/>
      </w:pPr>
    </w:p>
    <w:p w:rsidR="00D1317C" w:rsidRPr="00F50D54" w:rsidRDefault="00D1317C" w:rsidP="00D1317C">
      <w:pPr>
        <w:ind w:firstLine="720"/>
        <w:jc w:val="both"/>
      </w:pPr>
      <w:r w:rsidRPr="00F50D54">
        <w:t>There are no pending confidentiality matters at this time.</w:t>
      </w:r>
    </w:p>
    <w:p w:rsidR="00D1317C" w:rsidRPr="00F50D54" w:rsidRDefault="00D1317C" w:rsidP="00D1317C">
      <w:pPr>
        <w:jc w:val="both"/>
      </w:pPr>
    </w:p>
    <w:p w:rsidR="00D1317C" w:rsidRPr="00F50D54" w:rsidRDefault="00D1317C" w:rsidP="00D1317C">
      <w:pPr>
        <w:jc w:val="both"/>
      </w:pPr>
    </w:p>
    <w:p w:rsidR="00D1317C" w:rsidRPr="00A32DC5" w:rsidRDefault="00D1317C" w:rsidP="00D1317C">
      <w:pPr>
        <w:jc w:val="both"/>
        <w:rPr>
          <w:b/>
        </w:rPr>
      </w:pPr>
      <w:r w:rsidRPr="00A32DC5">
        <w:rPr>
          <w:b/>
        </w:rPr>
        <w:t>XIII.</w:t>
      </w:r>
      <w:r w:rsidRPr="00A32DC5">
        <w:rPr>
          <w:b/>
        </w:rPr>
        <w:tab/>
      </w:r>
      <w:r w:rsidRPr="00A32DC5">
        <w:rPr>
          <w:b/>
          <w:u w:val="single"/>
        </w:rPr>
        <w:t>POST-HEARING PROCEDURES</w:t>
      </w:r>
    </w:p>
    <w:p w:rsidR="00D1317C" w:rsidRPr="00701945" w:rsidRDefault="00D1317C" w:rsidP="00D1317C">
      <w:pPr>
        <w:jc w:val="both"/>
      </w:pPr>
    </w:p>
    <w:p w:rsidR="00D1317C" w:rsidRPr="00701945" w:rsidRDefault="00D1317C" w:rsidP="00D1317C">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w:t>
      </w:r>
      <w:r w:rsidRPr="00701945">
        <w:lastRenderedPageBreak/>
        <w:t xml:space="preserve">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rsidR="00D1317C" w:rsidRPr="00701945" w:rsidRDefault="00D1317C" w:rsidP="00D1317C">
      <w:pPr>
        <w:jc w:val="both"/>
      </w:pPr>
    </w:p>
    <w:p w:rsidR="00D1317C" w:rsidRPr="00701945" w:rsidRDefault="00D1317C" w:rsidP="00D1317C">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D1317C" w:rsidRDefault="00D1317C" w:rsidP="00D1317C">
      <w:pPr>
        <w:jc w:val="both"/>
      </w:pPr>
    </w:p>
    <w:p w:rsidR="00D1317C" w:rsidRPr="00A32DC5" w:rsidRDefault="00D1317C" w:rsidP="00D1317C">
      <w:pPr>
        <w:jc w:val="both"/>
        <w:rPr>
          <w:b/>
        </w:rPr>
      </w:pPr>
      <w:r w:rsidRPr="00A32DC5">
        <w:rPr>
          <w:b/>
        </w:rPr>
        <w:t>XIV.</w:t>
      </w:r>
      <w:r w:rsidRPr="00A32DC5">
        <w:rPr>
          <w:b/>
        </w:rPr>
        <w:tab/>
      </w:r>
      <w:r w:rsidRPr="00A32DC5">
        <w:rPr>
          <w:b/>
          <w:u w:val="single"/>
        </w:rPr>
        <w:t>RULINGS</w:t>
      </w:r>
    </w:p>
    <w:p w:rsidR="00D1317C" w:rsidRPr="00701945" w:rsidRDefault="00D1317C" w:rsidP="00D1317C">
      <w:pPr>
        <w:jc w:val="both"/>
      </w:pPr>
    </w:p>
    <w:p w:rsidR="00654FC3" w:rsidRDefault="00D1317C" w:rsidP="00D1317C">
      <w:pPr>
        <w:ind w:firstLine="720"/>
        <w:jc w:val="both"/>
      </w:pPr>
      <w:r w:rsidRPr="00701945">
        <w:t xml:space="preserve">Opening statements, if any, shall not exceed </w:t>
      </w:r>
      <w:r>
        <w:t>five</w:t>
      </w:r>
      <w:r w:rsidRPr="00701945">
        <w:t xml:space="preserve"> minutes per party.</w:t>
      </w:r>
      <w:r>
        <w:t xml:space="preserve"> </w:t>
      </w:r>
    </w:p>
    <w:p w:rsidR="00654FC3" w:rsidRDefault="00654FC3" w:rsidP="00D1317C">
      <w:pPr>
        <w:ind w:firstLine="720"/>
        <w:jc w:val="both"/>
      </w:pPr>
    </w:p>
    <w:p w:rsidR="00952F53" w:rsidRDefault="00654FC3" w:rsidP="00D1317C">
      <w:pPr>
        <w:ind w:firstLine="720"/>
        <w:jc w:val="both"/>
      </w:pPr>
      <w:r>
        <w:t xml:space="preserve">Each witness shall be given three minutes for a summary of their testimony. </w:t>
      </w:r>
    </w:p>
    <w:p w:rsidR="00654FC3" w:rsidRDefault="00654FC3" w:rsidP="00D1317C">
      <w:pPr>
        <w:ind w:firstLine="720"/>
        <w:jc w:val="both"/>
      </w:pPr>
    </w:p>
    <w:p w:rsidR="00952F53" w:rsidRDefault="00952F53" w:rsidP="00952F53">
      <w:pPr>
        <w:ind w:firstLine="720"/>
        <w:jc w:val="both"/>
      </w:pPr>
      <w:r>
        <w:t>The parties shall provide cross-examination exhibits, including impeachment exhibits, to the Commission Clerk by</w:t>
      </w:r>
      <w:r>
        <w:rPr>
          <w:b/>
        </w:rPr>
        <w:t xml:space="preserve"> October 27, 2020</w:t>
      </w:r>
      <w:r>
        <w:t xml:space="preserve">, following the procedures set forth in Attachment A. The exhibits that are pre-filed and designated as cross-examination or impeachment exhibits shall not be viewed by opposing witnesses or opposing counsel or otherwise have their contents or identity communicated to such witnesses or counsel.  </w:t>
      </w:r>
    </w:p>
    <w:p w:rsidR="006B30AE" w:rsidRDefault="006B30AE" w:rsidP="00952F53">
      <w:pPr>
        <w:ind w:firstLine="720"/>
        <w:jc w:val="both"/>
      </w:pPr>
    </w:p>
    <w:p w:rsidR="00D1317C" w:rsidRPr="00701945" w:rsidRDefault="00F5200A" w:rsidP="00D1317C">
      <w:pPr>
        <w:jc w:val="both"/>
      </w:pPr>
      <w:r>
        <w:tab/>
      </w:r>
      <w:r w:rsidR="00D1317C" w:rsidRPr="00701945">
        <w:t>It is therefore,</w:t>
      </w:r>
    </w:p>
    <w:p w:rsidR="00D1317C" w:rsidRPr="00701945" w:rsidRDefault="00D1317C" w:rsidP="00D1317C">
      <w:pPr>
        <w:jc w:val="both"/>
      </w:pPr>
    </w:p>
    <w:p w:rsidR="00D1317C" w:rsidRDefault="00D1317C" w:rsidP="00D1317C">
      <w:pPr>
        <w:jc w:val="both"/>
      </w:pPr>
      <w:r w:rsidRPr="00701945">
        <w:tab/>
        <w:t xml:space="preserve">ORDERED by Commissioner </w:t>
      </w:r>
      <w:r>
        <w:t>Andrew Giles Fay</w:t>
      </w:r>
      <w:r w:rsidRPr="00701945">
        <w:t>, as Prehearing Officer, that this Prehearing Order shall govern the conduct of these proceedings as set forth above unless modified by the Commission.</w:t>
      </w:r>
    </w:p>
    <w:p w:rsidR="00D1317C" w:rsidRDefault="00D1317C" w:rsidP="00D1317C">
      <w:pPr>
        <w:jc w:val="both"/>
      </w:pPr>
    </w:p>
    <w:p w:rsidR="00D1317C" w:rsidRDefault="00D1317C" w:rsidP="00D1317C">
      <w:pPr>
        <w:keepNext/>
        <w:keepLines/>
        <w:jc w:val="both"/>
      </w:pPr>
      <w:r>
        <w:lastRenderedPageBreak/>
        <w:tab/>
        <w:t xml:space="preserve">By ORDER of Commissioner Andrew Giles Fay, as Prehearing Officer, this </w:t>
      </w:r>
      <w:bookmarkStart w:id="6" w:name="replaceDate"/>
      <w:bookmarkEnd w:id="6"/>
      <w:r w:rsidR="0083473B">
        <w:rPr>
          <w:u w:val="single"/>
        </w:rPr>
        <w:t>27th</w:t>
      </w:r>
      <w:r w:rsidR="0083473B">
        <w:t xml:space="preserve"> day of </w:t>
      </w:r>
      <w:r w:rsidR="0083473B">
        <w:rPr>
          <w:u w:val="single"/>
        </w:rPr>
        <w:t>October</w:t>
      </w:r>
      <w:r w:rsidR="0083473B">
        <w:t xml:space="preserve">, </w:t>
      </w:r>
      <w:r w:rsidR="0083473B">
        <w:rPr>
          <w:u w:val="single"/>
        </w:rPr>
        <w:t>2020</w:t>
      </w:r>
      <w:r w:rsidR="0083473B">
        <w:t>.</w:t>
      </w:r>
    </w:p>
    <w:p w:rsidR="0083473B" w:rsidRPr="0083473B" w:rsidRDefault="0083473B" w:rsidP="00D1317C">
      <w:pPr>
        <w:keepNext/>
        <w:keepLines/>
        <w:jc w:val="both"/>
      </w:pPr>
    </w:p>
    <w:p w:rsidR="00D1317C" w:rsidRDefault="00D1317C" w:rsidP="00D1317C">
      <w:pPr>
        <w:keepNext/>
        <w:keepLines/>
        <w:jc w:val="both"/>
      </w:pPr>
    </w:p>
    <w:p w:rsidR="00D1317C" w:rsidRDefault="00D1317C" w:rsidP="00D1317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1317C" w:rsidTr="00F856DC">
        <w:tc>
          <w:tcPr>
            <w:tcW w:w="720" w:type="dxa"/>
            <w:shd w:val="clear" w:color="auto" w:fill="auto"/>
          </w:tcPr>
          <w:p w:rsidR="00D1317C" w:rsidRDefault="00D1317C" w:rsidP="00F856DC">
            <w:pPr>
              <w:keepNext/>
              <w:keepLines/>
              <w:jc w:val="both"/>
            </w:pPr>
            <w:bookmarkStart w:id="7" w:name="bkmrkSignature" w:colFirst="0" w:colLast="0"/>
          </w:p>
        </w:tc>
        <w:tc>
          <w:tcPr>
            <w:tcW w:w="4320" w:type="dxa"/>
            <w:tcBorders>
              <w:bottom w:val="single" w:sz="4" w:space="0" w:color="auto"/>
            </w:tcBorders>
            <w:shd w:val="clear" w:color="auto" w:fill="auto"/>
          </w:tcPr>
          <w:p w:rsidR="00D1317C" w:rsidRDefault="00B306B9" w:rsidP="00D9404A">
            <w:pPr>
              <w:keepNext/>
              <w:keepLines/>
              <w:jc w:val="both"/>
            </w:pPr>
            <w:r>
              <w:rPr>
                <w:noProof/>
              </w:rPr>
              <w:t xml:space="preserve">/s/ </w:t>
            </w:r>
            <w:r w:rsidR="00D9404A">
              <w:t>Andrew Giles Fay</w:t>
            </w:r>
          </w:p>
        </w:tc>
      </w:tr>
      <w:bookmarkEnd w:id="7"/>
      <w:tr w:rsidR="00D1317C" w:rsidTr="00F856DC">
        <w:tc>
          <w:tcPr>
            <w:tcW w:w="720" w:type="dxa"/>
            <w:shd w:val="clear" w:color="auto" w:fill="auto"/>
          </w:tcPr>
          <w:p w:rsidR="00D1317C" w:rsidRDefault="00D1317C" w:rsidP="00F856DC">
            <w:pPr>
              <w:keepNext/>
              <w:keepLines/>
              <w:jc w:val="both"/>
            </w:pPr>
          </w:p>
        </w:tc>
        <w:tc>
          <w:tcPr>
            <w:tcW w:w="4320" w:type="dxa"/>
            <w:tcBorders>
              <w:top w:val="single" w:sz="4" w:space="0" w:color="auto"/>
            </w:tcBorders>
            <w:shd w:val="clear" w:color="auto" w:fill="auto"/>
          </w:tcPr>
          <w:p w:rsidR="00D1317C" w:rsidRDefault="00D1317C" w:rsidP="00F856DC">
            <w:pPr>
              <w:keepNext/>
              <w:keepLines/>
              <w:jc w:val="both"/>
            </w:pPr>
            <w:r>
              <w:t>ANDREW GILES FAY</w:t>
            </w:r>
          </w:p>
          <w:p w:rsidR="00D1317C" w:rsidRDefault="00D1317C" w:rsidP="00F856DC">
            <w:pPr>
              <w:keepNext/>
              <w:keepLines/>
              <w:jc w:val="both"/>
            </w:pPr>
            <w:r>
              <w:t>Commissioner and Prehearing Officer</w:t>
            </w:r>
          </w:p>
        </w:tc>
      </w:tr>
    </w:tbl>
    <w:p w:rsidR="00D1317C" w:rsidRDefault="00D1317C" w:rsidP="00D1317C">
      <w:pPr>
        <w:pStyle w:val="OrderSigInfo"/>
        <w:keepNext/>
        <w:keepLines/>
      </w:pPr>
      <w:r>
        <w:t>Florida Public Service Commission</w:t>
      </w:r>
    </w:p>
    <w:p w:rsidR="00D1317C" w:rsidRDefault="00D1317C" w:rsidP="00D1317C">
      <w:pPr>
        <w:pStyle w:val="OrderSigInfo"/>
        <w:keepNext/>
        <w:keepLines/>
      </w:pPr>
      <w:r>
        <w:t>2540 Shumard Oak Boulevard</w:t>
      </w:r>
      <w:bookmarkStart w:id="8" w:name="_GoBack"/>
      <w:bookmarkEnd w:id="8"/>
    </w:p>
    <w:p w:rsidR="00D1317C" w:rsidRDefault="00D1317C" w:rsidP="00D1317C">
      <w:pPr>
        <w:pStyle w:val="OrderSigInfo"/>
        <w:keepNext/>
        <w:keepLines/>
      </w:pPr>
      <w:r>
        <w:t>Tallahassee, Florida 32399</w:t>
      </w:r>
    </w:p>
    <w:p w:rsidR="00D1317C" w:rsidRDefault="00D1317C" w:rsidP="00D1317C">
      <w:pPr>
        <w:pStyle w:val="OrderSigInfo"/>
        <w:keepNext/>
        <w:keepLines/>
      </w:pPr>
      <w:r>
        <w:t>(850) 413</w:t>
      </w:r>
      <w:r>
        <w:noBreakHyphen/>
        <w:t>6770</w:t>
      </w:r>
    </w:p>
    <w:p w:rsidR="00D1317C" w:rsidRDefault="00D1317C" w:rsidP="00D1317C">
      <w:pPr>
        <w:pStyle w:val="OrderSigInfo"/>
        <w:keepNext/>
        <w:keepLines/>
      </w:pPr>
      <w:r>
        <w:t>www.floridapsc.com</w:t>
      </w:r>
    </w:p>
    <w:p w:rsidR="00D1317C" w:rsidRDefault="00D1317C" w:rsidP="00D1317C">
      <w:pPr>
        <w:pStyle w:val="OrderSigInfo"/>
        <w:keepNext/>
        <w:keepLines/>
      </w:pPr>
    </w:p>
    <w:p w:rsidR="00D1317C" w:rsidRDefault="00D1317C" w:rsidP="00D1317C">
      <w:pPr>
        <w:pStyle w:val="OrderSigInfo"/>
        <w:keepNext/>
        <w:keepLines/>
      </w:pPr>
      <w:r>
        <w:t>Copies furnished:  A copy of this document is provided to the parties of record at the time of issuance and, if applicable, interested persons.</w:t>
      </w:r>
    </w:p>
    <w:p w:rsidR="00D1317C" w:rsidRDefault="00D1317C" w:rsidP="00D1317C">
      <w:pPr>
        <w:pStyle w:val="OrderBody"/>
        <w:keepNext/>
        <w:keepLines/>
      </w:pPr>
    </w:p>
    <w:p w:rsidR="00D1317C" w:rsidRDefault="00D1317C" w:rsidP="00D1317C">
      <w:pPr>
        <w:keepNext/>
        <w:keepLines/>
        <w:jc w:val="both"/>
      </w:pPr>
    </w:p>
    <w:p w:rsidR="00D1317C" w:rsidRDefault="00D1317C" w:rsidP="00D1317C">
      <w:pPr>
        <w:keepNext/>
        <w:keepLines/>
        <w:jc w:val="both"/>
      </w:pPr>
      <w:r>
        <w:t>CWM</w:t>
      </w:r>
    </w:p>
    <w:p w:rsidR="006B30AE" w:rsidRDefault="006B30AE" w:rsidP="00D1317C">
      <w:pPr>
        <w:jc w:val="both"/>
      </w:pPr>
    </w:p>
    <w:p w:rsidR="001F6819" w:rsidRDefault="001F6819" w:rsidP="0083473B">
      <w:pPr>
        <w:tabs>
          <w:tab w:val="left" w:pos="1540"/>
        </w:tabs>
        <w:jc w:val="both"/>
      </w:pPr>
    </w:p>
    <w:p w:rsidR="00D1317C" w:rsidRDefault="00D1317C" w:rsidP="00D1317C">
      <w:pPr>
        <w:pStyle w:val="CenterUnderline"/>
      </w:pPr>
      <w:r>
        <w:t>NOTICE OF FURTHER PROCEEDINGS OR JUDICIAL REVIEW</w:t>
      </w:r>
    </w:p>
    <w:p w:rsidR="00D1317C" w:rsidRDefault="00D1317C" w:rsidP="00D1317C">
      <w:pPr>
        <w:pStyle w:val="CenterUnderline"/>
      </w:pPr>
    </w:p>
    <w:p w:rsidR="00D1317C" w:rsidRDefault="00D1317C" w:rsidP="00D1317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1317C" w:rsidRDefault="00D1317C" w:rsidP="00D1317C">
      <w:pPr>
        <w:pStyle w:val="OrderBody"/>
      </w:pPr>
    </w:p>
    <w:p w:rsidR="00D1317C" w:rsidRDefault="00D1317C" w:rsidP="00D1317C">
      <w:pPr>
        <w:pStyle w:val="OrderBody"/>
      </w:pPr>
      <w:r>
        <w:tab/>
        <w:t>Mediation may be available on a case-by-case basis.  If mediation is conducted, it does not affect a substantially interested person's right to a hearing.</w:t>
      </w:r>
    </w:p>
    <w:p w:rsidR="00D1317C" w:rsidRDefault="00D1317C" w:rsidP="00D1317C">
      <w:pPr>
        <w:pStyle w:val="OrderBody"/>
      </w:pPr>
    </w:p>
    <w:p w:rsidR="00D1317C" w:rsidRDefault="00D1317C" w:rsidP="00D131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1317C" w:rsidRDefault="00D1317C" w:rsidP="00CD50DE">
      <w:pPr>
        <w:ind w:left="1440" w:hanging="1440"/>
        <w:jc w:val="both"/>
        <w:rPr>
          <w:b/>
          <w:bCs/>
        </w:rPr>
        <w:sectPr w:rsidR="00D1317C">
          <w:headerReference w:type="default" r:id="rId8"/>
          <w:footerReference w:type="first" r:id="rId9"/>
          <w:pgSz w:w="12240" w:h="15840" w:code="1"/>
          <w:pgMar w:top="1440" w:right="1440" w:bottom="1440" w:left="1440" w:header="720" w:footer="720" w:gutter="0"/>
          <w:cols w:space="720"/>
          <w:titlePg/>
          <w:docGrid w:linePitch="360"/>
        </w:sectPr>
      </w:pPr>
    </w:p>
    <w:p w:rsidR="00D1317C" w:rsidRDefault="00D1317C" w:rsidP="00CD50DE">
      <w:pPr>
        <w:ind w:left="1440" w:hanging="1440"/>
        <w:jc w:val="both"/>
        <w:rPr>
          <w:b/>
          <w:bCs/>
        </w:rPr>
      </w:pPr>
    </w:p>
    <w:p w:rsidR="00D1317C" w:rsidRPr="007C4EED" w:rsidRDefault="00D1317C" w:rsidP="00D1317C">
      <w:pPr>
        <w:jc w:val="center"/>
        <w:rPr>
          <w:b/>
          <w:u w:val="single"/>
        </w:rPr>
      </w:pPr>
      <w:r w:rsidRPr="007C4EED">
        <w:rPr>
          <w:b/>
          <w:u w:val="single"/>
        </w:rPr>
        <w:t>ATTACHMENT A</w:t>
      </w:r>
    </w:p>
    <w:p w:rsidR="00D1317C" w:rsidRPr="007C4EED" w:rsidRDefault="00D1317C" w:rsidP="00D1317C">
      <w:pPr>
        <w:jc w:val="center"/>
      </w:pPr>
    </w:p>
    <w:p w:rsidR="00D1317C" w:rsidRPr="007C4EED" w:rsidRDefault="00D1317C" w:rsidP="00D1317C">
      <w:pPr>
        <w:jc w:val="both"/>
        <w:rPr>
          <w:b/>
          <w:u w:val="single"/>
        </w:rPr>
      </w:pPr>
      <w:r w:rsidRPr="007C4EED">
        <w:rPr>
          <w:b/>
          <w:u w:val="single"/>
        </w:rPr>
        <w:t>Requirements related to providing Cross-Examination Exhibits prior to Hearing</w:t>
      </w:r>
    </w:p>
    <w:p w:rsidR="00D1317C" w:rsidRPr="007C4EED" w:rsidRDefault="00D1317C" w:rsidP="00D1317C">
      <w:pPr>
        <w:jc w:val="both"/>
        <w:rPr>
          <w:b/>
          <w:u w:val="single"/>
        </w:rPr>
      </w:pPr>
    </w:p>
    <w:p w:rsidR="00D1317C" w:rsidRPr="007C4EED" w:rsidRDefault="00D1317C" w:rsidP="00D1317C">
      <w:pPr>
        <w:jc w:val="both"/>
      </w:pPr>
      <w:r w:rsidRPr="007C4EED">
        <w:rPr>
          <w:b/>
        </w:rPr>
        <w:tab/>
      </w:r>
      <w:r w:rsidRPr="007C4EED">
        <w:t xml:space="preserve">By </w:t>
      </w:r>
      <w:r>
        <w:t xml:space="preserve">October 27, </w:t>
      </w:r>
      <w:r w:rsidRPr="007C4EED">
        <w:t xml:space="preserve">2020, each party must provide the Commission Clerk an electronic copy of all cross-examination exhibits, including impeachment exhibits, the party plans to use during the hearing.  All cross-examination exhibits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will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rsidR="00D1317C" w:rsidRPr="007C4EED" w:rsidRDefault="00D1317C" w:rsidP="00D1317C">
      <w:pPr>
        <w:jc w:val="both"/>
      </w:pPr>
    </w:p>
    <w:p w:rsidR="00D1317C" w:rsidRPr="007C4EED" w:rsidRDefault="00D1317C" w:rsidP="00D1317C">
      <w:pPr>
        <w:ind w:firstLine="720"/>
        <w:jc w:val="both"/>
      </w:pPr>
      <w:r w:rsidRPr="007C4EED">
        <w:t xml:space="preserve">Each party must also provide to the Clerk by </w:t>
      </w:r>
      <w:r>
        <w:t>October 27, 2020</w:t>
      </w:r>
      <w:r w:rsidRPr="007C4EED">
        <w:t>, a table listing the exhibit numbers and short titles of each cross-examination exhibit provided to the Clerk. Pursuant to Rule 25-22.006(3), F.A.C., a notice of intent to request confidential classification must be filed for all confidential information.</w:t>
      </w:r>
    </w:p>
    <w:p w:rsidR="00D1317C" w:rsidRPr="007C4EED" w:rsidRDefault="00D1317C" w:rsidP="00D1317C">
      <w:pPr>
        <w:jc w:val="both"/>
      </w:pPr>
    </w:p>
    <w:p w:rsidR="00D1317C" w:rsidRPr="007C4EED" w:rsidRDefault="00D1317C" w:rsidP="00D1317C">
      <w:pPr>
        <w:jc w:val="both"/>
      </w:pPr>
      <w:r w:rsidRPr="007C4EED">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rsidR="00D1317C" w:rsidRPr="007C4EED" w:rsidRDefault="00D1317C" w:rsidP="00D1317C">
      <w:pPr>
        <w:jc w:val="both"/>
      </w:pPr>
    </w:p>
    <w:p w:rsidR="00D1317C" w:rsidRPr="007C4EED" w:rsidRDefault="00D1317C" w:rsidP="00D1317C">
      <w:pPr>
        <w:jc w:val="both"/>
      </w:pPr>
      <w:r w:rsidRPr="007C4EED">
        <w:tab/>
        <w:t>Each exhibit must be saved as a separate electronic file, and each file must be labeled with the exhibit number that reflects the informa</w:t>
      </w:r>
      <w:r w:rsidR="00EB61AB">
        <w:t xml:space="preserve">tion contained in the exhibit. </w:t>
      </w:r>
      <w:r w:rsidRPr="007C4EED">
        <w:t>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rsidR="00D1317C" w:rsidRPr="007C4EED" w:rsidRDefault="00D1317C" w:rsidP="00D1317C">
      <w:pPr>
        <w:jc w:val="both"/>
      </w:pPr>
    </w:p>
    <w:p w:rsidR="00D1317C" w:rsidRDefault="00D1317C" w:rsidP="00D1317C">
      <w:pPr>
        <w:jc w:val="both"/>
      </w:pPr>
      <w:r w:rsidRPr="007C4EED">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sidRPr="007C4EED">
        <w:rPr>
          <w:vertAlign w:val="superscript"/>
        </w:rPr>
        <w:footnoteReference w:id="2"/>
      </w:r>
      <w:r w:rsidRPr="007C4EED">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By</w:t>
      </w:r>
      <w:r>
        <w:t xml:space="preserve"> October 27</w:t>
      </w:r>
      <w:r w:rsidRPr="007C4EED">
        <w:t>, 2020, parties must provide the Commission Clerk with the list of names of those persons who should be given a user name and password to access confidential information.</w:t>
      </w:r>
    </w:p>
    <w:p w:rsidR="00D1317C" w:rsidRDefault="00D1317C" w:rsidP="00CD50DE">
      <w:pPr>
        <w:ind w:left="1440" w:hanging="1440"/>
        <w:jc w:val="both"/>
        <w:rPr>
          <w:b/>
          <w:bCs/>
        </w:rPr>
      </w:pPr>
    </w:p>
    <w:sectPr w:rsidR="00D1317C">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6BB" w:rsidRDefault="005C06BB">
      <w:r>
        <w:separator/>
      </w:r>
    </w:p>
  </w:endnote>
  <w:endnote w:type="continuationSeparator" w:id="0">
    <w:p w:rsidR="005C06BB" w:rsidRDefault="005C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DD4" w:rsidRDefault="00344DD4">
    <w:pPr>
      <w:pStyle w:val="Footer"/>
    </w:pPr>
  </w:p>
  <w:p w:rsidR="00344DD4" w:rsidRDefault="00344D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6BB" w:rsidRDefault="005C06BB">
      <w:r>
        <w:separator/>
      </w:r>
    </w:p>
  </w:footnote>
  <w:footnote w:type="continuationSeparator" w:id="0">
    <w:p w:rsidR="005C06BB" w:rsidRDefault="005C06BB">
      <w:r>
        <w:continuationSeparator/>
      </w:r>
    </w:p>
  </w:footnote>
  <w:footnote w:id="1">
    <w:p w:rsidR="00344DD4" w:rsidRDefault="00344DD4" w:rsidP="00DC48B2">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 w:id="2">
    <w:p w:rsidR="00344DD4" w:rsidRDefault="00344DD4" w:rsidP="00D1317C">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DD4" w:rsidRDefault="00344DD4">
    <w:pPr>
      <w:pStyle w:val="OrderHeader"/>
    </w:pPr>
    <w:r>
      <w:t xml:space="preserve">ORDER NO. </w:t>
    </w:r>
    <w:r w:rsidR="00D9404A">
      <w:fldChar w:fldCharType="begin"/>
    </w:r>
    <w:r w:rsidR="00D9404A">
      <w:instrText xml:space="preserve"> REF OrderNo0411 </w:instrText>
    </w:r>
    <w:r w:rsidR="00D9404A">
      <w:fldChar w:fldCharType="separate"/>
    </w:r>
    <w:r w:rsidR="00B306B9">
      <w:t>PSC-2020-0411-PHO-EI</w:t>
    </w:r>
    <w:r w:rsidR="00D9404A">
      <w:fldChar w:fldCharType="end"/>
    </w:r>
  </w:p>
  <w:p w:rsidR="00344DD4" w:rsidRDefault="00344DD4">
    <w:pPr>
      <w:pStyle w:val="OrderHeader"/>
    </w:pPr>
    <w:bookmarkStart w:id="9" w:name="HeaderDocketNo"/>
    <w:bookmarkEnd w:id="9"/>
    <w:r>
      <w:t>DOCKET NO. 20200007-EI</w:t>
    </w:r>
  </w:p>
  <w:p w:rsidR="00344DD4" w:rsidRDefault="00344DD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9404A">
      <w:rPr>
        <w:rStyle w:val="PageNumber"/>
        <w:noProof/>
      </w:rPr>
      <w:t>33</w:t>
    </w:r>
    <w:r>
      <w:rPr>
        <w:rStyle w:val="PageNumber"/>
      </w:rPr>
      <w:fldChar w:fldCharType="end"/>
    </w:r>
  </w:p>
  <w:p w:rsidR="00344DD4" w:rsidRDefault="00344DD4">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DD4" w:rsidRDefault="00344DD4" w:rsidP="00D1317C">
    <w:pPr>
      <w:pStyle w:val="OrderHeader"/>
      <w:tabs>
        <w:tab w:val="left" w:pos="7200"/>
      </w:tabs>
    </w:pPr>
    <w:r>
      <w:t xml:space="preserve">ORDER NO. </w:t>
    </w:r>
    <w:fldSimple w:instr=" REF OrderNo0411 ">
      <w:r w:rsidR="00B306B9">
        <w:t>PSC-2020-0411-PHO-EI</w:t>
      </w:r>
    </w:fldSimple>
    <w:r>
      <w:tab/>
    </w:r>
    <w:r>
      <w:tab/>
      <w:t>Attachment A</w:t>
    </w:r>
  </w:p>
  <w:p w:rsidR="00344DD4" w:rsidRDefault="00344DD4" w:rsidP="00D1317C">
    <w:pPr>
      <w:pStyle w:val="OrderHeader"/>
    </w:pPr>
    <w:r>
      <w:t>DOCKET NO. 20200007-EI</w:t>
    </w:r>
  </w:p>
  <w:p w:rsidR="00344DD4" w:rsidRDefault="00344DD4" w:rsidP="00D1317C">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D9404A">
      <w:rPr>
        <w:rStyle w:val="PageNumber"/>
        <w:noProof/>
      </w:rPr>
      <w:t>35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7-EI"/>
  </w:docVars>
  <w:rsids>
    <w:rsidRoot w:val="004578E5"/>
    <w:rsid w:val="000022B8"/>
    <w:rsid w:val="00017464"/>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B6F28"/>
    <w:rsid w:val="001C2847"/>
    <w:rsid w:val="001C3BB5"/>
    <w:rsid w:val="001C3F8C"/>
    <w:rsid w:val="001C6097"/>
    <w:rsid w:val="001C7126"/>
    <w:rsid w:val="001D008A"/>
    <w:rsid w:val="001E0152"/>
    <w:rsid w:val="001E0FF5"/>
    <w:rsid w:val="001F4CA3"/>
    <w:rsid w:val="001F6819"/>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95ADA"/>
    <w:rsid w:val="00296D27"/>
    <w:rsid w:val="002A11AC"/>
    <w:rsid w:val="002A1E11"/>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4DD4"/>
    <w:rsid w:val="00345434"/>
    <w:rsid w:val="003456FB"/>
    <w:rsid w:val="0035495B"/>
    <w:rsid w:val="00355A93"/>
    <w:rsid w:val="00361522"/>
    <w:rsid w:val="0037196E"/>
    <w:rsid w:val="003744F5"/>
    <w:rsid w:val="003875A9"/>
    <w:rsid w:val="00387BDE"/>
    <w:rsid w:val="00390DD8"/>
    <w:rsid w:val="00394DC6"/>
    <w:rsid w:val="0039676B"/>
    <w:rsid w:val="00397C3E"/>
    <w:rsid w:val="003A22A4"/>
    <w:rsid w:val="003A74A8"/>
    <w:rsid w:val="003B1A09"/>
    <w:rsid w:val="003D4CCA"/>
    <w:rsid w:val="003D52A6"/>
    <w:rsid w:val="003D6416"/>
    <w:rsid w:val="003D6885"/>
    <w:rsid w:val="003E1D48"/>
    <w:rsid w:val="003E711F"/>
    <w:rsid w:val="003F1D2B"/>
    <w:rsid w:val="00411DF2"/>
    <w:rsid w:val="00411E8F"/>
    <w:rsid w:val="00416674"/>
    <w:rsid w:val="004247F5"/>
    <w:rsid w:val="0042527B"/>
    <w:rsid w:val="00427EAC"/>
    <w:rsid w:val="00437B2E"/>
    <w:rsid w:val="004431B4"/>
    <w:rsid w:val="0045537F"/>
    <w:rsid w:val="004578E5"/>
    <w:rsid w:val="00457DC7"/>
    <w:rsid w:val="004640B3"/>
    <w:rsid w:val="00472BCC"/>
    <w:rsid w:val="004A25CD"/>
    <w:rsid w:val="004A26CC"/>
    <w:rsid w:val="004A78DF"/>
    <w:rsid w:val="004B2108"/>
    <w:rsid w:val="004B3A2B"/>
    <w:rsid w:val="004B70D3"/>
    <w:rsid w:val="004C312D"/>
    <w:rsid w:val="004D2D1B"/>
    <w:rsid w:val="004D5067"/>
    <w:rsid w:val="004D6838"/>
    <w:rsid w:val="004D72BC"/>
    <w:rsid w:val="004E469D"/>
    <w:rsid w:val="004E7F4F"/>
    <w:rsid w:val="004F2DDE"/>
    <w:rsid w:val="004F601F"/>
    <w:rsid w:val="004F7826"/>
    <w:rsid w:val="0050097F"/>
    <w:rsid w:val="00514B1F"/>
    <w:rsid w:val="00520625"/>
    <w:rsid w:val="00523C5C"/>
    <w:rsid w:val="00525E93"/>
    <w:rsid w:val="0052671D"/>
    <w:rsid w:val="00526E08"/>
    <w:rsid w:val="005300C0"/>
    <w:rsid w:val="00540E6B"/>
    <w:rsid w:val="005437DF"/>
    <w:rsid w:val="00543A68"/>
    <w:rsid w:val="0055595D"/>
    <w:rsid w:val="00556A10"/>
    <w:rsid w:val="00557F50"/>
    <w:rsid w:val="005662CB"/>
    <w:rsid w:val="00571D3D"/>
    <w:rsid w:val="0058264B"/>
    <w:rsid w:val="005868AA"/>
    <w:rsid w:val="00590845"/>
    <w:rsid w:val="005963C2"/>
    <w:rsid w:val="005A0D69"/>
    <w:rsid w:val="005A31F4"/>
    <w:rsid w:val="005A73EA"/>
    <w:rsid w:val="005B45F7"/>
    <w:rsid w:val="005B63EA"/>
    <w:rsid w:val="005C06BB"/>
    <w:rsid w:val="005C1A88"/>
    <w:rsid w:val="005C5033"/>
    <w:rsid w:val="005E751B"/>
    <w:rsid w:val="005F3354"/>
    <w:rsid w:val="0060005E"/>
    <w:rsid w:val="0060095B"/>
    <w:rsid w:val="00601266"/>
    <w:rsid w:val="00610221"/>
    <w:rsid w:val="00610E73"/>
    <w:rsid w:val="00616DF2"/>
    <w:rsid w:val="0063168D"/>
    <w:rsid w:val="0063221E"/>
    <w:rsid w:val="00647025"/>
    <w:rsid w:val="0064730A"/>
    <w:rsid w:val="006531A4"/>
    <w:rsid w:val="00654FC3"/>
    <w:rsid w:val="00660774"/>
    <w:rsid w:val="0066389A"/>
    <w:rsid w:val="0066495C"/>
    <w:rsid w:val="00665CC7"/>
    <w:rsid w:val="00672612"/>
    <w:rsid w:val="00677F18"/>
    <w:rsid w:val="00693483"/>
    <w:rsid w:val="006A0BF3"/>
    <w:rsid w:val="006B0036"/>
    <w:rsid w:val="006B0DA6"/>
    <w:rsid w:val="006B1145"/>
    <w:rsid w:val="006B30AE"/>
    <w:rsid w:val="006C547E"/>
    <w:rsid w:val="006D2B51"/>
    <w:rsid w:val="006D5575"/>
    <w:rsid w:val="006D7191"/>
    <w:rsid w:val="006E42BE"/>
    <w:rsid w:val="006E5D4D"/>
    <w:rsid w:val="006E6D16"/>
    <w:rsid w:val="00703F2A"/>
    <w:rsid w:val="00704C5D"/>
    <w:rsid w:val="007072BC"/>
    <w:rsid w:val="00715275"/>
    <w:rsid w:val="0071725C"/>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78A"/>
    <w:rsid w:val="007D3D20"/>
    <w:rsid w:val="007D742E"/>
    <w:rsid w:val="007E3AFD"/>
    <w:rsid w:val="00801DAD"/>
    <w:rsid w:val="00803189"/>
    <w:rsid w:val="00804E7A"/>
    <w:rsid w:val="00805FBB"/>
    <w:rsid w:val="008169A4"/>
    <w:rsid w:val="008278FE"/>
    <w:rsid w:val="00832598"/>
    <w:rsid w:val="0083397E"/>
    <w:rsid w:val="0083473B"/>
    <w:rsid w:val="0083534B"/>
    <w:rsid w:val="00842035"/>
    <w:rsid w:val="00842602"/>
    <w:rsid w:val="008449F0"/>
    <w:rsid w:val="00847B45"/>
    <w:rsid w:val="00863A66"/>
    <w:rsid w:val="008703D7"/>
    <w:rsid w:val="00874429"/>
    <w:rsid w:val="00875D22"/>
    <w:rsid w:val="00882EE4"/>
    <w:rsid w:val="00883D9A"/>
    <w:rsid w:val="008919EF"/>
    <w:rsid w:val="00892B20"/>
    <w:rsid w:val="008931BC"/>
    <w:rsid w:val="0089695B"/>
    <w:rsid w:val="008A12EC"/>
    <w:rsid w:val="008B19A6"/>
    <w:rsid w:val="008B4EFB"/>
    <w:rsid w:val="008C21C8"/>
    <w:rsid w:val="008C6375"/>
    <w:rsid w:val="008C6A5B"/>
    <w:rsid w:val="008D072C"/>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15B"/>
    <w:rsid w:val="00926E27"/>
    <w:rsid w:val="00931C8C"/>
    <w:rsid w:val="00936510"/>
    <w:rsid w:val="00941286"/>
    <w:rsid w:val="00943D21"/>
    <w:rsid w:val="0094504B"/>
    <w:rsid w:val="00945A37"/>
    <w:rsid w:val="009515A2"/>
    <w:rsid w:val="00952F53"/>
    <w:rsid w:val="00964A38"/>
    <w:rsid w:val="00966A9D"/>
    <w:rsid w:val="0096742B"/>
    <w:rsid w:val="009718C5"/>
    <w:rsid w:val="009924CF"/>
    <w:rsid w:val="00994100"/>
    <w:rsid w:val="009A6B17"/>
    <w:rsid w:val="009C78F4"/>
    <w:rsid w:val="009D4C29"/>
    <w:rsid w:val="009F6AD2"/>
    <w:rsid w:val="00A00D8D"/>
    <w:rsid w:val="00A01BB6"/>
    <w:rsid w:val="00A33867"/>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06B9"/>
    <w:rsid w:val="00B31A7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52"/>
    <w:rsid w:val="00B761CD"/>
    <w:rsid w:val="00B8517B"/>
    <w:rsid w:val="00B86EF0"/>
    <w:rsid w:val="00B96969"/>
    <w:rsid w:val="00B97900"/>
    <w:rsid w:val="00BA1229"/>
    <w:rsid w:val="00BA44A8"/>
    <w:rsid w:val="00BA49C5"/>
    <w:rsid w:val="00BC37E3"/>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4127"/>
    <w:rsid w:val="00C66692"/>
    <w:rsid w:val="00C673B5"/>
    <w:rsid w:val="00C7063D"/>
    <w:rsid w:val="00C81EE4"/>
    <w:rsid w:val="00C830BC"/>
    <w:rsid w:val="00C8524D"/>
    <w:rsid w:val="00C90904"/>
    <w:rsid w:val="00C91123"/>
    <w:rsid w:val="00CA71FF"/>
    <w:rsid w:val="00CB5276"/>
    <w:rsid w:val="00CB5BFC"/>
    <w:rsid w:val="00CB68D7"/>
    <w:rsid w:val="00CB785B"/>
    <w:rsid w:val="00CC7E68"/>
    <w:rsid w:val="00CD50DE"/>
    <w:rsid w:val="00CD7132"/>
    <w:rsid w:val="00CE0E6F"/>
    <w:rsid w:val="00CE3B21"/>
    <w:rsid w:val="00CE56FC"/>
    <w:rsid w:val="00CE751C"/>
    <w:rsid w:val="00CE7A4D"/>
    <w:rsid w:val="00CF32D2"/>
    <w:rsid w:val="00CF4CFE"/>
    <w:rsid w:val="00D02E0F"/>
    <w:rsid w:val="00D03EE8"/>
    <w:rsid w:val="00D1317C"/>
    <w:rsid w:val="00D13535"/>
    <w:rsid w:val="00D15497"/>
    <w:rsid w:val="00D17B79"/>
    <w:rsid w:val="00D22159"/>
    <w:rsid w:val="00D23FEA"/>
    <w:rsid w:val="00D269CA"/>
    <w:rsid w:val="00D30B48"/>
    <w:rsid w:val="00D3168A"/>
    <w:rsid w:val="00D4653A"/>
    <w:rsid w:val="00D46FAA"/>
    <w:rsid w:val="00D47A40"/>
    <w:rsid w:val="00D51D33"/>
    <w:rsid w:val="00D57BB2"/>
    <w:rsid w:val="00D57E57"/>
    <w:rsid w:val="00D70752"/>
    <w:rsid w:val="00D80E2D"/>
    <w:rsid w:val="00D84D5E"/>
    <w:rsid w:val="00D8560E"/>
    <w:rsid w:val="00D8758F"/>
    <w:rsid w:val="00D9404A"/>
    <w:rsid w:val="00DA4EDD"/>
    <w:rsid w:val="00DA6B78"/>
    <w:rsid w:val="00DC1D94"/>
    <w:rsid w:val="00DC42CF"/>
    <w:rsid w:val="00DC48B2"/>
    <w:rsid w:val="00DD55C2"/>
    <w:rsid w:val="00DE057F"/>
    <w:rsid w:val="00DE2082"/>
    <w:rsid w:val="00DE2289"/>
    <w:rsid w:val="00DF09A7"/>
    <w:rsid w:val="00DF2B51"/>
    <w:rsid w:val="00E001D6"/>
    <w:rsid w:val="00E03A76"/>
    <w:rsid w:val="00E04410"/>
    <w:rsid w:val="00E06DA7"/>
    <w:rsid w:val="00E07484"/>
    <w:rsid w:val="00E11351"/>
    <w:rsid w:val="00E4225C"/>
    <w:rsid w:val="00E44879"/>
    <w:rsid w:val="00E72914"/>
    <w:rsid w:val="00E75AE0"/>
    <w:rsid w:val="00E76E7A"/>
    <w:rsid w:val="00E8269B"/>
    <w:rsid w:val="00E82950"/>
    <w:rsid w:val="00E83C1F"/>
    <w:rsid w:val="00E85684"/>
    <w:rsid w:val="00E8794B"/>
    <w:rsid w:val="00E97656"/>
    <w:rsid w:val="00EA172C"/>
    <w:rsid w:val="00EA259B"/>
    <w:rsid w:val="00EA35A3"/>
    <w:rsid w:val="00EA3E6A"/>
    <w:rsid w:val="00EB18EF"/>
    <w:rsid w:val="00EB61AB"/>
    <w:rsid w:val="00EB7951"/>
    <w:rsid w:val="00EC3EEB"/>
    <w:rsid w:val="00ED6A79"/>
    <w:rsid w:val="00EE17DF"/>
    <w:rsid w:val="00EE42E9"/>
    <w:rsid w:val="00EF1482"/>
    <w:rsid w:val="00EF4621"/>
    <w:rsid w:val="00EF4D52"/>
    <w:rsid w:val="00EF6312"/>
    <w:rsid w:val="00F038B0"/>
    <w:rsid w:val="00F05F34"/>
    <w:rsid w:val="00F22B09"/>
    <w:rsid w:val="00F22B27"/>
    <w:rsid w:val="00F234A7"/>
    <w:rsid w:val="00F277B6"/>
    <w:rsid w:val="00F27DA5"/>
    <w:rsid w:val="00F37E07"/>
    <w:rsid w:val="00F4182A"/>
    <w:rsid w:val="00F5200A"/>
    <w:rsid w:val="00F54380"/>
    <w:rsid w:val="00F54B47"/>
    <w:rsid w:val="00F61247"/>
    <w:rsid w:val="00F63191"/>
    <w:rsid w:val="00F6702E"/>
    <w:rsid w:val="00F70E84"/>
    <w:rsid w:val="00F856DC"/>
    <w:rsid w:val="00FA092B"/>
    <w:rsid w:val="00FA4F6C"/>
    <w:rsid w:val="00FA6EFD"/>
    <w:rsid w:val="00FB3791"/>
    <w:rsid w:val="00FB6780"/>
    <w:rsid w:val="00FB74EA"/>
    <w:rsid w:val="00FD097F"/>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8193"/>
    <o:shapelayout v:ext="edit">
      <o:idmap v:ext="edit" data="1"/>
    </o:shapelayout>
  </w:shapeDefaults>
  <w:decimalSymbol w:val="."/>
  <w:listSeparator w:val=","/>
  <w14:docId w14:val="52F3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4578E5"/>
    <w:pPr>
      <w:autoSpaceDE w:val="0"/>
      <w:autoSpaceDN w:val="0"/>
      <w:adjustRightInd w:val="0"/>
      <w:ind w:left="1440"/>
    </w:pPr>
    <w:rPr>
      <w:sz w:val="24"/>
      <w:szCs w:val="24"/>
    </w:rPr>
  </w:style>
  <w:style w:type="paragraph" w:customStyle="1" w:styleId="IssueHeading">
    <w:name w:val="Issue Heading"/>
    <w:basedOn w:val="Heading3"/>
    <w:next w:val="Normal"/>
    <w:rsid w:val="00CD50DE"/>
    <w:pPr>
      <w:spacing w:before="240" w:after="60"/>
      <w:ind w:firstLine="0"/>
    </w:pPr>
    <w:rPr>
      <w:rFonts w:cs="Arial"/>
      <w:b/>
      <w:bCs/>
      <w:szCs w:val="26"/>
    </w:rPr>
  </w:style>
  <w:style w:type="character" w:customStyle="1" w:styleId="FootnoteTextChar">
    <w:name w:val="Footnote Text Char"/>
    <w:basedOn w:val="DefaultParagraphFont"/>
    <w:link w:val="FootnoteText"/>
    <w:uiPriority w:val="99"/>
    <w:rsid w:val="00D1317C"/>
  </w:style>
  <w:style w:type="paragraph" w:customStyle="1" w:styleId="xmsonormal">
    <w:name w:val="x_msonormal"/>
    <w:basedOn w:val="Normal"/>
    <w:rsid w:val="00B76152"/>
    <w:rPr>
      <w:rFonts w:ascii="Calibri" w:eastAsiaTheme="minorHAnsi" w:hAnsi="Calibri"/>
      <w:sz w:val="22"/>
      <w:szCs w:val="22"/>
    </w:rPr>
  </w:style>
  <w:style w:type="paragraph" w:styleId="BalloonText">
    <w:name w:val="Balloon Text"/>
    <w:basedOn w:val="Normal"/>
    <w:link w:val="BalloonTextChar"/>
    <w:semiHidden/>
    <w:unhideWhenUsed/>
    <w:rsid w:val="00B306B9"/>
    <w:rPr>
      <w:rFonts w:ascii="Segoe UI" w:hAnsi="Segoe UI" w:cs="Segoe UI"/>
      <w:sz w:val="18"/>
      <w:szCs w:val="18"/>
    </w:rPr>
  </w:style>
  <w:style w:type="character" w:customStyle="1" w:styleId="BalloonTextChar">
    <w:name w:val="Balloon Text Char"/>
    <w:basedOn w:val="DefaultParagraphFont"/>
    <w:link w:val="BalloonText"/>
    <w:semiHidden/>
    <w:rsid w:val="00B306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36F63-E7BE-40C0-A4BA-8075C4BC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35</Pages>
  <Words>9080</Words>
  <Characters>51757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2020-10-27T20:37:00Z</dcterms:created>
  <dcterms:modified xsi:type="dcterms:W3CDTF">2020-10-28T16:37:00Z</dcterms:modified>
</cp:coreProperties>
</file>