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413D4" w:rsidP="00D413D4">
      <w:pPr>
        <w:pStyle w:val="OrderHeading"/>
      </w:pPr>
      <w:r>
        <w:t>BEFORE THE FLORIDA PUBLIC SERVICE COMMISSION</w:t>
      </w:r>
    </w:p>
    <w:p w:rsidR="00D413D4" w:rsidRDefault="00D413D4" w:rsidP="00D413D4">
      <w:pPr>
        <w:pStyle w:val="OrderBody"/>
      </w:pPr>
    </w:p>
    <w:p w:rsidR="00D413D4" w:rsidRDefault="00D413D4" w:rsidP="00D413D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413D4" w:rsidRPr="00C63FCF" w:rsidTr="005A47DC">
        <w:trPr>
          <w:trHeight w:val="828"/>
        </w:trPr>
        <w:tc>
          <w:tcPr>
            <w:tcW w:w="4788" w:type="dxa"/>
            <w:tcBorders>
              <w:bottom w:val="single" w:sz="8" w:space="0" w:color="auto"/>
              <w:right w:val="double" w:sz="6" w:space="0" w:color="auto"/>
            </w:tcBorders>
            <w:shd w:val="clear" w:color="auto" w:fill="auto"/>
          </w:tcPr>
          <w:p w:rsidR="00D413D4" w:rsidRDefault="00D413D4" w:rsidP="005A47DC">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D413D4" w:rsidRDefault="00D413D4" w:rsidP="00D413D4">
            <w:pPr>
              <w:pStyle w:val="OrderBody"/>
            </w:pPr>
            <w:r>
              <w:t xml:space="preserve">DOCKET NO. </w:t>
            </w:r>
            <w:bookmarkStart w:id="1" w:name="SSDocketNo"/>
            <w:bookmarkEnd w:id="1"/>
            <w:r>
              <w:t>20200007-EI</w:t>
            </w:r>
          </w:p>
          <w:p w:rsidR="00D413D4" w:rsidRDefault="00D413D4" w:rsidP="005A47DC">
            <w:pPr>
              <w:pStyle w:val="OrderBody"/>
              <w:tabs>
                <w:tab w:val="center" w:pos="4320"/>
                <w:tab w:val="right" w:pos="8640"/>
              </w:tabs>
              <w:jc w:val="left"/>
            </w:pPr>
            <w:r>
              <w:t xml:space="preserve">ORDER NO. </w:t>
            </w:r>
            <w:bookmarkStart w:id="2" w:name="OrderNo0433"/>
            <w:r w:rsidR="00E25EC6">
              <w:t>PSC-2020-0433-FOF-EI</w:t>
            </w:r>
            <w:bookmarkEnd w:id="2"/>
          </w:p>
          <w:p w:rsidR="00D413D4" w:rsidRDefault="00D413D4" w:rsidP="005A47DC">
            <w:pPr>
              <w:pStyle w:val="OrderBody"/>
              <w:tabs>
                <w:tab w:val="center" w:pos="4320"/>
                <w:tab w:val="right" w:pos="8640"/>
              </w:tabs>
              <w:jc w:val="left"/>
            </w:pPr>
            <w:r>
              <w:t xml:space="preserve">ISSUED: </w:t>
            </w:r>
            <w:r w:rsidR="00E25EC6">
              <w:t>November 13, 2020</w:t>
            </w:r>
          </w:p>
        </w:tc>
      </w:tr>
    </w:tbl>
    <w:p w:rsidR="00D413D4" w:rsidRDefault="00D413D4" w:rsidP="00D413D4"/>
    <w:p w:rsidR="00D413D4" w:rsidRDefault="00D413D4" w:rsidP="00D413D4"/>
    <w:p w:rsidR="00D413D4" w:rsidRDefault="00D413D4" w:rsidP="00B67A43">
      <w:pPr>
        <w:ind w:firstLine="720"/>
        <w:jc w:val="both"/>
      </w:pPr>
      <w:bookmarkStart w:id="3" w:name="Commissioners"/>
      <w:bookmarkEnd w:id="3"/>
      <w:r>
        <w:t>The following Commissioners participated in the disposition of this matter:</w:t>
      </w:r>
    </w:p>
    <w:p w:rsidR="00D413D4" w:rsidRDefault="00D413D4" w:rsidP="00B67A43"/>
    <w:p w:rsidR="00D413D4" w:rsidRDefault="00D413D4" w:rsidP="00B67A43">
      <w:pPr>
        <w:jc w:val="center"/>
      </w:pPr>
      <w:r>
        <w:t>GARY F. CLARK, Chairman</w:t>
      </w:r>
    </w:p>
    <w:p w:rsidR="00D413D4" w:rsidRDefault="00D413D4" w:rsidP="00B67A43">
      <w:pPr>
        <w:jc w:val="center"/>
      </w:pPr>
      <w:r>
        <w:t>ART GRAHAM</w:t>
      </w:r>
    </w:p>
    <w:p w:rsidR="00D413D4" w:rsidRDefault="00D413D4" w:rsidP="00B67A43">
      <w:pPr>
        <w:jc w:val="center"/>
      </w:pPr>
      <w:r>
        <w:t>JULIE I. BROWN</w:t>
      </w:r>
    </w:p>
    <w:p w:rsidR="00D413D4" w:rsidRDefault="00D413D4" w:rsidP="00B67A43">
      <w:pPr>
        <w:jc w:val="center"/>
      </w:pPr>
      <w:r>
        <w:t>DONALD J. POLMANN</w:t>
      </w:r>
    </w:p>
    <w:p w:rsidR="00D413D4" w:rsidRDefault="00D413D4" w:rsidP="00B67A43">
      <w:pPr>
        <w:jc w:val="center"/>
      </w:pPr>
      <w:r>
        <w:t>ANDREW GILES FAY</w:t>
      </w:r>
    </w:p>
    <w:p w:rsidR="00D413D4" w:rsidRDefault="00D413D4" w:rsidP="00B67A43"/>
    <w:p w:rsidR="00347B85" w:rsidRDefault="00347B85" w:rsidP="00347B85">
      <w:pPr>
        <w:pStyle w:val="CenterUnderline"/>
      </w:pPr>
      <w:r>
        <w:t>FINAL ORDER</w:t>
      </w:r>
    </w:p>
    <w:p w:rsidR="00347B85" w:rsidRDefault="00347B85" w:rsidP="00347B85">
      <w:pPr>
        <w:pStyle w:val="CenterUnderline"/>
      </w:pPr>
      <w:r>
        <w:t>APPROVING PROJECTED EXPENDITURES AND TRUE-UP</w:t>
      </w:r>
    </w:p>
    <w:p w:rsidR="00347B85" w:rsidRDefault="00347B85" w:rsidP="00347B85">
      <w:pPr>
        <w:pStyle w:val="CenterUnderline"/>
      </w:pPr>
      <w:r>
        <w:t>AMOUNTS FOR ENVIRONMENTAL COST RECOVERY</w:t>
      </w:r>
    </w:p>
    <w:p w:rsidR="00347B85" w:rsidRDefault="00347B85" w:rsidP="00B67A43"/>
    <w:p w:rsidR="00D413D4" w:rsidRPr="00701945" w:rsidRDefault="00D413D4" w:rsidP="00D413D4">
      <w:pPr>
        <w:jc w:val="both"/>
      </w:pPr>
      <w:r w:rsidRPr="00701945">
        <w:t>APPEARANCES:</w:t>
      </w:r>
    </w:p>
    <w:p w:rsidR="00D413D4" w:rsidRDefault="00D413D4" w:rsidP="00D413D4">
      <w:pPr>
        <w:pStyle w:val="OrderBody"/>
      </w:pPr>
    </w:p>
    <w:p w:rsidR="00D413D4" w:rsidRDefault="00D413D4" w:rsidP="00D413D4">
      <w:pPr>
        <w:ind w:left="1440"/>
        <w:jc w:val="both"/>
      </w:pPr>
      <w:r>
        <w:t>MARIA JOSE MONCADA</w:t>
      </w:r>
      <w:r w:rsidRPr="00701945">
        <w:t xml:space="preserve">, ESQUIRE, </w:t>
      </w:r>
      <w:r>
        <w:t xml:space="preserve">and DAVID LEE, ESQUIRE, </w:t>
      </w:r>
      <w:r w:rsidRPr="008D429F">
        <w:t>700 Universe Boulevard</w:t>
      </w:r>
      <w:r>
        <w:t xml:space="preserve">, </w:t>
      </w:r>
      <w:r w:rsidRPr="008D429F">
        <w:t>Juno Beach, F</w:t>
      </w:r>
      <w:r>
        <w:t>lorida</w:t>
      </w:r>
      <w:r w:rsidRPr="008D429F">
        <w:t xml:space="preserve"> 33408</w:t>
      </w:r>
      <w:r>
        <w:t xml:space="preserve"> </w:t>
      </w:r>
    </w:p>
    <w:p w:rsidR="00D413D4" w:rsidRDefault="00D413D4" w:rsidP="00D413D4">
      <w:pPr>
        <w:ind w:left="1440"/>
        <w:jc w:val="both"/>
      </w:pPr>
      <w:r w:rsidRPr="00701945">
        <w:rPr>
          <w:u w:val="single"/>
        </w:rPr>
        <w:t xml:space="preserve">On behalf of </w:t>
      </w:r>
      <w:r>
        <w:rPr>
          <w:u w:val="single"/>
        </w:rPr>
        <w:t>FLORIDA POWER &amp; LIGHT COMPANY (FPL)</w:t>
      </w:r>
      <w:r w:rsidRPr="00701945">
        <w:t>.</w:t>
      </w:r>
    </w:p>
    <w:p w:rsidR="00D413D4" w:rsidRDefault="00D413D4" w:rsidP="00D413D4"/>
    <w:p w:rsidR="00D413D4" w:rsidRDefault="00D413D4" w:rsidP="00D413D4">
      <w:pPr>
        <w:ind w:left="1440"/>
        <w:jc w:val="both"/>
      </w:pPr>
      <w:r>
        <w:t>RUSSELL A. BADDERS</w:t>
      </w:r>
      <w:r w:rsidRPr="00701945">
        <w:t xml:space="preserve">, ESQUIRE, </w:t>
      </w:r>
      <w:r>
        <w:t xml:space="preserve">One Energy Place, </w:t>
      </w:r>
      <w:r w:rsidRPr="008D429F">
        <w:t>Pensacola, Florida 32520-0100</w:t>
      </w:r>
      <w:r>
        <w:t xml:space="preserve"> and MARIA JOSE MONCADA, ESQUIRE, </w:t>
      </w:r>
      <w:r w:rsidRPr="008D429F">
        <w:t>700 Universe Boulevard</w:t>
      </w:r>
      <w:r>
        <w:t xml:space="preserve">, </w:t>
      </w:r>
      <w:r w:rsidRPr="008D429F">
        <w:t>Juno Beach, F</w:t>
      </w:r>
      <w:r>
        <w:t>lorida</w:t>
      </w:r>
      <w:r w:rsidRPr="008D429F">
        <w:t xml:space="preserve"> 33408</w:t>
      </w:r>
      <w:r>
        <w:t xml:space="preserve"> </w:t>
      </w:r>
    </w:p>
    <w:p w:rsidR="00D413D4" w:rsidRDefault="00D413D4" w:rsidP="00D413D4">
      <w:pPr>
        <w:ind w:left="1440"/>
        <w:jc w:val="both"/>
      </w:pPr>
      <w:r w:rsidRPr="00701945">
        <w:rPr>
          <w:u w:val="single"/>
        </w:rPr>
        <w:t xml:space="preserve">On behalf of </w:t>
      </w:r>
      <w:r>
        <w:rPr>
          <w:u w:val="single"/>
        </w:rPr>
        <w:t>GULF POWER COMPANY (Gulf)</w:t>
      </w:r>
      <w:r w:rsidRPr="00701945">
        <w:t>.</w:t>
      </w:r>
    </w:p>
    <w:p w:rsidR="00D413D4" w:rsidRDefault="00D413D4" w:rsidP="00D413D4">
      <w:pPr>
        <w:ind w:left="1440"/>
        <w:jc w:val="both"/>
      </w:pPr>
    </w:p>
    <w:p w:rsidR="00D413D4" w:rsidRDefault="00D413D4" w:rsidP="00D413D4">
      <w:pPr>
        <w:ind w:left="1440"/>
      </w:pPr>
      <w:r>
        <w:t>DIANNE M. TRIPLETT</w:t>
      </w:r>
      <w:r w:rsidRPr="00701945">
        <w:t xml:space="preserve">, ESQUIRE, </w:t>
      </w:r>
      <w:r w:rsidRPr="002F20D1">
        <w:t>299 First Avenue North</w:t>
      </w:r>
      <w:r>
        <w:t xml:space="preserve">, </w:t>
      </w:r>
      <w:r w:rsidRPr="002F20D1">
        <w:t>St. Petersburg, F</w:t>
      </w:r>
      <w:r>
        <w:t xml:space="preserve">lorida </w:t>
      </w:r>
      <w:r w:rsidRPr="002F20D1">
        <w:t>33701</w:t>
      </w:r>
      <w:r>
        <w:t xml:space="preserve"> and MATTHEW R. BERNIER, ESQUIRE, </w:t>
      </w:r>
      <w:r w:rsidRPr="002F20D1">
        <w:t>106 East College Avenue</w:t>
      </w:r>
      <w:r>
        <w:t xml:space="preserve">, </w:t>
      </w:r>
      <w:r w:rsidRPr="002F20D1">
        <w:t>Suite 800</w:t>
      </w:r>
      <w:r>
        <w:t xml:space="preserve">, </w:t>
      </w:r>
      <w:r w:rsidRPr="002F20D1">
        <w:t>Tallahassee, Florida 32301</w:t>
      </w:r>
    </w:p>
    <w:p w:rsidR="00D413D4" w:rsidRDefault="00D413D4" w:rsidP="00D413D4">
      <w:pPr>
        <w:ind w:left="1440"/>
        <w:jc w:val="both"/>
      </w:pPr>
      <w:r w:rsidRPr="00701945">
        <w:rPr>
          <w:u w:val="single"/>
        </w:rPr>
        <w:t xml:space="preserve">On behalf of </w:t>
      </w:r>
      <w:r>
        <w:rPr>
          <w:u w:val="single"/>
        </w:rPr>
        <w:t>DUKE ENERGY FLORIDA, LLC (DEF)</w:t>
      </w:r>
      <w:r w:rsidRPr="00701945">
        <w:t>.</w:t>
      </w:r>
    </w:p>
    <w:p w:rsidR="00D413D4" w:rsidRDefault="00D413D4" w:rsidP="00D413D4">
      <w:pPr>
        <w:ind w:left="1440"/>
        <w:jc w:val="both"/>
      </w:pPr>
    </w:p>
    <w:p w:rsidR="00D413D4" w:rsidRDefault="00D413D4" w:rsidP="00D413D4">
      <w:pPr>
        <w:ind w:left="1440"/>
        <w:jc w:val="both"/>
      </w:pPr>
      <w:r>
        <w:t>JAMES D. BEASLEY</w:t>
      </w:r>
      <w:r w:rsidRPr="00701945">
        <w:t>, ESQUIRE,</w:t>
      </w:r>
      <w:r>
        <w:t xml:space="preserve"> J. JEFFRY WAHLEN, ESQUIRE, and MALCOLM N. MEANS, ESQUIRE, </w:t>
      </w:r>
      <w:r w:rsidRPr="00701945">
        <w:t xml:space="preserve"> </w:t>
      </w:r>
      <w:r w:rsidRPr="00051473">
        <w:t>Post Office Box 391</w:t>
      </w:r>
      <w:r>
        <w:t xml:space="preserve">, </w:t>
      </w:r>
      <w:r w:rsidRPr="00051473">
        <w:t>Tallahassee, Florida 32302</w:t>
      </w:r>
    </w:p>
    <w:p w:rsidR="00D413D4" w:rsidRDefault="00D413D4" w:rsidP="00D413D4">
      <w:pPr>
        <w:ind w:left="1440"/>
        <w:jc w:val="both"/>
      </w:pPr>
      <w:r w:rsidRPr="00701945">
        <w:rPr>
          <w:u w:val="single"/>
        </w:rPr>
        <w:t xml:space="preserve">On behalf of </w:t>
      </w:r>
      <w:r>
        <w:rPr>
          <w:u w:val="single"/>
        </w:rPr>
        <w:t>TAMPA ELECTRIC COMPANY (TECO)</w:t>
      </w:r>
      <w:r w:rsidRPr="00701945">
        <w:t>.</w:t>
      </w:r>
    </w:p>
    <w:p w:rsidR="00D413D4" w:rsidRDefault="00D413D4" w:rsidP="00D413D4">
      <w:pPr>
        <w:ind w:left="1440"/>
        <w:jc w:val="both"/>
      </w:pPr>
    </w:p>
    <w:p w:rsidR="00D413D4" w:rsidRDefault="00D413D4" w:rsidP="00D413D4">
      <w:pPr>
        <w:ind w:left="1440"/>
        <w:jc w:val="both"/>
      </w:pPr>
      <w:r>
        <w:t xml:space="preserve">JON C. MOYLE, JR., ESQUIRE and KAREN PUTNAL, ESQUIRE, </w:t>
      </w:r>
      <w:r w:rsidRPr="00B2066A">
        <w:rPr>
          <w:bCs/>
        </w:rPr>
        <w:t>118 North Gadsden Street</w:t>
      </w:r>
      <w:r>
        <w:rPr>
          <w:bCs/>
        </w:rPr>
        <w:t xml:space="preserve">, </w:t>
      </w:r>
      <w:r w:rsidRPr="00B2066A">
        <w:rPr>
          <w:bCs/>
        </w:rPr>
        <w:t>Tallahassee, F</w:t>
      </w:r>
      <w:r>
        <w:rPr>
          <w:bCs/>
        </w:rPr>
        <w:t>lorida</w:t>
      </w:r>
      <w:r w:rsidRPr="00B2066A">
        <w:rPr>
          <w:bCs/>
        </w:rPr>
        <w:t xml:space="preserve">  32312</w:t>
      </w:r>
    </w:p>
    <w:p w:rsidR="00D413D4" w:rsidRDefault="00D413D4" w:rsidP="00D413D4">
      <w:pPr>
        <w:ind w:left="1440"/>
        <w:jc w:val="both"/>
      </w:pPr>
      <w:r w:rsidRPr="00701945">
        <w:rPr>
          <w:u w:val="single"/>
        </w:rPr>
        <w:t xml:space="preserve">On behalf of </w:t>
      </w:r>
      <w:r>
        <w:rPr>
          <w:u w:val="single"/>
        </w:rPr>
        <w:t>FLORIDA INDUSTRIAL POWER USERS GROUP (FIPUG)</w:t>
      </w:r>
      <w:r w:rsidRPr="00701945">
        <w:t>.</w:t>
      </w:r>
    </w:p>
    <w:p w:rsidR="00D413D4" w:rsidRDefault="00D413D4" w:rsidP="00D413D4">
      <w:pPr>
        <w:ind w:left="1440"/>
        <w:jc w:val="both"/>
      </w:pPr>
    </w:p>
    <w:p w:rsidR="00D413D4" w:rsidRDefault="00D413D4" w:rsidP="00D413D4">
      <w:pPr>
        <w:ind w:left="1440"/>
      </w:pPr>
      <w:r>
        <w:lastRenderedPageBreak/>
        <w:t>JAMES W. BREW</w:t>
      </w:r>
      <w:r w:rsidRPr="00701945">
        <w:t>, ESQUIRE,</w:t>
      </w:r>
      <w:r>
        <w:t xml:space="preserve"> and LAURA WYNN BAKER, ESQUIRE,</w:t>
      </w:r>
      <w:r w:rsidRPr="00701945">
        <w:t xml:space="preserve"> </w:t>
      </w:r>
      <w:r w:rsidRPr="009C3BF1">
        <w:t>1025 Thomas Jefferson Street, NW</w:t>
      </w:r>
      <w:r>
        <w:t xml:space="preserve">, </w:t>
      </w:r>
      <w:r w:rsidRPr="009C3BF1">
        <w:t>Eighth Floor, West Tower</w:t>
      </w:r>
      <w:r>
        <w:t xml:space="preserve">, </w:t>
      </w:r>
      <w:r w:rsidRPr="009C3BF1">
        <w:t>Washington, D.C. 20007</w:t>
      </w:r>
    </w:p>
    <w:p w:rsidR="00D413D4" w:rsidRDefault="00D413D4" w:rsidP="00D413D4">
      <w:pPr>
        <w:ind w:left="1440"/>
        <w:jc w:val="both"/>
      </w:pPr>
      <w:r w:rsidRPr="00701945">
        <w:rPr>
          <w:u w:val="single"/>
        </w:rPr>
        <w:t xml:space="preserve">On behalf of </w:t>
      </w:r>
      <w:r>
        <w:rPr>
          <w:u w:val="single"/>
        </w:rPr>
        <w:t>PCS PHOSPHATE (PCS)</w:t>
      </w:r>
      <w:r w:rsidRPr="00701945">
        <w:t>.</w:t>
      </w:r>
    </w:p>
    <w:p w:rsidR="00D413D4" w:rsidRDefault="00D413D4" w:rsidP="00D413D4">
      <w:pPr>
        <w:ind w:left="1440"/>
        <w:jc w:val="both"/>
      </w:pPr>
    </w:p>
    <w:p w:rsidR="00D413D4" w:rsidRDefault="00D413D4" w:rsidP="00D413D4">
      <w:pPr>
        <w:ind w:left="1440"/>
        <w:jc w:val="both"/>
      </w:pPr>
    </w:p>
    <w:p w:rsidR="00D413D4" w:rsidRPr="00701945" w:rsidRDefault="00D413D4" w:rsidP="00D413D4">
      <w:pPr>
        <w:ind w:left="1440"/>
        <w:jc w:val="both"/>
      </w:pPr>
      <w:r>
        <w:t>JR KELLY</w:t>
      </w:r>
      <w:r w:rsidRPr="00701945">
        <w:t>, ESQUIRE,</w:t>
      </w:r>
      <w:r>
        <w:t xml:space="preserve"> PATRICIA A. CHRISTENSEN, ESQUIRE, THOMAS A. (TAD) DAVID, ESQUIRE, A. MIREILLE FALL-FRY, ESQUIRE, STEPHANIE MORSE, ESQUIRE, and CHARLES REHWINKEL, ESQUIRE,</w:t>
      </w:r>
      <w:r w:rsidRPr="00701945">
        <w:t xml:space="preserve"> </w:t>
      </w:r>
      <w:r w:rsidRPr="00460BEE">
        <w:rPr>
          <w:bCs/>
        </w:rPr>
        <w:t>111 West Madison Street, Room 812</w:t>
      </w:r>
      <w:r>
        <w:rPr>
          <w:bCs/>
        </w:rPr>
        <w:t xml:space="preserve">, </w:t>
      </w:r>
      <w:r w:rsidRPr="00460BEE">
        <w:rPr>
          <w:bCs/>
        </w:rPr>
        <w:t>Tallahassee, Florida 32399-1400</w:t>
      </w:r>
    </w:p>
    <w:p w:rsidR="00D413D4" w:rsidRDefault="00D413D4" w:rsidP="00D413D4">
      <w:pPr>
        <w:ind w:left="1440"/>
        <w:jc w:val="both"/>
      </w:pPr>
      <w:r w:rsidRPr="00701945">
        <w:rPr>
          <w:u w:val="single"/>
        </w:rPr>
        <w:t xml:space="preserve">On behalf of </w:t>
      </w:r>
      <w:r>
        <w:rPr>
          <w:u w:val="single"/>
        </w:rPr>
        <w:t>OFFICE OF THE PUBLIC COUNSEL (OPC)</w:t>
      </w:r>
      <w:r w:rsidRPr="00701945">
        <w:t>.</w:t>
      </w:r>
    </w:p>
    <w:p w:rsidR="00D413D4" w:rsidRDefault="00D413D4" w:rsidP="00D413D4">
      <w:pPr>
        <w:ind w:left="1440"/>
        <w:jc w:val="both"/>
      </w:pPr>
    </w:p>
    <w:p w:rsidR="00D413D4" w:rsidRPr="00701945" w:rsidRDefault="00D413D4" w:rsidP="00D413D4">
      <w:pPr>
        <w:ind w:left="1440"/>
        <w:jc w:val="both"/>
      </w:pPr>
      <w:r>
        <w:t>CHARLES MURPHY</w:t>
      </w:r>
      <w:r w:rsidRPr="00701945">
        <w:t>, ESQUIRE, Florida Public Service Commission, 2540 Shumard Oak Boulevard, Tallahassee, Florida 32399-0850</w:t>
      </w:r>
    </w:p>
    <w:p w:rsidR="00D413D4" w:rsidRPr="00701945" w:rsidRDefault="00D413D4" w:rsidP="00D413D4">
      <w:pPr>
        <w:ind w:left="720" w:firstLine="720"/>
        <w:jc w:val="both"/>
      </w:pPr>
      <w:r w:rsidRPr="00701945">
        <w:rPr>
          <w:u w:val="single"/>
        </w:rPr>
        <w:t>On behalf of the Florida Public Service Commission</w:t>
      </w:r>
      <w:r>
        <w:rPr>
          <w:u w:val="single"/>
        </w:rPr>
        <w:t xml:space="preserve"> (Staff)</w:t>
      </w:r>
      <w:r w:rsidRPr="00701945">
        <w:t>.</w:t>
      </w:r>
    </w:p>
    <w:p w:rsidR="00D413D4" w:rsidRPr="00701945" w:rsidRDefault="00D413D4" w:rsidP="00D413D4">
      <w:pPr>
        <w:jc w:val="both"/>
      </w:pPr>
    </w:p>
    <w:p w:rsidR="00D413D4" w:rsidRPr="00701945" w:rsidRDefault="00D413D4" w:rsidP="00D413D4">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D413D4" w:rsidRPr="00701945" w:rsidRDefault="00D413D4" w:rsidP="00D413D4">
      <w:pPr>
        <w:ind w:left="720" w:firstLine="720"/>
        <w:jc w:val="both"/>
      </w:pPr>
      <w:r>
        <w:rPr>
          <w:u w:val="single"/>
        </w:rPr>
        <w:t>Advisor to the</w:t>
      </w:r>
      <w:r w:rsidRPr="00701945">
        <w:rPr>
          <w:u w:val="single"/>
        </w:rPr>
        <w:t xml:space="preserve"> Florida Public Service Commission</w:t>
      </w:r>
      <w:r w:rsidRPr="00701945">
        <w:t>.</w:t>
      </w:r>
    </w:p>
    <w:p w:rsidR="00D413D4" w:rsidRPr="00701945" w:rsidRDefault="00D413D4" w:rsidP="00D413D4">
      <w:pPr>
        <w:jc w:val="center"/>
        <w:rPr>
          <w:b/>
          <w:bCs/>
          <w:u w:val="single"/>
        </w:rPr>
      </w:pPr>
    </w:p>
    <w:p w:rsidR="00D413D4" w:rsidRPr="00D033EB" w:rsidRDefault="00D413D4" w:rsidP="00D413D4">
      <w:pPr>
        <w:ind w:left="1440"/>
        <w:jc w:val="both"/>
      </w:pPr>
      <w:r w:rsidRPr="00D033EB">
        <w:t>K</w:t>
      </w:r>
      <w:r>
        <w:t>EITH C. HETRICK</w:t>
      </w:r>
      <w:r w:rsidRPr="00D033EB">
        <w:t>, ESQUIRE, General Counsel, Florida Public Service Commission, 2540 Shumard Oak Boulevard, Tallahassee, Florida 32399-0850</w:t>
      </w:r>
    </w:p>
    <w:p w:rsidR="00D413D4" w:rsidRDefault="00D413D4" w:rsidP="00D413D4">
      <w:pPr>
        <w:ind w:left="1440"/>
        <w:jc w:val="both"/>
        <w:rPr>
          <w:u w:val="single"/>
        </w:rPr>
      </w:pPr>
      <w:r w:rsidRPr="00D033EB">
        <w:rPr>
          <w:u w:val="single"/>
        </w:rPr>
        <w:t>Florida Public Service Commission General Counsel</w:t>
      </w:r>
    </w:p>
    <w:p w:rsidR="00D413D4" w:rsidRDefault="00D413D4" w:rsidP="00B67A43"/>
    <w:p w:rsidR="00D413D4" w:rsidRDefault="00D413D4" w:rsidP="00D413D4">
      <w:pPr>
        <w:pStyle w:val="CenterUnderline"/>
      </w:pPr>
    </w:p>
    <w:p w:rsidR="00D413D4" w:rsidRDefault="00D413D4" w:rsidP="00D413D4">
      <w:pPr>
        <w:pStyle w:val="OrderBody"/>
      </w:pPr>
      <w:r>
        <w:t>BY THE COMMISSION:</w:t>
      </w:r>
    </w:p>
    <w:p w:rsidR="00D413D4" w:rsidRDefault="00D413D4" w:rsidP="00D413D4">
      <w:pPr>
        <w:pStyle w:val="OrderBody"/>
      </w:pPr>
      <w:bookmarkStart w:id="4" w:name="OrderText"/>
      <w:bookmarkEnd w:id="4"/>
    </w:p>
    <w:p w:rsidR="00D413D4" w:rsidRDefault="00D413D4" w:rsidP="00D413D4">
      <w:pPr>
        <w:ind w:left="720" w:hanging="720"/>
        <w:jc w:val="center"/>
        <w:rPr>
          <w:u w:val="single"/>
        </w:rPr>
      </w:pPr>
      <w:r w:rsidRPr="00242C64">
        <w:rPr>
          <w:u w:val="single"/>
        </w:rPr>
        <w:t>BACKGROUND</w:t>
      </w:r>
    </w:p>
    <w:p w:rsidR="00D413D4" w:rsidRPr="00242C64" w:rsidRDefault="00D413D4" w:rsidP="00D413D4">
      <w:pPr>
        <w:ind w:left="720" w:hanging="720"/>
        <w:jc w:val="both"/>
      </w:pPr>
    </w:p>
    <w:p w:rsidR="00D413D4" w:rsidRDefault="00D413D4" w:rsidP="00D413D4">
      <w:pPr>
        <w:jc w:val="both"/>
      </w:pPr>
      <w:r>
        <w:tab/>
        <w:t xml:space="preserve">As part of the Florida Public Service Commission’s (Commission) continuing Environmental Cost Recovery Clause (ECRC) proceeding, undertaken pursuant to Section 366.8255, Florida Statutes (F.S.), a hearing </w:t>
      </w:r>
      <w:r w:rsidR="005C59DC">
        <w:t xml:space="preserve">was held </w:t>
      </w:r>
      <w:r>
        <w:t xml:space="preserve">in this Docket </w:t>
      </w:r>
      <w:r w:rsidR="005C59DC">
        <w:t xml:space="preserve">on </w:t>
      </w:r>
      <w:r w:rsidRPr="001C6958">
        <w:t xml:space="preserve">November </w:t>
      </w:r>
      <w:r w:rsidR="005C59DC">
        <w:t>3</w:t>
      </w:r>
      <w:r w:rsidRPr="001C6958">
        <w:t>, 20</w:t>
      </w:r>
      <w:r>
        <w:t>20</w:t>
      </w:r>
      <w:r w:rsidRPr="001C6958">
        <w:t>.</w:t>
      </w:r>
      <w:r>
        <w:t xml:space="preserve">  The ECRC proceeding allows investor-owned electric utilities to seek recovery of their costs for approved environmental programs on an annual bas</w:t>
      </w:r>
      <w:r w:rsidRPr="000F306D">
        <w:t>is.</w:t>
      </w:r>
      <w:r w:rsidR="00517DF1">
        <w:t xml:space="preserve"> </w:t>
      </w:r>
    </w:p>
    <w:p w:rsidR="00D413D4" w:rsidRDefault="00D413D4" w:rsidP="00D413D4">
      <w:pPr>
        <w:jc w:val="both"/>
      </w:pPr>
    </w:p>
    <w:p w:rsidR="005C59DC" w:rsidRPr="00E41B60" w:rsidRDefault="00D413D4" w:rsidP="00E41B60">
      <w:pPr>
        <w:jc w:val="center"/>
        <w:rPr>
          <w:u w:val="single"/>
        </w:rPr>
      </w:pPr>
      <w:r>
        <w:rPr>
          <w:u w:val="single"/>
        </w:rPr>
        <w:t>DECISION</w:t>
      </w:r>
    </w:p>
    <w:p w:rsidR="005C59DC" w:rsidRPr="00DC48B2" w:rsidRDefault="005C59DC" w:rsidP="005C59DC">
      <w:pPr>
        <w:jc w:val="both"/>
      </w:pPr>
    </w:p>
    <w:p w:rsidR="005C59DC" w:rsidRPr="00DC48B2" w:rsidRDefault="00517DF1" w:rsidP="00347B85">
      <w:pPr>
        <w:autoSpaceDE w:val="0"/>
        <w:autoSpaceDN w:val="0"/>
        <w:adjustRightInd w:val="0"/>
        <w:jc w:val="both"/>
      </w:pPr>
      <w:r>
        <w:tab/>
      </w:r>
      <w:r w:rsidR="00E41B60">
        <w:t>We approve the Type 2</w:t>
      </w:r>
      <w:r w:rsidR="00E41B60" w:rsidRPr="00DC48B2">
        <w:rPr>
          <w:bCs/>
          <w:vertAlign w:val="superscript"/>
        </w:rPr>
        <w:footnoteReference w:id="1"/>
      </w:r>
      <w:r w:rsidR="00E41B60" w:rsidRPr="00DC48B2">
        <w:t xml:space="preserve"> </w:t>
      </w:r>
      <w:r w:rsidR="00E41B60">
        <w:t>stipulation of all issues as set forth below.</w:t>
      </w:r>
      <w:r w:rsidR="005A47DC">
        <w:t xml:space="preserve"> </w:t>
      </w:r>
      <w:r w:rsidR="005C59DC">
        <w:t>DEF, FPL, Gulf, TECO and Commission staff support</w:t>
      </w:r>
      <w:r w:rsidR="00E41B60">
        <w:t>ed</w:t>
      </w:r>
      <w:r w:rsidR="005C59DC">
        <w:t xml:space="preserve"> the proposed stipulations. F</w:t>
      </w:r>
      <w:r w:rsidR="00E41B60">
        <w:t xml:space="preserve">IPUG, PCS Phosphate and OPC took no positions on the issues. </w:t>
      </w:r>
      <w:r w:rsidR="005C59DC" w:rsidRPr="00DC48B2">
        <w:t xml:space="preserve">The OPC position on each Type 2 </w:t>
      </w:r>
      <w:r w:rsidR="005C59DC">
        <w:t xml:space="preserve">stipulation </w:t>
      </w:r>
      <w:r w:rsidR="005C59DC" w:rsidRPr="00DC48B2">
        <w:t>follows:</w:t>
      </w:r>
    </w:p>
    <w:p w:rsidR="005C59DC" w:rsidRPr="00DC48B2" w:rsidRDefault="005C59DC" w:rsidP="005C59DC"/>
    <w:p w:rsidR="00E41B60" w:rsidRDefault="005C59DC" w:rsidP="00E41B60">
      <w:pPr>
        <w:autoSpaceDE w:val="0"/>
        <w:autoSpaceDN w:val="0"/>
        <w:adjustRightInd w:val="0"/>
        <w:ind w:left="720" w:right="720"/>
        <w:jc w:val="both"/>
        <w:rPr>
          <w:bCs/>
        </w:rPr>
      </w:pPr>
      <w:r w:rsidRPr="00DC48B2">
        <w:rPr>
          <w:bCs/>
        </w:rPr>
        <w:t xml:space="preserve">OPC takes no position on these issues nor does it have the burden of proof related to them.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these issues, either in this docket, in an order of the Commission or in a representation to a Court.  </w:t>
      </w:r>
    </w:p>
    <w:p w:rsidR="005A47DC" w:rsidRPr="00E41B60" w:rsidRDefault="005A47DC" w:rsidP="00E41B60">
      <w:pPr>
        <w:autoSpaceDE w:val="0"/>
        <w:autoSpaceDN w:val="0"/>
        <w:adjustRightInd w:val="0"/>
        <w:ind w:left="720" w:right="720"/>
        <w:jc w:val="both"/>
        <w:rPr>
          <w:bCs/>
        </w:rPr>
      </w:pPr>
    </w:p>
    <w:p w:rsidR="00EF10A1" w:rsidRDefault="00EF10A1" w:rsidP="005C59DC">
      <w:pPr>
        <w:autoSpaceDE w:val="0"/>
        <w:autoSpaceDN w:val="0"/>
        <w:adjustRightInd w:val="0"/>
        <w:ind w:right="720"/>
        <w:jc w:val="both"/>
      </w:pPr>
    </w:p>
    <w:p w:rsidR="00EF10A1" w:rsidRPr="00EF10A1" w:rsidRDefault="00EF10A1" w:rsidP="005C59DC">
      <w:pPr>
        <w:autoSpaceDE w:val="0"/>
        <w:autoSpaceDN w:val="0"/>
        <w:adjustRightInd w:val="0"/>
        <w:ind w:right="720"/>
        <w:jc w:val="both"/>
        <w:rPr>
          <w:b/>
          <w:bCs/>
          <w:u w:val="single"/>
        </w:rPr>
      </w:pPr>
      <w:r w:rsidRPr="00EF10A1">
        <w:rPr>
          <w:b/>
          <w:u w:val="single"/>
        </w:rPr>
        <w:t>Generic Issues</w:t>
      </w:r>
    </w:p>
    <w:p w:rsidR="005C59DC" w:rsidRPr="00DC48B2" w:rsidRDefault="005C59DC" w:rsidP="005C59DC">
      <w:pPr>
        <w:jc w:val="both"/>
      </w:pPr>
    </w:p>
    <w:p w:rsidR="005C59DC" w:rsidRPr="00DC48B2" w:rsidRDefault="005C59DC" w:rsidP="005C59DC">
      <w:pPr>
        <w:spacing w:line="276" w:lineRule="auto"/>
        <w:ind w:left="1440" w:hanging="1440"/>
        <w:jc w:val="both"/>
        <w:rPr>
          <w:rFonts w:eastAsia="Calibri"/>
          <w:b/>
          <w:bCs/>
        </w:rPr>
      </w:pPr>
    </w:p>
    <w:p w:rsidR="005C59DC" w:rsidRPr="00DC48B2" w:rsidRDefault="00E060B5" w:rsidP="005C59DC">
      <w:pPr>
        <w:ind w:left="1440" w:hanging="1440"/>
        <w:jc w:val="both"/>
        <w:rPr>
          <w:rFonts w:eastAsia="Calibri"/>
          <w:b/>
        </w:rPr>
      </w:pPr>
      <w:r w:rsidRPr="00E060B5">
        <w:rPr>
          <w:rFonts w:eastAsia="Calibri"/>
          <w:b/>
          <w:bCs/>
        </w:rPr>
        <w:t>1</w:t>
      </w:r>
      <w:r>
        <w:rPr>
          <w:rFonts w:eastAsia="Calibri"/>
          <w:b/>
          <w:bCs/>
        </w:rPr>
        <w:t>.</w:t>
      </w:r>
      <w:r w:rsidRPr="00E060B5">
        <w:rPr>
          <w:rFonts w:eastAsia="Calibri"/>
          <w:b/>
          <w:bCs/>
        </w:rPr>
        <w:t xml:space="preserve"> </w:t>
      </w:r>
      <w:r>
        <w:rPr>
          <w:rFonts w:eastAsia="Calibri"/>
          <w:b/>
          <w:bCs/>
        </w:rPr>
        <w:tab/>
      </w:r>
      <w:r>
        <w:rPr>
          <w:rFonts w:eastAsia="Calibri"/>
          <w:b/>
        </w:rPr>
        <w:t>Final Environmental Cost Recovery True-up Amounts for the P</w:t>
      </w:r>
      <w:r w:rsidR="005C59DC" w:rsidRPr="00DC48B2">
        <w:rPr>
          <w:rFonts w:eastAsia="Calibri"/>
          <w:b/>
        </w:rPr>
        <w:t>eriod Jan</w:t>
      </w:r>
      <w:r>
        <w:rPr>
          <w:rFonts w:eastAsia="Calibri"/>
          <w:b/>
        </w:rPr>
        <w:t>uary 2019 through December 2019</w:t>
      </w:r>
    </w:p>
    <w:p w:rsidR="005C59DC" w:rsidRPr="00DC48B2" w:rsidRDefault="005C59DC" w:rsidP="005C59DC">
      <w:pPr>
        <w:spacing w:line="276" w:lineRule="auto"/>
        <w:ind w:left="900" w:hanging="900"/>
        <w:jc w:val="both"/>
        <w:rPr>
          <w:rFonts w:eastAsia="Calibri"/>
          <w:b/>
        </w:rPr>
      </w:pPr>
    </w:p>
    <w:tbl>
      <w:tblPr>
        <w:tblW w:w="4571"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16"/>
        <w:gridCol w:w="2195"/>
      </w:tblGrid>
      <w:tr w:rsidR="005C59DC" w:rsidRPr="00DC48B2" w:rsidTr="005A47D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5C59DC" w:rsidRPr="00DC48B2" w:rsidRDefault="005C59DC" w:rsidP="005A47DC">
            <w:pPr>
              <w:jc w:val="both"/>
              <w:rPr>
                <w:sz w:val="22"/>
                <w:szCs w:val="22"/>
              </w:rPr>
            </w:pPr>
            <w:r w:rsidRPr="00DC48B2">
              <w:rPr>
                <w:sz w:val="22"/>
                <w:szCs w:val="22"/>
              </w:rPr>
              <w:t xml:space="preserve">FPL </w:t>
            </w:r>
          </w:p>
        </w:tc>
        <w:tc>
          <w:tcPr>
            <w:tcW w:w="1416" w:type="dxa"/>
            <w:tcBorders>
              <w:top w:val="single" w:sz="4" w:space="0" w:color="auto"/>
              <w:left w:val="single" w:sz="4" w:space="0" w:color="auto"/>
              <w:bottom w:val="single" w:sz="4" w:space="0" w:color="auto"/>
              <w:right w:val="single" w:sz="4" w:space="0" w:color="auto"/>
            </w:tcBorders>
            <w:noWrap/>
            <w:vAlign w:val="bottom"/>
          </w:tcPr>
          <w:p w:rsidR="005C59DC" w:rsidRPr="00DC48B2" w:rsidRDefault="005C59DC" w:rsidP="005A47DC">
            <w:pPr>
              <w:jc w:val="both"/>
              <w:rPr>
                <w:sz w:val="22"/>
                <w:szCs w:val="22"/>
              </w:rPr>
            </w:pPr>
            <w:r w:rsidRPr="00DC48B2">
              <w:rPr>
                <w:sz w:val="22"/>
                <w:szCs w:val="22"/>
              </w:rPr>
              <w:t>$14,087,943</w:t>
            </w:r>
          </w:p>
        </w:tc>
        <w:tc>
          <w:tcPr>
            <w:tcW w:w="2195" w:type="dxa"/>
            <w:tcBorders>
              <w:top w:val="single" w:sz="4" w:space="0" w:color="auto"/>
              <w:left w:val="single" w:sz="4" w:space="0" w:color="auto"/>
              <w:bottom w:val="single" w:sz="4" w:space="0" w:color="auto"/>
              <w:right w:val="single" w:sz="4" w:space="0" w:color="auto"/>
            </w:tcBorders>
            <w:noWrap/>
            <w:vAlign w:val="bottom"/>
            <w:hideMark/>
          </w:tcPr>
          <w:p w:rsidR="005C59DC" w:rsidRPr="00DC48B2" w:rsidRDefault="005C59DC" w:rsidP="005A47DC">
            <w:pPr>
              <w:jc w:val="both"/>
              <w:rPr>
                <w:sz w:val="22"/>
                <w:szCs w:val="22"/>
              </w:rPr>
            </w:pPr>
            <w:r w:rsidRPr="00DC48B2">
              <w:rPr>
                <w:sz w:val="22"/>
                <w:szCs w:val="22"/>
              </w:rPr>
              <w:t>Over-recovery</w:t>
            </w:r>
          </w:p>
        </w:tc>
      </w:tr>
      <w:tr w:rsidR="005C59DC" w:rsidRPr="00DC48B2" w:rsidTr="005A47D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5C59DC" w:rsidRPr="00DC48B2" w:rsidRDefault="005C59DC" w:rsidP="005A47DC">
            <w:pPr>
              <w:jc w:val="both"/>
              <w:rPr>
                <w:sz w:val="22"/>
                <w:szCs w:val="22"/>
              </w:rPr>
            </w:pPr>
            <w:r w:rsidRPr="00DC48B2">
              <w:rPr>
                <w:sz w:val="22"/>
                <w:szCs w:val="22"/>
              </w:rPr>
              <w:t xml:space="preserve">DEF </w:t>
            </w:r>
          </w:p>
        </w:tc>
        <w:tc>
          <w:tcPr>
            <w:tcW w:w="1416" w:type="dxa"/>
            <w:tcBorders>
              <w:top w:val="single" w:sz="4" w:space="0" w:color="auto"/>
              <w:left w:val="single" w:sz="4" w:space="0" w:color="auto"/>
              <w:bottom w:val="single" w:sz="4" w:space="0" w:color="auto"/>
              <w:right w:val="single" w:sz="4" w:space="0" w:color="auto"/>
            </w:tcBorders>
            <w:noWrap/>
            <w:vAlign w:val="bottom"/>
          </w:tcPr>
          <w:p w:rsidR="005C59DC" w:rsidRPr="00DC48B2" w:rsidRDefault="005C59DC" w:rsidP="005A47DC">
            <w:pPr>
              <w:jc w:val="both"/>
              <w:rPr>
                <w:sz w:val="22"/>
                <w:szCs w:val="22"/>
              </w:rPr>
            </w:pPr>
            <w:r w:rsidRPr="00DC48B2">
              <w:rPr>
                <w:sz w:val="22"/>
                <w:szCs w:val="22"/>
              </w:rPr>
              <w:t>$1,792,439</w:t>
            </w:r>
          </w:p>
        </w:tc>
        <w:tc>
          <w:tcPr>
            <w:tcW w:w="2195" w:type="dxa"/>
            <w:tcBorders>
              <w:top w:val="single" w:sz="4" w:space="0" w:color="auto"/>
              <w:left w:val="single" w:sz="4" w:space="0" w:color="auto"/>
              <w:bottom w:val="single" w:sz="4" w:space="0" w:color="auto"/>
              <w:right w:val="single" w:sz="4" w:space="0" w:color="auto"/>
            </w:tcBorders>
            <w:noWrap/>
            <w:vAlign w:val="bottom"/>
          </w:tcPr>
          <w:p w:rsidR="005C59DC" w:rsidRPr="00DC48B2" w:rsidRDefault="005C59DC" w:rsidP="005A47DC">
            <w:pPr>
              <w:jc w:val="both"/>
              <w:rPr>
                <w:sz w:val="22"/>
                <w:szCs w:val="22"/>
              </w:rPr>
            </w:pPr>
            <w:r w:rsidRPr="00DC48B2">
              <w:rPr>
                <w:sz w:val="22"/>
                <w:szCs w:val="22"/>
              </w:rPr>
              <w:t>Under-recovery</w:t>
            </w:r>
          </w:p>
        </w:tc>
      </w:tr>
      <w:tr w:rsidR="005C59DC" w:rsidRPr="00DC48B2" w:rsidTr="005A47D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5C59DC" w:rsidRPr="00DC48B2" w:rsidRDefault="005C59DC" w:rsidP="005A47DC">
            <w:pPr>
              <w:jc w:val="both"/>
              <w:rPr>
                <w:sz w:val="22"/>
                <w:szCs w:val="22"/>
              </w:rPr>
            </w:pPr>
            <w:r w:rsidRPr="00DC48B2">
              <w:rPr>
                <w:sz w:val="22"/>
                <w:szCs w:val="22"/>
              </w:rPr>
              <w:t xml:space="preserve">TECO </w:t>
            </w:r>
          </w:p>
        </w:tc>
        <w:tc>
          <w:tcPr>
            <w:tcW w:w="1416" w:type="dxa"/>
            <w:tcBorders>
              <w:top w:val="single" w:sz="4" w:space="0" w:color="auto"/>
              <w:left w:val="single" w:sz="4" w:space="0" w:color="auto"/>
              <w:bottom w:val="single" w:sz="4" w:space="0" w:color="auto"/>
              <w:right w:val="single" w:sz="4" w:space="0" w:color="auto"/>
            </w:tcBorders>
            <w:noWrap/>
            <w:vAlign w:val="bottom"/>
          </w:tcPr>
          <w:p w:rsidR="005C59DC" w:rsidRPr="00DC48B2" w:rsidRDefault="005C59DC" w:rsidP="005A47DC">
            <w:pPr>
              <w:jc w:val="both"/>
              <w:rPr>
                <w:sz w:val="22"/>
                <w:szCs w:val="22"/>
              </w:rPr>
            </w:pPr>
            <w:r w:rsidRPr="00DC48B2">
              <w:rPr>
                <w:sz w:val="22"/>
                <w:szCs w:val="22"/>
              </w:rPr>
              <w:t>$3,987,915</w:t>
            </w:r>
          </w:p>
        </w:tc>
        <w:tc>
          <w:tcPr>
            <w:tcW w:w="2195" w:type="dxa"/>
            <w:tcBorders>
              <w:top w:val="single" w:sz="4" w:space="0" w:color="auto"/>
              <w:left w:val="single" w:sz="4" w:space="0" w:color="auto"/>
              <w:bottom w:val="single" w:sz="4" w:space="0" w:color="auto"/>
              <w:right w:val="single" w:sz="4" w:space="0" w:color="auto"/>
            </w:tcBorders>
            <w:noWrap/>
            <w:vAlign w:val="bottom"/>
          </w:tcPr>
          <w:p w:rsidR="005C59DC" w:rsidRPr="00DC48B2" w:rsidRDefault="005C59DC" w:rsidP="005A47DC">
            <w:pPr>
              <w:jc w:val="both"/>
              <w:rPr>
                <w:sz w:val="22"/>
                <w:szCs w:val="22"/>
              </w:rPr>
            </w:pPr>
            <w:r w:rsidRPr="00DC48B2">
              <w:rPr>
                <w:sz w:val="22"/>
                <w:szCs w:val="22"/>
              </w:rPr>
              <w:t>Over-recovery</w:t>
            </w:r>
          </w:p>
        </w:tc>
      </w:tr>
      <w:tr w:rsidR="005C59DC" w:rsidRPr="00DC48B2" w:rsidTr="005A47D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5C59DC" w:rsidRPr="00DC48B2" w:rsidRDefault="005C59DC" w:rsidP="005A47DC">
            <w:pPr>
              <w:jc w:val="both"/>
              <w:rPr>
                <w:sz w:val="22"/>
                <w:szCs w:val="22"/>
              </w:rPr>
            </w:pPr>
            <w:r w:rsidRPr="00DC48B2">
              <w:rPr>
                <w:sz w:val="22"/>
                <w:szCs w:val="22"/>
              </w:rPr>
              <w:t xml:space="preserve">GULF </w:t>
            </w:r>
          </w:p>
        </w:tc>
        <w:tc>
          <w:tcPr>
            <w:tcW w:w="1416" w:type="dxa"/>
            <w:tcBorders>
              <w:top w:val="single" w:sz="4" w:space="0" w:color="auto"/>
              <w:left w:val="single" w:sz="4" w:space="0" w:color="auto"/>
              <w:bottom w:val="single" w:sz="4" w:space="0" w:color="auto"/>
              <w:right w:val="single" w:sz="4" w:space="0" w:color="auto"/>
            </w:tcBorders>
            <w:noWrap/>
            <w:vAlign w:val="bottom"/>
          </w:tcPr>
          <w:p w:rsidR="005C59DC" w:rsidRPr="00DC48B2" w:rsidRDefault="005C59DC" w:rsidP="005A47DC">
            <w:pPr>
              <w:jc w:val="both"/>
              <w:rPr>
                <w:sz w:val="22"/>
                <w:szCs w:val="22"/>
              </w:rPr>
            </w:pPr>
            <w:r w:rsidRPr="00DC48B2">
              <w:rPr>
                <w:sz w:val="22"/>
                <w:szCs w:val="22"/>
              </w:rPr>
              <w:t>$5,891,843</w:t>
            </w:r>
          </w:p>
        </w:tc>
        <w:tc>
          <w:tcPr>
            <w:tcW w:w="2195" w:type="dxa"/>
            <w:tcBorders>
              <w:top w:val="single" w:sz="4" w:space="0" w:color="auto"/>
              <w:left w:val="single" w:sz="4" w:space="0" w:color="auto"/>
              <w:bottom w:val="single" w:sz="4" w:space="0" w:color="auto"/>
              <w:right w:val="single" w:sz="4" w:space="0" w:color="auto"/>
            </w:tcBorders>
            <w:noWrap/>
            <w:vAlign w:val="bottom"/>
          </w:tcPr>
          <w:p w:rsidR="005C59DC" w:rsidRPr="00DC48B2" w:rsidRDefault="005C59DC" w:rsidP="005A47DC">
            <w:pPr>
              <w:jc w:val="both"/>
              <w:rPr>
                <w:sz w:val="22"/>
                <w:szCs w:val="22"/>
              </w:rPr>
            </w:pPr>
            <w:r w:rsidRPr="00DC48B2">
              <w:rPr>
                <w:sz w:val="22"/>
                <w:szCs w:val="22"/>
              </w:rPr>
              <w:t>Over-recovery</w:t>
            </w:r>
          </w:p>
        </w:tc>
      </w:tr>
    </w:tbl>
    <w:p w:rsidR="005C59DC" w:rsidRPr="00DC48B2" w:rsidRDefault="005C59DC" w:rsidP="005C59DC">
      <w:pPr>
        <w:spacing w:after="200" w:line="276" w:lineRule="auto"/>
        <w:jc w:val="both"/>
        <w:rPr>
          <w:rFonts w:eastAsia="Calibri"/>
        </w:rPr>
      </w:pPr>
      <w:r w:rsidRPr="00DC48B2">
        <w:rPr>
          <w:rFonts w:eastAsia="Calibri"/>
          <w:sz w:val="22"/>
          <w:szCs w:val="22"/>
        </w:rPr>
        <w:tab/>
      </w:r>
      <w:r w:rsidRPr="00DC48B2">
        <w:rPr>
          <w:rFonts w:eastAsia="Calibri"/>
          <w:sz w:val="22"/>
          <w:szCs w:val="22"/>
        </w:rPr>
        <w:tab/>
      </w:r>
    </w:p>
    <w:p w:rsidR="005C59DC" w:rsidRPr="00DC48B2" w:rsidRDefault="00E060B5" w:rsidP="005C59DC">
      <w:pPr>
        <w:ind w:left="1440" w:hanging="1440"/>
        <w:jc w:val="both"/>
        <w:rPr>
          <w:rFonts w:eastAsia="Calibri"/>
          <w:b/>
        </w:rPr>
      </w:pPr>
      <w:r w:rsidRPr="00E060B5">
        <w:rPr>
          <w:rFonts w:eastAsia="Calibri"/>
          <w:b/>
          <w:bCs/>
        </w:rPr>
        <w:t>2.</w:t>
      </w:r>
      <w:r w:rsidR="005C59DC" w:rsidRPr="00DC48B2">
        <w:rPr>
          <w:rFonts w:eastAsia="Calibri"/>
          <w:b/>
          <w:bCs/>
        </w:rPr>
        <w:tab/>
      </w:r>
      <w:r>
        <w:rPr>
          <w:rFonts w:eastAsia="Calibri"/>
          <w:b/>
        </w:rPr>
        <w:t>Actual/Estimated Environmental Cost Recovery True-up Amounts for the P</w:t>
      </w:r>
      <w:r w:rsidR="005C59DC" w:rsidRPr="00DC48B2">
        <w:rPr>
          <w:rFonts w:eastAsia="Calibri"/>
          <w:b/>
        </w:rPr>
        <w:t>eriod Jan</w:t>
      </w:r>
      <w:r>
        <w:rPr>
          <w:rFonts w:eastAsia="Calibri"/>
          <w:b/>
        </w:rPr>
        <w:t>uary 2020 through December 2020</w:t>
      </w:r>
    </w:p>
    <w:p w:rsidR="005C59DC" w:rsidRPr="00DC48B2" w:rsidRDefault="005C59DC" w:rsidP="005C59DC">
      <w:pPr>
        <w:ind w:left="1080" w:hanging="1080"/>
        <w:jc w:val="both"/>
        <w:rPr>
          <w:rFonts w:eastAsia="Calibri"/>
          <w:b/>
        </w:rPr>
      </w:pPr>
    </w:p>
    <w:tbl>
      <w:tblPr>
        <w:tblW w:w="4211"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16"/>
        <w:gridCol w:w="1835"/>
      </w:tblGrid>
      <w:tr w:rsidR="005C59DC" w:rsidRPr="00DC48B2" w:rsidTr="005A47D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5C59DC" w:rsidRPr="00DC48B2" w:rsidRDefault="005C59DC" w:rsidP="005A47DC">
            <w:pPr>
              <w:jc w:val="both"/>
              <w:rPr>
                <w:sz w:val="22"/>
                <w:szCs w:val="22"/>
              </w:rPr>
            </w:pPr>
            <w:r w:rsidRPr="00DC48B2">
              <w:rPr>
                <w:sz w:val="22"/>
                <w:szCs w:val="22"/>
              </w:rPr>
              <w:t xml:space="preserve">FPL </w:t>
            </w:r>
          </w:p>
        </w:tc>
        <w:tc>
          <w:tcPr>
            <w:tcW w:w="1416" w:type="dxa"/>
            <w:tcBorders>
              <w:top w:val="single" w:sz="4" w:space="0" w:color="auto"/>
              <w:left w:val="single" w:sz="4" w:space="0" w:color="auto"/>
              <w:bottom w:val="single" w:sz="4" w:space="0" w:color="auto"/>
              <w:right w:val="single" w:sz="4" w:space="0" w:color="auto"/>
            </w:tcBorders>
            <w:noWrap/>
            <w:vAlign w:val="bottom"/>
          </w:tcPr>
          <w:p w:rsidR="005C59DC" w:rsidRPr="00DC48B2" w:rsidRDefault="005C59DC" w:rsidP="005A47DC">
            <w:pPr>
              <w:jc w:val="both"/>
              <w:rPr>
                <w:sz w:val="22"/>
                <w:szCs w:val="22"/>
              </w:rPr>
            </w:pPr>
            <w:r w:rsidRPr="00DC48B2">
              <w:rPr>
                <w:sz w:val="22"/>
                <w:szCs w:val="22"/>
              </w:rPr>
              <w:t>$4,763,785</w:t>
            </w:r>
          </w:p>
        </w:tc>
        <w:tc>
          <w:tcPr>
            <w:tcW w:w="1835" w:type="dxa"/>
            <w:tcBorders>
              <w:top w:val="single" w:sz="4" w:space="0" w:color="auto"/>
              <w:left w:val="single" w:sz="4" w:space="0" w:color="auto"/>
              <w:bottom w:val="single" w:sz="4" w:space="0" w:color="auto"/>
              <w:right w:val="single" w:sz="4" w:space="0" w:color="auto"/>
            </w:tcBorders>
            <w:noWrap/>
            <w:vAlign w:val="bottom"/>
          </w:tcPr>
          <w:p w:rsidR="005C59DC" w:rsidRPr="00DC48B2" w:rsidRDefault="005C59DC" w:rsidP="005A47DC">
            <w:pPr>
              <w:jc w:val="both"/>
              <w:rPr>
                <w:sz w:val="22"/>
                <w:szCs w:val="22"/>
              </w:rPr>
            </w:pPr>
            <w:r w:rsidRPr="00DC48B2">
              <w:rPr>
                <w:sz w:val="22"/>
                <w:szCs w:val="22"/>
              </w:rPr>
              <w:t>Over-recovery</w:t>
            </w:r>
          </w:p>
        </w:tc>
      </w:tr>
      <w:tr w:rsidR="005C59DC" w:rsidRPr="00DC48B2" w:rsidTr="005A47D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5C59DC" w:rsidRPr="00DC48B2" w:rsidRDefault="005C59DC" w:rsidP="005A47DC">
            <w:pPr>
              <w:jc w:val="both"/>
              <w:rPr>
                <w:sz w:val="22"/>
                <w:szCs w:val="22"/>
              </w:rPr>
            </w:pPr>
            <w:r w:rsidRPr="00DC48B2">
              <w:rPr>
                <w:sz w:val="22"/>
                <w:szCs w:val="22"/>
              </w:rPr>
              <w:t xml:space="preserve">DEF </w:t>
            </w:r>
          </w:p>
        </w:tc>
        <w:tc>
          <w:tcPr>
            <w:tcW w:w="1416" w:type="dxa"/>
            <w:tcBorders>
              <w:top w:val="single" w:sz="4" w:space="0" w:color="auto"/>
              <w:left w:val="single" w:sz="4" w:space="0" w:color="auto"/>
              <w:bottom w:val="single" w:sz="4" w:space="0" w:color="auto"/>
              <w:right w:val="single" w:sz="4" w:space="0" w:color="auto"/>
            </w:tcBorders>
            <w:noWrap/>
            <w:vAlign w:val="bottom"/>
          </w:tcPr>
          <w:p w:rsidR="005C59DC" w:rsidRPr="00DC48B2" w:rsidRDefault="005C59DC" w:rsidP="005A47DC">
            <w:pPr>
              <w:jc w:val="both"/>
              <w:rPr>
                <w:sz w:val="22"/>
                <w:szCs w:val="22"/>
              </w:rPr>
            </w:pPr>
            <w:r w:rsidRPr="00DC48B2">
              <w:rPr>
                <w:sz w:val="22"/>
                <w:szCs w:val="22"/>
              </w:rPr>
              <w:t>$8,097,179</w:t>
            </w:r>
          </w:p>
        </w:tc>
        <w:tc>
          <w:tcPr>
            <w:tcW w:w="1835" w:type="dxa"/>
            <w:tcBorders>
              <w:top w:val="single" w:sz="4" w:space="0" w:color="auto"/>
              <w:left w:val="single" w:sz="4" w:space="0" w:color="auto"/>
              <w:bottom w:val="single" w:sz="4" w:space="0" w:color="auto"/>
              <w:right w:val="single" w:sz="4" w:space="0" w:color="auto"/>
            </w:tcBorders>
            <w:noWrap/>
            <w:vAlign w:val="bottom"/>
          </w:tcPr>
          <w:p w:rsidR="005C59DC" w:rsidRPr="00DC48B2" w:rsidRDefault="005C59DC" w:rsidP="005A47DC">
            <w:pPr>
              <w:jc w:val="both"/>
              <w:rPr>
                <w:sz w:val="22"/>
                <w:szCs w:val="22"/>
              </w:rPr>
            </w:pPr>
            <w:r w:rsidRPr="00DC48B2">
              <w:rPr>
                <w:sz w:val="22"/>
                <w:szCs w:val="22"/>
              </w:rPr>
              <w:t>Over-recovery</w:t>
            </w:r>
          </w:p>
        </w:tc>
      </w:tr>
      <w:tr w:rsidR="005C59DC" w:rsidRPr="00DC48B2" w:rsidTr="005A47D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5C59DC" w:rsidRPr="00DC48B2" w:rsidRDefault="005C59DC" w:rsidP="005A47DC">
            <w:pPr>
              <w:jc w:val="both"/>
              <w:rPr>
                <w:sz w:val="22"/>
                <w:szCs w:val="22"/>
              </w:rPr>
            </w:pPr>
            <w:r w:rsidRPr="00DC48B2">
              <w:rPr>
                <w:sz w:val="22"/>
                <w:szCs w:val="22"/>
              </w:rPr>
              <w:t xml:space="preserve">TECO </w:t>
            </w:r>
          </w:p>
        </w:tc>
        <w:tc>
          <w:tcPr>
            <w:tcW w:w="1416" w:type="dxa"/>
            <w:tcBorders>
              <w:top w:val="single" w:sz="4" w:space="0" w:color="auto"/>
              <w:left w:val="single" w:sz="4" w:space="0" w:color="auto"/>
              <w:bottom w:val="single" w:sz="4" w:space="0" w:color="auto"/>
              <w:right w:val="single" w:sz="4" w:space="0" w:color="auto"/>
            </w:tcBorders>
            <w:noWrap/>
            <w:vAlign w:val="bottom"/>
          </w:tcPr>
          <w:p w:rsidR="005C59DC" w:rsidRPr="00DC48B2" w:rsidRDefault="005C59DC" w:rsidP="005A47DC">
            <w:pPr>
              <w:jc w:val="both"/>
              <w:rPr>
                <w:sz w:val="22"/>
                <w:szCs w:val="22"/>
              </w:rPr>
            </w:pPr>
            <w:r w:rsidRPr="00DC48B2">
              <w:rPr>
                <w:sz w:val="22"/>
                <w:szCs w:val="22"/>
              </w:rPr>
              <w:t>$7,841,176</w:t>
            </w:r>
          </w:p>
        </w:tc>
        <w:tc>
          <w:tcPr>
            <w:tcW w:w="1835" w:type="dxa"/>
            <w:tcBorders>
              <w:top w:val="single" w:sz="4" w:space="0" w:color="auto"/>
              <w:left w:val="single" w:sz="4" w:space="0" w:color="auto"/>
              <w:bottom w:val="single" w:sz="4" w:space="0" w:color="auto"/>
              <w:right w:val="single" w:sz="4" w:space="0" w:color="auto"/>
            </w:tcBorders>
            <w:noWrap/>
            <w:vAlign w:val="bottom"/>
          </w:tcPr>
          <w:p w:rsidR="005C59DC" w:rsidRPr="00DC48B2" w:rsidRDefault="005C59DC" w:rsidP="005A47DC">
            <w:pPr>
              <w:jc w:val="both"/>
              <w:rPr>
                <w:sz w:val="22"/>
                <w:szCs w:val="22"/>
              </w:rPr>
            </w:pPr>
            <w:r w:rsidRPr="00DC48B2">
              <w:rPr>
                <w:sz w:val="22"/>
                <w:szCs w:val="22"/>
              </w:rPr>
              <w:t>Under-recovery</w:t>
            </w:r>
          </w:p>
        </w:tc>
      </w:tr>
      <w:tr w:rsidR="005C59DC" w:rsidRPr="00DC48B2" w:rsidTr="005A47D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5C59DC" w:rsidRPr="00DC48B2" w:rsidRDefault="005C59DC" w:rsidP="005A47DC">
            <w:pPr>
              <w:jc w:val="both"/>
              <w:rPr>
                <w:sz w:val="22"/>
                <w:szCs w:val="22"/>
              </w:rPr>
            </w:pPr>
            <w:r w:rsidRPr="00DC48B2">
              <w:rPr>
                <w:sz w:val="22"/>
                <w:szCs w:val="22"/>
              </w:rPr>
              <w:t xml:space="preserve">GULF </w:t>
            </w:r>
          </w:p>
        </w:tc>
        <w:tc>
          <w:tcPr>
            <w:tcW w:w="1416" w:type="dxa"/>
            <w:tcBorders>
              <w:top w:val="single" w:sz="4" w:space="0" w:color="auto"/>
              <w:left w:val="single" w:sz="4" w:space="0" w:color="auto"/>
              <w:bottom w:val="single" w:sz="4" w:space="0" w:color="auto"/>
              <w:right w:val="single" w:sz="4" w:space="0" w:color="auto"/>
            </w:tcBorders>
            <w:noWrap/>
            <w:vAlign w:val="bottom"/>
          </w:tcPr>
          <w:p w:rsidR="005C59DC" w:rsidRPr="00DC48B2" w:rsidRDefault="005C59DC" w:rsidP="005A47DC">
            <w:pPr>
              <w:jc w:val="both"/>
              <w:rPr>
                <w:sz w:val="22"/>
                <w:szCs w:val="22"/>
              </w:rPr>
            </w:pPr>
            <w:r w:rsidRPr="00DC48B2">
              <w:rPr>
                <w:sz w:val="22"/>
                <w:szCs w:val="22"/>
              </w:rPr>
              <w:t>$2,837,159</w:t>
            </w:r>
          </w:p>
        </w:tc>
        <w:tc>
          <w:tcPr>
            <w:tcW w:w="1835" w:type="dxa"/>
            <w:tcBorders>
              <w:top w:val="single" w:sz="4" w:space="0" w:color="auto"/>
              <w:left w:val="single" w:sz="4" w:space="0" w:color="auto"/>
              <w:bottom w:val="single" w:sz="4" w:space="0" w:color="auto"/>
              <w:right w:val="single" w:sz="4" w:space="0" w:color="auto"/>
            </w:tcBorders>
            <w:noWrap/>
            <w:vAlign w:val="bottom"/>
          </w:tcPr>
          <w:p w:rsidR="005C59DC" w:rsidRPr="00DC48B2" w:rsidRDefault="005C59DC" w:rsidP="005A47DC">
            <w:pPr>
              <w:jc w:val="both"/>
              <w:rPr>
                <w:sz w:val="22"/>
                <w:szCs w:val="22"/>
              </w:rPr>
            </w:pPr>
            <w:r w:rsidRPr="00DC48B2">
              <w:rPr>
                <w:sz w:val="22"/>
                <w:szCs w:val="22"/>
              </w:rPr>
              <w:t>Over-recovery</w:t>
            </w:r>
          </w:p>
        </w:tc>
      </w:tr>
    </w:tbl>
    <w:p w:rsidR="005C59DC" w:rsidRPr="00DC48B2" w:rsidRDefault="005C59DC" w:rsidP="005C59DC">
      <w:pPr>
        <w:spacing w:after="240"/>
        <w:jc w:val="both"/>
        <w:rPr>
          <w:rFonts w:eastAsia="Calibri"/>
          <w:b/>
          <w:bCs/>
        </w:rPr>
      </w:pPr>
    </w:p>
    <w:p w:rsidR="005C59DC" w:rsidRPr="00DC48B2" w:rsidRDefault="00E060B5" w:rsidP="005C59DC">
      <w:pPr>
        <w:spacing w:after="200"/>
        <w:ind w:left="1440" w:hanging="1440"/>
        <w:jc w:val="both"/>
        <w:rPr>
          <w:rFonts w:eastAsia="Calibri"/>
          <w:b/>
        </w:rPr>
      </w:pPr>
      <w:r>
        <w:rPr>
          <w:rFonts w:eastAsia="Calibri"/>
          <w:b/>
          <w:bCs/>
        </w:rPr>
        <w:t>3.</w:t>
      </w:r>
      <w:r w:rsidR="005C59DC" w:rsidRPr="00DC48B2">
        <w:rPr>
          <w:rFonts w:eastAsia="Calibri"/>
          <w:b/>
        </w:rPr>
        <w:tab/>
      </w:r>
      <w:r>
        <w:rPr>
          <w:rFonts w:eastAsia="Calibri"/>
          <w:b/>
        </w:rPr>
        <w:t>Projected Environmental Cost Recovery Amounts for the P</w:t>
      </w:r>
      <w:r w:rsidR="005C59DC" w:rsidRPr="00DC48B2">
        <w:rPr>
          <w:rFonts w:eastAsia="Calibri"/>
          <w:b/>
        </w:rPr>
        <w:t>eriod January 2021 through December 2021</w:t>
      </w:r>
    </w:p>
    <w:tbl>
      <w:tblPr>
        <w:tblW w:w="2496"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536"/>
      </w:tblGrid>
      <w:tr w:rsidR="005C59DC" w:rsidRPr="00DC48B2" w:rsidTr="005A47D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5C59DC" w:rsidRPr="00DC48B2" w:rsidRDefault="005C59DC" w:rsidP="005A47DC">
            <w:pPr>
              <w:jc w:val="both"/>
              <w:rPr>
                <w:sz w:val="22"/>
                <w:szCs w:val="22"/>
              </w:rPr>
            </w:pPr>
            <w:r w:rsidRPr="00DC48B2">
              <w:rPr>
                <w:sz w:val="22"/>
                <w:szCs w:val="22"/>
              </w:rPr>
              <w:t xml:space="preserve">FPL </w:t>
            </w:r>
          </w:p>
        </w:tc>
        <w:tc>
          <w:tcPr>
            <w:tcW w:w="1536" w:type="dxa"/>
            <w:tcBorders>
              <w:top w:val="single" w:sz="4" w:space="0" w:color="auto"/>
              <w:left w:val="single" w:sz="4" w:space="0" w:color="auto"/>
              <w:bottom w:val="single" w:sz="4" w:space="0" w:color="auto"/>
              <w:right w:val="single" w:sz="4" w:space="0" w:color="auto"/>
            </w:tcBorders>
            <w:noWrap/>
            <w:vAlign w:val="bottom"/>
          </w:tcPr>
          <w:p w:rsidR="005C59DC" w:rsidRPr="00DC48B2" w:rsidRDefault="005C59DC" w:rsidP="005A47DC">
            <w:pPr>
              <w:jc w:val="both"/>
              <w:rPr>
                <w:sz w:val="22"/>
                <w:szCs w:val="22"/>
              </w:rPr>
            </w:pPr>
            <w:r w:rsidRPr="00DC48B2">
              <w:rPr>
                <w:sz w:val="22"/>
                <w:szCs w:val="22"/>
              </w:rPr>
              <w:t>$176,174,665</w:t>
            </w:r>
          </w:p>
        </w:tc>
      </w:tr>
      <w:tr w:rsidR="005C59DC" w:rsidRPr="00DC48B2" w:rsidTr="005A47D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5C59DC" w:rsidRPr="00DC48B2" w:rsidRDefault="005C59DC" w:rsidP="005A47DC">
            <w:pPr>
              <w:jc w:val="both"/>
              <w:rPr>
                <w:sz w:val="22"/>
                <w:szCs w:val="22"/>
              </w:rPr>
            </w:pPr>
            <w:r w:rsidRPr="00DC48B2">
              <w:rPr>
                <w:sz w:val="22"/>
                <w:szCs w:val="22"/>
              </w:rPr>
              <w:t xml:space="preserve">DEF </w:t>
            </w:r>
          </w:p>
        </w:tc>
        <w:tc>
          <w:tcPr>
            <w:tcW w:w="1536" w:type="dxa"/>
            <w:tcBorders>
              <w:top w:val="single" w:sz="4" w:space="0" w:color="auto"/>
              <w:left w:val="single" w:sz="4" w:space="0" w:color="auto"/>
              <w:bottom w:val="single" w:sz="4" w:space="0" w:color="auto"/>
              <w:right w:val="single" w:sz="4" w:space="0" w:color="auto"/>
            </w:tcBorders>
            <w:noWrap/>
            <w:vAlign w:val="bottom"/>
          </w:tcPr>
          <w:p w:rsidR="005C59DC" w:rsidRPr="00DC48B2" w:rsidRDefault="005C59DC" w:rsidP="005A47DC">
            <w:pPr>
              <w:jc w:val="both"/>
              <w:rPr>
                <w:sz w:val="22"/>
                <w:szCs w:val="22"/>
              </w:rPr>
            </w:pPr>
            <w:r w:rsidRPr="00DC48B2">
              <w:rPr>
                <w:sz w:val="22"/>
                <w:szCs w:val="22"/>
              </w:rPr>
              <w:t>$44,725,047</w:t>
            </w:r>
          </w:p>
        </w:tc>
      </w:tr>
      <w:tr w:rsidR="005C59DC" w:rsidRPr="00DC48B2" w:rsidTr="005A47D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5C59DC" w:rsidRPr="00DC48B2" w:rsidRDefault="005C59DC" w:rsidP="005A47DC">
            <w:pPr>
              <w:jc w:val="both"/>
              <w:rPr>
                <w:sz w:val="22"/>
                <w:szCs w:val="22"/>
              </w:rPr>
            </w:pPr>
            <w:r w:rsidRPr="00DC48B2">
              <w:rPr>
                <w:sz w:val="22"/>
                <w:szCs w:val="22"/>
              </w:rPr>
              <w:t xml:space="preserve">TECO </w:t>
            </w:r>
          </w:p>
        </w:tc>
        <w:tc>
          <w:tcPr>
            <w:tcW w:w="1536" w:type="dxa"/>
            <w:tcBorders>
              <w:top w:val="single" w:sz="4" w:space="0" w:color="auto"/>
              <w:left w:val="single" w:sz="4" w:space="0" w:color="auto"/>
              <w:bottom w:val="single" w:sz="4" w:space="0" w:color="auto"/>
              <w:right w:val="single" w:sz="4" w:space="0" w:color="auto"/>
            </w:tcBorders>
            <w:noWrap/>
            <w:vAlign w:val="bottom"/>
          </w:tcPr>
          <w:p w:rsidR="005C59DC" w:rsidRPr="00DC48B2" w:rsidRDefault="005C59DC" w:rsidP="005A47DC">
            <w:pPr>
              <w:jc w:val="both"/>
              <w:rPr>
                <w:sz w:val="22"/>
                <w:szCs w:val="22"/>
              </w:rPr>
            </w:pPr>
            <w:r w:rsidRPr="00DC48B2">
              <w:rPr>
                <w:sz w:val="22"/>
                <w:szCs w:val="22"/>
              </w:rPr>
              <w:t>$48,192,906</w:t>
            </w:r>
          </w:p>
        </w:tc>
      </w:tr>
      <w:tr w:rsidR="005C59DC" w:rsidRPr="00DC48B2" w:rsidTr="005A47D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5C59DC" w:rsidRPr="00DC48B2" w:rsidRDefault="005C59DC" w:rsidP="005A47DC">
            <w:pPr>
              <w:jc w:val="both"/>
              <w:rPr>
                <w:sz w:val="22"/>
                <w:szCs w:val="22"/>
              </w:rPr>
            </w:pPr>
            <w:r w:rsidRPr="00DC48B2">
              <w:rPr>
                <w:sz w:val="22"/>
                <w:szCs w:val="22"/>
              </w:rPr>
              <w:t xml:space="preserve">Gulf </w:t>
            </w:r>
          </w:p>
        </w:tc>
        <w:tc>
          <w:tcPr>
            <w:tcW w:w="1536" w:type="dxa"/>
            <w:tcBorders>
              <w:top w:val="single" w:sz="4" w:space="0" w:color="auto"/>
              <w:left w:val="single" w:sz="4" w:space="0" w:color="auto"/>
              <w:bottom w:val="single" w:sz="4" w:space="0" w:color="auto"/>
              <w:right w:val="single" w:sz="4" w:space="0" w:color="auto"/>
            </w:tcBorders>
            <w:noWrap/>
            <w:vAlign w:val="bottom"/>
          </w:tcPr>
          <w:p w:rsidR="005C59DC" w:rsidRPr="00DC48B2" w:rsidRDefault="005C59DC" w:rsidP="005A47DC">
            <w:pPr>
              <w:jc w:val="both"/>
              <w:rPr>
                <w:sz w:val="22"/>
                <w:szCs w:val="22"/>
              </w:rPr>
            </w:pPr>
            <w:r w:rsidRPr="00DC48B2">
              <w:rPr>
                <w:sz w:val="22"/>
                <w:szCs w:val="22"/>
              </w:rPr>
              <w:t>$197,635,007</w:t>
            </w:r>
          </w:p>
        </w:tc>
      </w:tr>
    </w:tbl>
    <w:p w:rsidR="005C59DC" w:rsidRDefault="005C59DC" w:rsidP="005C59DC">
      <w:pPr>
        <w:spacing w:after="200" w:line="276" w:lineRule="auto"/>
        <w:jc w:val="both"/>
        <w:rPr>
          <w:rFonts w:eastAsia="Calibri"/>
          <w:sz w:val="22"/>
          <w:szCs w:val="22"/>
        </w:rPr>
      </w:pPr>
      <w:r w:rsidRPr="00DC48B2">
        <w:rPr>
          <w:rFonts w:eastAsia="Calibri"/>
          <w:sz w:val="22"/>
          <w:szCs w:val="22"/>
        </w:rPr>
        <w:tab/>
      </w:r>
      <w:r w:rsidRPr="00DC48B2">
        <w:rPr>
          <w:rFonts w:eastAsia="Calibri"/>
          <w:sz w:val="22"/>
          <w:szCs w:val="22"/>
        </w:rPr>
        <w:tab/>
      </w:r>
    </w:p>
    <w:p w:rsidR="00347B85" w:rsidRDefault="00347B85" w:rsidP="005C59DC">
      <w:pPr>
        <w:spacing w:after="200" w:line="276" w:lineRule="auto"/>
        <w:jc w:val="both"/>
        <w:rPr>
          <w:rFonts w:eastAsia="Calibri"/>
          <w:sz w:val="22"/>
          <w:szCs w:val="22"/>
        </w:rPr>
      </w:pPr>
    </w:p>
    <w:p w:rsidR="00347B85" w:rsidRPr="00DC48B2" w:rsidRDefault="00347B85" w:rsidP="005C59DC">
      <w:pPr>
        <w:spacing w:after="200" w:line="276" w:lineRule="auto"/>
        <w:jc w:val="both"/>
        <w:rPr>
          <w:rFonts w:eastAsia="Calibri"/>
        </w:rPr>
      </w:pPr>
    </w:p>
    <w:p w:rsidR="005C59DC" w:rsidRPr="00DC48B2" w:rsidRDefault="00CA3721" w:rsidP="005C59DC">
      <w:pPr>
        <w:spacing w:after="200"/>
        <w:ind w:left="1440" w:hanging="1440"/>
        <w:jc w:val="both"/>
        <w:rPr>
          <w:rFonts w:eastAsia="Calibri"/>
          <w:b/>
        </w:rPr>
      </w:pPr>
      <w:r w:rsidRPr="00CA3721">
        <w:rPr>
          <w:rFonts w:eastAsia="Calibri"/>
          <w:b/>
          <w:bCs/>
        </w:rPr>
        <w:lastRenderedPageBreak/>
        <w:t>4.</w:t>
      </w:r>
      <w:r>
        <w:rPr>
          <w:rFonts w:eastAsia="Calibri"/>
          <w:b/>
          <w:bCs/>
        </w:rPr>
        <w:tab/>
      </w:r>
      <w:r>
        <w:rPr>
          <w:rFonts w:eastAsia="Calibri"/>
          <w:b/>
        </w:rPr>
        <w:t>Environmental Cost Recovery Amounts, Including True-up Amounts, for the P</w:t>
      </w:r>
      <w:r w:rsidR="005C59DC" w:rsidRPr="00DC48B2">
        <w:rPr>
          <w:rFonts w:eastAsia="Calibri"/>
          <w:b/>
        </w:rPr>
        <w:t>eriod Jan</w:t>
      </w:r>
      <w:r>
        <w:rPr>
          <w:rFonts w:eastAsia="Calibri"/>
          <w:b/>
        </w:rPr>
        <w:t>uary 2021 through December 2021</w:t>
      </w:r>
    </w:p>
    <w:tbl>
      <w:tblPr>
        <w:tblW w:w="2496"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536"/>
      </w:tblGrid>
      <w:tr w:rsidR="005C59DC" w:rsidRPr="00DC48B2" w:rsidTr="005A47D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5C59DC" w:rsidRPr="00DC48B2" w:rsidRDefault="005C59DC" w:rsidP="005A47DC">
            <w:pPr>
              <w:jc w:val="both"/>
              <w:rPr>
                <w:sz w:val="22"/>
                <w:szCs w:val="22"/>
              </w:rPr>
            </w:pPr>
            <w:r w:rsidRPr="00DC48B2">
              <w:rPr>
                <w:sz w:val="22"/>
                <w:szCs w:val="22"/>
              </w:rPr>
              <w:t>FPL</w:t>
            </w:r>
          </w:p>
        </w:tc>
        <w:tc>
          <w:tcPr>
            <w:tcW w:w="1536" w:type="dxa"/>
            <w:tcBorders>
              <w:top w:val="single" w:sz="4" w:space="0" w:color="auto"/>
              <w:left w:val="single" w:sz="4" w:space="0" w:color="auto"/>
              <w:bottom w:val="single" w:sz="4" w:space="0" w:color="auto"/>
              <w:right w:val="single" w:sz="4" w:space="0" w:color="auto"/>
            </w:tcBorders>
            <w:noWrap/>
            <w:vAlign w:val="bottom"/>
          </w:tcPr>
          <w:p w:rsidR="005C59DC" w:rsidRPr="00DC48B2" w:rsidRDefault="005C59DC" w:rsidP="005A47DC">
            <w:pPr>
              <w:jc w:val="both"/>
              <w:rPr>
                <w:sz w:val="22"/>
                <w:szCs w:val="22"/>
              </w:rPr>
            </w:pPr>
            <w:r w:rsidRPr="00DC48B2">
              <w:rPr>
                <w:sz w:val="22"/>
                <w:szCs w:val="22"/>
              </w:rPr>
              <w:t>$157,436,210</w:t>
            </w:r>
          </w:p>
        </w:tc>
      </w:tr>
      <w:tr w:rsidR="005C59DC" w:rsidRPr="00DC48B2" w:rsidTr="005A47D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5C59DC" w:rsidRPr="00DC48B2" w:rsidRDefault="005C59DC" w:rsidP="005A47DC">
            <w:pPr>
              <w:jc w:val="both"/>
              <w:rPr>
                <w:sz w:val="22"/>
                <w:szCs w:val="22"/>
              </w:rPr>
            </w:pPr>
            <w:r w:rsidRPr="00DC48B2">
              <w:rPr>
                <w:sz w:val="22"/>
                <w:szCs w:val="22"/>
              </w:rPr>
              <w:t xml:space="preserve">DEF </w:t>
            </w:r>
          </w:p>
        </w:tc>
        <w:tc>
          <w:tcPr>
            <w:tcW w:w="1536" w:type="dxa"/>
            <w:tcBorders>
              <w:top w:val="single" w:sz="4" w:space="0" w:color="auto"/>
              <w:left w:val="single" w:sz="4" w:space="0" w:color="auto"/>
              <w:bottom w:val="single" w:sz="4" w:space="0" w:color="auto"/>
              <w:right w:val="single" w:sz="4" w:space="0" w:color="auto"/>
            </w:tcBorders>
            <w:noWrap/>
            <w:vAlign w:val="bottom"/>
          </w:tcPr>
          <w:p w:rsidR="005C59DC" w:rsidRPr="00DC48B2" w:rsidRDefault="005C59DC" w:rsidP="005A47DC">
            <w:pPr>
              <w:jc w:val="both"/>
              <w:rPr>
                <w:sz w:val="22"/>
                <w:szCs w:val="22"/>
              </w:rPr>
            </w:pPr>
            <w:r w:rsidRPr="00DC48B2">
              <w:rPr>
                <w:sz w:val="22"/>
                <w:szCs w:val="22"/>
              </w:rPr>
              <w:t>$38,447,970</w:t>
            </w:r>
          </w:p>
        </w:tc>
      </w:tr>
      <w:tr w:rsidR="005C59DC" w:rsidRPr="00DC48B2" w:rsidTr="005A47D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5C59DC" w:rsidRPr="00DC48B2" w:rsidRDefault="005C59DC" w:rsidP="005A47DC">
            <w:pPr>
              <w:jc w:val="both"/>
              <w:rPr>
                <w:sz w:val="22"/>
                <w:szCs w:val="22"/>
              </w:rPr>
            </w:pPr>
            <w:r w:rsidRPr="00DC48B2">
              <w:rPr>
                <w:sz w:val="22"/>
                <w:szCs w:val="22"/>
              </w:rPr>
              <w:t xml:space="preserve">TECO </w:t>
            </w:r>
          </w:p>
        </w:tc>
        <w:tc>
          <w:tcPr>
            <w:tcW w:w="1536" w:type="dxa"/>
            <w:tcBorders>
              <w:top w:val="single" w:sz="4" w:space="0" w:color="auto"/>
              <w:left w:val="single" w:sz="4" w:space="0" w:color="auto"/>
              <w:bottom w:val="single" w:sz="4" w:space="0" w:color="auto"/>
              <w:right w:val="single" w:sz="4" w:space="0" w:color="auto"/>
            </w:tcBorders>
            <w:noWrap/>
            <w:vAlign w:val="bottom"/>
          </w:tcPr>
          <w:p w:rsidR="005C59DC" w:rsidRPr="00DC48B2" w:rsidRDefault="005C59DC" w:rsidP="005A47DC">
            <w:pPr>
              <w:jc w:val="both"/>
              <w:rPr>
                <w:sz w:val="22"/>
                <w:szCs w:val="22"/>
              </w:rPr>
            </w:pPr>
            <w:r w:rsidRPr="00DC48B2">
              <w:rPr>
                <w:sz w:val="22"/>
                <w:szCs w:val="22"/>
              </w:rPr>
              <w:t>$52,083,641</w:t>
            </w:r>
          </w:p>
        </w:tc>
      </w:tr>
      <w:tr w:rsidR="005C59DC" w:rsidRPr="00DC48B2" w:rsidTr="005A47DC">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5C59DC" w:rsidRPr="00DC48B2" w:rsidRDefault="005C59DC" w:rsidP="005A47DC">
            <w:pPr>
              <w:jc w:val="both"/>
              <w:rPr>
                <w:sz w:val="22"/>
                <w:szCs w:val="22"/>
              </w:rPr>
            </w:pPr>
            <w:r w:rsidRPr="00DC48B2">
              <w:rPr>
                <w:sz w:val="22"/>
                <w:szCs w:val="22"/>
              </w:rPr>
              <w:t xml:space="preserve">Gulf </w:t>
            </w:r>
          </w:p>
        </w:tc>
        <w:tc>
          <w:tcPr>
            <w:tcW w:w="1536" w:type="dxa"/>
            <w:tcBorders>
              <w:top w:val="single" w:sz="4" w:space="0" w:color="auto"/>
              <w:left w:val="single" w:sz="4" w:space="0" w:color="auto"/>
              <w:bottom w:val="single" w:sz="4" w:space="0" w:color="auto"/>
              <w:right w:val="single" w:sz="4" w:space="0" w:color="auto"/>
            </w:tcBorders>
            <w:noWrap/>
            <w:vAlign w:val="bottom"/>
          </w:tcPr>
          <w:p w:rsidR="005C59DC" w:rsidRPr="00DC48B2" w:rsidRDefault="005C59DC" w:rsidP="005A47DC">
            <w:pPr>
              <w:jc w:val="both"/>
              <w:rPr>
                <w:sz w:val="22"/>
                <w:szCs w:val="22"/>
              </w:rPr>
            </w:pPr>
            <w:r w:rsidRPr="00DC48B2">
              <w:rPr>
                <w:sz w:val="22"/>
                <w:szCs w:val="22"/>
              </w:rPr>
              <w:t>$189,042,018</w:t>
            </w:r>
          </w:p>
        </w:tc>
      </w:tr>
    </w:tbl>
    <w:p w:rsidR="005C59DC" w:rsidRPr="00DC48B2" w:rsidRDefault="005C59DC" w:rsidP="005C59DC">
      <w:pPr>
        <w:keepNext/>
        <w:spacing w:after="200"/>
        <w:ind w:left="1440" w:hanging="1440"/>
        <w:jc w:val="both"/>
        <w:rPr>
          <w:rFonts w:eastAsia="Calibri"/>
          <w:b/>
          <w:bCs/>
          <w:u w:val="single"/>
        </w:rPr>
      </w:pPr>
    </w:p>
    <w:p w:rsidR="005C59DC" w:rsidRPr="00DC48B2" w:rsidRDefault="00CA3721" w:rsidP="005C59DC">
      <w:pPr>
        <w:keepNext/>
        <w:spacing w:after="200"/>
        <w:ind w:left="1440" w:hanging="1440"/>
        <w:jc w:val="both"/>
        <w:rPr>
          <w:rFonts w:eastAsia="Calibri"/>
          <w:b/>
        </w:rPr>
      </w:pPr>
      <w:r>
        <w:rPr>
          <w:rFonts w:eastAsia="Calibri"/>
          <w:b/>
          <w:bCs/>
        </w:rPr>
        <w:t>5.</w:t>
      </w:r>
      <w:r w:rsidRPr="00CA3721">
        <w:rPr>
          <w:rFonts w:eastAsia="Calibri"/>
          <w:b/>
          <w:bCs/>
        </w:rPr>
        <w:tab/>
      </w:r>
      <w:r>
        <w:rPr>
          <w:rFonts w:eastAsia="Calibri"/>
          <w:b/>
        </w:rPr>
        <w:t>Depreciation R</w:t>
      </w:r>
      <w:r w:rsidR="005C59DC" w:rsidRPr="00DC48B2">
        <w:rPr>
          <w:rFonts w:eastAsia="Calibri"/>
          <w:b/>
        </w:rPr>
        <w:t xml:space="preserve">ates </w:t>
      </w:r>
      <w:r>
        <w:rPr>
          <w:rFonts w:eastAsia="Calibri"/>
          <w:b/>
        </w:rPr>
        <w:t>to be Used to Develop the Depreciation Expense Included in the Total Environmental Cost Recovery Amounts for the P</w:t>
      </w:r>
      <w:r w:rsidR="005C59DC" w:rsidRPr="00DC48B2">
        <w:rPr>
          <w:rFonts w:eastAsia="Calibri"/>
          <w:b/>
        </w:rPr>
        <w:t>eriod Jan</w:t>
      </w:r>
      <w:r>
        <w:rPr>
          <w:rFonts w:eastAsia="Calibri"/>
          <w:b/>
        </w:rPr>
        <w:t>uary 2021 through December 2021</w:t>
      </w:r>
    </w:p>
    <w:p w:rsidR="005C59DC" w:rsidRPr="00DC48B2" w:rsidRDefault="005C59DC" w:rsidP="005C59DC">
      <w:pPr>
        <w:keepNext/>
        <w:spacing w:after="200"/>
        <w:ind w:left="1440"/>
        <w:jc w:val="both"/>
        <w:rPr>
          <w:rFonts w:eastAsia="Calibri"/>
        </w:rPr>
      </w:pPr>
      <w:r w:rsidRPr="00DC48B2">
        <w:rPr>
          <w:rFonts w:eastAsia="Calibri"/>
        </w:rPr>
        <w:t>The depreciation rates used to calculate depreciation expense shall be the rates that are in effect during the period the allowed capital investment is in service, with the following exception: TECO -- Big Bend Fuel Oil Tanks 1 &amp; 2, which were retired in 2016, will be depreciated over a five-year period from the date of retirement.</w:t>
      </w:r>
    </w:p>
    <w:p w:rsidR="005C59DC" w:rsidRPr="00DC48B2" w:rsidRDefault="005C59DC" w:rsidP="005C59DC">
      <w:pPr>
        <w:spacing w:line="276" w:lineRule="auto"/>
        <w:ind w:left="1440" w:hanging="1440"/>
        <w:jc w:val="both"/>
        <w:rPr>
          <w:rFonts w:eastAsia="Calibri"/>
          <w:b/>
          <w:bCs/>
          <w:u w:val="single"/>
        </w:rPr>
      </w:pPr>
    </w:p>
    <w:p w:rsidR="005C59DC" w:rsidRPr="00DC48B2" w:rsidRDefault="00CA3721" w:rsidP="005C59DC">
      <w:pPr>
        <w:spacing w:after="200"/>
        <w:ind w:left="1440" w:hanging="1440"/>
        <w:jc w:val="both"/>
        <w:rPr>
          <w:rFonts w:eastAsia="Calibri"/>
          <w:b/>
          <w:bCs/>
        </w:rPr>
      </w:pPr>
      <w:r w:rsidRPr="00CA3721">
        <w:rPr>
          <w:rFonts w:eastAsia="Calibri"/>
          <w:b/>
          <w:bCs/>
        </w:rPr>
        <w:t>6.</w:t>
      </w:r>
      <w:r w:rsidR="005C59DC" w:rsidRPr="00DC48B2">
        <w:rPr>
          <w:rFonts w:eastAsia="Calibri"/>
          <w:b/>
          <w:bCs/>
        </w:rPr>
        <w:tab/>
      </w:r>
      <w:r>
        <w:rPr>
          <w:rFonts w:eastAsia="Calibri"/>
          <w:b/>
          <w:bCs/>
        </w:rPr>
        <w:t>Jurisdictional Separation Factors for the P</w:t>
      </w:r>
      <w:r w:rsidR="005C59DC" w:rsidRPr="00DC48B2">
        <w:rPr>
          <w:rFonts w:eastAsia="Calibri"/>
          <w:b/>
          <w:bCs/>
        </w:rPr>
        <w:t xml:space="preserve">rojected </w:t>
      </w:r>
      <w:r>
        <w:rPr>
          <w:rFonts w:eastAsia="Calibri"/>
          <w:b/>
          <w:bCs/>
        </w:rPr>
        <w:t>P</w:t>
      </w:r>
      <w:r w:rsidR="005C59DC" w:rsidRPr="00DC48B2">
        <w:rPr>
          <w:rFonts w:eastAsia="Calibri"/>
          <w:b/>
          <w:bCs/>
        </w:rPr>
        <w:t>eriod Jan</w:t>
      </w:r>
      <w:r>
        <w:rPr>
          <w:rFonts w:eastAsia="Calibri"/>
          <w:b/>
          <w:bCs/>
        </w:rPr>
        <w:t>uary 2021 through December 2021</w:t>
      </w:r>
    </w:p>
    <w:p w:rsidR="005C59DC" w:rsidRPr="00DC48B2" w:rsidRDefault="005C59DC" w:rsidP="005C59DC">
      <w:pPr>
        <w:spacing w:after="200" w:line="276" w:lineRule="auto"/>
        <w:ind w:left="1440"/>
        <w:jc w:val="both"/>
        <w:rPr>
          <w:rFonts w:eastAsia="Calibri"/>
        </w:rPr>
      </w:pPr>
      <w:r w:rsidRPr="00DC48B2">
        <w:rPr>
          <w:rFonts w:eastAsia="Calibri"/>
        </w:rPr>
        <w:t>The appropriate jurisdictional separation factors for the period January 2021 through December 2021 are as follows:</w:t>
      </w:r>
    </w:p>
    <w:p w:rsidR="005C59DC" w:rsidRPr="00DC48B2" w:rsidRDefault="005C59DC" w:rsidP="005C59DC">
      <w:pPr>
        <w:spacing w:line="276" w:lineRule="auto"/>
        <w:jc w:val="both"/>
        <w:rPr>
          <w:rFonts w:eastAsia="Calibri"/>
          <w:iCs/>
        </w:rPr>
      </w:pPr>
      <w:r w:rsidRPr="00DC48B2">
        <w:rPr>
          <w:rFonts w:eastAsia="Calibri"/>
          <w:b/>
          <w:bCs/>
        </w:rPr>
        <w:t xml:space="preserve">FPL: </w:t>
      </w:r>
      <w:r w:rsidRPr="00DC48B2">
        <w:rPr>
          <w:rFonts w:eastAsia="Calibri"/>
          <w:b/>
          <w:bCs/>
        </w:rPr>
        <w:tab/>
      </w:r>
      <w:r w:rsidRPr="00DC48B2">
        <w:rPr>
          <w:rFonts w:eastAsia="Calibri"/>
          <w:b/>
          <w:bCs/>
        </w:rPr>
        <w:tab/>
      </w:r>
      <w:r w:rsidRPr="00DC48B2">
        <w:rPr>
          <w:rFonts w:eastAsia="Calibri"/>
          <w:iCs/>
        </w:rPr>
        <w:t>Retail Energy Jurisdictional Factor - Base/Solar 95.6788%</w:t>
      </w:r>
    </w:p>
    <w:p w:rsidR="005C59DC" w:rsidRPr="00DC48B2" w:rsidRDefault="005C59DC" w:rsidP="005C59DC">
      <w:pPr>
        <w:spacing w:line="276" w:lineRule="auto"/>
        <w:ind w:left="1440"/>
        <w:jc w:val="both"/>
        <w:rPr>
          <w:rFonts w:eastAsia="Calibri"/>
          <w:iCs/>
        </w:rPr>
      </w:pPr>
      <w:r w:rsidRPr="00DC48B2">
        <w:rPr>
          <w:rFonts w:eastAsia="Calibri"/>
          <w:iCs/>
        </w:rPr>
        <w:t>Retail Energy Jurisdictional Factor - Intermediate 94.9979%</w:t>
      </w:r>
    </w:p>
    <w:p w:rsidR="005C59DC" w:rsidRPr="00DC48B2" w:rsidRDefault="005C59DC" w:rsidP="005C59DC">
      <w:pPr>
        <w:spacing w:line="276" w:lineRule="auto"/>
        <w:ind w:left="1440"/>
        <w:jc w:val="both"/>
        <w:rPr>
          <w:rFonts w:eastAsia="Calibri"/>
          <w:iCs/>
        </w:rPr>
      </w:pPr>
      <w:r w:rsidRPr="00DC48B2">
        <w:rPr>
          <w:rFonts w:eastAsia="Calibri"/>
          <w:iCs/>
        </w:rPr>
        <w:t>Retail Energy Jurisdictional Factor - Peaking 95.2675%</w:t>
      </w:r>
    </w:p>
    <w:p w:rsidR="005C59DC" w:rsidRPr="00DC48B2" w:rsidRDefault="005C59DC" w:rsidP="005C59DC">
      <w:pPr>
        <w:spacing w:line="276" w:lineRule="auto"/>
        <w:ind w:left="1440"/>
        <w:jc w:val="both"/>
        <w:rPr>
          <w:rFonts w:eastAsia="Calibri"/>
          <w:iCs/>
        </w:rPr>
      </w:pPr>
      <w:r w:rsidRPr="00DC48B2">
        <w:rPr>
          <w:rFonts w:eastAsia="Calibri"/>
          <w:iCs/>
        </w:rPr>
        <w:t>Retail Demand Jurisdictional Factor - Transmission 90.2300%</w:t>
      </w:r>
    </w:p>
    <w:p w:rsidR="005C59DC" w:rsidRPr="00DC48B2" w:rsidRDefault="005C59DC" w:rsidP="005C59DC">
      <w:pPr>
        <w:spacing w:line="276" w:lineRule="auto"/>
        <w:ind w:left="1440"/>
        <w:jc w:val="both"/>
        <w:rPr>
          <w:rFonts w:eastAsia="Calibri"/>
          <w:iCs/>
        </w:rPr>
      </w:pPr>
      <w:r w:rsidRPr="00DC48B2">
        <w:rPr>
          <w:rFonts w:eastAsia="Calibri"/>
          <w:iCs/>
        </w:rPr>
        <w:t>Retail Demand Jurisdictional Factor - Base/Solar 95.6891%</w:t>
      </w:r>
    </w:p>
    <w:p w:rsidR="005C59DC" w:rsidRPr="00DC48B2" w:rsidRDefault="005C59DC" w:rsidP="005C59DC">
      <w:pPr>
        <w:spacing w:line="276" w:lineRule="auto"/>
        <w:ind w:left="1440"/>
        <w:jc w:val="both"/>
        <w:rPr>
          <w:rFonts w:eastAsia="Calibri"/>
          <w:iCs/>
        </w:rPr>
      </w:pPr>
      <w:r w:rsidRPr="00DC48B2">
        <w:rPr>
          <w:rFonts w:eastAsia="Calibri"/>
          <w:iCs/>
        </w:rPr>
        <w:t>Retail Demand Jurisdictional Factor - Intermediate 95.0081%</w:t>
      </w:r>
    </w:p>
    <w:p w:rsidR="005C59DC" w:rsidRPr="00DC48B2" w:rsidRDefault="005C59DC" w:rsidP="005C59DC">
      <w:pPr>
        <w:spacing w:line="276" w:lineRule="auto"/>
        <w:ind w:left="1440"/>
        <w:jc w:val="both"/>
        <w:rPr>
          <w:rFonts w:eastAsia="Calibri"/>
          <w:iCs/>
        </w:rPr>
      </w:pPr>
      <w:r w:rsidRPr="00DC48B2">
        <w:rPr>
          <w:rFonts w:eastAsia="Calibri"/>
          <w:iCs/>
        </w:rPr>
        <w:t>Retail Demand Jurisdictional Factor - Peaking 95.2778%</w:t>
      </w:r>
    </w:p>
    <w:p w:rsidR="005C59DC" w:rsidRPr="00DC48B2" w:rsidRDefault="005C59DC" w:rsidP="005C59DC">
      <w:pPr>
        <w:spacing w:line="276" w:lineRule="auto"/>
        <w:ind w:left="1440"/>
        <w:jc w:val="both"/>
        <w:rPr>
          <w:rFonts w:eastAsia="Calibri"/>
          <w:iCs/>
        </w:rPr>
      </w:pPr>
      <w:r w:rsidRPr="00DC48B2">
        <w:rPr>
          <w:rFonts w:eastAsia="Calibri"/>
          <w:iCs/>
        </w:rPr>
        <w:t>Retail Demand Jurisdictional Factor - General Plant 96.9888%</w:t>
      </w:r>
    </w:p>
    <w:p w:rsidR="005C59DC" w:rsidRPr="00DC48B2" w:rsidRDefault="005C59DC" w:rsidP="005C59DC">
      <w:pPr>
        <w:spacing w:after="200" w:line="276" w:lineRule="auto"/>
        <w:ind w:left="1440"/>
        <w:jc w:val="both"/>
        <w:rPr>
          <w:rFonts w:eastAsia="Calibri"/>
          <w:b/>
          <w:bCs/>
        </w:rPr>
      </w:pPr>
      <w:r w:rsidRPr="00DC48B2">
        <w:rPr>
          <w:rFonts w:eastAsia="Calibri"/>
          <w:iCs/>
        </w:rPr>
        <w:t>Retail Demand Jurisdictional Factor - Distribution 100.0000%</w:t>
      </w:r>
      <w:r w:rsidRPr="00DC48B2">
        <w:rPr>
          <w:rFonts w:eastAsia="Calibri"/>
          <w:b/>
          <w:bCs/>
          <w:iCs/>
        </w:rPr>
        <w:tab/>
      </w:r>
      <w:r w:rsidRPr="00DC48B2">
        <w:rPr>
          <w:rFonts w:eastAsia="Calibri"/>
          <w:b/>
          <w:bCs/>
        </w:rPr>
        <w:tab/>
      </w:r>
    </w:p>
    <w:p w:rsidR="00347B85" w:rsidRDefault="00347B85" w:rsidP="005C59DC">
      <w:pPr>
        <w:ind w:left="1440" w:hanging="1440"/>
        <w:jc w:val="both"/>
        <w:rPr>
          <w:rFonts w:eastAsia="Calibri"/>
          <w:b/>
          <w:bCs/>
        </w:rPr>
      </w:pPr>
    </w:p>
    <w:p w:rsidR="00347B85" w:rsidRDefault="00347B85" w:rsidP="005C59DC">
      <w:pPr>
        <w:ind w:left="1440" w:hanging="1440"/>
        <w:jc w:val="both"/>
        <w:rPr>
          <w:rFonts w:eastAsia="Calibri"/>
          <w:b/>
          <w:bCs/>
        </w:rPr>
      </w:pPr>
    </w:p>
    <w:p w:rsidR="00347B85" w:rsidRDefault="00347B85" w:rsidP="005C59DC">
      <w:pPr>
        <w:ind w:left="1440" w:hanging="1440"/>
        <w:jc w:val="both"/>
        <w:rPr>
          <w:rFonts w:eastAsia="Calibri"/>
          <w:b/>
          <w:bCs/>
        </w:rPr>
      </w:pPr>
    </w:p>
    <w:p w:rsidR="00347B85" w:rsidRDefault="00347B85" w:rsidP="005C59DC">
      <w:pPr>
        <w:ind w:left="1440" w:hanging="1440"/>
        <w:jc w:val="both"/>
        <w:rPr>
          <w:rFonts w:eastAsia="Calibri"/>
          <w:b/>
          <w:bCs/>
        </w:rPr>
      </w:pPr>
    </w:p>
    <w:p w:rsidR="00347B85" w:rsidRDefault="00347B85" w:rsidP="005C59DC">
      <w:pPr>
        <w:ind w:left="1440" w:hanging="1440"/>
        <w:jc w:val="both"/>
        <w:rPr>
          <w:rFonts w:eastAsia="Calibri"/>
          <w:b/>
          <w:bCs/>
        </w:rPr>
      </w:pPr>
    </w:p>
    <w:p w:rsidR="00347B85" w:rsidRDefault="00347B85" w:rsidP="005C59DC">
      <w:pPr>
        <w:ind w:left="1440" w:hanging="1440"/>
        <w:jc w:val="both"/>
        <w:rPr>
          <w:rFonts w:eastAsia="Calibri"/>
          <w:b/>
          <w:bCs/>
        </w:rPr>
      </w:pPr>
    </w:p>
    <w:p w:rsidR="00347B85" w:rsidRDefault="00347B85" w:rsidP="005C59DC">
      <w:pPr>
        <w:ind w:left="1440" w:hanging="1440"/>
        <w:jc w:val="both"/>
        <w:rPr>
          <w:rFonts w:eastAsia="Calibri"/>
          <w:b/>
          <w:bCs/>
        </w:rPr>
      </w:pPr>
    </w:p>
    <w:p w:rsidR="00347B85" w:rsidRDefault="00347B85" w:rsidP="005C59DC">
      <w:pPr>
        <w:ind w:left="1440" w:hanging="1440"/>
        <w:jc w:val="both"/>
        <w:rPr>
          <w:rFonts w:eastAsia="Calibri"/>
          <w:b/>
          <w:bCs/>
        </w:rPr>
      </w:pPr>
    </w:p>
    <w:p w:rsidR="005C59DC" w:rsidRPr="00DC48B2" w:rsidRDefault="005C59DC" w:rsidP="005C59DC">
      <w:pPr>
        <w:ind w:left="1440" w:hanging="1440"/>
        <w:jc w:val="both"/>
        <w:rPr>
          <w:rFonts w:eastAsia="Calibri"/>
        </w:rPr>
      </w:pPr>
      <w:r w:rsidRPr="00DC48B2">
        <w:rPr>
          <w:rFonts w:eastAsia="Calibri"/>
          <w:b/>
          <w:bCs/>
        </w:rPr>
        <w:lastRenderedPageBreak/>
        <w:t>DEF:</w:t>
      </w:r>
      <w:r w:rsidRPr="00DC48B2">
        <w:rPr>
          <w:rFonts w:eastAsia="Calibri"/>
          <w:b/>
          <w:bCs/>
        </w:rPr>
        <w:tab/>
      </w:r>
      <w:r w:rsidRPr="00DC48B2">
        <w:rPr>
          <w:rFonts w:eastAsia="Calibri"/>
        </w:rPr>
        <w:t>The Energy separation factor is calculated for each month based on retail kWh sales as a percentage of projected total kWh sales. The remaining separation factors are below and are consistent with DEF’s 2017 Second Revised and Restated Stipulation and Settlement Agreement (“2017 Agreement”) approved in Order No. PSC-2017-0451-AS-EU.</w:t>
      </w:r>
    </w:p>
    <w:p w:rsidR="00347B85" w:rsidRPr="00DC48B2" w:rsidRDefault="00347B85" w:rsidP="005C59DC">
      <w:pPr>
        <w:ind w:left="1440" w:hanging="1440"/>
        <w:jc w:val="both"/>
        <w:rPr>
          <w:rFonts w:eastAsia="Calibri"/>
        </w:rPr>
      </w:pPr>
    </w:p>
    <w:p w:rsidR="005C59DC" w:rsidRPr="00DC48B2" w:rsidRDefault="005C59DC" w:rsidP="005C59DC">
      <w:pPr>
        <w:ind w:left="2880" w:hanging="1440"/>
        <w:jc w:val="both"/>
        <w:rPr>
          <w:rFonts w:eastAsia="Calibri"/>
        </w:rPr>
      </w:pPr>
      <w:r w:rsidRPr="00DC48B2">
        <w:rPr>
          <w:rFonts w:eastAsia="Calibri"/>
        </w:rPr>
        <w:t>Transmission Average 12 CP Demand – 70.203%</w:t>
      </w:r>
    </w:p>
    <w:p w:rsidR="005C59DC" w:rsidRPr="00DC48B2" w:rsidRDefault="005C59DC" w:rsidP="005C59DC">
      <w:pPr>
        <w:ind w:left="2880" w:hanging="1440"/>
        <w:jc w:val="both"/>
        <w:rPr>
          <w:rFonts w:eastAsia="Calibri"/>
        </w:rPr>
      </w:pPr>
      <w:r w:rsidRPr="00DC48B2">
        <w:rPr>
          <w:rFonts w:eastAsia="Calibri"/>
        </w:rPr>
        <w:t>Distribution Primary Demand – 99.561%</w:t>
      </w:r>
    </w:p>
    <w:p w:rsidR="005C59DC" w:rsidRPr="00DC48B2" w:rsidRDefault="005C59DC" w:rsidP="005C59DC">
      <w:pPr>
        <w:ind w:left="2880" w:hanging="1440"/>
        <w:jc w:val="both"/>
        <w:rPr>
          <w:rFonts w:eastAsia="Calibri"/>
        </w:rPr>
      </w:pPr>
    </w:p>
    <w:p w:rsidR="005C59DC" w:rsidRPr="00DC48B2" w:rsidRDefault="005C59DC" w:rsidP="005C59DC">
      <w:pPr>
        <w:ind w:left="2880" w:hanging="1440"/>
        <w:jc w:val="both"/>
        <w:rPr>
          <w:rFonts w:eastAsia="Calibri"/>
        </w:rPr>
      </w:pPr>
      <w:r w:rsidRPr="00DC48B2">
        <w:rPr>
          <w:rFonts w:eastAsia="Calibri"/>
        </w:rPr>
        <w:t>Production Demand:</w:t>
      </w:r>
    </w:p>
    <w:p w:rsidR="005C59DC" w:rsidRPr="00DC48B2" w:rsidRDefault="005C59DC" w:rsidP="005C59DC">
      <w:pPr>
        <w:ind w:left="2880" w:hanging="1440"/>
        <w:jc w:val="both"/>
        <w:rPr>
          <w:rFonts w:eastAsia="Calibri"/>
        </w:rPr>
      </w:pPr>
      <w:r w:rsidRPr="00DC48B2">
        <w:rPr>
          <w:rFonts w:eastAsia="Calibri"/>
        </w:rPr>
        <w:t>Production Base – 92.885%</w:t>
      </w:r>
    </w:p>
    <w:p w:rsidR="005C59DC" w:rsidRPr="00DC48B2" w:rsidRDefault="005C59DC" w:rsidP="005C59DC">
      <w:pPr>
        <w:ind w:left="2880" w:hanging="1440"/>
        <w:jc w:val="both"/>
        <w:rPr>
          <w:rFonts w:eastAsia="Calibri"/>
        </w:rPr>
      </w:pPr>
      <w:r w:rsidRPr="00DC48B2">
        <w:rPr>
          <w:rFonts w:eastAsia="Calibri"/>
        </w:rPr>
        <w:t>Production Intermediate – 72.703%</w:t>
      </w:r>
    </w:p>
    <w:p w:rsidR="005C59DC" w:rsidRPr="00DC48B2" w:rsidRDefault="005C59DC" w:rsidP="005C59DC">
      <w:pPr>
        <w:ind w:left="2880" w:hanging="1440"/>
        <w:jc w:val="both"/>
        <w:rPr>
          <w:rFonts w:eastAsia="Calibri"/>
        </w:rPr>
      </w:pPr>
      <w:r w:rsidRPr="00DC48B2">
        <w:rPr>
          <w:rFonts w:eastAsia="Calibri"/>
        </w:rPr>
        <w:t>Production Peaking – 95.924%</w:t>
      </w:r>
    </w:p>
    <w:p w:rsidR="005C59DC" w:rsidRPr="00DC48B2" w:rsidRDefault="005C59DC" w:rsidP="005C59DC">
      <w:pPr>
        <w:ind w:left="2880" w:hanging="1440"/>
        <w:jc w:val="both"/>
        <w:rPr>
          <w:rFonts w:eastAsia="Calibri"/>
          <w:bCs/>
        </w:rPr>
      </w:pPr>
      <w:r w:rsidRPr="00DC48B2">
        <w:rPr>
          <w:rFonts w:eastAsia="Calibri"/>
        </w:rPr>
        <w:t>Production A&amp;G – 93.221%</w:t>
      </w:r>
    </w:p>
    <w:p w:rsidR="005C59DC" w:rsidRPr="00DC48B2" w:rsidRDefault="005C59DC" w:rsidP="005C59DC">
      <w:pPr>
        <w:ind w:left="1440"/>
        <w:jc w:val="both"/>
        <w:rPr>
          <w:rFonts w:eastAsia="Calibri"/>
          <w:bCs/>
        </w:rPr>
      </w:pPr>
    </w:p>
    <w:p w:rsidR="005C59DC" w:rsidRPr="00DC48B2" w:rsidRDefault="005C59DC" w:rsidP="005C59DC">
      <w:pPr>
        <w:jc w:val="both"/>
        <w:rPr>
          <w:rFonts w:eastAsia="Calibri"/>
          <w:b/>
          <w:bCs/>
        </w:rPr>
      </w:pPr>
      <w:r w:rsidRPr="00DC48B2">
        <w:rPr>
          <w:rFonts w:eastAsia="Calibri"/>
          <w:b/>
          <w:bCs/>
        </w:rPr>
        <w:t>TECO:</w:t>
      </w:r>
      <w:r w:rsidRPr="00DC48B2">
        <w:rPr>
          <w:rFonts w:eastAsia="Calibri"/>
          <w:b/>
          <w:bCs/>
        </w:rPr>
        <w:tab/>
      </w:r>
      <w:r w:rsidRPr="00DC48B2">
        <w:rPr>
          <w:rFonts w:eastAsia="Calibri"/>
        </w:rPr>
        <w:t>Energy: 100.00%</w:t>
      </w:r>
    </w:p>
    <w:p w:rsidR="005C59DC" w:rsidRPr="00DC48B2" w:rsidRDefault="005C59DC" w:rsidP="005C59DC">
      <w:pPr>
        <w:ind w:left="1440"/>
        <w:jc w:val="both"/>
        <w:rPr>
          <w:rFonts w:eastAsia="Calibri"/>
        </w:rPr>
      </w:pPr>
      <w:r w:rsidRPr="00DC48B2">
        <w:rPr>
          <w:rFonts w:eastAsia="Calibri"/>
        </w:rPr>
        <w:t>Demand: 100.00%</w:t>
      </w:r>
    </w:p>
    <w:p w:rsidR="005C59DC" w:rsidRPr="00DC48B2" w:rsidRDefault="005C59DC" w:rsidP="005C59DC">
      <w:pPr>
        <w:ind w:left="720"/>
        <w:jc w:val="both"/>
        <w:rPr>
          <w:rFonts w:eastAsia="Calibri"/>
          <w:b/>
          <w:bCs/>
        </w:rPr>
      </w:pPr>
    </w:p>
    <w:p w:rsidR="005C59DC" w:rsidRPr="00DC48B2" w:rsidRDefault="005C59DC" w:rsidP="005C59DC">
      <w:pPr>
        <w:spacing w:line="276" w:lineRule="auto"/>
        <w:jc w:val="both"/>
        <w:rPr>
          <w:rFonts w:eastAsia="Calibri"/>
        </w:rPr>
      </w:pPr>
      <w:r w:rsidRPr="00DC48B2">
        <w:rPr>
          <w:rFonts w:eastAsia="Calibri"/>
          <w:b/>
          <w:bCs/>
        </w:rPr>
        <w:t>GULF:</w:t>
      </w:r>
      <w:r w:rsidRPr="00DC48B2">
        <w:rPr>
          <w:rFonts w:eastAsia="Calibri"/>
          <w:b/>
          <w:bCs/>
        </w:rPr>
        <w:tab/>
      </w:r>
      <w:r w:rsidRPr="00DC48B2">
        <w:rPr>
          <w:rFonts w:eastAsia="Calibri"/>
        </w:rPr>
        <w:t>Retail Energy Jurisdictional Factor - Base 100.0000%</w:t>
      </w:r>
    </w:p>
    <w:p w:rsidR="005C59DC" w:rsidRPr="00DC48B2" w:rsidRDefault="005C59DC" w:rsidP="005C59DC">
      <w:pPr>
        <w:spacing w:line="276" w:lineRule="auto"/>
        <w:ind w:left="1440"/>
        <w:jc w:val="both"/>
        <w:rPr>
          <w:rFonts w:eastAsia="Calibri"/>
        </w:rPr>
      </w:pPr>
      <w:r w:rsidRPr="00DC48B2">
        <w:rPr>
          <w:rFonts w:eastAsia="Calibri"/>
        </w:rPr>
        <w:t xml:space="preserve">Retail Energy Jurisdictional Factor - Intermediate 97.5922% </w:t>
      </w:r>
    </w:p>
    <w:p w:rsidR="005C59DC" w:rsidRPr="00DC48B2" w:rsidRDefault="005C59DC" w:rsidP="005C59DC">
      <w:pPr>
        <w:spacing w:line="276" w:lineRule="auto"/>
        <w:ind w:left="1440"/>
        <w:jc w:val="both"/>
        <w:rPr>
          <w:rFonts w:eastAsia="Calibri"/>
        </w:rPr>
      </w:pPr>
      <w:r w:rsidRPr="00DC48B2">
        <w:rPr>
          <w:rFonts w:eastAsia="Calibri"/>
        </w:rPr>
        <w:t>Retail Energy Jurisdictional Factor - Peaking 76.0860%</w:t>
      </w:r>
    </w:p>
    <w:p w:rsidR="005C59DC" w:rsidRPr="00DC48B2" w:rsidRDefault="005C59DC" w:rsidP="005C59DC">
      <w:pPr>
        <w:spacing w:line="276" w:lineRule="auto"/>
        <w:ind w:left="1440"/>
        <w:jc w:val="both"/>
        <w:rPr>
          <w:rFonts w:eastAsia="Calibri"/>
        </w:rPr>
      </w:pPr>
      <w:r w:rsidRPr="00DC48B2">
        <w:rPr>
          <w:rFonts w:eastAsia="Calibri"/>
        </w:rPr>
        <w:t>Retail Demand Jurisdictional Factor - Transmission 97.2343%</w:t>
      </w:r>
    </w:p>
    <w:p w:rsidR="005C59DC" w:rsidRPr="00DC48B2" w:rsidRDefault="005C59DC" w:rsidP="005C59DC">
      <w:pPr>
        <w:spacing w:line="276" w:lineRule="auto"/>
        <w:ind w:left="1440"/>
        <w:jc w:val="both"/>
        <w:rPr>
          <w:rFonts w:eastAsia="Calibri"/>
        </w:rPr>
      </w:pPr>
      <w:r w:rsidRPr="00DC48B2">
        <w:rPr>
          <w:rFonts w:eastAsia="Calibri"/>
        </w:rPr>
        <w:t>Retail Demand Jurisdictional Factor - Base 100.0000%</w:t>
      </w:r>
    </w:p>
    <w:p w:rsidR="005C59DC" w:rsidRPr="00DC48B2" w:rsidRDefault="005C59DC" w:rsidP="005C59DC">
      <w:pPr>
        <w:spacing w:line="276" w:lineRule="auto"/>
        <w:ind w:left="1440"/>
        <w:jc w:val="both"/>
        <w:rPr>
          <w:rFonts w:eastAsia="Calibri"/>
        </w:rPr>
      </w:pPr>
      <w:r w:rsidRPr="00DC48B2">
        <w:rPr>
          <w:rFonts w:eastAsia="Calibri"/>
        </w:rPr>
        <w:t>Retail Demand Jurisdictional Factor - Intermediate 97.5922%</w:t>
      </w:r>
    </w:p>
    <w:p w:rsidR="005C59DC" w:rsidRPr="00DC48B2" w:rsidRDefault="005C59DC" w:rsidP="005C59DC">
      <w:pPr>
        <w:spacing w:line="276" w:lineRule="auto"/>
        <w:ind w:left="1440"/>
        <w:jc w:val="both"/>
        <w:rPr>
          <w:rFonts w:eastAsia="Calibri"/>
        </w:rPr>
      </w:pPr>
      <w:r w:rsidRPr="00DC48B2">
        <w:rPr>
          <w:rFonts w:eastAsia="Calibri"/>
        </w:rPr>
        <w:t>Retail Demand Jurisdictional Factor - Peaking 76.0860%</w:t>
      </w:r>
    </w:p>
    <w:p w:rsidR="005C59DC" w:rsidRPr="00DC48B2" w:rsidRDefault="005C59DC" w:rsidP="005C59DC">
      <w:pPr>
        <w:spacing w:line="276" w:lineRule="auto"/>
        <w:ind w:left="1440"/>
        <w:jc w:val="both"/>
        <w:rPr>
          <w:rFonts w:eastAsia="Calibri"/>
        </w:rPr>
      </w:pPr>
      <w:r w:rsidRPr="00DC48B2">
        <w:rPr>
          <w:rFonts w:eastAsia="Calibri"/>
        </w:rPr>
        <w:t>Retail Demand Jurisdictional Factor - General Plant 96.9888%</w:t>
      </w:r>
    </w:p>
    <w:p w:rsidR="005C59DC" w:rsidRPr="00DC48B2" w:rsidRDefault="005C59DC" w:rsidP="005C59DC">
      <w:pPr>
        <w:ind w:left="2880" w:hanging="1440"/>
        <w:jc w:val="both"/>
        <w:rPr>
          <w:rFonts w:eastAsia="Calibri"/>
          <w:bCs/>
        </w:rPr>
      </w:pPr>
      <w:r w:rsidRPr="00DC48B2">
        <w:rPr>
          <w:rFonts w:eastAsia="Calibri"/>
        </w:rPr>
        <w:t>Retail Demand Jurisdictional Factor - Distribution 98.1419%</w:t>
      </w:r>
    </w:p>
    <w:p w:rsidR="005C59DC" w:rsidRPr="00DC48B2" w:rsidRDefault="005C59DC" w:rsidP="005C59DC">
      <w:pPr>
        <w:spacing w:after="240"/>
        <w:ind w:left="1440" w:hanging="1440"/>
        <w:jc w:val="both"/>
        <w:rPr>
          <w:rFonts w:eastAsia="Calibri"/>
          <w:b/>
          <w:bCs/>
        </w:rPr>
      </w:pPr>
    </w:p>
    <w:p w:rsidR="005C59DC" w:rsidRPr="00DC48B2" w:rsidRDefault="00CA3721" w:rsidP="005C59DC">
      <w:pPr>
        <w:spacing w:after="200"/>
        <w:ind w:left="1440" w:hanging="1440"/>
        <w:jc w:val="both"/>
        <w:rPr>
          <w:rFonts w:eastAsia="Calibri"/>
          <w:b/>
        </w:rPr>
      </w:pPr>
      <w:r>
        <w:rPr>
          <w:rFonts w:eastAsia="Calibri"/>
          <w:b/>
        </w:rPr>
        <w:t>7.</w:t>
      </w:r>
      <w:r w:rsidR="005C59DC" w:rsidRPr="00DC48B2">
        <w:rPr>
          <w:rFonts w:eastAsia="Calibri"/>
          <w:b/>
        </w:rPr>
        <w:tab/>
      </w:r>
      <w:r>
        <w:rPr>
          <w:rFonts w:eastAsia="Calibri"/>
          <w:b/>
        </w:rPr>
        <w:t>Environmental Cost Recovery Factors for the P</w:t>
      </w:r>
      <w:r w:rsidR="005C59DC" w:rsidRPr="00DC48B2">
        <w:rPr>
          <w:rFonts w:eastAsia="Calibri"/>
          <w:b/>
        </w:rPr>
        <w:t xml:space="preserve">eriod January </w:t>
      </w:r>
      <w:r>
        <w:rPr>
          <w:rFonts w:eastAsia="Calibri"/>
          <w:b/>
        </w:rPr>
        <w:t>2021 through December 2021 for Each Rate Group</w:t>
      </w:r>
    </w:p>
    <w:p w:rsidR="005C59DC" w:rsidRPr="00DC48B2" w:rsidRDefault="005C59DC" w:rsidP="005C59DC">
      <w:pPr>
        <w:ind w:left="1440"/>
        <w:jc w:val="both"/>
        <w:rPr>
          <w:rFonts w:eastAsia="Calibri"/>
          <w:bCs/>
        </w:rPr>
      </w:pPr>
      <w:r w:rsidRPr="00DC48B2">
        <w:rPr>
          <w:rFonts w:eastAsia="Calibri"/>
          <w:bCs/>
        </w:rPr>
        <w:t>The appropriate environmental cost recovery factors for the period January 2021 through December 2021 for each rate group are as follows:</w:t>
      </w:r>
    </w:p>
    <w:p w:rsidR="005C59DC" w:rsidRPr="00DC48B2" w:rsidRDefault="005C59DC" w:rsidP="005C59DC">
      <w:pPr>
        <w:ind w:left="1440"/>
        <w:jc w:val="both"/>
        <w:rPr>
          <w:rFonts w:eastAsia="Calibri"/>
          <w:bCs/>
        </w:rPr>
      </w:pPr>
    </w:p>
    <w:p w:rsidR="00347B85" w:rsidRDefault="00347B85" w:rsidP="005C59DC">
      <w:pPr>
        <w:spacing w:after="200" w:line="276" w:lineRule="auto"/>
        <w:jc w:val="both"/>
        <w:rPr>
          <w:rFonts w:eastAsia="Calibri"/>
          <w:b/>
          <w:bCs/>
        </w:rPr>
      </w:pPr>
    </w:p>
    <w:p w:rsidR="00347B85" w:rsidRDefault="00347B85" w:rsidP="005C59DC">
      <w:pPr>
        <w:spacing w:after="200" w:line="276" w:lineRule="auto"/>
        <w:jc w:val="both"/>
        <w:rPr>
          <w:rFonts w:eastAsia="Calibri"/>
          <w:b/>
          <w:bCs/>
        </w:rPr>
      </w:pPr>
    </w:p>
    <w:p w:rsidR="00347B85" w:rsidRDefault="00347B85" w:rsidP="005C59DC">
      <w:pPr>
        <w:spacing w:after="200" w:line="276" w:lineRule="auto"/>
        <w:jc w:val="both"/>
        <w:rPr>
          <w:rFonts w:eastAsia="Calibri"/>
          <w:b/>
          <w:bCs/>
        </w:rPr>
      </w:pPr>
    </w:p>
    <w:p w:rsidR="00347B85" w:rsidRDefault="00347B85" w:rsidP="005C59DC">
      <w:pPr>
        <w:spacing w:after="200" w:line="276" w:lineRule="auto"/>
        <w:jc w:val="both"/>
        <w:rPr>
          <w:rFonts w:eastAsia="Calibri"/>
          <w:b/>
          <w:bCs/>
        </w:rPr>
      </w:pPr>
    </w:p>
    <w:p w:rsidR="00347B85" w:rsidRDefault="00347B85" w:rsidP="005C59DC">
      <w:pPr>
        <w:spacing w:after="200" w:line="276" w:lineRule="auto"/>
        <w:jc w:val="both"/>
        <w:rPr>
          <w:rFonts w:eastAsia="Calibri"/>
          <w:b/>
          <w:bCs/>
        </w:rPr>
      </w:pPr>
    </w:p>
    <w:p w:rsidR="005C59DC" w:rsidRPr="00DC48B2" w:rsidRDefault="005C59DC" w:rsidP="005C59DC">
      <w:pPr>
        <w:spacing w:after="200" w:line="276" w:lineRule="auto"/>
        <w:jc w:val="both"/>
        <w:rPr>
          <w:rFonts w:eastAsia="Calibri"/>
        </w:rPr>
      </w:pPr>
      <w:r w:rsidRPr="00DC48B2">
        <w:rPr>
          <w:rFonts w:eastAsia="Calibri"/>
          <w:b/>
          <w:bCs/>
        </w:rPr>
        <w:lastRenderedPageBreak/>
        <w:t>FPL:</w:t>
      </w:r>
      <w:r w:rsidRPr="00DC48B2">
        <w:rPr>
          <w:rFonts w:eastAsia="Calibri"/>
          <w:b/>
          <w:bCs/>
        </w:rPr>
        <w:tab/>
      </w:r>
      <w:r w:rsidRPr="00DC48B2">
        <w:rPr>
          <w:rFonts w:eastAsia="Calibri"/>
          <w:b/>
          <w:bCs/>
        </w:rPr>
        <w:tab/>
      </w:r>
    </w:p>
    <w:tbl>
      <w:tblPr>
        <w:tblW w:w="6357" w:type="dxa"/>
        <w:tblInd w:w="1440" w:type="dxa"/>
        <w:tblLook w:val="04A0" w:firstRow="1" w:lastRow="0" w:firstColumn="1" w:lastColumn="0" w:noHBand="0" w:noVBand="1"/>
      </w:tblPr>
      <w:tblGrid>
        <w:gridCol w:w="3937"/>
        <w:gridCol w:w="2420"/>
      </w:tblGrid>
      <w:tr w:rsidR="005C59DC" w:rsidRPr="00DC48B2" w:rsidTr="005A47DC">
        <w:trPr>
          <w:trHeight w:val="915"/>
          <w:tblHeader/>
        </w:trPr>
        <w:tc>
          <w:tcPr>
            <w:tcW w:w="3937"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5C59DC" w:rsidRPr="00DC48B2" w:rsidRDefault="005C59DC" w:rsidP="005A47DC">
            <w:pPr>
              <w:jc w:val="both"/>
              <w:rPr>
                <w:b/>
                <w:iCs/>
              </w:rPr>
            </w:pPr>
            <w:r w:rsidRPr="00DC48B2">
              <w:rPr>
                <w:b/>
                <w:iCs/>
              </w:rPr>
              <w:t>Rate Class</w:t>
            </w:r>
          </w:p>
        </w:tc>
        <w:tc>
          <w:tcPr>
            <w:tcW w:w="242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C59DC" w:rsidRPr="00DC48B2" w:rsidRDefault="005C59DC" w:rsidP="005A47DC">
            <w:pPr>
              <w:jc w:val="both"/>
              <w:rPr>
                <w:b/>
                <w:iCs/>
              </w:rPr>
            </w:pPr>
            <w:r w:rsidRPr="00DC48B2">
              <w:rPr>
                <w:b/>
                <w:iCs/>
              </w:rPr>
              <w:t>Environmental Cost</w:t>
            </w:r>
          </w:p>
          <w:p w:rsidR="005C59DC" w:rsidRPr="00DC48B2" w:rsidRDefault="005C59DC" w:rsidP="005A47DC">
            <w:pPr>
              <w:jc w:val="both"/>
              <w:rPr>
                <w:b/>
                <w:iCs/>
              </w:rPr>
            </w:pPr>
            <w:r w:rsidRPr="00DC48B2">
              <w:rPr>
                <w:b/>
                <w:iCs/>
              </w:rPr>
              <w:t>Recovery Factor</w:t>
            </w:r>
          </w:p>
          <w:p w:rsidR="005C59DC" w:rsidRPr="00DC48B2" w:rsidRDefault="005C59DC" w:rsidP="005A47DC">
            <w:pPr>
              <w:jc w:val="both"/>
              <w:rPr>
                <w:b/>
                <w:iCs/>
              </w:rPr>
            </w:pPr>
            <w:r w:rsidRPr="00DC48B2">
              <w:rPr>
                <w:b/>
                <w:iCs/>
              </w:rPr>
              <w:t>(cents/kWh)</w:t>
            </w:r>
          </w:p>
        </w:tc>
      </w:tr>
      <w:tr w:rsidR="005C59DC" w:rsidRPr="00DC48B2" w:rsidTr="005A47DC">
        <w:trPr>
          <w:trHeight w:val="285"/>
        </w:trPr>
        <w:tc>
          <w:tcPr>
            <w:tcW w:w="3937" w:type="dxa"/>
            <w:tcBorders>
              <w:top w:val="nil"/>
              <w:left w:val="single" w:sz="8" w:space="0" w:color="auto"/>
              <w:bottom w:val="nil"/>
              <w:right w:val="nil"/>
            </w:tcBorders>
            <w:shd w:val="clear" w:color="auto" w:fill="auto"/>
            <w:noWrap/>
            <w:vAlign w:val="bottom"/>
            <w:hideMark/>
          </w:tcPr>
          <w:p w:rsidR="005C59DC" w:rsidRPr="00DC48B2" w:rsidRDefault="005C59DC" w:rsidP="005A47DC">
            <w:pPr>
              <w:jc w:val="both"/>
              <w:rPr>
                <w:iCs/>
              </w:rPr>
            </w:pPr>
            <w:r w:rsidRPr="00DC48B2">
              <w:rPr>
                <w:iCs/>
              </w:rPr>
              <w:t>RS1/RTR1</w:t>
            </w:r>
          </w:p>
        </w:tc>
        <w:tc>
          <w:tcPr>
            <w:tcW w:w="2420" w:type="dxa"/>
            <w:tcBorders>
              <w:top w:val="nil"/>
              <w:left w:val="single" w:sz="8" w:space="0" w:color="auto"/>
              <w:bottom w:val="nil"/>
              <w:right w:val="single" w:sz="8" w:space="0" w:color="auto"/>
            </w:tcBorders>
            <w:shd w:val="clear" w:color="auto" w:fill="auto"/>
            <w:noWrap/>
            <w:vAlign w:val="bottom"/>
          </w:tcPr>
          <w:p w:rsidR="005C59DC" w:rsidRPr="00DC48B2" w:rsidRDefault="005C59DC" w:rsidP="005A47DC">
            <w:pPr>
              <w:jc w:val="both"/>
              <w:rPr>
                <w:iCs/>
                <w:color w:val="000000"/>
              </w:rPr>
            </w:pPr>
            <w:r w:rsidRPr="00DC48B2">
              <w:rPr>
                <w:iCs/>
                <w:color w:val="000000"/>
              </w:rPr>
              <w:t>0.149</w:t>
            </w:r>
          </w:p>
        </w:tc>
      </w:tr>
      <w:tr w:rsidR="005C59DC" w:rsidRPr="00DC48B2" w:rsidTr="005A47DC">
        <w:trPr>
          <w:trHeight w:val="285"/>
        </w:trPr>
        <w:tc>
          <w:tcPr>
            <w:tcW w:w="3937" w:type="dxa"/>
            <w:tcBorders>
              <w:top w:val="nil"/>
              <w:left w:val="single" w:sz="8" w:space="0" w:color="auto"/>
              <w:bottom w:val="nil"/>
              <w:right w:val="nil"/>
            </w:tcBorders>
            <w:shd w:val="clear" w:color="auto" w:fill="auto"/>
            <w:noWrap/>
            <w:vAlign w:val="bottom"/>
            <w:hideMark/>
          </w:tcPr>
          <w:p w:rsidR="005C59DC" w:rsidRPr="00DC48B2" w:rsidRDefault="005C59DC" w:rsidP="005A47DC">
            <w:pPr>
              <w:jc w:val="both"/>
              <w:rPr>
                <w:iCs/>
              </w:rPr>
            </w:pPr>
            <w:r w:rsidRPr="00DC48B2">
              <w:rPr>
                <w:iCs/>
              </w:rPr>
              <w:t>GS1/GST1</w:t>
            </w:r>
          </w:p>
        </w:tc>
        <w:tc>
          <w:tcPr>
            <w:tcW w:w="2420" w:type="dxa"/>
            <w:tcBorders>
              <w:top w:val="nil"/>
              <w:left w:val="single" w:sz="8" w:space="0" w:color="auto"/>
              <w:bottom w:val="nil"/>
              <w:right w:val="single" w:sz="8" w:space="0" w:color="auto"/>
            </w:tcBorders>
            <w:shd w:val="clear" w:color="auto" w:fill="auto"/>
            <w:noWrap/>
            <w:vAlign w:val="bottom"/>
          </w:tcPr>
          <w:p w:rsidR="005C59DC" w:rsidRPr="00DC48B2" w:rsidRDefault="005C59DC" w:rsidP="005A47DC">
            <w:pPr>
              <w:jc w:val="both"/>
              <w:rPr>
                <w:iCs/>
                <w:color w:val="000000"/>
              </w:rPr>
            </w:pPr>
            <w:r w:rsidRPr="00DC48B2">
              <w:rPr>
                <w:iCs/>
                <w:color w:val="000000"/>
              </w:rPr>
              <w:t>0.150</w:t>
            </w:r>
          </w:p>
        </w:tc>
      </w:tr>
      <w:tr w:rsidR="005C59DC" w:rsidRPr="00DC48B2" w:rsidTr="005A47DC">
        <w:trPr>
          <w:trHeight w:val="285"/>
        </w:trPr>
        <w:tc>
          <w:tcPr>
            <w:tcW w:w="3937" w:type="dxa"/>
            <w:tcBorders>
              <w:top w:val="nil"/>
              <w:left w:val="single" w:sz="8" w:space="0" w:color="auto"/>
              <w:bottom w:val="nil"/>
              <w:right w:val="nil"/>
            </w:tcBorders>
            <w:shd w:val="clear" w:color="auto" w:fill="auto"/>
            <w:noWrap/>
            <w:vAlign w:val="bottom"/>
            <w:hideMark/>
          </w:tcPr>
          <w:p w:rsidR="005C59DC" w:rsidRPr="00DC48B2" w:rsidRDefault="005C59DC" w:rsidP="005A47DC">
            <w:pPr>
              <w:jc w:val="both"/>
              <w:rPr>
                <w:iCs/>
              </w:rPr>
            </w:pPr>
            <w:r w:rsidRPr="00DC48B2">
              <w:rPr>
                <w:iCs/>
              </w:rPr>
              <w:t>GSD1/GSDT1/HLFT1/GSD1-EV</w:t>
            </w:r>
          </w:p>
        </w:tc>
        <w:tc>
          <w:tcPr>
            <w:tcW w:w="2420" w:type="dxa"/>
            <w:tcBorders>
              <w:top w:val="nil"/>
              <w:left w:val="single" w:sz="8" w:space="0" w:color="auto"/>
              <w:bottom w:val="nil"/>
              <w:right w:val="single" w:sz="8" w:space="0" w:color="auto"/>
            </w:tcBorders>
            <w:shd w:val="clear" w:color="auto" w:fill="auto"/>
            <w:noWrap/>
            <w:vAlign w:val="bottom"/>
          </w:tcPr>
          <w:p w:rsidR="005C59DC" w:rsidRPr="00DC48B2" w:rsidRDefault="005C59DC" w:rsidP="005A47DC">
            <w:pPr>
              <w:jc w:val="both"/>
              <w:rPr>
                <w:iCs/>
                <w:color w:val="000000"/>
              </w:rPr>
            </w:pPr>
            <w:r w:rsidRPr="00DC48B2">
              <w:rPr>
                <w:iCs/>
                <w:color w:val="000000"/>
              </w:rPr>
              <w:t>0.133</w:t>
            </w:r>
          </w:p>
        </w:tc>
      </w:tr>
      <w:tr w:rsidR="005C59DC" w:rsidRPr="00DC48B2" w:rsidTr="005A47DC">
        <w:trPr>
          <w:trHeight w:val="285"/>
        </w:trPr>
        <w:tc>
          <w:tcPr>
            <w:tcW w:w="3937" w:type="dxa"/>
            <w:tcBorders>
              <w:top w:val="nil"/>
              <w:left w:val="single" w:sz="8" w:space="0" w:color="auto"/>
              <w:bottom w:val="nil"/>
              <w:right w:val="nil"/>
            </w:tcBorders>
            <w:shd w:val="clear" w:color="auto" w:fill="auto"/>
            <w:noWrap/>
            <w:vAlign w:val="bottom"/>
            <w:hideMark/>
          </w:tcPr>
          <w:p w:rsidR="005C59DC" w:rsidRPr="00DC48B2" w:rsidRDefault="005C59DC" w:rsidP="005A47DC">
            <w:pPr>
              <w:jc w:val="both"/>
              <w:rPr>
                <w:iCs/>
              </w:rPr>
            </w:pPr>
            <w:r w:rsidRPr="00DC48B2">
              <w:rPr>
                <w:iCs/>
              </w:rPr>
              <w:t>OS2</w:t>
            </w:r>
          </w:p>
        </w:tc>
        <w:tc>
          <w:tcPr>
            <w:tcW w:w="2420" w:type="dxa"/>
            <w:tcBorders>
              <w:top w:val="nil"/>
              <w:left w:val="single" w:sz="8" w:space="0" w:color="auto"/>
              <w:bottom w:val="nil"/>
              <w:right w:val="single" w:sz="8" w:space="0" w:color="auto"/>
            </w:tcBorders>
            <w:shd w:val="clear" w:color="auto" w:fill="auto"/>
            <w:noWrap/>
            <w:vAlign w:val="bottom"/>
          </w:tcPr>
          <w:p w:rsidR="005C59DC" w:rsidRPr="00DC48B2" w:rsidRDefault="005C59DC" w:rsidP="005A47DC">
            <w:pPr>
              <w:jc w:val="both"/>
              <w:rPr>
                <w:iCs/>
                <w:color w:val="000000"/>
              </w:rPr>
            </w:pPr>
            <w:r w:rsidRPr="00DC48B2">
              <w:rPr>
                <w:iCs/>
                <w:color w:val="000000"/>
              </w:rPr>
              <w:t>0.080</w:t>
            </w:r>
          </w:p>
        </w:tc>
      </w:tr>
      <w:tr w:rsidR="005C59DC" w:rsidRPr="00DC48B2" w:rsidTr="005A47DC">
        <w:trPr>
          <w:trHeight w:val="285"/>
        </w:trPr>
        <w:tc>
          <w:tcPr>
            <w:tcW w:w="3937" w:type="dxa"/>
            <w:tcBorders>
              <w:top w:val="nil"/>
              <w:left w:val="single" w:sz="8" w:space="0" w:color="auto"/>
              <w:bottom w:val="nil"/>
              <w:right w:val="nil"/>
            </w:tcBorders>
            <w:shd w:val="clear" w:color="auto" w:fill="auto"/>
            <w:noWrap/>
            <w:vAlign w:val="bottom"/>
            <w:hideMark/>
          </w:tcPr>
          <w:p w:rsidR="005C59DC" w:rsidRPr="00DC48B2" w:rsidRDefault="005C59DC" w:rsidP="005A47DC">
            <w:pPr>
              <w:jc w:val="both"/>
              <w:rPr>
                <w:iCs/>
              </w:rPr>
            </w:pPr>
            <w:r w:rsidRPr="00DC48B2">
              <w:rPr>
                <w:iCs/>
              </w:rPr>
              <w:t>GSLD1/GSLDT1/CS1/CST1/HLFT2/ GSLD1-EV</w:t>
            </w:r>
          </w:p>
        </w:tc>
        <w:tc>
          <w:tcPr>
            <w:tcW w:w="2420" w:type="dxa"/>
            <w:tcBorders>
              <w:top w:val="nil"/>
              <w:left w:val="single" w:sz="8" w:space="0" w:color="auto"/>
              <w:bottom w:val="nil"/>
              <w:right w:val="single" w:sz="8" w:space="0" w:color="auto"/>
            </w:tcBorders>
            <w:shd w:val="clear" w:color="auto" w:fill="auto"/>
            <w:noWrap/>
          </w:tcPr>
          <w:p w:rsidR="005C59DC" w:rsidRPr="00DC48B2" w:rsidRDefault="005C59DC" w:rsidP="005A47DC">
            <w:pPr>
              <w:rPr>
                <w:iCs/>
                <w:color w:val="000000"/>
              </w:rPr>
            </w:pPr>
            <w:r w:rsidRPr="00DC48B2">
              <w:rPr>
                <w:iCs/>
                <w:color w:val="000000"/>
              </w:rPr>
              <w:t>0.135</w:t>
            </w:r>
          </w:p>
        </w:tc>
      </w:tr>
      <w:tr w:rsidR="005C59DC" w:rsidRPr="00DC48B2" w:rsidTr="005A47DC">
        <w:trPr>
          <w:trHeight w:val="285"/>
        </w:trPr>
        <w:tc>
          <w:tcPr>
            <w:tcW w:w="3937" w:type="dxa"/>
            <w:tcBorders>
              <w:top w:val="nil"/>
              <w:left w:val="single" w:sz="8" w:space="0" w:color="auto"/>
              <w:bottom w:val="nil"/>
              <w:right w:val="nil"/>
            </w:tcBorders>
            <w:shd w:val="clear" w:color="auto" w:fill="auto"/>
            <w:noWrap/>
            <w:vAlign w:val="bottom"/>
            <w:hideMark/>
          </w:tcPr>
          <w:p w:rsidR="005C59DC" w:rsidRPr="00DC48B2" w:rsidRDefault="005C59DC" w:rsidP="005A47DC">
            <w:pPr>
              <w:jc w:val="both"/>
              <w:rPr>
                <w:iCs/>
              </w:rPr>
            </w:pPr>
            <w:r w:rsidRPr="00DC48B2">
              <w:rPr>
                <w:iCs/>
              </w:rPr>
              <w:t>GSLD2/GSLDT2/CS2/CST2/HLFT3</w:t>
            </w:r>
          </w:p>
        </w:tc>
        <w:tc>
          <w:tcPr>
            <w:tcW w:w="2420" w:type="dxa"/>
            <w:tcBorders>
              <w:top w:val="nil"/>
              <w:left w:val="single" w:sz="8" w:space="0" w:color="auto"/>
              <w:bottom w:val="nil"/>
              <w:right w:val="single" w:sz="8" w:space="0" w:color="auto"/>
            </w:tcBorders>
            <w:shd w:val="clear" w:color="auto" w:fill="auto"/>
            <w:noWrap/>
            <w:vAlign w:val="bottom"/>
          </w:tcPr>
          <w:p w:rsidR="005C59DC" w:rsidRPr="00DC48B2" w:rsidRDefault="005C59DC" w:rsidP="005A47DC">
            <w:pPr>
              <w:jc w:val="both"/>
              <w:rPr>
                <w:iCs/>
                <w:color w:val="000000"/>
              </w:rPr>
            </w:pPr>
            <w:r w:rsidRPr="00DC48B2">
              <w:rPr>
                <w:iCs/>
                <w:color w:val="000000"/>
              </w:rPr>
              <w:t>0.114</w:t>
            </w:r>
          </w:p>
        </w:tc>
      </w:tr>
      <w:tr w:rsidR="005C59DC" w:rsidRPr="00DC48B2" w:rsidTr="005A47DC">
        <w:trPr>
          <w:trHeight w:val="285"/>
        </w:trPr>
        <w:tc>
          <w:tcPr>
            <w:tcW w:w="3937" w:type="dxa"/>
            <w:tcBorders>
              <w:top w:val="nil"/>
              <w:left w:val="single" w:sz="8" w:space="0" w:color="auto"/>
              <w:bottom w:val="nil"/>
              <w:right w:val="nil"/>
            </w:tcBorders>
            <w:shd w:val="clear" w:color="auto" w:fill="auto"/>
            <w:noWrap/>
            <w:vAlign w:val="bottom"/>
            <w:hideMark/>
          </w:tcPr>
          <w:p w:rsidR="005C59DC" w:rsidRPr="00DC48B2" w:rsidRDefault="005C59DC" w:rsidP="005A47DC">
            <w:pPr>
              <w:jc w:val="both"/>
              <w:rPr>
                <w:iCs/>
              </w:rPr>
            </w:pPr>
            <w:r w:rsidRPr="00DC48B2">
              <w:rPr>
                <w:iCs/>
              </w:rPr>
              <w:t>GSLD3/GSLDT3/CS3/CST3</w:t>
            </w:r>
          </w:p>
        </w:tc>
        <w:tc>
          <w:tcPr>
            <w:tcW w:w="2420" w:type="dxa"/>
            <w:tcBorders>
              <w:top w:val="nil"/>
              <w:left w:val="single" w:sz="8" w:space="0" w:color="auto"/>
              <w:bottom w:val="nil"/>
              <w:right w:val="single" w:sz="8" w:space="0" w:color="auto"/>
            </w:tcBorders>
            <w:shd w:val="clear" w:color="auto" w:fill="auto"/>
            <w:noWrap/>
            <w:vAlign w:val="bottom"/>
          </w:tcPr>
          <w:p w:rsidR="005C59DC" w:rsidRPr="00DC48B2" w:rsidRDefault="005C59DC" w:rsidP="005A47DC">
            <w:pPr>
              <w:jc w:val="both"/>
              <w:rPr>
                <w:iCs/>
                <w:color w:val="000000"/>
              </w:rPr>
            </w:pPr>
            <w:r w:rsidRPr="00DC48B2">
              <w:rPr>
                <w:iCs/>
                <w:color w:val="000000"/>
              </w:rPr>
              <w:t>0.110</w:t>
            </w:r>
          </w:p>
        </w:tc>
      </w:tr>
      <w:tr w:rsidR="005C59DC" w:rsidRPr="00DC48B2" w:rsidTr="005A47DC">
        <w:trPr>
          <w:trHeight w:val="285"/>
        </w:trPr>
        <w:tc>
          <w:tcPr>
            <w:tcW w:w="3937" w:type="dxa"/>
            <w:tcBorders>
              <w:top w:val="nil"/>
              <w:left w:val="single" w:sz="8" w:space="0" w:color="auto"/>
              <w:bottom w:val="nil"/>
              <w:right w:val="nil"/>
            </w:tcBorders>
            <w:shd w:val="clear" w:color="auto" w:fill="auto"/>
            <w:noWrap/>
            <w:vAlign w:val="bottom"/>
            <w:hideMark/>
          </w:tcPr>
          <w:p w:rsidR="005C59DC" w:rsidRPr="00DC48B2" w:rsidRDefault="005C59DC" w:rsidP="005A47DC">
            <w:pPr>
              <w:jc w:val="both"/>
              <w:rPr>
                <w:iCs/>
              </w:rPr>
            </w:pPr>
            <w:r w:rsidRPr="00DC48B2">
              <w:rPr>
                <w:iCs/>
              </w:rPr>
              <w:t>SST1T</w:t>
            </w:r>
          </w:p>
        </w:tc>
        <w:tc>
          <w:tcPr>
            <w:tcW w:w="2420" w:type="dxa"/>
            <w:tcBorders>
              <w:top w:val="nil"/>
              <w:left w:val="single" w:sz="8" w:space="0" w:color="auto"/>
              <w:bottom w:val="nil"/>
              <w:right w:val="single" w:sz="8" w:space="0" w:color="auto"/>
            </w:tcBorders>
            <w:shd w:val="clear" w:color="auto" w:fill="auto"/>
            <w:noWrap/>
            <w:vAlign w:val="bottom"/>
          </w:tcPr>
          <w:p w:rsidR="005C59DC" w:rsidRPr="00DC48B2" w:rsidRDefault="005C59DC" w:rsidP="005A47DC">
            <w:pPr>
              <w:jc w:val="both"/>
              <w:rPr>
                <w:iCs/>
                <w:color w:val="000000"/>
              </w:rPr>
            </w:pPr>
            <w:r w:rsidRPr="00DC48B2">
              <w:rPr>
                <w:iCs/>
                <w:color w:val="000000"/>
              </w:rPr>
              <w:t>0.110</w:t>
            </w:r>
          </w:p>
        </w:tc>
      </w:tr>
      <w:tr w:rsidR="005C59DC" w:rsidRPr="00DC48B2" w:rsidTr="005A47DC">
        <w:trPr>
          <w:trHeight w:val="285"/>
        </w:trPr>
        <w:tc>
          <w:tcPr>
            <w:tcW w:w="3937" w:type="dxa"/>
            <w:tcBorders>
              <w:top w:val="nil"/>
              <w:left w:val="single" w:sz="8" w:space="0" w:color="auto"/>
              <w:bottom w:val="nil"/>
              <w:right w:val="nil"/>
            </w:tcBorders>
            <w:shd w:val="clear" w:color="auto" w:fill="auto"/>
            <w:noWrap/>
            <w:vAlign w:val="bottom"/>
            <w:hideMark/>
          </w:tcPr>
          <w:p w:rsidR="005C59DC" w:rsidRPr="00DC48B2" w:rsidRDefault="005C59DC" w:rsidP="005A47DC">
            <w:pPr>
              <w:jc w:val="both"/>
              <w:rPr>
                <w:iCs/>
              </w:rPr>
            </w:pPr>
            <w:r w:rsidRPr="00DC48B2">
              <w:rPr>
                <w:iCs/>
              </w:rPr>
              <w:t>SST1D1/SST1D2/SST1D3</w:t>
            </w:r>
          </w:p>
        </w:tc>
        <w:tc>
          <w:tcPr>
            <w:tcW w:w="2420" w:type="dxa"/>
            <w:tcBorders>
              <w:top w:val="nil"/>
              <w:left w:val="single" w:sz="8" w:space="0" w:color="auto"/>
              <w:bottom w:val="nil"/>
              <w:right w:val="single" w:sz="8" w:space="0" w:color="auto"/>
            </w:tcBorders>
            <w:shd w:val="clear" w:color="auto" w:fill="auto"/>
            <w:noWrap/>
            <w:vAlign w:val="bottom"/>
          </w:tcPr>
          <w:p w:rsidR="005C59DC" w:rsidRPr="00DC48B2" w:rsidRDefault="005C59DC" w:rsidP="005A47DC">
            <w:pPr>
              <w:jc w:val="both"/>
              <w:rPr>
                <w:iCs/>
                <w:color w:val="000000"/>
              </w:rPr>
            </w:pPr>
            <w:r w:rsidRPr="00DC48B2">
              <w:rPr>
                <w:iCs/>
                <w:color w:val="000000"/>
              </w:rPr>
              <w:t>0.175</w:t>
            </w:r>
          </w:p>
        </w:tc>
      </w:tr>
      <w:tr w:rsidR="005C59DC" w:rsidRPr="00DC48B2" w:rsidTr="005A47DC">
        <w:trPr>
          <w:trHeight w:val="285"/>
        </w:trPr>
        <w:tc>
          <w:tcPr>
            <w:tcW w:w="3937" w:type="dxa"/>
            <w:tcBorders>
              <w:top w:val="nil"/>
              <w:left w:val="single" w:sz="8" w:space="0" w:color="auto"/>
              <w:bottom w:val="nil"/>
              <w:right w:val="nil"/>
            </w:tcBorders>
            <w:shd w:val="clear" w:color="auto" w:fill="auto"/>
            <w:noWrap/>
            <w:vAlign w:val="bottom"/>
            <w:hideMark/>
          </w:tcPr>
          <w:p w:rsidR="005C59DC" w:rsidRPr="00DC48B2" w:rsidRDefault="005C59DC" w:rsidP="005A47DC">
            <w:pPr>
              <w:jc w:val="both"/>
              <w:rPr>
                <w:iCs/>
              </w:rPr>
            </w:pPr>
            <w:r w:rsidRPr="00DC48B2">
              <w:rPr>
                <w:iCs/>
              </w:rPr>
              <w:t>CILC D/CILC G</w:t>
            </w:r>
          </w:p>
        </w:tc>
        <w:tc>
          <w:tcPr>
            <w:tcW w:w="2420" w:type="dxa"/>
            <w:tcBorders>
              <w:top w:val="nil"/>
              <w:left w:val="single" w:sz="8" w:space="0" w:color="auto"/>
              <w:bottom w:val="nil"/>
              <w:right w:val="single" w:sz="8" w:space="0" w:color="auto"/>
            </w:tcBorders>
            <w:shd w:val="clear" w:color="auto" w:fill="auto"/>
            <w:noWrap/>
            <w:vAlign w:val="bottom"/>
          </w:tcPr>
          <w:p w:rsidR="005C59DC" w:rsidRPr="00DC48B2" w:rsidRDefault="005C59DC" w:rsidP="005A47DC">
            <w:pPr>
              <w:jc w:val="both"/>
              <w:rPr>
                <w:iCs/>
                <w:color w:val="000000"/>
              </w:rPr>
            </w:pPr>
            <w:r w:rsidRPr="00DC48B2">
              <w:rPr>
                <w:iCs/>
                <w:color w:val="000000"/>
              </w:rPr>
              <w:t>0.113</w:t>
            </w:r>
          </w:p>
        </w:tc>
      </w:tr>
      <w:tr w:rsidR="005C59DC" w:rsidRPr="00DC48B2" w:rsidTr="005A47DC">
        <w:trPr>
          <w:trHeight w:val="285"/>
        </w:trPr>
        <w:tc>
          <w:tcPr>
            <w:tcW w:w="3937" w:type="dxa"/>
            <w:tcBorders>
              <w:top w:val="nil"/>
              <w:left w:val="single" w:sz="8" w:space="0" w:color="auto"/>
              <w:bottom w:val="nil"/>
              <w:right w:val="nil"/>
            </w:tcBorders>
            <w:shd w:val="clear" w:color="auto" w:fill="auto"/>
            <w:noWrap/>
            <w:vAlign w:val="bottom"/>
            <w:hideMark/>
          </w:tcPr>
          <w:p w:rsidR="005C59DC" w:rsidRPr="00DC48B2" w:rsidRDefault="005C59DC" w:rsidP="005A47DC">
            <w:pPr>
              <w:jc w:val="both"/>
              <w:rPr>
                <w:iCs/>
              </w:rPr>
            </w:pPr>
            <w:r w:rsidRPr="00DC48B2">
              <w:rPr>
                <w:iCs/>
              </w:rPr>
              <w:t>CILC T</w:t>
            </w:r>
          </w:p>
        </w:tc>
        <w:tc>
          <w:tcPr>
            <w:tcW w:w="2420" w:type="dxa"/>
            <w:tcBorders>
              <w:top w:val="nil"/>
              <w:left w:val="single" w:sz="8" w:space="0" w:color="auto"/>
              <w:bottom w:val="nil"/>
              <w:right w:val="single" w:sz="8" w:space="0" w:color="auto"/>
            </w:tcBorders>
            <w:shd w:val="clear" w:color="auto" w:fill="auto"/>
            <w:noWrap/>
            <w:vAlign w:val="bottom"/>
          </w:tcPr>
          <w:p w:rsidR="005C59DC" w:rsidRPr="00DC48B2" w:rsidRDefault="005C59DC" w:rsidP="005A47DC">
            <w:pPr>
              <w:jc w:val="both"/>
              <w:rPr>
                <w:iCs/>
                <w:color w:val="000000"/>
              </w:rPr>
            </w:pPr>
            <w:r w:rsidRPr="00DC48B2">
              <w:rPr>
                <w:iCs/>
                <w:color w:val="000000"/>
              </w:rPr>
              <w:t>0.102</w:t>
            </w:r>
          </w:p>
        </w:tc>
      </w:tr>
      <w:tr w:rsidR="005C59DC" w:rsidRPr="00DC48B2" w:rsidTr="005A47DC">
        <w:trPr>
          <w:trHeight w:val="285"/>
        </w:trPr>
        <w:tc>
          <w:tcPr>
            <w:tcW w:w="3937" w:type="dxa"/>
            <w:tcBorders>
              <w:top w:val="nil"/>
              <w:left w:val="single" w:sz="8" w:space="0" w:color="auto"/>
              <w:bottom w:val="nil"/>
              <w:right w:val="nil"/>
            </w:tcBorders>
            <w:shd w:val="clear" w:color="auto" w:fill="auto"/>
            <w:noWrap/>
            <w:vAlign w:val="bottom"/>
            <w:hideMark/>
          </w:tcPr>
          <w:p w:rsidR="005C59DC" w:rsidRPr="00DC48B2" w:rsidRDefault="005C59DC" w:rsidP="005A47DC">
            <w:pPr>
              <w:jc w:val="both"/>
              <w:rPr>
                <w:iCs/>
              </w:rPr>
            </w:pPr>
            <w:r w:rsidRPr="00DC48B2">
              <w:rPr>
                <w:iCs/>
              </w:rPr>
              <w:t>MET</w:t>
            </w:r>
          </w:p>
        </w:tc>
        <w:tc>
          <w:tcPr>
            <w:tcW w:w="2420" w:type="dxa"/>
            <w:tcBorders>
              <w:top w:val="nil"/>
              <w:left w:val="single" w:sz="8" w:space="0" w:color="auto"/>
              <w:bottom w:val="nil"/>
              <w:right w:val="single" w:sz="8" w:space="0" w:color="auto"/>
            </w:tcBorders>
            <w:shd w:val="clear" w:color="auto" w:fill="auto"/>
            <w:noWrap/>
            <w:vAlign w:val="bottom"/>
          </w:tcPr>
          <w:p w:rsidR="005C59DC" w:rsidRPr="00DC48B2" w:rsidRDefault="005C59DC" w:rsidP="005A47DC">
            <w:pPr>
              <w:jc w:val="both"/>
              <w:rPr>
                <w:iCs/>
                <w:color w:val="000000"/>
              </w:rPr>
            </w:pPr>
            <w:r w:rsidRPr="00DC48B2">
              <w:rPr>
                <w:iCs/>
                <w:color w:val="000000"/>
              </w:rPr>
              <w:t>0.122</w:t>
            </w:r>
          </w:p>
        </w:tc>
      </w:tr>
      <w:tr w:rsidR="005C59DC" w:rsidRPr="00DC48B2" w:rsidTr="005A47DC">
        <w:trPr>
          <w:trHeight w:val="285"/>
        </w:trPr>
        <w:tc>
          <w:tcPr>
            <w:tcW w:w="3937" w:type="dxa"/>
            <w:tcBorders>
              <w:top w:val="nil"/>
              <w:left w:val="single" w:sz="8" w:space="0" w:color="auto"/>
              <w:bottom w:val="nil"/>
              <w:right w:val="nil"/>
            </w:tcBorders>
            <w:shd w:val="clear" w:color="auto" w:fill="auto"/>
            <w:noWrap/>
            <w:vAlign w:val="bottom"/>
            <w:hideMark/>
          </w:tcPr>
          <w:p w:rsidR="005C59DC" w:rsidRPr="00DC48B2" w:rsidRDefault="005C59DC" w:rsidP="005A47DC">
            <w:pPr>
              <w:jc w:val="both"/>
              <w:rPr>
                <w:iCs/>
              </w:rPr>
            </w:pPr>
            <w:r w:rsidRPr="00DC48B2">
              <w:rPr>
                <w:iCs/>
              </w:rPr>
              <w:t>OL1/SL1/SL1M/PL1</w:t>
            </w:r>
          </w:p>
        </w:tc>
        <w:tc>
          <w:tcPr>
            <w:tcW w:w="2420" w:type="dxa"/>
            <w:tcBorders>
              <w:top w:val="nil"/>
              <w:left w:val="single" w:sz="8" w:space="0" w:color="auto"/>
              <w:bottom w:val="nil"/>
              <w:right w:val="single" w:sz="8" w:space="0" w:color="auto"/>
            </w:tcBorders>
            <w:shd w:val="clear" w:color="auto" w:fill="auto"/>
            <w:noWrap/>
            <w:vAlign w:val="bottom"/>
          </w:tcPr>
          <w:p w:rsidR="005C59DC" w:rsidRPr="00DC48B2" w:rsidRDefault="005C59DC" w:rsidP="005A47DC">
            <w:pPr>
              <w:jc w:val="both"/>
              <w:rPr>
                <w:iCs/>
                <w:color w:val="000000"/>
              </w:rPr>
            </w:pPr>
            <w:r w:rsidRPr="00DC48B2">
              <w:rPr>
                <w:iCs/>
                <w:color w:val="000000"/>
              </w:rPr>
              <w:t>0.027</w:t>
            </w:r>
          </w:p>
        </w:tc>
      </w:tr>
      <w:tr w:rsidR="005C59DC" w:rsidRPr="00DC48B2" w:rsidTr="005A47DC">
        <w:trPr>
          <w:trHeight w:val="285"/>
        </w:trPr>
        <w:tc>
          <w:tcPr>
            <w:tcW w:w="3937" w:type="dxa"/>
            <w:tcBorders>
              <w:top w:val="nil"/>
              <w:left w:val="single" w:sz="8" w:space="0" w:color="auto"/>
              <w:bottom w:val="nil"/>
              <w:right w:val="nil"/>
            </w:tcBorders>
            <w:shd w:val="clear" w:color="auto" w:fill="auto"/>
            <w:noWrap/>
            <w:vAlign w:val="bottom"/>
            <w:hideMark/>
          </w:tcPr>
          <w:p w:rsidR="005C59DC" w:rsidRPr="00DC48B2" w:rsidRDefault="005C59DC" w:rsidP="005A47DC">
            <w:pPr>
              <w:jc w:val="both"/>
              <w:rPr>
                <w:iCs/>
              </w:rPr>
            </w:pPr>
            <w:r w:rsidRPr="00DC48B2">
              <w:rPr>
                <w:iCs/>
              </w:rPr>
              <w:t>SL2/SL2M/GSCU1</w:t>
            </w:r>
          </w:p>
        </w:tc>
        <w:tc>
          <w:tcPr>
            <w:tcW w:w="2420" w:type="dxa"/>
            <w:tcBorders>
              <w:top w:val="nil"/>
              <w:left w:val="single" w:sz="8" w:space="0" w:color="auto"/>
              <w:bottom w:val="nil"/>
              <w:right w:val="single" w:sz="8" w:space="0" w:color="auto"/>
            </w:tcBorders>
            <w:shd w:val="clear" w:color="auto" w:fill="auto"/>
            <w:noWrap/>
            <w:vAlign w:val="bottom"/>
          </w:tcPr>
          <w:p w:rsidR="005C59DC" w:rsidRPr="00DC48B2" w:rsidRDefault="005C59DC" w:rsidP="005A47DC">
            <w:pPr>
              <w:jc w:val="both"/>
              <w:rPr>
                <w:iCs/>
                <w:color w:val="000000"/>
              </w:rPr>
            </w:pPr>
            <w:r w:rsidRPr="00DC48B2">
              <w:rPr>
                <w:iCs/>
                <w:color w:val="000000"/>
              </w:rPr>
              <w:t>0.104</w:t>
            </w:r>
          </w:p>
        </w:tc>
      </w:tr>
      <w:tr w:rsidR="005C59DC" w:rsidRPr="00DC48B2" w:rsidTr="005A47DC">
        <w:trPr>
          <w:trHeight w:val="285"/>
        </w:trPr>
        <w:tc>
          <w:tcPr>
            <w:tcW w:w="3937" w:type="dxa"/>
            <w:tcBorders>
              <w:top w:val="nil"/>
              <w:left w:val="single" w:sz="8" w:space="0" w:color="auto"/>
              <w:bottom w:val="nil"/>
              <w:right w:val="nil"/>
            </w:tcBorders>
            <w:shd w:val="clear" w:color="auto" w:fill="auto"/>
            <w:noWrap/>
            <w:vAlign w:val="bottom"/>
            <w:hideMark/>
          </w:tcPr>
          <w:p w:rsidR="005C59DC" w:rsidRPr="00DC48B2" w:rsidRDefault="005C59DC" w:rsidP="005A47DC">
            <w:pPr>
              <w:jc w:val="both"/>
              <w:rPr>
                <w:iCs/>
                <w:color w:val="000000"/>
              </w:rPr>
            </w:pPr>
            <w:r w:rsidRPr="00DC48B2">
              <w:rPr>
                <w:iCs/>
                <w:color w:val="000000"/>
              </w:rPr>
              <w:t> </w:t>
            </w:r>
          </w:p>
        </w:tc>
        <w:tc>
          <w:tcPr>
            <w:tcW w:w="2420" w:type="dxa"/>
            <w:tcBorders>
              <w:top w:val="nil"/>
              <w:left w:val="single" w:sz="8" w:space="0" w:color="auto"/>
              <w:bottom w:val="nil"/>
              <w:right w:val="single" w:sz="8" w:space="0" w:color="auto"/>
            </w:tcBorders>
            <w:shd w:val="clear" w:color="auto" w:fill="auto"/>
            <w:noWrap/>
            <w:vAlign w:val="bottom"/>
          </w:tcPr>
          <w:p w:rsidR="005C59DC" w:rsidRPr="00DC48B2" w:rsidRDefault="005C59DC" w:rsidP="005A47DC">
            <w:pPr>
              <w:jc w:val="both"/>
              <w:rPr>
                <w:iCs/>
                <w:color w:val="000000"/>
              </w:rPr>
            </w:pPr>
          </w:p>
        </w:tc>
      </w:tr>
      <w:tr w:rsidR="005C59DC" w:rsidRPr="00DC48B2" w:rsidTr="005A47DC">
        <w:trPr>
          <w:trHeight w:val="300"/>
        </w:trPr>
        <w:tc>
          <w:tcPr>
            <w:tcW w:w="3937" w:type="dxa"/>
            <w:tcBorders>
              <w:top w:val="nil"/>
              <w:left w:val="single" w:sz="8" w:space="0" w:color="auto"/>
              <w:bottom w:val="single" w:sz="8" w:space="0" w:color="auto"/>
              <w:right w:val="nil"/>
            </w:tcBorders>
            <w:shd w:val="clear" w:color="auto" w:fill="auto"/>
            <w:noWrap/>
            <w:vAlign w:val="bottom"/>
            <w:hideMark/>
          </w:tcPr>
          <w:p w:rsidR="005C59DC" w:rsidRPr="00DC48B2" w:rsidRDefault="005C59DC" w:rsidP="005A47DC">
            <w:pPr>
              <w:jc w:val="both"/>
              <w:rPr>
                <w:iCs/>
              </w:rPr>
            </w:pPr>
            <w:r w:rsidRPr="00DC48B2">
              <w:rPr>
                <w:iCs/>
              </w:rPr>
              <w:t>Total</w:t>
            </w:r>
          </w:p>
        </w:tc>
        <w:tc>
          <w:tcPr>
            <w:tcW w:w="2420" w:type="dxa"/>
            <w:tcBorders>
              <w:top w:val="nil"/>
              <w:left w:val="single" w:sz="8" w:space="0" w:color="auto"/>
              <w:bottom w:val="single" w:sz="8" w:space="0" w:color="auto"/>
              <w:right w:val="single" w:sz="8" w:space="0" w:color="auto"/>
            </w:tcBorders>
            <w:shd w:val="clear" w:color="auto" w:fill="auto"/>
            <w:noWrap/>
            <w:vAlign w:val="bottom"/>
          </w:tcPr>
          <w:p w:rsidR="005C59DC" w:rsidRPr="00DC48B2" w:rsidRDefault="005C59DC" w:rsidP="005A47DC">
            <w:pPr>
              <w:jc w:val="both"/>
              <w:rPr>
                <w:iCs/>
                <w:color w:val="000000"/>
              </w:rPr>
            </w:pPr>
            <w:r w:rsidRPr="00DC48B2">
              <w:rPr>
                <w:iCs/>
                <w:color w:val="000000"/>
              </w:rPr>
              <w:t>0.141</w:t>
            </w:r>
          </w:p>
        </w:tc>
      </w:tr>
    </w:tbl>
    <w:p w:rsidR="005C59DC" w:rsidRPr="000E7314" w:rsidRDefault="005C59DC" w:rsidP="000E7314">
      <w:pPr>
        <w:jc w:val="both"/>
        <w:rPr>
          <w:rFonts w:eastAsia="Calibri"/>
          <w:b/>
          <w:bCs/>
        </w:rPr>
      </w:pPr>
      <w:r w:rsidRPr="00DC48B2">
        <w:rPr>
          <w:rFonts w:eastAsia="Calibri"/>
          <w:b/>
          <w:bCs/>
        </w:rPr>
        <w:br w:type="page"/>
      </w:r>
      <w:r w:rsidRPr="00DC48B2">
        <w:rPr>
          <w:rFonts w:eastAsia="Calibri"/>
          <w:b/>
          <w:bCs/>
        </w:rPr>
        <w:lastRenderedPageBreak/>
        <w:t>DEF:</w:t>
      </w:r>
    </w:p>
    <w:tbl>
      <w:tblPr>
        <w:tblW w:w="532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980"/>
      </w:tblGrid>
      <w:tr w:rsidR="005C59DC" w:rsidRPr="00DC48B2" w:rsidTr="005A47DC">
        <w:trPr>
          <w:trHeight w:val="534"/>
        </w:trPr>
        <w:tc>
          <w:tcPr>
            <w:tcW w:w="3348" w:type="dxa"/>
            <w:tcBorders>
              <w:top w:val="single" w:sz="4" w:space="0" w:color="auto"/>
              <w:left w:val="single" w:sz="4" w:space="0" w:color="auto"/>
              <w:bottom w:val="single" w:sz="4" w:space="0" w:color="auto"/>
              <w:right w:val="single" w:sz="4" w:space="0" w:color="auto"/>
            </w:tcBorders>
            <w:vAlign w:val="center"/>
            <w:hideMark/>
          </w:tcPr>
          <w:p w:rsidR="005C59DC" w:rsidRPr="00DC48B2" w:rsidRDefault="005C59DC" w:rsidP="005A47DC">
            <w:pPr>
              <w:keepNext/>
              <w:suppressLineNumbers/>
              <w:jc w:val="both"/>
              <w:rPr>
                <w:rFonts w:eastAsia="Calibri"/>
                <w:b/>
              </w:rPr>
            </w:pPr>
            <w:r w:rsidRPr="00DC48B2">
              <w:rPr>
                <w:rFonts w:eastAsia="Calibri"/>
                <w:b/>
              </w:rPr>
              <w:t>RATE CLASS</w:t>
            </w:r>
          </w:p>
        </w:tc>
        <w:tc>
          <w:tcPr>
            <w:tcW w:w="1980" w:type="dxa"/>
            <w:tcBorders>
              <w:top w:val="single" w:sz="4" w:space="0" w:color="auto"/>
              <w:left w:val="single" w:sz="4" w:space="0" w:color="auto"/>
              <w:bottom w:val="single" w:sz="4" w:space="0" w:color="auto"/>
              <w:right w:val="single" w:sz="4" w:space="0" w:color="auto"/>
            </w:tcBorders>
            <w:vAlign w:val="center"/>
            <w:hideMark/>
          </w:tcPr>
          <w:p w:rsidR="005C59DC" w:rsidRPr="00DC48B2" w:rsidRDefault="005C59DC" w:rsidP="005A47DC">
            <w:pPr>
              <w:keepNext/>
              <w:suppressLineNumbers/>
              <w:jc w:val="both"/>
              <w:rPr>
                <w:rFonts w:eastAsia="Calibri"/>
                <w:b/>
              </w:rPr>
            </w:pPr>
            <w:r w:rsidRPr="00DC48B2">
              <w:rPr>
                <w:rFonts w:eastAsia="Calibri"/>
                <w:b/>
              </w:rPr>
              <w:t>ECRC FACTORS</w:t>
            </w:r>
          </w:p>
        </w:tc>
      </w:tr>
      <w:tr w:rsidR="005C59DC" w:rsidRPr="00DC48B2" w:rsidTr="005A47DC">
        <w:trPr>
          <w:trHeight w:val="282"/>
        </w:trPr>
        <w:tc>
          <w:tcPr>
            <w:tcW w:w="3348" w:type="dxa"/>
            <w:tcBorders>
              <w:top w:val="single" w:sz="4" w:space="0" w:color="auto"/>
              <w:left w:val="single" w:sz="4" w:space="0" w:color="auto"/>
              <w:bottom w:val="single" w:sz="4" w:space="0" w:color="auto"/>
              <w:right w:val="single" w:sz="4" w:space="0" w:color="auto"/>
            </w:tcBorders>
            <w:hideMark/>
          </w:tcPr>
          <w:p w:rsidR="005C59DC" w:rsidRPr="00DC48B2" w:rsidRDefault="005C59DC" w:rsidP="005A47DC">
            <w:pPr>
              <w:keepNext/>
              <w:suppressLineNumbers/>
              <w:jc w:val="both"/>
              <w:rPr>
                <w:rFonts w:eastAsia="Calibri"/>
              </w:rPr>
            </w:pPr>
            <w:r w:rsidRPr="00DC48B2">
              <w:rPr>
                <w:rFonts w:eastAsia="Calibri"/>
              </w:rPr>
              <w:t>Residential</w:t>
            </w:r>
          </w:p>
        </w:tc>
        <w:tc>
          <w:tcPr>
            <w:tcW w:w="1980" w:type="dxa"/>
            <w:tcBorders>
              <w:top w:val="single" w:sz="4" w:space="0" w:color="auto"/>
              <w:left w:val="single" w:sz="4" w:space="0" w:color="auto"/>
              <w:bottom w:val="single" w:sz="4" w:space="0" w:color="auto"/>
              <w:right w:val="single" w:sz="4" w:space="0" w:color="auto"/>
            </w:tcBorders>
            <w:hideMark/>
          </w:tcPr>
          <w:p w:rsidR="005C59DC" w:rsidRPr="00DC48B2" w:rsidRDefault="005C59DC" w:rsidP="005A47DC">
            <w:pPr>
              <w:keepNext/>
              <w:suppressLineNumbers/>
              <w:jc w:val="both"/>
              <w:rPr>
                <w:rFonts w:eastAsia="Calibri"/>
              </w:rPr>
            </w:pPr>
            <w:r w:rsidRPr="00DC48B2">
              <w:rPr>
                <w:rFonts w:eastAsia="Calibri"/>
              </w:rPr>
              <w:t>0.099 cents/kWh</w:t>
            </w:r>
          </w:p>
        </w:tc>
      </w:tr>
      <w:tr w:rsidR="005C59DC" w:rsidRPr="00DC48B2" w:rsidTr="005A47DC">
        <w:trPr>
          <w:trHeight w:val="1138"/>
        </w:trPr>
        <w:tc>
          <w:tcPr>
            <w:tcW w:w="3348" w:type="dxa"/>
            <w:tcBorders>
              <w:top w:val="single" w:sz="4" w:space="0" w:color="auto"/>
              <w:left w:val="single" w:sz="4" w:space="0" w:color="auto"/>
              <w:bottom w:val="single" w:sz="4" w:space="0" w:color="auto"/>
              <w:right w:val="single" w:sz="4" w:space="0" w:color="auto"/>
            </w:tcBorders>
            <w:hideMark/>
          </w:tcPr>
          <w:p w:rsidR="005C59DC" w:rsidRPr="00DC48B2" w:rsidRDefault="005C59DC" w:rsidP="005A47DC">
            <w:pPr>
              <w:keepNext/>
              <w:suppressLineNumbers/>
              <w:tabs>
                <w:tab w:val="left" w:pos="576"/>
                <w:tab w:val="left" w:pos="1440"/>
                <w:tab w:val="left" w:pos="1728"/>
                <w:tab w:val="left" w:pos="5904"/>
              </w:tabs>
              <w:jc w:val="both"/>
              <w:rPr>
                <w:rFonts w:eastAsia="Calibri"/>
              </w:rPr>
            </w:pPr>
            <w:r w:rsidRPr="00DC48B2">
              <w:rPr>
                <w:rFonts w:eastAsia="Calibri"/>
              </w:rPr>
              <w:t>General Service Non-Demand</w:t>
            </w:r>
          </w:p>
          <w:p w:rsidR="005C59DC" w:rsidRPr="00DC48B2" w:rsidRDefault="005C59DC" w:rsidP="005A47DC">
            <w:pPr>
              <w:keepNext/>
              <w:suppressLineNumbers/>
              <w:tabs>
                <w:tab w:val="left" w:pos="576"/>
                <w:tab w:val="left" w:pos="1440"/>
                <w:tab w:val="left" w:pos="1728"/>
                <w:tab w:val="left" w:pos="5904"/>
              </w:tabs>
              <w:jc w:val="both"/>
              <w:rPr>
                <w:rFonts w:eastAsia="Calibri"/>
              </w:rPr>
            </w:pPr>
            <w:r w:rsidRPr="00DC48B2">
              <w:rPr>
                <w:rFonts w:eastAsia="Calibri"/>
              </w:rPr>
              <w:t>@ Secondary Voltage</w:t>
            </w:r>
          </w:p>
          <w:p w:rsidR="005C59DC" w:rsidRPr="00DC48B2" w:rsidRDefault="005C59DC" w:rsidP="005A47DC">
            <w:pPr>
              <w:keepNext/>
              <w:suppressLineNumbers/>
              <w:tabs>
                <w:tab w:val="left" w:pos="576"/>
                <w:tab w:val="left" w:pos="1440"/>
                <w:tab w:val="left" w:pos="1728"/>
                <w:tab w:val="left" w:pos="5904"/>
              </w:tabs>
              <w:jc w:val="both"/>
              <w:rPr>
                <w:rFonts w:eastAsia="Calibri"/>
              </w:rPr>
            </w:pPr>
            <w:r w:rsidRPr="00DC48B2">
              <w:rPr>
                <w:rFonts w:eastAsia="Calibri"/>
              </w:rPr>
              <w:t>@ Primary Voltage</w:t>
            </w:r>
          </w:p>
          <w:p w:rsidR="005C59DC" w:rsidRPr="00DC48B2" w:rsidRDefault="005C59DC" w:rsidP="005A47DC">
            <w:pPr>
              <w:keepNext/>
              <w:suppressLineNumbers/>
              <w:tabs>
                <w:tab w:val="left" w:pos="576"/>
                <w:tab w:val="left" w:pos="1440"/>
                <w:tab w:val="left" w:pos="1728"/>
                <w:tab w:val="left" w:pos="5904"/>
              </w:tabs>
              <w:jc w:val="both"/>
              <w:rPr>
                <w:rFonts w:eastAsia="Calibri"/>
              </w:rPr>
            </w:pPr>
            <w:r w:rsidRPr="00DC48B2">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rsidR="005C59DC" w:rsidRPr="00DC48B2" w:rsidRDefault="005C59DC" w:rsidP="005A47DC">
            <w:pPr>
              <w:keepNext/>
              <w:suppressLineNumbers/>
              <w:jc w:val="both"/>
              <w:rPr>
                <w:rFonts w:eastAsia="Calibri"/>
              </w:rPr>
            </w:pPr>
          </w:p>
          <w:p w:rsidR="005C59DC" w:rsidRPr="00DC48B2" w:rsidRDefault="005C59DC" w:rsidP="005A47DC">
            <w:pPr>
              <w:keepNext/>
              <w:suppressLineNumbers/>
              <w:jc w:val="both"/>
              <w:rPr>
                <w:rFonts w:eastAsia="Calibri"/>
              </w:rPr>
            </w:pPr>
            <w:r w:rsidRPr="00DC48B2">
              <w:rPr>
                <w:rFonts w:eastAsia="Calibri"/>
              </w:rPr>
              <w:t>0.098 cents/kWh</w:t>
            </w:r>
          </w:p>
          <w:p w:rsidR="005C59DC" w:rsidRPr="00DC48B2" w:rsidRDefault="005C59DC" w:rsidP="005A47DC">
            <w:pPr>
              <w:keepNext/>
              <w:suppressLineNumbers/>
              <w:jc w:val="both"/>
              <w:rPr>
                <w:rFonts w:eastAsia="Calibri"/>
              </w:rPr>
            </w:pPr>
            <w:r w:rsidRPr="00DC48B2">
              <w:rPr>
                <w:rFonts w:eastAsia="Calibri"/>
              </w:rPr>
              <w:t>0.097 cents/kWh</w:t>
            </w:r>
          </w:p>
          <w:p w:rsidR="005C59DC" w:rsidRPr="00DC48B2" w:rsidRDefault="005C59DC" w:rsidP="005A47DC">
            <w:pPr>
              <w:keepNext/>
              <w:suppressLineNumbers/>
              <w:jc w:val="both"/>
              <w:rPr>
                <w:rFonts w:eastAsia="Calibri"/>
              </w:rPr>
            </w:pPr>
            <w:r w:rsidRPr="00DC48B2">
              <w:rPr>
                <w:rFonts w:eastAsia="Calibri"/>
              </w:rPr>
              <w:t>0.096 cents/kWh</w:t>
            </w:r>
          </w:p>
        </w:tc>
      </w:tr>
      <w:tr w:rsidR="005C59DC" w:rsidRPr="00DC48B2" w:rsidTr="005A47DC">
        <w:trPr>
          <w:trHeight w:val="282"/>
        </w:trPr>
        <w:tc>
          <w:tcPr>
            <w:tcW w:w="3348" w:type="dxa"/>
            <w:tcBorders>
              <w:top w:val="single" w:sz="4" w:space="0" w:color="auto"/>
              <w:left w:val="single" w:sz="4" w:space="0" w:color="auto"/>
              <w:bottom w:val="single" w:sz="4" w:space="0" w:color="auto"/>
              <w:right w:val="single" w:sz="4" w:space="0" w:color="auto"/>
            </w:tcBorders>
            <w:hideMark/>
          </w:tcPr>
          <w:p w:rsidR="005C59DC" w:rsidRPr="00DC48B2" w:rsidRDefault="005C59DC" w:rsidP="005A47DC">
            <w:pPr>
              <w:keepNext/>
              <w:suppressLineNumbers/>
              <w:jc w:val="both"/>
              <w:rPr>
                <w:rFonts w:eastAsia="Calibri"/>
              </w:rPr>
            </w:pPr>
            <w:r w:rsidRPr="00DC48B2">
              <w:rPr>
                <w:rFonts w:eastAsia="Calibri"/>
              </w:rPr>
              <w:t>General Service 100% Load Factor</w:t>
            </w:r>
          </w:p>
        </w:tc>
        <w:tc>
          <w:tcPr>
            <w:tcW w:w="1980" w:type="dxa"/>
            <w:tcBorders>
              <w:top w:val="single" w:sz="4" w:space="0" w:color="auto"/>
              <w:left w:val="single" w:sz="4" w:space="0" w:color="auto"/>
              <w:bottom w:val="single" w:sz="4" w:space="0" w:color="auto"/>
              <w:right w:val="single" w:sz="4" w:space="0" w:color="auto"/>
            </w:tcBorders>
            <w:hideMark/>
          </w:tcPr>
          <w:p w:rsidR="005C59DC" w:rsidRPr="00DC48B2" w:rsidRDefault="005C59DC" w:rsidP="005A47DC">
            <w:pPr>
              <w:keepNext/>
              <w:suppressLineNumbers/>
              <w:jc w:val="both"/>
              <w:rPr>
                <w:rFonts w:eastAsia="Calibri"/>
              </w:rPr>
            </w:pPr>
            <w:r w:rsidRPr="00DC48B2">
              <w:rPr>
                <w:rFonts w:eastAsia="Calibri"/>
              </w:rPr>
              <w:t>0.095 cents/kWh</w:t>
            </w:r>
          </w:p>
        </w:tc>
      </w:tr>
      <w:tr w:rsidR="005C59DC" w:rsidRPr="00DC48B2" w:rsidTr="005A47DC">
        <w:trPr>
          <w:trHeight w:val="1171"/>
        </w:trPr>
        <w:tc>
          <w:tcPr>
            <w:tcW w:w="3348" w:type="dxa"/>
            <w:tcBorders>
              <w:top w:val="single" w:sz="4" w:space="0" w:color="auto"/>
              <w:left w:val="single" w:sz="4" w:space="0" w:color="auto"/>
              <w:bottom w:val="single" w:sz="4" w:space="0" w:color="auto"/>
              <w:right w:val="single" w:sz="4" w:space="0" w:color="auto"/>
            </w:tcBorders>
            <w:hideMark/>
          </w:tcPr>
          <w:p w:rsidR="005C59DC" w:rsidRPr="00DC48B2" w:rsidRDefault="005C59DC" w:rsidP="005A47DC">
            <w:pPr>
              <w:keepNext/>
              <w:suppressLineNumbers/>
              <w:tabs>
                <w:tab w:val="left" w:pos="576"/>
                <w:tab w:val="left" w:pos="1440"/>
                <w:tab w:val="left" w:pos="1728"/>
                <w:tab w:val="left" w:pos="5904"/>
              </w:tabs>
              <w:jc w:val="both"/>
              <w:rPr>
                <w:rFonts w:eastAsia="Calibri"/>
              </w:rPr>
            </w:pPr>
            <w:r w:rsidRPr="00DC48B2">
              <w:rPr>
                <w:rFonts w:eastAsia="Calibri"/>
              </w:rPr>
              <w:t>General Service Demand</w:t>
            </w:r>
          </w:p>
          <w:p w:rsidR="005C59DC" w:rsidRPr="00DC48B2" w:rsidRDefault="005C59DC" w:rsidP="005A47DC">
            <w:pPr>
              <w:keepNext/>
              <w:suppressLineNumbers/>
              <w:jc w:val="both"/>
              <w:rPr>
                <w:rFonts w:eastAsia="Calibri"/>
              </w:rPr>
            </w:pPr>
            <w:r w:rsidRPr="00DC48B2">
              <w:rPr>
                <w:rFonts w:eastAsia="Calibri"/>
              </w:rPr>
              <w:t>@ Secondary Voltage</w:t>
            </w:r>
          </w:p>
          <w:p w:rsidR="005C59DC" w:rsidRPr="00DC48B2" w:rsidRDefault="005C59DC" w:rsidP="005A47DC">
            <w:pPr>
              <w:keepNext/>
              <w:suppressLineNumbers/>
              <w:jc w:val="both"/>
              <w:rPr>
                <w:rFonts w:eastAsia="Calibri"/>
              </w:rPr>
            </w:pPr>
            <w:r w:rsidRPr="00DC48B2">
              <w:rPr>
                <w:rFonts w:eastAsia="Calibri"/>
              </w:rPr>
              <w:t>@ Primary Voltage</w:t>
            </w:r>
          </w:p>
          <w:p w:rsidR="005C59DC" w:rsidRPr="00DC48B2" w:rsidRDefault="005C59DC" w:rsidP="005A47DC">
            <w:pPr>
              <w:keepNext/>
              <w:suppressLineNumbers/>
              <w:jc w:val="both"/>
              <w:rPr>
                <w:rFonts w:eastAsia="Calibri"/>
              </w:rPr>
            </w:pPr>
            <w:r w:rsidRPr="00DC48B2">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rsidR="005C59DC" w:rsidRPr="00DC48B2" w:rsidRDefault="005C59DC" w:rsidP="005A47DC">
            <w:pPr>
              <w:keepNext/>
              <w:suppressLineNumbers/>
              <w:suppressAutoHyphens/>
              <w:jc w:val="both"/>
              <w:outlineLvl w:val="2"/>
              <w:rPr>
                <w:rFonts w:eastAsia="Calibri"/>
              </w:rPr>
            </w:pPr>
          </w:p>
          <w:p w:rsidR="005C59DC" w:rsidRPr="00DC48B2" w:rsidRDefault="005C59DC" w:rsidP="005A47DC">
            <w:pPr>
              <w:keepNext/>
              <w:suppressLineNumbers/>
              <w:jc w:val="both"/>
              <w:rPr>
                <w:rFonts w:eastAsia="Calibri"/>
              </w:rPr>
            </w:pPr>
            <w:r w:rsidRPr="00DC48B2">
              <w:rPr>
                <w:rFonts w:eastAsia="Calibri"/>
              </w:rPr>
              <w:t>0.096 cents/kWh</w:t>
            </w:r>
          </w:p>
          <w:p w:rsidR="005C59DC" w:rsidRPr="00DC48B2" w:rsidRDefault="005C59DC" w:rsidP="005A47DC">
            <w:pPr>
              <w:keepNext/>
              <w:suppressLineNumbers/>
              <w:jc w:val="both"/>
              <w:rPr>
                <w:rFonts w:eastAsia="Calibri"/>
              </w:rPr>
            </w:pPr>
            <w:r w:rsidRPr="00DC48B2">
              <w:rPr>
                <w:rFonts w:eastAsia="Calibri"/>
              </w:rPr>
              <w:t>0.095 cents/kWh</w:t>
            </w:r>
          </w:p>
          <w:p w:rsidR="005C59DC" w:rsidRPr="00DC48B2" w:rsidRDefault="005C59DC" w:rsidP="005A47DC">
            <w:pPr>
              <w:keepNext/>
              <w:suppressLineNumbers/>
              <w:jc w:val="both"/>
              <w:rPr>
                <w:rFonts w:eastAsia="Calibri"/>
              </w:rPr>
            </w:pPr>
            <w:r w:rsidRPr="00DC48B2">
              <w:rPr>
                <w:rFonts w:eastAsia="Calibri"/>
              </w:rPr>
              <w:t>0.094 cents/kWh</w:t>
            </w:r>
          </w:p>
        </w:tc>
      </w:tr>
      <w:tr w:rsidR="005C59DC" w:rsidRPr="00DC48B2" w:rsidTr="005A47DC">
        <w:trPr>
          <w:trHeight w:val="1138"/>
        </w:trPr>
        <w:tc>
          <w:tcPr>
            <w:tcW w:w="3348" w:type="dxa"/>
            <w:tcBorders>
              <w:top w:val="single" w:sz="4" w:space="0" w:color="auto"/>
              <w:left w:val="single" w:sz="4" w:space="0" w:color="auto"/>
              <w:bottom w:val="single" w:sz="4" w:space="0" w:color="auto"/>
              <w:right w:val="single" w:sz="4" w:space="0" w:color="auto"/>
            </w:tcBorders>
            <w:hideMark/>
          </w:tcPr>
          <w:p w:rsidR="005C59DC" w:rsidRPr="00DC48B2" w:rsidRDefault="005C59DC" w:rsidP="005A47DC">
            <w:pPr>
              <w:keepNext/>
              <w:suppressLineNumbers/>
              <w:tabs>
                <w:tab w:val="left" w:pos="576"/>
                <w:tab w:val="left" w:pos="1440"/>
                <w:tab w:val="left" w:pos="1728"/>
                <w:tab w:val="left" w:pos="5904"/>
              </w:tabs>
              <w:ind w:firstLine="90"/>
              <w:jc w:val="both"/>
              <w:rPr>
                <w:rFonts w:eastAsia="Calibri"/>
              </w:rPr>
            </w:pPr>
            <w:r w:rsidRPr="00DC48B2">
              <w:rPr>
                <w:rFonts w:eastAsia="Calibri"/>
              </w:rPr>
              <w:t>Curtailable</w:t>
            </w:r>
          </w:p>
          <w:p w:rsidR="005C59DC" w:rsidRPr="00DC48B2" w:rsidRDefault="005C59DC" w:rsidP="005A47DC">
            <w:pPr>
              <w:keepNext/>
              <w:suppressLineNumbers/>
              <w:tabs>
                <w:tab w:val="left" w:pos="576"/>
                <w:tab w:val="left" w:pos="1440"/>
                <w:tab w:val="left" w:pos="1728"/>
                <w:tab w:val="left" w:pos="5904"/>
              </w:tabs>
              <w:ind w:firstLine="90"/>
              <w:jc w:val="both"/>
              <w:rPr>
                <w:rFonts w:eastAsia="Calibri"/>
              </w:rPr>
            </w:pPr>
            <w:r w:rsidRPr="00DC48B2">
              <w:rPr>
                <w:rFonts w:eastAsia="Calibri"/>
              </w:rPr>
              <w:t>@ Secondary Voltage</w:t>
            </w:r>
          </w:p>
          <w:p w:rsidR="005C59DC" w:rsidRPr="00DC48B2" w:rsidRDefault="005C59DC" w:rsidP="005A47DC">
            <w:pPr>
              <w:keepNext/>
              <w:suppressLineNumbers/>
              <w:tabs>
                <w:tab w:val="left" w:pos="576"/>
                <w:tab w:val="left" w:pos="1440"/>
                <w:tab w:val="left" w:pos="1728"/>
                <w:tab w:val="left" w:pos="5904"/>
              </w:tabs>
              <w:ind w:firstLine="90"/>
              <w:jc w:val="both"/>
              <w:rPr>
                <w:rFonts w:eastAsia="Calibri"/>
              </w:rPr>
            </w:pPr>
            <w:r w:rsidRPr="00DC48B2">
              <w:rPr>
                <w:rFonts w:eastAsia="Calibri"/>
              </w:rPr>
              <w:t>@ Primary Voltage</w:t>
            </w:r>
          </w:p>
          <w:p w:rsidR="005C59DC" w:rsidRPr="00DC48B2" w:rsidRDefault="005C59DC" w:rsidP="005A47DC">
            <w:pPr>
              <w:keepNext/>
              <w:suppressLineNumbers/>
              <w:tabs>
                <w:tab w:val="left" w:pos="576"/>
                <w:tab w:val="left" w:pos="1440"/>
                <w:tab w:val="left" w:pos="1728"/>
                <w:tab w:val="left" w:pos="5904"/>
              </w:tabs>
              <w:ind w:firstLine="90"/>
              <w:jc w:val="both"/>
              <w:rPr>
                <w:rFonts w:eastAsia="Calibri"/>
              </w:rPr>
            </w:pPr>
            <w:r w:rsidRPr="00DC48B2">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rsidR="005C59DC" w:rsidRPr="00DC48B2" w:rsidRDefault="005C59DC" w:rsidP="005A47DC">
            <w:pPr>
              <w:keepNext/>
              <w:suppressLineNumbers/>
              <w:jc w:val="both"/>
              <w:rPr>
                <w:rFonts w:eastAsia="Calibri"/>
              </w:rPr>
            </w:pPr>
          </w:p>
          <w:p w:rsidR="005C59DC" w:rsidRPr="00DC48B2" w:rsidRDefault="005C59DC" w:rsidP="005A47DC">
            <w:pPr>
              <w:keepNext/>
              <w:suppressLineNumbers/>
              <w:jc w:val="both"/>
              <w:rPr>
                <w:rFonts w:eastAsia="Calibri"/>
              </w:rPr>
            </w:pPr>
            <w:r w:rsidRPr="00DC48B2">
              <w:rPr>
                <w:rFonts w:eastAsia="Calibri"/>
              </w:rPr>
              <w:t>0.091 cents/kWh</w:t>
            </w:r>
          </w:p>
          <w:p w:rsidR="005C59DC" w:rsidRPr="00DC48B2" w:rsidRDefault="005C59DC" w:rsidP="005A47DC">
            <w:pPr>
              <w:keepNext/>
              <w:suppressLineNumbers/>
              <w:jc w:val="both"/>
              <w:rPr>
                <w:rFonts w:eastAsia="Calibri"/>
              </w:rPr>
            </w:pPr>
            <w:r w:rsidRPr="00DC48B2">
              <w:rPr>
                <w:rFonts w:eastAsia="Calibri"/>
              </w:rPr>
              <w:t>0.090 cents/kWh</w:t>
            </w:r>
          </w:p>
          <w:p w:rsidR="005C59DC" w:rsidRPr="00DC48B2" w:rsidRDefault="005C59DC" w:rsidP="005A47DC">
            <w:pPr>
              <w:keepNext/>
              <w:suppressLineNumbers/>
              <w:jc w:val="both"/>
              <w:rPr>
                <w:rFonts w:eastAsia="Calibri"/>
              </w:rPr>
            </w:pPr>
            <w:r w:rsidRPr="00DC48B2">
              <w:rPr>
                <w:rFonts w:eastAsia="Calibri"/>
              </w:rPr>
              <w:t>0.089 cents/kWh</w:t>
            </w:r>
          </w:p>
        </w:tc>
      </w:tr>
      <w:tr w:rsidR="005C59DC" w:rsidRPr="00DC48B2" w:rsidTr="005A47DC">
        <w:trPr>
          <w:trHeight w:val="291"/>
        </w:trPr>
        <w:tc>
          <w:tcPr>
            <w:tcW w:w="3348" w:type="dxa"/>
            <w:tcBorders>
              <w:top w:val="single" w:sz="4" w:space="0" w:color="auto"/>
              <w:left w:val="single" w:sz="4" w:space="0" w:color="auto"/>
              <w:bottom w:val="single" w:sz="4" w:space="0" w:color="auto"/>
              <w:right w:val="single" w:sz="4" w:space="0" w:color="auto"/>
            </w:tcBorders>
            <w:hideMark/>
          </w:tcPr>
          <w:p w:rsidR="005C59DC" w:rsidRPr="00DC48B2" w:rsidRDefault="005C59DC" w:rsidP="005A47DC">
            <w:pPr>
              <w:keepNext/>
              <w:suppressLineNumbers/>
              <w:tabs>
                <w:tab w:val="left" w:pos="576"/>
                <w:tab w:val="left" w:pos="1440"/>
                <w:tab w:val="left" w:pos="1728"/>
                <w:tab w:val="left" w:pos="5904"/>
              </w:tabs>
              <w:ind w:firstLine="90"/>
              <w:jc w:val="both"/>
              <w:rPr>
                <w:rFonts w:eastAsia="Calibri"/>
              </w:rPr>
            </w:pPr>
            <w:r w:rsidRPr="00DC48B2">
              <w:rPr>
                <w:rFonts w:eastAsia="Calibri"/>
              </w:rPr>
              <w:t>Interruptible</w:t>
            </w:r>
          </w:p>
          <w:p w:rsidR="005C59DC" w:rsidRPr="00DC48B2" w:rsidRDefault="005C59DC" w:rsidP="005A47DC">
            <w:pPr>
              <w:keepNext/>
              <w:suppressLineNumbers/>
              <w:tabs>
                <w:tab w:val="left" w:pos="576"/>
                <w:tab w:val="left" w:pos="1440"/>
                <w:tab w:val="left" w:pos="1728"/>
                <w:tab w:val="left" w:pos="5904"/>
              </w:tabs>
              <w:ind w:firstLine="90"/>
              <w:jc w:val="both"/>
              <w:rPr>
                <w:rFonts w:eastAsia="Calibri"/>
              </w:rPr>
            </w:pPr>
            <w:r w:rsidRPr="00DC48B2">
              <w:rPr>
                <w:rFonts w:eastAsia="Calibri"/>
              </w:rPr>
              <w:t>@ Secondary Voltage</w:t>
            </w:r>
          </w:p>
          <w:p w:rsidR="005C59DC" w:rsidRPr="00DC48B2" w:rsidRDefault="005C59DC" w:rsidP="005A47DC">
            <w:pPr>
              <w:keepNext/>
              <w:suppressLineNumbers/>
              <w:tabs>
                <w:tab w:val="left" w:pos="576"/>
                <w:tab w:val="left" w:pos="1440"/>
                <w:tab w:val="left" w:pos="1728"/>
                <w:tab w:val="left" w:pos="5904"/>
              </w:tabs>
              <w:ind w:firstLine="90"/>
              <w:jc w:val="both"/>
              <w:rPr>
                <w:rFonts w:eastAsia="Calibri"/>
              </w:rPr>
            </w:pPr>
            <w:r w:rsidRPr="00DC48B2">
              <w:rPr>
                <w:rFonts w:eastAsia="Calibri"/>
              </w:rPr>
              <w:t>@ Primary Voltage</w:t>
            </w:r>
          </w:p>
          <w:p w:rsidR="005C59DC" w:rsidRPr="00DC48B2" w:rsidRDefault="005C59DC" w:rsidP="005A47DC">
            <w:pPr>
              <w:keepNext/>
              <w:suppressLineNumbers/>
              <w:tabs>
                <w:tab w:val="left" w:pos="576"/>
                <w:tab w:val="left" w:pos="1440"/>
                <w:tab w:val="left" w:pos="1728"/>
                <w:tab w:val="left" w:pos="5904"/>
              </w:tabs>
              <w:ind w:firstLine="90"/>
              <w:jc w:val="both"/>
              <w:rPr>
                <w:rFonts w:eastAsia="Calibri"/>
              </w:rPr>
            </w:pPr>
            <w:r w:rsidRPr="00DC48B2">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rsidR="005C59DC" w:rsidRPr="00DC48B2" w:rsidRDefault="005C59DC" w:rsidP="005A47DC">
            <w:pPr>
              <w:keepNext/>
              <w:suppressLineNumbers/>
              <w:jc w:val="both"/>
              <w:rPr>
                <w:rFonts w:eastAsia="Calibri"/>
              </w:rPr>
            </w:pPr>
          </w:p>
          <w:p w:rsidR="005C59DC" w:rsidRPr="00DC48B2" w:rsidRDefault="005C59DC" w:rsidP="005A47DC">
            <w:pPr>
              <w:keepNext/>
              <w:suppressLineNumbers/>
              <w:jc w:val="both"/>
              <w:rPr>
                <w:rFonts w:eastAsia="Calibri"/>
              </w:rPr>
            </w:pPr>
            <w:r w:rsidRPr="00DC48B2">
              <w:rPr>
                <w:rFonts w:eastAsia="Calibri"/>
              </w:rPr>
              <w:t>0.093 cents/kWh</w:t>
            </w:r>
          </w:p>
          <w:p w:rsidR="005C59DC" w:rsidRPr="00DC48B2" w:rsidRDefault="005C59DC" w:rsidP="005A47DC">
            <w:pPr>
              <w:keepNext/>
              <w:suppressLineNumbers/>
              <w:jc w:val="both"/>
              <w:rPr>
                <w:rFonts w:eastAsia="Calibri"/>
              </w:rPr>
            </w:pPr>
            <w:r w:rsidRPr="00DC48B2">
              <w:rPr>
                <w:rFonts w:eastAsia="Calibri"/>
              </w:rPr>
              <w:t>0.092 cents/kWh</w:t>
            </w:r>
          </w:p>
          <w:p w:rsidR="005C59DC" w:rsidRPr="00DC48B2" w:rsidRDefault="005C59DC" w:rsidP="005A47DC">
            <w:pPr>
              <w:keepNext/>
              <w:suppressLineNumbers/>
              <w:jc w:val="both"/>
              <w:rPr>
                <w:rFonts w:eastAsia="Calibri"/>
              </w:rPr>
            </w:pPr>
            <w:r w:rsidRPr="00DC48B2">
              <w:rPr>
                <w:rFonts w:eastAsia="Calibri"/>
              </w:rPr>
              <w:t>0.091 cents/kWh</w:t>
            </w:r>
          </w:p>
        </w:tc>
      </w:tr>
      <w:tr w:rsidR="005C59DC" w:rsidRPr="00DC48B2" w:rsidTr="005A47DC">
        <w:trPr>
          <w:trHeight w:val="291"/>
        </w:trPr>
        <w:tc>
          <w:tcPr>
            <w:tcW w:w="3348" w:type="dxa"/>
            <w:tcBorders>
              <w:top w:val="single" w:sz="4" w:space="0" w:color="auto"/>
              <w:left w:val="single" w:sz="4" w:space="0" w:color="auto"/>
              <w:bottom w:val="single" w:sz="4" w:space="0" w:color="auto"/>
              <w:right w:val="single" w:sz="4" w:space="0" w:color="auto"/>
            </w:tcBorders>
            <w:hideMark/>
          </w:tcPr>
          <w:p w:rsidR="005C59DC" w:rsidRPr="00DC48B2" w:rsidRDefault="005C59DC" w:rsidP="005A47DC">
            <w:pPr>
              <w:suppressLineNumbers/>
              <w:jc w:val="both"/>
              <w:rPr>
                <w:rFonts w:eastAsia="Calibri"/>
              </w:rPr>
            </w:pPr>
            <w:r w:rsidRPr="00DC48B2">
              <w:rPr>
                <w:rFonts w:eastAsia="Calibri"/>
              </w:rPr>
              <w:t>Lighting</w:t>
            </w:r>
          </w:p>
        </w:tc>
        <w:tc>
          <w:tcPr>
            <w:tcW w:w="1980" w:type="dxa"/>
            <w:tcBorders>
              <w:top w:val="single" w:sz="4" w:space="0" w:color="auto"/>
              <w:left w:val="single" w:sz="4" w:space="0" w:color="auto"/>
              <w:bottom w:val="single" w:sz="4" w:space="0" w:color="auto"/>
              <w:right w:val="single" w:sz="4" w:space="0" w:color="auto"/>
            </w:tcBorders>
            <w:hideMark/>
          </w:tcPr>
          <w:p w:rsidR="005C59DC" w:rsidRPr="00DC48B2" w:rsidRDefault="005C59DC" w:rsidP="005A47DC">
            <w:pPr>
              <w:suppressLineNumbers/>
              <w:jc w:val="both"/>
              <w:rPr>
                <w:rFonts w:eastAsia="Calibri"/>
              </w:rPr>
            </w:pPr>
            <w:r w:rsidRPr="00DC48B2">
              <w:rPr>
                <w:rFonts w:eastAsia="Calibri"/>
              </w:rPr>
              <w:t>0.091 cents/kWh</w:t>
            </w:r>
          </w:p>
        </w:tc>
      </w:tr>
    </w:tbl>
    <w:p w:rsidR="005C59DC" w:rsidRPr="00DC48B2" w:rsidRDefault="005C59DC" w:rsidP="005C59DC">
      <w:pPr>
        <w:spacing w:after="200" w:line="276" w:lineRule="auto"/>
        <w:ind w:left="1440" w:right="-360" w:hanging="720"/>
        <w:jc w:val="both"/>
        <w:rPr>
          <w:rFonts w:eastAsia="Calibri"/>
          <w:b/>
          <w:bCs/>
          <w:sz w:val="22"/>
          <w:szCs w:val="22"/>
        </w:rPr>
      </w:pPr>
    </w:p>
    <w:p w:rsidR="005C59DC" w:rsidRPr="00DC48B2" w:rsidRDefault="005C59DC" w:rsidP="005C59DC">
      <w:pPr>
        <w:ind w:right="-360"/>
        <w:jc w:val="both"/>
        <w:rPr>
          <w:rFonts w:eastAsia="Calibri"/>
          <w:b/>
          <w:bCs/>
        </w:rPr>
      </w:pPr>
      <w:r w:rsidRPr="00DC48B2">
        <w:rPr>
          <w:rFonts w:eastAsia="Calibri"/>
          <w:b/>
          <w:bCs/>
        </w:rPr>
        <w:t>TECO:</w:t>
      </w:r>
      <w:r w:rsidRPr="00DC48B2">
        <w:rPr>
          <w:rFonts w:eastAsia="Calibri"/>
          <w:b/>
          <w:bCs/>
        </w:rPr>
        <w:tab/>
      </w:r>
      <w:r w:rsidRPr="00DC48B2">
        <w:rPr>
          <w:rFonts w:eastAsia="Calibri"/>
          <w:b/>
          <w:bCs/>
        </w:rPr>
        <w:tab/>
      </w:r>
    </w:p>
    <w:p w:rsidR="005C59DC" w:rsidRPr="00DC48B2" w:rsidRDefault="005C59DC" w:rsidP="005C59DC">
      <w:pPr>
        <w:ind w:left="720" w:right="-360" w:firstLine="720"/>
        <w:jc w:val="both"/>
        <w:rPr>
          <w:rFonts w:eastAsia="Calibri"/>
          <w:b/>
          <w:color w:val="000000" w:themeColor="text1"/>
          <w:u w:val="single"/>
        </w:rPr>
      </w:pPr>
      <w:r w:rsidRPr="00DC48B2">
        <w:rPr>
          <w:rFonts w:eastAsia="Calibri"/>
          <w:b/>
          <w:u w:val="single"/>
        </w:rPr>
        <w:t>Rate Class</w:t>
      </w:r>
      <w:r w:rsidRPr="00DC48B2">
        <w:rPr>
          <w:rFonts w:eastAsia="Calibri"/>
        </w:rPr>
        <w:tab/>
      </w:r>
      <w:r w:rsidRPr="00DC48B2">
        <w:rPr>
          <w:rFonts w:eastAsia="Calibri"/>
        </w:rPr>
        <w:tab/>
      </w:r>
      <w:r w:rsidRPr="00DC48B2">
        <w:rPr>
          <w:rFonts w:eastAsia="Calibri"/>
        </w:rPr>
        <w:tab/>
      </w:r>
      <w:r w:rsidRPr="00DC48B2">
        <w:rPr>
          <w:rFonts w:eastAsia="Calibri"/>
        </w:rPr>
        <w:tab/>
      </w:r>
      <w:r w:rsidRPr="00DC48B2">
        <w:rPr>
          <w:rFonts w:eastAsia="Calibri"/>
        </w:rPr>
        <w:tab/>
      </w:r>
      <w:r w:rsidRPr="00DC48B2">
        <w:rPr>
          <w:rFonts w:eastAsia="Calibri"/>
        </w:rPr>
        <w:tab/>
      </w:r>
      <w:r w:rsidRPr="00DC48B2">
        <w:rPr>
          <w:rFonts w:eastAsia="Calibri"/>
          <w:b/>
          <w:u w:val="single"/>
        </w:rPr>
        <w:t>Factor (¢/kWh</w:t>
      </w:r>
      <w:r w:rsidRPr="00DC48B2">
        <w:rPr>
          <w:rFonts w:eastAsia="Calibri"/>
          <w:b/>
          <w:color w:val="000000" w:themeColor="text1"/>
          <w:u w:val="single"/>
        </w:rPr>
        <w:t>)</w:t>
      </w:r>
    </w:p>
    <w:p w:rsidR="005C59DC" w:rsidRPr="00DC48B2" w:rsidRDefault="005C59DC" w:rsidP="005C59DC">
      <w:pPr>
        <w:ind w:left="720" w:right="-360" w:hanging="720"/>
        <w:jc w:val="both"/>
        <w:rPr>
          <w:rFonts w:eastAsia="Calibri"/>
          <w:b/>
          <w:u w:val="single"/>
        </w:rPr>
      </w:pPr>
    </w:p>
    <w:p w:rsidR="005C59DC" w:rsidRPr="00DC48B2" w:rsidRDefault="005C59DC" w:rsidP="005C59DC">
      <w:pPr>
        <w:tabs>
          <w:tab w:val="left" w:pos="-1440"/>
          <w:tab w:val="left" w:pos="-720"/>
          <w:tab w:val="left" w:pos="720"/>
          <w:tab w:val="left" w:pos="1440"/>
          <w:tab w:val="left" w:pos="7200"/>
        </w:tabs>
        <w:ind w:right="-360" w:firstLine="1440"/>
        <w:jc w:val="both"/>
        <w:rPr>
          <w:rFonts w:eastAsia="Calibri"/>
        </w:rPr>
      </w:pPr>
      <w:r w:rsidRPr="00DC48B2">
        <w:rPr>
          <w:rFonts w:eastAsia="Calibri"/>
        </w:rPr>
        <w:t>RS</w:t>
      </w:r>
      <w:r w:rsidRPr="00DC48B2">
        <w:rPr>
          <w:rFonts w:eastAsia="Calibri"/>
        </w:rPr>
        <w:tab/>
        <w:t>0.269</w:t>
      </w:r>
    </w:p>
    <w:p w:rsidR="005C59DC" w:rsidRPr="00DC48B2" w:rsidRDefault="005C59DC" w:rsidP="005C59DC">
      <w:pPr>
        <w:tabs>
          <w:tab w:val="left" w:pos="-1440"/>
          <w:tab w:val="left" w:pos="-720"/>
          <w:tab w:val="left" w:pos="720"/>
          <w:tab w:val="left" w:pos="1440"/>
          <w:tab w:val="left" w:pos="7200"/>
        </w:tabs>
        <w:ind w:right="-360" w:firstLine="1440"/>
        <w:jc w:val="both"/>
        <w:rPr>
          <w:rFonts w:eastAsia="Calibri"/>
        </w:rPr>
      </w:pPr>
      <w:r w:rsidRPr="00DC48B2">
        <w:rPr>
          <w:rFonts w:eastAsia="Calibri"/>
        </w:rPr>
        <w:t>GS, CS</w:t>
      </w:r>
      <w:r w:rsidRPr="00DC48B2">
        <w:rPr>
          <w:rFonts w:eastAsia="Calibri"/>
        </w:rPr>
        <w:tab/>
        <w:t>0.269</w:t>
      </w:r>
    </w:p>
    <w:p w:rsidR="005C59DC" w:rsidRPr="00DC48B2" w:rsidRDefault="005C59DC" w:rsidP="005C59DC">
      <w:pPr>
        <w:tabs>
          <w:tab w:val="left" w:pos="-1440"/>
          <w:tab w:val="left" w:pos="-720"/>
          <w:tab w:val="left" w:pos="720"/>
          <w:tab w:val="left" w:pos="1440"/>
          <w:tab w:val="left" w:pos="6840"/>
        </w:tabs>
        <w:ind w:right="-360" w:firstLine="1440"/>
        <w:jc w:val="both"/>
        <w:rPr>
          <w:rFonts w:eastAsia="Calibri"/>
        </w:rPr>
      </w:pPr>
      <w:r w:rsidRPr="00DC48B2">
        <w:rPr>
          <w:rFonts w:eastAsia="Calibri"/>
        </w:rPr>
        <w:t>GSD, SBF</w:t>
      </w:r>
    </w:p>
    <w:p w:rsidR="005C59DC" w:rsidRPr="00DC48B2" w:rsidRDefault="005C59DC" w:rsidP="005C59DC">
      <w:pPr>
        <w:tabs>
          <w:tab w:val="left" w:pos="-1440"/>
          <w:tab w:val="left" w:pos="-720"/>
          <w:tab w:val="left" w:pos="720"/>
          <w:tab w:val="left" w:pos="1440"/>
          <w:tab w:val="left" w:pos="1800"/>
          <w:tab w:val="left" w:pos="7200"/>
        </w:tabs>
        <w:ind w:right="-360"/>
        <w:jc w:val="both"/>
        <w:rPr>
          <w:rFonts w:eastAsia="Calibri"/>
        </w:rPr>
      </w:pPr>
      <w:r w:rsidRPr="00DC48B2">
        <w:rPr>
          <w:rFonts w:eastAsia="Calibri"/>
        </w:rPr>
        <w:tab/>
      </w:r>
      <w:r w:rsidRPr="00DC48B2">
        <w:rPr>
          <w:rFonts w:eastAsia="Calibri"/>
        </w:rPr>
        <w:tab/>
      </w:r>
      <w:r w:rsidRPr="00DC48B2">
        <w:rPr>
          <w:rFonts w:eastAsia="Calibri"/>
        </w:rPr>
        <w:tab/>
        <w:t>Secondary</w:t>
      </w:r>
      <w:r w:rsidRPr="00DC48B2">
        <w:rPr>
          <w:rFonts w:eastAsia="Calibri"/>
        </w:rPr>
        <w:tab/>
        <w:t>0.265</w:t>
      </w:r>
    </w:p>
    <w:p w:rsidR="005C59DC" w:rsidRPr="00DC48B2" w:rsidRDefault="005C59DC" w:rsidP="005C59DC">
      <w:pPr>
        <w:tabs>
          <w:tab w:val="left" w:pos="-1440"/>
          <w:tab w:val="left" w:pos="-720"/>
          <w:tab w:val="left" w:pos="720"/>
          <w:tab w:val="left" w:pos="1440"/>
          <w:tab w:val="left" w:pos="1800"/>
          <w:tab w:val="left" w:pos="7200"/>
        </w:tabs>
        <w:ind w:right="-360"/>
        <w:jc w:val="both"/>
        <w:rPr>
          <w:rFonts w:eastAsia="Calibri"/>
        </w:rPr>
      </w:pPr>
      <w:r w:rsidRPr="00DC48B2">
        <w:rPr>
          <w:rFonts w:eastAsia="Calibri"/>
        </w:rPr>
        <w:tab/>
      </w:r>
      <w:r w:rsidRPr="00DC48B2">
        <w:rPr>
          <w:rFonts w:eastAsia="Calibri"/>
        </w:rPr>
        <w:tab/>
      </w:r>
      <w:r w:rsidRPr="00DC48B2">
        <w:rPr>
          <w:rFonts w:eastAsia="Calibri"/>
        </w:rPr>
        <w:tab/>
        <w:t>Primary</w:t>
      </w:r>
      <w:r w:rsidRPr="00DC48B2">
        <w:rPr>
          <w:rFonts w:eastAsia="Calibri"/>
        </w:rPr>
        <w:tab/>
        <w:t>0.262</w:t>
      </w:r>
    </w:p>
    <w:p w:rsidR="005C59DC" w:rsidRPr="00DC48B2" w:rsidRDefault="005C59DC" w:rsidP="005C59DC">
      <w:pPr>
        <w:tabs>
          <w:tab w:val="left" w:pos="-1440"/>
          <w:tab w:val="left" w:pos="-720"/>
          <w:tab w:val="left" w:pos="720"/>
          <w:tab w:val="left" w:pos="1440"/>
          <w:tab w:val="left" w:pos="1800"/>
          <w:tab w:val="left" w:pos="7200"/>
        </w:tabs>
        <w:ind w:right="-360"/>
        <w:jc w:val="both"/>
        <w:rPr>
          <w:rFonts w:eastAsia="Calibri"/>
        </w:rPr>
      </w:pPr>
      <w:r w:rsidRPr="00DC48B2">
        <w:rPr>
          <w:rFonts w:eastAsia="Calibri"/>
        </w:rPr>
        <w:tab/>
      </w:r>
      <w:r w:rsidRPr="00DC48B2">
        <w:rPr>
          <w:rFonts w:eastAsia="Calibri"/>
        </w:rPr>
        <w:tab/>
      </w:r>
      <w:r w:rsidRPr="00DC48B2">
        <w:rPr>
          <w:rFonts w:eastAsia="Calibri"/>
        </w:rPr>
        <w:tab/>
        <w:t>Transmission</w:t>
      </w:r>
      <w:r w:rsidRPr="00DC48B2">
        <w:rPr>
          <w:rFonts w:eastAsia="Calibri"/>
        </w:rPr>
        <w:tab/>
        <w:t>0.260</w:t>
      </w:r>
    </w:p>
    <w:p w:rsidR="005C59DC" w:rsidRPr="00DC48B2" w:rsidRDefault="005C59DC" w:rsidP="005C59DC">
      <w:pPr>
        <w:tabs>
          <w:tab w:val="left" w:pos="4590"/>
          <w:tab w:val="left" w:pos="6660"/>
          <w:tab w:val="left" w:pos="6840"/>
        </w:tabs>
        <w:ind w:right="-360" w:firstLine="1440"/>
        <w:jc w:val="both"/>
        <w:rPr>
          <w:rFonts w:eastAsia="Calibri"/>
        </w:rPr>
      </w:pPr>
      <w:r w:rsidRPr="00DC48B2">
        <w:rPr>
          <w:rFonts w:eastAsia="Calibri"/>
        </w:rPr>
        <w:t>IS</w:t>
      </w:r>
    </w:p>
    <w:p w:rsidR="005C59DC" w:rsidRPr="00DC48B2" w:rsidRDefault="005C59DC" w:rsidP="005C59DC">
      <w:pPr>
        <w:tabs>
          <w:tab w:val="left" w:pos="1800"/>
          <w:tab w:val="left" w:pos="4590"/>
          <w:tab w:val="left" w:pos="6840"/>
        </w:tabs>
        <w:ind w:right="-360" w:firstLine="1440"/>
        <w:jc w:val="both"/>
        <w:rPr>
          <w:rFonts w:eastAsia="Calibri"/>
        </w:rPr>
      </w:pPr>
      <w:r w:rsidRPr="00DC48B2">
        <w:rPr>
          <w:rFonts w:eastAsia="Calibri"/>
        </w:rPr>
        <w:tab/>
        <w:t>Secondary</w:t>
      </w:r>
      <w:r w:rsidRPr="00DC48B2">
        <w:rPr>
          <w:rFonts w:eastAsia="Calibri"/>
        </w:rPr>
        <w:tab/>
      </w:r>
      <w:r w:rsidRPr="00DC48B2">
        <w:rPr>
          <w:rFonts w:eastAsia="Calibri"/>
        </w:rPr>
        <w:tab/>
      </w:r>
      <w:r w:rsidRPr="00DC48B2">
        <w:rPr>
          <w:rFonts w:eastAsia="Calibri"/>
        </w:rPr>
        <w:tab/>
        <w:t>0.257</w:t>
      </w:r>
    </w:p>
    <w:p w:rsidR="005C59DC" w:rsidRPr="00DC48B2" w:rsidRDefault="005C59DC" w:rsidP="005C59DC">
      <w:pPr>
        <w:tabs>
          <w:tab w:val="left" w:pos="1800"/>
          <w:tab w:val="left" w:pos="4590"/>
          <w:tab w:val="left" w:pos="6840"/>
        </w:tabs>
        <w:ind w:right="-360" w:firstLine="1440"/>
        <w:jc w:val="both"/>
        <w:rPr>
          <w:rFonts w:eastAsia="Calibri"/>
        </w:rPr>
      </w:pPr>
      <w:r w:rsidRPr="00DC48B2">
        <w:rPr>
          <w:rFonts w:eastAsia="Calibri"/>
        </w:rPr>
        <w:tab/>
        <w:t>Primary</w:t>
      </w:r>
      <w:r w:rsidRPr="00DC48B2">
        <w:rPr>
          <w:rFonts w:eastAsia="Calibri"/>
        </w:rPr>
        <w:tab/>
      </w:r>
      <w:r w:rsidRPr="00DC48B2">
        <w:rPr>
          <w:rFonts w:eastAsia="Calibri"/>
        </w:rPr>
        <w:tab/>
      </w:r>
      <w:r w:rsidRPr="00DC48B2">
        <w:rPr>
          <w:rFonts w:eastAsia="Calibri"/>
        </w:rPr>
        <w:tab/>
        <w:t>0.254</w:t>
      </w:r>
    </w:p>
    <w:p w:rsidR="005C59DC" w:rsidRPr="00DC48B2" w:rsidRDefault="005C59DC" w:rsidP="005C59DC">
      <w:pPr>
        <w:tabs>
          <w:tab w:val="left" w:pos="1800"/>
          <w:tab w:val="left" w:pos="4590"/>
          <w:tab w:val="left" w:pos="6840"/>
        </w:tabs>
        <w:ind w:right="-360" w:firstLine="1440"/>
        <w:jc w:val="both"/>
        <w:rPr>
          <w:rFonts w:eastAsia="Calibri"/>
        </w:rPr>
      </w:pPr>
      <w:r w:rsidRPr="00DC48B2">
        <w:rPr>
          <w:rFonts w:eastAsia="Calibri"/>
        </w:rPr>
        <w:tab/>
        <w:t>Transmission</w:t>
      </w:r>
      <w:r w:rsidRPr="00DC48B2">
        <w:rPr>
          <w:rFonts w:eastAsia="Calibri"/>
        </w:rPr>
        <w:tab/>
      </w:r>
      <w:r w:rsidRPr="00DC48B2">
        <w:rPr>
          <w:rFonts w:eastAsia="Calibri"/>
        </w:rPr>
        <w:tab/>
      </w:r>
      <w:r w:rsidRPr="00DC48B2">
        <w:rPr>
          <w:rFonts w:eastAsia="Calibri"/>
        </w:rPr>
        <w:tab/>
        <w:t>0.252</w:t>
      </w:r>
    </w:p>
    <w:p w:rsidR="005C59DC" w:rsidRPr="00DC48B2" w:rsidRDefault="005C59DC" w:rsidP="005C59DC">
      <w:pPr>
        <w:tabs>
          <w:tab w:val="left" w:pos="1800"/>
          <w:tab w:val="left" w:pos="4590"/>
          <w:tab w:val="left" w:pos="6840"/>
        </w:tabs>
        <w:ind w:right="-360" w:firstLine="1440"/>
        <w:jc w:val="both"/>
        <w:rPr>
          <w:rFonts w:eastAsia="Calibri"/>
        </w:rPr>
      </w:pPr>
    </w:p>
    <w:p w:rsidR="005C59DC" w:rsidRPr="00DC48B2" w:rsidRDefault="005C59DC" w:rsidP="005C59DC">
      <w:pPr>
        <w:tabs>
          <w:tab w:val="left" w:pos="-1440"/>
          <w:tab w:val="left" w:pos="-720"/>
          <w:tab w:val="left" w:pos="720"/>
          <w:tab w:val="left" w:pos="1440"/>
          <w:tab w:val="left" w:pos="7200"/>
        </w:tabs>
        <w:ind w:right="-360" w:firstLine="1440"/>
        <w:jc w:val="both"/>
        <w:rPr>
          <w:rFonts w:eastAsia="Calibri"/>
        </w:rPr>
      </w:pPr>
      <w:r w:rsidRPr="00DC48B2">
        <w:rPr>
          <w:rFonts w:eastAsia="Calibri"/>
        </w:rPr>
        <w:t>LS1</w:t>
      </w:r>
      <w:r w:rsidRPr="00DC48B2">
        <w:rPr>
          <w:rFonts w:eastAsia="Calibri"/>
        </w:rPr>
        <w:tab/>
        <w:t>0.258</w:t>
      </w:r>
    </w:p>
    <w:p w:rsidR="005C59DC" w:rsidRPr="00DC48B2" w:rsidRDefault="005C59DC" w:rsidP="005C59DC">
      <w:pPr>
        <w:tabs>
          <w:tab w:val="left" w:pos="-1440"/>
          <w:tab w:val="left" w:pos="-720"/>
          <w:tab w:val="left" w:pos="720"/>
          <w:tab w:val="left" w:pos="1440"/>
          <w:tab w:val="left" w:pos="7200"/>
        </w:tabs>
        <w:ind w:right="-360" w:firstLine="1440"/>
        <w:jc w:val="both"/>
        <w:rPr>
          <w:rFonts w:eastAsia="Calibri"/>
        </w:rPr>
      </w:pPr>
    </w:p>
    <w:p w:rsidR="005C59DC" w:rsidRPr="00DC48B2" w:rsidRDefault="005C59DC" w:rsidP="005C59DC">
      <w:pPr>
        <w:tabs>
          <w:tab w:val="left" w:pos="-1440"/>
          <w:tab w:val="left" w:pos="-720"/>
          <w:tab w:val="left" w:pos="720"/>
          <w:tab w:val="left" w:pos="1440"/>
          <w:tab w:val="left" w:pos="7200"/>
          <w:tab w:val="right" w:pos="8640"/>
        </w:tabs>
        <w:ind w:right="-360" w:firstLine="1440"/>
        <w:jc w:val="both"/>
      </w:pPr>
      <w:r w:rsidRPr="00DC48B2">
        <w:t>Average Factor</w:t>
      </w:r>
      <w:r w:rsidRPr="00DC48B2">
        <w:tab/>
        <w:t>0.267</w:t>
      </w:r>
    </w:p>
    <w:p w:rsidR="005C59DC" w:rsidRPr="00DC48B2" w:rsidRDefault="005C59DC" w:rsidP="005C59DC">
      <w:pPr>
        <w:keepNext/>
        <w:tabs>
          <w:tab w:val="left" w:pos="-1440"/>
          <w:tab w:val="left" w:pos="-720"/>
          <w:tab w:val="left" w:pos="0"/>
          <w:tab w:val="left" w:pos="720"/>
          <w:tab w:val="left" w:pos="2160"/>
          <w:tab w:val="left" w:pos="2880"/>
          <w:tab w:val="left" w:pos="3600"/>
          <w:tab w:val="left" w:pos="5040"/>
        </w:tabs>
        <w:spacing w:after="200" w:line="276" w:lineRule="auto"/>
        <w:jc w:val="both"/>
        <w:rPr>
          <w:rFonts w:eastAsia="Calibri"/>
        </w:rPr>
      </w:pPr>
      <w:r w:rsidRPr="00DC48B2">
        <w:rPr>
          <w:rFonts w:eastAsia="Calibri"/>
          <w:b/>
          <w:bCs/>
        </w:rPr>
        <w:lastRenderedPageBreak/>
        <w:t>GULF:</w:t>
      </w:r>
    </w:p>
    <w:tbl>
      <w:tblPr>
        <w:tblW w:w="6357" w:type="dxa"/>
        <w:tblInd w:w="1440" w:type="dxa"/>
        <w:tblLook w:val="04A0" w:firstRow="1" w:lastRow="0" w:firstColumn="1" w:lastColumn="0" w:noHBand="0" w:noVBand="1"/>
      </w:tblPr>
      <w:tblGrid>
        <w:gridCol w:w="3937"/>
        <w:gridCol w:w="2420"/>
      </w:tblGrid>
      <w:tr w:rsidR="005C59DC" w:rsidRPr="00DC48B2" w:rsidTr="005A47DC">
        <w:trPr>
          <w:trHeight w:val="915"/>
          <w:tblHeader/>
        </w:trPr>
        <w:tc>
          <w:tcPr>
            <w:tcW w:w="3937"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5C59DC" w:rsidRPr="00DC48B2" w:rsidRDefault="005C59DC" w:rsidP="005A47DC">
            <w:pPr>
              <w:jc w:val="both"/>
              <w:rPr>
                <w:b/>
              </w:rPr>
            </w:pPr>
            <w:r w:rsidRPr="00DC48B2">
              <w:rPr>
                <w:b/>
              </w:rPr>
              <w:t>Rate Class</w:t>
            </w:r>
          </w:p>
        </w:tc>
        <w:tc>
          <w:tcPr>
            <w:tcW w:w="242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C59DC" w:rsidRPr="00DC48B2" w:rsidRDefault="005C59DC" w:rsidP="005A47DC">
            <w:pPr>
              <w:jc w:val="both"/>
              <w:rPr>
                <w:b/>
              </w:rPr>
            </w:pPr>
            <w:r w:rsidRPr="00DC48B2">
              <w:rPr>
                <w:b/>
              </w:rPr>
              <w:t>Environmental Cost</w:t>
            </w:r>
          </w:p>
          <w:p w:rsidR="005C59DC" w:rsidRPr="00DC48B2" w:rsidRDefault="005C59DC" w:rsidP="005A47DC">
            <w:pPr>
              <w:jc w:val="both"/>
              <w:rPr>
                <w:b/>
              </w:rPr>
            </w:pPr>
            <w:r w:rsidRPr="00DC48B2">
              <w:rPr>
                <w:b/>
              </w:rPr>
              <w:t>Recovery Factor</w:t>
            </w:r>
          </w:p>
          <w:p w:rsidR="005C59DC" w:rsidRPr="00DC48B2" w:rsidRDefault="005C59DC" w:rsidP="005A47DC">
            <w:pPr>
              <w:jc w:val="both"/>
              <w:rPr>
                <w:b/>
              </w:rPr>
            </w:pPr>
            <w:r w:rsidRPr="00DC48B2">
              <w:rPr>
                <w:b/>
              </w:rPr>
              <w:t>(cents/kWh)</w:t>
            </w:r>
          </w:p>
        </w:tc>
      </w:tr>
      <w:tr w:rsidR="005C59DC" w:rsidRPr="00DC48B2" w:rsidTr="005A47DC">
        <w:trPr>
          <w:trHeight w:val="285"/>
        </w:trPr>
        <w:tc>
          <w:tcPr>
            <w:tcW w:w="3937" w:type="dxa"/>
            <w:tcBorders>
              <w:top w:val="nil"/>
              <w:left w:val="single" w:sz="8" w:space="0" w:color="auto"/>
              <w:bottom w:val="nil"/>
              <w:right w:val="nil"/>
            </w:tcBorders>
            <w:shd w:val="clear" w:color="auto" w:fill="auto"/>
            <w:noWrap/>
            <w:vAlign w:val="bottom"/>
            <w:hideMark/>
          </w:tcPr>
          <w:p w:rsidR="005C59DC" w:rsidRPr="00DC48B2" w:rsidRDefault="005C59DC" w:rsidP="005A47DC">
            <w:pPr>
              <w:jc w:val="both"/>
            </w:pPr>
            <w:r w:rsidRPr="00DC48B2">
              <w:t>RS, RSVP, RSTOU</w:t>
            </w:r>
          </w:p>
        </w:tc>
        <w:tc>
          <w:tcPr>
            <w:tcW w:w="2420" w:type="dxa"/>
            <w:tcBorders>
              <w:top w:val="nil"/>
              <w:left w:val="single" w:sz="8" w:space="0" w:color="auto"/>
              <w:bottom w:val="nil"/>
              <w:right w:val="single" w:sz="8" w:space="0" w:color="auto"/>
            </w:tcBorders>
            <w:shd w:val="clear" w:color="auto" w:fill="auto"/>
            <w:noWrap/>
            <w:vAlign w:val="bottom"/>
          </w:tcPr>
          <w:p w:rsidR="005C59DC" w:rsidRPr="00DC48B2" w:rsidRDefault="005C59DC" w:rsidP="005A47DC">
            <w:pPr>
              <w:jc w:val="both"/>
              <w:rPr>
                <w:color w:val="000000"/>
              </w:rPr>
            </w:pPr>
            <w:r w:rsidRPr="00DC48B2">
              <w:rPr>
                <w:color w:val="000000"/>
              </w:rPr>
              <w:t>1.992</w:t>
            </w:r>
          </w:p>
        </w:tc>
      </w:tr>
      <w:tr w:rsidR="005C59DC" w:rsidRPr="00DC48B2" w:rsidTr="005A47DC">
        <w:trPr>
          <w:trHeight w:val="285"/>
        </w:trPr>
        <w:tc>
          <w:tcPr>
            <w:tcW w:w="3937" w:type="dxa"/>
            <w:tcBorders>
              <w:top w:val="nil"/>
              <w:left w:val="single" w:sz="8" w:space="0" w:color="auto"/>
              <w:bottom w:val="nil"/>
              <w:right w:val="nil"/>
            </w:tcBorders>
            <w:shd w:val="clear" w:color="auto" w:fill="auto"/>
            <w:noWrap/>
            <w:vAlign w:val="bottom"/>
            <w:hideMark/>
          </w:tcPr>
          <w:p w:rsidR="005C59DC" w:rsidRPr="00DC48B2" w:rsidRDefault="005C59DC" w:rsidP="005A47DC">
            <w:pPr>
              <w:jc w:val="both"/>
            </w:pPr>
            <w:r w:rsidRPr="00DC48B2">
              <w:t>GS</w:t>
            </w:r>
          </w:p>
        </w:tc>
        <w:tc>
          <w:tcPr>
            <w:tcW w:w="2420" w:type="dxa"/>
            <w:tcBorders>
              <w:top w:val="nil"/>
              <w:left w:val="single" w:sz="8" w:space="0" w:color="auto"/>
              <w:bottom w:val="nil"/>
              <w:right w:val="single" w:sz="8" w:space="0" w:color="auto"/>
            </w:tcBorders>
            <w:shd w:val="clear" w:color="auto" w:fill="auto"/>
            <w:noWrap/>
            <w:vAlign w:val="bottom"/>
          </w:tcPr>
          <w:p w:rsidR="005C59DC" w:rsidRPr="00DC48B2" w:rsidRDefault="005C59DC" w:rsidP="005A47DC">
            <w:pPr>
              <w:jc w:val="both"/>
              <w:rPr>
                <w:color w:val="000000"/>
              </w:rPr>
            </w:pPr>
            <w:r w:rsidRPr="00DC48B2">
              <w:rPr>
                <w:color w:val="000000"/>
              </w:rPr>
              <w:t>2.025</w:t>
            </w:r>
          </w:p>
        </w:tc>
      </w:tr>
      <w:tr w:rsidR="005C59DC" w:rsidRPr="00DC48B2" w:rsidTr="005A47DC">
        <w:trPr>
          <w:trHeight w:val="285"/>
        </w:trPr>
        <w:tc>
          <w:tcPr>
            <w:tcW w:w="3937" w:type="dxa"/>
            <w:tcBorders>
              <w:top w:val="nil"/>
              <w:left w:val="single" w:sz="8" w:space="0" w:color="auto"/>
              <w:bottom w:val="nil"/>
              <w:right w:val="nil"/>
            </w:tcBorders>
            <w:shd w:val="clear" w:color="auto" w:fill="auto"/>
            <w:noWrap/>
            <w:vAlign w:val="bottom"/>
            <w:hideMark/>
          </w:tcPr>
          <w:p w:rsidR="005C59DC" w:rsidRPr="00DC48B2" w:rsidRDefault="005C59DC" w:rsidP="005A47DC">
            <w:pPr>
              <w:jc w:val="both"/>
            </w:pPr>
            <w:r w:rsidRPr="00DC48B2">
              <w:t>GSD, GSDT, GSTOU</w:t>
            </w:r>
          </w:p>
        </w:tc>
        <w:tc>
          <w:tcPr>
            <w:tcW w:w="2420" w:type="dxa"/>
            <w:tcBorders>
              <w:top w:val="nil"/>
              <w:left w:val="single" w:sz="8" w:space="0" w:color="auto"/>
              <w:bottom w:val="nil"/>
              <w:right w:val="single" w:sz="8" w:space="0" w:color="auto"/>
            </w:tcBorders>
            <w:shd w:val="clear" w:color="auto" w:fill="auto"/>
            <w:noWrap/>
            <w:vAlign w:val="bottom"/>
          </w:tcPr>
          <w:p w:rsidR="005C59DC" w:rsidRPr="00DC48B2" w:rsidRDefault="005C59DC" w:rsidP="005A47DC">
            <w:pPr>
              <w:jc w:val="both"/>
              <w:rPr>
                <w:color w:val="000000"/>
              </w:rPr>
            </w:pPr>
            <w:r w:rsidRPr="00DC48B2">
              <w:rPr>
                <w:color w:val="000000"/>
              </w:rPr>
              <w:t>1.628</w:t>
            </w:r>
          </w:p>
        </w:tc>
      </w:tr>
      <w:tr w:rsidR="005C59DC" w:rsidRPr="00DC48B2" w:rsidTr="005A47DC">
        <w:trPr>
          <w:trHeight w:val="285"/>
        </w:trPr>
        <w:tc>
          <w:tcPr>
            <w:tcW w:w="3937" w:type="dxa"/>
            <w:tcBorders>
              <w:top w:val="nil"/>
              <w:left w:val="single" w:sz="8" w:space="0" w:color="auto"/>
              <w:bottom w:val="nil"/>
              <w:right w:val="nil"/>
            </w:tcBorders>
            <w:shd w:val="clear" w:color="auto" w:fill="auto"/>
            <w:noWrap/>
            <w:vAlign w:val="bottom"/>
            <w:hideMark/>
          </w:tcPr>
          <w:p w:rsidR="005C59DC" w:rsidRPr="00DC48B2" w:rsidRDefault="005C59DC" w:rsidP="005A47DC">
            <w:pPr>
              <w:jc w:val="both"/>
            </w:pPr>
            <w:r w:rsidRPr="00DC48B2">
              <w:t>LP, LPT</w:t>
            </w:r>
          </w:p>
        </w:tc>
        <w:tc>
          <w:tcPr>
            <w:tcW w:w="2420" w:type="dxa"/>
            <w:tcBorders>
              <w:top w:val="nil"/>
              <w:left w:val="single" w:sz="8" w:space="0" w:color="auto"/>
              <w:bottom w:val="nil"/>
              <w:right w:val="single" w:sz="8" w:space="0" w:color="auto"/>
            </w:tcBorders>
            <w:shd w:val="clear" w:color="auto" w:fill="auto"/>
            <w:noWrap/>
            <w:vAlign w:val="bottom"/>
          </w:tcPr>
          <w:p w:rsidR="005C59DC" w:rsidRPr="00DC48B2" w:rsidRDefault="005C59DC" w:rsidP="005A47DC">
            <w:pPr>
              <w:jc w:val="both"/>
              <w:rPr>
                <w:color w:val="000000"/>
              </w:rPr>
            </w:pPr>
            <w:r w:rsidRPr="00DC48B2">
              <w:rPr>
                <w:color w:val="000000"/>
              </w:rPr>
              <w:t>1.428</w:t>
            </w:r>
          </w:p>
        </w:tc>
      </w:tr>
      <w:tr w:rsidR="005C59DC" w:rsidRPr="00DC48B2" w:rsidTr="005A47DC">
        <w:trPr>
          <w:trHeight w:val="285"/>
        </w:trPr>
        <w:tc>
          <w:tcPr>
            <w:tcW w:w="3937" w:type="dxa"/>
            <w:tcBorders>
              <w:top w:val="nil"/>
              <w:left w:val="single" w:sz="8" w:space="0" w:color="auto"/>
              <w:bottom w:val="nil"/>
              <w:right w:val="nil"/>
            </w:tcBorders>
            <w:shd w:val="clear" w:color="auto" w:fill="auto"/>
            <w:noWrap/>
            <w:vAlign w:val="bottom"/>
            <w:hideMark/>
          </w:tcPr>
          <w:p w:rsidR="005C59DC" w:rsidRPr="00DC48B2" w:rsidRDefault="005C59DC" w:rsidP="005A47DC">
            <w:pPr>
              <w:jc w:val="both"/>
            </w:pPr>
            <w:r w:rsidRPr="00DC48B2">
              <w:t>PX, PXT, RTP, SBS</w:t>
            </w:r>
          </w:p>
        </w:tc>
        <w:tc>
          <w:tcPr>
            <w:tcW w:w="2420" w:type="dxa"/>
            <w:tcBorders>
              <w:top w:val="nil"/>
              <w:left w:val="single" w:sz="8" w:space="0" w:color="auto"/>
              <w:bottom w:val="nil"/>
              <w:right w:val="single" w:sz="8" w:space="0" w:color="auto"/>
            </w:tcBorders>
            <w:shd w:val="clear" w:color="auto" w:fill="auto"/>
            <w:noWrap/>
          </w:tcPr>
          <w:p w:rsidR="005C59DC" w:rsidRPr="00DC48B2" w:rsidRDefault="005C59DC" w:rsidP="005A47DC">
            <w:pPr>
              <w:rPr>
                <w:color w:val="000000"/>
              </w:rPr>
            </w:pPr>
            <w:r w:rsidRPr="00DC48B2">
              <w:rPr>
                <w:color w:val="000000"/>
              </w:rPr>
              <w:t>1.405</w:t>
            </w:r>
          </w:p>
        </w:tc>
      </w:tr>
      <w:tr w:rsidR="005C59DC" w:rsidRPr="00DC48B2" w:rsidTr="005A47DC">
        <w:trPr>
          <w:trHeight w:val="285"/>
        </w:trPr>
        <w:tc>
          <w:tcPr>
            <w:tcW w:w="3937" w:type="dxa"/>
            <w:tcBorders>
              <w:top w:val="nil"/>
              <w:left w:val="single" w:sz="8" w:space="0" w:color="auto"/>
              <w:bottom w:val="nil"/>
              <w:right w:val="nil"/>
            </w:tcBorders>
            <w:shd w:val="clear" w:color="auto" w:fill="auto"/>
            <w:noWrap/>
            <w:vAlign w:val="bottom"/>
            <w:hideMark/>
          </w:tcPr>
          <w:p w:rsidR="005C59DC" w:rsidRPr="00DC48B2" w:rsidRDefault="005C59DC" w:rsidP="005A47DC">
            <w:pPr>
              <w:jc w:val="both"/>
            </w:pPr>
            <w:r w:rsidRPr="00DC48B2">
              <w:t>OS-I/II</w:t>
            </w:r>
          </w:p>
        </w:tc>
        <w:tc>
          <w:tcPr>
            <w:tcW w:w="2420" w:type="dxa"/>
            <w:tcBorders>
              <w:top w:val="nil"/>
              <w:left w:val="single" w:sz="8" w:space="0" w:color="auto"/>
              <w:bottom w:val="nil"/>
              <w:right w:val="single" w:sz="8" w:space="0" w:color="auto"/>
            </w:tcBorders>
            <w:shd w:val="clear" w:color="auto" w:fill="auto"/>
            <w:noWrap/>
            <w:vAlign w:val="bottom"/>
          </w:tcPr>
          <w:p w:rsidR="005C59DC" w:rsidRPr="00DC48B2" w:rsidRDefault="005C59DC" w:rsidP="005A47DC">
            <w:pPr>
              <w:jc w:val="both"/>
              <w:rPr>
                <w:color w:val="000000"/>
              </w:rPr>
            </w:pPr>
            <w:r w:rsidRPr="00DC48B2">
              <w:rPr>
                <w:color w:val="000000"/>
              </w:rPr>
              <w:t>0.446</w:t>
            </w:r>
          </w:p>
        </w:tc>
      </w:tr>
      <w:tr w:rsidR="005C59DC" w:rsidRPr="00DC48B2" w:rsidTr="005A47DC">
        <w:trPr>
          <w:trHeight w:val="285"/>
        </w:trPr>
        <w:tc>
          <w:tcPr>
            <w:tcW w:w="3937" w:type="dxa"/>
            <w:tcBorders>
              <w:top w:val="nil"/>
              <w:left w:val="single" w:sz="8" w:space="0" w:color="auto"/>
              <w:bottom w:val="nil"/>
              <w:right w:val="nil"/>
            </w:tcBorders>
            <w:shd w:val="clear" w:color="auto" w:fill="auto"/>
            <w:noWrap/>
            <w:vAlign w:val="bottom"/>
            <w:hideMark/>
          </w:tcPr>
          <w:p w:rsidR="005C59DC" w:rsidRPr="00DC48B2" w:rsidRDefault="005C59DC" w:rsidP="005A47DC">
            <w:pPr>
              <w:jc w:val="both"/>
            </w:pPr>
            <w:r w:rsidRPr="00DC48B2">
              <w:t>OS-III</w:t>
            </w:r>
          </w:p>
        </w:tc>
        <w:tc>
          <w:tcPr>
            <w:tcW w:w="2420" w:type="dxa"/>
            <w:tcBorders>
              <w:top w:val="nil"/>
              <w:left w:val="single" w:sz="8" w:space="0" w:color="auto"/>
              <w:bottom w:val="nil"/>
              <w:right w:val="single" w:sz="8" w:space="0" w:color="auto"/>
            </w:tcBorders>
            <w:shd w:val="clear" w:color="auto" w:fill="auto"/>
            <w:noWrap/>
            <w:vAlign w:val="bottom"/>
          </w:tcPr>
          <w:p w:rsidR="005C59DC" w:rsidRPr="00DC48B2" w:rsidRDefault="005C59DC" w:rsidP="005A47DC">
            <w:pPr>
              <w:jc w:val="both"/>
              <w:rPr>
                <w:color w:val="000000"/>
              </w:rPr>
            </w:pPr>
            <w:r w:rsidRPr="00DC48B2">
              <w:rPr>
                <w:color w:val="000000"/>
              </w:rPr>
              <w:t>1.290</w:t>
            </w:r>
          </w:p>
        </w:tc>
      </w:tr>
      <w:tr w:rsidR="005C59DC" w:rsidRPr="00DC48B2" w:rsidTr="005A47DC">
        <w:trPr>
          <w:trHeight w:val="285"/>
        </w:trPr>
        <w:tc>
          <w:tcPr>
            <w:tcW w:w="3937" w:type="dxa"/>
            <w:tcBorders>
              <w:top w:val="nil"/>
              <w:left w:val="single" w:sz="8" w:space="0" w:color="auto"/>
              <w:bottom w:val="nil"/>
              <w:right w:val="nil"/>
            </w:tcBorders>
            <w:shd w:val="clear" w:color="auto" w:fill="auto"/>
            <w:noWrap/>
            <w:vAlign w:val="bottom"/>
            <w:hideMark/>
          </w:tcPr>
          <w:p w:rsidR="005C59DC" w:rsidRPr="00DC48B2" w:rsidRDefault="005C59DC" w:rsidP="005A47DC">
            <w:pPr>
              <w:jc w:val="both"/>
              <w:rPr>
                <w:color w:val="000000"/>
              </w:rPr>
            </w:pPr>
            <w:r w:rsidRPr="00DC48B2">
              <w:rPr>
                <w:color w:val="000000"/>
              </w:rPr>
              <w:t> </w:t>
            </w:r>
          </w:p>
        </w:tc>
        <w:tc>
          <w:tcPr>
            <w:tcW w:w="2420" w:type="dxa"/>
            <w:tcBorders>
              <w:top w:val="nil"/>
              <w:left w:val="single" w:sz="8" w:space="0" w:color="auto"/>
              <w:bottom w:val="nil"/>
              <w:right w:val="single" w:sz="8" w:space="0" w:color="auto"/>
            </w:tcBorders>
            <w:shd w:val="clear" w:color="auto" w:fill="auto"/>
            <w:noWrap/>
            <w:vAlign w:val="bottom"/>
          </w:tcPr>
          <w:p w:rsidR="005C59DC" w:rsidRPr="00DC48B2" w:rsidRDefault="005C59DC" w:rsidP="005A47DC">
            <w:pPr>
              <w:jc w:val="both"/>
              <w:rPr>
                <w:color w:val="000000"/>
              </w:rPr>
            </w:pPr>
          </w:p>
        </w:tc>
      </w:tr>
      <w:tr w:rsidR="005C59DC" w:rsidRPr="00DC48B2" w:rsidTr="005A47DC">
        <w:trPr>
          <w:trHeight w:val="300"/>
        </w:trPr>
        <w:tc>
          <w:tcPr>
            <w:tcW w:w="3937" w:type="dxa"/>
            <w:tcBorders>
              <w:top w:val="nil"/>
              <w:left w:val="single" w:sz="8" w:space="0" w:color="auto"/>
              <w:bottom w:val="single" w:sz="8" w:space="0" w:color="auto"/>
              <w:right w:val="nil"/>
            </w:tcBorders>
            <w:shd w:val="clear" w:color="auto" w:fill="auto"/>
            <w:noWrap/>
            <w:vAlign w:val="bottom"/>
            <w:hideMark/>
          </w:tcPr>
          <w:p w:rsidR="005C59DC" w:rsidRPr="00DC48B2" w:rsidRDefault="005C59DC" w:rsidP="005A47DC">
            <w:pPr>
              <w:jc w:val="both"/>
            </w:pPr>
            <w:r w:rsidRPr="00DC48B2">
              <w:t>Total</w:t>
            </w:r>
          </w:p>
        </w:tc>
        <w:tc>
          <w:tcPr>
            <w:tcW w:w="2420" w:type="dxa"/>
            <w:tcBorders>
              <w:top w:val="nil"/>
              <w:left w:val="single" w:sz="8" w:space="0" w:color="auto"/>
              <w:bottom w:val="single" w:sz="8" w:space="0" w:color="auto"/>
              <w:right w:val="single" w:sz="8" w:space="0" w:color="auto"/>
            </w:tcBorders>
            <w:shd w:val="clear" w:color="auto" w:fill="auto"/>
            <w:noWrap/>
            <w:vAlign w:val="bottom"/>
          </w:tcPr>
          <w:p w:rsidR="005C59DC" w:rsidRPr="00DC48B2" w:rsidRDefault="005C59DC" w:rsidP="005A47DC">
            <w:pPr>
              <w:jc w:val="both"/>
              <w:rPr>
                <w:color w:val="000000"/>
              </w:rPr>
            </w:pPr>
            <w:r w:rsidRPr="00DC48B2">
              <w:rPr>
                <w:color w:val="000000"/>
              </w:rPr>
              <w:t>1.762</w:t>
            </w:r>
          </w:p>
        </w:tc>
      </w:tr>
    </w:tbl>
    <w:p w:rsidR="005C59DC" w:rsidRPr="00DC48B2" w:rsidRDefault="005C59DC" w:rsidP="005C59DC">
      <w:pPr>
        <w:spacing w:after="200" w:line="276" w:lineRule="auto"/>
        <w:ind w:left="1440" w:hanging="1440"/>
        <w:jc w:val="both"/>
        <w:rPr>
          <w:rFonts w:eastAsia="Calibri"/>
          <w:b/>
          <w:bCs/>
        </w:rPr>
      </w:pPr>
    </w:p>
    <w:p w:rsidR="005C59DC" w:rsidRPr="00DC48B2" w:rsidRDefault="00CA3721" w:rsidP="005C59DC">
      <w:pPr>
        <w:spacing w:after="200"/>
        <w:ind w:left="1440" w:hanging="1440"/>
        <w:jc w:val="both"/>
        <w:rPr>
          <w:rFonts w:eastAsia="Calibri"/>
          <w:b/>
        </w:rPr>
      </w:pPr>
      <w:r w:rsidRPr="00CA3721">
        <w:rPr>
          <w:rFonts w:eastAsia="Calibri"/>
          <w:b/>
          <w:bCs/>
        </w:rPr>
        <w:t>8.</w:t>
      </w:r>
      <w:r w:rsidR="005C59DC" w:rsidRPr="00DC48B2">
        <w:rPr>
          <w:rFonts w:eastAsia="Calibri"/>
          <w:b/>
        </w:rPr>
        <w:tab/>
      </w:r>
      <w:r>
        <w:rPr>
          <w:rFonts w:eastAsia="Calibri"/>
          <w:b/>
        </w:rPr>
        <w:t>E</w:t>
      </w:r>
      <w:r w:rsidR="005C59DC" w:rsidRPr="00DC48B2">
        <w:rPr>
          <w:rFonts w:eastAsia="Calibri"/>
          <w:b/>
        </w:rPr>
        <w:t xml:space="preserve">ffective </w:t>
      </w:r>
      <w:r>
        <w:rPr>
          <w:rFonts w:eastAsia="Calibri"/>
          <w:b/>
        </w:rPr>
        <w:t>Date of the New Environmental Cost Recovery Factors for Billing Purposes</w:t>
      </w:r>
    </w:p>
    <w:p w:rsidR="005C59DC" w:rsidRPr="00DC48B2" w:rsidRDefault="005C59DC" w:rsidP="005C59DC">
      <w:pPr>
        <w:spacing w:after="200"/>
        <w:ind w:left="1440"/>
        <w:jc w:val="both"/>
        <w:rPr>
          <w:rFonts w:eastAsia="Calibri"/>
        </w:rPr>
      </w:pPr>
      <w:r w:rsidRPr="00DC48B2">
        <w:rPr>
          <w:rFonts w:eastAsia="Calibri"/>
        </w:rPr>
        <w:t>The factors shall be effective beginning with the specified environmental cost recovery cycle and thereafter for the period January 2021 through December 2021. Billing cycles may start before January 1, 2021 and the last cycle may read after December 31, 2021, so that each customer is billed for twelve months regardless of when the adjustment factor became effective. These charges will continue in effect until modified by the Commission.</w:t>
      </w:r>
    </w:p>
    <w:p w:rsidR="005C59DC" w:rsidRPr="00DC48B2" w:rsidRDefault="005C59DC" w:rsidP="005C59DC">
      <w:pPr>
        <w:jc w:val="both"/>
      </w:pPr>
    </w:p>
    <w:p w:rsidR="005C59DC" w:rsidRPr="00DC48B2" w:rsidRDefault="00CA3721" w:rsidP="005C59DC">
      <w:pPr>
        <w:ind w:left="1440" w:hanging="1440"/>
        <w:jc w:val="both"/>
        <w:rPr>
          <w:b/>
          <w:bCs/>
        </w:rPr>
      </w:pPr>
      <w:r>
        <w:rPr>
          <w:b/>
        </w:rPr>
        <w:t>9.</w:t>
      </w:r>
      <w:r>
        <w:rPr>
          <w:b/>
        </w:rPr>
        <w:tab/>
      </w:r>
      <w:r>
        <w:rPr>
          <w:b/>
          <w:bCs/>
        </w:rPr>
        <w:t>Commission Approval</w:t>
      </w:r>
      <w:r w:rsidR="005C59DC" w:rsidRPr="00DC48B2">
        <w:rPr>
          <w:b/>
          <w:bCs/>
        </w:rPr>
        <w:t xml:space="preserve"> </w:t>
      </w:r>
      <w:r>
        <w:rPr>
          <w:b/>
          <w:bCs/>
        </w:rPr>
        <w:t>of Revised Tariffs Reflecting the Environmental Cost Recovery Amounts and Environmental Cost Recovery Factors Determined to be Appropriate in this Proceeding</w:t>
      </w:r>
    </w:p>
    <w:p w:rsidR="005C59DC" w:rsidRPr="00DC48B2" w:rsidRDefault="005C59DC" w:rsidP="005C59DC">
      <w:pPr>
        <w:jc w:val="both"/>
        <w:rPr>
          <w:b/>
          <w:bCs/>
        </w:rPr>
      </w:pPr>
    </w:p>
    <w:p w:rsidR="005C59DC" w:rsidRPr="006D1C2F" w:rsidRDefault="005C59DC" w:rsidP="005C59DC">
      <w:pPr>
        <w:ind w:left="1440" w:hanging="1440"/>
        <w:jc w:val="both"/>
        <w:rPr>
          <w:b/>
          <w:bCs/>
        </w:rPr>
      </w:pPr>
      <w:r w:rsidRPr="00DC48B2">
        <w:rPr>
          <w:bCs/>
        </w:rPr>
        <w:tab/>
        <w:t xml:space="preserve">The Commission shall approve revised tariffs reflecting the environmental cost recovery factors determined to be appropriate in this proceeding. Staff shall verify that the revised tariffs are consistent with the Commission’s decision.  </w:t>
      </w:r>
    </w:p>
    <w:p w:rsidR="005C59DC" w:rsidRDefault="005C59DC" w:rsidP="005C59DC">
      <w:pPr>
        <w:ind w:left="1440" w:hanging="1440"/>
        <w:jc w:val="both"/>
      </w:pPr>
    </w:p>
    <w:p w:rsidR="00AD2878" w:rsidRDefault="00AD2878" w:rsidP="005C59DC">
      <w:pPr>
        <w:ind w:left="1440" w:hanging="1440"/>
        <w:jc w:val="both"/>
      </w:pPr>
    </w:p>
    <w:p w:rsidR="00AD2878" w:rsidRPr="00691E49" w:rsidRDefault="00AD2878" w:rsidP="00AD2878">
      <w:pPr>
        <w:ind w:left="1440" w:hanging="1440"/>
        <w:jc w:val="both"/>
        <w:rPr>
          <w:rFonts w:eastAsia="Calibri"/>
          <w:b/>
        </w:rPr>
      </w:pPr>
      <w:r>
        <w:rPr>
          <w:rFonts w:eastAsia="Calibri"/>
          <w:b/>
        </w:rPr>
        <w:t>10</w:t>
      </w:r>
      <w:r w:rsidRPr="00691E49">
        <w:rPr>
          <w:rFonts w:eastAsia="Calibri"/>
          <w:b/>
        </w:rPr>
        <w:t>.</w:t>
      </w:r>
      <w:r w:rsidRPr="00691E49">
        <w:rPr>
          <w:rFonts w:eastAsia="Calibri"/>
        </w:rPr>
        <w:tab/>
      </w:r>
      <w:r w:rsidRPr="00691E49">
        <w:rPr>
          <w:rFonts w:eastAsia="Calibri"/>
          <w:b/>
        </w:rPr>
        <w:t>Docket to Remain Open</w:t>
      </w:r>
    </w:p>
    <w:p w:rsidR="00AD2878" w:rsidRPr="00691E49" w:rsidRDefault="00AD2878" w:rsidP="00AD2878">
      <w:pPr>
        <w:jc w:val="both"/>
        <w:rPr>
          <w:rFonts w:eastAsia="Calibri"/>
          <w:b/>
        </w:rPr>
      </w:pPr>
    </w:p>
    <w:p w:rsidR="00AD2878" w:rsidRPr="006D1C2F" w:rsidRDefault="00AD2878" w:rsidP="00AD2878">
      <w:pPr>
        <w:ind w:left="1440"/>
        <w:jc w:val="both"/>
        <w:rPr>
          <w:rFonts w:eastAsia="Calibri"/>
        </w:rPr>
      </w:pPr>
      <w:r w:rsidRPr="00691E49">
        <w:rPr>
          <w:rFonts w:eastAsia="Calibri"/>
        </w:rPr>
        <w:t>While a separate docket number is assigned each year for administrative convenience, this is a continuing docket and shall remain open.</w:t>
      </w:r>
    </w:p>
    <w:p w:rsidR="00AD2878" w:rsidRPr="00DC48B2" w:rsidRDefault="00AD2878" w:rsidP="005C59DC">
      <w:pPr>
        <w:ind w:left="1440" w:hanging="1440"/>
        <w:jc w:val="both"/>
      </w:pPr>
    </w:p>
    <w:p w:rsidR="005C59DC" w:rsidRPr="00DC48B2" w:rsidRDefault="005C59DC" w:rsidP="005C59DC">
      <w:pPr>
        <w:ind w:left="1440" w:hanging="1440"/>
        <w:jc w:val="both"/>
      </w:pPr>
    </w:p>
    <w:p w:rsidR="00AD2878" w:rsidRDefault="00AD2878" w:rsidP="005C59DC">
      <w:pPr>
        <w:ind w:left="1440" w:hanging="1440"/>
        <w:jc w:val="both"/>
        <w:rPr>
          <w:b/>
          <w:u w:val="single"/>
        </w:rPr>
      </w:pPr>
    </w:p>
    <w:p w:rsidR="00AD2878" w:rsidRDefault="00AD2878" w:rsidP="005C59DC">
      <w:pPr>
        <w:ind w:left="1440" w:hanging="1440"/>
        <w:jc w:val="both"/>
        <w:rPr>
          <w:b/>
          <w:u w:val="single"/>
        </w:rPr>
      </w:pPr>
    </w:p>
    <w:p w:rsidR="00AD2878" w:rsidRDefault="00AD2878" w:rsidP="005C59DC">
      <w:pPr>
        <w:ind w:left="1440" w:hanging="1440"/>
        <w:jc w:val="both"/>
        <w:rPr>
          <w:b/>
          <w:u w:val="single"/>
        </w:rPr>
      </w:pPr>
    </w:p>
    <w:p w:rsidR="005C59DC" w:rsidRDefault="00EF10A1" w:rsidP="005C59DC">
      <w:pPr>
        <w:ind w:left="1440" w:hanging="1440"/>
        <w:jc w:val="both"/>
        <w:rPr>
          <w:b/>
          <w:u w:val="single"/>
        </w:rPr>
      </w:pPr>
      <w:r w:rsidRPr="00EF10A1">
        <w:rPr>
          <w:b/>
          <w:u w:val="single"/>
        </w:rPr>
        <w:lastRenderedPageBreak/>
        <w:t xml:space="preserve">Company-Specific Issues </w:t>
      </w:r>
    </w:p>
    <w:p w:rsidR="00691E49" w:rsidRPr="00EF10A1" w:rsidRDefault="00691E49" w:rsidP="005C59DC">
      <w:pPr>
        <w:ind w:left="1440" w:hanging="1440"/>
        <w:jc w:val="both"/>
        <w:rPr>
          <w:b/>
          <w:u w:val="single"/>
        </w:rPr>
      </w:pPr>
    </w:p>
    <w:p w:rsidR="00EF10A1" w:rsidRPr="00DC48B2" w:rsidRDefault="00EF10A1" w:rsidP="005C59DC">
      <w:pPr>
        <w:ind w:left="1440" w:hanging="1440"/>
        <w:jc w:val="both"/>
      </w:pPr>
    </w:p>
    <w:p w:rsidR="005C59DC" w:rsidRPr="00DC48B2" w:rsidRDefault="000E7314" w:rsidP="000E7314">
      <w:pPr>
        <w:ind w:left="1440" w:hanging="1440"/>
        <w:jc w:val="center"/>
      </w:pPr>
      <w:r>
        <w:t>Duke Energy Florida, LLC</w:t>
      </w:r>
    </w:p>
    <w:p w:rsidR="005C59DC" w:rsidRPr="00DC48B2" w:rsidRDefault="005C59DC" w:rsidP="005C59DC">
      <w:pPr>
        <w:ind w:left="1440" w:hanging="1440"/>
        <w:jc w:val="both"/>
      </w:pPr>
    </w:p>
    <w:p w:rsidR="005C59DC" w:rsidRPr="00DC48B2" w:rsidRDefault="00AD2878" w:rsidP="005C59DC">
      <w:pPr>
        <w:ind w:left="1440" w:hanging="1440"/>
        <w:jc w:val="both"/>
        <w:rPr>
          <w:rFonts w:eastAsia="Calibri"/>
          <w:b/>
        </w:rPr>
      </w:pPr>
      <w:r>
        <w:rPr>
          <w:rFonts w:eastAsia="Calibri"/>
          <w:b/>
        </w:rPr>
        <w:t>11</w:t>
      </w:r>
      <w:r w:rsidR="00EF10A1" w:rsidRPr="00EF10A1">
        <w:rPr>
          <w:rFonts w:eastAsia="Calibri"/>
          <w:b/>
        </w:rPr>
        <w:t>.</w:t>
      </w:r>
      <w:r w:rsidR="005C59DC" w:rsidRPr="00DC48B2">
        <w:rPr>
          <w:rFonts w:eastAsia="Calibri"/>
        </w:rPr>
        <w:tab/>
      </w:r>
      <w:r w:rsidR="00EF10A1" w:rsidRPr="00EF10A1">
        <w:rPr>
          <w:rFonts w:eastAsia="Calibri"/>
          <w:b/>
        </w:rPr>
        <w:t xml:space="preserve">Recovery of </w:t>
      </w:r>
      <w:r w:rsidR="005C59DC" w:rsidRPr="00DC48B2">
        <w:rPr>
          <w:rFonts w:eastAsia="Calibri"/>
          <w:b/>
        </w:rPr>
        <w:t xml:space="preserve">DEF’s </w:t>
      </w:r>
      <w:r w:rsidR="00EF10A1">
        <w:rPr>
          <w:rFonts w:eastAsia="Calibri"/>
          <w:b/>
        </w:rPr>
        <w:t xml:space="preserve">Costs for </w:t>
      </w:r>
      <w:r w:rsidR="005C59DC" w:rsidRPr="00DC48B2">
        <w:rPr>
          <w:rFonts w:eastAsia="Calibri"/>
          <w:b/>
        </w:rPr>
        <w:t>Anclote and Bartow Stations 316(b) Rule Compliance Plan Projects</w:t>
      </w:r>
    </w:p>
    <w:p w:rsidR="005C59DC" w:rsidRPr="00DC48B2" w:rsidRDefault="005C59DC" w:rsidP="005C59DC">
      <w:pPr>
        <w:jc w:val="both"/>
        <w:rPr>
          <w:rFonts w:eastAsia="Calibri"/>
          <w:b/>
        </w:rPr>
      </w:pPr>
    </w:p>
    <w:p w:rsidR="005C59DC" w:rsidRPr="00E240DB" w:rsidRDefault="005C59DC" w:rsidP="005C59DC">
      <w:pPr>
        <w:pStyle w:val="xmsonormal"/>
        <w:ind w:left="1440"/>
        <w:jc w:val="both"/>
        <w:rPr>
          <w:rFonts w:ascii="Times New Roman" w:hAnsi="Times New Roman"/>
          <w:sz w:val="24"/>
          <w:szCs w:val="24"/>
        </w:rPr>
      </w:pPr>
      <w:r w:rsidRPr="00B76152">
        <w:rPr>
          <w:rFonts w:ascii="Times New Roman" w:eastAsia="Calibri" w:hAnsi="Times New Roman"/>
          <w:sz w:val="24"/>
          <w:szCs w:val="24"/>
        </w:rPr>
        <w:t>The Commission shall approve DEF’s Anclote and Bartow Stations 316(b) Rule Compliance Plan Projects for cost recovery through the Environmental Cost Recovery Clause</w:t>
      </w:r>
      <w:r>
        <w:rPr>
          <w:rFonts w:ascii="Times New Roman" w:eastAsia="Calibri" w:hAnsi="Times New Roman"/>
          <w:sz w:val="24"/>
          <w:szCs w:val="24"/>
        </w:rPr>
        <w:t>.</w:t>
      </w:r>
      <w:r w:rsidRPr="00B76152">
        <w:rPr>
          <w:rFonts w:ascii="Times New Roman" w:hAnsi="Times New Roman"/>
          <w:sz w:val="24"/>
          <w:szCs w:val="24"/>
        </w:rPr>
        <w:t xml:space="preserve"> </w:t>
      </w:r>
      <w:r w:rsidRPr="00E240DB">
        <w:rPr>
          <w:rFonts w:ascii="Times New Roman" w:hAnsi="Times New Roman"/>
          <w:sz w:val="24"/>
          <w:szCs w:val="24"/>
        </w:rPr>
        <w:t>In Order Nos. PSC-2004-0990-PAA-EI and PSC-2018-0014-FOF-EI, the Commission found that DEF’s Section 316(b) of the Clean Water Act Program (“316(b) Program”) met the criteria for recovery through the Environmental Cost Recovery Clause.  DEF’s Anclote and Bartow Stations 316(b) Compliance Plan Projects meet the criteria for recovery through the Envir</w:t>
      </w:r>
      <w:r>
        <w:rPr>
          <w:rFonts w:ascii="Times New Roman" w:hAnsi="Times New Roman"/>
          <w:sz w:val="24"/>
          <w:szCs w:val="24"/>
        </w:rPr>
        <w:t>onmental Cost Recovery Clause. </w:t>
      </w:r>
      <w:r w:rsidRPr="00E240DB">
        <w:rPr>
          <w:rFonts w:ascii="Times New Roman" w:hAnsi="Times New Roman"/>
          <w:sz w:val="24"/>
          <w:szCs w:val="24"/>
        </w:rPr>
        <w:t xml:space="preserve">DEF agrees that, after the Florida Department of Environmental Protection approves DEF’s compliance plans for Bartow and Anclote, respectively, through the issuance of the NPDES permit renewals, it will present its compliance plans, for each plant, as part of a future ECRC docket and has the burden of proving its plan and any associated costs are prudent. </w:t>
      </w:r>
    </w:p>
    <w:p w:rsidR="005C59DC" w:rsidRPr="00DC48B2" w:rsidRDefault="005C59DC" w:rsidP="005C59DC">
      <w:pPr>
        <w:spacing w:after="240"/>
        <w:jc w:val="both"/>
      </w:pPr>
    </w:p>
    <w:p w:rsidR="005C59DC" w:rsidRPr="00DC48B2" w:rsidRDefault="00AD2878" w:rsidP="005C59DC">
      <w:pPr>
        <w:ind w:left="1440" w:hanging="1440"/>
        <w:jc w:val="both"/>
        <w:rPr>
          <w:rFonts w:eastAsia="Calibri"/>
          <w:b/>
        </w:rPr>
      </w:pPr>
      <w:r>
        <w:rPr>
          <w:rFonts w:eastAsia="Calibri"/>
          <w:b/>
        </w:rPr>
        <w:t>12</w:t>
      </w:r>
      <w:r w:rsidR="00EF10A1" w:rsidRPr="00EF10A1">
        <w:rPr>
          <w:rFonts w:eastAsia="Calibri"/>
          <w:b/>
        </w:rPr>
        <w:t>.</w:t>
      </w:r>
      <w:r w:rsidR="005C59DC" w:rsidRPr="00DC48B2">
        <w:rPr>
          <w:rFonts w:eastAsia="Calibri"/>
        </w:rPr>
        <w:tab/>
      </w:r>
      <w:r w:rsidR="00EF10A1">
        <w:rPr>
          <w:rFonts w:eastAsia="Calibri"/>
          <w:b/>
        </w:rPr>
        <w:t xml:space="preserve">Allocation of </w:t>
      </w:r>
      <w:r w:rsidR="005C59DC" w:rsidRPr="00DC48B2">
        <w:rPr>
          <w:rFonts w:eastAsia="Calibri"/>
          <w:b/>
        </w:rPr>
        <w:t>Envi</w:t>
      </w:r>
      <w:r w:rsidR="00EF10A1">
        <w:rPr>
          <w:rFonts w:eastAsia="Calibri"/>
          <w:b/>
        </w:rPr>
        <w:t>ronmental Cost Recovery Clause Costs A</w:t>
      </w:r>
      <w:r w:rsidR="005C59DC" w:rsidRPr="00DC48B2">
        <w:rPr>
          <w:rFonts w:eastAsia="Calibri"/>
          <w:b/>
        </w:rPr>
        <w:t xml:space="preserve">ssociated with DEF’s Anclote and Bartow Stations 316(b) Rule Compliance Plan Projects </w:t>
      </w:r>
    </w:p>
    <w:p w:rsidR="005C59DC" w:rsidRPr="00DC48B2" w:rsidRDefault="005C59DC" w:rsidP="005C59DC">
      <w:pPr>
        <w:jc w:val="both"/>
      </w:pPr>
    </w:p>
    <w:p w:rsidR="005C59DC" w:rsidRDefault="005C59DC" w:rsidP="005C59DC">
      <w:pPr>
        <w:ind w:left="1440"/>
        <w:jc w:val="both"/>
      </w:pPr>
      <w:r w:rsidRPr="00DC48B2">
        <w:t>Consistent with Order No. PSC-2018-0014-FOF-EI by which the Commission approved the cost allocation for DEF’s 316(b) Program at Crystal River North, Capital and O&amp;M costs for the Anclote and Bartow 316(b) Programs shall be allocated on a demand basis.</w:t>
      </w:r>
    </w:p>
    <w:p w:rsidR="00691E49" w:rsidRDefault="00691E49" w:rsidP="005C59DC">
      <w:pPr>
        <w:ind w:left="1440"/>
        <w:jc w:val="both"/>
      </w:pPr>
    </w:p>
    <w:p w:rsidR="005C59DC" w:rsidRPr="004A78DF" w:rsidRDefault="005C59DC" w:rsidP="005C59DC">
      <w:pPr>
        <w:ind w:left="1440"/>
        <w:jc w:val="both"/>
      </w:pPr>
    </w:p>
    <w:p w:rsidR="005C59DC" w:rsidRPr="00DC48B2" w:rsidRDefault="005C59DC" w:rsidP="000E7314">
      <w:pPr>
        <w:ind w:left="1440" w:hanging="1440"/>
        <w:jc w:val="center"/>
        <w:rPr>
          <w:color w:val="000000"/>
        </w:rPr>
      </w:pPr>
      <w:r w:rsidRPr="00DC48B2">
        <w:rPr>
          <w:color w:val="000000"/>
        </w:rPr>
        <w:t>Flo</w:t>
      </w:r>
      <w:r w:rsidR="000E7314">
        <w:rPr>
          <w:color w:val="000000"/>
        </w:rPr>
        <w:t>rida Power &amp; Light Company</w:t>
      </w:r>
    </w:p>
    <w:p w:rsidR="005C59DC" w:rsidRPr="00DC48B2" w:rsidRDefault="005C59DC" w:rsidP="005C59DC">
      <w:pPr>
        <w:ind w:left="1440" w:hanging="1440"/>
        <w:jc w:val="both"/>
        <w:rPr>
          <w:color w:val="000000"/>
        </w:rPr>
      </w:pPr>
    </w:p>
    <w:p w:rsidR="005C59DC" w:rsidRPr="00DC48B2" w:rsidRDefault="00AD2878" w:rsidP="005C59DC">
      <w:pPr>
        <w:ind w:left="1440" w:hanging="1440"/>
        <w:jc w:val="both"/>
        <w:rPr>
          <w:rFonts w:eastAsia="Calibri"/>
          <w:b/>
        </w:rPr>
      </w:pPr>
      <w:r>
        <w:rPr>
          <w:rFonts w:eastAsia="Calibri"/>
          <w:b/>
        </w:rPr>
        <w:t>13</w:t>
      </w:r>
      <w:r w:rsidR="00EF10A1" w:rsidRPr="00EF10A1">
        <w:rPr>
          <w:rFonts w:eastAsia="Calibri"/>
          <w:b/>
        </w:rPr>
        <w:t>.</w:t>
      </w:r>
      <w:r w:rsidR="005C59DC" w:rsidRPr="00DC48B2">
        <w:rPr>
          <w:rFonts w:eastAsia="Calibri"/>
        </w:rPr>
        <w:tab/>
      </w:r>
      <w:r w:rsidR="00EF10A1" w:rsidRPr="00EF10A1">
        <w:rPr>
          <w:rFonts w:eastAsia="Calibri"/>
          <w:b/>
        </w:rPr>
        <w:t xml:space="preserve">Recovery of </w:t>
      </w:r>
      <w:r w:rsidR="005C59DC" w:rsidRPr="00DC48B2">
        <w:rPr>
          <w:rFonts w:eastAsia="Calibri"/>
          <w:b/>
        </w:rPr>
        <w:t>FPL</w:t>
      </w:r>
      <w:r w:rsidR="00EF10A1">
        <w:rPr>
          <w:rFonts w:eastAsia="Calibri"/>
          <w:b/>
        </w:rPr>
        <w:t>’s</w:t>
      </w:r>
      <w:r w:rsidR="005C59DC" w:rsidRPr="00DC48B2">
        <w:rPr>
          <w:rFonts w:eastAsia="Calibri"/>
          <w:b/>
        </w:rPr>
        <w:t xml:space="preserve"> </w:t>
      </w:r>
      <w:r w:rsidR="00EF10A1">
        <w:rPr>
          <w:rFonts w:eastAsia="Calibri"/>
          <w:b/>
        </w:rPr>
        <w:t>Costs for P</w:t>
      </w:r>
      <w:r w:rsidR="005C59DC" w:rsidRPr="00DC48B2">
        <w:rPr>
          <w:rFonts w:eastAsia="Calibri"/>
          <w:b/>
        </w:rPr>
        <w:t>roposed Power Plant I</w:t>
      </w:r>
      <w:r w:rsidR="00EF10A1">
        <w:rPr>
          <w:rFonts w:eastAsia="Calibri"/>
          <w:b/>
        </w:rPr>
        <w:t>ntake Protected Species Project</w:t>
      </w:r>
    </w:p>
    <w:p w:rsidR="005C59DC" w:rsidRPr="00DC48B2" w:rsidRDefault="005C59DC" w:rsidP="005C59DC">
      <w:pPr>
        <w:ind w:left="1440" w:hanging="1440"/>
        <w:jc w:val="both"/>
        <w:rPr>
          <w:rFonts w:eastAsia="Calibri"/>
          <w:b/>
        </w:rPr>
      </w:pPr>
    </w:p>
    <w:p w:rsidR="005C59DC" w:rsidRPr="00DC48B2" w:rsidRDefault="005C59DC" w:rsidP="005C59DC">
      <w:pPr>
        <w:spacing w:after="240"/>
        <w:ind w:left="1440"/>
        <w:jc w:val="both"/>
        <w:rPr>
          <w:rFonts w:eastAsia="Calibri"/>
        </w:rPr>
      </w:pPr>
      <w:r w:rsidRPr="00DC48B2">
        <w:rPr>
          <w:rFonts w:eastAsia="Calibri"/>
        </w:rPr>
        <w:t>FPL shall be allowed to recover, through the ECRC, prudently incurred costs associated with its proposed Power Plant Intake Protected Species Project.  Under the United States Endangered Species Act (“ESA”) (16 U.S.C. § 1531 et seq.), the Marine Mammal Protection Act (“MMPA”) (16 U.S.C. § 1361-1407) and Chapter 68A-27 of the Florida Administrative Code, FPL is required to avoid the “take” of species listed as endangered or threatened.</w:t>
      </w:r>
    </w:p>
    <w:p w:rsidR="005C59DC" w:rsidRPr="00DC48B2" w:rsidRDefault="005C59DC" w:rsidP="005C59DC">
      <w:pPr>
        <w:spacing w:after="240"/>
        <w:ind w:left="1440"/>
        <w:jc w:val="both"/>
        <w:rPr>
          <w:rFonts w:eastAsia="Calibri"/>
        </w:rPr>
      </w:pPr>
      <w:r w:rsidRPr="00DC48B2">
        <w:rPr>
          <w:rFonts w:eastAsia="Calibri"/>
        </w:rPr>
        <w:lastRenderedPageBreak/>
        <w:t>Recently, FPL power plants have had interactions with the smalltooth sawfish and the Florida manatee which are listed as an endangered and threatened species, respectively, under the ESA. FPL has received letters from NOAA Fisheries and the USFWS stating that pursuant to the ESA, FPL must undertake measures to address the unauthorized takes of these species. In order to prevent further take of the species, FPL plans to hire consultants to evaluate and recommend design solutions that will be proposed to the environmental agencies. FPL will implement the agreed upon solution.</w:t>
      </w:r>
    </w:p>
    <w:p w:rsidR="005C59DC" w:rsidRPr="00DC48B2" w:rsidRDefault="005C59DC" w:rsidP="005C59DC">
      <w:pPr>
        <w:ind w:left="1440" w:hanging="1440"/>
        <w:jc w:val="both"/>
      </w:pPr>
      <w:r w:rsidRPr="00DC48B2">
        <w:rPr>
          <w:b/>
          <w:bCs/>
        </w:rPr>
        <w:tab/>
      </w:r>
      <w:r w:rsidRPr="00DC48B2">
        <w:rPr>
          <w:bCs/>
        </w:rPr>
        <w:t xml:space="preserve">Although included in FPL’s proposal, the appropriateness of costs related to the manatee calf will be litigated in the 2021 hearing cycle.  </w:t>
      </w:r>
    </w:p>
    <w:p w:rsidR="005C59DC" w:rsidRPr="00DC48B2" w:rsidRDefault="005C59DC" w:rsidP="005C59DC">
      <w:pPr>
        <w:ind w:left="1440" w:hanging="1440"/>
        <w:jc w:val="both"/>
        <w:rPr>
          <w:rFonts w:eastAsia="Calibri"/>
        </w:rPr>
      </w:pPr>
    </w:p>
    <w:p w:rsidR="005C59DC" w:rsidRDefault="00AD2878" w:rsidP="005C59DC">
      <w:pPr>
        <w:ind w:left="1440" w:hanging="1440"/>
        <w:jc w:val="both"/>
        <w:rPr>
          <w:rFonts w:eastAsia="Calibri"/>
          <w:b/>
        </w:rPr>
      </w:pPr>
      <w:r>
        <w:rPr>
          <w:rFonts w:eastAsia="Calibri"/>
          <w:b/>
        </w:rPr>
        <w:t>14</w:t>
      </w:r>
      <w:r w:rsidR="00EF10A1" w:rsidRPr="00EF10A1">
        <w:rPr>
          <w:rFonts w:eastAsia="Calibri"/>
          <w:b/>
        </w:rPr>
        <w:t>.</w:t>
      </w:r>
      <w:r w:rsidR="005C59DC" w:rsidRPr="00DC48B2">
        <w:rPr>
          <w:rFonts w:eastAsia="Calibri"/>
        </w:rPr>
        <w:tab/>
      </w:r>
      <w:r w:rsidR="006D1C2F" w:rsidRPr="006D1C2F">
        <w:rPr>
          <w:rFonts w:eastAsia="Calibri"/>
          <w:b/>
        </w:rPr>
        <w:t xml:space="preserve">Allocation of </w:t>
      </w:r>
      <w:r w:rsidR="005C59DC" w:rsidRPr="006D1C2F">
        <w:rPr>
          <w:rFonts w:eastAsia="Calibri"/>
          <w:b/>
        </w:rPr>
        <w:t>En</w:t>
      </w:r>
      <w:r w:rsidR="005C59DC" w:rsidRPr="00DC48B2">
        <w:rPr>
          <w:rFonts w:eastAsia="Calibri"/>
          <w:b/>
        </w:rPr>
        <w:t>vi</w:t>
      </w:r>
      <w:r w:rsidR="006D1C2F">
        <w:rPr>
          <w:rFonts w:eastAsia="Calibri"/>
          <w:b/>
        </w:rPr>
        <w:t>ronmental Cost Recovery Clause Costs Associated with FPL’s P</w:t>
      </w:r>
      <w:r w:rsidR="005C59DC" w:rsidRPr="00DC48B2">
        <w:rPr>
          <w:rFonts w:eastAsia="Calibri"/>
          <w:b/>
        </w:rPr>
        <w:t>roposed Power Plant Intake Protected Species Project</w:t>
      </w:r>
    </w:p>
    <w:p w:rsidR="006D1C2F" w:rsidRPr="00DC48B2" w:rsidRDefault="006D1C2F" w:rsidP="005C59DC">
      <w:pPr>
        <w:ind w:left="1440" w:hanging="1440"/>
        <w:jc w:val="both"/>
        <w:rPr>
          <w:rFonts w:eastAsia="Calibri"/>
          <w:b/>
        </w:rPr>
      </w:pPr>
    </w:p>
    <w:p w:rsidR="005C59DC" w:rsidRPr="00DC48B2" w:rsidRDefault="005C59DC" w:rsidP="005C59DC">
      <w:pPr>
        <w:spacing w:after="240"/>
        <w:ind w:left="1440"/>
        <w:jc w:val="both"/>
      </w:pPr>
      <w:r w:rsidRPr="00DC48B2">
        <w:t>O&amp;M and Capital costs associated with FPL’s proposed Power Plant Intake Protected Species Project shall be allocated to rate classes based on 100% CP Demand.</w:t>
      </w:r>
    </w:p>
    <w:p w:rsidR="005C59DC" w:rsidRPr="00DC48B2" w:rsidRDefault="00AD2878" w:rsidP="005C59DC">
      <w:pPr>
        <w:ind w:left="1440" w:hanging="1440"/>
        <w:jc w:val="both"/>
        <w:rPr>
          <w:rFonts w:eastAsia="Calibri"/>
          <w:b/>
        </w:rPr>
      </w:pPr>
      <w:r>
        <w:rPr>
          <w:rFonts w:eastAsia="Calibri"/>
          <w:b/>
        </w:rPr>
        <w:t>15</w:t>
      </w:r>
      <w:r w:rsidR="006D1C2F">
        <w:rPr>
          <w:rFonts w:eastAsia="Calibri"/>
          <w:b/>
        </w:rPr>
        <w:t>.</w:t>
      </w:r>
      <w:r w:rsidR="006D1C2F" w:rsidRPr="006D1C2F">
        <w:rPr>
          <w:rFonts w:eastAsia="Calibri"/>
          <w:b/>
        </w:rPr>
        <w:tab/>
      </w:r>
      <w:r w:rsidR="006D1C2F">
        <w:rPr>
          <w:rFonts w:eastAsia="Calibri"/>
          <w:b/>
        </w:rPr>
        <w:t>Recovery of Costs A</w:t>
      </w:r>
      <w:r w:rsidR="005C59DC" w:rsidRPr="00DC48B2">
        <w:rPr>
          <w:rFonts w:eastAsia="Calibri"/>
          <w:b/>
        </w:rPr>
        <w:t xml:space="preserve">ssociated with </w:t>
      </w:r>
      <w:r w:rsidR="006D1C2F">
        <w:rPr>
          <w:rFonts w:eastAsia="Calibri"/>
          <w:b/>
        </w:rPr>
        <w:t>Proposed M</w:t>
      </w:r>
      <w:r w:rsidR="005C59DC" w:rsidRPr="00DC48B2">
        <w:rPr>
          <w:rFonts w:eastAsia="Calibri"/>
          <w:b/>
        </w:rPr>
        <w:t xml:space="preserve">odification to </w:t>
      </w:r>
      <w:r w:rsidR="006D1C2F">
        <w:rPr>
          <w:rFonts w:eastAsia="Calibri"/>
          <w:b/>
        </w:rPr>
        <w:t xml:space="preserve">FPL’s </w:t>
      </w:r>
      <w:r w:rsidR="005C59DC" w:rsidRPr="00DC48B2">
        <w:rPr>
          <w:rFonts w:eastAsia="Calibri"/>
          <w:b/>
        </w:rPr>
        <w:t>Turkey Point Cooling Canal Monitoring Plan Project</w:t>
      </w:r>
    </w:p>
    <w:p w:rsidR="005C59DC" w:rsidRPr="00DC48B2" w:rsidRDefault="005C59DC" w:rsidP="005C59DC">
      <w:pPr>
        <w:jc w:val="both"/>
      </w:pPr>
    </w:p>
    <w:p w:rsidR="005C59DC" w:rsidRPr="00DC48B2" w:rsidRDefault="005C59DC" w:rsidP="005C59DC">
      <w:pPr>
        <w:ind w:left="1440" w:hanging="1440"/>
        <w:jc w:val="both"/>
      </w:pPr>
      <w:r w:rsidRPr="00DC48B2">
        <w:rPr>
          <w:bCs/>
        </w:rPr>
        <w:tab/>
        <w:t xml:space="preserve">Although included in FPL’s proposal, the appropriateness of costs related to proposed modification of the Turkey Point Cooling Canal Monitoring Plan Project will be litigated in the 2021 hearing cycle.  </w:t>
      </w:r>
    </w:p>
    <w:p w:rsidR="005C59DC" w:rsidRDefault="005C59DC" w:rsidP="005C59DC">
      <w:pPr>
        <w:ind w:left="1440" w:hanging="1440"/>
        <w:jc w:val="both"/>
        <w:rPr>
          <w:bCs/>
        </w:rPr>
      </w:pPr>
    </w:p>
    <w:p w:rsidR="006D1C2F" w:rsidRDefault="006D1C2F" w:rsidP="005C59DC">
      <w:pPr>
        <w:ind w:left="1440" w:hanging="1440"/>
        <w:jc w:val="both"/>
        <w:rPr>
          <w:bCs/>
        </w:rPr>
      </w:pPr>
    </w:p>
    <w:p w:rsidR="00D413D4" w:rsidRDefault="00D413D4" w:rsidP="00D413D4">
      <w:pPr>
        <w:pStyle w:val="OrderBody"/>
      </w:pPr>
      <w:r>
        <w:tab/>
        <w:t>Based on the foregoing, it is</w:t>
      </w:r>
    </w:p>
    <w:p w:rsidR="00D413D4" w:rsidRDefault="00D413D4" w:rsidP="00D413D4">
      <w:pPr>
        <w:pStyle w:val="OrderBody"/>
      </w:pPr>
    </w:p>
    <w:p w:rsidR="00D413D4" w:rsidRDefault="00D413D4" w:rsidP="00D413D4">
      <w:pPr>
        <w:pStyle w:val="OrderBody"/>
      </w:pPr>
      <w:r>
        <w:tab/>
        <w:t>ORDERED by the Florida Pub</w:t>
      </w:r>
      <w:r w:rsidR="00691E49">
        <w:t xml:space="preserve">lic Service Commission that the </w:t>
      </w:r>
      <w:r>
        <w:t>stipulations and findings set forth in the body of this order are hereby approved.  It is further</w:t>
      </w:r>
    </w:p>
    <w:p w:rsidR="00D413D4" w:rsidRDefault="00D413D4" w:rsidP="00D413D4">
      <w:pPr>
        <w:pStyle w:val="OrderBody"/>
      </w:pPr>
    </w:p>
    <w:p w:rsidR="00D413D4" w:rsidRDefault="00D413D4" w:rsidP="00D413D4">
      <w:pPr>
        <w:pStyle w:val="OrderBody"/>
      </w:pPr>
      <w:r>
        <w:tab/>
        <w:t>ORDERED that each utility that was a party to this docket shall abide by the stipulations and findings herein which are applicable to it.  It is further</w:t>
      </w:r>
    </w:p>
    <w:p w:rsidR="00D413D4" w:rsidRDefault="00D413D4" w:rsidP="00D413D4">
      <w:pPr>
        <w:pStyle w:val="OrderBody"/>
      </w:pPr>
    </w:p>
    <w:p w:rsidR="00D413D4" w:rsidRDefault="00D413D4" w:rsidP="00D413D4">
      <w:pPr>
        <w:pStyle w:val="OrderBody"/>
      </w:pPr>
      <w:r>
        <w:tab/>
      </w:r>
      <w:r w:rsidRPr="00650AAC">
        <w:t xml:space="preserve">ORDERED that the utilities named herein are authorized to collect the environmental cost recovery amounts and use the factors approved herein beginning with the first billing cycle for </w:t>
      </w:r>
      <w:r w:rsidR="002B6B46">
        <w:t>2021</w:t>
      </w:r>
      <w:r w:rsidRPr="00650AAC">
        <w:t>. The first billing cycle may start before</w:t>
      </w:r>
      <w:r w:rsidR="002B6B46">
        <w:t xml:space="preserve"> January 1, 2021</w:t>
      </w:r>
      <w:r w:rsidRPr="00650AAC">
        <w:t>, and thereafter, the environmental cost recovery factors shall remain in effect until modified by this Commission.  It is further</w:t>
      </w:r>
      <w:r>
        <w:t xml:space="preserve"> </w:t>
      </w:r>
    </w:p>
    <w:p w:rsidR="00D413D4" w:rsidRDefault="00D413D4" w:rsidP="00D413D4">
      <w:pPr>
        <w:pStyle w:val="OrderBody"/>
      </w:pPr>
    </w:p>
    <w:p w:rsidR="00D413D4" w:rsidRDefault="00D413D4" w:rsidP="00D413D4">
      <w:pPr>
        <w:pStyle w:val="OrderBody"/>
      </w:pPr>
      <w:r>
        <w:tab/>
        <w:t xml:space="preserve">ORDERED that the </w:t>
      </w:r>
      <w:r>
        <w:rPr>
          <w:color w:val="000000"/>
        </w:rPr>
        <w:t>Environmental Cost Recovery</w:t>
      </w:r>
      <w:r>
        <w:t xml:space="preserve"> Clause docket is an on-going docket</w:t>
      </w:r>
      <w:r w:rsidR="00974D04">
        <w:t xml:space="preserve"> and shall remain open.</w:t>
      </w:r>
      <w:r>
        <w:t xml:space="preserve"> </w:t>
      </w:r>
    </w:p>
    <w:p w:rsidR="00D413D4" w:rsidRDefault="00D413D4" w:rsidP="00D413D4"/>
    <w:p w:rsidR="00D413D4" w:rsidRDefault="00D413D4" w:rsidP="00D413D4">
      <w:pPr>
        <w:keepNext/>
        <w:keepLines/>
        <w:jc w:val="both"/>
      </w:pPr>
      <w:r>
        <w:lastRenderedPageBreak/>
        <w:tab/>
        <w:t xml:space="preserve">By ORDER of the Florida Public Service Commission this </w:t>
      </w:r>
      <w:bookmarkStart w:id="5" w:name="replaceDate"/>
      <w:bookmarkEnd w:id="5"/>
      <w:r w:rsidR="00E25EC6">
        <w:rPr>
          <w:u w:val="single"/>
        </w:rPr>
        <w:t>13th</w:t>
      </w:r>
      <w:r w:rsidR="00E25EC6">
        <w:t xml:space="preserve"> day of </w:t>
      </w:r>
      <w:r w:rsidR="00E25EC6">
        <w:rPr>
          <w:u w:val="single"/>
        </w:rPr>
        <w:t>November</w:t>
      </w:r>
      <w:r w:rsidR="00E25EC6">
        <w:t xml:space="preserve">, </w:t>
      </w:r>
      <w:r w:rsidR="00E25EC6">
        <w:rPr>
          <w:u w:val="single"/>
        </w:rPr>
        <w:t>2020</w:t>
      </w:r>
      <w:r w:rsidR="00E25EC6">
        <w:t>.</w:t>
      </w:r>
    </w:p>
    <w:p w:rsidR="00E25EC6" w:rsidRPr="00E25EC6" w:rsidRDefault="00E25EC6" w:rsidP="00D413D4">
      <w:pPr>
        <w:keepNext/>
        <w:keepLines/>
        <w:jc w:val="both"/>
      </w:pPr>
    </w:p>
    <w:p w:rsidR="00D413D4" w:rsidRDefault="00D413D4" w:rsidP="00D413D4">
      <w:pPr>
        <w:keepNext/>
        <w:keepLines/>
        <w:jc w:val="both"/>
      </w:pPr>
    </w:p>
    <w:p w:rsidR="00D413D4" w:rsidRDefault="00D413D4" w:rsidP="00D413D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413D4" w:rsidTr="00D413D4">
        <w:tc>
          <w:tcPr>
            <w:tcW w:w="720" w:type="dxa"/>
            <w:shd w:val="clear" w:color="auto" w:fill="auto"/>
          </w:tcPr>
          <w:p w:rsidR="00D413D4" w:rsidRDefault="00D413D4" w:rsidP="00D413D4">
            <w:pPr>
              <w:keepNext/>
              <w:keepLines/>
              <w:jc w:val="both"/>
            </w:pPr>
            <w:bookmarkStart w:id="6" w:name="bkmrkSignature" w:colFirst="0" w:colLast="0"/>
          </w:p>
        </w:tc>
        <w:tc>
          <w:tcPr>
            <w:tcW w:w="4320" w:type="dxa"/>
            <w:tcBorders>
              <w:bottom w:val="single" w:sz="4" w:space="0" w:color="auto"/>
            </w:tcBorders>
            <w:shd w:val="clear" w:color="auto" w:fill="auto"/>
          </w:tcPr>
          <w:p w:rsidR="00D413D4" w:rsidRDefault="00F3437C" w:rsidP="00D413D4">
            <w:pPr>
              <w:keepNext/>
              <w:keepLines/>
              <w:jc w:val="both"/>
            </w:pPr>
            <w:r>
              <w:t>/s/ Adam J. Teitzman</w:t>
            </w:r>
            <w:bookmarkStart w:id="7" w:name="_GoBack"/>
            <w:bookmarkEnd w:id="7"/>
          </w:p>
        </w:tc>
      </w:tr>
      <w:bookmarkEnd w:id="6"/>
      <w:tr w:rsidR="00D413D4" w:rsidTr="00D413D4">
        <w:tc>
          <w:tcPr>
            <w:tcW w:w="720" w:type="dxa"/>
            <w:shd w:val="clear" w:color="auto" w:fill="auto"/>
          </w:tcPr>
          <w:p w:rsidR="00D413D4" w:rsidRDefault="00D413D4" w:rsidP="00D413D4">
            <w:pPr>
              <w:keepNext/>
              <w:keepLines/>
              <w:jc w:val="both"/>
            </w:pPr>
          </w:p>
        </w:tc>
        <w:tc>
          <w:tcPr>
            <w:tcW w:w="4320" w:type="dxa"/>
            <w:tcBorders>
              <w:top w:val="single" w:sz="4" w:space="0" w:color="auto"/>
            </w:tcBorders>
            <w:shd w:val="clear" w:color="auto" w:fill="auto"/>
          </w:tcPr>
          <w:p w:rsidR="00D413D4" w:rsidRDefault="00D413D4" w:rsidP="00D413D4">
            <w:pPr>
              <w:keepNext/>
              <w:keepLines/>
              <w:jc w:val="both"/>
            </w:pPr>
            <w:r>
              <w:t>ADAM J. TEITZMAN</w:t>
            </w:r>
          </w:p>
          <w:p w:rsidR="00D413D4" w:rsidRDefault="00D413D4" w:rsidP="00D413D4">
            <w:pPr>
              <w:keepNext/>
              <w:keepLines/>
              <w:jc w:val="both"/>
            </w:pPr>
            <w:r>
              <w:t>Commission Clerk</w:t>
            </w:r>
          </w:p>
        </w:tc>
      </w:tr>
    </w:tbl>
    <w:p w:rsidR="00D413D4" w:rsidRDefault="00D413D4" w:rsidP="00D413D4">
      <w:pPr>
        <w:pStyle w:val="OrderSigInfo"/>
        <w:keepNext/>
        <w:keepLines/>
      </w:pPr>
      <w:r>
        <w:t>Florida Public Service Commission</w:t>
      </w:r>
    </w:p>
    <w:p w:rsidR="00D413D4" w:rsidRDefault="00D413D4" w:rsidP="00D413D4">
      <w:pPr>
        <w:pStyle w:val="OrderSigInfo"/>
        <w:keepNext/>
        <w:keepLines/>
      </w:pPr>
      <w:r>
        <w:t>2540 Shumard Oak Boulevard</w:t>
      </w:r>
    </w:p>
    <w:p w:rsidR="00D413D4" w:rsidRDefault="00D413D4" w:rsidP="00D413D4">
      <w:pPr>
        <w:pStyle w:val="OrderSigInfo"/>
        <w:keepNext/>
        <w:keepLines/>
      </w:pPr>
      <w:r>
        <w:t>Tallahassee, Florida 32399</w:t>
      </w:r>
    </w:p>
    <w:p w:rsidR="00D413D4" w:rsidRDefault="00D413D4" w:rsidP="00D413D4">
      <w:pPr>
        <w:pStyle w:val="OrderSigInfo"/>
        <w:keepNext/>
        <w:keepLines/>
      </w:pPr>
      <w:r>
        <w:t>(850) 413</w:t>
      </w:r>
      <w:r>
        <w:noBreakHyphen/>
        <w:t>6770</w:t>
      </w:r>
    </w:p>
    <w:p w:rsidR="00D413D4" w:rsidRDefault="00D413D4" w:rsidP="00D413D4">
      <w:pPr>
        <w:pStyle w:val="OrderSigInfo"/>
        <w:keepNext/>
        <w:keepLines/>
      </w:pPr>
      <w:r>
        <w:t>www.floridapsc.com</w:t>
      </w:r>
    </w:p>
    <w:p w:rsidR="00D413D4" w:rsidRDefault="00D413D4" w:rsidP="00D413D4">
      <w:pPr>
        <w:pStyle w:val="OrderSigInfo"/>
        <w:keepNext/>
        <w:keepLines/>
      </w:pPr>
    </w:p>
    <w:p w:rsidR="00D413D4" w:rsidRDefault="00D413D4" w:rsidP="00D413D4">
      <w:pPr>
        <w:pStyle w:val="OrderSigInfo"/>
        <w:keepNext/>
        <w:keepLines/>
      </w:pPr>
      <w:r>
        <w:t>Copies furnished:  A copy of this document is provided to the parties of record at the time of issuance and, if applicable, interested persons.</w:t>
      </w:r>
    </w:p>
    <w:p w:rsidR="00D413D4" w:rsidRDefault="00D413D4" w:rsidP="00D413D4">
      <w:pPr>
        <w:pStyle w:val="OrderBody"/>
        <w:keepNext/>
        <w:keepLines/>
      </w:pPr>
    </w:p>
    <w:p w:rsidR="00D413D4" w:rsidRDefault="00D413D4" w:rsidP="00D413D4">
      <w:pPr>
        <w:keepNext/>
        <w:keepLines/>
        <w:jc w:val="both"/>
      </w:pPr>
    </w:p>
    <w:p w:rsidR="00D413D4" w:rsidRDefault="00D413D4" w:rsidP="00D413D4">
      <w:pPr>
        <w:keepNext/>
        <w:keepLines/>
        <w:jc w:val="both"/>
      </w:pPr>
      <w:r>
        <w:t>CWM</w:t>
      </w:r>
    </w:p>
    <w:p w:rsidR="00D413D4" w:rsidRDefault="00D413D4" w:rsidP="00D413D4">
      <w:pPr>
        <w:jc w:val="both"/>
      </w:pPr>
    </w:p>
    <w:p w:rsidR="00D413D4" w:rsidRDefault="00D413D4" w:rsidP="00D413D4">
      <w:pPr>
        <w:pStyle w:val="CenterUnderline"/>
      </w:pPr>
      <w:r>
        <w:t>NOTICE OF FURTHER PROCEEDINGS OR JUDICIAL REVIEW</w:t>
      </w:r>
    </w:p>
    <w:p w:rsidR="00D413D4" w:rsidRDefault="00D413D4" w:rsidP="00D413D4">
      <w:pPr>
        <w:pStyle w:val="CenterUnderline"/>
      </w:pPr>
    </w:p>
    <w:p w:rsidR="00D413D4" w:rsidRDefault="00D413D4" w:rsidP="00D413D4">
      <w:pPr>
        <w:pStyle w:val="OrderBody"/>
      </w:pPr>
    </w:p>
    <w:p w:rsidR="00D413D4" w:rsidRDefault="00D413D4" w:rsidP="00D413D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413D4" w:rsidRDefault="00D413D4" w:rsidP="00D413D4">
      <w:pPr>
        <w:pStyle w:val="OrderBody"/>
      </w:pPr>
    </w:p>
    <w:p w:rsidR="00D413D4" w:rsidRDefault="00D413D4" w:rsidP="00D413D4">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413D4" w:rsidRDefault="00D413D4" w:rsidP="00D413D4">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7DC" w:rsidRDefault="005A47DC">
      <w:r>
        <w:separator/>
      </w:r>
    </w:p>
  </w:endnote>
  <w:endnote w:type="continuationSeparator" w:id="0">
    <w:p w:rsidR="005A47DC" w:rsidRDefault="005A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7DC" w:rsidRDefault="005A47DC">
    <w:pPr>
      <w:pStyle w:val="Footer"/>
    </w:pPr>
  </w:p>
  <w:p w:rsidR="005A47DC" w:rsidRDefault="005A4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7DC" w:rsidRDefault="005A47DC">
      <w:r>
        <w:separator/>
      </w:r>
    </w:p>
  </w:footnote>
  <w:footnote w:type="continuationSeparator" w:id="0">
    <w:p w:rsidR="005A47DC" w:rsidRDefault="005A47DC">
      <w:r>
        <w:continuationSeparator/>
      </w:r>
    </w:p>
  </w:footnote>
  <w:footnote w:id="1">
    <w:p w:rsidR="005A47DC" w:rsidRDefault="005A47DC" w:rsidP="00E41B60">
      <w:pPr>
        <w:pStyle w:val="FootnoteText"/>
      </w:pPr>
      <w:r>
        <w:rPr>
          <w:rStyle w:val="FootnoteReference"/>
        </w:rPr>
        <w:footnoteRef/>
      </w:r>
      <w:r>
        <w:t xml:space="preserve"> 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7DC" w:rsidRDefault="005A47DC">
    <w:pPr>
      <w:pStyle w:val="OrderHeader"/>
    </w:pPr>
    <w:r>
      <w:t xml:space="preserve">ORDER NO. </w:t>
    </w:r>
    <w:r w:rsidR="00F3437C">
      <w:fldChar w:fldCharType="begin"/>
    </w:r>
    <w:r w:rsidR="00F3437C">
      <w:instrText xml:space="preserve"> REF OrderNo0433 </w:instrText>
    </w:r>
    <w:r w:rsidR="00F3437C">
      <w:fldChar w:fldCharType="separate"/>
    </w:r>
    <w:r w:rsidR="00F3437C">
      <w:t>PSC-2020-0433-FOF-EI</w:t>
    </w:r>
    <w:r w:rsidR="00F3437C">
      <w:fldChar w:fldCharType="end"/>
    </w:r>
  </w:p>
  <w:p w:rsidR="005A47DC" w:rsidRDefault="005A47DC">
    <w:pPr>
      <w:pStyle w:val="OrderHeader"/>
    </w:pPr>
    <w:bookmarkStart w:id="8" w:name="HeaderDocketNo"/>
    <w:bookmarkEnd w:id="8"/>
    <w:r>
      <w:t>DOCKET NO. 20200007-EI</w:t>
    </w:r>
  </w:p>
  <w:p w:rsidR="005A47DC" w:rsidRDefault="005A47D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3437C">
      <w:rPr>
        <w:rStyle w:val="PageNumber"/>
        <w:noProof/>
      </w:rPr>
      <w:t>10</w:t>
    </w:r>
    <w:r>
      <w:rPr>
        <w:rStyle w:val="PageNumber"/>
      </w:rPr>
      <w:fldChar w:fldCharType="end"/>
    </w:r>
  </w:p>
  <w:p w:rsidR="005A47DC" w:rsidRDefault="005A47DC">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7-EI"/>
  </w:docVars>
  <w:rsids>
    <w:rsidRoot w:val="00D413D4"/>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E7314"/>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0B7F"/>
    <w:rsid w:val="002170E5"/>
    <w:rsid w:val="00220D57"/>
    <w:rsid w:val="0022721A"/>
    <w:rsid w:val="00230BB9"/>
    <w:rsid w:val="00240493"/>
    <w:rsid w:val="00241CEF"/>
    <w:rsid w:val="0025124E"/>
    <w:rsid w:val="00252B30"/>
    <w:rsid w:val="002613E4"/>
    <w:rsid w:val="0026544B"/>
    <w:rsid w:val="00276CDC"/>
    <w:rsid w:val="00277655"/>
    <w:rsid w:val="002824B7"/>
    <w:rsid w:val="00282AC4"/>
    <w:rsid w:val="00293DC9"/>
    <w:rsid w:val="002A11AC"/>
    <w:rsid w:val="002A6F30"/>
    <w:rsid w:val="002B3111"/>
    <w:rsid w:val="002B6B46"/>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35D92"/>
    <w:rsid w:val="00345434"/>
    <w:rsid w:val="00347B85"/>
    <w:rsid w:val="0035495B"/>
    <w:rsid w:val="00355A93"/>
    <w:rsid w:val="00361522"/>
    <w:rsid w:val="0036435B"/>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2C94"/>
    <w:rsid w:val="004C312D"/>
    <w:rsid w:val="004D2D1B"/>
    <w:rsid w:val="004D5067"/>
    <w:rsid w:val="004D6838"/>
    <w:rsid w:val="004D72BC"/>
    <w:rsid w:val="004E469D"/>
    <w:rsid w:val="004E7F4F"/>
    <w:rsid w:val="004F2DDE"/>
    <w:rsid w:val="004F7826"/>
    <w:rsid w:val="0050097F"/>
    <w:rsid w:val="00514B1F"/>
    <w:rsid w:val="00517DF1"/>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47DC"/>
    <w:rsid w:val="005A73EA"/>
    <w:rsid w:val="005B45F7"/>
    <w:rsid w:val="005B63EA"/>
    <w:rsid w:val="005C1A88"/>
    <w:rsid w:val="005C5033"/>
    <w:rsid w:val="005C59DC"/>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1E49"/>
    <w:rsid w:val="00693483"/>
    <w:rsid w:val="006A0BF3"/>
    <w:rsid w:val="006B0036"/>
    <w:rsid w:val="006B0DA6"/>
    <w:rsid w:val="006C547E"/>
    <w:rsid w:val="006D1C2F"/>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298"/>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539D4"/>
    <w:rsid w:val="00964A38"/>
    <w:rsid w:val="00966A9D"/>
    <w:rsid w:val="0096742B"/>
    <w:rsid w:val="009718C5"/>
    <w:rsid w:val="00974D04"/>
    <w:rsid w:val="009924CF"/>
    <w:rsid w:val="00994100"/>
    <w:rsid w:val="009A6B17"/>
    <w:rsid w:val="009D4C29"/>
    <w:rsid w:val="009F1523"/>
    <w:rsid w:val="009F6AD2"/>
    <w:rsid w:val="00A00D8D"/>
    <w:rsid w:val="00A01BB6"/>
    <w:rsid w:val="00A32063"/>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D2878"/>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3721"/>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13D4"/>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60B5"/>
    <w:rsid w:val="00E07484"/>
    <w:rsid w:val="00E11351"/>
    <w:rsid w:val="00E25EC6"/>
    <w:rsid w:val="00E41B60"/>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0A1"/>
    <w:rsid w:val="00EF1482"/>
    <w:rsid w:val="00EF4621"/>
    <w:rsid w:val="00EF4D52"/>
    <w:rsid w:val="00EF6312"/>
    <w:rsid w:val="00F038B0"/>
    <w:rsid w:val="00F05F34"/>
    <w:rsid w:val="00F22B27"/>
    <w:rsid w:val="00F234A7"/>
    <w:rsid w:val="00F277B6"/>
    <w:rsid w:val="00F27DA5"/>
    <w:rsid w:val="00F3437C"/>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5C59DC"/>
  </w:style>
  <w:style w:type="paragraph" w:customStyle="1" w:styleId="xmsonormal">
    <w:name w:val="x_msonormal"/>
    <w:basedOn w:val="Normal"/>
    <w:rsid w:val="005C59DC"/>
    <w:rPr>
      <w:rFonts w:ascii="Calibri" w:eastAsiaTheme="minorHAnsi" w:hAnsi="Calibri"/>
      <w:sz w:val="22"/>
      <w:szCs w:val="22"/>
    </w:rPr>
  </w:style>
  <w:style w:type="paragraph" w:styleId="BalloonText">
    <w:name w:val="Balloon Text"/>
    <w:basedOn w:val="Normal"/>
    <w:link w:val="BalloonTextChar"/>
    <w:semiHidden/>
    <w:unhideWhenUsed/>
    <w:rsid w:val="00F3437C"/>
    <w:rPr>
      <w:rFonts w:ascii="Segoe UI" w:hAnsi="Segoe UI" w:cs="Segoe UI"/>
      <w:sz w:val="18"/>
      <w:szCs w:val="18"/>
    </w:rPr>
  </w:style>
  <w:style w:type="character" w:customStyle="1" w:styleId="BalloonTextChar">
    <w:name w:val="Balloon Text Char"/>
    <w:basedOn w:val="DefaultParagraphFont"/>
    <w:link w:val="BalloonText"/>
    <w:semiHidden/>
    <w:rsid w:val="00F343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11</Pages>
  <Words>2368</Words>
  <Characters>13503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2020-11-13T02:09:00Z</dcterms:created>
  <dcterms:modified xsi:type="dcterms:W3CDTF">2020-11-13T17:59:00Z</dcterms:modified>
</cp:coreProperties>
</file>