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C624F">
            <w:pPr>
              <w:pStyle w:val="MemoHeading"/>
            </w:pPr>
            <w:bookmarkStart w:id="1" w:name="FilingDate"/>
            <w:r>
              <w:t>November 17,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C624F" w:rsidRDefault="008C624F">
            <w:pPr>
              <w:pStyle w:val="MemoHeading"/>
            </w:pPr>
            <w:bookmarkStart w:id="2" w:name="From"/>
            <w:r>
              <w:t>Division of Economics (Coston)</w:t>
            </w:r>
          </w:p>
          <w:p w:rsidR="007C0528" w:rsidRDefault="008C624F">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C624F">
            <w:pPr>
              <w:pStyle w:val="MemoHeadingRe"/>
            </w:pPr>
            <w:bookmarkStart w:id="3" w:name="Re"/>
            <w:r>
              <w:t>Docket No. 20200227-EI – Petition for approval of a COVID-19 small business assistance program,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C624F">
            <w:pPr>
              <w:pStyle w:val="MemoHeading"/>
            </w:pPr>
            <w:bookmarkStart w:id="4" w:name="AgendaDate"/>
            <w:r>
              <w:t>12/01/20</w:t>
            </w:r>
            <w:bookmarkEnd w:id="4"/>
            <w:r w:rsidR="007C0528">
              <w:t xml:space="preserve"> – </w:t>
            </w:r>
            <w:bookmarkStart w:id="5" w:name="PermittedStatus"/>
            <w:r>
              <w:t xml:space="preserve">Regular Agenda – </w:t>
            </w:r>
            <w:r w:rsidR="00B03E59">
              <w:t xml:space="preserve">Tariff Filing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C624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C624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C624F" w:rsidP="008C624F">
            <w:pPr>
              <w:pStyle w:val="MemoHeading"/>
            </w:pPr>
            <w:bookmarkStart w:id="9" w:name="CriticalDates"/>
            <w:r>
              <w:t>12/14/20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C624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216D9" w:rsidRDefault="001D037C" w:rsidP="001C775C">
      <w:pPr>
        <w:pStyle w:val="BodyText"/>
      </w:pPr>
      <w:r>
        <w:t xml:space="preserve">On October 15, 2020, </w:t>
      </w:r>
      <w:r w:rsidR="00A94D97">
        <w:t>Florida</w:t>
      </w:r>
      <w:r>
        <w:t xml:space="preserve"> Power &amp; Light Company (FPL</w:t>
      </w:r>
      <w:r w:rsidR="00F50609">
        <w:t xml:space="preserve"> or </w:t>
      </w:r>
      <w:r w:rsidR="00B03E59">
        <w:t>utility</w:t>
      </w:r>
      <w:r>
        <w:t xml:space="preserve">) filed a petition </w:t>
      </w:r>
      <w:r w:rsidR="001216D9">
        <w:t xml:space="preserve">requesting </w:t>
      </w:r>
      <w:r w:rsidR="00A94D97">
        <w:t>approval</w:t>
      </w:r>
      <w:r w:rsidR="001216D9">
        <w:t xml:space="preserve"> of its Main Street Recovery Credit Program Rider (MSR).  The proposed tariff is designed to provide financial assistanc</w:t>
      </w:r>
      <w:r w:rsidR="00B03E59">
        <w:t>e</w:t>
      </w:r>
      <w:r w:rsidR="001216D9">
        <w:t xml:space="preserve"> to small business </w:t>
      </w:r>
      <w:r w:rsidR="00B03E59">
        <w:t xml:space="preserve">customers </w:t>
      </w:r>
      <w:r w:rsidR="001216D9">
        <w:t xml:space="preserve">impacted by </w:t>
      </w:r>
      <w:r w:rsidR="00A94D97">
        <w:t xml:space="preserve">the </w:t>
      </w:r>
      <w:r w:rsidR="001216D9" w:rsidRPr="001216D9">
        <w:t>COVID-19</w:t>
      </w:r>
      <w:r w:rsidR="00A94D97">
        <w:t xml:space="preserve"> global pandemic</w:t>
      </w:r>
      <w:r w:rsidR="001216D9">
        <w:t xml:space="preserve">. </w:t>
      </w:r>
      <w:r w:rsidR="00A94D97">
        <w:t xml:space="preserve">Specifically, the proposed tariff would allow </w:t>
      </w:r>
      <w:r w:rsidR="001C775C">
        <w:t>qualifying</w:t>
      </w:r>
      <w:r w:rsidR="00A94D97">
        <w:t xml:space="preserve"> G</w:t>
      </w:r>
      <w:r w:rsidR="00DC6E00">
        <w:t xml:space="preserve">eneral </w:t>
      </w:r>
      <w:r w:rsidR="00A94D97">
        <w:t>S</w:t>
      </w:r>
      <w:r w:rsidR="00DC6E00">
        <w:t>ervice</w:t>
      </w:r>
      <w:r w:rsidR="00A94D97">
        <w:t xml:space="preserve">, </w:t>
      </w:r>
      <w:r w:rsidR="00DC6E00">
        <w:t xml:space="preserve">General Service </w:t>
      </w:r>
      <w:r w:rsidR="00A94D97">
        <w:t>T</w:t>
      </w:r>
      <w:r w:rsidR="00DC6E00">
        <w:t>ime of Use, and</w:t>
      </w:r>
      <w:r w:rsidR="00A94D97">
        <w:t xml:space="preserve"> </w:t>
      </w:r>
      <w:r w:rsidR="00DC6E00">
        <w:t xml:space="preserve">General Service </w:t>
      </w:r>
      <w:r w:rsidR="00A94D97">
        <w:t>C</w:t>
      </w:r>
      <w:r w:rsidR="00DC6E00">
        <w:t xml:space="preserve">onstant </w:t>
      </w:r>
      <w:r w:rsidR="00A94D97">
        <w:t>U</w:t>
      </w:r>
      <w:r w:rsidR="00DC6E00">
        <w:t>sage</w:t>
      </w:r>
      <w:r w:rsidR="00A94D97">
        <w:t xml:space="preserve"> customers to </w:t>
      </w:r>
      <w:r w:rsidR="001C775C">
        <w:t>receive</w:t>
      </w:r>
      <w:r w:rsidR="00A94D97">
        <w:t xml:space="preserve"> a </w:t>
      </w:r>
      <w:r w:rsidR="00DC6E00">
        <w:t>10</w:t>
      </w:r>
      <w:r w:rsidR="00A94D97">
        <w:t xml:space="preserve"> percent credit toward their monthly bill through December</w:t>
      </w:r>
      <w:r w:rsidR="00DC6E00">
        <w:t xml:space="preserve"> 31,</w:t>
      </w:r>
      <w:r w:rsidR="00A94D97">
        <w:t xml:space="preserve"> 2021. </w:t>
      </w:r>
      <w:r w:rsidR="001216D9">
        <w:t xml:space="preserve">FPL is requesting the </w:t>
      </w:r>
      <w:r w:rsidR="00A94D97">
        <w:t>Commission</w:t>
      </w:r>
      <w:r w:rsidR="00DC6E00">
        <w:t>’s</w:t>
      </w:r>
      <w:r w:rsidR="00A94D97">
        <w:t xml:space="preserve"> </w:t>
      </w:r>
      <w:r w:rsidR="001216D9">
        <w:t xml:space="preserve">consideration on an </w:t>
      </w:r>
      <w:r w:rsidR="00A94D97">
        <w:t>expedited</w:t>
      </w:r>
      <w:r w:rsidR="001216D9">
        <w:t xml:space="preserve"> </w:t>
      </w:r>
      <w:r w:rsidR="00B03E59">
        <w:t>basis</w:t>
      </w:r>
      <w:r w:rsidR="001216D9">
        <w:t xml:space="preserve"> to allow </w:t>
      </w:r>
      <w:r w:rsidR="00DC6E00">
        <w:t>the tariff</w:t>
      </w:r>
      <w:r w:rsidR="001216D9">
        <w:t xml:space="preserve"> </w:t>
      </w:r>
      <w:r w:rsidR="001C775C">
        <w:t xml:space="preserve">to be effective </w:t>
      </w:r>
      <w:r w:rsidR="00DC6E00">
        <w:t>for</w:t>
      </w:r>
      <w:r w:rsidR="001C775C">
        <w:t xml:space="preserve"> eligible customer</w:t>
      </w:r>
      <w:r w:rsidR="008A4C1E">
        <w:t>s</w:t>
      </w:r>
      <w:r w:rsidR="001C775C">
        <w:t xml:space="preserve"> the month following approval by the Commission</w:t>
      </w:r>
      <w:r w:rsidR="001216D9">
        <w:t xml:space="preserve">. </w:t>
      </w:r>
    </w:p>
    <w:p w:rsidR="007C0528" w:rsidRDefault="001C775C" w:rsidP="00A94D97">
      <w:pPr>
        <w:jc w:val="both"/>
      </w:pPr>
      <w:r>
        <w:t>On October 16, 2020</w:t>
      </w:r>
      <w:r w:rsidR="00B21CB6">
        <w:t>,</w:t>
      </w:r>
      <w:r>
        <w:t xml:space="preserve"> FPL filed a </w:t>
      </w:r>
      <w:r w:rsidR="00DC6E00">
        <w:t>revised tariff sheet</w:t>
      </w:r>
      <w:r>
        <w:t xml:space="preserve"> </w:t>
      </w:r>
      <w:r w:rsidR="00507DFA">
        <w:t xml:space="preserve">No. 8.010, Index of Rate Schedules, </w:t>
      </w:r>
      <w:r>
        <w:t xml:space="preserve">to correct a scrivener’s error in </w:t>
      </w:r>
      <w:r w:rsidR="00DC6E00">
        <w:t>its</w:t>
      </w:r>
      <w:r>
        <w:t xml:space="preserve"> initial filing. </w:t>
      </w:r>
      <w:r w:rsidR="00A94D97">
        <w:t>The proposed Tariff Sheet No</w:t>
      </w:r>
      <w:r w:rsidR="00507DFA">
        <w:t>s</w:t>
      </w:r>
      <w:r w:rsidR="00A94D97">
        <w:t xml:space="preserve">. </w:t>
      </w:r>
      <w:r w:rsidR="00507DFA">
        <w:t>8.010</w:t>
      </w:r>
      <w:r w:rsidR="00A94D97">
        <w:t xml:space="preserve"> </w:t>
      </w:r>
      <w:r w:rsidR="00507DFA">
        <w:t xml:space="preserve">and 8.805 </w:t>
      </w:r>
      <w:r w:rsidR="00A94D97">
        <w:t xml:space="preserve">in legislative format </w:t>
      </w:r>
      <w:r w:rsidR="00507DFA">
        <w:t>are</w:t>
      </w:r>
      <w:r w:rsidR="00A94D97">
        <w:t xml:space="preserve"> shown in Attachment A to this recommendation. During the review of this petition, staff issued a data request to FPL for which responses were received on </w:t>
      </w:r>
      <w:r>
        <w:t>November</w:t>
      </w:r>
      <w:r w:rsidR="00A94D97">
        <w:t xml:space="preserve"> 4, </w:t>
      </w:r>
      <w:r w:rsidR="00A94D97">
        <w:lastRenderedPageBreak/>
        <w:t xml:space="preserve">2020. The Commission has jurisdiction over this matter </w:t>
      </w:r>
      <w:r w:rsidR="007C6F03">
        <w:t>pursuant to</w:t>
      </w:r>
      <w:r w:rsidR="00A94D97">
        <w:t xml:space="preserve"> Section</w:t>
      </w:r>
      <w:r w:rsidR="008A4C1E">
        <w:t>s</w:t>
      </w:r>
      <w:r w:rsidR="00A94D97">
        <w:t xml:space="preserve"> 366.03, 366.04, 366.05, and 366.06, Florida Statutes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C624F" w:rsidRDefault="008C624F">
      <w:pPr>
        <w:pStyle w:val="IssueHeading"/>
        <w:rPr>
          <w:vanish/>
          <w:specVanish/>
        </w:rPr>
      </w:pPr>
      <w:r w:rsidRPr="004C3641">
        <w:t xml:space="preserve">Issue </w:t>
      </w:r>
      <w:fldSimple w:instr=" SEQ Issue \* MERGEFORMAT ">
        <w:r w:rsidR="009940E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940EF">
        <w:rPr>
          <w:noProof/>
        </w:rPr>
        <w:instrText>1</w:instrText>
      </w:r>
      <w:r>
        <w:fldChar w:fldCharType="end"/>
      </w:r>
      <w:r>
        <w:tab/>
        <w:instrText xml:space="preserve">(Coston)" \l 1 </w:instrText>
      </w:r>
      <w:r>
        <w:fldChar w:fldCharType="end"/>
      </w:r>
      <w:r>
        <w:t> </w:t>
      </w:r>
    </w:p>
    <w:p w:rsidR="008C624F" w:rsidRDefault="008C624F">
      <w:pPr>
        <w:pStyle w:val="BodyText"/>
      </w:pPr>
      <w:r>
        <w:t xml:space="preserve"> Should the Commission approve FPL's </w:t>
      </w:r>
      <w:r w:rsidR="00507DFA">
        <w:t xml:space="preserve">proposed </w:t>
      </w:r>
      <w:r w:rsidR="00B03E59">
        <w:t xml:space="preserve">MSR </w:t>
      </w:r>
      <w:r w:rsidR="00507DFA">
        <w:t>t</w:t>
      </w:r>
      <w:r w:rsidR="00B03E59">
        <w:t xml:space="preserve">ariff? </w:t>
      </w:r>
    </w:p>
    <w:p w:rsidR="008C624F" w:rsidRPr="004C3641" w:rsidRDefault="008C624F">
      <w:pPr>
        <w:pStyle w:val="IssueSubsectionHeading"/>
        <w:rPr>
          <w:vanish/>
          <w:specVanish/>
        </w:rPr>
      </w:pPr>
      <w:r w:rsidRPr="004C3641">
        <w:t>Recommendation: </w:t>
      </w:r>
    </w:p>
    <w:p w:rsidR="008C624F" w:rsidRDefault="008C624F">
      <w:pPr>
        <w:pStyle w:val="BodyText"/>
      </w:pPr>
      <w:r>
        <w:t> Yes</w:t>
      </w:r>
      <w:r w:rsidR="00B03E59">
        <w:t>, t</w:t>
      </w:r>
      <w:r>
        <w:t xml:space="preserve">he Commission should approve FPL’s </w:t>
      </w:r>
      <w:r w:rsidR="001D037C">
        <w:t>proposed MSR</w:t>
      </w:r>
      <w:r>
        <w:t xml:space="preserve"> Tariff Sheet No</w:t>
      </w:r>
      <w:r w:rsidR="00507DFA">
        <w:t>s</w:t>
      </w:r>
      <w:r>
        <w:t xml:space="preserve">. </w:t>
      </w:r>
      <w:r w:rsidR="00507DFA">
        <w:t xml:space="preserve">8.010 and </w:t>
      </w:r>
      <w:r w:rsidR="001D037C">
        <w:t>8.805</w:t>
      </w:r>
      <w:r>
        <w:t xml:space="preserve">, as shown in Attachment A, effective </w:t>
      </w:r>
      <w:r w:rsidR="00107DB8">
        <w:t>January</w:t>
      </w:r>
      <w:r>
        <w:t xml:space="preserve"> 1, 202</w:t>
      </w:r>
      <w:r w:rsidR="00107DB8">
        <w:t>1</w:t>
      </w:r>
      <w:r>
        <w:t xml:space="preserve">. </w:t>
      </w:r>
      <w:r w:rsidRPr="008F7D5A">
        <w:t xml:space="preserve">The proposed </w:t>
      </w:r>
      <w:r w:rsidR="001D037C">
        <w:t>MSR</w:t>
      </w:r>
      <w:r w:rsidRPr="008F7D5A">
        <w:t xml:space="preserve"> </w:t>
      </w:r>
      <w:r w:rsidR="00341385" w:rsidRPr="008F7D5A">
        <w:t>tariff provides</w:t>
      </w:r>
      <w:r w:rsidRPr="008F7D5A">
        <w:t xml:space="preserve"> </w:t>
      </w:r>
      <w:r w:rsidR="001D037C">
        <w:t xml:space="preserve">qualifying small business customers the opportunity to receive a </w:t>
      </w:r>
      <w:r w:rsidR="00581210">
        <w:t>10</w:t>
      </w:r>
      <w:r w:rsidR="001D037C">
        <w:t xml:space="preserve"> percent monthly energy credit through December</w:t>
      </w:r>
      <w:r w:rsidR="004941B8">
        <w:t xml:space="preserve"> 31, </w:t>
      </w:r>
      <w:r w:rsidR="001D037C">
        <w:t xml:space="preserve">2021. </w:t>
      </w:r>
      <w:r>
        <w:t>(Coston)</w:t>
      </w:r>
    </w:p>
    <w:p w:rsidR="008C624F" w:rsidRPr="004C3641" w:rsidRDefault="008C624F">
      <w:pPr>
        <w:pStyle w:val="IssueSubsectionHeading"/>
        <w:rPr>
          <w:vanish/>
          <w:specVanish/>
        </w:rPr>
      </w:pPr>
      <w:r w:rsidRPr="004C3641">
        <w:t>Staff Analysis: </w:t>
      </w:r>
    </w:p>
    <w:p w:rsidR="00106AA4" w:rsidRDefault="008C624F" w:rsidP="004941B8">
      <w:pPr>
        <w:pStyle w:val="BodyText"/>
      </w:pPr>
      <w:r>
        <w:t> </w:t>
      </w:r>
      <w:r w:rsidR="008A43D9">
        <w:t>The</w:t>
      </w:r>
      <w:r w:rsidR="00106AA4">
        <w:t xml:space="preserve"> impact of the</w:t>
      </w:r>
      <w:r w:rsidR="008A43D9">
        <w:t xml:space="preserve"> COVID-19 pandemic on </w:t>
      </w:r>
      <w:r w:rsidR="00063563">
        <w:t>Florida’s</w:t>
      </w:r>
      <w:r w:rsidR="00DC6E00">
        <w:t xml:space="preserve"> economy has been broad and far-reaching</w:t>
      </w:r>
      <w:r w:rsidR="008A43D9">
        <w:t xml:space="preserve">. In </w:t>
      </w:r>
      <w:r w:rsidR="00063563">
        <w:t>response</w:t>
      </w:r>
      <w:r w:rsidR="008A43D9">
        <w:t xml:space="preserve"> to the </w:t>
      </w:r>
      <w:r w:rsidR="00063563">
        <w:t>economic</w:t>
      </w:r>
      <w:r w:rsidR="008A43D9">
        <w:t xml:space="preserve"> challenges resulting from recent events, FPL has taken various actions to assist customers </w:t>
      </w:r>
      <w:r w:rsidR="00063563">
        <w:t>affected</w:t>
      </w:r>
      <w:r w:rsidR="008A43D9">
        <w:t xml:space="preserve"> by the </w:t>
      </w:r>
      <w:r w:rsidR="00063563">
        <w:t>pandemic</w:t>
      </w:r>
      <w:r w:rsidR="008A43D9">
        <w:t xml:space="preserve"> and </w:t>
      </w:r>
      <w:r w:rsidR="00106AA4">
        <w:t>its</w:t>
      </w:r>
      <w:r w:rsidR="008A43D9">
        <w:t xml:space="preserve"> </w:t>
      </w:r>
      <w:r w:rsidR="00063563">
        <w:t xml:space="preserve">impact </w:t>
      </w:r>
      <w:r w:rsidR="00106AA4">
        <w:t>on</w:t>
      </w:r>
      <w:r w:rsidR="00063563">
        <w:t xml:space="preserve"> the economy.</w:t>
      </w:r>
      <w:r w:rsidR="008A43D9">
        <w:t xml:space="preserve"> </w:t>
      </w:r>
      <w:r w:rsidR="00063563">
        <w:t>FPL stated</w:t>
      </w:r>
      <w:r w:rsidR="00106AA4">
        <w:t xml:space="preserve"> that it took</w:t>
      </w:r>
      <w:r w:rsidR="00063563">
        <w:t xml:space="preserve"> m</w:t>
      </w:r>
      <w:r w:rsidR="00414D7F" w:rsidRPr="008A43D9">
        <w:t>any measures and initiatives at the onset of the pandemic</w:t>
      </w:r>
      <w:r w:rsidR="00106AA4">
        <w:t xml:space="preserve"> to address the needs of its customers</w:t>
      </w:r>
      <w:r w:rsidR="00414D7F" w:rsidRPr="008A43D9">
        <w:t xml:space="preserve"> and</w:t>
      </w:r>
      <w:r w:rsidR="00063563">
        <w:t xml:space="preserve"> continues to evaluate opportunities</w:t>
      </w:r>
      <w:r w:rsidR="00106AA4">
        <w:t xml:space="preserve"> </w:t>
      </w:r>
      <w:r w:rsidR="00DC6E00">
        <w:t>to provide</w:t>
      </w:r>
      <w:r w:rsidR="00106AA4">
        <w:t xml:space="preserve"> additional support</w:t>
      </w:r>
      <w:r w:rsidR="00414D7F" w:rsidRPr="008A43D9">
        <w:t xml:space="preserve">. </w:t>
      </w:r>
    </w:p>
    <w:p w:rsidR="00F50609" w:rsidRDefault="00F50609" w:rsidP="00414D7F">
      <w:pPr>
        <w:autoSpaceDE w:val="0"/>
        <w:autoSpaceDN w:val="0"/>
        <w:adjustRightInd w:val="0"/>
        <w:jc w:val="both"/>
      </w:pPr>
      <w:r>
        <w:t>T</w:t>
      </w:r>
      <w:r w:rsidR="00063563">
        <w:t xml:space="preserve">he </w:t>
      </w:r>
      <w:r w:rsidR="00B03E59">
        <w:t>utility</w:t>
      </w:r>
      <w:r w:rsidR="00063563">
        <w:t xml:space="preserve"> note</w:t>
      </w:r>
      <w:r w:rsidR="007412B0">
        <w:t>d</w:t>
      </w:r>
      <w:r w:rsidR="00063563">
        <w:t xml:space="preserve"> that </w:t>
      </w:r>
      <w:r w:rsidR="00414D7F" w:rsidRPr="008A43D9">
        <w:t xml:space="preserve">certain segments of its small business customer population, especially those in underserved and lower income communities, have been impacted by the COVID-19 pandemic due to </w:t>
      </w:r>
      <w:r w:rsidR="00063563">
        <w:t>required long-term closures and r</w:t>
      </w:r>
      <w:r>
        <w:t>eductions of</w:t>
      </w:r>
      <w:r w:rsidR="00063563">
        <w:t xml:space="preserve"> in-person </w:t>
      </w:r>
      <w:r>
        <w:t>patronage</w:t>
      </w:r>
      <w:r w:rsidR="00063563">
        <w:t>.</w:t>
      </w:r>
      <w:r w:rsidR="00106AA4">
        <w:t xml:space="preserve"> </w:t>
      </w:r>
      <w:r w:rsidR="007412B0">
        <w:t>In</w:t>
      </w:r>
      <w:r>
        <w:t xml:space="preserve"> an effort to provide financial assistance to its small business customers, </w:t>
      </w:r>
      <w:r w:rsidR="00B03E59">
        <w:t>FPL</w:t>
      </w:r>
      <w:r>
        <w:t xml:space="preserve"> </w:t>
      </w:r>
      <w:r w:rsidR="007412B0">
        <w:t>propose</w:t>
      </w:r>
      <w:r w:rsidR="00106AA4">
        <w:t>d</w:t>
      </w:r>
      <w:r w:rsidR="007412B0">
        <w:t xml:space="preserve"> a new initiative, the Main Street Recovery Credit</w:t>
      </w:r>
      <w:r w:rsidR="008F7724">
        <w:t xml:space="preserve"> </w:t>
      </w:r>
      <w:r w:rsidR="007412B0">
        <w:t>program. FPL stated that this new program would provide assistance to small business</w:t>
      </w:r>
      <w:r w:rsidR="00520C78">
        <w:t>es</w:t>
      </w:r>
      <w:r w:rsidR="007412B0">
        <w:t xml:space="preserve"> that may be most impacted by the economic effects of the pandemic. In addition, this program is designed to augment the objectives of </w:t>
      </w:r>
      <w:r w:rsidR="00520C78">
        <w:t>the utility</w:t>
      </w:r>
      <w:r w:rsidR="007412B0">
        <w:t xml:space="preserve">’s current economic development tariffs, which are designed for its medium-to-large business customers. </w:t>
      </w:r>
    </w:p>
    <w:p w:rsidR="007412B0" w:rsidRDefault="007412B0" w:rsidP="00414D7F">
      <w:pPr>
        <w:autoSpaceDE w:val="0"/>
        <w:autoSpaceDN w:val="0"/>
        <w:adjustRightInd w:val="0"/>
        <w:jc w:val="both"/>
      </w:pPr>
    </w:p>
    <w:p w:rsidR="008F7724" w:rsidRPr="008F7724" w:rsidRDefault="00581210" w:rsidP="008F7724">
      <w:pPr>
        <w:autoSpaceDE w:val="0"/>
        <w:autoSpaceDN w:val="0"/>
        <w:adjustRightInd w:val="0"/>
        <w:jc w:val="both"/>
      </w:pPr>
      <w:r>
        <w:t>T</w:t>
      </w:r>
      <w:r w:rsidR="008F7724">
        <w:t xml:space="preserve">his program will offer </w:t>
      </w:r>
      <w:r w:rsidR="002E0361">
        <w:t>qualifying</w:t>
      </w:r>
      <w:r w:rsidR="008F7724">
        <w:t xml:space="preserve"> customers a</w:t>
      </w:r>
      <w:r w:rsidR="00DC6E00">
        <w:t xml:space="preserve"> 10</w:t>
      </w:r>
      <w:r w:rsidR="008F7724">
        <w:t xml:space="preserve"> percent energy charge credit on </w:t>
      </w:r>
      <w:r>
        <w:t>their</w:t>
      </w:r>
      <w:r w:rsidR="008F7724">
        <w:t xml:space="preserve"> bill each month through December 2021. To qualify, a customer must receive service under the General Service, General Service Time of Use, or General Service Constant Usage rate schedule</w:t>
      </w:r>
      <w:r w:rsidR="002E0361">
        <w:t xml:space="preserve">; </w:t>
      </w:r>
      <w:r w:rsidR="008F7724">
        <w:t xml:space="preserve">not exceed a </w:t>
      </w:r>
      <w:r w:rsidR="002E0361">
        <w:t>monthly</w:t>
      </w:r>
      <w:r w:rsidR="008F7724">
        <w:t xml:space="preserve"> demand of 21 kilowatts; and meet </w:t>
      </w:r>
      <w:r w:rsidR="008F7724" w:rsidRPr="008F7724">
        <w:rPr>
          <w:b/>
          <w:i/>
        </w:rPr>
        <w:t>one</w:t>
      </w:r>
      <w:r w:rsidR="008F7724">
        <w:t xml:space="preserve"> of the following </w:t>
      </w:r>
      <w:r w:rsidR="002E0361">
        <w:t>criteria</w:t>
      </w:r>
      <w:r w:rsidR="008F7724">
        <w:t xml:space="preserve">: </w:t>
      </w:r>
    </w:p>
    <w:p w:rsidR="008F7724" w:rsidRPr="008F7724" w:rsidRDefault="008F7724" w:rsidP="008F7724">
      <w:pPr>
        <w:pStyle w:val="ListParagraph"/>
        <w:autoSpaceDE w:val="0"/>
        <w:autoSpaceDN w:val="0"/>
        <w:adjustRightInd w:val="0"/>
        <w:ind w:left="990" w:right="720"/>
        <w:jc w:val="both"/>
      </w:pPr>
    </w:p>
    <w:p w:rsidR="008F7724" w:rsidRDefault="008F7724" w:rsidP="002E0361">
      <w:pPr>
        <w:pStyle w:val="ListParagraph"/>
        <w:numPr>
          <w:ilvl w:val="0"/>
          <w:numId w:val="11"/>
        </w:numPr>
        <w:autoSpaceDE w:val="0"/>
        <w:autoSpaceDN w:val="0"/>
        <w:adjustRightInd w:val="0"/>
        <w:ind w:left="1080" w:right="720"/>
        <w:jc w:val="both"/>
      </w:pPr>
      <w:r>
        <w:t>The customer resume</w:t>
      </w:r>
      <w:r w:rsidR="00186E1F">
        <w:t>s</w:t>
      </w:r>
      <w:r>
        <w:t xml:space="preserve"> business operations in a space that was previously inoperative for a minimum of six months; or</w:t>
      </w:r>
    </w:p>
    <w:p w:rsidR="002E0361" w:rsidRDefault="002E0361" w:rsidP="002E0361">
      <w:pPr>
        <w:pStyle w:val="ListParagraph"/>
        <w:autoSpaceDE w:val="0"/>
        <w:autoSpaceDN w:val="0"/>
        <w:adjustRightInd w:val="0"/>
        <w:ind w:left="1080" w:right="720" w:hanging="360"/>
        <w:jc w:val="both"/>
      </w:pPr>
    </w:p>
    <w:p w:rsidR="008F7724" w:rsidRDefault="008F7724" w:rsidP="002E0361">
      <w:pPr>
        <w:pStyle w:val="ListParagraph"/>
        <w:numPr>
          <w:ilvl w:val="0"/>
          <w:numId w:val="11"/>
        </w:numPr>
        <w:autoSpaceDE w:val="0"/>
        <w:autoSpaceDN w:val="0"/>
        <w:adjustRightInd w:val="0"/>
        <w:ind w:left="1080" w:right="720"/>
        <w:jc w:val="both"/>
      </w:pPr>
      <w:r>
        <w:t>The customer is a new business account; or</w:t>
      </w:r>
    </w:p>
    <w:p w:rsidR="002E0361" w:rsidRDefault="002E0361" w:rsidP="002E0361">
      <w:pPr>
        <w:pStyle w:val="ListParagraph"/>
        <w:ind w:left="1080" w:hanging="360"/>
      </w:pPr>
    </w:p>
    <w:p w:rsidR="008F7724" w:rsidRDefault="008F7724" w:rsidP="002E0361">
      <w:pPr>
        <w:pStyle w:val="ListParagraph"/>
        <w:numPr>
          <w:ilvl w:val="0"/>
          <w:numId w:val="11"/>
        </w:numPr>
        <w:autoSpaceDE w:val="0"/>
        <w:autoSpaceDN w:val="0"/>
        <w:adjustRightInd w:val="0"/>
        <w:ind w:left="1080" w:right="720"/>
        <w:jc w:val="both"/>
      </w:pPr>
      <w:r>
        <w:t>The customer is located in an “Opportunity Zone,” as</w:t>
      </w:r>
      <w:r w:rsidR="002E0361">
        <w:t xml:space="preserve"> </w:t>
      </w:r>
      <w:r>
        <w:t>defined by the U.S. Department of the Treasury.</w:t>
      </w:r>
    </w:p>
    <w:p w:rsidR="005E6F37" w:rsidRDefault="005E6F37" w:rsidP="005E6F37">
      <w:pPr>
        <w:pStyle w:val="ListParagraph"/>
      </w:pPr>
    </w:p>
    <w:p w:rsidR="00F237A1" w:rsidRDefault="0072431E" w:rsidP="005E6F37">
      <w:pPr>
        <w:autoSpaceDE w:val="0"/>
        <w:autoSpaceDN w:val="0"/>
        <w:adjustRightInd w:val="0"/>
        <w:jc w:val="both"/>
        <w:rPr>
          <w:sz w:val="23"/>
          <w:szCs w:val="23"/>
        </w:rPr>
      </w:pPr>
      <w:r>
        <w:t>FPL</w:t>
      </w:r>
      <w:r w:rsidR="0033779E">
        <w:t xml:space="preserve"> </w:t>
      </w:r>
      <w:r w:rsidR="00B21CB6">
        <w:t xml:space="preserve">considered several </w:t>
      </w:r>
      <w:r w:rsidR="00106AA4">
        <w:t>factors when</w:t>
      </w:r>
      <w:r>
        <w:t xml:space="preserve"> developing the qualification</w:t>
      </w:r>
      <w:r w:rsidR="00F237A1">
        <w:t xml:space="preserve"> criteria</w:t>
      </w:r>
      <w:r>
        <w:t xml:space="preserve"> for the program. </w:t>
      </w:r>
      <w:r w:rsidR="00F237A1">
        <w:t xml:space="preserve">In </w:t>
      </w:r>
      <w:r w:rsidR="00581210">
        <w:t>determining</w:t>
      </w:r>
      <w:r w:rsidR="00F237A1">
        <w:t xml:space="preserve"> </w:t>
      </w:r>
      <w:r w:rsidR="00581210">
        <w:t xml:space="preserve">the </w:t>
      </w:r>
      <w:r w:rsidR="00F237A1">
        <w:t>closure impact</w:t>
      </w:r>
      <w:r w:rsidR="00B21CB6">
        <w:t xml:space="preserve"> qualification</w:t>
      </w:r>
      <w:r w:rsidR="00F237A1">
        <w:t xml:space="preserve">, the </w:t>
      </w:r>
      <w:r w:rsidR="00520C78">
        <w:t>utility</w:t>
      </w:r>
      <w:r w:rsidR="00F237A1">
        <w:t xml:space="preserve"> noted that m</w:t>
      </w:r>
      <w:r w:rsidR="0033779E">
        <w:t xml:space="preserve">ost small businesses were required to shut down </w:t>
      </w:r>
      <w:r w:rsidR="00F237A1">
        <w:t>in</w:t>
      </w:r>
      <w:r w:rsidR="0033779E">
        <w:t xml:space="preserve"> </w:t>
      </w:r>
      <w:r w:rsidR="00F237A1">
        <w:t>the March</w:t>
      </w:r>
      <w:r w:rsidR="00106AA4">
        <w:t>/</w:t>
      </w:r>
      <w:r w:rsidR="00F237A1">
        <w:t>April time-frame</w:t>
      </w:r>
      <w:r w:rsidR="0033779E">
        <w:t xml:space="preserve"> </w:t>
      </w:r>
      <w:r w:rsidR="00106AA4">
        <w:t xml:space="preserve">and </w:t>
      </w:r>
      <w:r>
        <w:t>remained</w:t>
      </w:r>
      <w:r w:rsidR="0033779E">
        <w:t xml:space="preserve"> close</w:t>
      </w:r>
      <w:r w:rsidR="00186E1F">
        <w:t>d</w:t>
      </w:r>
      <w:r w:rsidR="0033779E">
        <w:t xml:space="preserve"> until at least September, demonstrating a</w:t>
      </w:r>
      <w:r w:rsidR="00106AA4">
        <w:t>n approximate</w:t>
      </w:r>
      <w:r w:rsidR="0033779E">
        <w:t xml:space="preserve"> </w:t>
      </w:r>
      <w:r w:rsidR="0033779E">
        <w:rPr>
          <w:sz w:val="23"/>
          <w:szCs w:val="23"/>
        </w:rPr>
        <w:t>six-month</w:t>
      </w:r>
      <w:r w:rsidR="00581210">
        <w:rPr>
          <w:sz w:val="23"/>
          <w:szCs w:val="23"/>
        </w:rPr>
        <w:t xml:space="preserve"> </w:t>
      </w:r>
      <w:r w:rsidR="0033779E">
        <w:rPr>
          <w:sz w:val="23"/>
          <w:szCs w:val="23"/>
        </w:rPr>
        <w:t>closure</w:t>
      </w:r>
      <w:r w:rsidR="00106AA4">
        <w:rPr>
          <w:sz w:val="23"/>
          <w:szCs w:val="23"/>
        </w:rPr>
        <w:t xml:space="preserve"> period</w:t>
      </w:r>
      <w:r w:rsidR="00581210">
        <w:rPr>
          <w:sz w:val="23"/>
          <w:szCs w:val="23"/>
        </w:rPr>
        <w:t>.</w:t>
      </w:r>
      <w:r w:rsidR="00F237A1">
        <w:rPr>
          <w:sz w:val="23"/>
          <w:szCs w:val="23"/>
        </w:rPr>
        <w:t xml:space="preserve"> Staff </w:t>
      </w:r>
      <w:r w:rsidR="00581210">
        <w:rPr>
          <w:sz w:val="23"/>
          <w:szCs w:val="23"/>
        </w:rPr>
        <w:t>believes</w:t>
      </w:r>
      <w:r w:rsidR="00F237A1">
        <w:rPr>
          <w:sz w:val="23"/>
          <w:szCs w:val="23"/>
        </w:rPr>
        <w:t xml:space="preserve"> FPL</w:t>
      </w:r>
      <w:r w:rsidR="00581210">
        <w:rPr>
          <w:sz w:val="23"/>
          <w:szCs w:val="23"/>
        </w:rPr>
        <w:t>’s</w:t>
      </w:r>
      <w:r w:rsidR="00F237A1">
        <w:rPr>
          <w:sz w:val="23"/>
          <w:szCs w:val="23"/>
        </w:rPr>
        <w:t xml:space="preserve"> six-month approach is reasonable given the impact of the pandemic</w:t>
      </w:r>
      <w:r w:rsidR="00F53F41">
        <w:rPr>
          <w:sz w:val="23"/>
          <w:szCs w:val="23"/>
        </w:rPr>
        <w:t>;</w:t>
      </w:r>
      <w:r w:rsidR="00F237A1">
        <w:rPr>
          <w:sz w:val="23"/>
          <w:szCs w:val="23"/>
        </w:rPr>
        <w:t xml:space="preserve"> however, the </w:t>
      </w:r>
      <w:r w:rsidR="00520C78">
        <w:rPr>
          <w:sz w:val="23"/>
          <w:szCs w:val="23"/>
        </w:rPr>
        <w:t>utility</w:t>
      </w:r>
      <w:r w:rsidR="00F237A1">
        <w:rPr>
          <w:sz w:val="23"/>
          <w:szCs w:val="23"/>
        </w:rPr>
        <w:t xml:space="preserve"> stated </w:t>
      </w:r>
      <w:r w:rsidR="00581210">
        <w:rPr>
          <w:sz w:val="23"/>
          <w:szCs w:val="23"/>
        </w:rPr>
        <w:t>that</w:t>
      </w:r>
      <w:r w:rsidR="00F237A1">
        <w:rPr>
          <w:sz w:val="23"/>
          <w:szCs w:val="23"/>
        </w:rPr>
        <w:t xml:space="preserve"> it is not opposed to considering additional time </w:t>
      </w:r>
      <w:r w:rsidR="00581210">
        <w:rPr>
          <w:sz w:val="23"/>
          <w:szCs w:val="23"/>
        </w:rPr>
        <w:t>parameters.</w:t>
      </w:r>
      <w:r w:rsidR="00106AA4">
        <w:rPr>
          <w:rStyle w:val="FootnoteReference"/>
          <w:sz w:val="23"/>
          <w:szCs w:val="23"/>
        </w:rPr>
        <w:footnoteReference w:id="1"/>
      </w:r>
      <w:r w:rsidR="00F237A1">
        <w:rPr>
          <w:sz w:val="23"/>
          <w:szCs w:val="23"/>
        </w:rPr>
        <w:t xml:space="preserve"> In addition, the </w:t>
      </w:r>
      <w:r w:rsidR="00520C78">
        <w:rPr>
          <w:sz w:val="23"/>
          <w:szCs w:val="23"/>
        </w:rPr>
        <w:t>utility</w:t>
      </w:r>
      <w:r w:rsidR="00F237A1">
        <w:rPr>
          <w:sz w:val="23"/>
          <w:szCs w:val="23"/>
        </w:rPr>
        <w:t xml:space="preserve"> </w:t>
      </w:r>
      <w:r w:rsidR="00F237A1">
        <w:t xml:space="preserve">believes the </w:t>
      </w:r>
      <w:r w:rsidR="00F237A1">
        <w:lastRenderedPageBreak/>
        <w:t xml:space="preserve">economic impact of the pandemic has increased the challenges of opening new small businesses, and allowing new customers to qualify for the program </w:t>
      </w:r>
      <w:r w:rsidR="00186E1F">
        <w:t>would</w:t>
      </w:r>
      <w:r w:rsidR="00F237A1">
        <w:t xml:space="preserve"> </w:t>
      </w:r>
      <w:r w:rsidR="00F237A1">
        <w:rPr>
          <w:sz w:val="23"/>
          <w:szCs w:val="23"/>
        </w:rPr>
        <w:t>support their development and expansion</w:t>
      </w:r>
      <w:r w:rsidR="00581210">
        <w:rPr>
          <w:sz w:val="23"/>
          <w:szCs w:val="23"/>
        </w:rPr>
        <w:t>.</w:t>
      </w:r>
      <w:r w:rsidR="00F237A1">
        <w:rPr>
          <w:rStyle w:val="FootnoteReference"/>
          <w:sz w:val="23"/>
          <w:szCs w:val="23"/>
        </w:rPr>
        <w:footnoteReference w:id="2"/>
      </w:r>
    </w:p>
    <w:p w:rsidR="00F237A1" w:rsidRDefault="00F237A1" w:rsidP="005E6F37">
      <w:pPr>
        <w:autoSpaceDE w:val="0"/>
        <w:autoSpaceDN w:val="0"/>
        <w:adjustRightInd w:val="0"/>
        <w:jc w:val="both"/>
      </w:pPr>
    </w:p>
    <w:p w:rsidR="005E6F37" w:rsidRDefault="00186E1F" w:rsidP="005E6F37">
      <w:pPr>
        <w:autoSpaceDE w:val="0"/>
        <w:autoSpaceDN w:val="0"/>
        <w:adjustRightInd w:val="0"/>
        <w:jc w:val="both"/>
      </w:pPr>
      <w:r>
        <w:t xml:space="preserve">Additionally, </w:t>
      </w:r>
      <w:r w:rsidR="005E6F37">
        <w:t xml:space="preserve">FPL </w:t>
      </w:r>
      <w:r w:rsidR="0072431E">
        <w:t>noted</w:t>
      </w:r>
      <w:r w:rsidR="005E6F37">
        <w:t xml:space="preserve"> that Opportunity Zones are designated by the U.S. Department of the Treasury</w:t>
      </w:r>
      <w:r w:rsidR="005E6F37" w:rsidRPr="005E6F37">
        <w:t>, pursuant to the Opportunity Zone Program, which was created by the Federal Tax Cuts and Jobs Act of 2017</w:t>
      </w:r>
      <w:r w:rsidR="005E6F37">
        <w:t>. This program is designed</w:t>
      </w:r>
      <w:r w:rsidR="005E6F37" w:rsidRPr="005E6F37">
        <w:t xml:space="preserve"> to encourage businesses, developers and financial institutions to invest long-term capital in low-income census tract areas.</w:t>
      </w:r>
      <w:r w:rsidR="005E6F37">
        <w:t xml:space="preserve"> </w:t>
      </w:r>
      <w:r w:rsidR="005E6F37" w:rsidRPr="005E6F37">
        <w:t>FPL stated that there are approximately 170,000 qualifying customers operating in Opportunity Zones within its service territory.</w:t>
      </w:r>
      <w:r w:rsidR="005E6F37">
        <w:rPr>
          <w:rStyle w:val="FootnoteReference"/>
        </w:rPr>
        <w:footnoteReference w:id="3"/>
      </w:r>
    </w:p>
    <w:p w:rsidR="002E0361" w:rsidRDefault="002E0361" w:rsidP="005E6F37">
      <w:pPr>
        <w:pStyle w:val="ListParagraph"/>
        <w:tabs>
          <w:tab w:val="left" w:pos="9360"/>
        </w:tabs>
        <w:ind w:left="0"/>
      </w:pPr>
    </w:p>
    <w:p w:rsidR="00066E0A" w:rsidRDefault="00581210" w:rsidP="005E6F37">
      <w:pPr>
        <w:tabs>
          <w:tab w:val="left" w:pos="8649"/>
          <w:tab w:val="left" w:pos="9180"/>
          <w:tab w:val="left" w:pos="9360"/>
        </w:tabs>
        <w:autoSpaceDE w:val="0"/>
        <w:autoSpaceDN w:val="0"/>
        <w:adjustRightInd w:val="0"/>
        <w:jc w:val="both"/>
      </w:pPr>
      <w:r>
        <w:t>To enroll</w:t>
      </w:r>
      <w:r w:rsidR="00186E1F">
        <w:t xml:space="preserve"> in the program</w:t>
      </w:r>
      <w:r>
        <w:t xml:space="preserve">, a </w:t>
      </w:r>
      <w:r w:rsidR="00405AFA">
        <w:t>qualifying</w:t>
      </w:r>
      <w:r w:rsidR="002E0361">
        <w:t xml:space="preserve"> customer </w:t>
      </w:r>
      <w:r>
        <w:t>would</w:t>
      </w:r>
      <w:r w:rsidR="002E0361">
        <w:t xml:space="preserve"> submit an application</w:t>
      </w:r>
      <w:r>
        <w:t xml:space="preserve"> request</w:t>
      </w:r>
      <w:r w:rsidR="002E0361">
        <w:t xml:space="preserve"> at any point </w:t>
      </w:r>
      <w:r w:rsidR="00186E1F">
        <w:t>prior to December 2021</w:t>
      </w:r>
      <w:r w:rsidR="002E0361">
        <w:t xml:space="preserve">. </w:t>
      </w:r>
      <w:r w:rsidR="00066E0A">
        <w:t>FPL would notify potential customers about the program through its traditional communication protocol, which includes</w:t>
      </w:r>
      <w:r w:rsidR="00066E0A" w:rsidRPr="00066E0A">
        <w:t xml:space="preserve"> e-newsletter</w:t>
      </w:r>
      <w:r w:rsidR="00066E0A">
        <w:t>s</w:t>
      </w:r>
      <w:r w:rsidR="00066E0A" w:rsidRPr="00066E0A">
        <w:t>, social media and</w:t>
      </w:r>
      <w:r w:rsidR="00066E0A">
        <w:t xml:space="preserve"> its</w:t>
      </w:r>
      <w:r w:rsidR="00066E0A" w:rsidRPr="00066E0A">
        <w:t xml:space="preserve"> website. </w:t>
      </w:r>
      <w:r w:rsidR="00066E0A">
        <w:t xml:space="preserve">In addition, the utility would execute </w:t>
      </w:r>
      <w:r w:rsidR="00066E0A" w:rsidRPr="00066E0A">
        <w:t>target</w:t>
      </w:r>
      <w:r w:rsidR="00066E0A">
        <w:t>ed</w:t>
      </w:r>
      <w:r w:rsidR="00066E0A" w:rsidRPr="00066E0A">
        <w:t xml:space="preserve"> communications to small businesses in </w:t>
      </w:r>
      <w:r w:rsidR="00066E0A">
        <w:t xml:space="preserve">its </w:t>
      </w:r>
      <w:r w:rsidR="00066E0A" w:rsidRPr="00066E0A">
        <w:t>Opportunity Zones</w:t>
      </w:r>
      <w:r w:rsidR="00066E0A">
        <w:t>.</w:t>
      </w:r>
    </w:p>
    <w:p w:rsidR="00066E0A" w:rsidRDefault="00066E0A" w:rsidP="005E6F37">
      <w:pPr>
        <w:tabs>
          <w:tab w:val="left" w:pos="8649"/>
          <w:tab w:val="left" w:pos="9180"/>
          <w:tab w:val="left" w:pos="9360"/>
        </w:tabs>
        <w:autoSpaceDE w:val="0"/>
        <w:autoSpaceDN w:val="0"/>
        <w:adjustRightInd w:val="0"/>
        <w:jc w:val="both"/>
      </w:pPr>
    </w:p>
    <w:p w:rsidR="006324D4" w:rsidRDefault="002E0361" w:rsidP="005E6F37">
      <w:pPr>
        <w:tabs>
          <w:tab w:val="left" w:pos="8649"/>
          <w:tab w:val="left" w:pos="9180"/>
          <w:tab w:val="left" w:pos="9360"/>
        </w:tabs>
        <w:autoSpaceDE w:val="0"/>
        <w:autoSpaceDN w:val="0"/>
        <w:adjustRightInd w:val="0"/>
        <w:jc w:val="both"/>
        <w:rPr>
          <w:sz w:val="23"/>
          <w:szCs w:val="23"/>
        </w:rPr>
      </w:pPr>
      <w:r>
        <w:t xml:space="preserve">Once enrolled, </w:t>
      </w:r>
      <w:r w:rsidR="007C6F03">
        <w:t xml:space="preserve">each month’s </w:t>
      </w:r>
      <w:r w:rsidR="00186E1F">
        <w:t xml:space="preserve">bill </w:t>
      </w:r>
      <w:r>
        <w:t>credit w</w:t>
      </w:r>
      <w:r w:rsidR="00405AFA">
        <w:t>ould</w:t>
      </w:r>
      <w:r>
        <w:t xml:space="preserve"> </w:t>
      </w:r>
      <w:r w:rsidR="00405AFA">
        <w:rPr>
          <w:sz w:val="23"/>
          <w:szCs w:val="23"/>
        </w:rPr>
        <w:t>be calculated using the customer’s prior month Base Energy Charge multiplied</w:t>
      </w:r>
      <w:r w:rsidR="000E7882">
        <w:rPr>
          <w:sz w:val="23"/>
          <w:szCs w:val="23"/>
        </w:rPr>
        <w:t xml:space="preserve"> by</w:t>
      </w:r>
      <w:r w:rsidR="00405AFA">
        <w:rPr>
          <w:sz w:val="23"/>
          <w:szCs w:val="23"/>
        </w:rPr>
        <w:t xml:space="preserve"> the</w:t>
      </w:r>
      <w:r w:rsidR="00581210">
        <w:rPr>
          <w:sz w:val="23"/>
          <w:szCs w:val="23"/>
        </w:rPr>
        <w:t xml:space="preserve"> </w:t>
      </w:r>
      <w:r w:rsidR="00405AFA">
        <w:rPr>
          <w:sz w:val="23"/>
          <w:szCs w:val="23"/>
        </w:rPr>
        <w:t xml:space="preserve">percentage discount. </w:t>
      </w:r>
      <w:r w:rsidR="007C6F03">
        <w:rPr>
          <w:sz w:val="23"/>
          <w:szCs w:val="23"/>
        </w:rPr>
        <w:t xml:space="preserve">For new businesses, the first month’s credit will be estimated based on previous service, premise size, and estimated energy usage for similar businesses. </w:t>
      </w:r>
      <w:r w:rsidR="00405AFA">
        <w:rPr>
          <w:sz w:val="23"/>
          <w:szCs w:val="23"/>
        </w:rPr>
        <w:t xml:space="preserve">The credit would be applied to a customer’s bill </w:t>
      </w:r>
      <w:r w:rsidR="00581210">
        <w:rPr>
          <w:sz w:val="23"/>
          <w:szCs w:val="23"/>
        </w:rPr>
        <w:t>as a</w:t>
      </w:r>
      <w:r w:rsidR="00405AFA">
        <w:rPr>
          <w:sz w:val="23"/>
          <w:szCs w:val="23"/>
        </w:rPr>
        <w:t xml:space="preserve"> separate</w:t>
      </w:r>
      <w:r w:rsidR="00186E1F">
        <w:rPr>
          <w:sz w:val="23"/>
          <w:szCs w:val="23"/>
        </w:rPr>
        <w:t>,</w:t>
      </w:r>
      <w:r w:rsidR="00405AFA">
        <w:rPr>
          <w:sz w:val="23"/>
          <w:szCs w:val="23"/>
        </w:rPr>
        <w:t xml:space="preserve"> program-specific </w:t>
      </w:r>
      <w:r w:rsidR="00186E1F">
        <w:rPr>
          <w:sz w:val="23"/>
          <w:szCs w:val="23"/>
        </w:rPr>
        <w:t>line</w:t>
      </w:r>
      <w:r w:rsidR="00405AFA">
        <w:rPr>
          <w:sz w:val="23"/>
          <w:szCs w:val="23"/>
        </w:rPr>
        <w:t xml:space="preserve"> credit. </w:t>
      </w:r>
      <w:r w:rsidR="00106AA4">
        <w:rPr>
          <w:sz w:val="23"/>
          <w:szCs w:val="23"/>
        </w:rPr>
        <w:t>Under this program,</w:t>
      </w:r>
      <w:r w:rsidR="00555F28">
        <w:rPr>
          <w:sz w:val="23"/>
          <w:szCs w:val="23"/>
        </w:rPr>
        <w:t xml:space="preserve"> FPL</w:t>
      </w:r>
      <w:r w:rsidR="006324D4">
        <w:rPr>
          <w:sz w:val="23"/>
          <w:szCs w:val="23"/>
        </w:rPr>
        <w:t xml:space="preserve"> anticipates approximately $16 million in credits would be issued to participating customers over the term</w:t>
      </w:r>
      <w:r w:rsidR="00520C78">
        <w:rPr>
          <w:sz w:val="23"/>
          <w:szCs w:val="23"/>
        </w:rPr>
        <w:t xml:space="preserve"> of the program</w:t>
      </w:r>
      <w:r w:rsidR="006324D4">
        <w:rPr>
          <w:sz w:val="23"/>
          <w:szCs w:val="23"/>
        </w:rPr>
        <w:t>.</w:t>
      </w:r>
      <w:r w:rsidR="006324D4">
        <w:rPr>
          <w:rStyle w:val="FootnoteReference"/>
          <w:sz w:val="23"/>
          <w:szCs w:val="23"/>
        </w:rPr>
        <w:footnoteReference w:id="4"/>
      </w:r>
      <w:r w:rsidR="006324D4">
        <w:rPr>
          <w:sz w:val="23"/>
          <w:szCs w:val="23"/>
        </w:rPr>
        <w:t xml:space="preserve"> </w:t>
      </w:r>
      <w:r w:rsidR="005C17D0">
        <w:rPr>
          <w:sz w:val="23"/>
          <w:szCs w:val="23"/>
        </w:rPr>
        <w:t>T</w:t>
      </w:r>
      <w:r w:rsidR="006324D4">
        <w:rPr>
          <w:sz w:val="23"/>
          <w:szCs w:val="23"/>
        </w:rPr>
        <w:t xml:space="preserve">he </w:t>
      </w:r>
      <w:r w:rsidR="00520C78">
        <w:rPr>
          <w:sz w:val="23"/>
          <w:szCs w:val="23"/>
        </w:rPr>
        <w:t>utility</w:t>
      </w:r>
      <w:r w:rsidR="006324D4">
        <w:rPr>
          <w:sz w:val="23"/>
          <w:szCs w:val="23"/>
        </w:rPr>
        <w:t xml:space="preserve"> stated that it does not “intend to track or account for the lost revenues associated with the credit for purposes of recovery between rate cases or in FPL’s next rate case.”</w:t>
      </w:r>
      <w:r w:rsidR="006324D4">
        <w:rPr>
          <w:rStyle w:val="FootnoteReference"/>
          <w:sz w:val="23"/>
          <w:szCs w:val="23"/>
        </w:rPr>
        <w:footnoteReference w:id="5"/>
      </w:r>
      <w:r w:rsidR="006324D4">
        <w:rPr>
          <w:sz w:val="23"/>
          <w:szCs w:val="23"/>
        </w:rPr>
        <w:t xml:space="preserve"> </w:t>
      </w:r>
      <w:r w:rsidR="00F53F41">
        <w:rPr>
          <w:sz w:val="23"/>
          <w:szCs w:val="23"/>
        </w:rPr>
        <w:t>Therefore, it is staff’s understanding that any lost revenues associated with this tariff will not affect the general body of ratepayers.</w:t>
      </w:r>
    </w:p>
    <w:p w:rsidR="00581210" w:rsidRDefault="00581210" w:rsidP="005E6F37">
      <w:pPr>
        <w:tabs>
          <w:tab w:val="left" w:pos="8649"/>
          <w:tab w:val="left" w:pos="9180"/>
          <w:tab w:val="left" w:pos="9360"/>
        </w:tabs>
        <w:autoSpaceDE w:val="0"/>
        <w:autoSpaceDN w:val="0"/>
        <w:adjustRightInd w:val="0"/>
        <w:jc w:val="both"/>
        <w:rPr>
          <w:sz w:val="23"/>
          <w:szCs w:val="23"/>
        </w:rPr>
      </w:pPr>
    </w:p>
    <w:p w:rsidR="00581210" w:rsidRDefault="00581210" w:rsidP="00581210">
      <w:pPr>
        <w:pStyle w:val="First-LevelSubheading"/>
      </w:pPr>
      <w:r>
        <w:t>Conclusion</w:t>
      </w:r>
    </w:p>
    <w:p w:rsidR="00581210" w:rsidRPr="008A43D9" w:rsidRDefault="004941B8" w:rsidP="005E6F37">
      <w:pPr>
        <w:tabs>
          <w:tab w:val="left" w:pos="8649"/>
          <w:tab w:val="left" w:pos="9180"/>
          <w:tab w:val="left" w:pos="9360"/>
        </w:tabs>
        <w:autoSpaceDE w:val="0"/>
        <w:autoSpaceDN w:val="0"/>
        <w:adjustRightInd w:val="0"/>
        <w:jc w:val="both"/>
      </w:pPr>
      <w:r>
        <w:t>Staff has reviewed the petition and the responses to staff’s data request and believe</w:t>
      </w:r>
      <w:r w:rsidR="00186E1F">
        <w:t>s</w:t>
      </w:r>
      <w:r>
        <w:t xml:space="preserve"> </w:t>
      </w:r>
      <w:r w:rsidR="000E7882">
        <w:t>the proposed tariff</w:t>
      </w:r>
      <w:r>
        <w:t xml:space="preserve"> will provide assistance to qualifying small businesses impacted by the economic challenges </w:t>
      </w:r>
      <w:r w:rsidR="00555F28">
        <w:t>resulting from</w:t>
      </w:r>
      <w:r w:rsidR="000E7882">
        <w:t xml:space="preserve"> the C</w:t>
      </w:r>
      <w:r>
        <w:t>OVID-19</w:t>
      </w:r>
      <w:r w:rsidR="000E7882">
        <w:t xml:space="preserve"> pandemic</w:t>
      </w:r>
      <w:r>
        <w:t>. The Commission should approve FPL’s proposed</w:t>
      </w:r>
      <w:r w:rsidR="00507DFA">
        <w:t xml:space="preserve"> MSR Tariff Sheet Nos. 8.010 and 8.805</w:t>
      </w:r>
      <w:r>
        <w:t xml:space="preserve">, as shown in Attachment A, effective January 1, 2021. </w:t>
      </w:r>
      <w:r w:rsidRPr="008F7D5A">
        <w:t xml:space="preserve">The proposed </w:t>
      </w:r>
      <w:r>
        <w:t>MSR</w:t>
      </w:r>
      <w:r w:rsidRPr="008F7D5A">
        <w:t xml:space="preserve"> tariff allows </w:t>
      </w:r>
      <w:r>
        <w:t>qualifying small business customers the opportunity to receive a</w:t>
      </w:r>
      <w:r w:rsidR="00186E1F">
        <w:t xml:space="preserve"> </w:t>
      </w:r>
      <w:r>
        <w:t>10 percent monthly energy credit through December 31, 2021.</w:t>
      </w:r>
    </w:p>
    <w:p w:rsidR="008C624F" w:rsidRDefault="008C624F">
      <w:pPr>
        <w:pStyle w:val="IssueHeading"/>
        <w:rPr>
          <w:vanish/>
          <w:specVanish/>
        </w:rPr>
      </w:pPr>
      <w:r w:rsidRPr="004C3641">
        <w:rPr>
          <w:b w:val="0"/>
          <w:i w:val="0"/>
        </w:rPr>
        <w:br w:type="page"/>
      </w:r>
      <w:r w:rsidRPr="004C3641">
        <w:lastRenderedPageBreak/>
        <w:t xml:space="preserve">Issue </w:t>
      </w:r>
      <w:fldSimple w:instr=" SEQ Issue \* MERGEFORMAT ">
        <w:r w:rsidR="009940E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940EF">
        <w:rPr>
          <w:noProof/>
        </w:rPr>
        <w:instrText>2</w:instrText>
      </w:r>
      <w:r>
        <w:fldChar w:fldCharType="end"/>
      </w:r>
      <w:r>
        <w:tab/>
        <w:instrText xml:space="preserve">(Brownless)" \l 1 </w:instrText>
      </w:r>
      <w:r>
        <w:fldChar w:fldCharType="end"/>
      </w:r>
      <w:r>
        <w:t> </w:t>
      </w:r>
    </w:p>
    <w:p w:rsidR="008C624F" w:rsidRDefault="008C624F">
      <w:pPr>
        <w:pStyle w:val="BodyText"/>
      </w:pPr>
      <w:r>
        <w:t> Should this docket be closed?</w:t>
      </w:r>
    </w:p>
    <w:p w:rsidR="008C624F" w:rsidRPr="004C3641" w:rsidRDefault="008C624F">
      <w:pPr>
        <w:pStyle w:val="IssueSubsectionHeading"/>
        <w:rPr>
          <w:vanish/>
          <w:specVanish/>
        </w:rPr>
      </w:pPr>
      <w:r w:rsidRPr="004C3641">
        <w:t>Recommendation: </w:t>
      </w:r>
    </w:p>
    <w:p w:rsidR="008C624F" w:rsidRDefault="008C624F">
      <w:pPr>
        <w:pStyle w:val="BodyText"/>
      </w:pPr>
      <w:r>
        <w:t xml:space="preserve"> If Issue 1 is approved and a protest is filed within 21 days of the issuance of the order, the </w:t>
      </w:r>
      <w:r w:rsidR="00EA4DE7">
        <w:t xml:space="preserve">tariff should remain in effect, </w:t>
      </w:r>
      <w:r>
        <w:t>pending resolution of the protest. If no timely protest is filed, this docket should be closed upon the issuance of a consummating order. (Brownless)</w:t>
      </w:r>
    </w:p>
    <w:p w:rsidR="008C624F" w:rsidRPr="004C3641" w:rsidRDefault="008C624F">
      <w:pPr>
        <w:pStyle w:val="IssueSubsectionHeading"/>
        <w:rPr>
          <w:vanish/>
          <w:specVanish/>
        </w:rPr>
      </w:pPr>
      <w:r w:rsidRPr="004C3641">
        <w:t>Staff Analysis: </w:t>
      </w:r>
    </w:p>
    <w:p w:rsidR="008C624F" w:rsidRDefault="008C624F">
      <w:pPr>
        <w:pStyle w:val="BodyText"/>
      </w:pPr>
      <w:r>
        <w:t> If Issue 1 is approved and a protest is filed within 21 days of the issuance of the order, the tariff should remain in effect, pending resolution of the protest. If no timely protest is filed, this docket should be closed upon the issuance of a consummating order.</w:t>
      </w:r>
    </w:p>
    <w:p w:rsidR="004941B8" w:rsidRDefault="004941B8">
      <w:pPr>
        <w:sectPr w:rsidR="004941B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941B8" w:rsidRDefault="004941B8"/>
    <w:p w:rsidR="004941B8" w:rsidRDefault="004941B8">
      <w:r>
        <w:br w:type="page"/>
      </w:r>
    </w:p>
    <w:p w:rsidR="00DB665D" w:rsidRDefault="006A2ACF" w:rsidP="00D44B7F">
      <w:pPr>
        <w:jc w:val="center"/>
        <w:sectPr w:rsidR="00DB665D" w:rsidSect="004941B8">
          <w:headerReference w:type="default" r:id="rId14"/>
          <w:type w:val="continuous"/>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82-2020_Page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6A2ACF" w:rsidRDefault="006A2ACF"/>
    <w:p w:rsidR="00E06484" w:rsidRDefault="008B30C9" w:rsidP="00D44B7F">
      <w:pPr>
        <w:pStyle w:val="BodyText"/>
        <w:jc w:val="center"/>
      </w:pPr>
      <w:r>
        <w:rPr>
          <w:noProof/>
        </w:rPr>
        <w:drawing>
          <wp:inline distT="0" distB="0" distL="0" distR="0" wp14:anchorId="73CE311F" wp14:editId="483F5791">
            <wp:extent cx="5943600" cy="7691718"/>
            <wp:effectExtent l="0" t="0" r="0" b="5080"/>
            <wp:docPr id="2" name="Picture 2" descr="C:\Users\tcoston\Desktop\FPL main street_Pa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oston\Desktop\FPL main street_Page_1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E06484" w:rsidSect="00DB665D">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89E" w:rsidRDefault="009D189E">
      <w:r>
        <w:separator/>
      </w:r>
    </w:p>
  </w:endnote>
  <w:endnote w:type="continuationSeparator" w:id="0">
    <w:p w:rsidR="009D189E" w:rsidRDefault="009D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F19B9">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89E" w:rsidRDefault="009D189E">
      <w:r>
        <w:separator/>
      </w:r>
    </w:p>
  </w:footnote>
  <w:footnote w:type="continuationSeparator" w:id="0">
    <w:p w:rsidR="009D189E" w:rsidRDefault="009D189E">
      <w:r>
        <w:continuationSeparator/>
      </w:r>
    </w:p>
  </w:footnote>
  <w:footnote w:id="1">
    <w:p w:rsidR="00106AA4" w:rsidRDefault="00106AA4">
      <w:pPr>
        <w:pStyle w:val="FootnoteText"/>
      </w:pPr>
      <w:r>
        <w:rPr>
          <w:rStyle w:val="FootnoteReference"/>
        </w:rPr>
        <w:footnoteRef/>
      </w:r>
      <w:r>
        <w:t xml:space="preserve"> FPL’s Response to Staff’s First Data Request, Question 2.</w:t>
      </w:r>
    </w:p>
  </w:footnote>
  <w:footnote w:id="2">
    <w:p w:rsidR="00F237A1" w:rsidRDefault="00F237A1" w:rsidP="00F237A1">
      <w:pPr>
        <w:pStyle w:val="FootnoteText"/>
      </w:pPr>
      <w:r>
        <w:rPr>
          <w:rStyle w:val="FootnoteReference"/>
        </w:rPr>
        <w:footnoteRef/>
      </w:r>
      <w:r>
        <w:t xml:space="preserve"> FPL’s Response to Staff’s First Data Request, Question 3.</w:t>
      </w:r>
    </w:p>
  </w:footnote>
  <w:footnote w:id="3">
    <w:p w:rsidR="005E6F37" w:rsidRDefault="005E6F37">
      <w:pPr>
        <w:pStyle w:val="FootnoteText"/>
      </w:pPr>
      <w:r>
        <w:rPr>
          <w:rStyle w:val="FootnoteReference"/>
        </w:rPr>
        <w:footnoteRef/>
      </w:r>
      <w:r>
        <w:t xml:space="preserve"> FPL’s Response to Staff’s First Data Request, Question 1.</w:t>
      </w:r>
    </w:p>
  </w:footnote>
  <w:footnote w:id="4">
    <w:p w:rsidR="006324D4" w:rsidRDefault="006324D4">
      <w:pPr>
        <w:pStyle w:val="FootnoteText"/>
      </w:pPr>
      <w:r>
        <w:rPr>
          <w:rStyle w:val="FootnoteReference"/>
        </w:rPr>
        <w:footnoteRef/>
      </w:r>
      <w:r>
        <w:t xml:space="preserve"> FPL’s Response to Staff’s First Data Request, Question 5.</w:t>
      </w:r>
    </w:p>
  </w:footnote>
  <w:footnote w:id="5">
    <w:p w:rsidR="006324D4" w:rsidRDefault="006324D4">
      <w:pPr>
        <w:pStyle w:val="FootnoteText"/>
      </w:pPr>
      <w:r>
        <w:rPr>
          <w:rStyle w:val="FootnoteReference"/>
        </w:rPr>
        <w:footnoteRef/>
      </w:r>
      <w:r>
        <w:t xml:space="preserve"> FPL’</w:t>
      </w:r>
      <w:r w:rsidR="00106AA4">
        <w:t>s Response</w:t>
      </w:r>
      <w:r>
        <w:t xml:space="preserve"> to Staff’s First Data Request, Question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8C624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20200227-EI</w:t>
    </w:r>
    <w:bookmarkEnd w:id="15"/>
    <w:r w:rsidR="009940EF">
      <w:tab/>
    </w:r>
  </w:p>
  <w:p w:rsidR="00BC402E" w:rsidRDefault="00BC402E">
    <w:pPr>
      <w:pStyle w:val="Header"/>
    </w:pPr>
    <w:r>
      <w:t xml:space="preserve">Date: </w:t>
    </w:r>
    <w:r w:rsidR="00D353B7">
      <w:fldChar w:fldCharType="begin"/>
    </w:r>
    <w:r w:rsidR="00D353B7">
      <w:instrText xml:space="preserve"> REF FilingDate </w:instrText>
    </w:r>
    <w:r w:rsidR="00D353B7">
      <w:fldChar w:fldCharType="separate"/>
    </w:r>
    <w:r w:rsidR="009940EF">
      <w:t>November 17, 2020</w:t>
    </w:r>
    <w:r w:rsidR="00D353B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EF" w:rsidRDefault="009940EF" w:rsidP="00220732">
    <w:pPr>
      <w:pStyle w:val="Header"/>
      <w:tabs>
        <w:tab w:val="clear" w:pos="4320"/>
        <w:tab w:val="clear" w:pos="8640"/>
        <w:tab w:val="right" w:pos="9360"/>
      </w:tabs>
    </w:pPr>
    <w:r>
      <w:t>Docket No. 20200227-EI</w:t>
    </w:r>
    <w:r>
      <w:tab/>
      <w:t xml:space="preserve">Issue </w:t>
    </w:r>
    <w:r>
      <w:rPr>
        <w:noProof/>
      </w:rPr>
      <w:fldChar w:fldCharType="begin"/>
    </w:r>
    <w:r>
      <w:rPr>
        <w:noProof/>
      </w:rPr>
      <w:instrText xml:space="preserve"> Seq Issue \c \* Arabic </w:instrText>
    </w:r>
    <w:r>
      <w:rPr>
        <w:noProof/>
      </w:rPr>
      <w:fldChar w:fldCharType="separate"/>
    </w:r>
    <w:r w:rsidR="00CF19B9">
      <w:rPr>
        <w:noProof/>
      </w:rPr>
      <w:t>2</w:t>
    </w:r>
    <w:r>
      <w:rPr>
        <w:noProof/>
      </w:rPr>
      <w:fldChar w:fldCharType="end"/>
    </w:r>
  </w:p>
  <w:p w:rsidR="009940EF" w:rsidRDefault="009940EF">
    <w:pPr>
      <w:pStyle w:val="Header"/>
    </w:pPr>
    <w:r>
      <w:t xml:space="preserve">Date: </w:t>
    </w:r>
    <w:r w:rsidR="00D353B7">
      <w:fldChar w:fldCharType="begin"/>
    </w:r>
    <w:r w:rsidR="00D353B7">
      <w:instrText xml:space="preserve"> REF FilingDate </w:instrText>
    </w:r>
    <w:r w:rsidR="00D353B7">
      <w:fldChar w:fldCharType="separate"/>
    </w:r>
    <w:r>
      <w:t>November 17, 2020</w:t>
    </w:r>
    <w:r w:rsidR="00D353B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65D" w:rsidRDefault="00DB665D" w:rsidP="00D44B7F">
    <w:pPr>
      <w:pStyle w:val="Header"/>
      <w:tabs>
        <w:tab w:val="clear" w:pos="8640"/>
        <w:tab w:val="left" w:pos="7088"/>
        <w:tab w:val="right" w:pos="9360"/>
      </w:tabs>
    </w:pPr>
    <w:r>
      <w:t>Docket No. 20200227-EI</w:t>
    </w:r>
    <w:r w:rsidRPr="00DB665D">
      <w:t xml:space="preserve"> </w:t>
    </w:r>
    <w:r>
      <w:tab/>
    </w:r>
    <w:r w:rsidR="00D44B7F">
      <w:tab/>
    </w:r>
    <w:r w:rsidR="00D44B7F">
      <w:tab/>
    </w:r>
    <w:r>
      <w:t>Attachment A</w:t>
    </w:r>
  </w:p>
  <w:p w:rsidR="004941B8" w:rsidRPr="004941B8" w:rsidRDefault="00DB665D" w:rsidP="00D44B7F">
    <w:pPr>
      <w:pStyle w:val="Header"/>
      <w:tabs>
        <w:tab w:val="clear" w:pos="8640"/>
        <w:tab w:val="right" w:pos="9360"/>
      </w:tabs>
      <w:jc w:val="left"/>
    </w:pPr>
    <w:r>
      <w:t>Date: November 17, 2020</w:t>
    </w:r>
    <w:r>
      <w:tab/>
    </w:r>
    <w:r>
      <w:tab/>
    </w:r>
    <w:r w:rsidR="00D44B7F">
      <w:t xml:space="preserve">           </w:t>
    </w:r>
    <w:r>
      <w:t>Page 1 of 2</w:t>
    </w:r>
  </w:p>
  <w:p w:rsidR="00DB665D" w:rsidRDefault="00DB665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65D" w:rsidRDefault="00DB665D" w:rsidP="00D44B7F">
    <w:pPr>
      <w:pStyle w:val="Header"/>
      <w:tabs>
        <w:tab w:val="clear" w:pos="8640"/>
        <w:tab w:val="right" w:pos="9360"/>
      </w:tabs>
    </w:pPr>
    <w:r>
      <w:t>Docket No. 20200227-EI</w:t>
    </w:r>
    <w:r w:rsidRPr="00DB665D">
      <w:t xml:space="preserve"> </w:t>
    </w:r>
    <w:r>
      <w:tab/>
    </w:r>
    <w:r>
      <w:tab/>
      <w:t>Attachment A</w:t>
    </w:r>
  </w:p>
  <w:p w:rsidR="00DB665D" w:rsidRPr="004941B8" w:rsidRDefault="00DB665D" w:rsidP="00D44B7F">
    <w:pPr>
      <w:pStyle w:val="Header"/>
      <w:tabs>
        <w:tab w:val="clear" w:pos="8640"/>
        <w:tab w:val="right" w:pos="9360"/>
      </w:tabs>
      <w:jc w:val="left"/>
    </w:pPr>
    <w:r>
      <w:t>Date: November 17, 2020</w:t>
    </w:r>
    <w:r>
      <w:tab/>
    </w:r>
    <w:r>
      <w:tab/>
      <w:t>Page 2 of 2</w:t>
    </w:r>
  </w:p>
  <w:p w:rsidR="00DB665D" w:rsidRDefault="00DB66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D918F1"/>
    <w:multiLevelType w:val="hybridMultilevel"/>
    <w:tmpl w:val="F6FA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C624F"/>
    <w:rsid w:val="000043D5"/>
    <w:rsid w:val="00006170"/>
    <w:rsid w:val="00010E37"/>
    <w:rsid w:val="000172DA"/>
    <w:rsid w:val="000247C5"/>
    <w:rsid w:val="000277C2"/>
    <w:rsid w:val="00035B48"/>
    <w:rsid w:val="00036CE2"/>
    <w:rsid w:val="000437FE"/>
    <w:rsid w:val="000513BE"/>
    <w:rsid w:val="00063563"/>
    <w:rsid w:val="00065A06"/>
    <w:rsid w:val="000666F3"/>
    <w:rsid w:val="00066E0A"/>
    <w:rsid w:val="00070DCB"/>
    <w:rsid w:val="00072CCA"/>
    <w:rsid w:val="00073120"/>
    <w:rsid w:val="000764D0"/>
    <w:rsid w:val="000828D3"/>
    <w:rsid w:val="000A2B57"/>
    <w:rsid w:val="000A418B"/>
    <w:rsid w:val="000C4431"/>
    <w:rsid w:val="000D1C06"/>
    <w:rsid w:val="000D4319"/>
    <w:rsid w:val="000E7882"/>
    <w:rsid w:val="000F374A"/>
    <w:rsid w:val="00106AA4"/>
    <w:rsid w:val="001076AF"/>
    <w:rsid w:val="00107DB8"/>
    <w:rsid w:val="00117C8C"/>
    <w:rsid w:val="001216D9"/>
    <w:rsid w:val="00124C38"/>
    <w:rsid w:val="00124E2E"/>
    <w:rsid w:val="00125ED4"/>
    <w:rsid w:val="001305E9"/>
    <w:rsid w:val="001307AF"/>
    <w:rsid w:val="00135687"/>
    <w:rsid w:val="0015506E"/>
    <w:rsid w:val="00163031"/>
    <w:rsid w:val="00171A90"/>
    <w:rsid w:val="00180254"/>
    <w:rsid w:val="00186E1F"/>
    <w:rsid w:val="00191E1F"/>
    <w:rsid w:val="00192943"/>
    <w:rsid w:val="001A7406"/>
    <w:rsid w:val="001B16D3"/>
    <w:rsid w:val="001B4FEE"/>
    <w:rsid w:val="001B51C5"/>
    <w:rsid w:val="001B6F3F"/>
    <w:rsid w:val="001C52B5"/>
    <w:rsid w:val="001C775C"/>
    <w:rsid w:val="001D037C"/>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E0361"/>
    <w:rsid w:val="002F6030"/>
    <w:rsid w:val="003037E1"/>
    <w:rsid w:val="00307E51"/>
    <w:rsid w:val="003103EC"/>
    <w:rsid w:val="00310BDB"/>
    <w:rsid w:val="003144EF"/>
    <w:rsid w:val="00322F74"/>
    <w:rsid w:val="0033779E"/>
    <w:rsid w:val="00340073"/>
    <w:rsid w:val="00341385"/>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05AFA"/>
    <w:rsid w:val="00410DC4"/>
    <w:rsid w:val="00412DAE"/>
    <w:rsid w:val="00414D7F"/>
    <w:rsid w:val="004242E6"/>
    <w:rsid w:val="00431598"/>
    <w:rsid w:val="004319AD"/>
    <w:rsid w:val="004426B8"/>
    <w:rsid w:val="00444432"/>
    <w:rsid w:val="00471860"/>
    <w:rsid w:val="00477026"/>
    <w:rsid w:val="004941B8"/>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07DFA"/>
    <w:rsid w:val="00511A11"/>
    <w:rsid w:val="00516496"/>
    <w:rsid w:val="00520C78"/>
    <w:rsid w:val="00523B11"/>
    <w:rsid w:val="0052572A"/>
    <w:rsid w:val="00532DFB"/>
    <w:rsid w:val="00543CB3"/>
    <w:rsid w:val="005442E4"/>
    <w:rsid w:val="00544828"/>
    <w:rsid w:val="0055529B"/>
    <w:rsid w:val="00555F28"/>
    <w:rsid w:val="00560FF0"/>
    <w:rsid w:val="005614BD"/>
    <w:rsid w:val="0057154F"/>
    <w:rsid w:val="00580F69"/>
    <w:rsid w:val="00581210"/>
    <w:rsid w:val="00581CA3"/>
    <w:rsid w:val="00587A44"/>
    <w:rsid w:val="00597730"/>
    <w:rsid w:val="005977EC"/>
    <w:rsid w:val="00597DE7"/>
    <w:rsid w:val="005A34DF"/>
    <w:rsid w:val="005A4AA2"/>
    <w:rsid w:val="005B34B6"/>
    <w:rsid w:val="005B6C8F"/>
    <w:rsid w:val="005B6EC3"/>
    <w:rsid w:val="005C17D0"/>
    <w:rsid w:val="005D0F74"/>
    <w:rsid w:val="005D2E7D"/>
    <w:rsid w:val="005D4A8F"/>
    <w:rsid w:val="005D561B"/>
    <w:rsid w:val="005D5ECF"/>
    <w:rsid w:val="005E6F37"/>
    <w:rsid w:val="005F468D"/>
    <w:rsid w:val="005F69A3"/>
    <w:rsid w:val="00604CC7"/>
    <w:rsid w:val="00615423"/>
    <w:rsid w:val="006165B2"/>
    <w:rsid w:val="00617276"/>
    <w:rsid w:val="0062527B"/>
    <w:rsid w:val="00625D97"/>
    <w:rsid w:val="00625F1C"/>
    <w:rsid w:val="006279E1"/>
    <w:rsid w:val="00630CEB"/>
    <w:rsid w:val="00632264"/>
    <w:rsid w:val="006324D4"/>
    <w:rsid w:val="006470BC"/>
    <w:rsid w:val="006554D3"/>
    <w:rsid w:val="00667036"/>
    <w:rsid w:val="00673BDB"/>
    <w:rsid w:val="00674341"/>
    <w:rsid w:val="006771B8"/>
    <w:rsid w:val="006843B6"/>
    <w:rsid w:val="0068481F"/>
    <w:rsid w:val="00696F5D"/>
    <w:rsid w:val="00697249"/>
    <w:rsid w:val="006A2ACF"/>
    <w:rsid w:val="006B3947"/>
    <w:rsid w:val="006B4293"/>
    <w:rsid w:val="006B624F"/>
    <w:rsid w:val="006C0C95"/>
    <w:rsid w:val="006C31E3"/>
    <w:rsid w:val="006D18D3"/>
    <w:rsid w:val="006E08CB"/>
    <w:rsid w:val="006E598D"/>
    <w:rsid w:val="0070437D"/>
    <w:rsid w:val="00704CF1"/>
    <w:rsid w:val="00705B04"/>
    <w:rsid w:val="0071543E"/>
    <w:rsid w:val="0072431E"/>
    <w:rsid w:val="00724992"/>
    <w:rsid w:val="00734820"/>
    <w:rsid w:val="007349DC"/>
    <w:rsid w:val="007412B0"/>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C6F03"/>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A43D9"/>
    <w:rsid w:val="008A4C1E"/>
    <w:rsid w:val="008B30C9"/>
    <w:rsid w:val="008B62AE"/>
    <w:rsid w:val="008C04B5"/>
    <w:rsid w:val="008C14FA"/>
    <w:rsid w:val="008C624F"/>
    <w:rsid w:val="008C7B0B"/>
    <w:rsid w:val="008D4057"/>
    <w:rsid w:val="008E1F19"/>
    <w:rsid w:val="008F2262"/>
    <w:rsid w:val="008F4D2B"/>
    <w:rsid w:val="008F7724"/>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40EF"/>
    <w:rsid w:val="0099673A"/>
    <w:rsid w:val="009A3330"/>
    <w:rsid w:val="009A7C96"/>
    <w:rsid w:val="009C3DB9"/>
    <w:rsid w:val="009D189E"/>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4D97"/>
    <w:rsid w:val="00A95A0C"/>
    <w:rsid w:val="00AA2765"/>
    <w:rsid w:val="00AA77B5"/>
    <w:rsid w:val="00AB6C5D"/>
    <w:rsid w:val="00AC3401"/>
    <w:rsid w:val="00AC51A7"/>
    <w:rsid w:val="00AD444B"/>
    <w:rsid w:val="00AD5614"/>
    <w:rsid w:val="00AD6C78"/>
    <w:rsid w:val="00AE10CE"/>
    <w:rsid w:val="00AE2EAB"/>
    <w:rsid w:val="00AF5F89"/>
    <w:rsid w:val="00AF73CB"/>
    <w:rsid w:val="00B002D6"/>
    <w:rsid w:val="00B03379"/>
    <w:rsid w:val="00B03E59"/>
    <w:rsid w:val="00B05B51"/>
    <w:rsid w:val="00B14E5A"/>
    <w:rsid w:val="00B15370"/>
    <w:rsid w:val="00B16DA4"/>
    <w:rsid w:val="00B17BEB"/>
    <w:rsid w:val="00B21A3C"/>
    <w:rsid w:val="00B21CB6"/>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13C0"/>
    <w:rsid w:val="00B96250"/>
    <w:rsid w:val="00BA0D55"/>
    <w:rsid w:val="00BA37B3"/>
    <w:rsid w:val="00BA4CC6"/>
    <w:rsid w:val="00BB3493"/>
    <w:rsid w:val="00BB7468"/>
    <w:rsid w:val="00BC188A"/>
    <w:rsid w:val="00BC27C5"/>
    <w:rsid w:val="00BC3C98"/>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19B9"/>
    <w:rsid w:val="00CF2E25"/>
    <w:rsid w:val="00CF4453"/>
    <w:rsid w:val="00CF5D94"/>
    <w:rsid w:val="00CF7E0F"/>
    <w:rsid w:val="00D034D7"/>
    <w:rsid w:val="00D04BE4"/>
    <w:rsid w:val="00D06FC7"/>
    <w:rsid w:val="00D12565"/>
    <w:rsid w:val="00D14127"/>
    <w:rsid w:val="00D44B7F"/>
    <w:rsid w:val="00D60B16"/>
    <w:rsid w:val="00D60F02"/>
    <w:rsid w:val="00D66E49"/>
    <w:rsid w:val="00D70D71"/>
    <w:rsid w:val="00D72F74"/>
    <w:rsid w:val="00D80630"/>
    <w:rsid w:val="00D81563"/>
    <w:rsid w:val="00D85907"/>
    <w:rsid w:val="00D9073E"/>
    <w:rsid w:val="00D9221D"/>
    <w:rsid w:val="00D958DF"/>
    <w:rsid w:val="00D96DA1"/>
    <w:rsid w:val="00DA51E7"/>
    <w:rsid w:val="00DB0260"/>
    <w:rsid w:val="00DB1C78"/>
    <w:rsid w:val="00DB665D"/>
    <w:rsid w:val="00DB7D96"/>
    <w:rsid w:val="00DC23FE"/>
    <w:rsid w:val="00DC59E6"/>
    <w:rsid w:val="00DC6E00"/>
    <w:rsid w:val="00DD150B"/>
    <w:rsid w:val="00DD5025"/>
    <w:rsid w:val="00DF1510"/>
    <w:rsid w:val="00E02F1F"/>
    <w:rsid w:val="00E06484"/>
    <w:rsid w:val="00E20A7D"/>
    <w:rsid w:val="00E275D8"/>
    <w:rsid w:val="00E30F6A"/>
    <w:rsid w:val="00E3117C"/>
    <w:rsid w:val="00E375CA"/>
    <w:rsid w:val="00E44DE3"/>
    <w:rsid w:val="00E5364F"/>
    <w:rsid w:val="00E567E8"/>
    <w:rsid w:val="00E64679"/>
    <w:rsid w:val="00E65EBC"/>
    <w:rsid w:val="00E677FE"/>
    <w:rsid w:val="00E73432"/>
    <w:rsid w:val="00E77B0C"/>
    <w:rsid w:val="00E77FB8"/>
    <w:rsid w:val="00E838B0"/>
    <w:rsid w:val="00E86A7C"/>
    <w:rsid w:val="00E878E1"/>
    <w:rsid w:val="00E87F2C"/>
    <w:rsid w:val="00E90384"/>
    <w:rsid w:val="00E95278"/>
    <w:rsid w:val="00E95BD2"/>
    <w:rsid w:val="00EA2273"/>
    <w:rsid w:val="00EA4DE7"/>
    <w:rsid w:val="00EA7C3C"/>
    <w:rsid w:val="00EB2DB3"/>
    <w:rsid w:val="00EC3FBB"/>
    <w:rsid w:val="00EC5267"/>
    <w:rsid w:val="00EC6B7A"/>
    <w:rsid w:val="00ED3A87"/>
    <w:rsid w:val="00ED5B67"/>
    <w:rsid w:val="00EF264C"/>
    <w:rsid w:val="00EF3FEE"/>
    <w:rsid w:val="00F04B59"/>
    <w:rsid w:val="00F11741"/>
    <w:rsid w:val="00F12B1C"/>
    <w:rsid w:val="00F13CF8"/>
    <w:rsid w:val="00F15855"/>
    <w:rsid w:val="00F200B2"/>
    <w:rsid w:val="00F227DC"/>
    <w:rsid w:val="00F237A1"/>
    <w:rsid w:val="00F32978"/>
    <w:rsid w:val="00F45CB2"/>
    <w:rsid w:val="00F50609"/>
    <w:rsid w:val="00F53F41"/>
    <w:rsid w:val="00F544C0"/>
    <w:rsid w:val="00F55332"/>
    <w:rsid w:val="00F6504A"/>
    <w:rsid w:val="00F65519"/>
    <w:rsid w:val="00F713C0"/>
    <w:rsid w:val="00F74B7F"/>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8A64592-486D-4C39-B7E3-B8CA2D6E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8F7724"/>
    <w:pPr>
      <w:ind w:left="720"/>
      <w:contextualSpacing/>
    </w:pPr>
  </w:style>
  <w:style w:type="character" w:styleId="FootnoteReference">
    <w:name w:val="footnote reference"/>
    <w:basedOn w:val="DefaultParagraphFont"/>
    <w:semiHidden/>
    <w:unhideWhenUsed/>
    <w:rsid w:val="002E0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CE16-2A1E-473E-8799-3B47778A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1185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Tripp Coston</dc:creator>
  <cp:lastModifiedBy>Andrea Mick</cp:lastModifiedBy>
  <cp:revision>2</cp:revision>
  <cp:lastPrinted>2004-01-27T20:32:00Z</cp:lastPrinted>
  <dcterms:created xsi:type="dcterms:W3CDTF">2020-11-17T14:37:00Z</dcterms:created>
  <dcterms:modified xsi:type="dcterms:W3CDTF">2020-11-17T14:37:00Z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20200227-EI</vt:lpwstr>
  </property>
  <property fmtid="{D5CDD505-2E9C-101B-9397-08002B2CF9AE}" pid="3" name="MasterDocument">
    <vt:bool>false</vt:bool>
  </property>
</Properties>
</file>