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F57E9F">
            <w:pPr>
              <w:pStyle w:val="MemoHeading"/>
            </w:pPr>
            <w:r>
              <w:t>January 21, 2021</w:t>
            </w:r>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56100A">
        <w:tc>
          <w:tcPr>
            <w:tcW w:w="1254" w:type="dxa"/>
            <w:tcBorders>
              <w:top w:val="nil"/>
              <w:left w:val="nil"/>
              <w:bottom w:val="nil"/>
              <w:right w:val="nil"/>
            </w:tcBorders>
            <w:shd w:val="clear" w:color="auto" w:fill="auto"/>
            <w:tcMar>
              <w:top w:w="288" w:type="dxa"/>
              <w:right w:w="0" w:type="dxa"/>
            </w:tcMar>
          </w:tcPr>
          <w:p w:rsidR="0056100A" w:rsidRDefault="0056100A" w:rsidP="0056100A">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56100A" w:rsidRDefault="0056100A" w:rsidP="0056100A">
            <w:pPr>
              <w:pStyle w:val="MemoHeading"/>
            </w:pPr>
            <w:bookmarkStart w:id="1" w:name="From"/>
            <w:r>
              <w:t>Division of Engineering (Phillips, Ellis, Kistner)</w:t>
            </w:r>
          </w:p>
          <w:p w:rsidR="0056100A" w:rsidRDefault="0056100A" w:rsidP="0056100A">
            <w:pPr>
              <w:pStyle w:val="MemoHeading"/>
            </w:pPr>
            <w:r>
              <w:t>Division of Accounting and Finance (Higgins)</w:t>
            </w:r>
          </w:p>
          <w:p w:rsidR="0056100A" w:rsidRDefault="0056100A" w:rsidP="0056100A">
            <w:pPr>
              <w:pStyle w:val="MemoHeading"/>
            </w:pPr>
            <w:r>
              <w:t>Division of Economics (</w:t>
            </w:r>
            <w:r w:rsidR="00212DA1">
              <w:t>Forrest, Coston</w:t>
            </w:r>
            <w:r>
              <w:t>)</w:t>
            </w:r>
          </w:p>
          <w:p w:rsidR="0056100A" w:rsidRDefault="0056100A" w:rsidP="0056100A">
            <w:pPr>
              <w:pStyle w:val="MemoHeading"/>
            </w:pPr>
            <w:r>
              <w:t>Office of the General Counsel (Stiller, Trierweiler)</w:t>
            </w:r>
            <w:bookmarkEnd w:id="1"/>
          </w:p>
        </w:tc>
      </w:tr>
      <w:tr w:rsidR="0056100A">
        <w:tc>
          <w:tcPr>
            <w:tcW w:w="1254" w:type="dxa"/>
            <w:tcBorders>
              <w:top w:val="nil"/>
              <w:left w:val="nil"/>
              <w:bottom w:val="nil"/>
              <w:right w:val="nil"/>
            </w:tcBorders>
            <w:shd w:val="clear" w:color="auto" w:fill="auto"/>
            <w:tcMar>
              <w:top w:w="288" w:type="dxa"/>
              <w:right w:w="0" w:type="dxa"/>
            </w:tcMar>
          </w:tcPr>
          <w:p w:rsidR="0056100A" w:rsidRDefault="0056100A" w:rsidP="0056100A">
            <w:pPr>
              <w:pStyle w:val="MemoHeadingLabel"/>
            </w:pPr>
            <w:r>
              <w:t>RE:</w:t>
            </w:r>
          </w:p>
        </w:tc>
        <w:tc>
          <w:tcPr>
            <w:tcW w:w="8221" w:type="dxa"/>
            <w:gridSpan w:val="3"/>
            <w:tcBorders>
              <w:top w:val="nil"/>
              <w:left w:val="nil"/>
              <w:bottom w:val="nil"/>
              <w:right w:val="nil"/>
            </w:tcBorders>
            <w:shd w:val="clear" w:color="auto" w:fill="auto"/>
            <w:tcMar>
              <w:top w:w="288" w:type="dxa"/>
            </w:tcMar>
          </w:tcPr>
          <w:p w:rsidR="0056100A" w:rsidRDefault="0056100A" w:rsidP="0056100A">
            <w:pPr>
              <w:pStyle w:val="MemoHeadingRe"/>
            </w:pPr>
            <w:bookmarkStart w:id="2" w:name="Re"/>
            <w:r>
              <w:t>Docket No. 20200245-EI – Petition for a limited proceeding to approve third solar base rate adjustment, by Duke Energy Florida, LLC.</w:t>
            </w:r>
            <w:bookmarkEnd w:id="2"/>
          </w:p>
        </w:tc>
      </w:tr>
      <w:tr w:rsidR="002078CD">
        <w:tc>
          <w:tcPr>
            <w:tcW w:w="1254" w:type="dxa"/>
            <w:tcBorders>
              <w:top w:val="nil"/>
              <w:left w:val="nil"/>
              <w:bottom w:val="nil"/>
              <w:right w:val="nil"/>
            </w:tcBorders>
            <w:shd w:val="clear" w:color="auto" w:fill="auto"/>
            <w:tcMar>
              <w:top w:w="288" w:type="dxa"/>
              <w:bottom w:w="0" w:type="dxa"/>
              <w:right w:w="0" w:type="dxa"/>
            </w:tcMar>
          </w:tcPr>
          <w:p w:rsidR="002078CD" w:rsidRDefault="002078CD" w:rsidP="002078CD">
            <w:pPr>
              <w:pStyle w:val="MemoHeadingLabel"/>
            </w:pPr>
            <w:r>
              <w:t>AGENDA:</w:t>
            </w:r>
          </w:p>
        </w:tc>
        <w:tc>
          <w:tcPr>
            <w:tcW w:w="8221" w:type="dxa"/>
            <w:gridSpan w:val="3"/>
            <w:tcBorders>
              <w:top w:val="nil"/>
              <w:left w:val="nil"/>
              <w:bottom w:val="nil"/>
              <w:right w:val="nil"/>
            </w:tcBorders>
            <w:shd w:val="clear" w:color="auto" w:fill="auto"/>
            <w:tcMar>
              <w:top w:w="288" w:type="dxa"/>
            </w:tcMar>
          </w:tcPr>
          <w:p w:rsidR="002078CD" w:rsidRDefault="002078CD" w:rsidP="000612D3">
            <w:pPr>
              <w:pStyle w:val="MemoHeading"/>
            </w:pPr>
            <w:bookmarkStart w:id="3" w:name="AgendaDate"/>
            <w:r>
              <w:t>02/02/21</w:t>
            </w:r>
            <w:bookmarkEnd w:id="3"/>
            <w:r>
              <w:t xml:space="preserve"> – </w:t>
            </w:r>
            <w:bookmarkStart w:id="4" w:name="PermittedStatus"/>
            <w:r w:rsidR="00455F14" w:rsidRPr="000612D3">
              <w:t xml:space="preserve">Regular Agenda – </w:t>
            </w:r>
            <w:r w:rsidR="000612D3" w:rsidRPr="000612D3">
              <w:t>Tariff Filing</w:t>
            </w:r>
            <w:r w:rsidR="00455F14" w:rsidRPr="000612D3">
              <w:t xml:space="preserve"> – Interested Persons May Participate</w:t>
            </w:r>
            <w:bookmarkEnd w:id="4"/>
          </w:p>
        </w:tc>
      </w:tr>
      <w:tr w:rsidR="002078CD">
        <w:tc>
          <w:tcPr>
            <w:tcW w:w="3690" w:type="dxa"/>
            <w:gridSpan w:val="3"/>
            <w:tcBorders>
              <w:top w:val="nil"/>
              <w:left w:val="nil"/>
              <w:bottom w:val="nil"/>
              <w:right w:val="nil"/>
            </w:tcBorders>
            <w:shd w:val="clear" w:color="auto" w:fill="auto"/>
            <w:tcMar>
              <w:top w:w="288" w:type="dxa"/>
              <w:bottom w:w="0" w:type="dxa"/>
              <w:right w:w="0" w:type="dxa"/>
            </w:tcMar>
          </w:tcPr>
          <w:p w:rsidR="002078CD" w:rsidRDefault="002078CD" w:rsidP="002078CD">
            <w:pPr>
              <w:pStyle w:val="MemoHeadingLabel"/>
            </w:pPr>
            <w:r>
              <w:t>COMMISSIONERS ASSIGNED:</w:t>
            </w:r>
          </w:p>
        </w:tc>
        <w:tc>
          <w:tcPr>
            <w:tcW w:w="5785" w:type="dxa"/>
            <w:tcBorders>
              <w:top w:val="nil"/>
              <w:left w:val="nil"/>
              <w:bottom w:val="nil"/>
              <w:right w:val="nil"/>
            </w:tcBorders>
            <w:shd w:val="clear" w:color="auto" w:fill="auto"/>
          </w:tcPr>
          <w:p w:rsidR="002078CD" w:rsidRDefault="002078CD" w:rsidP="002078CD">
            <w:pPr>
              <w:pStyle w:val="MemoHeading"/>
            </w:pPr>
            <w:bookmarkStart w:id="5" w:name="CommissionersAssigned"/>
            <w:bookmarkEnd w:id="5"/>
            <w:r>
              <w:t>All Commissioners</w:t>
            </w:r>
          </w:p>
        </w:tc>
      </w:tr>
      <w:tr w:rsidR="002078CD">
        <w:tc>
          <w:tcPr>
            <w:tcW w:w="3690" w:type="dxa"/>
            <w:gridSpan w:val="3"/>
            <w:tcBorders>
              <w:top w:val="nil"/>
              <w:left w:val="nil"/>
              <w:bottom w:val="nil"/>
              <w:right w:val="nil"/>
            </w:tcBorders>
            <w:shd w:val="clear" w:color="auto" w:fill="auto"/>
            <w:tcMar>
              <w:top w:w="288" w:type="dxa"/>
              <w:bottom w:w="0" w:type="dxa"/>
              <w:right w:w="0" w:type="dxa"/>
            </w:tcMar>
          </w:tcPr>
          <w:p w:rsidR="002078CD" w:rsidRDefault="002078CD" w:rsidP="002078CD">
            <w:pPr>
              <w:pStyle w:val="MemoHeadingLabel"/>
            </w:pPr>
            <w:r>
              <w:t>PREHEARING OFFICER:</w:t>
            </w:r>
          </w:p>
        </w:tc>
        <w:tc>
          <w:tcPr>
            <w:tcW w:w="5785" w:type="dxa"/>
            <w:tcBorders>
              <w:top w:val="nil"/>
              <w:left w:val="nil"/>
              <w:bottom w:val="nil"/>
              <w:right w:val="nil"/>
            </w:tcBorders>
            <w:shd w:val="clear" w:color="auto" w:fill="auto"/>
          </w:tcPr>
          <w:p w:rsidR="002078CD" w:rsidRDefault="002078CD" w:rsidP="002078CD">
            <w:pPr>
              <w:pStyle w:val="MemoHeading"/>
            </w:pPr>
            <w:bookmarkStart w:id="6" w:name="PrehearingOfficer"/>
            <w:r>
              <w:t>Graham</w:t>
            </w:r>
            <w:bookmarkEnd w:id="6"/>
          </w:p>
        </w:tc>
      </w:tr>
      <w:tr w:rsidR="002078CD" w:rsidTr="0093658B">
        <w:tc>
          <w:tcPr>
            <w:tcW w:w="3690" w:type="dxa"/>
            <w:gridSpan w:val="3"/>
            <w:tcBorders>
              <w:top w:val="nil"/>
              <w:left w:val="nil"/>
              <w:bottom w:val="nil"/>
              <w:right w:val="nil"/>
            </w:tcBorders>
            <w:shd w:val="clear" w:color="auto" w:fill="auto"/>
            <w:tcMar>
              <w:top w:w="288" w:type="dxa"/>
              <w:bottom w:w="0" w:type="dxa"/>
              <w:right w:w="0" w:type="dxa"/>
            </w:tcMar>
          </w:tcPr>
          <w:p w:rsidR="002078CD" w:rsidRDefault="002078CD" w:rsidP="002078CD">
            <w:pPr>
              <w:pStyle w:val="MemoHeadingLabel"/>
            </w:pPr>
            <w:bookmarkStart w:id="7" w:name="CriticalDatesLabel"/>
            <w:r>
              <w:t>CRITICAL DATES:</w:t>
            </w:r>
            <w:bookmarkEnd w:id="7"/>
          </w:p>
        </w:tc>
        <w:tc>
          <w:tcPr>
            <w:tcW w:w="5785" w:type="dxa"/>
            <w:tcBorders>
              <w:top w:val="nil"/>
              <w:left w:val="nil"/>
              <w:bottom w:val="nil"/>
              <w:right w:val="nil"/>
            </w:tcBorders>
            <w:shd w:val="clear" w:color="auto" w:fill="auto"/>
          </w:tcPr>
          <w:p w:rsidR="002078CD" w:rsidRPr="00F46DD8" w:rsidRDefault="00974A9C" w:rsidP="00BB12C7">
            <w:pPr>
              <w:pStyle w:val="MemoHeading"/>
            </w:pPr>
            <w:r>
              <w:t>7/18/21</w:t>
            </w:r>
            <w:r w:rsidR="00BB12C7" w:rsidRPr="00F46DD8">
              <w:t xml:space="preserve"> </w:t>
            </w:r>
            <w:r w:rsidR="000467EF">
              <w:t>(8-</w:t>
            </w:r>
            <w:r w:rsidR="000612D3" w:rsidRPr="00F46DD8">
              <w:t>Month Tariff Suspension Date</w:t>
            </w:r>
            <w:r w:rsidR="0054337B" w:rsidRPr="00F46DD8">
              <w:t>)</w:t>
            </w:r>
          </w:p>
        </w:tc>
      </w:tr>
      <w:tr w:rsidR="002078CD"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2078CD" w:rsidRDefault="002078CD" w:rsidP="002078CD">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2078CD" w:rsidRDefault="002078CD" w:rsidP="002078CD">
            <w:pPr>
              <w:pStyle w:val="MemoHeading"/>
            </w:pPr>
            <w:bookmarkStart w:id="8" w:name="SpecialInstructions"/>
            <w:r>
              <w:t>None</w:t>
            </w:r>
            <w:bookmarkEnd w:id="8"/>
          </w:p>
        </w:tc>
      </w:tr>
    </w:tbl>
    <w:p w:rsidR="007C0528" w:rsidRDefault="007C0528">
      <w:pPr>
        <w:pStyle w:val="BodyText"/>
      </w:pPr>
    </w:p>
    <w:p w:rsidR="007C0528" w:rsidRDefault="007C0528">
      <w:pPr>
        <w:pStyle w:val="RecommendationMajorSectionHeading"/>
      </w:pPr>
      <w:bookmarkStart w:id="9" w:name="RecToC"/>
      <w:bookmarkEnd w:id="9"/>
      <w:r>
        <w:t xml:space="preserve"> </w:t>
      </w:r>
      <w:bookmarkStart w:id="10" w:name="CaseBackground"/>
      <w:r>
        <w:t>Case Background</w:t>
      </w:r>
      <w:r>
        <w:fldChar w:fldCharType="begin"/>
      </w:r>
      <w:r>
        <w:instrText xml:space="preserve"> TC  "</w:instrText>
      </w:r>
      <w:r>
        <w:tab/>
      </w:r>
      <w:bookmarkStart w:id="11" w:name="_Toc94516455"/>
      <w:r>
        <w:instrText>Case Background</w:instrText>
      </w:r>
      <w:bookmarkEnd w:id="11"/>
      <w:r>
        <w:instrText xml:space="preserve">" \l 1 </w:instrText>
      </w:r>
      <w:r>
        <w:fldChar w:fldCharType="end"/>
      </w:r>
    </w:p>
    <w:p w:rsidR="00455F14" w:rsidRDefault="00455F14" w:rsidP="00455F14">
      <w:pPr>
        <w:pStyle w:val="BodyText"/>
      </w:pPr>
      <w:r>
        <w:t>By Order No. PSC-2017-0451-AS-EU, issued on November 20, 2017, the Florida Public Service Commission (Commission) approved Duke Energy Florida</w:t>
      </w:r>
      <w:r w:rsidR="000C1C21">
        <w:t>,</w:t>
      </w:r>
      <w:r>
        <w:t xml:space="preserve"> LLC</w:t>
      </w:r>
      <w:r w:rsidR="00901CC1">
        <w:t>’s</w:t>
      </w:r>
      <w:r>
        <w:t xml:space="preserve"> (DEF or Company) Second Revised and Restated Settlement Agreement (2017 Settlement).</w:t>
      </w:r>
      <w:r w:rsidR="00127C95">
        <w:rPr>
          <w:rStyle w:val="FootnoteReference"/>
        </w:rPr>
        <w:footnoteReference w:id="1"/>
      </w:r>
      <w:r w:rsidR="00534803">
        <w:t xml:space="preserve"> </w:t>
      </w:r>
      <w:r>
        <w:t>The 2017 Settlement allows for the inclusion into base rates of up to 700 megawatts (MW) of solar projects which meet certain criteria through a Solar Base Rate Adjustment (SoBRA) mechanism.</w:t>
      </w:r>
    </w:p>
    <w:p w:rsidR="00455F14" w:rsidRDefault="00455F14" w:rsidP="00455F14">
      <w:pPr>
        <w:pStyle w:val="BodyText"/>
      </w:pPr>
      <w:r>
        <w:lastRenderedPageBreak/>
        <w:t xml:space="preserve">On April 30, 2019, the Commission approved DEF’s First SoBRA tranche which consisted of two solar </w:t>
      </w:r>
      <w:r w:rsidR="009F54F9">
        <w:t>projects, Hamilton and Columbia</w:t>
      </w:r>
      <w:r>
        <w:t xml:space="preserve"> with a total installed capacity of 149.8 MW.</w:t>
      </w:r>
      <w:r w:rsidR="00127C95">
        <w:rPr>
          <w:rStyle w:val="FootnoteReference"/>
        </w:rPr>
        <w:footnoteReference w:id="2"/>
      </w:r>
      <w:r w:rsidR="0049546B">
        <w:t xml:space="preserve"> </w:t>
      </w:r>
      <w:r>
        <w:t xml:space="preserve">On July 22, 2019, the Commission approved DEF’s Second SoBRA tranche which consisted of three solar projects, Trenton, Lake Placid, and </w:t>
      </w:r>
      <w:proofErr w:type="spellStart"/>
      <w:r>
        <w:t>DeBary</w:t>
      </w:r>
      <w:proofErr w:type="spellEnd"/>
      <w:r>
        <w:t xml:space="preserve"> with a total installed capacity of 194.4 MW.</w:t>
      </w:r>
      <w:r w:rsidR="00127C95">
        <w:rPr>
          <w:rStyle w:val="FootnoteReference"/>
        </w:rPr>
        <w:footnoteReference w:id="3"/>
      </w:r>
    </w:p>
    <w:p w:rsidR="000612D3" w:rsidRDefault="00455F14" w:rsidP="00455F14">
      <w:pPr>
        <w:pStyle w:val="BodyText"/>
      </w:pPr>
      <w:r>
        <w:t>On May 29, 2020, DEF filed a petition for approval of the Third SoBRA tranche which consisted of five solar projects, Twin Rivers, Santa Fe, Cha</w:t>
      </w:r>
      <w:r w:rsidR="000612D3">
        <w:t xml:space="preserve">rlie Creek, </w:t>
      </w:r>
      <w:proofErr w:type="spellStart"/>
      <w:r w:rsidR="000612D3">
        <w:t>Duette</w:t>
      </w:r>
      <w:proofErr w:type="spellEnd"/>
      <w:r w:rsidR="000612D3">
        <w:t>, and Archer, which established Docket No. 20200153-EI.</w:t>
      </w:r>
      <w:r w:rsidR="000612D3">
        <w:rPr>
          <w:rStyle w:val="FootnoteReference"/>
        </w:rPr>
        <w:footnoteReference w:id="4"/>
      </w:r>
      <w:r w:rsidR="000612D3">
        <w:t xml:space="preserve"> On November 17, 2020, due to permitting issues for the Archer solar project located in Alachua County, DEF filed a notice of withdrawal and the docket was subsequently closed.</w:t>
      </w:r>
      <w:r w:rsidR="000612D3">
        <w:rPr>
          <w:rStyle w:val="FootnoteReference"/>
        </w:rPr>
        <w:footnoteReference w:id="5"/>
      </w:r>
    </w:p>
    <w:p w:rsidR="00455F14" w:rsidRDefault="00455F14" w:rsidP="00455F14">
      <w:pPr>
        <w:pStyle w:val="BodyText"/>
      </w:pPr>
      <w:r>
        <w:t>On</w:t>
      </w:r>
      <w:r w:rsidR="000612D3">
        <w:t xml:space="preserve"> November 11, 2020, DEF filed the instant</w:t>
      </w:r>
      <w:r>
        <w:t xml:space="preserve"> petition for approval of the Third SoBRA tranche which consists of five solar projects, Twin Rivers, Santa Fe, Charlie Creek, </w:t>
      </w:r>
      <w:proofErr w:type="spellStart"/>
      <w:r>
        <w:t>Duette</w:t>
      </w:r>
      <w:proofErr w:type="spellEnd"/>
      <w:r>
        <w:t>, and Sandy Creek</w:t>
      </w:r>
      <w:r w:rsidR="004E188E">
        <w:t xml:space="preserve">. The petition is similar in scope </w:t>
      </w:r>
      <w:r w:rsidR="005B5A4A">
        <w:t xml:space="preserve">to that filed in Docket No. 20200153-EI </w:t>
      </w:r>
      <w:r w:rsidR="004E188E">
        <w:t>with the Archer project being replaced by the Sandy Creek project. While the total installed capacity of the projects is 374.</w:t>
      </w:r>
      <w:r w:rsidR="00B70D67">
        <w:t>1</w:t>
      </w:r>
      <w:r w:rsidR="004E188E">
        <w:t xml:space="preserve"> MW, DEF is seeking recovery of only 355.8 MW. This represents the remaining capacity available through the 20</w:t>
      </w:r>
      <w:r w:rsidR="005B5A4A">
        <w:t>17 Settlement’s SoBRA Mechanism</w:t>
      </w:r>
      <w:r w:rsidR="000467EF">
        <w:t>.</w:t>
      </w:r>
    </w:p>
    <w:p w:rsidR="0068481F" w:rsidRDefault="00455F14" w:rsidP="00455F14">
      <w:pPr>
        <w:pStyle w:val="BodyText"/>
      </w:pPr>
      <w:r>
        <w:t>The Commission has jurisdiction pursuant to Sections 366.0</w:t>
      </w:r>
      <w:r w:rsidR="000467EF">
        <w:t>6 and 366.076, Florida Statutes,</w:t>
      </w:r>
      <w:r>
        <w:t xml:space="preserve"> (F.S.)</w:t>
      </w:r>
      <w:r w:rsidR="000467EF">
        <w:t>.</w:t>
      </w:r>
    </w:p>
    <w:bookmarkEnd w:id="10"/>
    <w:p w:rsidR="00F57E9F" w:rsidRPr="00F57E9F" w:rsidRDefault="00F57E9F" w:rsidP="00F57E9F"/>
    <w:p w:rsidR="00F57E9F" w:rsidRPr="00F57E9F" w:rsidRDefault="00F57E9F" w:rsidP="00F57E9F"/>
    <w:p w:rsidR="00F57E9F" w:rsidRPr="00F57E9F" w:rsidRDefault="00F57E9F" w:rsidP="00F57E9F"/>
    <w:p w:rsidR="00F57E9F" w:rsidRPr="00F57E9F" w:rsidRDefault="00F57E9F" w:rsidP="00F57E9F"/>
    <w:p w:rsidR="00F57E9F" w:rsidRDefault="00F57E9F" w:rsidP="00F57E9F">
      <w:pPr>
        <w:tabs>
          <w:tab w:val="left" w:pos="5460"/>
        </w:tabs>
      </w:pPr>
    </w:p>
    <w:p w:rsidR="00EA2273" w:rsidRPr="00F57E9F" w:rsidRDefault="00EA2273" w:rsidP="00F57E9F">
      <w:pPr>
        <w:tabs>
          <w:tab w:val="left" w:pos="5460"/>
        </w:tabs>
        <w:sectPr w:rsidR="00EA2273" w:rsidRPr="00F57E9F">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4" w:name="DiscussionOfIssues"/>
      <w:r>
        <w:lastRenderedPageBreak/>
        <w:t>Discussion of Issues</w:t>
      </w:r>
    </w:p>
    <w:bookmarkEnd w:id="14"/>
    <w:p w:rsidR="00CC0185" w:rsidRDefault="00CC0185">
      <w:pPr>
        <w:pStyle w:val="IssueHeading"/>
        <w:rPr>
          <w:vanish/>
          <w:specVanish/>
        </w:rPr>
      </w:pPr>
      <w:r w:rsidRPr="004C3641">
        <w:t xml:space="preserve">Issue </w:t>
      </w:r>
      <w:r w:rsidR="00DC71C7">
        <w:fldChar w:fldCharType="begin"/>
      </w:r>
      <w:r w:rsidR="00DC71C7">
        <w:instrText xml:space="preserve"> SEQ Issue \* MERGEFORMAT </w:instrText>
      </w:r>
      <w:r w:rsidR="00DC71C7">
        <w:fldChar w:fldCharType="separate"/>
      </w:r>
      <w:r>
        <w:rPr>
          <w:noProof/>
        </w:rPr>
        <w:t>1</w:t>
      </w:r>
      <w:r w:rsidR="00DC71C7">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 \l 1 </w:instrText>
      </w:r>
      <w:r>
        <w:fldChar w:fldCharType="end"/>
      </w:r>
      <w:r>
        <w:t> </w:t>
      </w:r>
    </w:p>
    <w:p w:rsidR="00CC0185" w:rsidRDefault="00CC0185">
      <w:pPr>
        <w:pStyle w:val="BodyText"/>
      </w:pPr>
      <w:r>
        <w:t> </w:t>
      </w:r>
      <w:r w:rsidR="0092006C">
        <w:t>Are the installed costs of the solar p</w:t>
      </w:r>
      <w:r w:rsidR="0058021F">
        <w:t>rojects proposed by DEF (Twin Rivers, Santa Fe, C</w:t>
      </w:r>
      <w:r w:rsidR="00F620BF">
        <w:t xml:space="preserve">harlie Creek, </w:t>
      </w:r>
      <w:proofErr w:type="spellStart"/>
      <w:r w:rsidR="00F620BF">
        <w:t>Duette</w:t>
      </w:r>
      <w:proofErr w:type="spellEnd"/>
      <w:r w:rsidR="00F620BF">
        <w:t>, and Sandy Creek</w:t>
      </w:r>
      <w:r w:rsidR="0058021F">
        <w:t xml:space="preserve">) within the </w:t>
      </w:r>
      <w:r w:rsidR="00610B92">
        <w:t>i</w:t>
      </w:r>
      <w:r w:rsidR="0058021F">
        <w:t xml:space="preserve">nstalled </w:t>
      </w:r>
      <w:r w:rsidR="00610B92">
        <w:t>c</w:t>
      </w:r>
      <w:r w:rsidR="0058021F">
        <w:t xml:space="preserve">ost </w:t>
      </w:r>
      <w:r w:rsidR="00610B92">
        <w:t>c</w:t>
      </w:r>
      <w:r w:rsidR="0058021F">
        <w:t xml:space="preserve">ap </w:t>
      </w:r>
      <w:r w:rsidR="00127C95">
        <w:t>required</w:t>
      </w:r>
      <w:r w:rsidR="0058021F">
        <w:t xml:space="preserve"> </w:t>
      </w:r>
      <w:r w:rsidR="00127C95">
        <w:t>by</w:t>
      </w:r>
      <w:r w:rsidR="0058021F">
        <w:t xml:space="preserve"> subparagraph 15(a) of the 2017 Settlement?</w:t>
      </w:r>
    </w:p>
    <w:p w:rsidR="00CC0185" w:rsidRPr="004C3641" w:rsidRDefault="00CC0185">
      <w:pPr>
        <w:pStyle w:val="IssueSubsectionHeading"/>
        <w:rPr>
          <w:vanish/>
          <w:specVanish/>
        </w:rPr>
      </w:pPr>
      <w:r w:rsidRPr="004C3641">
        <w:t>Recommendation: </w:t>
      </w:r>
    </w:p>
    <w:p w:rsidR="00CC0185" w:rsidRDefault="00CC0185">
      <w:pPr>
        <w:pStyle w:val="BodyText"/>
      </w:pPr>
      <w:r>
        <w:t> </w:t>
      </w:r>
      <w:r w:rsidR="00127C95">
        <w:t>Yes. The</w:t>
      </w:r>
      <w:r w:rsidR="008F6ED8">
        <w:t xml:space="preserve"> estimated</w:t>
      </w:r>
      <w:r w:rsidR="00370B55">
        <w:t xml:space="preserve"> installed costs appear reasonable and the</w:t>
      </w:r>
      <w:r w:rsidR="005E2210">
        <w:t xml:space="preserve"> resulting</w:t>
      </w:r>
      <w:r w:rsidR="008F6ED8">
        <w:t xml:space="preserve"> weighted average</w:t>
      </w:r>
      <w:r w:rsidR="00127C95">
        <w:t xml:space="preserve"> cost </w:t>
      </w:r>
      <w:r w:rsidR="008F6ED8">
        <w:t>of the combined projects in</w:t>
      </w:r>
      <w:r w:rsidR="00127C95">
        <w:t xml:space="preserve"> DEF’s Third SoBRA</w:t>
      </w:r>
      <w:r w:rsidR="008F6ED8">
        <w:t xml:space="preserve"> tranche is</w:t>
      </w:r>
      <w:r w:rsidR="00127C95">
        <w:t xml:space="preserve"> below the </w:t>
      </w:r>
      <w:r w:rsidR="00610B92">
        <w:t xml:space="preserve">installed </w:t>
      </w:r>
      <w:r w:rsidR="00127C95">
        <w:t>cost cap</w:t>
      </w:r>
      <w:r w:rsidR="00F620BF">
        <w:t xml:space="preserve"> of $1,650 </w:t>
      </w:r>
      <w:r w:rsidR="00E20BE6">
        <w:t>per kilowatt alternating current (</w:t>
      </w:r>
      <w:proofErr w:type="spellStart"/>
      <w:r w:rsidR="00E20BE6">
        <w:t>kW</w:t>
      </w:r>
      <w:r w:rsidR="00E20BE6">
        <w:rPr>
          <w:vertAlign w:val="subscript"/>
        </w:rPr>
        <w:t>ac</w:t>
      </w:r>
      <w:proofErr w:type="spellEnd"/>
      <w:r w:rsidR="00E20BE6">
        <w:t>)</w:t>
      </w:r>
      <w:r w:rsidR="00127C95">
        <w:t>, as required by the 2017 Settlement. (Phillips)</w:t>
      </w:r>
    </w:p>
    <w:p w:rsidR="00CC0185" w:rsidRPr="004C3641" w:rsidRDefault="00CC0185">
      <w:pPr>
        <w:pStyle w:val="IssueSubsectionHeading"/>
        <w:rPr>
          <w:vanish/>
          <w:specVanish/>
        </w:rPr>
      </w:pPr>
      <w:r w:rsidRPr="004C3641">
        <w:t>Staff Analysis: </w:t>
      </w:r>
    </w:p>
    <w:p w:rsidR="00CC0185" w:rsidRDefault="00CC0185">
      <w:pPr>
        <w:pStyle w:val="BodyText"/>
      </w:pPr>
      <w:r>
        <w:t> </w:t>
      </w:r>
      <w:r w:rsidR="00370B55">
        <w:t>T</w:t>
      </w:r>
      <w:r w:rsidR="004E188E" w:rsidRPr="004E188E">
        <w:t>he Third SoBRA t</w:t>
      </w:r>
      <w:r w:rsidR="00841028">
        <w:t xml:space="preserve">ranche consists of </w:t>
      </w:r>
      <w:r w:rsidR="0092006C">
        <w:t xml:space="preserve">five </w:t>
      </w:r>
      <w:r w:rsidR="00E2695F">
        <w:t>projects:</w:t>
      </w:r>
      <w:r w:rsidR="004E188E" w:rsidRPr="004E188E">
        <w:t xml:space="preserve"> Twin Rivers, Santa Fe, Charlie Creek, </w:t>
      </w:r>
      <w:proofErr w:type="spellStart"/>
      <w:r w:rsidR="004E188E" w:rsidRPr="004E188E">
        <w:t>Duette</w:t>
      </w:r>
      <w:proofErr w:type="spellEnd"/>
      <w:r w:rsidR="004E188E" w:rsidRPr="004E188E">
        <w:t xml:space="preserve">, and Sandy Creek. </w:t>
      </w:r>
      <w:r w:rsidR="001429E2">
        <w:t>Each of the projects is</w:t>
      </w:r>
      <w:r w:rsidR="004E188E">
        <w:t xml:space="preserve"> designed to be approximately 75 MW.</w:t>
      </w:r>
      <w:r w:rsidR="004E188E" w:rsidRPr="004E188E">
        <w:t xml:space="preserve"> The capacity and</w:t>
      </w:r>
      <w:r w:rsidR="00503FDD">
        <w:t xml:space="preserve"> projected</w:t>
      </w:r>
      <w:r w:rsidR="007B0837">
        <w:t xml:space="preserve"> </w:t>
      </w:r>
      <w:r w:rsidR="007B0837" w:rsidRPr="007A4FB3">
        <w:t>in-</w:t>
      </w:r>
      <w:r w:rsidR="004E188E" w:rsidRPr="007A4FB3">
        <w:t>service</w:t>
      </w:r>
      <w:r w:rsidR="00CA19B7">
        <w:t xml:space="preserve"> dates for each project are</w:t>
      </w:r>
      <w:r w:rsidR="004E188E" w:rsidRPr="004E188E">
        <w:t xml:space="preserve"> listed in Table 1-1.</w:t>
      </w:r>
      <w:r w:rsidR="0025150F">
        <w:t xml:space="preserve"> DEF is only seeking recovery through the SoBRA Mechanism of 56.6 MW of the Sandy Creek project. The recovery of the remaining 18.3 MW of capacity may be addressed in a future docket.</w:t>
      </w:r>
    </w:p>
    <w:p w:rsidR="00B70D67" w:rsidRDefault="00B70D67" w:rsidP="00B70D67">
      <w:pPr>
        <w:pStyle w:val="TableNumber"/>
        <w:keepNext/>
      </w:pPr>
      <w:r>
        <w:t xml:space="preserve">Table </w:t>
      </w:r>
      <w:r w:rsidR="00DC71C7">
        <w:fldChar w:fldCharType="begin"/>
      </w:r>
      <w:r w:rsidR="00DC71C7">
        <w:instrText xml:space="preserve"> SEQ Issue \c </w:instrText>
      </w:r>
      <w:r w:rsidR="00DC71C7">
        <w:fldChar w:fldCharType="separate"/>
      </w:r>
      <w:r>
        <w:rPr>
          <w:noProof/>
        </w:rPr>
        <w:t>1</w:t>
      </w:r>
      <w:r w:rsidR="00DC71C7">
        <w:rPr>
          <w:noProof/>
        </w:rPr>
        <w:fldChar w:fldCharType="end"/>
      </w:r>
      <w:r>
        <w:t>-</w:t>
      </w:r>
      <w:r w:rsidR="0025150F">
        <w:t>1</w:t>
      </w:r>
    </w:p>
    <w:p w:rsidR="00B70D67" w:rsidRDefault="00610B92" w:rsidP="00B70D67">
      <w:pPr>
        <w:pStyle w:val="TableTitle"/>
        <w:keepNext/>
      </w:pPr>
      <w:r>
        <w:t xml:space="preserve">Installed </w:t>
      </w:r>
      <w:r w:rsidR="0025150F">
        <w:t xml:space="preserve">Capacity and </w:t>
      </w:r>
      <w:r w:rsidR="00503FDD">
        <w:t xml:space="preserve">Projected </w:t>
      </w:r>
      <w:r w:rsidR="0025150F">
        <w:t>In-Service dates of Third SoBRA Tranche</w:t>
      </w:r>
    </w:p>
    <w:tbl>
      <w:tblPr>
        <w:tblStyle w:val="TableGrid"/>
        <w:tblW w:w="5000" w:type="pct"/>
        <w:tblLook w:val="04A0" w:firstRow="1" w:lastRow="0" w:firstColumn="1" w:lastColumn="0" w:noHBand="0" w:noVBand="1"/>
      </w:tblPr>
      <w:tblGrid>
        <w:gridCol w:w="3192"/>
        <w:gridCol w:w="3193"/>
        <w:gridCol w:w="3191"/>
      </w:tblGrid>
      <w:tr w:rsidR="0025150F" w:rsidTr="0025150F">
        <w:tc>
          <w:tcPr>
            <w:tcW w:w="1667" w:type="pct"/>
          </w:tcPr>
          <w:p w:rsidR="0025150F" w:rsidRPr="0025150F" w:rsidRDefault="0025150F" w:rsidP="00610B92">
            <w:pPr>
              <w:jc w:val="center"/>
              <w:rPr>
                <w:b/>
              </w:rPr>
            </w:pPr>
            <w:r w:rsidRPr="0025150F">
              <w:rPr>
                <w:b/>
              </w:rPr>
              <w:t>Project Name</w:t>
            </w:r>
          </w:p>
        </w:tc>
        <w:tc>
          <w:tcPr>
            <w:tcW w:w="1667" w:type="pct"/>
          </w:tcPr>
          <w:p w:rsidR="0025150F" w:rsidRPr="0025150F" w:rsidRDefault="0025150F" w:rsidP="00610B92">
            <w:pPr>
              <w:jc w:val="center"/>
              <w:rPr>
                <w:b/>
              </w:rPr>
            </w:pPr>
            <w:r w:rsidRPr="0025150F">
              <w:rPr>
                <w:b/>
              </w:rPr>
              <w:t>Capacity (MW)</w:t>
            </w:r>
          </w:p>
        </w:tc>
        <w:tc>
          <w:tcPr>
            <w:tcW w:w="1667" w:type="pct"/>
          </w:tcPr>
          <w:p w:rsidR="0025150F" w:rsidRPr="0025150F" w:rsidRDefault="00FF1BD5" w:rsidP="00610B92">
            <w:pPr>
              <w:jc w:val="center"/>
              <w:rPr>
                <w:b/>
              </w:rPr>
            </w:pPr>
            <w:r>
              <w:rPr>
                <w:b/>
              </w:rPr>
              <w:t xml:space="preserve">Estimated </w:t>
            </w:r>
            <w:r w:rsidR="0025150F" w:rsidRPr="0025150F">
              <w:rPr>
                <w:b/>
              </w:rPr>
              <w:t>In-Service Date</w:t>
            </w:r>
          </w:p>
        </w:tc>
      </w:tr>
      <w:tr w:rsidR="0025150F" w:rsidTr="0025150F">
        <w:tc>
          <w:tcPr>
            <w:tcW w:w="1667" w:type="pct"/>
          </w:tcPr>
          <w:p w:rsidR="0025150F" w:rsidRDefault="0025150F" w:rsidP="0025150F">
            <w:pPr>
              <w:ind w:left="2160" w:hanging="2160"/>
            </w:pPr>
            <w:r>
              <w:t>Twin Rivers</w:t>
            </w:r>
          </w:p>
        </w:tc>
        <w:tc>
          <w:tcPr>
            <w:tcW w:w="1667" w:type="pct"/>
          </w:tcPr>
          <w:p w:rsidR="0025150F" w:rsidRDefault="0025150F" w:rsidP="00610B92">
            <w:pPr>
              <w:ind w:left="2160" w:hanging="2160"/>
              <w:jc w:val="center"/>
            </w:pPr>
            <w:r>
              <w:t>74.9</w:t>
            </w:r>
          </w:p>
        </w:tc>
        <w:tc>
          <w:tcPr>
            <w:tcW w:w="1667" w:type="pct"/>
          </w:tcPr>
          <w:p w:rsidR="0025150F" w:rsidRPr="007A4FB3" w:rsidRDefault="007B0837" w:rsidP="00610B92">
            <w:pPr>
              <w:ind w:left="2160" w:hanging="2160"/>
              <w:jc w:val="center"/>
            </w:pPr>
            <w:r w:rsidRPr="007A4FB3">
              <w:t>February</w:t>
            </w:r>
            <w:r w:rsidR="0025150F" w:rsidRPr="007A4FB3">
              <w:t xml:space="preserve"> 2021</w:t>
            </w:r>
          </w:p>
        </w:tc>
      </w:tr>
      <w:tr w:rsidR="0025150F" w:rsidTr="0025150F">
        <w:tc>
          <w:tcPr>
            <w:tcW w:w="1667" w:type="pct"/>
          </w:tcPr>
          <w:p w:rsidR="0025150F" w:rsidRDefault="0025150F" w:rsidP="0025150F">
            <w:pPr>
              <w:ind w:left="2160" w:hanging="2160"/>
            </w:pPr>
            <w:r>
              <w:t>Santa Fe</w:t>
            </w:r>
          </w:p>
        </w:tc>
        <w:tc>
          <w:tcPr>
            <w:tcW w:w="1667" w:type="pct"/>
          </w:tcPr>
          <w:p w:rsidR="0025150F" w:rsidRDefault="0025150F" w:rsidP="00610B92">
            <w:pPr>
              <w:ind w:left="2160" w:hanging="2160"/>
              <w:jc w:val="center"/>
            </w:pPr>
            <w:r>
              <w:t>74.9</w:t>
            </w:r>
          </w:p>
        </w:tc>
        <w:tc>
          <w:tcPr>
            <w:tcW w:w="1667" w:type="pct"/>
          </w:tcPr>
          <w:p w:rsidR="0025150F" w:rsidRPr="007A4FB3" w:rsidRDefault="007B0837" w:rsidP="00610B92">
            <w:pPr>
              <w:ind w:left="2160" w:hanging="2160"/>
              <w:jc w:val="center"/>
            </w:pPr>
            <w:r w:rsidRPr="007A4FB3">
              <w:t>March</w:t>
            </w:r>
            <w:r w:rsidR="0025150F" w:rsidRPr="007A4FB3">
              <w:t xml:space="preserve"> 2021</w:t>
            </w:r>
          </w:p>
        </w:tc>
      </w:tr>
      <w:tr w:rsidR="0025150F" w:rsidTr="0025150F">
        <w:tc>
          <w:tcPr>
            <w:tcW w:w="1667" w:type="pct"/>
          </w:tcPr>
          <w:p w:rsidR="0025150F" w:rsidRDefault="0025150F" w:rsidP="0025150F">
            <w:pPr>
              <w:ind w:left="2160" w:hanging="2160"/>
            </w:pPr>
            <w:r>
              <w:t>Charlie Creek</w:t>
            </w:r>
          </w:p>
        </w:tc>
        <w:tc>
          <w:tcPr>
            <w:tcW w:w="1667" w:type="pct"/>
          </w:tcPr>
          <w:p w:rsidR="0025150F" w:rsidRDefault="0025150F" w:rsidP="00610B92">
            <w:pPr>
              <w:ind w:left="2160" w:hanging="2160"/>
              <w:jc w:val="center"/>
            </w:pPr>
            <w:r>
              <w:t>74.9</w:t>
            </w:r>
          </w:p>
        </w:tc>
        <w:tc>
          <w:tcPr>
            <w:tcW w:w="1667" w:type="pct"/>
          </w:tcPr>
          <w:p w:rsidR="0025150F" w:rsidRDefault="0025150F" w:rsidP="00610B92">
            <w:pPr>
              <w:ind w:left="2160" w:hanging="2160"/>
              <w:jc w:val="center"/>
            </w:pPr>
            <w:r>
              <w:t>December 2021</w:t>
            </w:r>
          </w:p>
        </w:tc>
      </w:tr>
      <w:tr w:rsidR="0025150F" w:rsidTr="0025150F">
        <w:tc>
          <w:tcPr>
            <w:tcW w:w="1667" w:type="pct"/>
          </w:tcPr>
          <w:p w:rsidR="0025150F" w:rsidRDefault="0025150F" w:rsidP="0025150F">
            <w:pPr>
              <w:ind w:left="2160" w:hanging="2160"/>
            </w:pPr>
            <w:proofErr w:type="spellStart"/>
            <w:r>
              <w:t>Duette</w:t>
            </w:r>
            <w:proofErr w:type="spellEnd"/>
          </w:p>
        </w:tc>
        <w:tc>
          <w:tcPr>
            <w:tcW w:w="1667" w:type="pct"/>
          </w:tcPr>
          <w:p w:rsidR="0025150F" w:rsidRDefault="0025150F" w:rsidP="00610B92">
            <w:pPr>
              <w:ind w:left="2160" w:hanging="2160"/>
              <w:jc w:val="center"/>
            </w:pPr>
            <w:r>
              <w:t>74.5</w:t>
            </w:r>
          </w:p>
        </w:tc>
        <w:tc>
          <w:tcPr>
            <w:tcW w:w="1667" w:type="pct"/>
          </w:tcPr>
          <w:p w:rsidR="0025150F" w:rsidRDefault="0025150F" w:rsidP="00610B92">
            <w:pPr>
              <w:ind w:left="2160" w:hanging="2160"/>
              <w:jc w:val="center"/>
            </w:pPr>
            <w:r>
              <w:t>December 2021</w:t>
            </w:r>
          </w:p>
        </w:tc>
      </w:tr>
      <w:tr w:rsidR="0025150F" w:rsidTr="0025150F">
        <w:tc>
          <w:tcPr>
            <w:tcW w:w="1667" w:type="pct"/>
          </w:tcPr>
          <w:p w:rsidR="0025150F" w:rsidRDefault="0025150F" w:rsidP="0025150F">
            <w:pPr>
              <w:ind w:left="2160" w:hanging="2160"/>
            </w:pPr>
            <w:r>
              <w:t>Sandy Creek</w:t>
            </w:r>
          </w:p>
        </w:tc>
        <w:tc>
          <w:tcPr>
            <w:tcW w:w="1667" w:type="pct"/>
          </w:tcPr>
          <w:p w:rsidR="0025150F" w:rsidRDefault="0025150F" w:rsidP="00610B92">
            <w:pPr>
              <w:ind w:left="2160" w:hanging="2160"/>
              <w:jc w:val="center"/>
            </w:pPr>
            <w:r>
              <w:t>74.9</w:t>
            </w:r>
            <w:r w:rsidR="00610B92">
              <w:t xml:space="preserve"> (56.6 SoBRA)</w:t>
            </w:r>
          </w:p>
        </w:tc>
        <w:tc>
          <w:tcPr>
            <w:tcW w:w="1667" w:type="pct"/>
          </w:tcPr>
          <w:p w:rsidR="0025150F" w:rsidRDefault="0025150F" w:rsidP="00610B92">
            <w:pPr>
              <w:ind w:left="2160" w:hanging="2160"/>
              <w:jc w:val="center"/>
            </w:pPr>
            <w:r>
              <w:t>April 2022</w:t>
            </w:r>
          </w:p>
        </w:tc>
      </w:tr>
    </w:tbl>
    <w:p w:rsidR="004E188E" w:rsidRPr="00456251" w:rsidRDefault="00B70D67" w:rsidP="00B70D67">
      <w:pPr>
        <w:pStyle w:val="TableSource"/>
        <w:rPr>
          <w:sz w:val="20"/>
          <w:szCs w:val="20"/>
        </w:rPr>
      </w:pPr>
      <w:r w:rsidRPr="00456251">
        <w:rPr>
          <w:sz w:val="20"/>
          <w:szCs w:val="20"/>
        </w:rPr>
        <w:t xml:space="preserve">Source: </w:t>
      </w:r>
      <w:r w:rsidR="00113D7E" w:rsidRPr="00456251">
        <w:rPr>
          <w:sz w:val="20"/>
          <w:szCs w:val="20"/>
        </w:rPr>
        <w:t>Direct Testimony of DEF witness Benjamin M. H. Borsch Exhibit (BMHM-1)</w:t>
      </w:r>
    </w:p>
    <w:p w:rsidR="00370B55" w:rsidRDefault="00370B55" w:rsidP="00370B55">
      <w:pPr>
        <w:pStyle w:val="BodyText"/>
      </w:pPr>
      <w:r>
        <w:t>Paragraph 15 of the 2017 Settlement outlines the conditions under which DEF may seek cost recovery of certain solar facilities. Subparagraph 15(c) outlines the issues to be considered for projects that are below 75 MW. The requirements for average installed cost and overall reasonableness of costs are addressed in this issue, while system cost-effectiveness, and need for the facilities, are addressed in Issues 2 and 3</w:t>
      </w:r>
      <w:r w:rsidR="001429E2">
        <w:t>, respectively</w:t>
      </w:r>
      <w:r>
        <w:t>.</w:t>
      </w:r>
    </w:p>
    <w:p w:rsidR="00503FDD" w:rsidRDefault="00610B92">
      <w:pPr>
        <w:pStyle w:val="BodyText"/>
      </w:pPr>
      <w:r w:rsidRPr="00610B92">
        <w:t xml:space="preserve">Subparagraph 15(a) of the 2017 Settlement specifies </w:t>
      </w:r>
      <w:r w:rsidR="00F27BC2">
        <w:t>that the</w:t>
      </w:r>
      <w:r>
        <w:t xml:space="preserve"> weighted average cost of all projects in a SoBRA tranche </w:t>
      </w:r>
      <w:r w:rsidR="00E20BE6">
        <w:t>may</w:t>
      </w:r>
      <w:r>
        <w:t xml:space="preserve"> be no more than</w:t>
      </w:r>
      <w:r w:rsidRPr="00610B92">
        <w:t xml:space="preserve"> $1,650</w:t>
      </w:r>
      <w:r>
        <w:t xml:space="preserve"> </w:t>
      </w:r>
      <w:r w:rsidR="00E20BE6">
        <w:t xml:space="preserve">per </w:t>
      </w:r>
      <w:proofErr w:type="spellStart"/>
      <w:r>
        <w:t>kW</w:t>
      </w:r>
      <w:r>
        <w:rPr>
          <w:vertAlign w:val="subscript"/>
        </w:rPr>
        <w:t>ac</w:t>
      </w:r>
      <w:proofErr w:type="spellEnd"/>
      <w:r w:rsidR="000239E9">
        <w:t xml:space="preserve"> installed to be eligible for recovery. The 2017 Settlement states all </w:t>
      </w:r>
      <w:r w:rsidR="00A15669">
        <w:t>construction costs for the</w:t>
      </w:r>
      <w:r w:rsidR="000239E9">
        <w:t xml:space="preserve"> projects are to be included, such as land acquisition costs.</w:t>
      </w:r>
      <w:r w:rsidR="00503FDD">
        <w:t xml:space="preserve"> The estimated installed cost and c</w:t>
      </w:r>
      <w:r w:rsidR="00B76EBB">
        <w:t xml:space="preserve">ost per </w:t>
      </w:r>
      <w:proofErr w:type="spellStart"/>
      <w:r w:rsidR="00B76EBB">
        <w:t>kWac</w:t>
      </w:r>
      <w:proofErr w:type="spellEnd"/>
      <w:r w:rsidR="00B76EBB">
        <w:t xml:space="preserve"> for each project are</w:t>
      </w:r>
      <w:r w:rsidR="00503FDD">
        <w:t xml:space="preserve"> listed in Table 1-2.</w:t>
      </w:r>
      <w:r w:rsidR="005D65F9">
        <w:t xml:space="preserve"> </w:t>
      </w:r>
      <w:r w:rsidR="005D65F9" w:rsidRPr="00504D71">
        <w:t>The unit cost of both the weighted average of all projects and each project individually are below the $1,650</w:t>
      </w:r>
      <w:r w:rsidR="005D65F9" w:rsidRPr="005D65F9">
        <w:t xml:space="preserve">/ </w:t>
      </w:r>
      <w:proofErr w:type="spellStart"/>
      <w:r w:rsidR="005D65F9" w:rsidRPr="005D65F9">
        <w:t>kW</w:t>
      </w:r>
      <w:r w:rsidR="005D65F9" w:rsidRPr="005D65F9">
        <w:rPr>
          <w:vertAlign w:val="subscript"/>
        </w:rPr>
        <w:t>ac</w:t>
      </w:r>
      <w:proofErr w:type="spellEnd"/>
      <w:r w:rsidR="005D65F9">
        <w:t xml:space="preserve"> </w:t>
      </w:r>
      <w:r w:rsidR="005D65F9" w:rsidRPr="00504D71">
        <w:t>requirement</w:t>
      </w:r>
      <w:r w:rsidR="005D65F9">
        <w:t>.</w:t>
      </w:r>
      <w:r w:rsidR="008F6ED8">
        <w:t xml:space="preserve"> The amount listed for the Sandy Creek project is the total amount, but only a partial amount coinciding with the 56.6 MW of capacity will be allowed recovery through the SoBRA mechanism.</w:t>
      </w:r>
    </w:p>
    <w:p w:rsidR="00503FDD" w:rsidRDefault="00503FDD" w:rsidP="00503FDD">
      <w:pPr>
        <w:pStyle w:val="TableNumber"/>
        <w:keepNext/>
      </w:pPr>
      <w:r>
        <w:lastRenderedPageBreak/>
        <w:t xml:space="preserve">Table </w:t>
      </w:r>
      <w:r w:rsidR="00DC71C7">
        <w:fldChar w:fldCharType="begin"/>
      </w:r>
      <w:r w:rsidR="00DC71C7">
        <w:instrText xml:space="preserve"> SEQ Iss</w:instrText>
      </w:r>
      <w:r w:rsidR="00DC71C7">
        <w:instrText xml:space="preserve">ue \c </w:instrText>
      </w:r>
      <w:r w:rsidR="00DC71C7">
        <w:fldChar w:fldCharType="separate"/>
      </w:r>
      <w:r>
        <w:rPr>
          <w:noProof/>
        </w:rPr>
        <w:t>1</w:t>
      </w:r>
      <w:r w:rsidR="00DC71C7">
        <w:rPr>
          <w:noProof/>
        </w:rPr>
        <w:fldChar w:fldCharType="end"/>
      </w:r>
      <w:r>
        <w:t>-2</w:t>
      </w:r>
    </w:p>
    <w:p w:rsidR="00503FDD" w:rsidRDefault="00503FDD" w:rsidP="00503FDD">
      <w:pPr>
        <w:pStyle w:val="TableTitle"/>
        <w:keepNext/>
      </w:pPr>
      <w:r>
        <w:t>Estimated Installed Cost, in Total and by Unit of Capacity</w:t>
      </w:r>
    </w:p>
    <w:tbl>
      <w:tblPr>
        <w:tblStyle w:val="TableGrid"/>
        <w:tblW w:w="9576" w:type="dxa"/>
        <w:tblLook w:val="04A0" w:firstRow="1" w:lastRow="0" w:firstColumn="1" w:lastColumn="0" w:noHBand="0" w:noVBand="1"/>
      </w:tblPr>
      <w:tblGrid>
        <w:gridCol w:w="3192"/>
        <w:gridCol w:w="3192"/>
        <w:gridCol w:w="3192"/>
      </w:tblGrid>
      <w:tr w:rsidR="00503FDD" w:rsidTr="00503FDD">
        <w:tc>
          <w:tcPr>
            <w:tcW w:w="3192" w:type="dxa"/>
          </w:tcPr>
          <w:p w:rsidR="00503FDD" w:rsidRPr="0025150F" w:rsidRDefault="00503FDD" w:rsidP="00503FDD">
            <w:pPr>
              <w:jc w:val="center"/>
              <w:rPr>
                <w:b/>
              </w:rPr>
            </w:pPr>
            <w:r w:rsidRPr="0025150F">
              <w:rPr>
                <w:b/>
              </w:rPr>
              <w:t>Project Name</w:t>
            </w:r>
          </w:p>
        </w:tc>
        <w:tc>
          <w:tcPr>
            <w:tcW w:w="3192" w:type="dxa"/>
          </w:tcPr>
          <w:p w:rsidR="00503FDD" w:rsidRPr="00503FDD" w:rsidRDefault="00503FDD" w:rsidP="00503FDD">
            <w:pPr>
              <w:jc w:val="center"/>
              <w:rPr>
                <w:b/>
              </w:rPr>
            </w:pPr>
            <w:r w:rsidRPr="00503FDD">
              <w:rPr>
                <w:b/>
              </w:rPr>
              <w:t>Estimated Installed Cost</w:t>
            </w:r>
          </w:p>
          <w:p w:rsidR="00503FDD" w:rsidRPr="00503FDD" w:rsidRDefault="00503FDD" w:rsidP="00503FDD">
            <w:pPr>
              <w:jc w:val="center"/>
              <w:rPr>
                <w:b/>
              </w:rPr>
            </w:pPr>
            <w:r w:rsidRPr="00503FDD">
              <w:rPr>
                <w:b/>
              </w:rPr>
              <w:t>($)</w:t>
            </w:r>
          </w:p>
        </w:tc>
        <w:tc>
          <w:tcPr>
            <w:tcW w:w="3192" w:type="dxa"/>
          </w:tcPr>
          <w:p w:rsidR="00503FDD" w:rsidRPr="00503FDD" w:rsidRDefault="00503FDD" w:rsidP="00503FDD">
            <w:pPr>
              <w:jc w:val="center"/>
              <w:rPr>
                <w:b/>
              </w:rPr>
            </w:pPr>
            <w:r w:rsidRPr="00503FDD">
              <w:rPr>
                <w:b/>
              </w:rPr>
              <w:t>Estimated Installed Cost</w:t>
            </w:r>
          </w:p>
          <w:p w:rsidR="00503FDD" w:rsidRPr="00503FDD" w:rsidRDefault="00503FDD" w:rsidP="00503FDD">
            <w:pPr>
              <w:jc w:val="center"/>
              <w:rPr>
                <w:b/>
              </w:rPr>
            </w:pPr>
            <w:r w:rsidRPr="00503FDD">
              <w:rPr>
                <w:b/>
              </w:rPr>
              <w:t>($/</w:t>
            </w:r>
            <w:proofErr w:type="spellStart"/>
            <w:r w:rsidRPr="00503FDD">
              <w:rPr>
                <w:b/>
              </w:rPr>
              <w:t>kW</w:t>
            </w:r>
            <w:r w:rsidRPr="00503FDD">
              <w:rPr>
                <w:b/>
                <w:vertAlign w:val="subscript"/>
              </w:rPr>
              <w:t>ac</w:t>
            </w:r>
            <w:proofErr w:type="spellEnd"/>
            <w:r w:rsidRPr="00503FDD">
              <w:rPr>
                <w:b/>
              </w:rPr>
              <w:t>)</w:t>
            </w:r>
          </w:p>
        </w:tc>
      </w:tr>
      <w:tr w:rsidR="00503FDD" w:rsidTr="00002292">
        <w:tc>
          <w:tcPr>
            <w:tcW w:w="3192" w:type="dxa"/>
          </w:tcPr>
          <w:p w:rsidR="00503FDD" w:rsidRDefault="00503FDD" w:rsidP="00503FDD">
            <w:pPr>
              <w:ind w:left="2160" w:hanging="2160"/>
            </w:pPr>
            <w:r>
              <w:t>Twin Rivers</w:t>
            </w:r>
          </w:p>
        </w:tc>
        <w:tc>
          <w:tcPr>
            <w:tcW w:w="3192" w:type="dxa"/>
            <w:vAlign w:val="bottom"/>
          </w:tcPr>
          <w:p w:rsidR="00503FDD" w:rsidRPr="00503FDD" w:rsidRDefault="00503FDD" w:rsidP="00503FDD">
            <w:pPr>
              <w:jc w:val="right"/>
              <w:rPr>
                <w:color w:val="000000"/>
              </w:rPr>
            </w:pPr>
            <w:r>
              <w:rPr>
                <w:color w:val="000000"/>
              </w:rPr>
              <w:t>$100,037,587</w:t>
            </w:r>
          </w:p>
        </w:tc>
        <w:tc>
          <w:tcPr>
            <w:tcW w:w="3192" w:type="dxa"/>
            <w:vAlign w:val="bottom"/>
          </w:tcPr>
          <w:p w:rsidR="00503FDD" w:rsidRPr="00503FDD" w:rsidRDefault="00503FDD" w:rsidP="005E3CBA">
            <w:pPr>
              <w:jc w:val="right"/>
              <w:rPr>
                <w:color w:val="000000"/>
              </w:rPr>
            </w:pPr>
            <w:r>
              <w:rPr>
                <w:color w:val="000000"/>
              </w:rPr>
              <w:t>$1</w:t>
            </w:r>
            <w:r w:rsidRPr="00503FDD">
              <w:rPr>
                <w:color w:val="000000"/>
              </w:rPr>
              <w:t>,33</w:t>
            </w:r>
            <w:r w:rsidR="005E3CBA">
              <w:rPr>
                <w:color w:val="000000"/>
              </w:rPr>
              <w:t>6</w:t>
            </w:r>
            <w:r w:rsidRPr="00503FDD">
              <w:rPr>
                <w:color w:val="000000"/>
              </w:rPr>
              <w:t xml:space="preserve"> </w:t>
            </w:r>
          </w:p>
        </w:tc>
      </w:tr>
      <w:tr w:rsidR="00503FDD" w:rsidTr="00002292">
        <w:tc>
          <w:tcPr>
            <w:tcW w:w="3192" w:type="dxa"/>
          </w:tcPr>
          <w:p w:rsidR="00503FDD" w:rsidRDefault="00503FDD" w:rsidP="00503FDD">
            <w:pPr>
              <w:ind w:left="2160" w:hanging="2160"/>
            </w:pPr>
            <w:r>
              <w:t>Santa Fe</w:t>
            </w:r>
          </w:p>
        </w:tc>
        <w:tc>
          <w:tcPr>
            <w:tcW w:w="3192" w:type="dxa"/>
            <w:vAlign w:val="bottom"/>
          </w:tcPr>
          <w:p w:rsidR="00503FDD" w:rsidRPr="00503FDD" w:rsidRDefault="00503FDD" w:rsidP="00503FDD">
            <w:pPr>
              <w:jc w:val="right"/>
              <w:rPr>
                <w:color w:val="000000"/>
              </w:rPr>
            </w:pPr>
            <w:r>
              <w:rPr>
                <w:color w:val="000000"/>
              </w:rPr>
              <w:t>$</w:t>
            </w:r>
            <w:r w:rsidRPr="00503FDD">
              <w:rPr>
                <w:color w:val="000000"/>
              </w:rPr>
              <w:t xml:space="preserve">108,910,046 </w:t>
            </w:r>
          </w:p>
        </w:tc>
        <w:tc>
          <w:tcPr>
            <w:tcW w:w="3192" w:type="dxa"/>
            <w:vAlign w:val="bottom"/>
          </w:tcPr>
          <w:p w:rsidR="00503FDD" w:rsidRPr="00503FDD" w:rsidRDefault="00503FDD" w:rsidP="005E3CBA">
            <w:pPr>
              <w:jc w:val="right"/>
              <w:rPr>
                <w:color w:val="000000"/>
              </w:rPr>
            </w:pPr>
            <w:r>
              <w:rPr>
                <w:color w:val="000000"/>
              </w:rPr>
              <w:t>$</w:t>
            </w:r>
            <w:r w:rsidRPr="00503FDD">
              <w:rPr>
                <w:color w:val="000000"/>
              </w:rPr>
              <w:t xml:space="preserve">1,454 </w:t>
            </w:r>
          </w:p>
        </w:tc>
      </w:tr>
      <w:tr w:rsidR="00503FDD" w:rsidTr="00002292">
        <w:tc>
          <w:tcPr>
            <w:tcW w:w="3192" w:type="dxa"/>
          </w:tcPr>
          <w:p w:rsidR="00503FDD" w:rsidRDefault="00503FDD" w:rsidP="00503FDD">
            <w:pPr>
              <w:ind w:left="2160" w:hanging="2160"/>
            </w:pPr>
            <w:r>
              <w:t>Charlie Creek</w:t>
            </w:r>
          </w:p>
        </w:tc>
        <w:tc>
          <w:tcPr>
            <w:tcW w:w="3192" w:type="dxa"/>
            <w:vAlign w:val="bottom"/>
          </w:tcPr>
          <w:p w:rsidR="00503FDD" w:rsidRPr="00503FDD" w:rsidRDefault="00503FDD" w:rsidP="00503FDD">
            <w:pPr>
              <w:jc w:val="right"/>
              <w:rPr>
                <w:color w:val="000000"/>
              </w:rPr>
            </w:pPr>
            <w:r>
              <w:rPr>
                <w:color w:val="000000"/>
              </w:rPr>
              <w:t>$</w:t>
            </w:r>
            <w:r w:rsidRPr="00503FDD">
              <w:rPr>
                <w:color w:val="000000"/>
              </w:rPr>
              <w:t xml:space="preserve">97,950,968 </w:t>
            </w:r>
          </w:p>
        </w:tc>
        <w:tc>
          <w:tcPr>
            <w:tcW w:w="3192" w:type="dxa"/>
            <w:vAlign w:val="bottom"/>
          </w:tcPr>
          <w:p w:rsidR="00503FDD" w:rsidRPr="00503FDD" w:rsidRDefault="00503FDD" w:rsidP="005E3CBA">
            <w:pPr>
              <w:jc w:val="right"/>
              <w:rPr>
                <w:color w:val="000000"/>
              </w:rPr>
            </w:pPr>
            <w:r>
              <w:rPr>
                <w:color w:val="000000"/>
              </w:rPr>
              <w:t>$</w:t>
            </w:r>
            <w:r w:rsidRPr="00503FDD">
              <w:rPr>
                <w:color w:val="000000"/>
              </w:rPr>
              <w:t>1,30</w:t>
            </w:r>
            <w:r w:rsidR="005E3CBA">
              <w:rPr>
                <w:color w:val="000000"/>
              </w:rPr>
              <w:t>8</w:t>
            </w:r>
            <w:r w:rsidRPr="00503FDD">
              <w:rPr>
                <w:color w:val="000000"/>
              </w:rPr>
              <w:t xml:space="preserve"> </w:t>
            </w:r>
          </w:p>
        </w:tc>
      </w:tr>
      <w:tr w:rsidR="00503FDD" w:rsidTr="00002292">
        <w:tc>
          <w:tcPr>
            <w:tcW w:w="3192" w:type="dxa"/>
          </w:tcPr>
          <w:p w:rsidR="00503FDD" w:rsidRDefault="00503FDD" w:rsidP="00503FDD">
            <w:pPr>
              <w:ind w:left="2160" w:hanging="2160"/>
            </w:pPr>
            <w:proofErr w:type="spellStart"/>
            <w:r>
              <w:t>Duette</w:t>
            </w:r>
            <w:proofErr w:type="spellEnd"/>
          </w:p>
        </w:tc>
        <w:tc>
          <w:tcPr>
            <w:tcW w:w="3192" w:type="dxa"/>
            <w:vAlign w:val="bottom"/>
          </w:tcPr>
          <w:p w:rsidR="00503FDD" w:rsidRPr="00503FDD" w:rsidRDefault="00503FDD" w:rsidP="00503FDD">
            <w:pPr>
              <w:jc w:val="right"/>
              <w:rPr>
                <w:color w:val="000000"/>
              </w:rPr>
            </w:pPr>
            <w:r>
              <w:rPr>
                <w:color w:val="000000"/>
              </w:rPr>
              <w:t>$1</w:t>
            </w:r>
            <w:r w:rsidRPr="00503FDD">
              <w:rPr>
                <w:color w:val="000000"/>
              </w:rPr>
              <w:t xml:space="preserve">08,572,491 </w:t>
            </w:r>
          </w:p>
        </w:tc>
        <w:tc>
          <w:tcPr>
            <w:tcW w:w="3192" w:type="dxa"/>
            <w:vAlign w:val="bottom"/>
          </w:tcPr>
          <w:p w:rsidR="00503FDD" w:rsidRPr="00503FDD" w:rsidRDefault="00503FDD" w:rsidP="005E3CBA">
            <w:pPr>
              <w:jc w:val="right"/>
              <w:rPr>
                <w:color w:val="000000"/>
              </w:rPr>
            </w:pPr>
            <w:r>
              <w:rPr>
                <w:color w:val="000000"/>
              </w:rPr>
              <w:t>$</w:t>
            </w:r>
            <w:r w:rsidRPr="00503FDD">
              <w:rPr>
                <w:color w:val="000000"/>
              </w:rPr>
              <w:t>1,45</w:t>
            </w:r>
            <w:r w:rsidR="005E3CBA">
              <w:rPr>
                <w:color w:val="000000"/>
              </w:rPr>
              <w:t>7</w:t>
            </w:r>
            <w:r w:rsidRPr="00503FDD">
              <w:rPr>
                <w:color w:val="000000"/>
              </w:rPr>
              <w:t xml:space="preserve"> </w:t>
            </w:r>
          </w:p>
        </w:tc>
      </w:tr>
      <w:tr w:rsidR="00503FDD" w:rsidTr="00002292">
        <w:tc>
          <w:tcPr>
            <w:tcW w:w="3192" w:type="dxa"/>
          </w:tcPr>
          <w:p w:rsidR="00503FDD" w:rsidRDefault="00503FDD" w:rsidP="00503FDD">
            <w:pPr>
              <w:ind w:left="2160" w:hanging="2160"/>
            </w:pPr>
            <w:r>
              <w:t>Sandy Creek</w:t>
            </w:r>
          </w:p>
        </w:tc>
        <w:tc>
          <w:tcPr>
            <w:tcW w:w="3192" w:type="dxa"/>
            <w:vAlign w:val="bottom"/>
          </w:tcPr>
          <w:p w:rsidR="00503FDD" w:rsidRPr="00503FDD" w:rsidRDefault="00503FDD" w:rsidP="00002292">
            <w:pPr>
              <w:jc w:val="right"/>
              <w:rPr>
                <w:color w:val="000000"/>
              </w:rPr>
            </w:pPr>
            <w:r>
              <w:rPr>
                <w:color w:val="000000"/>
              </w:rPr>
              <w:t>$</w:t>
            </w:r>
            <w:r w:rsidRPr="00503FDD">
              <w:rPr>
                <w:color w:val="000000"/>
              </w:rPr>
              <w:t xml:space="preserve">99,123,932 </w:t>
            </w:r>
          </w:p>
        </w:tc>
        <w:tc>
          <w:tcPr>
            <w:tcW w:w="3192" w:type="dxa"/>
            <w:vAlign w:val="bottom"/>
          </w:tcPr>
          <w:p w:rsidR="00503FDD" w:rsidRPr="00503FDD" w:rsidRDefault="00503FDD" w:rsidP="005E3CBA">
            <w:pPr>
              <w:jc w:val="right"/>
              <w:rPr>
                <w:color w:val="000000"/>
              </w:rPr>
            </w:pPr>
            <w:r>
              <w:rPr>
                <w:color w:val="000000"/>
              </w:rPr>
              <w:t>$</w:t>
            </w:r>
            <w:r w:rsidRPr="00503FDD">
              <w:rPr>
                <w:color w:val="000000"/>
              </w:rPr>
              <w:t>1,32</w:t>
            </w:r>
            <w:r w:rsidR="005E3CBA">
              <w:rPr>
                <w:color w:val="000000"/>
              </w:rPr>
              <w:t>3</w:t>
            </w:r>
            <w:r w:rsidRPr="00503FDD">
              <w:rPr>
                <w:color w:val="000000"/>
              </w:rPr>
              <w:t xml:space="preserve"> </w:t>
            </w:r>
          </w:p>
        </w:tc>
      </w:tr>
      <w:tr w:rsidR="008F6ED8" w:rsidTr="00002292">
        <w:tc>
          <w:tcPr>
            <w:tcW w:w="3192" w:type="dxa"/>
          </w:tcPr>
          <w:p w:rsidR="008F6ED8" w:rsidRDefault="008F6ED8" w:rsidP="00503FDD">
            <w:pPr>
              <w:ind w:left="2160" w:hanging="2160"/>
            </w:pPr>
            <w:r>
              <w:t>Weighted Average Unit Cost</w:t>
            </w:r>
          </w:p>
        </w:tc>
        <w:tc>
          <w:tcPr>
            <w:tcW w:w="3192" w:type="dxa"/>
            <w:vAlign w:val="bottom"/>
          </w:tcPr>
          <w:p w:rsidR="008F6ED8" w:rsidRDefault="008F6ED8" w:rsidP="00503FDD">
            <w:pPr>
              <w:jc w:val="right"/>
              <w:rPr>
                <w:color w:val="000000"/>
              </w:rPr>
            </w:pPr>
            <w:r>
              <w:rPr>
                <w:color w:val="000000"/>
              </w:rPr>
              <w:t>-</w:t>
            </w:r>
          </w:p>
        </w:tc>
        <w:tc>
          <w:tcPr>
            <w:tcW w:w="3192" w:type="dxa"/>
            <w:vAlign w:val="bottom"/>
          </w:tcPr>
          <w:p w:rsidR="008F6ED8" w:rsidRDefault="008F6ED8" w:rsidP="005E3CBA">
            <w:pPr>
              <w:jc w:val="right"/>
              <w:rPr>
                <w:color w:val="000000"/>
              </w:rPr>
            </w:pPr>
            <w:r>
              <w:rPr>
                <w:color w:val="000000"/>
              </w:rPr>
              <w:t>$1,37</w:t>
            </w:r>
            <w:r w:rsidR="005E3CBA">
              <w:rPr>
                <w:color w:val="000000"/>
              </w:rPr>
              <w:t>6</w:t>
            </w:r>
          </w:p>
        </w:tc>
      </w:tr>
    </w:tbl>
    <w:p w:rsidR="00503FDD" w:rsidRPr="00AE4BE0" w:rsidRDefault="00503FDD" w:rsidP="00503FDD">
      <w:pPr>
        <w:pStyle w:val="TableSource"/>
        <w:rPr>
          <w:sz w:val="20"/>
          <w:szCs w:val="20"/>
        </w:rPr>
      </w:pPr>
      <w:r w:rsidRPr="00AE4BE0">
        <w:rPr>
          <w:sz w:val="20"/>
          <w:szCs w:val="20"/>
        </w:rPr>
        <w:t xml:space="preserve">Source: </w:t>
      </w:r>
      <w:r w:rsidR="00113D7E" w:rsidRPr="00AE4BE0">
        <w:rPr>
          <w:sz w:val="20"/>
          <w:szCs w:val="20"/>
        </w:rPr>
        <w:t>Direct Testimony of DEF witness Benjamin M. H. Borsch Exhibit (BMHM-1)</w:t>
      </w:r>
    </w:p>
    <w:p w:rsidR="00503FDD" w:rsidRPr="00BB12C7" w:rsidRDefault="000239E9">
      <w:pPr>
        <w:pStyle w:val="BodyText"/>
      </w:pPr>
      <w:r>
        <w:t>In three of the projects, DEF will be leasing the land for the facility instead of purchasing it</w:t>
      </w:r>
      <w:r w:rsidR="004D4EB1">
        <w:t>. L</w:t>
      </w:r>
      <w:r>
        <w:t>ease costs are not included in the $/</w:t>
      </w:r>
      <w:proofErr w:type="spellStart"/>
      <w:r>
        <w:t>kWac</w:t>
      </w:r>
      <w:proofErr w:type="spellEnd"/>
      <w:r>
        <w:t xml:space="preserve"> calculation. </w:t>
      </w:r>
      <w:r w:rsidRPr="00DC4B83">
        <w:t xml:space="preserve">In response to staff’s data requests, the </w:t>
      </w:r>
      <w:r w:rsidR="00CD1D91" w:rsidRPr="00DC4B83">
        <w:t>Company</w:t>
      </w:r>
      <w:r w:rsidRPr="00DC4B83">
        <w:t xml:space="preserve"> provided the estimated net present value of payments under these three leases. Even </w:t>
      </w:r>
      <w:r w:rsidR="00E77A2D">
        <w:t>including lease costs</w:t>
      </w:r>
      <w:r w:rsidRPr="00DC4B83">
        <w:t xml:space="preserve"> as part of the $</w:t>
      </w:r>
      <w:r w:rsidR="00901CC1">
        <w:t>/</w:t>
      </w:r>
      <w:proofErr w:type="spellStart"/>
      <w:r w:rsidR="00503FDD" w:rsidRPr="00DC4B83">
        <w:t>kW</w:t>
      </w:r>
      <w:r w:rsidR="00503FDD" w:rsidRPr="00DC4B83">
        <w:rPr>
          <w:vertAlign w:val="subscript"/>
        </w:rPr>
        <w:t>ac</w:t>
      </w:r>
      <w:proofErr w:type="spellEnd"/>
      <w:r w:rsidRPr="00DC4B83">
        <w:t xml:space="preserve"> calculation, the weighted average cost of all projects is less than the </w:t>
      </w:r>
      <w:r w:rsidR="00901CC1">
        <w:t>$1,650/</w:t>
      </w:r>
      <w:proofErr w:type="spellStart"/>
      <w:r w:rsidR="00503FDD" w:rsidRPr="00DC4B83">
        <w:t>kW</w:t>
      </w:r>
      <w:r w:rsidR="00503FDD" w:rsidRPr="00DC4B83">
        <w:rPr>
          <w:vertAlign w:val="subscript"/>
        </w:rPr>
        <w:t>ac</w:t>
      </w:r>
      <w:proofErr w:type="spellEnd"/>
      <w:r w:rsidR="00503FDD" w:rsidRPr="00DC4B83">
        <w:t xml:space="preserve"> </w:t>
      </w:r>
      <w:r w:rsidRPr="00DC4B83">
        <w:t>installed cost cap</w:t>
      </w:r>
      <w:r w:rsidR="00503FDD" w:rsidRPr="00DC4B83">
        <w:t>.</w:t>
      </w:r>
    </w:p>
    <w:p w:rsidR="008F2B56" w:rsidRDefault="00AA755F">
      <w:pPr>
        <w:pStyle w:val="BodyText"/>
      </w:pPr>
      <w:r w:rsidRPr="00BB12C7">
        <w:t xml:space="preserve">The </w:t>
      </w:r>
      <w:r w:rsidR="001C5CD7" w:rsidRPr="00BB12C7">
        <w:t>i</w:t>
      </w:r>
      <w:r w:rsidRPr="00BB12C7">
        <w:t>nstalled cost of a project consist</w:t>
      </w:r>
      <w:r w:rsidR="00CD160D">
        <w:t>s</w:t>
      </w:r>
      <w:r w:rsidRPr="00BB12C7">
        <w:t xml:space="preserve"> of major equipment, balance of system, construction management, transmission interconnection, and land cost. This includes but is not limited to the cost </w:t>
      </w:r>
      <w:r w:rsidR="001C5CD7" w:rsidRPr="00BB12C7">
        <w:t xml:space="preserve">of </w:t>
      </w:r>
      <w:r w:rsidRPr="00BB12C7">
        <w:t xml:space="preserve">solar panels, transformers, contractors, legal fees, development fees, and insurance. </w:t>
      </w:r>
      <w:r w:rsidR="008F2B56" w:rsidRPr="00BB12C7">
        <w:t>DEF utilized a competitive process when soliciting contractors and procuring material and equipment for the Third SoBRA tranche</w:t>
      </w:r>
      <w:r w:rsidR="00DC4B83">
        <w:t xml:space="preserve">. </w:t>
      </w:r>
      <w:r w:rsidR="0029338A" w:rsidRPr="0029338A">
        <w:t xml:space="preserve">Given the use of competitive bidding </w:t>
      </w:r>
      <w:r w:rsidR="00A15669">
        <w:t>in multiple aspects of the</w:t>
      </w:r>
      <w:r w:rsidR="0029338A" w:rsidRPr="0029338A">
        <w:t xml:space="preserve"> projects, the costs appear to be reasonable</w:t>
      </w:r>
      <w:r w:rsidR="008F2B56" w:rsidRPr="00BB12C7">
        <w:t>.</w:t>
      </w:r>
    </w:p>
    <w:p w:rsidR="00503FDD" w:rsidRDefault="008F6ED8" w:rsidP="008F6ED8">
      <w:pPr>
        <w:pStyle w:val="First-LevelSubheading"/>
      </w:pPr>
      <w:r>
        <w:t>Conclusion</w:t>
      </w:r>
    </w:p>
    <w:p w:rsidR="008F6ED8" w:rsidRDefault="008F6ED8">
      <w:pPr>
        <w:pStyle w:val="BodyText"/>
      </w:pPr>
      <w:r>
        <w:t xml:space="preserve">Based on staff’s review, the estimated </w:t>
      </w:r>
      <w:r w:rsidR="005E2210">
        <w:t xml:space="preserve">installed costs appear reasonable and the resulting </w:t>
      </w:r>
      <w:r>
        <w:t>weighted average cost of the combined projects in DEF’s Third SoBRA tranche is below the installed cost cap</w:t>
      </w:r>
      <w:r w:rsidR="00DC4B83">
        <w:t xml:space="preserve"> of $1,650 per </w:t>
      </w:r>
      <w:proofErr w:type="spellStart"/>
      <w:r w:rsidR="00DC4B83">
        <w:t>kW</w:t>
      </w:r>
      <w:r w:rsidR="00DC4B83">
        <w:rPr>
          <w:vertAlign w:val="subscript"/>
        </w:rPr>
        <w:t>ac</w:t>
      </w:r>
      <w:proofErr w:type="spellEnd"/>
      <w:r>
        <w:t>, as required by the 2017 Settlement.</w:t>
      </w:r>
    </w:p>
    <w:p w:rsidR="00CC0185" w:rsidRDefault="00CC0185">
      <w:pPr>
        <w:pStyle w:val="IssueHeading"/>
        <w:rPr>
          <w:vanish/>
          <w:specVanish/>
        </w:rPr>
      </w:pPr>
      <w:r w:rsidRPr="004C3641">
        <w:rPr>
          <w:b w:val="0"/>
          <w:i w:val="0"/>
        </w:rPr>
        <w:br w:type="page"/>
      </w:r>
      <w:r w:rsidRPr="004C3641">
        <w:lastRenderedPageBreak/>
        <w:t xml:space="preserve">Issue </w:t>
      </w:r>
      <w:r w:rsidR="00DC71C7">
        <w:fldChar w:fldCharType="begin"/>
      </w:r>
      <w:r w:rsidR="00DC71C7">
        <w:instrText xml:space="preserve"> SEQ Issue \* MERGEFORMAT </w:instrText>
      </w:r>
      <w:r w:rsidR="00DC71C7">
        <w:fldChar w:fldCharType="separate"/>
      </w:r>
      <w:r>
        <w:rPr>
          <w:noProof/>
        </w:rPr>
        <w:t>2</w:t>
      </w:r>
      <w:r w:rsidR="00DC71C7">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rsidR="00CC0185" w:rsidRDefault="00CC0185">
      <w:pPr>
        <w:pStyle w:val="BodyText"/>
      </w:pPr>
      <w:r>
        <w:t> </w:t>
      </w:r>
      <w:r w:rsidR="00A15669">
        <w:t>Are the solar p</w:t>
      </w:r>
      <w:r w:rsidR="00233042">
        <w:t>rojects proposed by DEF cost effective pursuant to subparagraph 15(c) of the 2017 Settlement?</w:t>
      </w:r>
    </w:p>
    <w:p w:rsidR="00CC0185" w:rsidRPr="004C3641" w:rsidRDefault="00CC0185">
      <w:pPr>
        <w:pStyle w:val="IssueSubsectionHeading"/>
        <w:rPr>
          <w:vanish/>
          <w:specVanish/>
        </w:rPr>
      </w:pPr>
      <w:r w:rsidRPr="004C3641">
        <w:t>Recommendation: </w:t>
      </w:r>
    </w:p>
    <w:p w:rsidR="00CC0185" w:rsidRDefault="00CC0185">
      <w:pPr>
        <w:pStyle w:val="BodyText"/>
      </w:pPr>
      <w:r>
        <w:t> </w:t>
      </w:r>
      <w:r w:rsidR="00810FCD">
        <w:t xml:space="preserve">Yes. </w:t>
      </w:r>
      <w:r w:rsidR="00002292">
        <w:t xml:space="preserve">DEF’s proposed Third SoBRA tranche would result in lower system costs as compared </w:t>
      </w:r>
      <w:r w:rsidR="00A15669">
        <w:t xml:space="preserve">to the system without the </w:t>
      </w:r>
      <w:r w:rsidR="00002292">
        <w:t xml:space="preserve">projects, as required by </w:t>
      </w:r>
      <w:r w:rsidR="00342AD8">
        <w:t>the 2017 Settlement</w:t>
      </w:r>
      <w:r w:rsidR="00002292">
        <w:t>.</w:t>
      </w:r>
      <w:r>
        <w:t xml:space="preserve"> </w:t>
      </w:r>
      <w:r w:rsidR="005A3D5F">
        <w:t>(Phillips)</w:t>
      </w:r>
    </w:p>
    <w:p w:rsidR="00CC0185" w:rsidRPr="004C3641" w:rsidRDefault="00CC0185">
      <w:pPr>
        <w:pStyle w:val="IssueSubsectionHeading"/>
        <w:rPr>
          <w:vanish/>
          <w:specVanish/>
        </w:rPr>
      </w:pPr>
      <w:r w:rsidRPr="004C3641">
        <w:t>Staff Analysis: </w:t>
      </w:r>
    </w:p>
    <w:p w:rsidR="00342AD8" w:rsidRDefault="00CC0185">
      <w:pPr>
        <w:pStyle w:val="BodyText"/>
      </w:pPr>
      <w:r>
        <w:t> </w:t>
      </w:r>
      <w:r w:rsidR="00342AD8">
        <w:t>Subparagraph 15(c) defines the cost-</w:t>
      </w:r>
      <w:r w:rsidR="008F2B56">
        <w:t>effectiveness</w:t>
      </w:r>
      <w:r w:rsidR="00342AD8">
        <w:t xml:space="preserve"> of a SoBRA tranche to be whether the projects will lower the projected system cumulative present value revenue requirement (CPVRR) as compar</w:t>
      </w:r>
      <w:r w:rsidR="00A15669">
        <w:t>ed to a system without the</w:t>
      </w:r>
      <w:r w:rsidR="00342AD8">
        <w:t xml:space="preserve"> projects. This compares the cost of the added gene</w:t>
      </w:r>
      <w:r w:rsidR="003D3DC7">
        <w:t>ration, transmission, operation</w:t>
      </w:r>
      <w:r w:rsidR="00342AD8">
        <w:t xml:space="preserve"> and maintenance (O&amp;M) and other expenses of the proposed SoBRA tranche to the avoided traditional generation, transmission, fuel, and O&amp;M expenses that would otherwise have been incurred if the facilities were not constructed.</w:t>
      </w:r>
    </w:p>
    <w:p w:rsidR="00370B55" w:rsidRDefault="00342AD8">
      <w:pPr>
        <w:pStyle w:val="BodyText"/>
      </w:pPr>
      <w:r>
        <w:t>Overall, DEF estimates that the Third SoBRA tranche would produce savings of $37 million over the life of the projects before consideration of costs associated with carbon dioxide (CO</w:t>
      </w:r>
      <w:r w:rsidRPr="00342AD8">
        <w:rPr>
          <w:vertAlign w:val="subscript"/>
        </w:rPr>
        <w:t>2</w:t>
      </w:r>
      <w:r>
        <w:t xml:space="preserve">) and equivalent emissions. Inclusive of </w:t>
      </w:r>
      <w:r w:rsidR="000840DA">
        <w:t>CO</w:t>
      </w:r>
      <w:r w:rsidR="000840DA" w:rsidRPr="00342AD8">
        <w:rPr>
          <w:vertAlign w:val="subscript"/>
        </w:rPr>
        <w:t>2</w:t>
      </w:r>
      <w:r w:rsidR="000840DA">
        <w:rPr>
          <w:vertAlign w:val="subscript"/>
        </w:rPr>
        <w:t xml:space="preserve"> </w:t>
      </w:r>
      <w:r>
        <w:t>emissions costs, DEF estimates a savings of $234 million. The primary driver of the savings is avoided fuel costs, approximately $435 million, followed by avoided gener</w:t>
      </w:r>
      <w:r w:rsidR="00EA7C27">
        <w:t>ation costs of $217 million,</w:t>
      </w:r>
      <w:r>
        <w:t xml:space="preserve"> and </w:t>
      </w:r>
      <w:r w:rsidR="00EA7C27">
        <w:t xml:space="preserve">avoided </w:t>
      </w:r>
      <w:r w:rsidR="000840DA">
        <w:t>CO</w:t>
      </w:r>
      <w:r w:rsidR="000840DA" w:rsidRPr="00342AD8">
        <w:rPr>
          <w:vertAlign w:val="subscript"/>
        </w:rPr>
        <w:t>2</w:t>
      </w:r>
      <w:r>
        <w:t xml:space="preserve"> emissions costs of $197 million. The </w:t>
      </w:r>
      <w:r w:rsidR="00CD1D91">
        <w:t>Company</w:t>
      </w:r>
      <w:r>
        <w:t xml:space="preserve"> also ran scenarios with high and low fuel</w:t>
      </w:r>
      <w:r w:rsidR="00EA7C27">
        <w:t xml:space="preserve"> costs</w:t>
      </w:r>
      <w:r>
        <w:t xml:space="preserve">, with only the low fuel and no </w:t>
      </w:r>
      <w:r w:rsidR="000840DA">
        <w:t>CO</w:t>
      </w:r>
      <w:r w:rsidR="000840DA" w:rsidRPr="00342AD8">
        <w:rPr>
          <w:vertAlign w:val="subscript"/>
        </w:rPr>
        <w:t>2</w:t>
      </w:r>
      <w:r>
        <w:t xml:space="preserve"> emission cost scenario resulting in a loss for customers, of approximately $20 million. </w:t>
      </w:r>
      <w:r w:rsidR="00DC0859" w:rsidRPr="00DC0859">
        <w:t>The break</w:t>
      </w:r>
      <w:r w:rsidR="005E0ED7">
        <w:t xml:space="preserve">even point for the </w:t>
      </w:r>
      <w:r w:rsidR="00E535C3">
        <w:t xml:space="preserve">Third SoBRA tranche </w:t>
      </w:r>
      <w:r w:rsidR="00DC0859" w:rsidRPr="00DC0859">
        <w:t>is ex</w:t>
      </w:r>
      <w:r w:rsidR="00013341">
        <w:t>pected to be in 2048 if carbon emission cost</w:t>
      </w:r>
      <w:r w:rsidR="005E0ED7">
        <w:t>s</w:t>
      </w:r>
      <w:r w:rsidR="00DC0859" w:rsidRPr="00DC0859">
        <w:t xml:space="preserve"> are not included and 2</w:t>
      </w:r>
      <w:r w:rsidR="00013341">
        <w:t>040 if carbon emission cost</w:t>
      </w:r>
      <w:r w:rsidR="005E0ED7">
        <w:t>s</w:t>
      </w:r>
      <w:r w:rsidR="00013341">
        <w:t xml:space="preserve"> are included. </w:t>
      </w:r>
      <w:r>
        <w:t>The results of each scenario are listed in Table 2-1.</w:t>
      </w:r>
    </w:p>
    <w:p w:rsidR="00002292" w:rsidRDefault="00002292" w:rsidP="00002292">
      <w:pPr>
        <w:pStyle w:val="TableNumber"/>
        <w:keepNext/>
      </w:pPr>
      <w:r>
        <w:t xml:space="preserve">Table </w:t>
      </w:r>
      <w:r w:rsidR="00DC71C7">
        <w:fldChar w:fldCharType="begin"/>
      </w:r>
      <w:r w:rsidR="00DC71C7">
        <w:instrText xml:space="preserve"> SEQ Issue \c </w:instrText>
      </w:r>
      <w:r w:rsidR="00DC71C7">
        <w:fldChar w:fldCharType="separate"/>
      </w:r>
      <w:r>
        <w:rPr>
          <w:noProof/>
        </w:rPr>
        <w:t>2</w:t>
      </w:r>
      <w:r w:rsidR="00DC71C7">
        <w:rPr>
          <w:noProof/>
        </w:rPr>
        <w:fldChar w:fldCharType="end"/>
      </w:r>
      <w:r>
        <w:t>-1</w:t>
      </w:r>
    </w:p>
    <w:p w:rsidR="00002292" w:rsidRDefault="00002292" w:rsidP="00002292">
      <w:pPr>
        <w:pStyle w:val="TableTitle"/>
        <w:keepNext/>
      </w:pPr>
      <w:r>
        <w:t>System CPVRR Savings</w:t>
      </w:r>
      <w:proofErr w:type="gramStart"/>
      <w:r>
        <w:t>/(</w:t>
      </w:r>
      <w:proofErr w:type="gramEnd"/>
      <w:r>
        <w:t>Costs) by Fuel and Emissions Scenario ($ Millions)</w:t>
      </w:r>
    </w:p>
    <w:tbl>
      <w:tblPr>
        <w:tblStyle w:val="TableGrid"/>
        <w:tblW w:w="0" w:type="auto"/>
        <w:tblLook w:val="04A0" w:firstRow="1" w:lastRow="0" w:firstColumn="1" w:lastColumn="0" w:noHBand="0" w:noVBand="1"/>
      </w:tblPr>
      <w:tblGrid>
        <w:gridCol w:w="2394"/>
        <w:gridCol w:w="2394"/>
        <w:gridCol w:w="2394"/>
        <w:gridCol w:w="2394"/>
      </w:tblGrid>
      <w:tr w:rsidR="00002292" w:rsidTr="00002292">
        <w:tc>
          <w:tcPr>
            <w:tcW w:w="2394" w:type="dxa"/>
          </w:tcPr>
          <w:p w:rsidR="00002292" w:rsidRPr="00002292" w:rsidRDefault="00002292" w:rsidP="00002292">
            <w:pPr>
              <w:jc w:val="center"/>
              <w:rPr>
                <w:b/>
              </w:rPr>
            </w:pPr>
            <w:r w:rsidRPr="00002292">
              <w:rPr>
                <w:b/>
              </w:rPr>
              <w:t>Fuel / Emissions</w:t>
            </w:r>
          </w:p>
          <w:p w:rsidR="00002292" w:rsidRPr="00002292" w:rsidRDefault="00002292" w:rsidP="00002292">
            <w:pPr>
              <w:jc w:val="center"/>
              <w:rPr>
                <w:b/>
              </w:rPr>
            </w:pPr>
            <w:r w:rsidRPr="00002292">
              <w:rPr>
                <w:b/>
              </w:rPr>
              <w:t>Scenario</w:t>
            </w:r>
          </w:p>
        </w:tc>
        <w:tc>
          <w:tcPr>
            <w:tcW w:w="2394" w:type="dxa"/>
          </w:tcPr>
          <w:p w:rsidR="00002292" w:rsidRPr="00002292" w:rsidRDefault="00002292" w:rsidP="00002292">
            <w:pPr>
              <w:jc w:val="center"/>
              <w:rPr>
                <w:b/>
              </w:rPr>
            </w:pPr>
            <w:r w:rsidRPr="00002292">
              <w:rPr>
                <w:b/>
              </w:rPr>
              <w:t>High Fuel</w:t>
            </w:r>
          </w:p>
        </w:tc>
        <w:tc>
          <w:tcPr>
            <w:tcW w:w="2394" w:type="dxa"/>
          </w:tcPr>
          <w:p w:rsidR="00002292" w:rsidRPr="00002292" w:rsidRDefault="00002292" w:rsidP="00002292">
            <w:pPr>
              <w:jc w:val="center"/>
              <w:rPr>
                <w:b/>
              </w:rPr>
            </w:pPr>
            <w:r w:rsidRPr="00002292">
              <w:rPr>
                <w:b/>
              </w:rPr>
              <w:t>Mid Fuel</w:t>
            </w:r>
          </w:p>
        </w:tc>
        <w:tc>
          <w:tcPr>
            <w:tcW w:w="2394" w:type="dxa"/>
          </w:tcPr>
          <w:p w:rsidR="00002292" w:rsidRPr="00002292" w:rsidRDefault="00002292" w:rsidP="00002292">
            <w:pPr>
              <w:jc w:val="center"/>
              <w:rPr>
                <w:b/>
              </w:rPr>
            </w:pPr>
            <w:r w:rsidRPr="00002292">
              <w:rPr>
                <w:b/>
              </w:rPr>
              <w:t>Low Fuel</w:t>
            </w:r>
          </w:p>
        </w:tc>
      </w:tr>
      <w:tr w:rsidR="00002292" w:rsidTr="00002292">
        <w:tc>
          <w:tcPr>
            <w:tcW w:w="2394" w:type="dxa"/>
          </w:tcPr>
          <w:p w:rsidR="00002292" w:rsidRPr="00002292" w:rsidRDefault="00002292" w:rsidP="00002292">
            <w:pPr>
              <w:jc w:val="center"/>
              <w:rPr>
                <w:b/>
              </w:rPr>
            </w:pPr>
            <w:r w:rsidRPr="00002292">
              <w:rPr>
                <w:b/>
              </w:rPr>
              <w:t>No CO</w:t>
            </w:r>
            <w:r w:rsidRPr="00002292">
              <w:rPr>
                <w:b/>
                <w:vertAlign w:val="subscript"/>
              </w:rPr>
              <w:t>2</w:t>
            </w:r>
          </w:p>
        </w:tc>
        <w:tc>
          <w:tcPr>
            <w:tcW w:w="2394" w:type="dxa"/>
          </w:tcPr>
          <w:p w:rsidR="00002292" w:rsidRDefault="00002292" w:rsidP="00002292">
            <w:pPr>
              <w:jc w:val="right"/>
            </w:pPr>
            <w:r>
              <w:t>$173</w:t>
            </w:r>
          </w:p>
        </w:tc>
        <w:tc>
          <w:tcPr>
            <w:tcW w:w="2394" w:type="dxa"/>
          </w:tcPr>
          <w:p w:rsidR="00002292" w:rsidRDefault="00002292" w:rsidP="00002292">
            <w:pPr>
              <w:jc w:val="right"/>
            </w:pPr>
            <w:r>
              <w:t>$37</w:t>
            </w:r>
          </w:p>
        </w:tc>
        <w:tc>
          <w:tcPr>
            <w:tcW w:w="2394" w:type="dxa"/>
          </w:tcPr>
          <w:p w:rsidR="00002292" w:rsidRDefault="00002292" w:rsidP="00002292">
            <w:pPr>
              <w:jc w:val="right"/>
            </w:pPr>
            <w:r>
              <w:t>($20)</w:t>
            </w:r>
          </w:p>
        </w:tc>
      </w:tr>
      <w:tr w:rsidR="00002292" w:rsidTr="00002292">
        <w:tc>
          <w:tcPr>
            <w:tcW w:w="2394" w:type="dxa"/>
          </w:tcPr>
          <w:p w:rsidR="00002292" w:rsidRPr="00002292" w:rsidRDefault="00002292" w:rsidP="00002292">
            <w:pPr>
              <w:jc w:val="center"/>
              <w:rPr>
                <w:b/>
              </w:rPr>
            </w:pPr>
            <w:r w:rsidRPr="00002292">
              <w:rPr>
                <w:b/>
              </w:rPr>
              <w:t>With CO</w:t>
            </w:r>
            <w:r w:rsidRPr="00002292">
              <w:rPr>
                <w:b/>
                <w:vertAlign w:val="subscript"/>
              </w:rPr>
              <w:t>2</w:t>
            </w:r>
          </w:p>
        </w:tc>
        <w:tc>
          <w:tcPr>
            <w:tcW w:w="2394" w:type="dxa"/>
          </w:tcPr>
          <w:p w:rsidR="00002292" w:rsidRDefault="00002292" w:rsidP="00002292">
            <w:pPr>
              <w:jc w:val="right"/>
            </w:pPr>
            <w:r>
              <w:t>$376</w:t>
            </w:r>
          </w:p>
        </w:tc>
        <w:tc>
          <w:tcPr>
            <w:tcW w:w="2394" w:type="dxa"/>
          </w:tcPr>
          <w:p w:rsidR="00002292" w:rsidRDefault="00002292" w:rsidP="00002292">
            <w:pPr>
              <w:jc w:val="right"/>
            </w:pPr>
            <w:r>
              <w:t>$234</w:t>
            </w:r>
          </w:p>
        </w:tc>
        <w:tc>
          <w:tcPr>
            <w:tcW w:w="2394" w:type="dxa"/>
          </w:tcPr>
          <w:p w:rsidR="00002292" w:rsidRDefault="00002292" w:rsidP="00002292">
            <w:pPr>
              <w:jc w:val="right"/>
            </w:pPr>
            <w:r>
              <w:t>$177</w:t>
            </w:r>
          </w:p>
        </w:tc>
      </w:tr>
    </w:tbl>
    <w:p w:rsidR="00002292" w:rsidRPr="003860A4" w:rsidRDefault="00002292" w:rsidP="00002292">
      <w:pPr>
        <w:pStyle w:val="TableSource"/>
        <w:rPr>
          <w:sz w:val="20"/>
          <w:szCs w:val="20"/>
        </w:rPr>
      </w:pPr>
      <w:r w:rsidRPr="003860A4">
        <w:rPr>
          <w:sz w:val="20"/>
          <w:szCs w:val="20"/>
        </w:rPr>
        <w:t>Source:</w:t>
      </w:r>
      <w:r w:rsidR="001C5CD7" w:rsidRPr="003860A4">
        <w:rPr>
          <w:sz w:val="20"/>
          <w:szCs w:val="20"/>
        </w:rPr>
        <w:t xml:space="preserve"> Direct Testimony of DEF witness </w:t>
      </w:r>
      <w:r w:rsidR="00113D7E" w:rsidRPr="003860A4">
        <w:rPr>
          <w:sz w:val="20"/>
          <w:szCs w:val="20"/>
        </w:rPr>
        <w:t>Benjamin M. H. Borsch</w:t>
      </w:r>
      <w:r w:rsidR="001C5CD7" w:rsidRPr="003860A4">
        <w:rPr>
          <w:sz w:val="20"/>
          <w:szCs w:val="20"/>
        </w:rPr>
        <w:t xml:space="preserve"> Exhibit (BMHM-4)</w:t>
      </w:r>
    </w:p>
    <w:p w:rsidR="00370B55" w:rsidRDefault="00370B55" w:rsidP="00370B55">
      <w:pPr>
        <w:pStyle w:val="First-LevelSubheading"/>
      </w:pPr>
      <w:r>
        <w:t>Conclusion</w:t>
      </w:r>
    </w:p>
    <w:p w:rsidR="00370B55" w:rsidRDefault="00141CC8">
      <w:pPr>
        <w:pStyle w:val="BodyText"/>
      </w:pPr>
      <w:r>
        <w:t xml:space="preserve">Based on staff’s review, DEF’s proposed Third SoBRA tranche would result in lower system costs as compared </w:t>
      </w:r>
      <w:r w:rsidR="00A15669">
        <w:t xml:space="preserve">to the system without the </w:t>
      </w:r>
      <w:r>
        <w:t>projects, as required by the 2017 Settlement.</w:t>
      </w:r>
    </w:p>
    <w:p w:rsidR="00CC0185" w:rsidRDefault="00CC0185">
      <w:pPr>
        <w:pStyle w:val="IssueHeading"/>
        <w:rPr>
          <w:vanish/>
          <w:specVanish/>
        </w:rPr>
      </w:pPr>
      <w:r w:rsidRPr="004C3641">
        <w:rPr>
          <w:b w:val="0"/>
          <w:i w:val="0"/>
        </w:rPr>
        <w:br w:type="page"/>
      </w:r>
      <w:r w:rsidRPr="004C3641">
        <w:lastRenderedPageBreak/>
        <w:t xml:space="preserve">Issue </w:t>
      </w:r>
      <w:r w:rsidR="00DC71C7">
        <w:fldChar w:fldCharType="begin"/>
      </w:r>
      <w:r w:rsidR="00DC71C7">
        <w:instrText xml:space="preserve"> SEQ Issue \* MERGEFORMAT </w:instrText>
      </w:r>
      <w:r w:rsidR="00DC71C7">
        <w:fldChar w:fldCharType="separate"/>
      </w:r>
      <w:r>
        <w:rPr>
          <w:noProof/>
        </w:rPr>
        <w:t>3</w:t>
      </w:r>
      <w:r w:rsidR="00DC71C7">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3</w:instrText>
      </w:r>
      <w:r>
        <w:fldChar w:fldCharType="end"/>
      </w:r>
      <w:r>
        <w:tab/>
        <w:instrText xml:space="preserve">" \l 1 </w:instrText>
      </w:r>
      <w:r>
        <w:fldChar w:fldCharType="end"/>
      </w:r>
      <w:r>
        <w:t> </w:t>
      </w:r>
    </w:p>
    <w:p w:rsidR="00CC0185" w:rsidRDefault="00CC0185">
      <w:pPr>
        <w:pStyle w:val="BodyText"/>
      </w:pPr>
      <w:r>
        <w:t> </w:t>
      </w:r>
      <w:r w:rsidR="00A15669">
        <w:t>Are the solar p</w:t>
      </w:r>
      <w:r w:rsidR="00233042">
        <w:t>rojects proposed by DEF needed pursuant to subparagraph 15(c) of the 2017 Settlement?</w:t>
      </w:r>
    </w:p>
    <w:p w:rsidR="00CC0185" w:rsidRPr="004C3641" w:rsidRDefault="00CC0185">
      <w:pPr>
        <w:pStyle w:val="IssueSubsectionHeading"/>
        <w:rPr>
          <w:vanish/>
          <w:specVanish/>
        </w:rPr>
      </w:pPr>
      <w:r w:rsidRPr="004C3641">
        <w:t>Recommendation: </w:t>
      </w:r>
    </w:p>
    <w:p w:rsidR="00CC0185" w:rsidRDefault="00CC0185">
      <w:pPr>
        <w:pStyle w:val="BodyText"/>
      </w:pPr>
      <w:r>
        <w:t> </w:t>
      </w:r>
      <w:r w:rsidR="005A3D5F">
        <w:t>Yes. DEF’s proposed Third SoBRA tranche</w:t>
      </w:r>
      <w:r w:rsidR="00B4098A">
        <w:t xml:space="preserve"> is needed as it</w:t>
      </w:r>
      <w:r w:rsidR="005A3D5F">
        <w:t xml:space="preserve"> will produce economic benefits to the general body of ratepayers, provide firm summer capacity, and increase the fuel diversity of DEF’s generation.</w:t>
      </w:r>
      <w:r>
        <w:t xml:space="preserve"> </w:t>
      </w:r>
      <w:r w:rsidR="005A3D5F">
        <w:t>(Phillips)</w:t>
      </w:r>
    </w:p>
    <w:p w:rsidR="00CC0185" w:rsidRPr="004C3641" w:rsidRDefault="00CC0185">
      <w:pPr>
        <w:pStyle w:val="IssueSubsectionHeading"/>
        <w:rPr>
          <w:vanish/>
          <w:specVanish/>
        </w:rPr>
      </w:pPr>
      <w:r w:rsidRPr="004C3641">
        <w:t>Staff Analysis: </w:t>
      </w:r>
    </w:p>
    <w:p w:rsidR="00CC0185" w:rsidRDefault="00CC0185">
      <w:pPr>
        <w:pStyle w:val="BodyText"/>
      </w:pPr>
      <w:r>
        <w:t> </w:t>
      </w:r>
      <w:r w:rsidR="005A3D5F">
        <w:t>Subparagraph 15(c) of the 2017 Settlement specifies that one of the issues to be considered is whether, when considering all relevant factors, there is a need for the SoBRA projects. Need is undefined in th</w:t>
      </w:r>
      <w:r w:rsidR="00B4098A">
        <w:t>e 2017 Settlement</w:t>
      </w:r>
      <w:r w:rsidR="005A3D5F">
        <w:t xml:space="preserve">, but can be </w:t>
      </w:r>
      <w:r w:rsidR="00B4098A">
        <w:t xml:space="preserve">reasonably </w:t>
      </w:r>
      <w:r w:rsidR="005A3D5F">
        <w:t xml:space="preserve">interpreted to </w:t>
      </w:r>
      <w:r w:rsidR="00B4098A">
        <w:t>include</w:t>
      </w:r>
      <w:r w:rsidR="005A3D5F">
        <w:t xml:space="preserve"> multiple forms of need, </w:t>
      </w:r>
      <w:r w:rsidR="00B4098A">
        <w:t>such as</w:t>
      </w:r>
      <w:r w:rsidR="007D526D">
        <w:t xml:space="preserve"> economic</w:t>
      </w:r>
      <w:r w:rsidR="005A3D5F">
        <w:t>, reliability, and fuel diversity.</w:t>
      </w:r>
    </w:p>
    <w:p w:rsidR="005A3D5F" w:rsidRDefault="005A3D5F">
      <w:pPr>
        <w:pStyle w:val="BodyText"/>
      </w:pPr>
      <w:r>
        <w:t xml:space="preserve">As discussed in Issue 2, the Third SoBRA tranche is projected to produce savings over the life of the project between $37 and $234 million, with and without </w:t>
      </w:r>
      <w:r w:rsidRPr="000840DA">
        <w:t>CO</w:t>
      </w:r>
      <w:r w:rsidRPr="000840DA">
        <w:rPr>
          <w:vertAlign w:val="subscript"/>
        </w:rPr>
        <w:t>2</w:t>
      </w:r>
      <w:r>
        <w:t xml:space="preserve"> emission costs</w:t>
      </w:r>
      <w:r w:rsidR="00545B27">
        <w:t>,</w:t>
      </w:r>
      <w:r>
        <w:t xml:space="preserve"> respectively</w:t>
      </w:r>
      <w:r w:rsidR="000840DA">
        <w:t xml:space="preserve">. </w:t>
      </w:r>
      <w:r w:rsidR="000840DA" w:rsidRPr="000840DA">
        <w:t>In response to staff’s data request, DEF estimates that for its scenario including CO</w:t>
      </w:r>
      <w:r w:rsidR="000840DA" w:rsidRPr="000840DA">
        <w:rPr>
          <w:vertAlign w:val="subscript"/>
        </w:rPr>
        <w:t>2</w:t>
      </w:r>
      <w:r w:rsidR="000840DA" w:rsidRPr="000840DA">
        <w:t xml:space="preserve"> emissions costs, annual c</w:t>
      </w:r>
      <w:r w:rsidR="00043FE5">
        <w:t>ustomer savings begin in</w:t>
      </w:r>
      <w:r w:rsidR="00013341">
        <w:t xml:space="preserve"> 204</w:t>
      </w:r>
      <w:r w:rsidR="007642E3">
        <w:t>0</w:t>
      </w:r>
      <w:r w:rsidR="000840DA" w:rsidRPr="000840DA">
        <w:t xml:space="preserve"> and continue for the life of the projects</w:t>
      </w:r>
      <w:r w:rsidR="000840DA">
        <w:rPr>
          <w:color w:val="1F497D"/>
        </w:rPr>
        <w:t>.</w:t>
      </w:r>
      <w:r>
        <w:t xml:space="preserve"> Based on this analysis, an economic need could be supported.</w:t>
      </w:r>
    </w:p>
    <w:p w:rsidR="005A3D5F" w:rsidRDefault="005A3D5F">
      <w:pPr>
        <w:pStyle w:val="BodyText"/>
      </w:pPr>
      <w:r>
        <w:t>Regarding reliability, due to their production characteristics solar facilities only contribute towards the reliability of the summer peak. Each of the facilities has b</w:t>
      </w:r>
      <w:r w:rsidR="00810FCD">
        <w:t>een constructed at</w:t>
      </w:r>
      <w:r>
        <w:t xml:space="preserve"> a direct current capacity of </w:t>
      </w:r>
      <w:r w:rsidR="0008137A">
        <w:t xml:space="preserve">approximately </w:t>
      </w:r>
      <w:r>
        <w:t>130 percent of the alternating current capacity, resulting in increased energy during shoulder periods, and increased</w:t>
      </w:r>
      <w:r w:rsidR="0008137A">
        <w:t xml:space="preserve"> contribution towards summer firm capacity. While DEF’s net firm system demand is lower in summer than in the winter, summer tends to control unit addition planning. The proposed solar facilities would improve DEF’s summer reserve margin slightly in the early years while decreasing its winter reserve margin by avoiding or deferring conventional generation, addressing a reliability need.</w:t>
      </w:r>
      <w:r w:rsidR="00013341" w:rsidRPr="00013341">
        <w:t xml:space="preserve"> The projects will also defer the construction of a single combustion turbine </w:t>
      </w:r>
      <w:r w:rsidR="00757830">
        <w:t xml:space="preserve">in the year 2027 </w:t>
      </w:r>
      <w:r w:rsidR="00013341" w:rsidRPr="00013341">
        <w:t>that would otherwise be needed for reliability purposes.</w:t>
      </w:r>
    </w:p>
    <w:p w:rsidR="0008137A" w:rsidRDefault="0008137A">
      <w:pPr>
        <w:pStyle w:val="BodyText"/>
      </w:pPr>
      <w:r>
        <w:t>Fuel diversity</w:t>
      </w:r>
      <w:r w:rsidR="00B4098A">
        <w:t xml:space="preserve"> through renewable energy generation, such as the projects of DEF’s Third SOBRA tranche,</w:t>
      </w:r>
      <w:r>
        <w:t xml:space="preserve"> is encouraged by several statutes, including </w:t>
      </w:r>
      <w:r w:rsidR="00A82709">
        <w:t xml:space="preserve">Section </w:t>
      </w:r>
      <w:r>
        <w:t>366.91, F.S., which states in part:</w:t>
      </w:r>
    </w:p>
    <w:p w:rsidR="0008137A" w:rsidRDefault="0008137A" w:rsidP="0008137A">
      <w:pPr>
        <w:pStyle w:val="BodyText"/>
        <w:ind w:left="720" w:right="720"/>
      </w:pPr>
      <w:r w:rsidRPr="0008137A">
        <w:t>Renewable energy resources have the potential to help diversify fuel types to meet Florida’s growing dependency on natural gas for electric production, minimize the volatility of fuel costs, encourage investment within the state, improve environmental conditions, and make Florida a leader in new and innovative technologies.</w:t>
      </w:r>
    </w:p>
    <w:p w:rsidR="0008137A" w:rsidRDefault="0008137A">
      <w:pPr>
        <w:pStyle w:val="BodyText"/>
      </w:pPr>
      <w:r>
        <w:t xml:space="preserve">The </w:t>
      </w:r>
      <w:r w:rsidR="00B4098A">
        <w:t xml:space="preserve">energy </w:t>
      </w:r>
      <w:r>
        <w:t>production of the Third SoBRA tranche would offset the remainder of</w:t>
      </w:r>
      <w:r w:rsidR="00B4098A">
        <w:t xml:space="preserve"> the</w:t>
      </w:r>
      <w:r>
        <w:t xml:space="preserve"> DEF system</w:t>
      </w:r>
      <w:r w:rsidR="00B4098A">
        <w:t>’s</w:t>
      </w:r>
      <w:r>
        <w:t xml:space="preserve"> fuel consumption, which is primarily natural gas</w:t>
      </w:r>
      <w:r w:rsidR="00B4098A">
        <w:t>.</w:t>
      </w:r>
    </w:p>
    <w:p w:rsidR="00B4098A" w:rsidRDefault="00B4098A" w:rsidP="00B4098A">
      <w:pPr>
        <w:pStyle w:val="First-LevelSubheading"/>
      </w:pPr>
      <w:r>
        <w:t>Conclusion</w:t>
      </w:r>
    </w:p>
    <w:p w:rsidR="00B4098A" w:rsidRDefault="00B4098A">
      <w:pPr>
        <w:pStyle w:val="BodyText"/>
      </w:pPr>
      <w:r>
        <w:t>There is a need for DEF’s proposed Third SoBRA tranche when considering the economic, system reliability, and fuel diversity benefits to the general body of ratepayers.</w:t>
      </w:r>
    </w:p>
    <w:p w:rsidR="00CC0185" w:rsidRDefault="00CC0185">
      <w:pPr>
        <w:pStyle w:val="IssueHeading"/>
        <w:rPr>
          <w:vanish/>
          <w:specVanish/>
        </w:rPr>
      </w:pPr>
      <w:r w:rsidRPr="004C3641">
        <w:rPr>
          <w:b w:val="0"/>
          <w:i w:val="0"/>
        </w:rPr>
        <w:br w:type="page"/>
      </w:r>
      <w:r w:rsidRPr="004C3641">
        <w:lastRenderedPageBreak/>
        <w:t xml:space="preserve">Issue </w:t>
      </w:r>
      <w:r w:rsidR="00DC71C7">
        <w:fldChar w:fldCharType="begin"/>
      </w:r>
      <w:r w:rsidR="00DC71C7">
        <w:instrText xml:space="preserve"> SEQ Issue \* MERGEFORMAT </w:instrText>
      </w:r>
      <w:r w:rsidR="00DC71C7">
        <w:fldChar w:fldCharType="separate"/>
      </w:r>
      <w:r>
        <w:rPr>
          <w:noProof/>
        </w:rPr>
        <w:t>4</w:t>
      </w:r>
      <w:r w:rsidR="00DC71C7">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4</w:instrText>
      </w:r>
      <w:r>
        <w:fldChar w:fldCharType="end"/>
      </w:r>
      <w:r>
        <w:tab/>
        <w:instrText xml:space="preserve">" \l 1 </w:instrText>
      </w:r>
      <w:r>
        <w:fldChar w:fldCharType="end"/>
      </w:r>
      <w:r>
        <w:t> </w:t>
      </w:r>
    </w:p>
    <w:p w:rsidR="00CC0185" w:rsidRDefault="00CC0185">
      <w:pPr>
        <w:pStyle w:val="BodyText"/>
      </w:pPr>
      <w:r>
        <w:t> </w:t>
      </w:r>
      <w:r w:rsidR="00233042" w:rsidRPr="00C82CB4">
        <w:t xml:space="preserve">Are the </w:t>
      </w:r>
      <w:r w:rsidR="00A15669">
        <w:t>solar p</w:t>
      </w:r>
      <w:r w:rsidR="00233042">
        <w:t xml:space="preserve">rojects </w:t>
      </w:r>
      <w:r w:rsidR="00233042" w:rsidRPr="00C82CB4">
        <w:t>proposed</w:t>
      </w:r>
      <w:r w:rsidR="00233042">
        <w:t xml:space="preserve"> by DEF</w:t>
      </w:r>
      <w:r w:rsidR="00233042" w:rsidRPr="00C82CB4">
        <w:t xml:space="preserve"> ot</w:t>
      </w:r>
      <w:r w:rsidR="00233042">
        <w:t>herwise in compliance with the t</w:t>
      </w:r>
      <w:r w:rsidR="00233042" w:rsidRPr="00C82CB4">
        <w:t>erms of paragraph 15 of the 2017 Settlement?</w:t>
      </w:r>
    </w:p>
    <w:p w:rsidR="00CC0185" w:rsidRPr="004C3641" w:rsidRDefault="00CC0185">
      <w:pPr>
        <w:pStyle w:val="IssueSubsectionHeading"/>
        <w:rPr>
          <w:vanish/>
          <w:specVanish/>
        </w:rPr>
      </w:pPr>
      <w:r w:rsidRPr="004C3641">
        <w:t>Recommendation: </w:t>
      </w:r>
    </w:p>
    <w:p w:rsidR="00CC0185" w:rsidRDefault="00CC0185">
      <w:pPr>
        <w:pStyle w:val="BodyText"/>
      </w:pPr>
      <w:r>
        <w:t> </w:t>
      </w:r>
      <w:r w:rsidR="00B4098A">
        <w:t xml:space="preserve">Yes. DEF’s Third SoBRA tranche meets the requirements of the 2017 Settlement and </w:t>
      </w:r>
      <w:r w:rsidR="00B55CD6">
        <w:t xml:space="preserve">the projects </w:t>
      </w:r>
      <w:r w:rsidR="00B4098A">
        <w:t>are eligible for cost recovery through the SoBRA mechanism established therein.</w:t>
      </w:r>
      <w:r>
        <w:t xml:space="preserve"> </w:t>
      </w:r>
      <w:r w:rsidR="00CD1D91">
        <w:t>(Phillips)</w:t>
      </w:r>
    </w:p>
    <w:p w:rsidR="00CC0185" w:rsidRPr="004C3641" w:rsidRDefault="00CC0185">
      <w:pPr>
        <w:pStyle w:val="IssueSubsectionHeading"/>
        <w:rPr>
          <w:vanish/>
          <w:specVanish/>
        </w:rPr>
      </w:pPr>
      <w:r w:rsidRPr="004C3641">
        <w:t>Staff Analysis: </w:t>
      </w:r>
    </w:p>
    <w:p w:rsidR="00B4098A" w:rsidRDefault="00CC0185">
      <w:pPr>
        <w:pStyle w:val="BodyText"/>
      </w:pPr>
      <w:r>
        <w:t> </w:t>
      </w:r>
      <w:r w:rsidR="00B4098A">
        <w:t>Paragraph 15 of the 2017 Settlement outlines various criteria and</w:t>
      </w:r>
      <w:r w:rsidR="00A15669">
        <w:t xml:space="preserve"> requirements to be met by</w:t>
      </w:r>
      <w:r w:rsidR="00B4098A">
        <w:t xml:space="preserve"> projects to be considered eligible for recovery through the SoBRA mechanism </w:t>
      </w:r>
      <w:r w:rsidR="00B55CD6">
        <w:t xml:space="preserve">it </w:t>
      </w:r>
      <w:r w:rsidR="00B4098A">
        <w:t xml:space="preserve">established. </w:t>
      </w:r>
      <w:r w:rsidR="004B4B1F">
        <w:t>These include:</w:t>
      </w:r>
      <w:r w:rsidR="00B4098A" w:rsidRPr="00E55E6E">
        <w:t xml:space="preserve"> the reasonableness of installed costs which must include certain categories of costs and be below an installed cost threshold, as discussed in Issue 1</w:t>
      </w:r>
      <w:r w:rsidR="008D0A3A" w:rsidRPr="00E55E6E">
        <w:t xml:space="preserve"> based on subparagraph 15(a)</w:t>
      </w:r>
      <w:r w:rsidR="00A15669">
        <w:t xml:space="preserve">; the projection that the </w:t>
      </w:r>
      <w:r w:rsidR="00B4098A" w:rsidRPr="00E55E6E">
        <w:t>projects will produce system savings on a CPVRR basis, as discussed in Issue 2</w:t>
      </w:r>
      <w:r w:rsidR="008D0A3A" w:rsidRPr="00E55E6E">
        <w:t xml:space="preserve"> based on subparagraph 15(c)</w:t>
      </w:r>
      <w:r w:rsidR="00B4098A" w:rsidRPr="00E55E6E">
        <w:t>; and whether, when considering all relevant factors</w:t>
      </w:r>
      <w:r w:rsidR="00A15669">
        <w:t xml:space="preserve">, there is a need for the </w:t>
      </w:r>
      <w:r w:rsidR="00B4098A" w:rsidRPr="00E55E6E">
        <w:t>projects, as discussed in Issue 3</w:t>
      </w:r>
      <w:r w:rsidR="008D0A3A" w:rsidRPr="00E55E6E">
        <w:t xml:space="preserve"> based on subparagraph 15(c)</w:t>
      </w:r>
      <w:r w:rsidR="00B4098A" w:rsidRPr="00E55E6E">
        <w:t>.</w:t>
      </w:r>
    </w:p>
    <w:p w:rsidR="008D0A3A" w:rsidRDefault="00B4098A">
      <w:pPr>
        <w:pStyle w:val="BodyText"/>
      </w:pPr>
      <w:r>
        <w:t>Other requirements exist within Paragraph 1</w:t>
      </w:r>
      <w:r w:rsidR="008D0A3A">
        <w:t>5 for the projects, discussing various factors such as the role of affiliate companies, the amount of capacity allowed to be sought by year, and how the calculation of the revenue requirement is to be conducted. Based on staff’s review, these factors, along with those outlined in Issues 1 through 3 have been met by DEF’s Third SoBRA tranche.</w:t>
      </w:r>
    </w:p>
    <w:p w:rsidR="00CC0185" w:rsidRDefault="008D0A3A" w:rsidP="008D0A3A">
      <w:pPr>
        <w:pStyle w:val="First-LevelSubheading"/>
      </w:pPr>
      <w:r>
        <w:t>Conclusion</w:t>
      </w:r>
    </w:p>
    <w:p w:rsidR="008D0A3A" w:rsidRDefault="008D0A3A">
      <w:pPr>
        <w:pStyle w:val="BodyText"/>
      </w:pPr>
      <w:r>
        <w:t xml:space="preserve">Based on staff’s review, DEF’s Third SoBRA tranche meets the requirements of the 2017 Settlement and </w:t>
      </w:r>
      <w:r w:rsidR="00B55CD6">
        <w:t xml:space="preserve">the projects </w:t>
      </w:r>
      <w:r>
        <w:t>are eligible for cost recovery through the SoBRA mechanism established therein.</w:t>
      </w:r>
    </w:p>
    <w:p w:rsidR="00CC0185" w:rsidRDefault="00CC0185">
      <w:pPr>
        <w:pStyle w:val="IssueHeading"/>
        <w:rPr>
          <w:vanish/>
          <w:specVanish/>
        </w:rPr>
      </w:pPr>
      <w:r w:rsidRPr="004C3641">
        <w:rPr>
          <w:b w:val="0"/>
          <w:i w:val="0"/>
        </w:rPr>
        <w:br w:type="page"/>
      </w:r>
      <w:r w:rsidRPr="004C3641">
        <w:lastRenderedPageBreak/>
        <w:t xml:space="preserve">Issue </w:t>
      </w:r>
      <w:r w:rsidR="00DC71C7">
        <w:fldChar w:fldCharType="begin"/>
      </w:r>
      <w:r w:rsidR="00DC71C7">
        <w:instrText xml:space="preserve"> SEQ Issue \* MERGEFORMAT </w:instrText>
      </w:r>
      <w:r w:rsidR="00DC71C7">
        <w:fldChar w:fldCharType="separate"/>
      </w:r>
      <w:r>
        <w:rPr>
          <w:noProof/>
        </w:rPr>
        <w:t>5</w:t>
      </w:r>
      <w:r w:rsidR="00DC71C7">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5</w:instrText>
      </w:r>
      <w:r>
        <w:fldChar w:fldCharType="end"/>
      </w:r>
      <w:r>
        <w:tab/>
        <w:instrText xml:space="preserve">" \l 1 </w:instrText>
      </w:r>
      <w:r>
        <w:fldChar w:fldCharType="end"/>
      </w:r>
      <w:r>
        <w:t> </w:t>
      </w:r>
    </w:p>
    <w:p w:rsidR="00CC0185" w:rsidRDefault="00CC0185">
      <w:pPr>
        <w:pStyle w:val="BodyText"/>
      </w:pPr>
      <w:r>
        <w:t> </w:t>
      </w:r>
      <w:r w:rsidR="00233042">
        <w:t xml:space="preserve">What is the annual revenue requirement associated with each of the </w:t>
      </w:r>
      <w:r w:rsidR="00F46DD8">
        <w:t>s</w:t>
      </w:r>
      <w:r w:rsidR="00233042">
        <w:t xml:space="preserve">olar </w:t>
      </w:r>
      <w:r w:rsidR="00F46DD8">
        <w:t>p</w:t>
      </w:r>
      <w:r w:rsidR="00233042">
        <w:t>rojects proposed by DEF?</w:t>
      </w:r>
    </w:p>
    <w:p w:rsidR="00CC0185" w:rsidRPr="004C3641" w:rsidRDefault="00CC0185">
      <w:pPr>
        <w:pStyle w:val="IssueSubsectionHeading"/>
        <w:rPr>
          <w:vanish/>
          <w:specVanish/>
        </w:rPr>
      </w:pPr>
      <w:r w:rsidRPr="004C3641">
        <w:t>Recommendation: </w:t>
      </w:r>
    </w:p>
    <w:p w:rsidR="00CC0185" w:rsidRDefault="00CC0185">
      <w:pPr>
        <w:pStyle w:val="BodyText"/>
      </w:pPr>
      <w:r>
        <w:t> </w:t>
      </w:r>
      <w:r w:rsidR="00CD1D91" w:rsidRPr="00CD1D91">
        <w:t xml:space="preserve">The total jurisdictional annual revenue requirement associated with each of the five proposed </w:t>
      </w:r>
      <w:r w:rsidR="00F46DD8">
        <w:t>p</w:t>
      </w:r>
      <w:r w:rsidR="00CD1D91" w:rsidRPr="00CD1D91">
        <w:t>rojects is as listed in Table 5-1. (Higgins)</w:t>
      </w:r>
      <w:r>
        <w:t xml:space="preserve"> </w:t>
      </w:r>
    </w:p>
    <w:p w:rsidR="00CC0185" w:rsidRPr="004C3641" w:rsidRDefault="00CC0185">
      <w:pPr>
        <w:pStyle w:val="IssueSubsectionHeading"/>
        <w:rPr>
          <w:vanish/>
          <w:specVanish/>
        </w:rPr>
      </w:pPr>
      <w:r w:rsidRPr="004C3641">
        <w:t>Staff Analysis: </w:t>
      </w:r>
    </w:p>
    <w:p w:rsidR="00CD1D91" w:rsidRDefault="00CC0185" w:rsidP="00CD1D91">
      <w:pPr>
        <w:pStyle w:val="BodyText"/>
      </w:pPr>
      <w:r>
        <w:t> </w:t>
      </w:r>
      <w:r w:rsidR="00CD1D91">
        <w:t>In the 2017 Settlement, DEF received authorization for a framework to recover costs associated with the construction and operation of a then-conceptual series of solar generating facilities</w:t>
      </w:r>
      <w:r w:rsidR="00CD1D91" w:rsidRPr="00926E38">
        <w:t>.</w:t>
      </w:r>
      <w:r w:rsidR="00CD1D91">
        <w:rPr>
          <w:rStyle w:val="FootnoteReference"/>
        </w:rPr>
        <w:footnoteReference w:id="6"/>
      </w:r>
      <w:r w:rsidR="00CD1D91">
        <w:t xml:space="preserve"> The authorized SoBRA framework included conditions by which the Company may petition the </w:t>
      </w:r>
      <w:r w:rsidR="00CD1D91" w:rsidRPr="00D14479">
        <w:t>Commission to implement project-specific estimated annual revenue</w:t>
      </w:r>
      <w:r w:rsidR="00CD1D91">
        <w:t xml:space="preserve"> requirements subject to certain agreed-upon conditions.</w:t>
      </w:r>
      <w:r w:rsidR="00CD1D91">
        <w:rPr>
          <w:rStyle w:val="FootnoteReference"/>
        </w:rPr>
        <w:footnoteReference w:id="7"/>
      </w:r>
      <w:r w:rsidR="00CD1D91">
        <w:t xml:space="preserve"> The instant petition by the Company represents the final SoBRA-related request under the 2017 Settlement. </w:t>
      </w:r>
    </w:p>
    <w:p w:rsidR="00CD1D91" w:rsidRPr="00A569CB" w:rsidRDefault="00CD1D91" w:rsidP="00CD1D91">
      <w:pPr>
        <w:pStyle w:val="BodyText"/>
      </w:pPr>
      <w:r w:rsidRPr="00A569CB">
        <w:t>The Company is requesting the Commission approve annual revenue requirements for the</w:t>
      </w:r>
      <w:r w:rsidR="008A6461">
        <w:t xml:space="preserve"> five plants that comprise DEF’</w:t>
      </w:r>
      <w:r w:rsidRPr="00A569CB">
        <w:t xml:space="preserve">s Third SoBRA under the 2017 Settlement. The requested revenue requirements are associated with </w:t>
      </w:r>
      <w:r>
        <w:t>these</w:t>
      </w:r>
      <w:r w:rsidRPr="00A569CB">
        <w:t xml:space="preserve"> five </w:t>
      </w:r>
      <w:r>
        <w:t xml:space="preserve">proposed </w:t>
      </w:r>
      <w:r w:rsidRPr="00A569CB">
        <w:t xml:space="preserve">generating plants: Twin Rivers, Santa Fe, Charlie Creek, </w:t>
      </w:r>
      <w:proofErr w:type="spellStart"/>
      <w:r w:rsidRPr="00A569CB">
        <w:t>Duette</w:t>
      </w:r>
      <w:proofErr w:type="spellEnd"/>
      <w:r w:rsidRPr="00A569CB">
        <w:t xml:space="preserve">, </w:t>
      </w:r>
      <w:r>
        <w:t xml:space="preserve">and </w:t>
      </w:r>
      <w:r w:rsidRPr="00A569CB">
        <w:t xml:space="preserve">Sandy Creek. </w:t>
      </w:r>
      <w:r w:rsidR="00810FCD">
        <w:t>As shown</w:t>
      </w:r>
      <w:r>
        <w:t xml:space="preserve"> in Issue 1, </w:t>
      </w:r>
      <w:r w:rsidR="00F46DD8">
        <w:t xml:space="preserve">the </w:t>
      </w:r>
      <w:r w:rsidRPr="00A569CB">
        <w:t xml:space="preserve">Twin Rivers and Santa Fe </w:t>
      </w:r>
      <w:r w:rsidR="00F46DD8">
        <w:t>projects</w:t>
      </w:r>
      <w:r>
        <w:t xml:space="preserve"> </w:t>
      </w:r>
      <w:r w:rsidRPr="00A569CB">
        <w:t>are planned to go into service in early 2021</w:t>
      </w:r>
      <w:r>
        <w:t>, while</w:t>
      </w:r>
      <w:r w:rsidRPr="00A569CB">
        <w:t xml:space="preserve"> Charlie Creek and </w:t>
      </w:r>
      <w:proofErr w:type="spellStart"/>
      <w:r w:rsidRPr="00A569CB">
        <w:t>Duette</w:t>
      </w:r>
      <w:proofErr w:type="spellEnd"/>
      <w:r>
        <w:t xml:space="preserve"> </w:t>
      </w:r>
      <w:r w:rsidR="00F46DD8">
        <w:t>projects</w:t>
      </w:r>
      <w:r w:rsidRPr="00A569CB">
        <w:t xml:space="preserve"> are planned to go into service in the fourth quarter of 2021, and</w:t>
      </w:r>
      <w:r w:rsidR="00F46DD8">
        <w:t xml:space="preserve"> the</w:t>
      </w:r>
      <w:r w:rsidRPr="00A569CB">
        <w:t xml:space="preserve"> Sandy Creek</w:t>
      </w:r>
      <w:r>
        <w:t xml:space="preserve"> </w:t>
      </w:r>
      <w:r w:rsidR="00F46DD8">
        <w:t>project</w:t>
      </w:r>
      <w:r>
        <w:t xml:space="preserve"> is</w:t>
      </w:r>
      <w:r w:rsidRPr="00A569CB">
        <w:t xml:space="preserve"> planned </w:t>
      </w:r>
      <w:r>
        <w:t xml:space="preserve">to go </w:t>
      </w:r>
      <w:r w:rsidRPr="00A569CB">
        <w:t>in</w:t>
      </w:r>
      <w:r>
        <w:t xml:space="preserve">to </w:t>
      </w:r>
      <w:r w:rsidRPr="00A569CB">
        <w:t>service during the second quarter of 2022.</w:t>
      </w:r>
      <w:r>
        <w:t xml:space="preserve"> Staff notes the capital and O&amp;M portions of </w:t>
      </w:r>
      <w:bookmarkStart w:id="15" w:name="_Hlk58996709"/>
      <w:r w:rsidRPr="00D562F7">
        <w:t>Sandy Creek</w:t>
      </w:r>
      <w:r>
        <w:t>’s</w:t>
      </w:r>
      <w:r w:rsidRPr="00D562F7">
        <w:t xml:space="preserve"> </w:t>
      </w:r>
      <w:r>
        <w:t>annual revenue requirement have been reduced to 75.6 percent to reflect only 56.6 megawatts of the 74.9 megawatts of the facility’s capacity being included for recovery under the SoBRA framework.</w:t>
      </w:r>
      <w:bookmarkEnd w:id="15"/>
      <w:r w:rsidR="008A6461">
        <w:t xml:space="preserve"> DEF may</w:t>
      </w:r>
      <w:r>
        <w:t xml:space="preserve"> seek recovery of the remaining portion of the Sandy Creek pla</w:t>
      </w:r>
      <w:r w:rsidR="000E65B0">
        <w:t>nt in a separate proceeding.</w:t>
      </w:r>
    </w:p>
    <w:p w:rsidR="00CD1D91" w:rsidRDefault="00CD1D91" w:rsidP="00CD1D91">
      <w:pPr>
        <w:pStyle w:val="BodyText"/>
      </w:pPr>
      <w:r w:rsidRPr="00AE3DE1">
        <w:t xml:space="preserve">The </w:t>
      </w:r>
      <w:r>
        <w:t>major classifications/</w:t>
      </w:r>
      <w:r w:rsidRPr="00AE3DE1">
        <w:t>components of the requested annual revenue requirement are: production and transmission costs</w:t>
      </w:r>
      <w:r>
        <w:t xml:space="preserve"> related to capital deployment</w:t>
      </w:r>
      <w:r w:rsidRPr="00AE3DE1">
        <w:t xml:space="preserve">, production and transmission depreciation and depreciation-related expenses, operation and maintenance expenses, insurance and </w:t>
      </w:r>
      <w:r w:rsidR="000E65B0">
        <w:t>property expenses, and taxes.</w:t>
      </w:r>
    </w:p>
    <w:p w:rsidR="00CD1D91" w:rsidRDefault="00CD1D91" w:rsidP="00CD1D91">
      <w:pPr>
        <w:pStyle w:val="BodyText"/>
      </w:pPr>
      <w:r w:rsidRPr="00AE3DE1">
        <w:t xml:space="preserve">The </w:t>
      </w:r>
      <w:r>
        <w:t>proposed</w:t>
      </w:r>
      <w:r w:rsidRPr="00AE3DE1">
        <w:t xml:space="preserve"> cumulative annual revenue requirement associated with all five plants under the Third SoBRA is approximately $62.5 million.</w:t>
      </w:r>
      <w:r>
        <w:t xml:space="preserve"> Staff notes that per the terms of the 2017 Settlement, </w:t>
      </w:r>
      <w:r w:rsidRPr="00200060">
        <w:t>DEF is required</w:t>
      </w:r>
      <w:r>
        <w:t xml:space="preserve"> to</w:t>
      </w:r>
      <w:r w:rsidRPr="00200060">
        <w:t xml:space="preserve"> perform a true-up if the actual/final capital expenditures are</w:t>
      </w:r>
      <w:r>
        <w:t xml:space="preserve"> different</w:t>
      </w:r>
      <w:r w:rsidRPr="00200060">
        <w:t xml:space="preserve"> </w:t>
      </w:r>
      <w:r>
        <w:t>from</w:t>
      </w:r>
      <w:r w:rsidRPr="00200060">
        <w:t xml:space="preserve"> the </w:t>
      </w:r>
      <w:r>
        <w:t>estimated</w:t>
      </w:r>
      <w:r w:rsidRPr="00200060">
        <w:t xml:space="preserve"> capital expenditures</w:t>
      </w:r>
      <w:r>
        <w:t>,</w:t>
      </w:r>
      <w:r w:rsidRPr="00200060">
        <w:t xml:space="preserve"> or if the </w:t>
      </w:r>
      <w:r>
        <w:t xml:space="preserve">facility </w:t>
      </w:r>
      <w:r w:rsidRPr="00200060">
        <w:t>in-service dates vary from those originally assumed.</w:t>
      </w:r>
      <w:r w:rsidRPr="005544A2">
        <w:t xml:space="preserve"> Any</w:t>
      </w:r>
      <w:r>
        <w:t xml:space="preserve"> credit/refund is</w:t>
      </w:r>
      <w:r w:rsidRPr="0002035A">
        <w:t xml:space="preserve"> to be effectuated through the </w:t>
      </w:r>
      <w:r>
        <w:t>C</w:t>
      </w:r>
      <w:r w:rsidRPr="0002035A">
        <w:t>apacity</w:t>
      </w:r>
      <w:r>
        <w:t xml:space="preserve"> Cost </w:t>
      </w:r>
      <w:r>
        <w:lastRenderedPageBreak/>
        <w:t>Recovery</w:t>
      </w:r>
      <w:r w:rsidRPr="0002035A">
        <w:t xml:space="preserve"> </w:t>
      </w:r>
      <w:r>
        <w:t>C</w:t>
      </w:r>
      <w:r w:rsidRPr="0002035A">
        <w:t>lause.</w:t>
      </w:r>
      <w:r>
        <w:rPr>
          <w:rStyle w:val="FootnoteReference"/>
        </w:rPr>
        <w:footnoteReference w:id="8"/>
      </w:r>
      <w:r>
        <w:t xml:space="preserve"> </w:t>
      </w:r>
      <w:r w:rsidRPr="00AE3DE1">
        <w:t>Table 5-1 displays the proposed cumulative annual revenue requirements by plant associated with DEF’s Third SoBRA request:</w:t>
      </w:r>
    </w:p>
    <w:p w:rsidR="00CD1D91" w:rsidRDefault="00CD1D91" w:rsidP="00CD1D91">
      <w:pPr>
        <w:pStyle w:val="TableNumber"/>
        <w:keepNext/>
      </w:pPr>
      <w:r>
        <w:t xml:space="preserve">Table </w:t>
      </w:r>
      <w:r w:rsidR="00DC71C7">
        <w:fldChar w:fldCharType="begin"/>
      </w:r>
      <w:r w:rsidR="00DC71C7">
        <w:instrText xml:space="preserve"> SEQ Issue \c </w:instrText>
      </w:r>
      <w:r w:rsidR="00DC71C7">
        <w:fldChar w:fldCharType="separate"/>
      </w:r>
      <w:r>
        <w:rPr>
          <w:noProof/>
        </w:rPr>
        <w:t>5</w:t>
      </w:r>
      <w:r w:rsidR="00DC71C7">
        <w:rPr>
          <w:noProof/>
        </w:rPr>
        <w:fldChar w:fldCharType="end"/>
      </w:r>
      <w:r>
        <w:t>-1</w:t>
      </w:r>
    </w:p>
    <w:p w:rsidR="00CD1D91" w:rsidRDefault="00CD1D91" w:rsidP="00CD1D91">
      <w:pPr>
        <w:pStyle w:val="TableTitle"/>
        <w:keepNext/>
      </w:pPr>
      <w:r w:rsidRPr="00CD1D91">
        <w:t>Third SoBRA Estimated Jurisdictional Annual Revenue Requirement</w:t>
      </w:r>
    </w:p>
    <w:tbl>
      <w:tblPr>
        <w:tblStyle w:val="TableGrid"/>
        <w:tblW w:w="0" w:type="auto"/>
        <w:tblLook w:val="04A0" w:firstRow="1" w:lastRow="0" w:firstColumn="1" w:lastColumn="0" w:noHBand="0" w:noVBand="1"/>
      </w:tblPr>
      <w:tblGrid>
        <w:gridCol w:w="4788"/>
        <w:gridCol w:w="4788"/>
      </w:tblGrid>
      <w:tr w:rsidR="00CD1D91" w:rsidTr="000D100D">
        <w:tc>
          <w:tcPr>
            <w:tcW w:w="4788" w:type="dxa"/>
            <w:vAlign w:val="bottom"/>
          </w:tcPr>
          <w:p w:rsidR="00CD1D91" w:rsidRPr="00896024" w:rsidRDefault="00CD1D91" w:rsidP="00CD1D91">
            <w:pPr>
              <w:jc w:val="center"/>
              <w:rPr>
                <w:b/>
                <w:bCs/>
                <w:color w:val="000000"/>
              </w:rPr>
            </w:pPr>
            <w:r w:rsidRPr="00896024">
              <w:rPr>
                <w:b/>
                <w:bCs/>
                <w:color w:val="000000"/>
              </w:rPr>
              <w:t>Plant</w:t>
            </w:r>
          </w:p>
        </w:tc>
        <w:tc>
          <w:tcPr>
            <w:tcW w:w="4788" w:type="dxa"/>
            <w:vAlign w:val="bottom"/>
          </w:tcPr>
          <w:p w:rsidR="00CD1D91" w:rsidRPr="00896024" w:rsidRDefault="00CD1D91" w:rsidP="00CD1D91">
            <w:pPr>
              <w:jc w:val="center"/>
              <w:rPr>
                <w:b/>
                <w:bCs/>
                <w:color w:val="000000"/>
              </w:rPr>
            </w:pPr>
            <w:r w:rsidRPr="00896024">
              <w:rPr>
                <w:b/>
                <w:bCs/>
                <w:color w:val="000000"/>
              </w:rPr>
              <w:t>Revenue Requirement ($000)</w:t>
            </w:r>
          </w:p>
        </w:tc>
      </w:tr>
      <w:tr w:rsidR="00CD1D91" w:rsidTr="000D100D">
        <w:tc>
          <w:tcPr>
            <w:tcW w:w="4788" w:type="dxa"/>
            <w:vAlign w:val="bottom"/>
          </w:tcPr>
          <w:p w:rsidR="00CD1D91" w:rsidRPr="00896024" w:rsidRDefault="00CD1D91" w:rsidP="00F46DD8">
            <w:pPr>
              <w:jc w:val="both"/>
              <w:rPr>
                <w:color w:val="000000"/>
              </w:rPr>
            </w:pPr>
            <w:r w:rsidRPr="00896024">
              <w:rPr>
                <w:color w:val="000000"/>
              </w:rPr>
              <w:t>Twin Rivers</w:t>
            </w:r>
          </w:p>
        </w:tc>
        <w:tc>
          <w:tcPr>
            <w:tcW w:w="4788" w:type="dxa"/>
            <w:vAlign w:val="bottom"/>
          </w:tcPr>
          <w:p w:rsidR="00CD1D91" w:rsidRPr="00896024" w:rsidRDefault="00CD1D91" w:rsidP="00CD1D91">
            <w:pPr>
              <w:jc w:val="right"/>
              <w:rPr>
                <w:color w:val="000000"/>
                <w:u w:val="single"/>
              </w:rPr>
            </w:pPr>
            <w:r w:rsidRPr="00896024">
              <w:rPr>
                <w:color w:val="000000"/>
              </w:rPr>
              <w:t xml:space="preserve">                           $13,083 </w:t>
            </w:r>
          </w:p>
        </w:tc>
      </w:tr>
      <w:tr w:rsidR="00CD1D91" w:rsidTr="000D100D">
        <w:tc>
          <w:tcPr>
            <w:tcW w:w="4788" w:type="dxa"/>
            <w:vAlign w:val="bottom"/>
          </w:tcPr>
          <w:p w:rsidR="00CD1D91" w:rsidRPr="00896024" w:rsidRDefault="00F46DD8" w:rsidP="00CD1D91">
            <w:pPr>
              <w:jc w:val="both"/>
              <w:rPr>
                <w:color w:val="000000"/>
              </w:rPr>
            </w:pPr>
            <w:r>
              <w:rPr>
                <w:color w:val="000000"/>
              </w:rPr>
              <w:t>Santa Fe</w:t>
            </w:r>
          </w:p>
        </w:tc>
        <w:tc>
          <w:tcPr>
            <w:tcW w:w="4788" w:type="dxa"/>
            <w:vAlign w:val="bottom"/>
          </w:tcPr>
          <w:p w:rsidR="00CD1D91" w:rsidRPr="00896024" w:rsidRDefault="00CD1D91" w:rsidP="00CD1D91">
            <w:pPr>
              <w:jc w:val="right"/>
              <w:rPr>
                <w:color w:val="000000"/>
                <w:u w:val="single"/>
              </w:rPr>
            </w:pPr>
            <w:r w:rsidRPr="00896024">
              <w:rPr>
                <w:color w:val="000000"/>
              </w:rPr>
              <w:t xml:space="preserve">                           13,902 </w:t>
            </w:r>
          </w:p>
        </w:tc>
      </w:tr>
      <w:tr w:rsidR="00CD1D91" w:rsidTr="000D100D">
        <w:tc>
          <w:tcPr>
            <w:tcW w:w="4788" w:type="dxa"/>
            <w:vAlign w:val="bottom"/>
          </w:tcPr>
          <w:p w:rsidR="00CD1D91" w:rsidRPr="00896024" w:rsidRDefault="00CD1D91" w:rsidP="00F46DD8">
            <w:pPr>
              <w:jc w:val="both"/>
              <w:rPr>
                <w:color w:val="000000"/>
              </w:rPr>
            </w:pPr>
            <w:r w:rsidRPr="00896024">
              <w:rPr>
                <w:color w:val="000000"/>
              </w:rPr>
              <w:t>Charlie Creek</w:t>
            </w:r>
          </w:p>
        </w:tc>
        <w:tc>
          <w:tcPr>
            <w:tcW w:w="4788" w:type="dxa"/>
            <w:vAlign w:val="bottom"/>
          </w:tcPr>
          <w:p w:rsidR="00CD1D91" w:rsidRPr="00896024" w:rsidRDefault="00CD1D91" w:rsidP="00CD1D91">
            <w:pPr>
              <w:jc w:val="right"/>
              <w:rPr>
                <w:color w:val="000000"/>
                <w:u w:val="single"/>
              </w:rPr>
            </w:pPr>
            <w:r w:rsidRPr="00896024">
              <w:rPr>
                <w:color w:val="000000"/>
              </w:rPr>
              <w:t xml:space="preserve">                             12,475</w:t>
            </w:r>
          </w:p>
        </w:tc>
      </w:tr>
      <w:tr w:rsidR="00CD1D91" w:rsidTr="000D100D">
        <w:tc>
          <w:tcPr>
            <w:tcW w:w="4788" w:type="dxa"/>
            <w:vAlign w:val="bottom"/>
          </w:tcPr>
          <w:p w:rsidR="00CD1D91" w:rsidRPr="00896024" w:rsidRDefault="00F46DD8" w:rsidP="00CD1D91">
            <w:pPr>
              <w:jc w:val="both"/>
              <w:rPr>
                <w:color w:val="000000"/>
              </w:rPr>
            </w:pPr>
            <w:proofErr w:type="spellStart"/>
            <w:r>
              <w:rPr>
                <w:color w:val="000000"/>
              </w:rPr>
              <w:t>Duette</w:t>
            </w:r>
            <w:proofErr w:type="spellEnd"/>
          </w:p>
        </w:tc>
        <w:tc>
          <w:tcPr>
            <w:tcW w:w="4788" w:type="dxa"/>
            <w:vAlign w:val="bottom"/>
          </w:tcPr>
          <w:p w:rsidR="00CD1D91" w:rsidRPr="00896024" w:rsidRDefault="00CD1D91" w:rsidP="00CD1D91">
            <w:pPr>
              <w:jc w:val="right"/>
              <w:rPr>
                <w:color w:val="000000"/>
                <w:u w:val="single"/>
              </w:rPr>
            </w:pPr>
            <w:r w:rsidRPr="00896024">
              <w:rPr>
                <w:color w:val="000000"/>
              </w:rPr>
              <w:t xml:space="preserve">                             13,400 </w:t>
            </w:r>
          </w:p>
        </w:tc>
      </w:tr>
      <w:tr w:rsidR="00CD1D91" w:rsidTr="000D100D">
        <w:tc>
          <w:tcPr>
            <w:tcW w:w="4788" w:type="dxa"/>
            <w:vAlign w:val="bottom"/>
          </w:tcPr>
          <w:p w:rsidR="00CD1D91" w:rsidRPr="00896024" w:rsidRDefault="00CD1D91" w:rsidP="00F46DD8">
            <w:pPr>
              <w:jc w:val="both"/>
              <w:rPr>
                <w:color w:val="000000"/>
              </w:rPr>
            </w:pPr>
            <w:r w:rsidRPr="00896024">
              <w:rPr>
                <w:color w:val="000000"/>
              </w:rPr>
              <w:t>Sandy Creek</w:t>
            </w:r>
            <w:r>
              <w:rPr>
                <w:rStyle w:val="FootnoteReference"/>
                <w:color w:val="000000"/>
              </w:rPr>
              <w:footnoteReference w:id="9"/>
            </w:r>
          </w:p>
        </w:tc>
        <w:tc>
          <w:tcPr>
            <w:tcW w:w="4788" w:type="dxa"/>
            <w:vAlign w:val="bottom"/>
          </w:tcPr>
          <w:p w:rsidR="00CD1D91" w:rsidRPr="00B333E1" w:rsidRDefault="00CD1D91" w:rsidP="00CD1D91">
            <w:pPr>
              <w:jc w:val="right"/>
              <w:rPr>
                <w:color w:val="000000"/>
                <w:u w:val="single"/>
              </w:rPr>
            </w:pPr>
            <w:r w:rsidRPr="00896024">
              <w:rPr>
                <w:color w:val="000000"/>
              </w:rPr>
              <w:t xml:space="preserve">                             </w:t>
            </w:r>
            <w:r w:rsidRPr="00B333E1">
              <w:rPr>
                <w:color w:val="000000"/>
                <w:u w:val="single"/>
              </w:rPr>
              <w:t>9,683</w:t>
            </w:r>
          </w:p>
        </w:tc>
      </w:tr>
      <w:tr w:rsidR="00CD1D91" w:rsidTr="000D100D">
        <w:tc>
          <w:tcPr>
            <w:tcW w:w="4788" w:type="dxa"/>
            <w:vAlign w:val="bottom"/>
          </w:tcPr>
          <w:p w:rsidR="00CD1D91" w:rsidRPr="00896024" w:rsidRDefault="00CD1D91" w:rsidP="00CD1D91">
            <w:pPr>
              <w:jc w:val="both"/>
              <w:rPr>
                <w:b/>
                <w:bCs/>
                <w:color w:val="000000"/>
              </w:rPr>
            </w:pPr>
            <w:r>
              <w:rPr>
                <w:b/>
                <w:bCs/>
                <w:color w:val="000000"/>
              </w:rPr>
              <w:t>Total</w:t>
            </w:r>
          </w:p>
        </w:tc>
        <w:tc>
          <w:tcPr>
            <w:tcW w:w="4788" w:type="dxa"/>
            <w:vAlign w:val="bottom"/>
          </w:tcPr>
          <w:p w:rsidR="00CD1D91" w:rsidRPr="00B333E1" w:rsidRDefault="00CD1D91" w:rsidP="00CD1D91">
            <w:pPr>
              <w:jc w:val="right"/>
              <w:rPr>
                <w:color w:val="000000"/>
                <w:u w:val="double"/>
              </w:rPr>
            </w:pPr>
            <w:r w:rsidRPr="00B333E1">
              <w:rPr>
                <w:color w:val="000000"/>
                <w:u w:val="double"/>
              </w:rPr>
              <w:t>$62,543</w:t>
            </w:r>
          </w:p>
        </w:tc>
      </w:tr>
    </w:tbl>
    <w:p w:rsidR="00CD1D91" w:rsidRPr="000635F0" w:rsidRDefault="00CD1D91" w:rsidP="00CD1D91">
      <w:pPr>
        <w:pStyle w:val="TableSource"/>
        <w:rPr>
          <w:sz w:val="20"/>
          <w:szCs w:val="20"/>
          <w:highlight w:val="yellow"/>
        </w:rPr>
      </w:pPr>
      <w:r w:rsidRPr="000635F0">
        <w:rPr>
          <w:sz w:val="20"/>
          <w:szCs w:val="20"/>
        </w:rPr>
        <w:t>Source: Direct Testimony of DEF witness Thomas G. Foster, Exhibit (TGF-1)</w:t>
      </w:r>
    </w:p>
    <w:p w:rsidR="00CD1D91" w:rsidRDefault="00CD1D91" w:rsidP="00CD1D91">
      <w:pPr>
        <w:pStyle w:val="First-LevelSubheading"/>
      </w:pPr>
      <w:r>
        <w:t>Conclusion</w:t>
      </w:r>
    </w:p>
    <w:p w:rsidR="00CC0185" w:rsidRDefault="00CD1D91" w:rsidP="00CD1D91">
      <w:pPr>
        <w:pStyle w:val="BodyText"/>
      </w:pPr>
      <w:r w:rsidRPr="00093579">
        <w:t>The total</w:t>
      </w:r>
      <w:r>
        <w:t xml:space="preserve"> jurisdictional</w:t>
      </w:r>
      <w:r w:rsidRPr="00093579">
        <w:t xml:space="preserve"> annual revenue</w:t>
      </w:r>
      <w:r w:rsidRPr="005874B8">
        <w:t xml:space="preserve"> requirement associated with</w:t>
      </w:r>
      <w:r>
        <w:t xml:space="preserve"> each of </w:t>
      </w:r>
      <w:r w:rsidRPr="005874B8">
        <w:t>the</w:t>
      </w:r>
      <w:r>
        <w:t xml:space="preserve"> five proposed</w:t>
      </w:r>
      <w:r w:rsidRPr="005874B8">
        <w:t xml:space="preserve"> </w:t>
      </w:r>
      <w:r w:rsidR="00F46DD8">
        <w:t>p</w:t>
      </w:r>
      <w:r w:rsidRPr="005874B8">
        <w:t xml:space="preserve">rojects </w:t>
      </w:r>
      <w:r>
        <w:t>is as listed in Table 5-1</w:t>
      </w:r>
      <w:r w:rsidRPr="00014DD3">
        <w:t>.</w:t>
      </w:r>
    </w:p>
    <w:p w:rsidR="00CC0185" w:rsidRPr="00F46DD8" w:rsidRDefault="00CC0185">
      <w:pPr>
        <w:pStyle w:val="IssueHeading"/>
        <w:rPr>
          <w:vanish/>
          <w:specVanish/>
        </w:rPr>
      </w:pPr>
      <w:r w:rsidRPr="004C3641">
        <w:rPr>
          <w:b w:val="0"/>
          <w:i w:val="0"/>
        </w:rPr>
        <w:br w:type="page"/>
      </w:r>
      <w:r w:rsidRPr="004C3641">
        <w:lastRenderedPageBreak/>
        <w:t>Issu</w:t>
      </w:r>
      <w:r w:rsidRPr="00F46DD8">
        <w:t xml:space="preserve">e </w:t>
      </w:r>
      <w:r w:rsidR="00DC71C7">
        <w:fldChar w:fldCharType="begin"/>
      </w:r>
      <w:r w:rsidR="00DC71C7">
        <w:instrText xml:space="preserve"> SEQ Issue \* MERGEFORMAT </w:instrText>
      </w:r>
      <w:r w:rsidR="00DC71C7">
        <w:fldChar w:fldCharType="separate"/>
      </w:r>
      <w:r w:rsidRPr="00F46DD8">
        <w:rPr>
          <w:noProof/>
        </w:rPr>
        <w:t>6</w:t>
      </w:r>
      <w:r w:rsidR="00DC71C7">
        <w:rPr>
          <w:noProof/>
        </w:rPr>
        <w:fldChar w:fldCharType="end"/>
      </w:r>
      <w:r w:rsidRPr="00F46DD8">
        <w:t>:</w:t>
      </w:r>
      <w:r w:rsidRPr="00F46DD8">
        <w:fldChar w:fldCharType="begin"/>
      </w:r>
      <w:r w:rsidRPr="00F46DD8">
        <w:instrText xml:space="preserve"> TC "</w:instrText>
      </w:r>
      <w:r w:rsidRPr="00F46DD8">
        <w:fldChar w:fldCharType="begin"/>
      </w:r>
      <w:r w:rsidRPr="00F46DD8">
        <w:instrText xml:space="preserve"> SEQ issue \c </w:instrText>
      </w:r>
      <w:r w:rsidRPr="00F46DD8">
        <w:fldChar w:fldCharType="separate"/>
      </w:r>
      <w:r w:rsidRPr="00F46DD8">
        <w:rPr>
          <w:noProof/>
        </w:rPr>
        <w:instrText>6</w:instrText>
      </w:r>
      <w:r w:rsidRPr="00F46DD8">
        <w:fldChar w:fldCharType="end"/>
      </w:r>
      <w:r w:rsidRPr="00F46DD8">
        <w:tab/>
        <w:instrText xml:space="preserve">" \l 1 </w:instrText>
      </w:r>
      <w:r w:rsidRPr="00F46DD8">
        <w:fldChar w:fldCharType="end"/>
      </w:r>
      <w:r w:rsidRPr="00F46DD8">
        <w:t> </w:t>
      </w:r>
    </w:p>
    <w:p w:rsidR="00CC0185" w:rsidRDefault="00CC0185">
      <w:pPr>
        <w:pStyle w:val="BodyText"/>
      </w:pPr>
      <w:r w:rsidRPr="00F46DD8">
        <w:t> </w:t>
      </w:r>
      <w:r w:rsidR="004D5E79" w:rsidRPr="00215538">
        <w:t xml:space="preserve">Should the Commission </w:t>
      </w:r>
      <w:r w:rsidR="004D5E79">
        <w:t>approve the tariff sheets reflecting the annual revenue requirements for th</w:t>
      </w:r>
      <w:r w:rsidR="009C0341">
        <w:t>e Twin Rivers and Santa Fe s</w:t>
      </w:r>
      <w:r w:rsidR="004D5E79">
        <w:t>olar</w:t>
      </w:r>
      <w:r w:rsidR="009C0341">
        <w:t xml:space="preserve"> p</w:t>
      </w:r>
      <w:r w:rsidR="004D5E79">
        <w:t xml:space="preserve">rojects? In addition, should the Commission grant </w:t>
      </w:r>
      <w:r w:rsidR="004D5E79" w:rsidRPr="00215538">
        <w:t xml:space="preserve">staff administrative authority to approve the tariffs for </w:t>
      </w:r>
      <w:r w:rsidR="00286CF5">
        <w:t>the Charlie</w:t>
      </w:r>
      <w:r w:rsidR="009C0341">
        <w:t xml:space="preserve"> Creek, </w:t>
      </w:r>
      <w:proofErr w:type="spellStart"/>
      <w:r w:rsidR="009C0341">
        <w:t>Duette</w:t>
      </w:r>
      <w:proofErr w:type="spellEnd"/>
      <w:r w:rsidR="009C0341">
        <w:t xml:space="preserve"> solar p</w:t>
      </w:r>
      <w:r w:rsidR="004D5E79">
        <w:t>roject</w:t>
      </w:r>
      <w:r w:rsidR="009C0341">
        <w:t>s and the Sandy Creek p</w:t>
      </w:r>
      <w:r w:rsidR="004D5E79">
        <w:t>rojects?</w:t>
      </w:r>
    </w:p>
    <w:p w:rsidR="00CC0185" w:rsidRPr="004C3641" w:rsidRDefault="00CC0185">
      <w:pPr>
        <w:pStyle w:val="IssueSubsectionHeading"/>
        <w:rPr>
          <w:vanish/>
          <w:specVanish/>
        </w:rPr>
      </w:pPr>
      <w:r w:rsidRPr="004C3641">
        <w:t>Recommendation: </w:t>
      </w:r>
    </w:p>
    <w:p w:rsidR="00CC0185" w:rsidRDefault="00CC0185">
      <w:pPr>
        <w:pStyle w:val="BodyText"/>
      </w:pPr>
      <w:r>
        <w:t> </w:t>
      </w:r>
      <w:r w:rsidR="008A2D3B">
        <w:t>Yes. T</w:t>
      </w:r>
      <w:r w:rsidR="008A2D3B" w:rsidRPr="00215538">
        <w:t>he Commission</w:t>
      </w:r>
      <w:r w:rsidR="008A2D3B">
        <w:t xml:space="preserve"> should</w:t>
      </w:r>
      <w:r w:rsidR="008A2D3B" w:rsidRPr="00215538">
        <w:t xml:space="preserve"> </w:t>
      </w:r>
      <w:r w:rsidR="008A2D3B">
        <w:t>approve the tariff sheets as shown in Attachment A of the recommendation, which reflect the annual revenue requirements listed in Issue 5</w:t>
      </w:r>
      <w:r w:rsidR="008A2D3B" w:rsidRPr="00215538">
        <w:t xml:space="preserve"> </w:t>
      </w:r>
      <w:r w:rsidR="008A2D3B">
        <w:t>fo</w:t>
      </w:r>
      <w:r w:rsidR="009C0341">
        <w:t>r the Twin Rivers and Santa Fe p</w:t>
      </w:r>
      <w:r w:rsidR="008A2D3B">
        <w:t xml:space="preserve">rojects, effective with the first billing cycle </w:t>
      </w:r>
      <w:r w:rsidR="008A2D3B" w:rsidRPr="00DC5CAF">
        <w:t>on or after the</w:t>
      </w:r>
      <w:r w:rsidR="008A2D3B">
        <w:t xml:space="preserve"> </w:t>
      </w:r>
      <w:r w:rsidR="008A2D3B" w:rsidRPr="00DC5CAF">
        <w:t>commercial in-service date</w:t>
      </w:r>
      <w:r w:rsidR="008A2D3B">
        <w:t xml:space="preserve"> of both units. In addition, the Commission should grant </w:t>
      </w:r>
      <w:r w:rsidR="008A2D3B" w:rsidRPr="00215538">
        <w:t xml:space="preserve">staff administrative authority to approve tariffs for </w:t>
      </w:r>
      <w:r w:rsidR="00286CF5">
        <w:t>the Charlie</w:t>
      </w:r>
      <w:r w:rsidR="00A15669">
        <w:t xml:space="preserve"> Creek and </w:t>
      </w:r>
      <w:proofErr w:type="spellStart"/>
      <w:r w:rsidR="00A15669">
        <w:t>Duette</w:t>
      </w:r>
      <w:proofErr w:type="spellEnd"/>
      <w:r w:rsidR="00A15669">
        <w:t xml:space="preserve"> </w:t>
      </w:r>
      <w:r w:rsidR="00286BF7">
        <w:t>p</w:t>
      </w:r>
      <w:r w:rsidR="008A2D3B">
        <w:t xml:space="preserve">rojects for implementation effective with the first billing cycle </w:t>
      </w:r>
      <w:r w:rsidR="008A2D3B" w:rsidRPr="00DC5CAF">
        <w:t>on or after the</w:t>
      </w:r>
      <w:r w:rsidR="008A2D3B">
        <w:t xml:space="preserve"> </w:t>
      </w:r>
      <w:r w:rsidR="008A2D3B" w:rsidRPr="00DC5CAF">
        <w:t>commercial in-service date</w:t>
      </w:r>
      <w:r w:rsidR="008A2D3B">
        <w:t xml:space="preserve"> of </w:t>
      </w:r>
      <w:r w:rsidR="00A15669">
        <w:t>both units and the Sandy Creek</w:t>
      </w:r>
      <w:r w:rsidR="00286BF7">
        <w:t xml:space="preserve"> p</w:t>
      </w:r>
      <w:r w:rsidR="008A2D3B">
        <w:t xml:space="preserve">roject for implementation effective with the first billing cycle </w:t>
      </w:r>
      <w:r w:rsidR="008A2D3B" w:rsidRPr="00DC5CAF">
        <w:t>on or after the</w:t>
      </w:r>
      <w:r w:rsidR="008A2D3B">
        <w:t xml:space="preserve"> </w:t>
      </w:r>
      <w:r w:rsidR="008A2D3B" w:rsidRPr="00DC5CAF">
        <w:t>commercial in-service date</w:t>
      </w:r>
      <w:r w:rsidR="008A2D3B">
        <w:t xml:space="preserve"> of that unit, using the annual revenue requirements listed in Issue 5 for each of these projects. (Forrest, Coston)</w:t>
      </w:r>
      <w:r>
        <w:t xml:space="preserve"> </w:t>
      </w:r>
    </w:p>
    <w:p w:rsidR="00CC0185" w:rsidRPr="004C3641" w:rsidRDefault="00CC0185">
      <w:pPr>
        <w:pStyle w:val="IssueSubsectionHeading"/>
        <w:rPr>
          <w:vanish/>
          <w:specVanish/>
        </w:rPr>
      </w:pPr>
      <w:r w:rsidRPr="004C3641">
        <w:t>Staff Analysis: </w:t>
      </w:r>
    </w:p>
    <w:p w:rsidR="004C3034" w:rsidRDefault="00CC0185" w:rsidP="004C3034">
      <w:pPr>
        <w:jc w:val="both"/>
      </w:pPr>
      <w:r>
        <w:t> </w:t>
      </w:r>
      <w:r w:rsidR="004C3034">
        <w:t>Issue 5 of the recommendation provides the annual revenue requirements as</w:t>
      </w:r>
      <w:r w:rsidR="00A15669">
        <w:t xml:space="preserve">sociated with each of the five </w:t>
      </w:r>
      <w:r w:rsidR="00286BF7">
        <w:t>p</w:t>
      </w:r>
      <w:r w:rsidR="004C3034">
        <w:t xml:space="preserve">rojects proposed by DEF in its proposed </w:t>
      </w:r>
      <w:r w:rsidR="000E433F">
        <w:t>Third SOBRA</w:t>
      </w:r>
      <w:r w:rsidR="004C3034">
        <w:t xml:space="preserve">. As noted in Issue 1, these projects have varying implementation dates. As such, the Company has requested that the rates be implemented over three phases. </w:t>
      </w:r>
    </w:p>
    <w:p w:rsidR="00083250" w:rsidRDefault="00083250" w:rsidP="004C3034">
      <w:pPr>
        <w:jc w:val="both"/>
      </w:pPr>
    </w:p>
    <w:p w:rsidR="004C3034" w:rsidRDefault="004C3034" w:rsidP="004C3034">
      <w:pPr>
        <w:jc w:val="both"/>
      </w:pPr>
      <w:r>
        <w:t>The Company stated in its petition tha</w:t>
      </w:r>
      <w:r w:rsidR="009C0341">
        <w:t>t the Twin Rivers and Santa Fe p</w:t>
      </w:r>
      <w:r>
        <w:t xml:space="preserve">rojects are scheduled to go into commercial service in early 2021. Per the 2017 Settlement, </w:t>
      </w:r>
      <w:r w:rsidR="003F394E">
        <w:t>sub</w:t>
      </w:r>
      <w:r>
        <w:t>paragraph 15(g), “</w:t>
      </w:r>
      <w:r w:rsidRPr="00DC5CAF">
        <w:t>DEF shall be</w:t>
      </w:r>
      <w:r>
        <w:t xml:space="preserve"> </w:t>
      </w:r>
      <w:r w:rsidRPr="00DC5CAF">
        <w:t>authorized to begin applying the base rate charges for each adjustment authorized by</w:t>
      </w:r>
      <w:r>
        <w:t xml:space="preserve"> </w:t>
      </w:r>
      <w:r w:rsidRPr="00DC5CAF">
        <w:t>this Paragraph to meter readings beginning with the first billing cycle on or after the</w:t>
      </w:r>
      <w:r>
        <w:t xml:space="preserve"> </w:t>
      </w:r>
      <w:r w:rsidRPr="00DC5CAF">
        <w:t>commercial in-service date of that solar generation project.</w:t>
      </w:r>
      <w:r>
        <w:t>” DEF clarified w</w:t>
      </w:r>
      <w:r w:rsidR="009C0341">
        <w:t>ith staff that the Twin Rivers p</w:t>
      </w:r>
      <w:r>
        <w:t>roject is scheduled for a February 2021 in</w:t>
      </w:r>
      <w:r w:rsidR="009C0341">
        <w:t>-service date and the Santa Fe p</w:t>
      </w:r>
      <w:r>
        <w:t>roject is scheduled for a March 2021 in-service date</w:t>
      </w:r>
      <w:r w:rsidRPr="00A84550">
        <w:t>; therefore, under the scheduled in-service dates the tariffs</w:t>
      </w:r>
      <w:r>
        <w:t>,</w:t>
      </w:r>
      <w:r w:rsidRPr="00A84550">
        <w:t xml:space="preserve"> as shown in Attachment A to the recommendation</w:t>
      </w:r>
      <w:r>
        <w:t>,</w:t>
      </w:r>
      <w:r w:rsidRPr="00A84550">
        <w:t xml:space="preserve"> would be effective with the first billing cycle in April 2021. The Company should provide notification in the docket file of the actual in-service date</w:t>
      </w:r>
      <w:r w:rsidR="00982E78">
        <w:t>s</w:t>
      </w:r>
      <w:r w:rsidRPr="00A84550">
        <w:t xml:space="preserve"> of these projects. </w:t>
      </w:r>
      <w:r>
        <w:t xml:space="preserve"> </w:t>
      </w:r>
    </w:p>
    <w:p w:rsidR="00544A47" w:rsidRDefault="00544A47" w:rsidP="004C3034">
      <w:pPr>
        <w:jc w:val="both"/>
      </w:pPr>
    </w:p>
    <w:p w:rsidR="004C3034" w:rsidRDefault="004C3034" w:rsidP="004C3034">
      <w:pPr>
        <w:jc w:val="both"/>
      </w:pPr>
      <w:r>
        <w:t>The proposed tariffs reflecting the revenue requirements fo</w:t>
      </w:r>
      <w:r w:rsidR="009C0341">
        <w:t>r the Twin Rivers and Santa Fe p</w:t>
      </w:r>
      <w:r>
        <w:t xml:space="preserve">rojects are included as Attachment A of the recommendation. These tariffs reflect a total revenue requirement of $13,083,000 for the </w:t>
      </w:r>
      <w:proofErr w:type="gramStart"/>
      <w:r>
        <w:t>Twin Riv</w:t>
      </w:r>
      <w:r w:rsidR="009C0341">
        <w:t>ers</w:t>
      </w:r>
      <w:proofErr w:type="gramEnd"/>
      <w:r w:rsidR="009C0341">
        <w:t xml:space="preserve"> p</w:t>
      </w:r>
      <w:r>
        <w:t>roject an</w:t>
      </w:r>
      <w:r w:rsidR="009C0341">
        <w:t>d $13,902,000 for the Santa Fe p</w:t>
      </w:r>
      <w:r>
        <w:t xml:space="preserve">roject. The uniform percentage increase calculations for the class revenue increases and resulting base rate increases are shown in Exhibit C to the petition, which are calculated using the methodology approved in </w:t>
      </w:r>
      <w:r w:rsidR="00051EC9">
        <w:t>sub</w:t>
      </w:r>
      <w:r>
        <w:t xml:space="preserve">paragraph 15(e) of the 2017 Settlement. For a residential customer using 1,000 kilowatt-hours, the monthly base rate increase will be $0.78. </w:t>
      </w:r>
    </w:p>
    <w:p w:rsidR="003735CA" w:rsidRDefault="003735CA" w:rsidP="004C3034">
      <w:pPr>
        <w:jc w:val="both"/>
      </w:pPr>
    </w:p>
    <w:p w:rsidR="004C3034" w:rsidRDefault="004C3034" w:rsidP="004C3034">
      <w:pPr>
        <w:jc w:val="both"/>
      </w:pPr>
      <w:r>
        <w:t>DEF stated in its p</w:t>
      </w:r>
      <w:r w:rsidR="00EF7A4C">
        <w:t>etition that the Charlie</w:t>
      </w:r>
      <w:r w:rsidR="009C0341">
        <w:t xml:space="preserve"> Creek project and </w:t>
      </w:r>
      <w:proofErr w:type="spellStart"/>
      <w:r w:rsidR="009C0341">
        <w:t>Duette</w:t>
      </w:r>
      <w:proofErr w:type="spellEnd"/>
      <w:r w:rsidR="009C0341">
        <w:t xml:space="preserve"> p</w:t>
      </w:r>
      <w:r>
        <w:t>roject are anticipated to go online in the last quarter of</w:t>
      </w:r>
      <w:r w:rsidR="009C0341">
        <w:t xml:space="preserve"> 2021 and that the Sandy Creek p</w:t>
      </w:r>
      <w:r>
        <w:t xml:space="preserve">roject is anticipated to go online in the second quarter of 2022. The Company requested staff </w:t>
      </w:r>
      <w:proofErr w:type="gramStart"/>
      <w:r>
        <w:t>be</w:t>
      </w:r>
      <w:proofErr w:type="gramEnd"/>
      <w:r>
        <w:t xml:space="preserve"> given administrative authority to approve the tariffs associated with these projects at the time the units go online. As wit</w:t>
      </w:r>
      <w:r w:rsidR="009C0341">
        <w:t>h the Twin Rivers and Santa Fe p</w:t>
      </w:r>
      <w:r>
        <w:t>rojects, t</w:t>
      </w:r>
      <w:r w:rsidRPr="00A84550">
        <w:t>he Company should provide notification in the docket file of the actual in-service date of these projects.</w:t>
      </w:r>
    </w:p>
    <w:p w:rsidR="003735CA" w:rsidRDefault="003735CA" w:rsidP="004C3034">
      <w:pPr>
        <w:jc w:val="both"/>
      </w:pPr>
    </w:p>
    <w:p w:rsidR="003E6932" w:rsidRDefault="003E6932" w:rsidP="003E6932">
      <w:pPr>
        <w:pStyle w:val="First-LevelSubheading"/>
      </w:pPr>
      <w:r>
        <w:lastRenderedPageBreak/>
        <w:t>Conclusion</w:t>
      </w:r>
    </w:p>
    <w:p w:rsidR="00CC0185" w:rsidRDefault="004C3034" w:rsidP="004C3034">
      <w:pPr>
        <w:pStyle w:val="BodyText"/>
      </w:pPr>
      <w:r>
        <w:t xml:space="preserve">Staff recommends that </w:t>
      </w:r>
      <w:r w:rsidRPr="00215538">
        <w:t>the Commission</w:t>
      </w:r>
      <w:r>
        <w:t xml:space="preserve"> should</w:t>
      </w:r>
      <w:r w:rsidRPr="00215538">
        <w:t xml:space="preserve"> </w:t>
      </w:r>
      <w:r>
        <w:t>approve the tariff sheets as shown in Attachment A of the recommendation, which reflect the annual revenue requirements listed in Issue 5</w:t>
      </w:r>
      <w:r w:rsidRPr="00215538">
        <w:t xml:space="preserve"> </w:t>
      </w:r>
      <w:r>
        <w:t>fo</w:t>
      </w:r>
      <w:r w:rsidR="009C0341">
        <w:t>r the Twin Rivers and Santa Fe p</w:t>
      </w:r>
      <w:r>
        <w:t xml:space="preserve">rojects, effective with the first billing cycle </w:t>
      </w:r>
      <w:r w:rsidRPr="00DC5CAF">
        <w:t>on or after the</w:t>
      </w:r>
      <w:r>
        <w:t xml:space="preserve"> </w:t>
      </w:r>
      <w:r w:rsidRPr="00DC5CAF">
        <w:t>commercial in-service date</w:t>
      </w:r>
      <w:r>
        <w:t xml:space="preserve"> of both units. In addition, the Commission should grant </w:t>
      </w:r>
      <w:r w:rsidRPr="00215538">
        <w:t xml:space="preserve">staff administrative authority to approve tariffs for </w:t>
      </w:r>
      <w:r w:rsidR="0034253A">
        <w:t>the Charlie</w:t>
      </w:r>
      <w:r w:rsidR="00286BF7">
        <w:t xml:space="preserve"> Creek and </w:t>
      </w:r>
      <w:proofErr w:type="spellStart"/>
      <w:r w:rsidR="00286BF7">
        <w:t>Duette</w:t>
      </w:r>
      <w:proofErr w:type="spellEnd"/>
      <w:r w:rsidR="00286BF7">
        <w:t xml:space="preserve"> p</w:t>
      </w:r>
      <w:r>
        <w:t xml:space="preserve">rojects for implementation effective with the first billing cycle </w:t>
      </w:r>
      <w:r w:rsidRPr="00DC5CAF">
        <w:t>on or after the</w:t>
      </w:r>
      <w:r>
        <w:t xml:space="preserve"> </w:t>
      </w:r>
      <w:r w:rsidRPr="00DC5CAF">
        <w:t>commercial in-service date</w:t>
      </w:r>
      <w:r>
        <w:t xml:space="preserve"> of bot</w:t>
      </w:r>
      <w:r w:rsidR="00286BF7">
        <w:t>h units and the Sandy Creek p</w:t>
      </w:r>
      <w:r>
        <w:t xml:space="preserve">roject for implementation effective with the first billing cycle </w:t>
      </w:r>
      <w:r w:rsidRPr="00DC5CAF">
        <w:t>on or after the</w:t>
      </w:r>
      <w:r>
        <w:t xml:space="preserve"> </w:t>
      </w:r>
      <w:r w:rsidRPr="00DC5CAF">
        <w:t>commercial in-service date</w:t>
      </w:r>
      <w:r>
        <w:t xml:space="preserve"> of that unit, using the annual revenue requirements listed in Issue 5 for each of these projects.</w:t>
      </w:r>
    </w:p>
    <w:p w:rsidR="00CC0185" w:rsidRDefault="00CC0185">
      <w:pPr>
        <w:pStyle w:val="IssueHeading"/>
        <w:rPr>
          <w:vanish/>
          <w:specVanish/>
        </w:rPr>
      </w:pPr>
      <w:r w:rsidRPr="004C3641">
        <w:rPr>
          <w:b w:val="0"/>
          <w:i w:val="0"/>
        </w:rPr>
        <w:br w:type="page"/>
      </w:r>
      <w:r w:rsidRPr="004C3641">
        <w:lastRenderedPageBreak/>
        <w:t xml:space="preserve">Issue </w:t>
      </w:r>
      <w:r w:rsidR="00DC71C7">
        <w:fldChar w:fldCharType="begin"/>
      </w:r>
      <w:r w:rsidR="00DC71C7">
        <w:instrText xml:space="preserve"> SEQ Issue \* MERGEFORMAT </w:instrText>
      </w:r>
      <w:r w:rsidR="00DC71C7">
        <w:fldChar w:fldCharType="separate"/>
      </w:r>
      <w:r>
        <w:rPr>
          <w:noProof/>
        </w:rPr>
        <w:t>7</w:t>
      </w:r>
      <w:r w:rsidR="00DC71C7">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7</w:instrText>
      </w:r>
      <w:r>
        <w:fldChar w:fldCharType="end"/>
      </w:r>
      <w:r>
        <w:tab/>
        <w:instrText xml:space="preserve">" \l 1 </w:instrText>
      </w:r>
      <w:r>
        <w:fldChar w:fldCharType="end"/>
      </w:r>
      <w:r>
        <w:t> </w:t>
      </w:r>
    </w:p>
    <w:p w:rsidR="00CC0185" w:rsidRDefault="00CC0185">
      <w:pPr>
        <w:pStyle w:val="BodyText"/>
      </w:pPr>
      <w:r>
        <w:t> Should this docket be closed?</w:t>
      </w:r>
    </w:p>
    <w:p w:rsidR="00CC0185" w:rsidRPr="004C3641" w:rsidRDefault="00CC0185">
      <w:pPr>
        <w:pStyle w:val="IssueSubsectionHeading"/>
        <w:rPr>
          <w:vanish/>
          <w:specVanish/>
        </w:rPr>
      </w:pPr>
      <w:r w:rsidRPr="004C3641">
        <w:t>Recommendation: </w:t>
      </w:r>
    </w:p>
    <w:p w:rsidR="00CC0185" w:rsidRDefault="00CC0185">
      <w:pPr>
        <w:pStyle w:val="BodyText"/>
      </w:pPr>
      <w:r>
        <w:t> </w:t>
      </w:r>
      <w:r w:rsidR="00113D7E" w:rsidRPr="00113D7E">
        <w:t>If a protest is filed within 21 days of the issuance of the order, the tariffs should remain in effect, with any revenues held subject to refund, pending resolution of the protest. If no timely protest is filed, this docket should be closed upon the issuance of a consummatin</w:t>
      </w:r>
      <w:r w:rsidR="000E65B0">
        <w:t>g order. (Stiller, Trierweiler)</w:t>
      </w:r>
    </w:p>
    <w:p w:rsidR="00CC0185" w:rsidRPr="004C3641" w:rsidRDefault="00CC0185">
      <w:pPr>
        <w:pStyle w:val="IssueSubsectionHeading"/>
        <w:rPr>
          <w:vanish/>
          <w:specVanish/>
        </w:rPr>
      </w:pPr>
      <w:r w:rsidRPr="004C3641">
        <w:t>Staff Analysis: </w:t>
      </w:r>
    </w:p>
    <w:p w:rsidR="00CC0185" w:rsidRDefault="00CC0185">
      <w:pPr>
        <w:pStyle w:val="BodyText"/>
      </w:pPr>
      <w:r>
        <w:t> </w:t>
      </w:r>
      <w:r w:rsidR="00113D7E" w:rsidRPr="00113D7E">
        <w:t>If a protest is filed within 21 days of the issuance of the order, the tariffs should remain in effect, with any revenues held subject to refund, pending resolution of the protest. If no timely protest is filed, this docket should be closed upon the is</w:t>
      </w:r>
      <w:r w:rsidR="00CA4845">
        <w:t>suance of a consummating order.</w:t>
      </w:r>
    </w:p>
    <w:p w:rsidR="00E06484" w:rsidRDefault="00E06484" w:rsidP="00E275D8">
      <w:pPr>
        <w:pStyle w:val="BodyText"/>
      </w:pPr>
    </w:p>
    <w:p w:rsidR="001B44FC" w:rsidRDefault="001B44FC" w:rsidP="00E275D8">
      <w:pPr>
        <w:pStyle w:val="BodyText"/>
        <w:sectPr w:rsidR="001B44FC"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1B44FC" w:rsidRDefault="00204166" w:rsidP="00E275D8">
      <w:pPr>
        <w:pStyle w:val="BodyText"/>
      </w:pPr>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D100D" w:rsidRDefault="000D100D" w:rsidP="00E275D8">
      <w:pPr>
        <w:pStyle w:val="BodyText"/>
      </w:pPr>
    </w:p>
    <w:p w:rsidR="000D100D" w:rsidRDefault="000D100D">
      <w:pPr>
        <w:sectPr w:rsidR="000D100D" w:rsidSect="0068481F">
          <w:headerReference w:type="default" r:id="rId1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D100D" w:rsidRDefault="000D100D" w:rsidP="000D100D">
      <w:pPr>
        <w:pStyle w:val="BodyText"/>
      </w:pPr>
    </w:p>
    <w:p w:rsidR="000D100D" w:rsidRDefault="000D100D" w:rsidP="000D100D">
      <w:pPr>
        <w:sectPr w:rsidR="000D100D" w:rsidSect="0068481F">
          <w:headerReference w:type="default" r:id="rId1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D100D" w:rsidRDefault="000D100D" w:rsidP="000D100D">
      <w:pPr>
        <w:pStyle w:val="BodyText"/>
      </w:pPr>
    </w:p>
    <w:p w:rsidR="000D100D" w:rsidRDefault="000D100D" w:rsidP="000D100D">
      <w:pPr>
        <w:sectPr w:rsidR="000D100D" w:rsidSect="0068481F">
          <w:headerReference w:type="default" r:id="rId1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D100D" w:rsidRDefault="000D100D" w:rsidP="000D100D">
      <w:pPr>
        <w:pStyle w:val="BodyText"/>
      </w:pPr>
    </w:p>
    <w:p w:rsidR="000D100D" w:rsidRDefault="000D100D" w:rsidP="000D100D">
      <w:pPr>
        <w:sectPr w:rsidR="000D100D" w:rsidSect="0068481F">
          <w:headerReference w:type="default" r:id="rId21"/>
          <w:pgSz w:w="12240" w:h="15840" w:code="1"/>
          <w:pgMar w:top="1584" w:right="1440" w:bottom="1440" w:left="1440" w:header="720" w:footer="720" w:gutter="0"/>
          <w:cols w:space="720"/>
          <w:formProt w:val="0"/>
          <w:docGrid w:linePitch="360"/>
        </w:sectPr>
      </w:pPr>
    </w:p>
    <w:p w:rsidR="00204166" w:rsidRDefault="00204166" w:rsidP="00204166"/>
    <w:p w:rsidR="008B73A4" w:rsidRDefault="00204166" w:rsidP="008B73A4">
      <w:pPr>
        <w:pStyle w:val="BodyText"/>
      </w:pPr>
      <w:r>
        <w:rPr>
          <w:noProof/>
        </w:rPr>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B73A4" w:rsidRDefault="008B73A4" w:rsidP="008B73A4">
      <w:pPr>
        <w:sectPr w:rsidR="008B73A4" w:rsidSect="0068481F">
          <w:headerReference w:type="default" r:id="rId2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B73A4" w:rsidRDefault="008B73A4" w:rsidP="008B73A4">
      <w:pPr>
        <w:pStyle w:val="BodyText"/>
      </w:pPr>
    </w:p>
    <w:p w:rsidR="008B73A4" w:rsidRDefault="008B73A4" w:rsidP="008B73A4">
      <w:pPr>
        <w:sectPr w:rsidR="008B73A4" w:rsidSect="0068481F">
          <w:headerReference w:type="default" r:id="rId2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D0E3D" w:rsidRDefault="001D0E3D" w:rsidP="001D0E3D">
      <w:pPr>
        <w:pStyle w:val="BodyText"/>
      </w:pPr>
    </w:p>
    <w:p w:rsidR="001D0E3D" w:rsidRDefault="001D0E3D" w:rsidP="001D0E3D">
      <w:pPr>
        <w:sectPr w:rsidR="001D0E3D" w:rsidSect="0068481F">
          <w:headerReference w:type="default" r:id="rId2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D0E3D" w:rsidRDefault="001D0E3D" w:rsidP="001D0E3D">
      <w:pPr>
        <w:pStyle w:val="BodyText"/>
      </w:pPr>
    </w:p>
    <w:p w:rsidR="001D0E3D" w:rsidRDefault="001D0E3D" w:rsidP="001D0E3D">
      <w:pPr>
        <w:sectPr w:rsidR="001D0E3D" w:rsidSect="0068481F">
          <w:headerReference w:type="default" r:id="rId2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D0E3D" w:rsidRDefault="001D0E3D" w:rsidP="001D0E3D">
      <w:pPr>
        <w:pStyle w:val="BodyText"/>
      </w:pPr>
    </w:p>
    <w:p w:rsidR="001D0E3D" w:rsidRDefault="001D0E3D" w:rsidP="001D0E3D">
      <w:pPr>
        <w:sectPr w:rsidR="001D0E3D" w:rsidSect="0068481F">
          <w:headerReference w:type="default" r:id="rId3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D0E3D" w:rsidRDefault="001D0E3D" w:rsidP="001D0E3D">
      <w:pPr>
        <w:pStyle w:val="BodyText"/>
      </w:pPr>
    </w:p>
    <w:p w:rsidR="001D0E3D" w:rsidRDefault="001D0E3D" w:rsidP="001D0E3D">
      <w:pPr>
        <w:sectPr w:rsidR="001D0E3D" w:rsidSect="0068481F">
          <w:headerReference w:type="default" r:id="rId3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D0E3D" w:rsidRDefault="001D0E3D" w:rsidP="001D0E3D">
      <w:pPr>
        <w:pStyle w:val="BodyText"/>
      </w:pPr>
    </w:p>
    <w:p w:rsidR="001D0E3D" w:rsidRDefault="001D0E3D" w:rsidP="001D0E3D">
      <w:pPr>
        <w:sectPr w:rsidR="001D0E3D" w:rsidSect="0068481F">
          <w:headerReference w:type="default" r:id="rId3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D0E3D" w:rsidRDefault="001D0E3D" w:rsidP="001D0E3D">
      <w:pPr>
        <w:pStyle w:val="BodyText"/>
      </w:pPr>
    </w:p>
    <w:p w:rsidR="001D0E3D" w:rsidRDefault="001D0E3D" w:rsidP="001D0E3D">
      <w:pPr>
        <w:sectPr w:rsidR="001D0E3D" w:rsidSect="0068481F">
          <w:headerReference w:type="default" r:id="rId37"/>
          <w:pgSz w:w="12240" w:h="15840" w:code="1"/>
          <w:pgMar w:top="1584" w:right="1440" w:bottom="1440" w:left="1440" w:header="720" w:footer="720" w:gutter="0"/>
          <w:cols w:space="720"/>
          <w:formProt w:val="0"/>
          <w:docGrid w:linePitch="360"/>
        </w:sectPr>
      </w:pPr>
    </w:p>
    <w:p w:rsidR="00204166" w:rsidRDefault="00204166" w:rsidP="00204166"/>
    <w:p w:rsidR="001D0E3D" w:rsidRDefault="00204166" w:rsidP="001D0E3D">
      <w:pPr>
        <w:pStyle w:val="BodyText"/>
      </w:pPr>
      <w:r>
        <w:rPr>
          <w:noProof/>
        </w:rPr>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D0E3D" w:rsidRDefault="001D0E3D" w:rsidP="001D0E3D">
      <w:pPr>
        <w:sectPr w:rsidR="001D0E3D" w:rsidSect="0068481F">
          <w:headerReference w:type="default" r:id="rId3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4CFE" w:rsidRDefault="00DF4CFE" w:rsidP="00DF4CFE">
      <w:pPr>
        <w:pStyle w:val="BodyText"/>
      </w:pPr>
    </w:p>
    <w:p w:rsidR="00DF4CFE" w:rsidRDefault="00DF4CFE" w:rsidP="00DF4CFE">
      <w:pPr>
        <w:sectPr w:rsidR="00DF4CFE" w:rsidSect="0068481F">
          <w:headerReference w:type="default" r:id="rId4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4CFE" w:rsidRDefault="00DF4CFE" w:rsidP="00DF4CFE">
      <w:pPr>
        <w:pStyle w:val="BodyText"/>
      </w:pPr>
    </w:p>
    <w:p w:rsidR="00DF4CFE" w:rsidRDefault="00DF4CFE" w:rsidP="00DF4CFE">
      <w:pPr>
        <w:sectPr w:rsidR="00DF4CFE" w:rsidSect="0068481F">
          <w:headerReference w:type="default" r:id="rId4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4CFE" w:rsidRDefault="00DF4CFE" w:rsidP="00DF4CFE">
      <w:pPr>
        <w:pStyle w:val="BodyText"/>
      </w:pPr>
    </w:p>
    <w:p w:rsidR="00DF4CFE" w:rsidRDefault="00DF4CFE" w:rsidP="00DF4CFE">
      <w:pPr>
        <w:sectPr w:rsidR="00DF4CFE" w:rsidSect="0068481F">
          <w:headerReference w:type="default" r:id="rId4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4CFE" w:rsidRDefault="00DF4CFE" w:rsidP="00DF4CFE">
      <w:pPr>
        <w:pStyle w:val="BodyText"/>
      </w:pPr>
    </w:p>
    <w:p w:rsidR="00DF4CFE" w:rsidRDefault="00DF4CFE" w:rsidP="00DF4CFE">
      <w:pPr>
        <w:sectPr w:rsidR="00DF4CFE" w:rsidSect="0068481F">
          <w:headerReference w:type="default" r:id="rId4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4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5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5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5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5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5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6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6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6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6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6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7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7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7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C1F08" w:rsidRDefault="002C1F08" w:rsidP="002C1F08">
      <w:pPr>
        <w:pStyle w:val="BodyText"/>
      </w:pPr>
    </w:p>
    <w:p w:rsidR="002C1F08" w:rsidRDefault="002C1F08" w:rsidP="002C1F08">
      <w:pPr>
        <w:sectPr w:rsidR="002C1F08" w:rsidSect="0068481F">
          <w:headerReference w:type="default" r:id="rId7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73E11" w:rsidRDefault="00673E11" w:rsidP="00673E11">
      <w:pPr>
        <w:pStyle w:val="BodyText"/>
      </w:pPr>
    </w:p>
    <w:p w:rsidR="00673E11" w:rsidRDefault="00673E11" w:rsidP="00673E11">
      <w:pPr>
        <w:sectPr w:rsidR="00673E11" w:rsidSect="0068481F">
          <w:headerReference w:type="default" r:id="rId7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73E11" w:rsidRDefault="00673E11" w:rsidP="00673E11">
      <w:pPr>
        <w:pStyle w:val="BodyText"/>
      </w:pPr>
    </w:p>
    <w:p w:rsidR="00673E11" w:rsidRDefault="00673E11" w:rsidP="00673E11">
      <w:pPr>
        <w:sectPr w:rsidR="00673E11" w:rsidSect="0068481F">
          <w:headerReference w:type="default" r:id="rId7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33E33" w:rsidRDefault="00233E33" w:rsidP="00233E33">
      <w:pPr>
        <w:pStyle w:val="BodyText"/>
      </w:pPr>
    </w:p>
    <w:p w:rsidR="00233E33" w:rsidRDefault="00233E33" w:rsidP="00233E33">
      <w:pPr>
        <w:sectPr w:rsidR="00233E33" w:rsidSect="0068481F">
          <w:headerReference w:type="default" r:id="rId8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33E33" w:rsidRDefault="00233E33" w:rsidP="00233E33">
      <w:pPr>
        <w:pStyle w:val="BodyText"/>
      </w:pPr>
    </w:p>
    <w:p w:rsidR="00233E33" w:rsidRDefault="00233E33" w:rsidP="00233E33">
      <w:pPr>
        <w:sectPr w:rsidR="00233E33" w:rsidSect="0068481F">
          <w:headerReference w:type="default" r:id="rId8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33E33" w:rsidRDefault="00233E33" w:rsidP="00233E33">
      <w:pPr>
        <w:pStyle w:val="BodyText"/>
      </w:pPr>
    </w:p>
    <w:p w:rsidR="00233E33" w:rsidRDefault="00233E33" w:rsidP="00233E33">
      <w:pPr>
        <w:sectPr w:rsidR="00233E33" w:rsidSect="0068481F">
          <w:headerReference w:type="default" r:id="rId8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33E33" w:rsidRDefault="00233E33" w:rsidP="00233E33">
      <w:pPr>
        <w:pStyle w:val="BodyText"/>
      </w:pPr>
    </w:p>
    <w:p w:rsidR="00233E33" w:rsidRDefault="00233E33" w:rsidP="00233E33">
      <w:pPr>
        <w:sectPr w:rsidR="00233E33" w:rsidSect="0068481F">
          <w:headerReference w:type="default" r:id="rId8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8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9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9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9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9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9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10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10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10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10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10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7493" w:rsidRDefault="00DD7493" w:rsidP="00DD7493">
      <w:pPr>
        <w:pStyle w:val="BodyText"/>
      </w:pPr>
    </w:p>
    <w:p w:rsidR="00DD7493" w:rsidRDefault="00DD7493" w:rsidP="00DD7493">
      <w:pPr>
        <w:sectPr w:rsidR="00DD7493" w:rsidSect="0068481F">
          <w:headerReference w:type="default" r:id="rId11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1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1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1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1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2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2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2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2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29"/>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31"/>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33"/>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35"/>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37"/>
          <w:pgSz w:w="12240" w:h="15840" w:code="1"/>
          <w:pgMar w:top="1584" w:right="1440" w:bottom="1440" w:left="1440" w:header="720" w:footer="720" w:gutter="0"/>
          <w:cols w:space="720"/>
          <w:formProt w:val="0"/>
          <w:docGrid w:linePitch="360"/>
        </w:sectPr>
      </w:pPr>
    </w:p>
    <w:p w:rsidR="00204166" w:rsidRDefault="00204166" w:rsidP="00E275D8">
      <w:pPr>
        <w:pStyle w:val="BodyText"/>
      </w:pPr>
      <w:r>
        <w:rPr>
          <w:noProof/>
        </w:rPr>
        <w:lastRenderedPageBreak/>
        <w:drawing>
          <wp:inline distT="0" distB="0" distL="0" distR="0">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A0214" w:rsidRDefault="000A0214" w:rsidP="000A0214">
      <w:pPr>
        <w:pStyle w:val="BodyText"/>
      </w:pPr>
    </w:p>
    <w:p w:rsidR="000A0214" w:rsidRDefault="000A0214" w:rsidP="000A0214">
      <w:pPr>
        <w:sectPr w:rsidR="000A0214" w:rsidSect="0068481F">
          <w:headerReference w:type="default" r:id="rId139"/>
          <w:pgSz w:w="12240" w:h="15840" w:code="1"/>
          <w:pgMar w:top="1584" w:right="1440" w:bottom="1440" w:left="1440" w:header="720" w:footer="720" w:gutter="0"/>
          <w:cols w:space="720"/>
          <w:formProt w:val="0"/>
          <w:docGrid w:linePitch="360"/>
        </w:sectPr>
      </w:pPr>
    </w:p>
    <w:p w:rsidR="001B44FC" w:rsidRDefault="00204166" w:rsidP="00E275D8">
      <w:pPr>
        <w:pStyle w:val="BodyText"/>
      </w:pPr>
      <w:r>
        <w:rPr>
          <w:noProof/>
        </w:rPr>
        <w:lastRenderedPageBreak/>
        <w:drawing>
          <wp:inline distT="0" distB="0" distL="0" distR="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1B44FC" w:rsidSect="0068481F">
      <w:headerReference w:type="default" r:id="rId141"/>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57B0" w:rsidRDefault="00AA57B0">
      <w:r>
        <w:separator/>
      </w:r>
    </w:p>
  </w:endnote>
  <w:endnote w:type="continuationSeparator" w:id="0">
    <w:p w:rsidR="00AA57B0" w:rsidRDefault="00AA57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6F3A1B">
      <w:rPr>
        <w:rStyle w:val="PageNumber"/>
        <w:noProof/>
      </w:rPr>
      <w:t>4</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57B0" w:rsidRDefault="00AA57B0">
      <w:r>
        <w:separator/>
      </w:r>
    </w:p>
  </w:footnote>
  <w:footnote w:type="continuationSeparator" w:id="0">
    <w:p w:rsidR="00AA57B0" w:rsidRDefault="00AA57B0">
      <w:r>
        <w:continuationSeparator/>
      </w:r>
    </w:p>
  </w:footnote>
  <w:footnote w:id="1">
    <w:p w:rsidR="00AA57B0" w:rsidRPr="00E46167" w:rsidRDefault="00AA57B0" w:rsidP="004B311F">
      <w:pPr>
        <w:autoSpaceDE w:val="0"/>
        <w:autoSpaceDN w:val="0"/>
        <w:adjustRightInd w:val="0"/>
        <w:jc w:val="both"/>
        <w:rPr>
          <w:i/>
        </w:rPr>
      </w:pPr>
      <w:r w:rsidRPr="008F2B56">
        <w:rPr>
          <w:rStyle w:val="FootnoteReference"/>
        </w:rPr>
        <w:footnoteRef/>
      </w:r>
      <w:r w:rsidRPr="008F2B56">
        <w:t xml:space="preserve"> </w:t>
      </w:r>
      <w:r w:rsidRPr="00E46167">
        <w:rPr>
          <w:sz w:val="20"/>
          <w:szCs w:val="20"/>
        </w:rPr>
        <w:t xml:space="preserve">Order No. PSC-2017-0451-AS-EU, issued November 20, 2017, in Docket No. 20170183-EI, </w:t>
      </w:r>
      <w:r w:rsidRPr="00E46167">
        <w:rPr>
          <w:i/>
          <w:sz w:val="20"/>
          <w:szCs w:val="20"/>
        </w:rPr>
        <w:t>In re: Application for limited proceeding to approve 2017 second revised and restated settlement agreement, including certain rate adjustments, by Duke Energy Florida, LLC.</w:t>
      </w:r>
    </w:p>
  </w:footnote>
  <w:footnote w:id="2">
    <w:p w:rsidR="00AA57B0" w:rsidRPr="00E46167" w:rsidRDefault="00AA57B0">
      <w:pPr>
        <w:pStyle w:val="FootnoteText"/>
        <w:rPr>
          <w:i/>
        </w:rPr>
      </w:pPr>
      <w:r w:rsidRPr="00E46167">
        <w:rPr>
          <w:rStyle w:val="FootnoteReference"/>
        </w:rPr>
        <w:footnoteRef/>
      </w:r>
      <w:r>
        <w:t xml:space="preserve"> Order No. PSC-2019-0159-FOF-EI, issued April 30, 2019, in Docket No. 20180149</w:t>
      </w:r>
      <w:r w:rsidRPr="00E46167">
        <w:t xml:space="preserve">-EI, </w:t>
      </w:r>
      <w:r w:rsidRPr="00E46167">
        <w:rPr>
          <w:i/>
        </w:rPr>
        <w:t>In re: Duke Energy Florida, LLC's Petition for Limited Proceeding to Approve First Solar Base Rate Adjustment</w:t>
      </w:r>
      <w:r>
        <w:rPr>
          <w:i/>
        </w:rPr>
        <w:t>.</w:t>
      </w:r>
      <w:r w:rsidRPr="00E46167">
        <w:rPr>
          <w:i/>
        </w:rPr>
        <w:t xml:space="preserve"> </w:t>
      </w:r>
    </w:p>
  </w:footnote>
  <w:footnote w:id="3">
    <w:p w:rsidR="00AA57B0" w:rsidRPr="00E46167" w:rsidRDefault="00AA57B0">
      <w:pPr>
        <w:pStyle w:val="FootnoteText"/>
      </w:pPr>
      <w:r w:rsidRPr="00E46167">
        <w:rPr>
          <w:rStyle w:val="FootnoteReference"/>
        </w:rPr>
        <w:footnoteRef/>
      </w:r>
      <w:r>
        <w:t xml:space="preserve"> Order No. PSC-2019-0292-FOF-EI, issued July 22, 2019, in Docket No. 20190072</w:t>
      </w:r>
      <w:r w:rsidRPr="00E46167">
        <w:t xml:space="preserve">-EI, </w:t>
      </w:r>
      <w:r w:rsidRPr="00E46167">
        <w:rPr>
          <w:i/>
        </w:rPr>
        <w:t>In re: Duke Energy Florida, LLC's Petition for Li</w:t>
      </w:r>
      <w:r>
        <w:rPr>
          <w:i/>
        </w:rPr>
        <w:t>mited Proceeding to Approve Second</w:t>
      </w:r>
      <w:r w:rsidRPr="00E46167">
        <w:rPr>
          <w:i/>
        </w:rPr>
        <w:t xml:space="preserve"> Solar Base Rate Adjustment</w:t>
      </w:r>
      <w:r>
        <w:rPr>
          <w:i/>
        </w:rPr>
        <w:t>.</w:t>
      </w:r>
    </w:p>
  </w:footnote>
  <w:footnote w:id="4">
    <w:p w:rsidR="00AA57B0" w:rsidRPr="00E46167" w:rsidRDefault="00AA57B0">
      <w:pPr>
        <w:pStyle w:val="FootnoteText"/>
      </w:pPr>
      <w:r w:rsidRPr="00E46167">
        <w:rPr>
          <w:rStyle w:val="FootnoteReference"/>
        </w:rPr>
        <w:footnoteRef/>
      </w:r>
      <w:r>
        <w:t xml:space="preserve"> Document No. 02844-2020 filed May 29, 2020, in Docket No. 20200153, </w:t>
      </w:r>
      <w:r w:rsidRPr="00E46167">
        <w:rPr>
          <w:i/>
        </w:rPr>
        <w:t>In re: Duke Energy Florida, LLC's Petition for Li</w:t>
      </w:r>
      <w:r>
        <w:rPr>
          <w:i/>
        </w:rPr>
        <w:t>mited Proceeding to Approve Third</w:t>
      </w:r>
      <w:r w:rsidRPr="00E46167">
        <w:rPr>
          <w:i/>
        </w:rPr>
        <w:t xml:space="preserve"> Solar Base Rate Adjustment</w:t>
      </w:r>
      <w:r>
        <w:rPr>
          <w:i/>
        </w:rPr>
        <w:t>.</w:t>
      </w:r>
    </w:p>
  </w:footnote>
  <w:footnote w:id="5">
    <w:p w:rsidR="00AA57B0" w:rsidRDefault="00AA57B0">
      <w:pPr>
        <w:pStyle w:val="FootnoteText"/>
      </w:pPr>
      <w:r w:rsidRPr="00E46167">
        <w:rPr>
          <w:rStyle w:val="FootnoteReference"/>
        </w:rPr>
        <w:footnoteRef/>
      </w:r>
      <w:r>
        <w:t xml:space="preserve"> Document No.</w:t>
      </w:r>
      <w:r w:rsidRPr="009D621A">
        <w:t xml:space="preserve"> 12493-2020</w:t>
      </w:r>
      <w:r w:rsidR="00841028">
        <w:t xml:space="preserve"> filed November </w:t>
      </w:r>
      <w:r w:rsidR="000F067B">
        <w:t>18,</w:t>
      </w:r>
      <w:r w:rsidR="00841028">
        <w:t xml:space="preserve"> </w:t>
      </w:r>
      <w:r>
        <w:t xml:space="preserve">2020, in Docket No. 20200245, </w:t>
      </w:r>
      <w:r w:rsidRPr="00E46167">
        <w:rPr>
          <w:i/>
        </w:rPr>
        <w:t>In re: Duke Energy Florida, LLC's Petition for Li</w:t>
      </w:r>
      <w:r>
        <w:rPr>
          <w:i/>
        </w:rPr>
        <w:t>mited Proceeding to Approve Third</w:t>
      </w:r>
      <w:r w:rsidRPr="00E46167">
        <w:rPr>
          <w:i/>
        </w:rPr>
        <w:t xml:space="preserve"> Solar Base Rate</w:t>
      </w:r>
      <w:r w:rsidR="0011465C">
        <w:rPr>
          <w:i/>
        </w:rPr>
        <w:t xml:space="preserve"> Adjustment.</w:t>
      </w:r>
    </w:p>
  </w:footnote>
  <w:footnote w:id="6">
    <w:p w:rsidR="00AA57B0" w:rsidRPr="00521162" w:rsidRDefault="00AA57B0" w:rsidP="00CD1D91">
      <w:pPr>
        <w:pStyle w:val="FootnoteText"/>
      </w:pPr>
      <w:r w:rsidRPr="00521162">
        <w:rPr>
          <w:rStyle w:val="FootnoteReference"/>
        </w:rPr>
        <w:footnoteRef/>
      </w:r>
      <w:r>
        <w:t xml:space="preserve"> </w:t>
      </w:r>
      <w:r w:rsidRPr="0091027E">
        <w:t xml:space="preserve">Order No. PSC-2017-0451-AS-EU, issued November 20, 2017, in Docket No. 20170183-EI, </w:t>
      </w:r>
      <w:r w:rsidRPr="00891CB1">
        <w:rPr>
          <w:i/>
          <w:iCs/>
        </w:rPr>
        <w:t>In re: Application for limited proceeding to approve 2017 second revised and restated settlement agreement, including certain rate adjustments, by Duke Energy Florida, LLC</w:t>
      </w:r>
      <w:r w:rsidRPr="0091027E">
        <w:t xml:space="preserve">; Docket No. 20100437-EI, </w:t>
      </w:r>
      <w:r w:rsidRPr="00891CB1">
        <w:rPr>
          <w:i/>
          <w:iCs/>
        </w:rPr>
        <w:t>In re: Examination of the outage and replacement fuel/power costs associated with the CR3 steam generator replacement project, by Progress Energy Florida, Inc.</w:t>
      </w:r>
      <w:r w:rsidRPr="0091027E">
        <w:t xml:space="preserve">; Docket No. 20150171-EI, </w:t>
      </w:r>
      <w:r w:rsidRPr="00891CB1">
        <w:rPr>
          <w:i/>
          <w:iCs/>
        </w:rPr>
        <w:t>In re: Petition for issuance of nuclear asset-recovery financing order, by Duke Energy Florida, Inc. d/b/a Duke Energy</w:t>
      </w:r>
      <w:r w:rsidRPr="0091027E">
        <w:t xml:space="preserve">; Docket No. 20170001-EI, </w:t>
      </w:r>
      <w:r w:rsidRPr="00891CB1">
        <w:rPr>
          <w:i/>
          <w:iCs/>
        </w:rPr>
        <w:t>In re: Fuel and purchased power cost recovery clause with generating performance incentive factor</w:t>
      </w:r>
      <w:r w:rsidRPr="0091027E">
        <w:t>; Docket No. 20170002-EG</w:t>
      </w:r>
      <w:r w:rsidRPr="00891CB1">
        <w:t>,</w:t>
      </w:r>
      <w:r w:rsidRPr="00891CB1">
        <w:rPr>
          <w:i/>
          <w:iCs/>
        </w:rPr>
        <w:t xml:space="preserve"> In re: Energy conservation cost recovery clause; Docket No. 20170009-EI, In re: Nuclear cost recovery clause</w:t>
      </w:r>
      <w:r w:rsidRPr="0091027E">
        <w:t>.</w:t>
      </w:r>
    </w:p>
  </w:footnote>
  <w:footnote w:id="7">
    <w:p w:rsidR="00AA57B0" w:rsidRPr="008F635C" w:rsidRDefault="00AA57B0" w:rsidP="00CD1D91">
      <w:pPr>
        <w:pStyle w:val="FootnoteText"/>
      </w:pPr>
      <w:r w:rsidRPr="008F635C">
        <w:rPr>
          <w:rStyle w:val="FootnoteReference"/>
        </w:rPr>
        <w:footnoteRef/>
      </w:r>
      <w:r w:rsidR="00C164C3">
        <w:t xml:space="preserve"> </w:t>
      </w:r>
      <w:r w:rsidRPr="008F635C">
        <w:t xml:space="preserve">2017 </w:t>
      </w:r>
      <w:r>
        <w:t>Settlement</w:t>
      </w:r>
      <w:r w:rsidRPr="008F635C">
        <w:t xml:space="preserve">, </w:t>
      </w:r>
      <w:r>
        <w:t>Section 15</w:t>
      </w:r>
      <w:r w:rsidRPr="008F635C">
        <w:t>.</w:t>
      </w:r>
    </w:p>
  </w:footnote>
  <w:footnote w:id="8">
    <w:p w:rsidR="00AA57B0" w:rsidRPr="0091010E" w:rsidRDefault="00AA57B0" w:rsidP="00CD1D91">
      <w:pPr>
        <w:pStyle w:val="FootnoteText"/>
      </w:pPr>
      <w:r w:rsidRPr="0091010E">
        <w:rPr>
          <w:rStyle w:val="FootnoteReference"/>
        </w:rPr>
        <w:footnoteRef/>
      </w:r>
      <w:r>
        <w:t xml:space="preserve"> </w:t>
      </w:r>
      <w:r w:rsidRPr="008F635C">
        <w:t xml:space="preserve">2017 </w:t>
      </w:r>
      <w:r>
        <w:t>Settlement</w:t>
      </w:r>
      <w:r w:rsidRPr="008F635C">
        <w:t xml:space="preserve">, </w:t>
      </w:r>
      <w:r>
        <w:t>Section 15</w:t>
      </w:r>
      <w:r w:rsidRPr="008F635C">
        <w:t>.</w:t>
      </w:r>
    </w:p>
  </w:footnote>
  <w:footnote w:id="9">
    <w:p w:rsidR="00AA57B0" w:rsidRPr="0091010E" w:rsidRDefault="00AA57B0" w:rsidP="00CD1D91">
      <w:pPr>
        <w:pStyle w:val="FootnoteText"/>
      </w:pPr>
      <w:r w:rsidRPr="0091010E">
        <w:rPr>
          <w:rStyle w:val="FootnoteReference"/>
        </w:rPr>
        <w:footnoteRef/>
      </w:r>
      <w:r>
        <w:t xml:space="preserve"> </w:t>
      </w:r>
      <w:r w:rsidR="00FF1BD5">
        <w:t>Sandy Creek project’s</w:t>
      </w:r>
      <w:r w:rsidRPr="0091010E">
        <w:t xml:space="preserve"> annual revenue requirement represents only 75.6 percent of the total, which is the amount being included for recovery under the SoBRA framework.</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220732">
    <w:pPr>
      <w:pStyle w:val="Header"/>
      <w:tabs>
        <w:tab w:val="clear" w:pos="4320"/>
        <w:tab w:val="clear" w:pos="8640"/>
        <w:tab w:val="right" w:pos="9360"/>
      </w:tabs>
    </w:pPr>
    <w:bookmarkStart w:id="12" w:name="DocketLabel"/>
    <w:r>
      <w:t>Docket No.</w:t>
    </w:r>
    <w:bookmarkEnd w:id="12"/>
    <w:r>
      <w:t xml:space="preserve"> </w:t>
    </w:r>
    <w:bookmarkStart w:id="13" w:name="DocketList"/>
    <w:r>
      <w:t>20200245-EI</w:t>
    </w:r>
    <w:bookmarkEnd w:id="13"/>
  </w:p>
  <w:p w:rsidR="00AA57B0" w:rsidRDefault="00AA57B0">
    <w:pPr>
      <w:pStyle w:val="Header"/>
    </w:pPr>
    <w:r>
      <w:t xml:space="preserve">Date: </w:t>
    </w:r>
    <w:r w:rsidR="00BC3E7A">
      <w:t>January 21, 2021</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7 of 64</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8 of 64</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9 of 64</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10 of 64</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Page11 of 64</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12 of 64</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13 of 64</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14 of 64</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15 of 64</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Page16 of 64</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t xml:space="preserve">Issue </w:t>
    </w:r>
    <w:r w:rsidR="00DC71C7">
      <w:fldChar w:fldCharType="begin"/>
    </w:r>
    <w:r w:rsidR="00DC71C7">
      <w:instrText xml:space="preserve"> Seq Issue \c \* Arabic </w:instrText>
    </w:r>
    <w:r w:rsidR="00DC71C7">
      <w:fldChar w:fldCharType="separate"/>
    </w:r>
    <w:r w:rsidR="006F3A1B">
      <w:rPr>
        <w:noProof/>
      </w:rPr>
      <w:t>1</w:t>
    </w:r>
    <w:r w:rsidR="00DC71C7">
      <w:rPr>
        <w:noProof/>
      </w:rPr>
      <w:fldChar w:fldCharType="end"/>
    </w:r>
  </w:p>
  <w:p w:rsidR="00AA57B0" w:rsidRDefault="00AA57B0">
    <w:pPr>
      <w:pStyle w:val="Header"/>
    </w:pPr>
    <w:r>
      <w:t>Date: January 21, 2021</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Page17 of 64</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18 of 64</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19 of 64</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20 of 64</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21 of 64</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22 of 64</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w:t>
    </w:r>
    <w:r w:rsidR="00D54F08">
      <w:t>ate: January 21, 2021</w:t>
    </w:r>
    <w:r w:rsidR="00D54F08">
      <w:tab/>
    </w:r>
    <w:r w:rsidR="00D54F08">
      <w:tab/>
      <w:t xml:space="preserve">Page 23 </w:t>
    </w:r>
    <w:r>
      <w:t>of 64</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24 of 64</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25 of 64</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840B2A">
      <w:t xml:space="preserve">26 </w:t>
    </w:r>
    <w:r>
      <w:t>of 64</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27 of 64</w: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w:t>
    </w:r>
    <w:r w:rsidR="00840B2A">
      <w:t xml:space="preserve"> </w:t>
    </w:r>
    <w:r w:rsidR="00792DB7">
      <w:t xml:space="preserve">28 </w:t>
    </w:r>
    <w:r>
      <w:t>of 64</w: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950605">
      <w:t>29</w:t>
    </w:r>
    <w:r>
      <w:t xml:space="preserve"> of 64</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76181F">
      <w:t>30</w:t>
    </w:r>
    <w:r>
      <w:t xml:space="preserve"> of 64</w: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76181F">
      <w:t>31</w:t>
    </w:r>
    <w:r>
      <w:t xml:space="preserve"> of 64</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w:t>
    </w:r>
    <w:r w:rsidR="0076181F">
      <w:t xml:space="preserve"> 32 </w:t>
    </w:r>
    <w:r>
      <w:t>of 64</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76181F">
      <w:t xml:space="preserve">33 </w:t>
    </w:r>
    <w:r>
      <w:t>of 64</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76181F">
      <w:t>34</w:t>
    </w:r>
    <w:r>
      <w:t xml:space="preserve"> of 64</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76181F">
      <w:t>35</w:t>
    </w:r>
    <w:r>
      <w:t xml:space="preserve"> of 64</w: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76181F">
      <w:t>36</w:t>
    </w:r>
    <w:r>
      <w:t xml:space="preserve"> of 64</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fldChar w:fldCharType="begin"/>
    </w:r>
    <w:r>
      <w:instrText xml:space="preserve">= </w:instrText>
    </w:r>
    <w:r>
      <w:fldChar w:fldCharType="begin"/>
    </w:r>
    <w:r>
      <w:instrText xml:space="preserve">page  </w:instrText>
    </w:r>
    <w:r>
      <w:fldChar w:fldCharType="separate"/>
    </w:r>
    <w:r w:rsidR="00772999">
      <w:rPr>
        <w:noProof/>
      </w:rPr>
      <w:instrText>13</w:instrText>
    </w:r>
    <w:r>
      <w:fldChar w:fldCharType="end"/>
    </w:r>
    <w:r>
      <w:instrText xml:space="preserve">-12 </w:instrText>
    </w:r>
    <w:r>
      <w:fldChar w:fldCharType="separate"/>
    </w:r>
    <w:r w:rsidR="00772999">
      <w:rPr>
        <w:noProof/>
      </w:rPr>
      <w:t>1</w:t>
    </w:r>
    <w:r>
      <w:fldChar w:fldCharType="end"/>
    </w:r>
    <w:r>
      <w:t xml:space="preserve"> of 64</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37</w:t>
    </w:r>
    <w:r>
      <w:t xml:space="preserve"> of 64</w: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38</w:t>
    </w:r>
    <w:r>
      <w:t xml:space="preserve"> of 64</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39</w:t>
    </w:r>
    <w:r>
      <w:t xml:space="preserve"> of 64</w: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40</w:t>
    </w:r>
    <w:r>
      <w:t xml:space="preserve"> of 64</w: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41</w:t>
    </w:r>
    <w:r>
      <w:t xml:space="preserve"> of 64</w: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42</w:t>
    </w:r>
    <w:r>
      <w:t xml:space="preserve"> of 64</w: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43</w:t>
    </w:r>
    <w:r>
      <w:t xml:space="preserve"> of 64</w: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44</w:t>
    </w:r>
    <w:r>
      <w:t xml:space="preserve"> of 64</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45</w:t>
    </w:r>
    <w:r>
      <w:t xml:space="preserve"> of 64</w: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46</w:t>
    </w:r>
    <w:r>
      <w:t xml:space="preserve"> of 64</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2 of 64</w: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47</w:t>
    </w:r>
    <w:r>
      <w:t xml:space="preserve"> of 64</w: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w:t>
    </w:r>
    <w:r w:rsidR="00A24A8E">
      <w:t xml:space="preserve">48 </w:t>
    </w:r>
    <w:r>
      <w:t>of 64</w: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49</w:t>
    </w:r>
    <w:r>
      <w:t xml:space="preserve"> of 64</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50</w:t>
    </w:r>
    <w:r>
      <w:t xml:space="preserve"> of 64</w: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A24A8E">
      <w:t>51</w:t>
    </w:r>
    <w:r>
      <w:t xml:space="preserve"> of 64</w: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w:t>
    </w:r>
    <w:r w:rsidR="00A24A8E">
      <w:t xml:space="preserve"> 52</w:t>
    </w:r>
    <w:r w:rsidR="005B2A54">
      <w:t xml:space="preserve"> </w:t>
    </w:r>
    <w:r>
      <w:t>of 64</w: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8583B">
      <w:t>53</w:t>
    </w:r>
    <w:r>
      <w:t xml:space="preserve"> of 64</w: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401B1">
      <w:t>54</w:t>
    </w:r>
    <w:r>
      <w:t xml:space="preserve"> of 64</w: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401B1">
      <w:t>55</w:t>
    </w:r>
    <w:r>
      <w:t xml:space="preserve"> of 64</w: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401B1">
      <w:t>56</w:t>
    </w:r>
    <w:r>
      <w:t xml:space="preserve"> of 64</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3 of 64</w: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401B1">
      <w:t>57</w:t>
    </w:r>
    <w:r>
      <w:t xml:space="preserve"> of 64</w: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w:t>
    </w:r>
    <w:r w:rsidR="00E401B1">
      <w:t xml:space="preserve"> 58 </w:t>
    </w:r>
    <w:r>
      <w:t>of 64</w: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401B1">
      <w:t>59</w:t>
    </w:r>
    <w:r>
      <w:t xml:space="preserve"> of 64</w: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401B1">
      <w:t>60</w:t>
    </w:r>
    <w:r>
      <w:t xml:space="preserve"> of 64</w: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401B1">
      <w:t>61</w:t>
    </w:r>
    <w:r>
      <w:t xml:space="preserve"> of 64</w:t>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401B1">
      <w:t>62</w:t>
    </w:r>
    <w:r>
      <w:t xml:space="preserve"> of 64</w:t>
    </w: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w:t>
    </w:r>
    <w:r w:rsidR="00E401B1">
      <w:t xml:space="preserve"> 63</w:t>
    </w:r>
    <w:r>
      <w:t>of 64</w: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 xml:space="preserve">Page </w:t>
    </w:r>
    <w:r w:rsidR="00E401B1">
      <w:t>64</w:t>
    </w:r>
    <w:r>
      <w:t xml:space="preserve"> of 64</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4 of 64</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5 of 64</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B0" w:rsidRDefault="00AA57B0" w:rsidP="001B44FC">
    <w:pPr>
      <w:pStyle w:val="Header"/>
      <w:tabs>
        <w:tab w:val="clear" w:pos="4320"/>
        <w:tab w:val="clear" w:pos="8640"/>
        <w:tab w:val="left" w:pos="765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20200245-EI</w:t>
    </w:r>
    <w:r>
      <w:fldChar w:fldCharType="end"/>
    </w:r>
    <w:r>
      <w:tab/>
    </w:r>
    <w:r>
      <w:tab/>
      <w:t>Attachment A</w:t>
    </w:r>
  </w:p>
  <w:p w:rsidR="00AA57B0" w:rsidRDefault="00AA57B0" w:rsidP="001B44FC">
    <w:pPr>
      <w:pStyle w:val="Header"/>
      <w:tabs>
        <w:tab w:val="clear" w:pos="4320"/>
        <w:tab w:val="clear" w:pos="8640"/>
        <w:tab w:val="left" w:pos="7650"/>
        <w:tab w:val="right" w:pos="9360"/>
      </w:tabs>
    </w:pPr>
    <w:r>
      <w:t>Date: January 21, 2021</w:t>
    </w:r>
    <w:r>
      <w:tab/>
    </w:r>
    <w:r>
      <w:tab/>
      <w:t>Page 6 of 64</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7168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CC0185"/>
    <w:rsid w:val="00002292"/>
    <w:rsid w:val="000043D5"/>
    <w:rsid w:val="00006170"/>
    <w:rsid w:val="00010E37"/>
    <w:rsid w:val="00013341"/>
    <w:rsid w:val="000172DA"/>
    <w:rsid w:val="000239E9"/>
    <w:rsid w:val="000247C5"/>
    <w:rsid w:val="000277C2"/>
    <w:rsid w:val="00035B48"/>
    <w:rsid w:val="00036CE2"/>
    <w:rsid w:val="000437FE"/>
    <w:rsid w:val="00043FE5"/>
    <w:rsid w:val="000467EF"/>
    <w:rsid w:val="000513BE"/>
    <w:rsid w:val="00051EC9"/>
    <w:rsid w:val="000612D3"/>
    <w:rsid w:val="000635F0"/>
    <w:rsid w:val="00065A06"/>
    <w:rsid w:val="000666F3"/>
    <w:rsid w:val="00070DCB"/>
    <w:rsid w:val="00072CCA"/>
    <w:rsid w:val="00073120"/>
    <w:rsid w:val="000764D0"/>
    <w:rsid w:val="0008137A"/>
    <w:rsid w:val="000828D3"/>
    <w:rsid w:val="00083250"/>
    <w:rsid w:val="000840DA"/>
    <w:rsid w:val="000A0214"/>
    <w:rsid w:val="000A2B57"/>
    <w:rsid w:val="000A418B"/>
    <w:rsid w:val="000C1C21"/>
    <w:rsid w:val="000C4431"/>
    <w:rsid w:val="000D100D"/>
    <w:rsid w:val="000D1C06"/>
    <w:rsid w:val="000D4319"/>
    <w:rsid w:val="000E433F"/>
    <w:rsid w:val="000E65B0"/>
    <w:rsid w:val="000F067B"/>
    <w:rsid w:val="000F374A"/>
    <w:rsid w:val="001076AF"/>
    <w:rsid w:val="00113D7E"/>
    <w:rsid w:val="0011465C"/>
    <w:rsid w:val="00117C8C"/>
    <w:rsid w:val="00124C38"/>
    <w:rsid w:val="00124E2E"/>
    <w:rsid w:val="00125ED4"/>
    <w:rsid w:val="00127C95"/>
    <w:rsid w:val="001305E9"/>
    <w:rsid w:val="001307AF"/>
    <w:rsid w:val="00135687"/>
    <w:rsid w:val="00135E19"/>
    <w:rsid w:val="00141CC8"/>
    <w:rsid w:val="001429E2"/>
    <w:rsid w:val="001434DF"/>
    <w:rsid w:val="0015506E"/>
    <w:rsid w:val="00163031"/>
    <w:rsid w:val="00171A90"/>
    <w:rsid w:val="00180254"/>
    <w:rsid w:val="00191E1F"/>
    <w:rsid w:val="00192943"/>
    <w:rsid w:val="001957D8"/>
    <w:rsid w:val="001A7406"/>
    <w:rsid w:val="001B44FC"/>
    <w:rsid w:val="001B4FEE"/>
    <w:rsid w:val="001B51C5"/>
    <w:rsid w:val="001B6F3F"/>
    <w:rsid w:val="001C52B5"/>
    <w:rsid w:val="001C5CD7"/>
    <w:rsid w:val="001D0D3E"/>
    <w:rsid w:val="001D0E3D"/>
    <w:rsid w:val="001E30B0"/>
    <w:rsid w:val="001E5294"/>
    <w:rsid w:val="001F2245"/>
    <w:rsid w:val="001F2C63"/>
    <w:rsid w:val="001F48C7"/>
    <w:rsid w:val="001F6DA1"/>
    <w:rsid w:val="00204166"/>
    <w:rsid w:val="002044E6"/>
    <w:rsid w:val="00205C82"/>
    <w:rsid w:val="00205DC2"/>
    <w:rsid w:val="002078CD"/>
    <w:rsid w:val="00212B17"/>
    <w:rsid w:val="00212DA1"/>
    <w:rsid w:val="002163B6"/>
    <w:rsid w:val="00220732"/>
    <w:rsid w:val="00221D32"/>
    <w:rsid w:val="00225C3F"/>
    <w:rsid w:val="00233042"/>
    <w:rsid w:val="00233E33"/>
    <w:rsid w:val="0025150F"/>
    <w:rsid w:val="00263D44"/>
    <w:rsid w:val="002702AD"/>
    <w:rsid w:val="00272DD0"/>
    <w:rsid w:val="00286BF7"/>
    <w:rsid w:val="00286CF5"/>
    <w:rsid w:val="00292D82"/>
    <w:rsid w:val="0029338A"/>
    <w:rsid w:val="002963CB"/>
    <w:rsid w:val="002A2166"/>
    <w:rsid w:val="002B371F"/>
    <w:rsid w:val="002B4A01"/>
    <w:rsid w:val="002C1F08"/>
    <w:rsid w:val="002D226D"/>
    <w:rsid w:val="002F6030"/>
    <w:rsid w:val="003037E1"/>
    <w:rsid w:val="0030436D"/>
    <w:rsid w:val="00307E51"/>
    <w:rsid w:val="003103EC"/>
    <w:rsid w:val="003144EF"/>
    <w:rsid w:val="00322F74"/>
    <w:rsid w:val="00331432"/>
    <w:rsid w:val="00340073"/>
    <w:rsid w:val="0034253A"/>
    <w:rsid w:val="00342AD8"/>
    <w:rsid w:val="00350B37"/>
    <w:rsid w:val="003632FD"/>
    <w:rsid w:val="00370B55"/>
    <w:rsid w:val="003724CC"/>
    <w:rsid w:val="00372805"/>
    <w:rsid w:val="00373180"/>
    <w:rsid w:val="003735CA"/>
    <w:rsid w:val="00375AB9"/>
    <w:rsid w:val="003821A0"/>
    <w:rsid w:val="00385B04"/>
    <w:rsid w:val="003860A4"/>
    <w:rsid w:val="003864CF"/>
    <w:rsid w:val="003948AE"/>
    <w:rsid w:val="003A22A6"/>
    <w:rsid w:val="003A4509"/>
    <w:rsid w:val="003A5494"/>
    <w:rsid w:val="003B2510"/>
    <w:rsid w:val="003C2CC4"/>
    <w:rsid w:val="003C3710"/>
    <w:rsid w:val="003D3DC7"/>
    <w:rsid w:val="003E0EFC"/>
    <w:rsid w:val="003E4A2B"/>
    <w:rsid w:val="003E6932"/>
    <w:rsid w:val="003E76C2"/>
    <w:rsid w:val="003F1679"/>
    <w:rsid w:val="003F21EB"/>
    <w:rsid w:val="003F394E"/>
    <w:rsid w:val="003F4A35"/>
    <w:rsid w:val="003F7FDD"/>
    <w:rsid w:val="00402481"/>
    <w:rsid w:val="004042B4"/>
    <w:rsid w:val="00410DC4"/>
    <w:rsid w:val="00412DAE"/>
    <w:rsid w:val="004242E6"/>
    <w:rsid w:val="00431598"/>
    <w:rsid w:val="004319AD"/>
    <w:rsid w:val="00440927"/>
    <w:rsid w:val="004426B8"/>
    <w:rsid w:val="00444432"/>
    <w:rsid w:val="00455F14"/>
    <w:rsid w:val="00456251"/>
    <w:rsid w:val="00471860"/>
    <w:rsid w:val="00477026"/>
    <w:rsid w:val="0049546B"/>
    <w:rsid w:val="004A1BF0"/>
    <w:rsid w:val="004A744D"/>
    <w:rsid w:val="004B311F"/>
    <w:rsid w:val="004B4B1F"/>
    <w:rsid w:val="004B60BD"/>
    <w:rsid w:val="004C3034"/>
    <w:rsid w:val="004C3150"/>
    <w:rsid w:val="004C3641"/>
    <w:rsid w:val="004C4390"/>
    <w:rsid w:val="004C4AF7"/>
    <w:rsid w:val="004D2881"/>
    <w:rsid w:val="004D385F"/>
    <w:rsid w:val="004D4EB1"/>
    <w:rsid w:val="004D5B39"/>
    <w:rsid w:val="004D5E79"/>
    <w:rsid w:val="004E188E"/>
    <w:rsid w:val="004E330D"/>
    <w:rsid w:val="004E5147"/>
    <w:rsid w:val="004E69B5"/>
    <w:rsid w:val="004F5C43"/>
    <w:rsid w:val="00503FDD"/>
    <w:rsid w:val="0050652D"/>
    <w:rsid w:val="00506C03"/>
    <w:rsid w:val="00511A11"/>
    <w:rsid w:val="00516496"/>
    <w:rsid w:val="00523B11"/>
    <w:rsid w:val="0052572A"/>
    <w:rsid w:val="00532DFB"/>
    <w:rsid w:val="00534803"/>
    <w:rsid w:val="0054337B"/>
    <w:rsid w:val="00543CB3"/>
    <w:rsid w:val="005442E4"/>
    <w:rsid w:val="00544A47"/>
    <w:rsid w:val="00545B27"/>
    <w:rsid w:val="0055529B"/>
    <w:rsid w:val="00560FF0"/>
    <w:rsid w:val="0056100A"/>
    <w:rsid w:val="005614BD"/>
    <w:rsid w:val="0057154F"/>
    <w:rsid w:val="0058021F"/>
    <w:rsid w:val="00580F69"/>
    <w:rsid w:val="00581CA3"/>
    <w:rsid w:val="00587A44"/>
    <w:rsid w:val="00597730"/>
    <w:rsid w:val="005977EC"/>
    <w:rsid w:val="00597DE7"/>
    <w:rsid w:val="005A3D5F"/>
    <w:rsid w:val="005A4AA2"/>
    <w:rsid w:val="005B2A54"/>
    <w:rsid w:val="005B34B6"/>
    <w:rsid w:val="005B5A4A"/>
    <w:rsid w:val="005B6C8F"/>
    <w:rsid w:val="005B6EC3"/>
    <w:rsid w:val="005D0F74"/>
    <w:rsid w:val="005D2E7D"/>
    <w:rsid w:val="005D4A8F"/>
    <w:rsid w:val="005D561B"/>
    <w:rsid w:val="005D5ECF"/>
    <w:rsid w:val="005D65F9"/>
    <w:rsid w:val="005E0ED7"/>
    <w:rsid w:val="005E2210"/>
    <w:rsid w:val="005E3CBA"/>
    <w:rsid w:val="005F468D"/>
    <w:rsid w:val="005F69A3"/>
    <w:rsid w:val="00604CC7"/>
    <w:rsid w:val="00610B92"/>
    <w:rsid w:val="00615423"/>
    <w:rsid w:val="006165B2"/>
    <w:rsid w:val="00617276"/>
    <w:rsid w:val="0062527B"/>
    <w:rsid w:val="00625D97"/>
    <w:rsid w:val="00625F1C"/>
    <w:rsid w:val="006279E1"/>
    <w:rsid w:val="00630CEB"/>
    <w:rsid w:val="00632264"/>
    <w:rsid w:val="0064678F"/>
    <w:rsid w:val="006470BC"/>
    <w:rsid w:val="006554D3"/>
    <w:rsid w:val="00667036"/>
    <w:rsid w:val="00673BDB"/>
    <w:rsid w:val="00673E11"/>
    <w:rsid w:val="00674341"/>
    <w:rsid w:val="006771B8"/>
    <w:rsid w:val="006843B6"/>
    <w:rsid w:val="0068481F"/>
    <w:rsid w:val="0068730B"/>
    <w:rsid w:val="00696F5D"/>
    <w:rsid w:val="00697249"/>
    <w:rsid w:val="006B3947"/>
    <w:rsid w:val="006B4293"/>
    <w:rsid w:val="006B624F"/>
    <w:rsid w:val="006C0C95"/>
    <w:rsid w:val="006C31E3"/>
    <w:rsid w:val="006D0B31"/>
    <w:rsid w:val="006D18D3"/>
    <w:rsid w:val="006E08CB"/>
    <w:rsid w:val="006E598D"/>
    <w:rsid w:val="006F3A1B"/>
    <w:rsid w:val="00703AFA"/>
    <w:rsid w:val="0070437D"/>
    <w:rsid w:val="00704CF1"/>
    <w:rsid w:val="00705B04"/>
    <w:rsid w:val="00716AAD"/>
    <w:rsid w:val="00724992"/>
    <w:rsid w:val="007319F8"/>
    <w:rsid w:val="00734820"/>
    <w:rsid w:val="007349DC"/>
    <w:rsid w:val="0074365E"/>
    <w:rsid w:val="00744B55"/>
    <w:rsid w:val="007515FD"/>
    <w:rsid w:val="00757830"/>
    <w:rsid w:val="00760D80"/>
    <w:rsid w:val="0076181F"/>
    <w:rsid w:val="007642E3"/>
    <w:rsid w:val="0076579B"/>
    <w:rsid w:val="00772999"/>
    <w:rsid w:val="00780C09"/>
    <w:rsid w:val="00780DDF"/>
    <w:rsid w:val="007834E9"/>
    <w:rsid w:val="00784F8F"/>
    <w:rsid w:val="00787DBC"/>
    <w:rsid w:val="0079019A"/>
    <w:rsid w:val="00792935"/>
    <w:rsid w:val="00792DB7"/>
    <w:rsid w:val="00796FEE"/>
    <w:rsid w:val="007A04A1"/>
    <w:rsid w:val="007A1840"/>
    <w:rsid w:val="007A4FB3"/>
    <w:rsid w:val="007B0837"/>
    <w:rsid w:val="007C0528"/>
    <w:rsid w:val="007C1AAB"/>
    <w:rsid w:val="007C3D38"/>
    <w:rsid w:val="007D0F35"/>
    <w:rsid w:val="007D4FEB"/>
    <w:rsid w:val="007D526D"/>
    <w:rsid w:val="007D6146"/>
    <w:rsid w:val="007E0CE7"/>
    <w:rsid w:val="007F1193"/>
    <w:rsid w:val="007F417F"/>
    <w:rsid w:val="007F7644"/>
    <w:rsid w:val="008042BD"/>
    <w:rsid w:val="00810FCD"/>
    <w:rsid w:val="00816624"/>
    <w:rsid w:val="00822427"/>
    <w:rsid w:val="00822562"/>
    <w:rsid w:val="00823663"/>
    <w:rsid w:val="00832DDC"/>
    <w:rsid w:val="00840B2A"/>
    <w:rsid w:val="00841028"/>
    <w:rsid w:val="00850BAC"/>
    <w:rsid w:val="00854A3E"/>
    <w:rsid w:val="00855D08"/>
    <w:rsid w:val="00874344"/>
    <w:rsid w:val="00882155"/>
    <w:rsid w:val="0088233B"/>
    <w:rsid w:val="0088599E"/>
    <w:rsid w:val="00886C37"/>
    <w:rsid w:val="00887B5F"/>
    <w:rsid w:val="00892D99"/>
    <w:rsid w:val="00893315"/>
    <w:rsid w:val="008A2D3B"/>
    <w:rsid w:val="008A6461"/>
    <w:rsid w:val="008B62AE"/>
    <w:rsid w:val="008B73A4"/>
    <w:rsid w:val="008C04B5"/>
    <w:rsid w:val="008C14FA"/>
    <w:rsid w:val="008C7B0B"/>
    <w:rsid w:val="008D0A3A"/>
    <w:rsid w:val="008D4057"/>
    <w:rsid w:val="008D5A5B"/>
    <w:rsid w:val="008E1F19"/>
    <w:rsid w:val="008F2262"/>
    <w:rsid w:val="008F2B56"/>
    <w:rsid w:val="008F4D2B"/>
    <w:rsid w:val="008F6ED8"/>
    <w:rsid w:val="008F7736"/>
    <w:rsid w:val="0090019E"/>
    <w:rsid w:val="00901086"/>
    <w:rsid w:val="00901C8A"/>
    <w:rsid w:val="00901CC1"/>
    <w:rsid w:val="00905886"/>
    <w:rsid w:val="009070D6"/>
    <w:rsid w:val="009076C6"/>
    <w:rsid w:val="0091019E"/>
    <w:rsid w:val="009106F1"/>
    <w:rsid w:val="00912404"/>
    <w:rsid w:val="009145D6"/>
    <w:rsid w:val="0092006C"/>
    <w:rsid w:val="00920E64"/>
    <w:rsid w:val="00922002"/>
    <w:rsid w:val="00924020"/>
    <w:rsid w:val="009271A7"/>
    <w:rsid w:val="00927FA8"/>
    <w:rsid w:val="0093658B"/>
    <w:rsid w:val="009429FF"/>
    <w:rsid w:val="00945BD6"/>
    <w:rsid w:val="009479FB"/>
    <w:rsid w:val="00950605"/>
    <w:rsid w:val="00950FD1"/>
    <w:rsid w:val="00951C45"/>
    <w:rsid w:val="009656F2"/>
    <w:rsid w:val="00966A08"/>
    <w:rsid w:val="00971207"/>
    <w:rsid w:val="00974A9C"/>
    <w:rsid w:val="00975376"/>
    <w:rsid w:val="00975CB4"/>
    <w:rsid w:val="00982E78"/>
    <w:rsid w:val="009863B0"/>
    <w:rsid w:val="00987DE1"/>
    <w:rsid w:val="00990571"/>
    <w:rsid w:val="0099673A"/>
    <w:rsid w:val="009A3330"/>
    <w:rsid w:val="009A6EE1"/>
    <w:rsid w:val="009A7C96"/>
    <w:rsid w:val="009C0341"/>
    <w:rsid w:val="009C3DB9"/>
    <w:rsid w:val="009D46E5"/>
    <w:rsid w:val="009D568A"/>
    <w:rsid w:val="009D621A"/>
    <w:rsid w:val="009F04EC"/>
    <w:rsid w:val="009F2A7C"/>
    <w:rsid w:val="009F3B36"/>
    <w:rsid w:val="009F54F9"/>
    <w:rsid w:val="00A019B9"/>
    <w:rsid w:val="00A12508"/>
    <w:rsid w:val="00A1282B"/>
    <w:rsid w:val="00A13A27"/>
    <w:rsid w:val="00A15669"/>
    <w:rsid w:val="00A175B6"/>
    <w:rsid w:val="00A21835"/>
    <w:rsid w:val="00A2374B"/>
    <w:rsid w:val="00A24A8E"/>
    <w:rsid w:val="00A24AC6"/>
    <w:rsid w:val="00A27D6E"/>
    <w:rsid w:val="00A328EC"/>
    <w:rsid w:val="00A33A51"/>
    <w:rsid w:val="00A41CA6"/>
    <w:rsid w:val="00A47927"/>
    <w:rsid w:val="00A47FFC"/>
    <w:rsid w:val="00A5442F"/>
    <w:rsid w:val="00A54FF9"/>
    <w:rsid w:val="00A56765"/>
    <w:rsid w:val="00A675AC"/>
    <w:rsid w:val="00A7581F"/>
    <w:rsid w:val="00A82709"/>
    <w:rsid w:val="00A92FB1"/>
    <w:rsid w:val="00A95A0C"/>
    <w:rsid w:val="00AA2765"/>
    <w:rsid w:val="00AA30C5"/>
    <w:rsid w:val="00AA57B0"/>
    <w:rsid w:val="00AA755F"/>
    <w:rsid w:val="00AA77B5"/>
    <w:rsid w:val="00AB6C5D"/>
    <w:rsid w:val="00AC3401"/>
    <w:rsid w:val="00AC51A7"/>
    <w:rsid w:val="00AD444B"/>
    <w:rsid w:val="00AD5614"/>
    <w:rsid w:val="00AD6C78"/>
    <w:rsid w:val="00AE2EAB"/>
    <w:rsid w:val="00AE4BE0"/>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4098A"/>
    <w:rsid w:val="00B516ED"/>
    <w:rsid w:val="00B55CD6"/>
    <w:rsid w:val="00B57A6A"/>
    <w:rsid w:val="00B6189D"/>
    <w:rsid w:val="00B70D67"/>
    <w:rsid w:val="00B760F1"/>
    <w:rsid w:val="00B7669E"/>
    <w:rsid w:val="00B76EBB"/>
    <w:rsid w:val="00B77DA1"/>
    <w:rsid w:val="00B822A0"/>
    <w:rsid w:val="00B858AE"/>
    <w:rsid w:val="00B85964"/>
    <w:rsid w:val="00B96250"/>
    <w:rsid w:val="00BA0D55"/>
    <w:rsid w:val="00BA37B3"/>
    <w:rsid w:val="00BA4CC6"/>
    <w:rsid w:val="00BB12C7"/>
    <w:rsid w:val="00BB3493"/>
    <w:rsid w:val="00BB7468"/>
    <w:rsid w:val="00BC188A"/>
    <w:rsid w:val="00BC2CD0"/>
    <w:rsid w:val="00BC3E7A"/>
    <w:rsid w:val="00BC402E"/>
    <w:rsid w:val="00BD0F48"/>
    <w:rsid w:val="00BE6DDB"/>
    <w:rsid w:val="00BF5010"/>
    <w:rsid w:val="00C03D5F"/>
    <w:rsid w:val="00C13791"/>
    <w:rsid w:val="00C164C3"/>
    <w:rsid w:val="00C31BB3"/>
    <w:rsid w:val="00C36977"/>
    <w:rsid w:val="00C467DA"/>
    <w:rsid w:val="00C477D9"/>
    <w:rsid w:val="00C60BA3"/>
    <w:rsid w:val="00C623F7"/>
    <w:rsid w:val="00C62A81"/>
    <w:rsid w:val="00C7331E"/>
    <w:rsid w:val="00C75BC5"/>
    <w:rsid w:val="00C81670"/>
    <w:rsid w:val="00C81773"/>
    <w:rsid w:val="00C82861"/>
    <w:rsid w:val="00C86896"/>
    <w:rsid w:val="00C907A8"/>
    <w:rsid w:val="00C93211"/>
    <w:rsid w:val="00C942EC"/>
    <w:rsid w:val="00C96047"/>
    <w:rsid w:val="00C979D0"/>
    <w:rsid w:val="00CA0818"/>
    <w:rsid w:val="00CA15C8"/>
    <w:rsid w:val="00CA19B7"/>
    <w:rsid w:val="00CA2C8F"/>
    <w:rsid w:val="00CA30DA"/>
    <w:rsid w:val="00CA3A24"/>
    <w:rsid w:val="00CA4845"/>
    <w:rsid w:val="00CB1777"/>
    <w:rsid w:val="00CB33E9"/>
    <w:rsid w:val="00CC0185"/>
    <w:rsid w:val="00CC10A9"/>
    <w:rsid w:val="00CD160D"/>
    <w:rsid w:val="00CD1D91"/>
    <w:rsid w:val="00CE2BF8"/>
    <w:rsid w:val="00CE484E"/>
    <w:rsid w:val="00CE656F"/>
    <w:rsid w:val="00CF0DA8"/>
    <w:rsid w:val="00CF2E25"/>
    <w:rsid w:val="00CF4453"/>
    <w:rsid w:val="00CF5D94"/>
    <w:rsid w:val="00CF7E0F"/>
    <w:rsid w:val="00D034D7"/>
    <w:rsid w:val="00D04BE4"/>
    <w:rsid w:val="00D06FC7"/>
    <w:rsid w:val="00D12565"/>
    <w:rsid w:val="00D14127"/>
    <w:rsid w:val="00D46B77"/>
    <w:rsid w:val="00D54F08"/>
    <w:rsid w:val="00D60B16"/>
    <w:rsid w:val="00D60F02"/>
    <w:rsid w:val="00D66E49"/>
    <w:rsid w:val="00D70D71"/>
    <w:rsid w:val="00D72F74"/>
    <w:rsid w:val="00D81563"/>
    <w:rsid w:val="00D85907"/>
    <w:rsid w:val="00D9073E"/>
    <w:rsid w:val="00D9221D"/>
    <w:rsid w:val="00D94B1B"/>
    <w:rsid w:val="00D958DF"/>
    <w:rsid w:val="00D96DA1"/>
    <w:rsid w:val="00DA51E7"/>
    <w:rsid w:val="00DB0260"/>
    <w:rsid w:val="00DB1C78"/>
    <w:rsid w:val="00DB7D96"/>
    <w:rsid w:val="00DC0859"/>
    <w:rsid w:val="00DC23FE"/>
    <w:rsid w:val="00DC4B83"/>
    <w:rsid w:val="00DC59E6"/>
    <w:rsid w:val="00DD150B"/>
    <w:rsid w:val="00DD3CFE"/>
    <w:rsid w:val="00DD5025"/>
    <w:rsid w:val="00DD7493"/>
    <w:rsid w:val="00DE2D17"/>
    <w:rsid w:val="00DF1510"/>
    <w:rsid w:val="00DF4CFE"/>
    <w:rsid w:val="00E02F1F"/>
    <w:rsid w:val="00E06484"/>
    <w:rsid w:val="00E20A7D"/>
    <w:rsid w:val="00E20BE6"/>
    <w:rsid w:val="00E2695F"/>
    <w:rsid w:val="00E275D8"/>
    <w:rsid w:val="00E27B63"/>
    <w:rsid w:val="00E30F6A"/>
    <w:rsid w:val="00E3117C"/>
    <w:rsid w:val="00E375CA"/>
    <w:rsid w:val="00E401B1"/>
    <w:rsid w:val="00E46167"/>
    <w:rsid w:val="00E535C3"/>
    <w:rsid w:val="00E5364F"/>
    <w:rsid w:val="00E55E6E"/>
    <w:rsid w:val="00E567E8"/>
    <w:rsid w:val="00E61315"/>
    <w:rsid w:val="00E64679"/>
    <w:rsid w:val="00E650E2"/>
    <w:rsid w:val="00E65EBC"/>
    <w:rsid w:val="00E677FE"/>
    <w:rsid w:val="00E73432"/>
    <w:rsid w:val="00E77A2D"/>
    <w:rsid w:val="00E77B0C"/>
    <w:rsid w:val="00E77FB8"/>
    <w:rsid w:val="00E838B0"/>
    <w:rsid w:val="00E8583B"/>
    <w:rsid w:val="00E86A7C"/>
    <w:rsid w:val="00E878E1"/>
    <w:rsid w:val="00E87F2C"/>
    <w:rsid w:val="00E94289"/>
    <w:rsid w:val="00E95278"/>
    <w:rsid w:val="00EA2273"/>
    <w:rsid w:val="00EA7C27"/>
    <w:rsid w:val="00EA7C3C"/>
    <w:rsid w:val="00EB2DB3"/>
    <w:rsid w:val="00EC3FBB"/>
    <w:rsid w:val="00EC6B7A"/>
    <w:rsid w:val="00ED3A87"/>
    <w:rsid w:val="00ED5B67"/>
    <w:rsid w:val="00EF264C"/>
    <w:rsid w:val="00EF3FEE"/>
    <w:rsid w:val="00EF7A4C"/>
    <w:rsid w:val="00F04B59"/>
    <w:rsid w:val="00F11741"/>
    <w:rsid w:val="00F12B1C"/>
    <w:rsid w:val="00F13CF8"/>
    <w:rsid w:val="00F15855"/>
    <w:rsid w:val="00F200B2"/>
    <w:rsid w:val="00F227DC"/>
    <w:rsid w:val="00F27BC2"/>
    <w:rsid w:val="00F32978"/>
    <w:rsid w:val="00F37F5A"/>
    <w:rsid w:val="00F45CB2"/>
    <w:rsid w:val="00F46DD8"/>
    <w:rsid w:val="00F544C0"/>
    <w:rsid w:val="00F55332"/>
    <w:rsid w:val="00F57E9F"/>
    <w:rsid w:val="00F620BF"/>
    <w:rsid w:val="00F6504A"/>
    <w:rsid w:val="00F65519"/>
    <w:rsid w:val="00F713C0"/>
    <w:rsid w:val="00F75DDC"/>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 w:val="00FF1B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81"/>
    <o:shapelayout v:ext="edit">
      <o:idmap v:ext="edit" data="1"/>
    </o:shapelayout>
  </w:shapeDefaults>
  <w:decimalSymbol w:val="."/>
  <w:listSeparator w:val=","/>
  <w15:docId w15:val="{5209E301-E5B0-4B19-B62F-6DEB7D7F0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link w:val="BalloonTextChar"/>
    <w:uiPriority w:val="99"/>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nhideWhenUsed/>
    <w:rsid w:val="00127C95"/>
    <w:rPr>
      <w:vertAlign w:val="superscript"/>
    </w:rPr>
  </w:style>
  <w:style w:type="character" w:customStyle="1" w:styleId="FootnoteTextChar">
    <w:name w:val="Footnote Text Char"/>
    <w:basedOn w:val="DefaultParagraphFont"/>
    <w:link w:val="FootnoteText"/>
    <w:rsid w:val="00CD1D91"/>
  </w:style>
  <w:style w:type="character" w:customStyle="1" w:styleId="BalloonTextChar">
    <w:name w:val="Balloon Text Char"/>
    <w:basedOn w:val="DefaultParagraphFont"/>
    <w:link w:val="BalloonText"/>
    <w:uiPriority w:val="99"/>
    <w:semiHidden/>
    <w:rsid w:val="004C303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19516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header" Target="header55.xml"/><Relationship Id="rId21" Type="http://schemas.openxmlformats.org/officeDocument/2006/relationships/header" Target="header7.xml"/><Relationship Id="rId42" Type="http://schemas.openxmlformats.org/officeDocument/2006/relationships/image" Target="media/image16.JPG"/><Relationship Id="rId47" Type="http://schemas.openxmlformats.org/officeDocument/2006/relationships/header" Target="header20.xml"/><Relationship Id="rId63" Type="http://schemas.openxmlformats.org/officeDocument/2006/relationships/header" Target="header28.xml"/><Relationship Id="rId68" Type="http://schemas.openxmlformats.org/officeDocument/2006/relationships/image" Target="media/image29.JPG"/><Relationship Id="rId84" Type="http://schemas.openxmlformats.org/officeDocument/2006/relationships/image" Target="media/image37.JPG"/><Relationship Id="rId89" Type="http://schemas.openxmlformats.org/officeDocument/2006/relationships/header" Target="header41.xml"/><Relationship Id="rId112" Type="http://schemas.openxmlformats.org/officeDocument/2006/relationships/image" Target="media/image51.JPG"/><Relationship Id="rId133" Type="http://schemas.openxmlformats.org/officeDocument/2006/relationships/header" Target="header63.xml"/><Relationship Id="rId138" Type="http://schemas.openxmlformats.org/officeDocument/2006/relationships/image" Target="media/image64.JPG"/><Relationship Id="rId16" Type="http://schemas.openxmlformats.org/officeDocument/2006/relationships/image" Target="media/image3.JPG"/><Relationship Id="rId107" Type="http://schemas.openxmlformats.org/officeDocument/2006/relationships/header" Target="header50.xml"/><Relationship Id="rId11" Type="http://schemas.openxmlformats.org/officeDocument/2006/relationships/header" Target="header2.xml"/><Relationship Id="rId32" Type="http://schemas.openxmlformats.org/officeDocument/2006/relationships/image" Target="media/image11.JPG"/><Relationship Id="rId37" Type="http://schemas.openxmlformats.org/officeDocument/2006/relationships/header" Target="header15.xml"/><Relationship Id="rId53" Type="http://schemas.openxmlformats.org/officeDocument/2006/relationships/header" Target="header23.xml"/><Relationship Id="rId58" Type="http://schemas.openxmlformats.org/officeDocument/2006/relationships/image" Target="media/image24.JPG"/><Relationship Id="rId74" Type="http://schemas.openxmlformats.org/officeDocument/2006/relationships/image" Target="media/image32.JPG"/><Relationship Id="rId79" Type="http://schemas.openxmlformats.org/officeDocument/2006/relationships/header" Target="header36.xml"/><Relationship Id="rId102" Type="http://schemas.openxmlformats.org/officeDocument/2006/relationships/image" Target="media/image46.JPG"/><Relationship Id="rId123" Type="http://schemas.openxmlformats.org/officeDocument/2006/relationships/header" Target="header58.xml"/><Relationship Id="rId128" Type="http://schemas.openxmlformats.org/officeDocument/2006/relationships/image" Target="media/image59.JPG"/><Relationship Id="rId5" Type="http://schemas.openxmlformats.org/officeDocument/2006/relationships/webSettings" Target="webSettings.xml"/><Relationship Id="rId90" Type="http://schemas.openxmlformats.org/officeDocument/2006/relationships/image" Target="media/image40.JPG"/><Relationship Id="rId95" Type="http://schemas.openxmlformats.org/officeDocument/2006/relationships/header" Target="header44.xml"/><Relationship Id="rId22" Type="http://schemas.openxmlformats.org/officeDocument/2006/relationships/image" Target="media/image6.JPG"/><Relationship Id="rId27" Type="http://schemas.openxmlformats.org/officeDocument/2006/relationships/header" Target="header10.xml"/><Relationship Id="rId43" Type="http://schemas.openxmlformats.org/officeDocument/2006/relationships/header" Target="header18.xml"/><Relationship Id="rId48" Type="http://schemas.openxmlformats.org/officeDocument/2006/relationships/image" Target="media/image19.JPG"/><Relationship Id="rId64" Type="http://schemas.openxmlformats.org/officeDocument/2006/relationships/image" Target="media/image27.JPG"/><Relationship Id="rId69" Type="http://schemas.openxmlformats.org/officeDocument/2006/relationships/header" Target="header31.xml"/><Relationship Id="rId113" Type="http://schemas.openxmlformats.org/officeDocument/2006/relationships/header" Target="header53.xml"/><Relationship Id="rId118" Type="http://schemas.openxmlformats.org/officeDocument/2006/relationships/image" Target="media/image54.JPG"/><Relationship Id="rId134" Type="http://schemas.openxmlformats.org/officeDocument/2006/relationships/image" Target="media/image62.JPG"/><Relationship Id="rId139" Type="http://schemas.openxmlformats.org/officeDocument/2006/relationships/header" Target="header66.xml"/><Relationship Id="rId8" Type="http://schemas.openxmlformats.org/officeDocument/2006/relationships/image" Target="media/image1.png"/><Relationship Id="rId51" Type="http://schemas.openxmlformats.org/officeDocument/2006/relationships/header" Target="header22.xml"/><Relationship Id="rId72" Type="http://schemas.openxmlformats.org/officeDocument/2006/relationships/image" Target="media/image31.JPG"/><Relationship Id="rId80" Type="http://schemas.openxmlformats.org/officeDocument/2006/relationships/image" Target="media/image35.JPG"/><Relationship Id="rId85" Type="http://schemas.openxmlformats.org/officeDocument/2006/relationships/header" Target="header39.xml"/><Relationship Id="rId93" Type="http://schemas.openxmlformats.org/officeDocument/2006/relationships/header" Target="header43.xml"/><Relationship Id="rId98" Type="http://schemas.openxmlformats.org/officeDocument/2006/relationships/image" Target="media/image44.JPG"/><Relationship Id="rId121" Type="http://schemas.openxmlformats.org/officeDocument/2006/relationships/header" Target="header57.xml"/><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3.xml"/><Relationship Id="rId38" Type="http://schemas.openxmlformats.org/officeDocument/2006/relationships/image" Target="media/image14.JPG"/><Relationship Id="rId46" Type="http://schemas.openxmlformats.org/officeDocument/2006/relationships/image" Target="media/image18.JPG"/><Relationship Id="rId59" Type="http://schemas.openxmlformats.org/officeDocument/2006/relationships/header" Target="header26.xml"/><Relationship Id="rId67" Type="http://schemas.openxmlformats.org/officeDocument/2006/relationships/header" Target="header30.xml"/><Relationship Id="rId103" Type="http://schemas.openxmlformats.org/officeDocument/2006/relationships/header" Target="header48.xml"/><Relationship Id="rId108" Type="http://schemas.openxmlformats.org/officeDocument/2006/relationships/image" Target="media/image49.JPG"/><Relationship Id="rId116" Type="http://schemas.openxmlformats.org/officeDocument/2006/relationships/image" Target="media/image53.JPG"/><Relationship Id="rId124" Type="http://schemas.openxmlformats.org/officeDocument/2006/relationships/image" Target="media/image57.JPG"/><Relationship Id="rId129" Type="http://schemas.openxmlformats.org/officeDocument/2006/relationships/header" Target="header61.xml"/><Relationship Id="rId137" Type="http://schemas.openxmlformats.org/officeDocument/2006/relationships/header" Target="header65.xml"/><Relationship Id="rId20" Type="http://schemas.openxmlformats.org/officeDocument/2006/relationships/image" Target="media/image5.JPG"/><Relationship Id="rId41" Type="http://schemas.openxmlformats.org/officeDocument/2006/relationships/header" Target="header17.xml"/><Relationship Id="rId54" Type="http://schemas.openxmlformats.org/officeDocument/2006/relationships/image" Target="media/image22.JPG"/><Relationship Id="rId62" Type="http://schemas.openxmlformats.org/officeDocument/2006/relationships/image" Target="media/image26.JPG"/><Relationship Id="rId70" Type="http://schemas.openxmlformats.org/officeDocument/2006/relationships/image" Target="media/image30.JPG"/><Relationship Id="rId75" Type="http://schemas.openxmlformats.org/officeDocument/2006/relationships/header" Target="header34.xml"/><Relationship Id="rId83" Type="http://schemas.openxmlformats.org/officeDocument/2006/relationships/header" Target="header38.xml"/><Relationship Id="rId88" Type="http://schemas.openxmlformats.org/officeDocument/2006/relationships/image" Target="media/image39.JPG"/><Relationship Id="rId91" Type="http://schemas.openxmlformats.org/officeDocument/2006/relationships/header" Target="header42.xml"/><Relationship Id="rId96" Type="http://schemas.openxmlformats.org/officeDocument/2006/relationships/image" Target="media/image43.JPG"/><Relationship Id="rId111" Type="http://schemas.openxmlformats.org/officeDocument/2006/relationships/header" Target="header52.xml"/><Relationship Id="rId132" Type="http://schemas.openxmlformats.org/officeDocument/2006/relationships/image" Target="media/image61.JPG"/><Relationship Id="rId140" Type="http://schemas.openxmlformats.org/officeDocument/2006/relationships/image" Target="media/image6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9.JPG"/><Relationship Id="rId36" Type="http://schemas.openxmlformats.org/officeDocument/2006/relationships/image" Target="media/image13.JPG"/><Relationship Id="rId49" Type="http://schemas.openxmlformats.org/officeDocument/2006/relationships/header" Target="header21.xml"/><Relationship Id="rId57" Type="http://schemas.openxmlformats.org/officeDocument/2006/relationships/header" Target="header25.xml"/><Relationship Id="rId106" Type="http://schemas.openxmlformats.org/officeDocument/2006/relationships/image" Target="media/image48.JPG"/><Relationship Id="rId114" Type="http://schemas.openxmlformats.org/officeDocument/2006/relationships/image" Target="media/image52.JPG"/><Relationship Id="rId119" Type="http://schemas.openxmlformats.org/officeDocument/2006/relationships/header" Target="header56.xml"/><Relationship Id="rId127" Type="http://schemas.openxmlformats.org/officeDocument/2006/relationships/header" Target="header60.xml"/><Relationship Id="rId10" Type="http://schemas.openxmlformats.org/officeDocument/2006/relationships/footer" Target="footer1.xml"/><Relationship Id="rId31" Type="http://schemas.openxmlformats.org/officeDocument/2006/relationships/header" Target="header12.xml"/><Relationship Id="rId44" Type="http://schemas.openxmlformats.org/officeDocument/2006/relationships/image" Target="media/image17.JPG"/><Relationship Id="rId52" Type="http://schemas.openxmlformats.org/officeDocument/2006/relationships/image" Target="media/image21.JPG"/><Relationship Id="rId60" Type="http://schemas.openxmlformats.org/officeDocument/2006/relationships/image" Target="media/image25.JPG"/><Relationship Id="rId65" Type="http://schemas.openxmlformats.org/officeDocument/2006/relationships/header" Target="header29.xml"/><Relationship Id="rId73" Type="http://schemas.openxmlformats.org/officeDocument/2006/relationships/header" Target="header33.xml"/><Relationship Id="rId78" Type="http://schemas.openxmlformats.org/officeDocument/2006/relationships/image" Target="media/image34.JPG"/><Relationship Id="rId81" Type="http://schemas.openxmlformats.org/officeDocument/2006/relationships/header" Target="header37.xml"/><Relationship Id="rId86" Type="http://schemas.openxmlformats.org/officeDocument/2006/relationships/image" Target="media/image38.JPG"/><Relationship Id="rId94" Type="http://schemas.openxmlformats.org/officeDocument/2006/relationships/image" Target="media/image42.JPG"/><Relationship Id="rId99" Type="http://schemas.openxmlformats.org/officeDocument/2006/relationships/header" Target="header46.xml"/><Relationship Id="rId101" Type="http://schemas.openxmlformats.org/officeDocument/2006/relationships/header" Target="header47.xml"/><Relationship Id="rId122" Type="http://schemas.openxmlformats.org/officeDocument/2006/relationships/image" Target="media/image56.JPG"/><Relationship Id="rId130" Type="http://schemas.openxmlformats.org/officeDocument/2006/relationships/image" Target="media/image60.JPG"/><Relationship Id="rId135" Type="http://schemas.openxmlformats.org/officeDocument/2006/relationships/header" Target="header64.xm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4.JPG"/><Relationship Id="rId39" Type="http://schemas.openxmlformats.org/officeDocument/2006/relationships/header" Target="header16.xml"/><Relationship Id="rId109" Type="http://schemas.openxmlformats.org/officeDocument/2006/relationships/header" Target="header51.xml"/><Relationship Id="rId34" Type="http://schemas.openxmlformats.org/officeDocument/2006/relationships/image" Target="media/image12.JPG"/><Relationship Id="rId50" Type="http://schemas.openxmlformats.org/officeDocument/2006/relationships/image" Target="media/image20.JPG"/><Relationship Id="rId55" Type="http://schemas.openxmlformats.org/officeDocument/2006/relationships/header" Target="header24.xml"/><Relationship Id="rId76" Type="http://schemas.openxmlformats.org/officeDocument/2006/relationships/image" Target="media/image33.JPG"/><Relationship Id="rId97" Type="http://schemas.openxmlformats.org/officeDocument/2006/relationships/header" Target="header45.xml"/><Relationship Id="rId104" Type="http://schemas.openxmlformats.org/officeDocument/2006/relationships/image" Target="media/image47.JPG"/><Relationship Id="rId120" Type="http://schemas.openxmlformats.org/officeDocument/2006/relationships/image" Target="media/image55.JPG"/><Relationship Id="rId125" Type="http://schemas.openxmlformats.org/officeDocument/2006/relationships/header" Target="header59.xml"/><Relationship Id="rId141" Type="http://schemas.openxmlformats.org/officeDocument/2006/relationships/header" Target="header67.xml"/><Relationship Id="rId7" Type="http://schemas.openxmlformats.org/officeDocument/2006/relationships/endnotes" Target="endnotes.xml"/><Relationship Id="rId71" Type="http://schemas.openxmlformats.org/officeDocument/2006/relationships/header" Target="header32.xml"/><Relationship Id="rId92" Type="http://schemas.openxmlformats.org/officeDocument/2006/relationships/image" Target="media/image41.JPG"/><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image" Target="media/image7.JPG"/><Relationship Id="rId40" Type="http://schemas.openxmlformats.org/officeDocument/2006/relationships/image" Target="media/image15.JPG"/><Relationship Id="rId45" Type="http://schemas.openxmlformats.org/officeDocument/2006/relationships/header" Target="header19.xml"/><Relationship Id="rId66" Type="http://schemas.openxmlformats.org/officeDocument/2006/relationships/image" Target="media/image28.JPG"/><Relationship Id="rId87" Type="http://schemas.openxmlformats.org/officeDocument/2006/relationships/header" Target="header40.xml"/><Relationship Id="rId110" Type="http://schemas.openxmlformats.org/officeDocument/2006/relationships/image" Target="media/image50.JPG"/><Relationship Id="rId115" Type="http://schemas.openxmlformats.org/officeDocument/2006/relationships/header" Target="header54.xml"/><Relationship Id="rId131" Type="http://schemas.openxmlformats.org/officeDocument/2006/relationships/header" Target="header62.xml"/><Relationship Id="rId136" Type="http://schemas.openxmlformats.org/officeDocument/2006/relationships/image" Target="media/image63.JPG"/><Relationship Id="rId61" Type="http://schemas.openxmlformats.org/officeDocument/2006/relationships/header" Target="header27.xml"/><Relationship Id="rId82" Type="http://schemas.openxmlformats.org/officeDocument/2006/relationships/image" Target="media/image36.JPG"/><Relationship Id="rId19" Type="http://schemas.openxmlformats.org/officeDocument/2006/relationships/header" Target="header6.xml"/><Relationship Id="rId14" Type="http://schemas.openxmlformats.org/officeDocument/2006/relationships/image" Target="media/image2.JPG"/><Relationship Id="rId30" Type="http://schemas.openxmlformats.org/officeDocument/2006/relationships/image" Target="media/image10.JPG"/><Relationship Id="rId35" Type="http://schemas.openxmlformats.org/officeDocument/2006/relationships/header" Target="header14.xml"/><Relationship Id="rId56" Type="http://schemas.openxmlformats.org/officeDocument/2006/relationships/image" Target="media/image23.JPG"/><Relationship Id="rId77" Type="http://schemas.openxmlformats.org/officeDocument/2006/relationships/header" Target="header35.xml"/><Relationship Id="rId100" Type="http://schemas.openxmlformats.org/officeDocument/2006/relationships/image" Target="media/image45.JPG"/><Relationship Id="rId105" Type="http://schemas.openxmlformats.org/officeDocument/2006/relationships/header" Target="header49.xml"/><Relationship Id="rId126" Type="http://schemas.openxmlformats.org/officeDocument/2006/relationships/image" Target="media/image58.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0FA625-2420-4BC9-8AFE-28FFC266E0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76</Pages>
  <Words>3315</Words>
  <Characters>19225</Characters>
  <Application>Microsoft Office Word</Application>
  <DocSecurity>0</DocSecurity>
  <Lines>160</Lines>
  <Paragraphs>44</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22496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2004-01-27T20:32:00Z</cp:lastPrinted>
  <dcterms:created xsi:type="dcterms:W3CDTF">2021-01-21T13:32:00Z</dcterms:created>
  <dcterms:modified xsi:type="dcterms:W3CDTF">2021-01-21T13:32:00Z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20200245-EI</vt:lpwstr>
  </property>
  <property fmtid="{D5CDD505-2E9C-101B-9397-08002B2CF9AE}" pid="3" name="MasterDocument">
    <vt:bool>false</vt:bool>
  </property>
</Properties>
</file>