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04FD" w:rsidP="005304FD">
      <w:pPr>
        <w:pStyle w:val="OrderHeading"/>
      </w:pPr>
      <w:r>
        <w:t>BEFORE THE FLORIDA PUBLIC SERVICE COMMISSION</w:t>
      </w:r>
    </w:p>
    <w:p w:rsidR="005304FD" w:rsidRDefault="005304FD" w:rsidP="005304FD">
      <w:pPr>
        <w:pStyle w:val="OrderBody"/>
      </w:pPr>
    </w:p>
    <w:p w:rsidR="005304FD" w:rsidRDefault="005304FD" w:rsidP="005304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4FD" w:rsidRPr="00C63FCF" w:rsidTr="00C63FCF">
        <w:trPr>
          <w:trHeight w:val="828"/>
        </w:trPr>
        <w:tc>
          <w:tcPr>
            <w:tcW w:w="4788" w:type="dxa"/>
            <w:tcBorders>
              <w:bottom w:val="single" w:sz="8" w:space="0" w:color="auto"/>
              <w:right w:val="double" w:sz="6" w:space="0" w:color="auto"/>
            </w:tcBorders>
            <w:shd w:val="clear" w:color="auto" w:fill="auto"/>
          </w:tcPr>
          <w:p w:rsidR="005304FD" w:rsidRDefault="005304FD"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5304FD" w:rsidRDefault="005304FD" w:rsidP="005304FD">
            <w:pPr>
              <w:pStyle w:val="OrderBody"/>
            </w:pPr>
            <w:r>
              <w:t xml:space="preserve">DOCKET NO. </w:t>
            </w:r>
            <w:bookmarkStart w:id="1" w:name="SSDocketNo"/>
            <w:bookmarkEnd w:id="1"/>
            <w:r>
              <w:t>20200172-EI</w:t>
            </w:r>
          </w:p>
          <w:p w:rsidR="005304FD" w:rsidRDefault="005304FD" w:rsidP="00C63FCF">
            <w:pPr>
              <w:pStyle w:val="OrderBody"/>
              <w:tabs>
                <w:tab w:val="center" w:pos="4320"/>
                <w:tab w:val="right" w:pos="8640"/>
              </w:tabs>
              <w:jc w:val="left"/>
            </w:pPr>
            <w:r>
              <w:t xml:space="preserve">ORDER NO. </w:t>
            </w:r>
            <w:bookmarkStart w:id="2" w:name="OrderNo0060"/>
            <w:r w:rsidR="00C2433A">
              <w:t>PSC-2021-0060-PCO-EI</w:t>
            </w:r>
            <w:bookmarkEnd w:id="2"/>
          </w:p>
          <w:p w:rsidR="005304FD" w:rsidRDefault="005304FD" w:rsidP="00C63FCF">
            <w:pPr>
              <w:pStyle w:val="OrderBody"/>
              <w:tabs>
                <w:tab w:val="center" w:pos="4320"/>
                <w:tab w:val="right" w:pos="8640"/>
              </w:tabs>
              <w:jc w:val="left"/>
            </w:pPr>
            <w:r>
              <w:t xml:space="preserve">ISSUED: </w:t>
            </w:r>
            <w:r w:rsidR="00C2433A">
              <w:t>January 28, 2021</w:t>
            </w:r>
          </w:p>
        </w:tc>
      </w:tr>
    </w:tbl>
    <w:p w:rsidR="005304FD" w:rsidRDefault="005304FD" w:rsidP="005304FD"/>
    <w:p w:rsidR="005304FD" w:rsidRDefault="005304FD" w:rsidP="005304FD">
      <w:pPr>
        <w:pStyle w:val="CenterUnderline"/>
      </w:pPr>
      <w:r>
        <w:t>ORDER</w:t>
      </w:r>
      <w:bookmarkStart w:id="3" w:name="OrderTitle"/>
      <w:r>
        <w:t xml:space="preserve"> GRANTING JOINT MOTION FOR CONTINUANCE </w:t>
      </w:r>
      <w:bookmarkEnd w:id="3"/>
    </w:p>
    <w:p w:rsidR="005304FD" w:rsidRDefault="005304FD" w:rsidP="005304FD">
      <w:pPr>
        <w:pStyle w:val="CenterUnderline"/>
      </w:pPr>
    </w:p>
    <w:p w:rsidR="004B38EB" w:rsidRDefault="005304FD" w:rsidP="004B38EB">
      <w:pPr>
        <w:pStyle w:val="CenterUnderline"/>
        <w:jc w:val="both"/>
        <w:rPr>
          <w:u w:val="none"/>
        </w:rPr>
      </w:pPr>
      <w:r>
        <w:rPr>
          <w:u w:val="none"/>
        </w:rPr>
        <w:tab/>
      </w:r>
      <w:r w:rsidR="004B38EB">
        <w:rPr>
          <w:u w:val="none"/>
        </w:rPr>
        <w:t>On January 27, 2021, Florida Power &amp; Light Company (FPL) and the Office of Public Counsel (OPC), collectively referred to herein as the Joint Movants, filed a Joint Motion for Continuance of the Prehearing Conference Scheduled for February 1, 2021, and Final Hearing Scheduled for February 23-24, 2021, and to Hold Case in Abeyance (Joint Motion).  FPL and OPC are the only parties in this case at this time.</w:t>
      </w:r>
    </w:p>
    <w:p w:rsidR="004B38EB" w:rsidRDefault="004B38EB" w:rsidP="004B38EB">
      <w:pPr>
        <w:pStyle w:val="CenterUnderline"/>
        <w:jc w:val="both"/>
        <w:rPr>
          <w:u w:val="none"/>
        </w:rPr>
      </w:pPr>
    </w:p>
    <w:p w:rsidR="004B38EB" w:rsidRDefault="004B38EB" w:rsidP="004B38EB">
      <w:pPr>
        <w:pStyle w:val="CenterUnderline"/>
        <w:jc w:val="both"/>
        <w:rPr>
          <w:u w:val="none"/>
        </w:rPr>
      </w:pPr>
      <w:r>
        <w:rPr>
          <w:u w:val="none"/>
        </w:rPr>
        <w:tab/>
        <w:t>The Joint Movants state that they have engaged in settlement negotiations and have reached agreement on terms that will resolve all of the issues raised in this docket.  The terms and conditions of the proposed settlement have been reduced to writing and are contained on a Term Sheet which has been signed by OPC’s Deputy Public Counsel and FPL’s Vice President and General Counsel.  However, there are procedural issues which currently prevent the Joint Movants from executing a settlement agreement based on the Term Sheet for Commission consideration.  The Joint Movants expect that these procedural issues will be resolved by March 1, 2021, and that an executed settlement agreement will be filed with the Commission for approval shortly thereafter.</w:t>
      </w:r>
    </w:p>
    <w:p w:rsidR="004B38EB" w:rsidRDefault="004B38EB" w:rsidP="004B38EB">
      <w:pPr>
        <w:pStyle w:val="CenterUnderline"/>
        <w:jc w:val="both"/>
        <w:rPr>
          <w:u w:val="none"/>
        </w:rPr>
      </w:pPr>
    </w:p>
    <w:p w:rsidR="004B38EB" w:rsidRDefault="004B38EB" w:rsidP="004B38EB">
      <w:pPr>
        <w:pStyle w:val="CenterUnderline"/>
        <w:jc w:val="both"/>
        <w:rPr>
          <w:u w:val="none"/>
        </w:rPr>
      </w:pPr>
      <w:r>
        <w:rPr>
          <w:u w:val="none"/>
        </w:rPr>
        <w:tab/>
        <w:t>The Joint Movants aver that granting the Joint Motion will prevent the parties and Commission staff from engaging in unnecessary trial preparation.  They further argue that since FPL has not asked for Hurricane Dorian storm cost recovery through either the imposition of a storm surcharge or depletion of the storm reserve, there is no prejudice to FPL’s customers if the currently scheduled prehearing and hearing are cancelled and the case is abated until the expected settlement agreement is filed for consideration before the Commission.</w:t>
      </w:r>
    </w:p>
    <w:p w:rsidR="004B38EB" w:rsidRDefault="004B38EB" w:rsidP="004B38EB">
      <w:pPr>
        <w:pStyle w:val="CenterUnderline"/>
        <w:jc w:val="both"/>
        <w:rPr>
          <w:u w:val="none"/>
        </w:rPr>
      </w:pPr>
    </w:p>
    <w:p w:rsidR="004B38EB" w:rsidRDefault="004B38EB" w:rsidP="004B38EB">
      <w:pPr>
        <w:pStyle w:val="CenterUnderline"/>
        <w:jc w:val="both"/>
        <w:rPr>
          <w:u w:val="none"/>
        </w:rPr>
      </w:pPr>
      <w:r>
        <w:rPr>
          <w:u w:val="none"/>
        </w:rPr>
        <w:tab/>
        <w:t>Based on a review of the Joint Motion, the Joint Movants’ request to continue the currently scheduled prehearing and final hearing to dates hereafter to be determined and to hold in abeyance all other matters pertaining to this docket pending the execution and filing of a settlement agreement with the Commission is hereby deemed reasonable and reduces unnecessary and time-consuming litigation preparation by the parties and Commission staff.</w:t>
      </w:r>
    </w:p>
    <w:p w:rsidR="004B38EB" w:rsidRDefault="004B38EB" w:rsidP="004B38EB">
      <w:pPr>
        <w:pStyle w:val="CenterUnderline"/>
        <w:jc w:val="both"/>
        <w:rPr>
          <w:u w:val="none"/>
        </w:rPr>
      </w:pPr>
    </w:p>
    <w:p w:rsidR="004B38EB" w:rsidRDefault="004B38EB" w:rsidP="004B38EB">
      <w:pPr>
        <w:pStyle w:val="CenterUnderline"/>
        <w:ind w:firstLine="720"/>
        <w:jc w:val="both"/>
        <w:rPr>
          <w:u w:val="none"/>
        </w:rPr>
      </w:pPr>
      <w:r>
        <w:rPr>
          <w:u w:val="none"/>
        </w:rPr>
        <w:t>Therefore, it is</w:t>
      </w:r>
    </w:p>
    <w:p w:rsidR="004B38EB" w:rsidRDefault="004B38EB" w:rsidP="004B38EB">
      <w:pPr>
        <w:pStyle w:val="CenterUnderline"/>
        <w:jc w:val="both"/>
        <w:rPr>
          <w:u w:val="none"/>
        </w:rPr>
      </w:pPr>
    </w:p>
    <w:p w:rsidR="004B38EB" w:rsidRDefault="004B38EB" w:rsidP="004B38EB">
      <w:pPr>
        <w:pStyle w:val="CenterUnderline"/>
        <w:jc w:val="both"/>
        <w:rPr>
          <w:u w:val="none"/>
        </w:rPr>
      </w:pPr>
      <w:r>
        <w:rPr>
          <w:u w:val="none"/>
        </w:rPr>
        <w:tab/>
        <w:t>ORDERED by Julie I. Brown, as Prehearing Officer, that the Joint Motion for Continuance of the Prehearing Conference Scheduled for February 1, 2021, and Final Hearing Scheduled for February 23-24, 2021, and to Hold Case in Abeyance is hereby granted.  It is further</w:t>
      </w:r>
    </w:p>
    <w:p w:rsidR="004B38EB" w:rsidRDefault="004B38EB" w:rsidP="004B38EB">
      <w:pPr>
        <w:pStyle w:val="CenterUnderline"/>
        <w:jc w:val="both"/>
        <w:rPr>
          <w:u w:val="none"/>
        </w:rPr>
      </w:pPr>
    </w:p>
    <w:p w:rsidR="004B38EB" w:rsidRPr="003245D2" w:rsidRDefault="004B38EB" w:rsidP="003245D2">
      <w:pPr>
        <w:jc w:val="both"/>
      </w:pPr>
      <w:r>
        <w:lastRenderedPageBreak/>
        <w:tab/>
      </w:r>
      <w:r w:rsidRPr="003245D2">
        <w:t>ORDERED that the Prehearing Conference scheduled for February 1, 2021, and the February 23-24, 2021 final hearing are continued until a date to be determined.</w:t>
      </w:r>
      <w:r w:rsidR="003245D2" w:rsidRPr="003245D2">
        <w:t xml:space="preserve">  </w:t>
      </w:r>
      <w:r w:rsidRPr="003245D2">
        <w:t>It is further</w:t>
      </w:r>
    </w:p>
    <w:p w:rsidR="004B38EB" w:rsidRDefault="004B38EB" w:rsidP="004B38EB">
      <w:pPr>
        <w:pStyle w:val="CenterUnderline"/>
        <w:jc w:val="both"/>
        <w:rPr>
          <w:u w:val="none"/>
        </w:rPr>
      </w:pPr>
      <w:r>
        <w:rPr>
          <w:u w:val="none"/>
        </w:rPr>
        <w:tab/>
      </w:r>
    </w:p>
    <w:p w:rsidR="004B38EB" w:rsidRDefault="004B38EB" w:rsidP="004B38EB">
      <w:pPr>
        <w:pStyle w:val="CenterUnderline"/>
        <w:ind w:firstLine="720"/>
        <w:jc w:val="both"/>
        <w:rPr>
          <w:u w:val="none"/>
        </w:rPr>
      </w:pPr>
      <w:r>
        <w:rPr>
          <w:u w:val="none"/>
        </w:rPr>
        <w:t>ORDERED that all other matters pertaining to this docket are held in abeyance pending the execution and filing of a settlement agreement for Commission consideration.</w:t>
      </w:r>
    </w:p>
    <w:p w:rsidR="004B38EB" w:rsidRDefault="004B38EB">
      <w:pPr>
        <w:pStyle w:val="CenterUnderline"/>
        <w:keepNext/>
        <w:keepLines/>
        <w:jc w:val="both"/>
        <w:rPr>
          <w:u w:val="none"/>
        </w:rPr>
      </w:pPr>
    </w:p>
    <w:p w:rsidR="0057046C" w:rsidRDefault="0057046C" w:rsidP="0057046C">
      <w:pPr>
        <w:pStyle w:val="CenterUnderline"/>
        <w:keepNext/>
        <w:keepLines/>
        <w:jc w:val="both"/>
        <w:rPr>
          <w:u w:val="none"/>
        </w:rPr>
      </w:pPr>
      <w:r>
        <w:rPr>
          <w:u w:val="none"/>
        </w:rPr>
        <w:tab/>
        <w:t xml:space="preserve">By ORDER of Commissioner Julie I. Brown, as Prehearing Officer, this </w:t>
      </w:r>
      <w:bookmarkStart w:id="4" w:name="replaceDate"/>
      <w:bookmarkEnd w:id="4"/>
      <w:r w:rsidR="00C2433A">
        <w:t>28th</w:t>
      </w:r>
      <w:r w:rsidR="00C2433A">
        <w:rPr>
          <w:u w:val="none"/>
        </w:rPr>
        <w:t xml:space="preserve"> day of </w:t>
      </w:r>
      <w:r w:rsidR="00C2433A">
        <w:t>January</w:t>
      </w:r>
      <w:r w:rsidR="00C2433A">
        <w:rPr>
          <w:u w:val="none"/>
        </w:rPr>
        <w:t xml:space="preserve">, </w:t>
      </w:r>
      <w:r w:rsidR="00C2433A">
        <w:t>2021</w:t>
      </w:r>
      <w:r w:rsidR="00C2433A">
        <w:rPr>
          <w:u w:val="none"/>
        </w:rPr>
        <w:t>.</w:t>
      </w:r>
    </w:p>
    <w:p w:rsidR="00C2433A" w:rsidRDefault="00C2433A" w:rsidP="0057046C">
      <w:pPr>
        <w:pStyle w:val="CenterUnderline"/>
        <w:keepNext/>
        <w:keepLines/>
        <w:jc w:val="both"/>
        <w:rPr>
          <w:u w:val="none"/>
        </w:rPr>
      </w:pPr>
    </w:p>
    <w:p w:rsidR="00C2433A" w:rsidRPr="00C2433A" w:rsidRDefault="00C2433A" w:rsidP="0057046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7046C" w:rsidTr="0057046C">
        <w:tc>
          <w:tcPr>
            <w:tcW w:w="720" w:type="dxa"/>
            <w:shd w:val="clear" w:color="auto" w:fill="auto"/>
          </w:tcPr>
          <w:p w:rsidR="0057046C" w:rsidRDefault="0057046C" w:rsidP="0057046C">
            <w:pPr>
              <w:pStyle w:val="CenterUnderline"/>
              <w:keepNext/>
              <w:keepLines/>
              <w:jc w:val="both"/>
              <w:rPr>
                <w:u w:val="none"/>
              </w:rPr>
            </w:pPr>
            <w:bookmarkStart w:id="5" w:name="bkmrkSignature" w:colFirst="0" w:colLast="0"/>
          </w:p>
        </w:tc>
        <w:tc>
          <w:tcPr>
            <w:tcW w:w="4320" w:type="dxa"/>
            <w:tcBorders>
              <w:bottom w:val="single" w:sz="4" w:space="0" w:color="auto"/>
            </w:tcBorders>
            <w:shd w:val="clear" w:color="auto" w:fill="auto"/>
          </w:tcPr>
          <w:p w:rsidR="0057046C" w:rsidRDefault="00E6419D" w:rsidP="0057046C">
            <w:pPr>
              <w:pStyle w:val="CenterUnderline"/>
              <w:keepNext/>
              <w:keepLines/>
              <w:jc w:val="both"/>
              <w:rPr>
                <w:u w:val="none"/>
              </w:rPr>
            </w:pPr>
            <w:r>
              <w:rPr>
                <w:noProof/>
                <w:u w:val="none"/>
              </w:rPr>
              <w:t>/s/ Julie I. Brown</w:t>
            </w:r>
            <w:bookmarkStart w:id="6" w:name="_GoBack"/>
            <w:bookmarkEnd w:id="6"/>
          </w:p>
        </w:tc>
      </w:tr>
      <w:bookmarkEnd w:id="5"/>
      <w:tr w:rsidR="0057046C" w:rsidTr="0057046C">
        <w:tc>
          <w:tcPr>
            <w:tcW w:w="720" w:type="dxa"/>
            <w:shd w:val="clear" w:color="auto" w:fill="auto"/>
          </w:tcPr>
          <w:p w:rsidR="0057046C" w:rsidRDefault="0057046C" w:rsidP="0057046C">
            <w:pPr>
              <w:pStyle w:val="CenterUnderline"/>
              <w:keepNext/>
              <w:keepLines/>
              <w:jc w:val="both"/>
              <w:rPr>
                <w:u w:val="none"/>
              </w:rPr>
            </w:pPr>
          </w:p>
        </w:tc>
        <w:tc>
          <w:tcPr>
            <w:tcW w:w="4320" w:type="dxa"/>
            <w:tcBorders>
              <w:top w:val="single" w:sz="4" w:space="0" w:color="auto"/>
            </w:tcBorders>
            <w:shd w:val="clear" w:color="auto" w:fill="auto"/>
          </w:tcPr>
          <w:p w:rsidR="0057046C" w:rsidRDefault="0057046C" w:rsidP="0057046C">
            <w:pPr>
              <w:pStyle w:val="CenterUnderline"/>
              <w:keepNext/>
              <w:keepLines/>
              <w:jc w:val="both"/>
              <w:rPr>
                <w:u w:val="none"/>
              </w:rPr>
            </w:pPr>
            <w:r>
              <w:rPr>
                <w:u w:val="none"/>
              </w:rPr>
              <w:t>JULIE I. BROWN</w:t>
            </w:r>
          </w:p>
          <w:p w:rsidR="0057046C" w:rsidRDefault="0057046C" w:rsidP="0057046C">
            <w:pPr>
              <w:pStyle w:val="CenterUnderline"/>
              <w:keepNext/>
              <w:keepLines/>
              <w:jc w:val="both"/>
              <w:rPr>
                <w:u w:val="none"/>
              </w:rPr>
            </w:pPr>
            <w:r>
              <w:rPr>
                <w:u w:val="none"/>
              </w:rPr>
              <w:t>Commissioner and Prehearing Officer</w:t>
            </w:r>
          </w:p>
        </w:tc>
      </w:tr>
    </w:tbl>
    <w:p w:rsidR="0057046C" w:rsidRDefault="0057046C" w:rsidP="0057046C">
      <w:pPr>
        <w:pStyle w:val="OrderSigInfo"/>
        <w:keepNext/>
        <w:keepLines/>
      </w:pPr>
      <w:r>
        <w:t>Florida Public Service Commission</w:t>
      </w:r>
    </w:p>
    <w:p w:rsidR="0057046C" w:rsidRDefault="0057046C" w:rsidP="0057046C">
      <w:pPr>
        <w:pStyle w:val="OrderSigInfo"/>
        <w:keepNext/>
        <w:keepLines/>
      </w:pPr>
      <w:r>
        <w:t>2540 Shumard Oak Boulevard</w:t>
      </w:r>
    </w:p>
    <w:p w:rsidR="0057046C" w:rsidRDefault="0057046C" w:rsidP="0057046C">
      <w:pPr>
        <w:pStyle w:val="OrderSigInfo"/>
        <w:keepNext/>
        <w:keepLines/>
      </w:pPr>
      <w:r>
        <w:t>Tallahassee, Florida 32399</w:t>
      </w:r>
    </w:p>
    <w:p w:rsidR="0057046C" w:rsidRDefault="0057046C" w:rsidP="0057046C">
      <w:pPr>
        <w:pStyle w:val="OrderSigInfo"/>
        <w:keepNext/>
        <w:keepLines/>
      </w:pPr>
      <w:r>
        <w:t>(850) 413</w:t>
      </w:r>
      <w:r>
        <w:noBreakHyphen/>
        <w:t>6770</w:t>
      </w:r>
    </w:p>
    <w:p w:rsidR="0057046C" w:rsidRDefault="0057046C" w:rsidP="0057046C">
      <w:pPr>
        <w:pStyle w:val="OrderSigInfo"/>
        <w:keepNext/>
        <w:keepLines/>
      </w:pPr>
      <w:r>
        <w:t>www.floridapsc.com</w:t>
      </w:r>
    </w:p>
    <w:p w:rsidR="0057046C" w:rsidRDefault="0057046C" w:rsidP="0057046C">
      <w:pPr>
        <w:pStyle w:val="OrderSigInfo"/>
        <w:keepNext/>
        <w:keepLines/>
      </w:pPr>
    </w:p>
    <w:p w:rsidR="0057046C" w:rsidRDefault="0057046C" w:rsidP="0057046C">
      <w:pPr>
        <w:pStyle w:val="OrderSigInfo"/>
        <w:keepNext/>
        <w:keepLines/>
      </w:pPr>
      <w:r>
        <w:t>Copies furnished:  A copy of this document is provided to the parties of record at the time of issuance and, if applicable, interested persons.</w:t>
      </w:r>
    </w:p>
    <w:p w:rsidR="0057046C" w:rsidRDefault="0057046C" w:rsidP="0057046C">
      <w:pPr>
        <w:pStyle w:val="OrderBody"/>
      </w:pPr>
    </w:p>
    <w:p w:rsidR="0057046C" w:rsidRDefault="0057046C" w:rsidP="0057046C">
      <w:pPr>
        <w:pStyle w:val="OrderBody"/>
      </w:pPr>
      <w:r>
        <w:t>SBr</w:t>
      </w:r>
    </w:p>
    <w:p w:rsidR="00227E9A" w:rsidRDefault="00227E9A" w:rsidP="00227E9A">
      <w:pPr>
        <w:pStyle w:val="CenterUnderline"/>
        <w:ind w:left="720" w:firstLine="720"/>
        <w:jc w:val="left"/>
        <w:rPr>
          <w:u w:val="none"/>
        </w:rPr>
      </w:pPr>
    </w:p>
    <w:p w:rsidR="00227E9A" w:rsidRDefault="00227E9A" w:rsidP="00227E9A">
      <w:pPr>
        <w:pStyle w:val="CenterUnderline"/>
        <w:ind w:left="720" w:firstLine="720"/>
        <w:jc w:val="left"/>
        <w:rPr>
          <w:u w:val="none"/>
        </w:rPr>
      </w:pPr>
    </w:p>
    <w:p w:rsidR="0057046C" w:rsidRDefault="0057046C" w:rsidP="00227E9A">
      <w:pPr>
        <w:pStyle w:val="CenterUnderline"/>
        <w:ind w:left="720" w:firstLine="720"/>
        <w:jc w:val="left"/>
      </w:pPr>
      <w:r>
        <w:t>NOTICE OF FURTHER PROCEEDINGS OR JUDICIAL REVIEW</w:t>
      </w:r>
    </w:p>
    <w:p w:rsidR="0057046C" w:rsidRDefault="0057046C" w:rsidP="0057046C">
      <w:pPr>
        <w:pStyle w:val="CenterUnderline"/>
      </w:pPr>
    </w:p>
    <w:p w:rsidR="0057046C" w:rsidRDefault="0057046C" w:rsidP="005704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046C" w:rsidRDefault="0057046C" w:rsidP="0057046C">
      <w:pPr>
        <w:pStyle w:val="OrderBody"/>
      </w:pPr>
    </w:p>
    <w:p w:rsidR="0057046C" w:rsidRDefault="0057046C" w:rsidP="0057046C">
      <w:pPr>
        <w:pStyle w:val="OrderBody"/>
      </w:pPr>
      <w:r>
        <w:tab/>
        <w:t>Mediation may be available on a case-by-case basis.  If mediation is conducted, it does not affect a substantially interested person's right to a hearing.</w:t>
      </w:r>
    </w:p>
    <w:p w:rsidR="0057046C" w:rsidRDefault="0057046C" w:rsidP="0057046C">
      <w:pPr>
        <w:pStyle w:val="OrderBody"/>
      </w:pPr>
    </w:p>
    <w:p w:rsidR="0057046C" w:rsidRDefault="0057046C" w:rsidP="0057046C">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57046C" w:rsidRDefault="0057046C" w:rsidP="0057046C">
      <w:pPr>
        <w:pStyle w:val="OrderBody"/>
      </w:pPr>
    </w:p>
    <w:p w:rsidR="0057046C" w:rsidRDefault="0057046C" w:rsidP="0057046C">
      <w:pPr>
        <w:pStyle w:val="OrderBody"/>
      </w:pPr>
    </w:p>
    <w:p w:rsidR="0057046C" w:rsidRPr="0057046C" w:rsidRDefault="0057046C" w:rsidP="0057046C">
      <w:pPr>
        <w:pStyle w:val="OrderBody"/>
      </w:pPr>
    </w:p>
    <w:sectPr w:rsidR="0057046C" w:rsidRPr="0057046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4FD" w:rsidRDefault="005304FD">
      <w:r>
        <w:separator/>
      </w:r>
    </w:p>
  </w:endnote>
  <w:endnote w:type="continuationSeparator" w:id="0">
    <w:p w:rsidR="005304FD" w:rsidRDefault="0053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4FD" w:rsidRDefault="005304FD">
      <w:r>
        <w:separator/>
      </w:r>
    </w:p>
  </w:footnote>
  <w:footnote w:type="continuationSeparator" w:id="0">
    <w:p w:rsidR="005304FD" w:rsidRDefault="00530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0 ">
      <w:r w:rsidR="00E6419D">
        <w:t>PSC-2021-0060-PCO-EI</w:t>
      </w:r>
    </w:fldSimple>
  </w:p>
  <w:p w:rsidR="00FA6EFD" w:rsidRDefault="005304FD">
    <w:pPr>
      <w:pStyle w:val="OrderHeader"/>
    </w:pPr>
    <w:bookmarkStart w:id="7" w:name="HeaderDocketNo"/>
    <w:bookmarkEnd w:id="7"/>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6419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5304FD"/>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05BC"/>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27E9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45D2"/>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A5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8EB"/>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04FD"/>
    <w:rsid w:val="00540E6B"/>
    <w:rsid w:val="0055595D"/>
    <w:rsid w:val="00556A10"/>
    <w:rsid w:val="00557F50"/>
    <w:rsid w:val="0056213E"/>
    <w:rsid w:val="0057046C"/>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0EE1"/>
    <w:rsid w:val="009F6AD2"/>
    <w:rsid w:val="009F7C1B"/>
    <w:rsid w:val="00A00D8D"/>
    <w:rsid w:val="00A01BB6"/>
    <w:rsid w:val="00A217E4"/>
    <w:rsid w:val="00A22B28"/>
    <w:rsid w:val="00A4303C"/>
    <w:rsid w:val="00A46CAF"/>
    <w:rsid w:val="00A470FD"/>
    <w:rsid w:val="00A50B5E"/>
    <w:rsid w:val="00A62DAB"/>
    <w:rsid w:val="00A6757A"/>
    <w:rsid w:val="00A726A6"/>
    <w:rsid w:val="00A74842"/>
    <w:rsid w:val="00A9213F"/>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4536"/>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2433A"/>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0F52"/>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2F87"/>
    <w:rsid w:val="00DC1D94"/>
    <w:rsid w:val="00DC2B84"/>
    <w:rsid w:val="00DC42CF"/>
    <w:rsid w:val="00DE057F"/>
    <w:rsid w:val="00DE2082"/>
    <w:rsid w:val="00DE2289"/>
    <w:rsid w:val="00DF09A7"/>
    <w:rsid w:val="00DF2B51"/>
    <w:rsid w:val="00E001D6"/>
    <w:rsid w:val="00E03A76"/>
    <w:rsid w:val="00E04410"/>
    <w:rsid w:val="00E07484"/>
    <w:rsid w:val="00E11351"/>
    <w:rsid w:val="00E4225C"/>
    <w:rsid w:val="00E44879"/>
    <w:rsid w:val="00E6419D"/>
    <w:rsid w:val="00E71D18"/>
    <w:rsid w:val="00E72914"/>
    <w:rsid w:val="00E75AE0"/>
    <w:rsid w:val="00E83C1F"/>
    <w:rsid w:val="00E85684"/>
    <w:rsid w:val="00E8794B"/>
    <w:rsid w:val="00E97656"/>
    <w:rsid w:val="00EA172C"/>
    <w:rsid w:val="00EA259B"/>
    <w:rsid w:val="00EA35A3"/>
    <w:rsid w:val="00EA3E6A"/>
    <w:rsid w:val="00EB18EF"/>
    <w:rsid w:val="00EB262D"/>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83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2433A"/>
    <w:rPr>
      <w:rFonts w:ascii="Segoe UI" w:hAnsi="Segoe UI" w:cs="Segoe UI"/>
      <w:sz w:val="18"/>
      <w:szCs w:val="18"/>
    </w:rPr>
  </w:style>
  <w:style w:type="character" w:customStyle="1" w:styleId="BalloonTextChar">
    <w:name w:val="Balloon Text Char"/>
    <w:basedOn w:val="DefaultParagraphFont"/>
    <w:link w:val="BalloonText"/>
    <w:semiHidden/>
    <w:rsid w:val="00C24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2021-01-28T15:50:00Z</dcterms:created>
  <dcterms:modified xsi:type="dcterms:W3CDTF">2021-01-28T17:44:00Z</dcterms:modified>
</cp:coreProperties>
</file>