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27F23" w14:textId="554E051F" w:rsidR="00CB5276" w:rsidRDefault="00AE33EE" w:rsidP="00B62AA8">
      <w:pPr>
        <w:pStyle w:val="OrderHeading"/>
      </w:pPr>
      <w:r>
        <w:t xml:space="preserve"> </w:t>
      </w:r>
      <w:r w:rsidR="00B62AA8">
        <w:t>BEFORE THE FLORIDA PUBLIC SERVICE COMMISSION</w:t>
      </w:r>
    </w:p>
    <w:p w14:paraId="34940C80" w14:textId="77777777" w:rsidR="00B62AA8" w:rsidRDefault="00B62AA8" w:rsidP="00B62AA8">
      <w:pPr>
        <w:pStyle w:val="OrderBody"/>
      </w:pPr>
    </w:p>
    <w:p w14:paraId="2EB0597A" w14:textId="77777777" w:rsidR="00B62AA8" w:rsidRDefault="00B62AA8" w:rsidP="00B62AA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62AA8" w:rsidRPr="00C63FCF" w14:paraId="688ED843" w14:textId="77777777" w:rsidTr="00C63FCF">
        <w:trPr>
          <w:trHeight w:val="828"/>
        </w:trPr>
        <w:tc>
          <w:tcPr>
            <w:tcW w:w="4788" w:type="dxa"/>
            <w:tcBorders>
              <w:bottom w:val="single" w:sz="8" w:space="0" w:color="auto"/>
              <w:right w:val="double" w:sz="6" w:space="0" w:color="auto"/>
            </w:tcBorders>
            <w:shd w:val="clear" w:color="auto" w:fill="auto"/>
          </w:tcPr>
          <w:p w14:paraId="2EE53F9F" w14:textId="77777777" w:rsidR="000E18E3" w:rsidRDefault="00B62AA8" w:rsidP="000E18E3">
            <w:pPr>
              <w:pStyle w:val="OrderBody"/>
              <w:tabs>
                <w:tab w:val="center" w:pos="4320"/>
                <w:tab w:val="right" w:pos="8640"/>
              </w:tabs>
              <w:jc w:val="left"/>
            </w:pPr>
            <w:r>
              <w:t xml:space="preserve">In re: </w:t>
            </w:r>
            <w:bookmarkStart w:id="0" w:name="SSInRe"/>
            <w:bookmarkEnd w:id="0"/>
            <w:r>
              <w:t xml:space="preserve">Petition for limited proceeding </w:t>
            </w:r>
            <w:r w:rsidR="000E18E3">
              <w:t>for recovery of incremental storm restoration costs related to Hurricane Michael and approval of second implementation stipulation, by Duke Energy Florida, LLC.</w:t>
            </w:r>
          </w:p>
          <w:p w14:paraId="4A82BB2F" w14:textId="77777777" w:rsidR="00B62AA8" w:rsidRDefault="00B62AA8" w:rsidP="00C63FCF">
            <w:pPr>
              <w:pStyle w:val="OrderBody"/>
              <w:tabs>
                <w:tab w:val="center" w:pos="4320"/>
                <w:tab w:val="right" w:pos="8640"/>
              </w:tabs>
              <w:jc w:val="left"/>
            </w:pPr>
          </w:p>
          <w:p w14:paraId="799F1C16" w14:textId="58444E1B" w:rsidR="000E18E3" w:rsidRDefault="00AD5F46" w:rsidP="00C63FCF">
            <w:pPr>
              <w:pStyle w:val="OrderBody"/>
              <w:tabs>
                <w:tab w:val="center" w:pos="4320"/>
                <w:tab w:val="right" w:pos="8640"/>
              </w:tabs>
              <w:jc w:val="left"/>
            </w:pPr>
            <w:r>
              <w:t>In re: Petition for limited proceeding for recovery of incremental storm restoration costs related to Hurricane Dorian and Tropical Storm Nestor, by Duke Energy Florida, LLC.</w:t>
            </w:r>
          </w:p>
          <w:p w14:paraId="4F755892" w14:textId="7B302D7E" w:rsidR="00AD5F46" w:rsidRDefault="00AD5F46" w:rsidP="00C63FCF">
            <w:pPr>
              <w:pStyle w:val="OrderBody"/>
              <w:tabs>
                <w:tab w:val="center" w:pos="4320"/>
                <w:tab w:val="right" w:pos="8640"/>
              </w:tabs>
              <w:jc w:val="left"/>
            </w:pPr>
          </w:p>
          <w:p w14:paraId="3E656208" w14:textId="2B63CD03" w:rsidR="000E18E3" w:rsidRDefault="00AD5F46" w:rsidP="00C63FCF">
            <w:pPr>
              <w:pStyle w:val="OrderBody"/>
              <w:tabs>
                <w:tab w:val="center" w:pos="4320"/>
                <w:tab w:val="right" w:pos="8640"/>
              </w:tabs>
              <w:jc w:val="left"/>
            </w:pPr>
            <w:r>
              <w:t>In re: Petition for limited proceeding to approve 2021 settlement agreement, including general base rate increases, by Duke Energy Florida, LLC.</w:t>
            </w:r>
          </w:p>
        </w:tc>
        <w:tc>
          <w:tcPr>
            <w:tcW w:w="4788" w:type="dxa"/>
            <w:tcBorders>
              <w:left w:val="double" w:sz="6" w:space="0" w:color="auto"/>
            </w:tcBorders>
            <w:shd w:val="clear" w:color="auto" w:fill="auto"/>
          </w:tcPr>
          <w:p w14:paraId="526E9609" w14:textId="1D9F32DF" w:rsidR="00B62AA8" w:rsidRDefault="00B62AA8" w:rsidP="00B62AA8">
            <w:pPr>
              <w:pStyle w:val="OrderBody"/>
            </w:pPr>
            <w:r>
              <w:t xml:space="preserve">DOCKET NO. </w:t>
            </w:r>
            <w:bookmarkStart w:id="1" w:name="SSDocketNo"/>
            <w:bookmarkEnd w:id="1"/>
            <w:r>
              <w:t>20</w:t>
            </w:r>
            <w:r w:rsidR="00AD5F46">
              <w:t>190110</w:t>
            </w:r>
            <w:r>
              <w:t>-EI</w:t>
            </w:r>
          </w:p>
          <w:p w14:paraId="7F6F4749" w14:textId="02AE1046" w:rsidR="00AD5F46" w:rsidRDefault="00AD5F46" w:rsidP="00B62AA8">
            <w:pPr>
              <w:pStyle w:val="OrderBody"/>
            </w:pPr>
          </w:p>
          <w:p w14:paraId="4D11C26D" w14:textId="77777777" w:rsidR="00AD5F46" w:rsidRDefault="00AD5F46" w:rsidP="00B62AA8">
            <w:pPr>
              <w:pStyle w:val="OrderBody"/>
            </w:pPr>
          </w:p>
          <w:p w14:paraId="28752CFF" w14:textId="77777777" w:rsidR="00AD5F46" w:rsidRDefault="00AD5F46" w:rsidP="00B62AA8">
            <w:pPr>
              <w:pStyle w:val="OrderBody"/>
            </w:pPr>
          </w:p>
          <w:p w14:paraId="29008795" w14:textId="77777777" w:rsidR="00AD5F46" w:rsidRDefault="00AD5F46" w:rsidP="00B62AA8">
            <w:pPr>
              <w:pStyle w:val="OrderBody"/>
            </w:pPr>
          </w:p>
          <w:p w14:paraId="7B6C2E67" w14:textId="77777777" w:rsidR="00AD5F46" w:rsidRDefault="00AD5F46" w:rsidP="00B62AA8">
            <w:pPr>
              <w:pStyle w:val="OrderBody"/>
            </w:pPr>
          </w:p>
          <w:p w14:paraId="6AB2F943" w14:textId="5777B056" w:rsidR="00AD5F46" w:rsidRDefault="00AD5F46" w:rsidP="00B62AA8">
            <w:pPr>
              <w:pStyle w:val="OrderBody"/>
            </w:pPr>
            <w:r>
              <w:t>DOCKET NO 20190222-EI</w:t>
            </w:r>
          </w:p>
          <w:p w14:paraId="09485C31" w14:textId="38058344" w:rsidR="00AD5F46" w:rsidRDefault="00AD5F46" w:rsidP="00B62AA8">
            <w:pPr>
              <w:pStyle w:val="OrderBody"/>
            </w:pPr>
          </w:p>
          <w:p w14:paraId="35371612" w14:textId="77777777" w:rsidR="00AD5F46" w:rsidRDefault="00AD5F46" w:rsidP="00B62AA8">
            <w:pPr>
              <w:pStyle w:val="OrderBody"/>
            </w:pPr>
          </w:p>
          <w:p w14:paraId="17FF8B57" w14:textId="77777777" w:rsidR="00AD5F46" w:rsidRDefault="00AD5F46" w:rsidP="00B62AA8">
            <w:pPr>
              <w:pStyle w:val="OrderBody"/>
            </w:pPr>
          </w:p>
          <w:p w14:paraId="7EE83EB3" w14:textId="77777777" w:rsidR="00AD5F46" w:rsidRDefault="00AD5F46" w:rsidP="00B62AA8">
            <w:pPr>
              <w:pStyle w:val="OrderBody"/>
            </w:pPr>
          </w:p>
          <w:p w14:paraId="2D3650A5" w14:textId="0777F0C0" w:rsidR="00AD5F46" w:rsidRDefault="00AD5F46" w:rsidP="00B62AA8">
            <w:pPr>
              <w:pStyle w:val="OrderBody"/>
            </w:pPr>
            <w:r>
              <w:t>DOCKET NO 20210016-EI</w:t>
            </w:r>
          </w:p>
          <w:p w14:paraId="777EBBE5" w14:textId="4571A2B4" w:rsidR="00B62AA8" w:rsidRDefault="00B62AA8" w:rsidP="00C63FCF">
            <w:pPr>
              <w:pStyle w:val="OrderBody"/>
              <w:tabs>
                <w:tab w:val="center" w:pos="4320"/>
                <w:tab w:val="right" w:pos="8640"/>
              </w:tabs>
              <w:jc w:val="left"/>
            </w:pPr>
            <w:r>
              <w:t xml:space="preserve">ORDER NO. </w:t>
            </w:r>
            <w:bookmarkStart w:id="2" w:name="OrderNo0126"/>
            <w:r w:rsidR="00F10A26">
              <w:t>PSC-2021-0126-PCO-EI</w:t>
            </w:r>
            <w:bookmarkEnd w:id="2"/>
          </w:p>
          <w:p w14:paraId="53FB3E38" w14:textId="337BBD1E" w:rsidR="00B62AA8" w:rsidRDefault="00B62AA8" w:rsidP="00C63FCF">
            <w:pPr>
              <w:pStyle w:val="OrderBody"/>
              <w:tabs>
                <w:tab w:val="center" w:pos="4320"/>
                <w:tab w:val="right" w:pos="8640"/>
              </w:tabs>
              <w:jc w:val="left"/>
            </w:pPr>
            <w:r>
              <w:t xml:space="preserve">ISSUED: </w:t>
            </w:r>
            <w:r w:rsidR="00F10A26">
              <w:t>April 12, 2021</w:t>
            </w:r>
          </w:p>
        </w:tc>
      </w:tr>
    </w:tbl>
    <w:p w14:paraId="4B0B6E16" w14:textId="77777777" w:rsidR="00B62AA8" w:rsidRDefault="00B62AA8" w:rsidP="00B62AA8"/>
    <w:p w14:paraId="108B237A" w14:textId="77777777" w:rsidR="00B62AA8" w:rsidRDefault="00B62AA8" w:rsidP="00B62AA8"/>
    <w:p w14:paraId="44DCBEDC" w14:textId="77777777" w:rsidR="00CB5276" w:rsidRDefault="00B62AA8" w:rsidP="00B62AA8">
      <w:pPr>
        <w:pStyle w:val="CenterUnderline"/>
      </w:pPr>
      <w:bookmarkStart w:id="3" w:name="Commissioners"/>
      <w:bookmarkEnd w:id="3"/>
      <w:r>
        <w:t>ORDER</w:t>
      </w:r>
      <w:bookmarkStart w:id="4" w:name="OrderTitle"/>
      <w:r>
        <w:t xml:space="preserve"> DENYING CHARGEPOINT, INC.’S PETITION TO INTERVENE </w:t>
      </w:r>
      <w:bookmarkEnd w:id="4"/>
    </w:p>
    <w:p w14:paraId="6392D8F5" w14:textId="77777777" w:rsidR="00B62AA8" w:rsidRDefault="00B62AA8" w:rsidP="00B62AA8">
      <w:pPr>
        <w:pStyle w:val="OrderBody"/>
      </w:pPr>
    </w:p>
    <w:p w14:paraId="139A2372" w14:textId="57E0965D" w:rsidR="00CB5276" w:rsidRPr="004B006D" w:rsidRDefault="001272CE" w:rsidP="005002F0">
      <w:pPr>
        <w:autoSpaceDE w:val="0"/>
        <w:autoSpaceDN w:val="0"/>
        <w:adjustRightInd w:val="0"/>
        <w:jc w:val="both"/>
      </w:pPr>
      <w:bookmarkStart w:id="5" w:name="OrderText"/>
      <w:bookmarkEnd w:id="5"/>
      <w:r>
        <w:tab/>
      </w:r>
      <w:r w:rsidRPr="004B006D">
        <w:t>On January 14, 2021, Duke Energy Florida, LLC (DEF) filed a Petition for Limited Proceeding asking th</w:t>
      </w:r>
      <w:r w:rsidR="00966522">
        <w:t>is</w:t>
      </w:r>
      <w:r w:rsidRPr="004B006D">
        <w:t xml:space="preserve"> Commission to approv</w:t>
      </w:r>
      <w:r w:rsidR="00C6311B">
        <w:t>e the 2021 Settlement Agreement</w:t>
      </w:r>
      <w:r w:rsidRPr="004B006D">
        <w:t xml:space="preserve"> </w:t>
      </w:r>
      <w:r w:rsidR="00787C7B" w:rsidRPr="00787C7B">
        <w:t>between DEF, the Office of Public Counsel (OPC), the Florida Industrial Power Uses Group (</w:t>
      </w:r>
      <w:r w:rsidR="00101603">
        <w:t>F</w:t>
      </w:r>
      <w:r w:rsidR="00787C7B" w:rsidRPr="00787C7B">
        <w:t>IPUG), White Springs Agricultural Chemicals, Inc. d/b/a PCS Phosphate (</w:t>
      </w:r>
      <w:r w:rsidR="004155DC">
        <w:t>PCS Phosphate)</w:t>
      </w:r>
      <w:r w:rsidR="00435613">
        <w:t>,</w:t>
      </w:r>
      <w:r w:rsidR="00787C7B" w:rsidRPr="00787C7B">
        <w:t xml:space="preserve"> and Nucor Steel Florida, Inc. (</w:t>
      </w:r>
      <w:r w:rsidR="004155DC">
        <w:t>NUCOR)</w:t>
      </w:r>
      <w:r w:rsidR="00787C7B" w:rsidRPr="00787C7B">
        <w:t xml:space="preserve"> (collectively, </w:t>
      </w:r>
      <w:r w:rsidR="00101603">
        <w:t>Signatories</w:t>
      </w:r>
      <w:r w:rsidR="00787C7B" w:rsidRPr="00787C7B">
        <w:t>)</w:t>
      </w:r>
      <w:r w:rsidR="004155DC">
        <w:t xml:space="preserve">. The 2021 Settlement Agreement includes </w:t>
      </w:r>
      <w:r w:rsidR="00EB2DCE">
        <w:t>g</w:t>
      </w:r>
      <w:r w:rsidRPr="004B006D">
        <w:t xml:space="preserve">eneral </w:t>
      </w:r>
      <w:r w:rsidR="00EB2DCE">
        <w:t>b</w:t>
      </w:r>
      <w:r w:rsidRPr="004B006D">
        <w:t xml:space="preserve">ase </w:t>
      </w:r>
      <w:r w:rsidR="00EB2DCE">
        <w:t>r</w:t>
      </w:r>
      <w:r w:rsidRPr="004B006D">
        <w:t xml:space="preserve">ate </w:t>
      </w:r>
      <w:r w:rsidR="00EB2DCE">
        <w:t>i</w:t>
      </w:r>
      <w:r w:rsidRPr="004B006D">
        <w:t>ncreases</w:t>
      </w:r>
      <w:r w:rsidR="00EB2DCE">
        <w:t xml:space="preserve">, </w:t>
      </w:r>
      <w:r w:rsidR="005002F0" w:rsidRPr="004B006D">
        <w:t xml:space="preserve">resolves  all  issues  in  </w:t>
      </w:r>
      <w:r w:rsidR="00EB2DCE">
        <w:t>Docket Nos. 2019011</w:t>
      </w:r>
      <w:r w:rsidR="007C5FAC">
        <w:t>0</w:t>
      </w:r>
      <w:r w:rsidR="00EB2DCE">
        <w:t>-EI and 20190222-EI</w:t>
      </w:r>
      <w:r w:rsidR="005002F0" w:rsidRPr="004B006D">
        <w:t>, clarifies  certain  cost  allocation  and  rate  design</w:t>
      </w:r>
      <w:r w:rsidR="00787C7B">
        <w:t xml:space="preserve"> </w:t>
      </w:r>
      <w:r w:rsidR="005002F0" w:rsidRPr="004B006D">
        <w:t>matters pertaining to DEF’s Storm Protection Plan Cost Recovery Clause</w:t>
      </w:r>
      <w:r w:rsidR="00787C7B">
        <w:t>,</w:t>
      </w:r>
      <w:r w:rsidR="005002F0" w:rsidRPr="004B006D">
        <w:t xml:space="preserve">  and  </w:t>
      </w:r>
      <w:r w:rsidR="00EB2DCE">
        <w:t>authorizes a new</w:t>
      </w:r>
      <w:r w:rsidR="00EB2DCE" w:rsidRPr="004B006D">
        <w:t xml:space="preserve"> </w:t>
      </w:r>
      <w:r w:rsidR="005002F0" w:rsidRPr="004B006D">
        <w:t>EV Program.</w:t>
      </w:r>
      <w:r w:rsidR="00787C7B">
        <w:t xml:space="preserve"> </w:t>
      </w:r>
    </w:p>
    <w:p w14:paraId="1B4E8A3C" w14:textId="77777777" w:rsidR="006E21C4" w:rsidRPr="004B006D" w:rsidRDefault="006E21C4" w:rsidP="001272CE">
      <w:pPr>
        <w:jc w:val="both"/>
      </w:pPr>
    </w:p>
    <w:p w14:paraId="170C2F4E" w14:textId="6FB83681" w:rsidR="005D0FBC" w:rsidRDefault="005002F0" w:rsidP="005D0FBC">
      <w:pPr>
        <w:ind w:firstLine="720"/>
        <w:jc w:val="both"/>
      </w:pPr>
      <w:r w:rsidRPr="005002F0">
        <w:t>As</w:t>
      </w:r>
      <w:r w:rsidRPr="005002F0">
        <w:rPr>
          <w:spacing w:val="37"/>
        </w:rPr>
        <w:t xml:space="preserve"> </w:t>
      </w:r>
      <w:r w:rsidRPr="005002F0">
        <w:t>a</w:t>
      </w:r>
      <w:r w:rsidRPr="005002F0">
        <w:rPr>
          <w:spacing w:val="38"/>
        </w:rPr>
        <w:t xml:space="preserve"> </w:t>
      </w:r>
      <w:r w:rsidR="00E21BE6">
        <w:t>resul</w:t>
      </w:r>
      <w:r w:rsidR="00E21BE6">
        <w:rPr>
          <w:spacing w:val="38"/>
        </w:rPr>
        <w:t xml:space="preserve">t of the </w:t>
      </w:r>
      <w:r w:rsidRPr="005002F0">
        <w:t>approval</w:t>
      </w:r>
      <w:r w:rsidRPr="005002F0">
        <w:rPr>
          <w:spacing w:val="38"/>
        </w:rPr>
        <w:t xml:space="preserve"> </w:t>
      </w:r>
      <w:r w:rsidRPr="005002F0">
        <w:t>of</w:t>
      </w:r>
      <w:r w:rsidRPr="005002F0">
        <w:rPr>
          <w:spacing w:val="38"/>
        </w:rPr>
        <w:t xml:space="preserve"> </w:t>
      </w:r>
      <w:r w:rsidRPr="005002F0">
        <w:t>the</w:t>
      </w:r>
      <w:r w:rsidRPr="005002F0">
        <w:rPr>
          <w:spacing w:val="39"/>
        </w:rPr>
        <w:t xml:space="preserve"> </w:t>
      </w:r>
      <w:r w:rsidRPr="005002F0">
        <w:t>2017</w:t>
      </w:r>
      <w:r w:rsidRPr="005002F0">
        <w:rPr>
          <w:spacing w:val="38"/>
        </w:rPr>
        <w:t xml:space="preserve"> </w:t>
      </w:r>
      <w:r w:rsidRPr="005002F0">
        <w:t>Second</w:t>
      </w:r>
      <w:r w:rsidRPr="005002F0">
        <w:rPr>
          <w:spacing w:val="37"/>
        </w:rPr>
        <w:t xml:space="preserve"> </w:t>
      </w:r>
      <w:r w:rsidRPr="005002F0">
        <w:t>Revised</w:t>
      </w:r>
      <w:r w:rsidRPr="005002F0">
        <w:rPr>
          <w:spacing w:val="39"/>
        </w:rPr>
        <w:t xml:space="preserve"> </w:t>
      </w:r>
      <w:r w:rsidRPr="005002F0">
        <w:t>and</w:t>
      </w:r>
      <w:r w:rsidRPr="005002F0">
        <w:rPr>
          <w:spacing w:val="38"/>
        </w:rPr>
        <w:t xml:space="preserve"> </w:t>
      </w:r>
      <w:r w:rsidRPr="005002F0">
        <w:t>Restated</w:t>
      </w:r>
      <w:r w:rsidRPr="005002F0">
        <w:rPr>
          <w:spacing w:val="37"/>
        </w:rPr>
        <w:t xml:space="preserve"> </w:t>
      </w:r>
      <w:r w:rsidRPr="005002F0">
        <w:t>Settlement Agreement</w:t>
      </w:r>
      <w:r w:rsidR="00622A1C">
        <w:t xml:space="preserve"> </w:t>
      </w:r>
      <w:r w:rsidRPr="005002F0">
        <w:t>(2017</w:t>
      </w:r>
      <w:r w:rsidRPr="005002F0">
        <w:rPr>
          <w:spacing w:val="54"/>
        </w:rPr>
        <w:t xml:space="preserve"> </w:t>
      </w:r>
      <w:r w:rsidRPr="005002F0">
        <w:t>Settlement</w:t>
      </w:r>
      <w:r w:rsidRPr="005002F0">
        <w:rPr>
          <w:spacing w:val="54"/>
        </w:rPr>
        <w:t xml:space="preserve"> </w:t>
      </w:r>
      <w:r w:rsidRPr="005002F0">
        <w:t>Agreement)</w:t>
      </w:r>
      <w:r w:rsidR="004F784B" w:rsidRPr="004F784B">
        <w:t xml:space="preserve"> </w:t>
      </w:r>
      <w:r w:rsidR="004F784B" w:rsidRPr="005002F0">
        <w:t>by</w:t>
      </w:r>
      <w:r w:rsidR="004F784B" w:rsidRPr="005002F0">
        <w:rPr>
          <w:spacing w:val="44"/>
        </w:rPr>
        <w:t xml:space="preserve"> </w:t>
      </w:r>
      <w:r w:rsidR="004F784B" w:rsidRPr="005002F0">
        <w:t>Order</w:t>
      </w:r>
      <w:r w:rsidR="004F784B">
        <w:t xml:space="preserve"> No.</w:t>
      </w:r>
      <w:r w:rsidR="004F784B" w:rsidRPr="005002F0">
        <w:rPr>
          <w:spacing w:val="46"/>
        </w:rPr>
        <w:t xml:space="preserve"> </w:t>
      </w:r>
      <w:r w:rsidR="004F784B" w:rsidRPr="005002F0">
        <w:t>PSC-2017-0451-AS-EU</w:t>
      </w:r>
      <w:r w:rsidR="00BC12CD">
        <w:t>,</w:t>
      </w:r>
      <w:r w:rsidR="004F784B">
        <w:rPr>
          <w:rStyle w:val="FootnoteReference"/>
        </w:rPr>
        <w:footnoteReference w:id="1"/>
      </w:r>
      <w:r w:rsidRPr="005002F0">
        <w:rPr>
          <w:spacing w:val="54"/>
        </w:rPr>
        <w:t xml:space="preserve"> </w:t>
      </w:r>
      <w:r w:rsidRPr="005002F0">
        <w:t>DEF</w:t>
      </w:r>
      <w:r w:rsidRPr="005002F0">
        <w:rPr>
          <w:spacing w:val="54"/>
        </w:rPr>
        <w:t xml:space="preserve"> </w:t>
      </w:r>
      <w:r w:rsidRPr="005002F0">
        <w:t>was</w:t>
      </w:r>
      <w:r w:rsidRPr="005002F0">
        <w:rPr>
          <w:spacing w:val="54"/>
        </w:rPr>
        <w:t xml:space="preserve"> </w:t>
      </w:r>
      <w:r w:rsidRPr="005002F0">
        <w:t>authorized</w:t>
      </w:r>
      <w:r w:rsidRPr="005002F0">
        <w:rPr>
          <w:spacing w:val="54"/>
        </w:rPr>
        <w:t xml:space="preserve"> </w:t>
      </w:r>
      <w:r w:rsidRPr="005002F0">
        <w:t>to</w:t>
      </w:r>
      <w:r w:rsidRPr="005002F0">
        <w:rPr>
          <w:spacing w:val="54"/>
        </w:rPr>
        <w:t xml:space="preserve"> </w:t>
      </w:r>
      <w:r w:rsidRPr="005002F0">
        <w:t>implement</w:t>
      </w:r>
      <w:r w:rsidRPr="005002F0">
        <w:rPr>
          <w:spacing w:val="54"/>
        </w:rPr>
        <w:t xml:space="preserve"> </w:t>
      </w:r>
      <w:r w:rsidRPr="005002F0">
        <w:t>an</w:t>
      </w:r>
      <w:r w:rsidRPr="005002F0">
        <w:rPr>
          <w:spacing w:val="54"/>
        </w:rPr>
        <w:t xml:space="preserve"> </w:t>
      </w:r>
      <w:r w:rsidRPr="005002F0">
        <w:t>EV Charging</w:t>
      </w:r>
      <w:r w:rsidRPr="005002F0">
        <w:rPr>
          <w:spacing w:val="11"/>
        </w:rPr>
        <w:t xml:space="preserve"> </w:t>
      </w:r>
      <w:r w:rsidRPr="005002F0">
        <w:t>Station</w:t>
      </w:r>
      <w:r w:rsidRPr="005002F0">
        <w:rPr>
          <w:spacing w:val="10"/>
        </w:rPr>
        <w:t xml:space="preserve"> </w:t>
      </w:r>
      <w:r w:rsidRPr="005002F0">
        <w:t>Pilot</w:t>
      </w:r>
      <w:r w:rsidRPr="005002F0">
        <w:rPr>
          <w:spacing w:val="12"/>
        </w:rPr>
        <w:t xml:space="preserve"> </w:t>
      </w:r>
      <w:r w:rsidRPr="005002F0">
        <w:t>Program</w:t>
      </w:r>
      <w:r w:rsidR="00787C7B">
        <w:t xml:space="preserve"> (2017 EV Pilot)</w:t>
      </w:r>
      <w:r w:rsidR="000C4C12" w:rsidRPr="004B006D">
        <w:t>.</w:t>
      </w:r>
      <w:r w:rsidRPr="005002F0">
        <w:rPr>
          <w:spacing w:val="11"/>
        </w:rPr>
        <w:t xml:space="preserve"> </w:t>
      </w:r>
      <w:r w:rsidR="000C4C12" w:rsidRPr="004B006D">
        <w:rPr>
          <w:spacing w:val="11"/>
        </w:rPr>
        <w:t xml:space="preserve">In the 2021 </w:t>
      </w:r>
      <w:r w:rsidR="00AA1C4E" w:rsidRPr="004B006D">
        <w:rPr>
          <w:spacing w:val="11"/>
        </w:rPr>
        <w:t>Settlement</w:t>
      </w:r>
      <w:r w:rsidR="000C4C12" w:rsidRPr="004B006D">
        <w:rPr>
          <w:spacing w:val="11"/>
        </w:rPr>
        <w:t xml:space="preserve"> Agreement, the </w:t>
      </w:r>
      <w:r w:rsidR="00F306BB">
        <w:t>Signatories</w:t>
      </w:r>
      <w:r w:rsidRPr="005002F0">
        <w:rPr>
          <w:spacing w:val="-1"/>
        </w:rPr>
        <w:t xml:space="preserve"> </w:t>
      </w:r>
      <w:r w:rsidRPr="005002F0">
        <w:t>agree</w:t>
      </w:r>
      <w:r w:rsidR="000C4C12" w:rsidRPr="004B006D">
        <w:t>d</w:t>
      </w:r>
      <w:r w:rsidRPr="005002F0">
        <w:rPr>
          <w:spacing w:val="-1"/>
        </w:rPr>
        <w:t xml:space="preserve"> </w:t>
      </w:r>
      <w:r w:rsidRPr="005002F0">
        <w:t xml:space="preserve">that </w:t>
      </w:r>
      <w:r w:rsidR="000C4C12" w:rsidRPr="005002F0">
        <w:t>DEF</w:t>
      </w:r>
      <w:r w:rsidR="000C4C12" w:rsidRPr="005002F0">
        <w:rPr>
          <w:spacing w:val="-6"/>
        </w:rPr>
        <w:t xml:space="preserve"> </w:t>
      </w:r>
      <w:r w:rsidR="004E6B19">
        <w:t>should</w:t>
      </w:r>
      <w:r w:rsidR="000C4C12" w:rsidRPr="005002F0">
        <w:rPr>
          <w:spacing w:val="-6"/>
        </w:rPr>
        <w:t xml:space="preserve"> </w:t>
      </w:r>
      <w:r w:rsidR="000C4C12" w:rsidRPr="005002F0">
        <w:t>be</w:t>
      </w:r>
      <w:r w:rsidR="000C4C12" w:rsidRPr="005002F0">
        <w:rPr>
          <w:spacing w:val="-6"/>
        </w:rPr>
        <w:t xml:space="preserve"> </w:t>
      </w:r>
      <w:r w:rsidR="000C4C12" w:rsidRPr="005002F0">
        <w:t>authorized to</w:t>
      </w:r>
      <w:r w:rsidR="000C4C12" w:rsidRPr="005002F0">
        <w:rPr>
          <w:spacing w:val="17"/>
        </w:rPr>
        <w:t xml:space="preserve"> </w:t>
      </w:r>
      <w:r w:rsidR="000C4C12" w:rsidRPr="005002F0">
        <w:t>continue</w:t>
      </w:r>
      <w:r w:rsidR="000C4C12" w:rsidRPr="005002F0">
        <w:rPr>
          <w:spacing w:val="17"/>
        </w:rPr>
        <w:t xml:space="preserve"> </w:t>
      </w:r>
      <w:r w:rsidR="000C4C12" w:rsidRPr="005002F0">
        <w:t>operation</w:t>
      </w:r>
      <w:r w:rsidR="000C4C12" w:rsidRPr="005002F0">
        <w:rPr>
          <w:spacing w:val="16"/>
        </w:rPr>
        <w:t xml:space="preserve"> </w:t>
      </w:r>
      <w:r w:rsidR="000C4C12" w:rsidRPr="005002F0">
        <w:t>and</w:t>
      </w:r>
      <w:r w:rsidR="000C4C12" w:rsidRPr="005002F0">
        <w:rPr>
          <w:spacing w:val="15"/>
        </w:rPr>
        <w:t xml:space="preserve"> </w:t>
      </w:r>
      <w:r w:rsidR="000C4C12" w:rsidRPr="005002F0">
        <w:t>recovery</w:t>
      </w:r>
      <w:r w:rsidR="000C4C12" w:rsidRPr="005002F0">
        <w:rPr>
          <w:spacing w:val="17"/>
        </w:rPr>
        <w:t xml:space="preserve"> </w:t>
      </w:r>
      <w:r w:rsidR="000C4C12" w:rsidRPr="005002F0">
        <w:t>of</w:t>
      </w:r>
      <w:r w:rsidR="000C4C12" w:rsidRPr="005002F0">
        <w:rPr>
          <w:spacing w:val="17"/>
        </w:rPr>
        <w:t xml:space="preserve"> </w:t>
      </w:r>
      <w:r w:rsidR="000C4C12" w:rsidRPr="005002F0">
        <w:t>costs</w:t>
      </w:r>
      <w:r w:rsidR="000C4C12" w:rsidRPr="005002F0">
        <w:rPr>
          <w:spacing w:val="14"/>
        </w:rPr>
        <w:t xml:space="preserve"> </w:t>
      </w:r>
      <w:r w:rsidR="000C4C12" w:rsidRPr="005002F0">
        <w:t>of</w:t>
      </w:r>
      <w:r w:rsidR="000C4C12" w:rsidRPr="005002F0">
        <w:rPr>
          <w:spacing w:val="17"/>
        </w:rPr>
        <w:t xml:space="preserve"> </w:t>
      </w:r>
      <w:r w:rsidR="000C4C12" w:rsidRPr="005002F0">
        <w:t>the</w:t>
      </w:r>
      <w:r w:rsidR="000C4C12" w:rsidRPr="005002F0">
        <w:rPr>
          <w:spacing w:val="17"/>
        </w:rPr>
        <w:t xml:space="preserve"> </w:t>
      </w:r>
      <w:r w:rsidR="000C4C12" w:rsidRPr="005002F0">
        <w:t>charging</w:t>
      </w:r>
      <w:r w:rsidR="000C4C12" w:rsidRPr="005002F0">
        <w:rPr>
          <w:spacing w:val="16"/>
        </w:rPr>
        <w:t xml:space="preserve"> </w:t>
      </w:r>
      <w:r w:rsidR="000C4C12" w:rsidRPr="005002F0">
        <w:t>stations</w:t>
      </w:r>
      <w:r w:rsidR="000C4C12" w:rsidRPr="005002F0">
        <w:rPr>
          <w:spacing w:val="17"/>
        </w:rPr>
        <w:t xml:space="preserve"> </w:t>
      </w:r>
      <w:r w:rsidR="000C4C12" w:rsidRPr="005002F0">
        <w:t>that</w:t>
      </w:r>
      <w:r w:rsidR="000C4C12" w:rsidRPr="005002F0">
        <w:rPr>
          <w:spacing w:val="17"/>
        </w:rPr>
        <w:t xml:space="preserve"> </w:t>
      </w:r>
      <w:r w:rsidR="000C4C12" w:rsidRPr="005002F0">
        <w:t>were</w:t>
      </w:r>
      <w:r w:rsidR="000C4C12" w:rsidRPr="005002F0">
        <w:rPr>
          <w:spacing w:val="17"/>
        </w:rPr>
        <w:t xml:space="preserve"> </w:t>
      </w:r>
      <w:r w:rsidR="000C4C12" w:rsidRPr="005002F0">
        <w:t>installed</w:t>
      </w:r>
      <w:r w:rsidR="000C4C12" w:rsidRPr="004B006D">
        <w:t xml:space="preserve"> </w:t>
      </w:r>
      <w:r w:rsidR="000C4C12" w:rsidRPr="005002F0">
        <w:t>pursuant to the 2017</w:t>
      </w:r>
      <w:r w:rsidR="000C4C12" w:rsidRPr="005002F0">
        <w:rPr>
          <w:spacing w:val="-1"/>
        </w:rPr>
        <w:t xml:space="preserve"> </w:t>
      </w:r>
      <w:r w:rsidR="000C4C12" w:rsidRPr="005002F0">
        <w:t>EV Pilot</w:t>
      </w:r>
      <w:r w:rsidR="000C4C12" w:rsidRPr="004B006D">
        <w:t xml:space="preserve">, and </w:t>
      </w:r>
      <w:r w:rsidRPr="005002F0">
        <w:t>to implement</w:t>
      </w:r>
      <w:r w:rsidRPr="005002F0">
        <w:rPr>
          <w:spacing w:val="15"/>
        </w:rPr>
        <w:t xml:space="preserve"> </w:t>
      </w:r>
      <w:r w:rsidRPr="005002F0">
        <w:t>three</w:t>
      </w:r>
      <w:r w:rsidRPr="005002F0">
        <w:rPr>
          <w:spacing w:val="14"/>
        </w:rPr>
        <w:t xml:space="preserve"> </w:t>
      </w:r>
      <w:r w:rsidRPr="005002F0">
        <w:t>new</w:t>
      </w:r>
      <w:r w:rsidRPr="005002F0">
        <w:rPr>
          <w:spacing w:val="13"/>
        </w:rPr>
        <w:t xml:space="preserve"> </w:t>
      </w:r>
      <w:r w:rsidRPr="005002F0">
        <w:t>EV</w:t>
      </w:r>
      <w:r w:rsidRPr="005002F0">
        <w:rPr>
          <w:spacing w:val="13"/>
        </w:rPr>
        <w:t xml:space="preserve"> </w:t>
      </w:r>
      <w:r w:rsidRPr="005002F0">
        <w:t>programs,</w:t>
      </w:r>
      <w:r w:rsidRPr="005002F0">
        <w:rPr>
          <w:spacing w:val="14"/>
        </w:rPr>
        <w:t xml:space="preserve"> </w:t>
      </w:r>
      <w:r w:rsidRPr="005002F0">
        <w:t>as</w:t>
      </w:r>
      <w:r w:rsidRPr="005002F0">
        <w:rPr>
          <w:spacing w:val="14"/>
        </w:rPr>
        <w:t xml:space="preserve"> </w:t>
      </w:r>
      <w:r w:rsidRPr="005002F0">
        <w:t>further</w:t>
      </w:r>
      <w:r w:rsidRPr="005002F0">
        <w:rPr>
          <w:spacing w:val="14"/>
        </w:rPr>
        <w:t xml:space="preserve"> </w:t>
      </w:r>
      <w:r w:rsidRPr="005002F0">
        <w:t>described</w:t>
      </w:r>
      <w:r w:rsidRPr="005002F0">
        <w:rPr>
          <w:spacing w:val="13"/>
        </w:rPr>
        <w:t xml:space="preserve"> </w:t>
      </w:r>
      <w:r w:rsidRPr="005002F0">
        <w:t>in</w:t>
      </w:r>
      <w:r w:rsidRPr="005002F0">
        <w:rPr>
          <w:spacing w:val="15"/>
        </w:rPr>
        <w:t xml:space="preserve"> </w:t>
      </w:r>
      <w:r w:rsidRPr="005002F0">
        <w:t>Paragraphs 17(a)</w:t>
      </w:r>
      <w:r w:rsidRPr="005002F0">
        <w:rPr>
          <w:spacing w:val="-6"/>
        </w:rPr>
        <w:t xml:space="preserve"> </w:t>
      </w:r>
      <w:r w:rsidRPr="005002F0">
        <w:t>through</w:t>
      </w:r>
      <w:r w:rsidRPr="005002F0">
        <w:rPr>
          <w:spacing w:val="-6"/>
        </w:rPr>
        <w:t xml:space="preserve"> </w:t>
      </w:r>
      <w:r w:rsidRPr="005002F0">
        <w:t>(c</w:t>
      </w:r>
      <w:r w:rsidR="000C4C12" w:rsidRPr="004B006D">
        <w:t>)</w:t>
      </w:r>
      <w:r w:rsidR="00622A1C">
        <w:t xml:space="preserve"> of the 2021 Settlement Agreement</w:t>
      </w:r>
      <w:r w:rsidRPr="005002F0">
        <w:t>.</w:t>
      </w:r>
      <w:r w:rsidR="005D0FBC" w:rsidRPr="005D0FBC">
        <w:t xml:space="preserve"> </w:t>
      </w:r>
    </w:p>
    <w:p w14:paraId="35183ECF" w14:textId="28416CB0" w:rsidR="005D0FBC" w:rsidRDefault="005D0FBC" w:rsidP="00494D83">
      <w:pPr>
        <w:ind w:firstLine="720"/>
        <w:jc w:val="both"/>
      </w:pPr>
      <w:r>
        <w:lastRenderedPageBreak/>
        <w:t>On March 17, 2021, ChargePoint, Inc. (ChargePoint) petitioned for intervention in this consolidated proceeding.  On March 23, 2021, DEF timely filed a response in opposition.</w:t>
      </w:r>
    </w:p>
    <w:p w14:paraId="16717718" w14:textId="77777777" w:rsidR="005D0FBC" w:rsidRDefault="005D0FBC" w:rsidP="005D0FBC">
      <w:pPr>
        <w:jc w:val="both"/>
      </w:pPr>
    </w:p>
    <w:p w14:paraId="12AF170A" w14:textId="1D71164E" w:rsidR="00B62AA8" w:rsidRDefault="00B62AA8" w:rsidP="005D0FBC">
      <w:pPr>
        <w:jc w:val="both"/>
        <w:rPr>
          <w:u w:val="single"/>
        </w:rPr>
      </w:pPr>
      <w:r w:rsidRPr="003851CA">
        <w:rPr>
          <w:u w:val="single"/>
        </w:rPr>
        <w:t>Petition for Intervention</w:t>
      </w:r>
    </w:p>
    <w:p w14:paraId="62138CC2" w14:textId="77777777" w:rsidR="001272CE" w:rsidRPr="003851CA" w:rsidRDefault="001272CE" w:rsidP="00B62AA8">
      <w:pPr>
        <w:jc w:val="both"/>
        <w:rPr>
          <w:u w:val="single"/>
        </w:rPr>
      </w:pPr>
    </w:p>
    <w:p w14:paraId="230BDC2C" w14:textId="238078EB" w:rsidR="00787C7B" w:rsidRDefault="001272CE" w:rsidP="005C78A0">
      <w:pPr>
        <w:ind w:firstLine="720"/>
        <w:jc w:val="both"/>
      </w:pPr>
      <w:r>
        <w:t>ChargePoint is an electric vehicle charging network with independently owned and operated Level 2 and DC fast charging spots, and is headquartered in Campbell, California. ChargePoint states that it</w:t>
      </w:r>
      <w:r w:rsidR="00787C7B" w:rsidRPr="00787C7B">
        <w:t>s primary business model consists of selling its smart charging solutions directly to businesses and organizations</w:t>
      </w:r>
      <w:r w:rsidR="00787C7B">
        <w:t>, which include electric utilities,</w:t>
      </w:r>
      <w:r w:rsidR="00787C7B" w:rsidRPr="00787C7B">
        <w:t xml:space="preserve"> while offering tools that empower site hosts and station owners to deploy charging designed for their individual application and use</w:t>
      </w:r>
      <w:r w:rsidR="00787C7B">
        <w:t>.</w:t>
      </w:r>
    </w:p>
    <w:p w14:paraId="190A5AD4" w14:textId="77777777" w:rsidR="00C06BE1" w:rsidRDefault="00C06BE1" w:rsidP="005C78A0">
      <w:pPr>
        <w:ind w:firstLine="720"/>
        <w:jc w:val="both"/>
      </w:pPr>
    </w:p>
    <w:p w14:paraId="3D4B3E7F" w14:textId="7D51D19B" w:rsidR="005725A0" w:rsidRDefault="004576E9" w:rsidP="00C06BE1">
      <w:pPr>
        <w:ind w:firstLine="720"/>
        <w:jc w:val="both"/>
        <w:rPr>
          <w:iCs/>
        </w:rPr>
      </w:pPr>
      <w:r>
        <w:t xml:space="preserve">ChargePoint asserts that DEF’s </w:t>
      </w:r>
      <w:r w:rsidR="004155DC">
        <w:t xml:space="preserve">new </w:t>
      </w:r>
      <w:r>
        <w:t xml:space="preserve">EV Program is </w:t>
      </w:r>
      <w:r w:rsidR="00C06BE1" w:rsidRPr="00C06BE1">
        <w:t xml:space="preserve">very different from the </w:t>
      </w:r>
      <w:r>
        <w:t xml:space="preserve">2017 </w:t>
      </w:r>
      <w:r w:rsidR="00C06BE1" w:rsidRPr="00C06BE1">
        <w:t xml:space="preserve">EV </w:t>
      </w:r>
      <w:r>
        <w:t xml:space="preserve">Pilot </w:t>
      </w:r>
      <w:r w:rsidR="00C06BE1" w:rsidRPr="00C06BE1">
        <w:t xml:space="preserve"> </w:t>
      </w:r>
      <w:r>
        <w:t xml:space="preserve">proposed by </w:t>
      </w:r>
      <w:r w:rsidR="00C06BE1" w:rsidRPr="00C06BE1">
        <w:t xml:space="preserve">DEF in Docket No. </w:t>
      </w:r>
      <w:r w:rsidR="00966522">
        <w:t xml:space="preserve">20170183-EI. </w:t>
      </w:r>
      <w:r w:rsidR="004E6B19">
        <w:t>According to ChargePoint, it</w:t>
      </w:r>
      <w:r w:rsidR="004B5093">
        <w:t xml:space="preserve">s </w:t>
      </w:r>
      <w:r w:rsidR="00C06BE1" w:rsidRPr="00C06BE1">
        <w:t xml:space="preserve">petition to intervene </w:t>
      </w:r>
      <w:r w:rsidR="004E6B19">
        <w:t xml:space="preserve">in Docket No. 20170183-EI </w:t>
      </w:r>
      <w:r w:rsidR="004B5093">
        <w:t xml:space="preserve">was denied on the basis </w:t>
      </w:r>
      <w:r w:rsidR="00C06BE1" w:rsidRPr="00C06BE1">
        <w:t>that “ChargePoint has failed to allege any facts that can support its claim that the pilot program would impact ChargePoint’s current market share or customers, or interfere with ‘the very existence of a competitive market.</w:t>
      </w:r>
      <w:r w:rsidR="00677D8B">
        <w:t>’</w:t>
      </w:r>
      <w:r w:rsidR="00C06BE1" w:rsidRPr="00C06BE1">
        <w:t>”</w:t>
      </w:r>
      <w:r>
        <w:rPr>
          <w:rStyle w:val="FootnoteReference"/>
        </w:rPr>
        <w:footnoteReference w:id="2"/>
      </w:r>
      <w:r w:rsidR="00BB3B7B">
        <w:t xml:space="preserve"> ChargePoint </w:t>
      </w:r>
      <w:r w:rsidR="00322548">
        <w:t xml:space="preserve">claims that the </w:t>
      </w:r>
      <w:r w:rsidR="00BB3B7B">
        <w:t xml:space="preserve">2017 order denying intervention </w:t>
      </w:r>
      <w:r w:rsidR="003C6CF6">
        <w:t>found</w:t>
      </w:r>
      <w:r w:rsidR="00BB3B7B">
        <w:t xml:space="preserve"> that “ChargePoint’s alleged injury to its economic interests and the free market are not what the governing statutes of this p</w:t>
      </w:r>
      <w:r w:rsidR="003C6CF6">
        <w:t>roceeding were meant to protect.</w:t>
      </w:r>
      <w:r w:rsidR="00BB3B7B">
        <w:t>”</w:t>
      </w:r>
      <w:r w:rsidR="00322548">
        <w:rPr>
          <w:rStyle w:val="FootnoteReference"/>
        </w:rPr>
        <w:footnoteReference w:id="3"/>
      </w:r>
      <w:r w:rsidR="00BB3B7B">
        <w:t xml:space="preserve"> </w:t>
      </w:r>
      <w:r w:rsidR="00BB3B7B" w:rsidRPr="00BB3B7B">
        <w:rPr>
          <w:i/>
        </w:rPr>
        <w:t>Id</w:t>
      </w:r>
      <w:r w:rsidR="00BB3B7B">
        <w:t xml:space="preserve">. </w:t>
      </w:r>
    </w:p>
    <w:p w14:paraId="0AA972EB" w14:textId="77777777" w:rsidR="005725A0" w:rsidRDefault="005725A0" w:rsidP="00C06BE1">
      <w:pPr>
        <w:ind w:firstLine="720"/>
        <w:jc w:val="both"/>
        <w:rPr>
          <w:iCs/>
        </w:rPr>
      </w:pPr>
    </w:p>
    <w:p w14:paraId="31729BAD" w14:textId="1197F13D" w:rsidR="00646D0B" w:rsidRDefault="00BB3B7B" w:rsidP="003C6CF6">
      <w:pPr>
        <w:ind w:firstLine="720"/>
        <w:jc w:val="both"/>
      </w:pPr>
      <w:r>
        <w:t>ChargePoint argues that b</w:t>
      </w:r>
      <w:r w:rsidR="000437B8">
        <w:t>y</w:t>
      </w:r>
      <w:r w:rsidR="00C06BE1" w:rsidRPr="00C06BE1">
        <w:t xml:space="preserve"> own</w:t>
      </w:r>
      <w:r w:rsidR="000437B8">
        <w:t>ing</w:t>
      </w:r>
      <w:r w:rsidR="00C06BE1" w:rsidRPr="00C06BE1">
        <w:t xml:space="preserve"> and operat</w:t>
      </w:r>
      <w:r w:rsidR="000437B8">
        <w:t>ing</w:t>
      </w:r>
      <w:r w:rsidR="00C06BE1" w:rsidRPr="00C06BE1">
        <w:t xml:space="preserve"> EV charging infrastructure</w:t>
      </w:r>
      <w:r w:rsidR="000437B8">
        <w:t>, DEF</w:t>
      </w:r>
      <w:r w:rsidR="00C06BE1" w:rsidRPr="00C06BE1">
        <w:t xml:space="preserve"> thereby compet</w:t>
      </w:r>
      <w:r w:rsidR="000437B8">
        <w:t>es</w:t>
      </w:r>
      <w:r w:rsidR="00C06BE1" w:rsidRPr="00C06BE1">
        <w:t xml:space="preserve"> with non-regulated market providers of EV charging infrastructure. </w:t>
      </w:r>
      <w:r w:rsidR="000437B8">
        <w:t>According to ChargePoint, t</w:t>
      </w:r>
      <w:r w:rsidR="00C06BE1" w:rsidRPr="00C06BE1">
        <w:t xml:space="preserve">his constitutes a direct threat to ChargePoint’s ability to sell its products in DEF’s service territory. </w:t>
      </w:r>
      <w:r w:rsidR="004B5093">
        <w:t>ChargePoint f</w:t>
      </w:r>
      <w:r w:rsidR="00C06BE1" w:rsidRPr="00C06BE1">
        <w:t>urther</w:t>
      </w:r>
      <w:r w:rsidR="004B5093">
        <w:t xml:space="preserve"> notes that</w:t>
      </w:r>
      <w:r w:rsidR="00C06BE1" w:rsidRPr="00C06BE1">
        <w:t xml:space="preserve"> since the 2017 </w:t>
      </w:r>
      <w:r w:rsidR="00C07456">
        <w:t>o</w:t>
      </w:r>
      <w:r w:rsidR="000A733D">
        <w:t>rder denying ChargeP</w:t>
      </w:r>
      <w:r w:rsidR="00D34FC9">
        <w:t>oint’s intervention</w:t>
      </w:r>
      <w:r w:rsidR="004B5093">
        <w:t xml:space="preserve"> was issued</w:t>
      </w:r>
      <w:r w:rsidR="00C06BE1" w:rsidRPr="00C06BE1">
        <w:t>, the Florida legislature has added substantially to the Commission’s jurisdiction and responsibilities by directing the Commission to oversee the participation of electric utilities in the development of the EV charging market in Florida</w:t>
      </w:r>
      <w:r w:rsidR="004E6B19">
        <w:t xml:space="preserve"> under Section 339.287(2)(c)4., Florida Statutes (F.S.)</w:t>
      </w:r>
      <w:r w:rsidR="00C06BE1" w:rsidRPr="00C06BE1">
        <w:t>.</w:t>
      </w:r>
      <w:r w:rsidR="00D34FC9">
        <w:rPr>
          <w:rStyle w:val="FootnoteReference"/>
        </w:rPr>
        <w:footnoteReference w:id="4"/>
      </w:r>
      <w:r w:rsidR="00C06BE1" w:rsidRPr="00C06BE1">
        <w:t xml:space="preserve"> </w:t>
      </w:r>
    </w:p>
    <w:p w14:paraId="0D0E7A55" w14:textId="77777777" w:rsidR="00FF66ED" w:rsidRPr="00C06BE1" w:rsidRDefault="00FF66ED" w:rsidP="003C6CF6">
      <w:pPr>
        <w:ind w:firstLine="720"/>
        <w:jc w:val="both"/>
      </w:pPr>
    </w:p>
    <w:p w14:paraId="56DC79B0" w14:textId="62005F27" w:rsidR="00C06BE1" w:rsidRDefault="00C06BE1" w:rsidP="00C06BE1">
      <w:pPr>
        <w:ind w:firstLine="720"/>
        <w:jc w:val="both"/>
      </w:pPr>
      <w:r w:rsidRPr="00C06BE1">
        <w:lastRenderedPageBreak/>
        <w:t xml:space="preserve">With respect to </w:t>
      </w:r>
      <w:r w:rsidR="00677D8B">
        <w:t>its alleged actual injury</w:t>
      </w:r>
      <w:r w:rsidRPr="00C06BE1">
        <w:t xml:space="preserve">, </w:t>
      </w:r>
      <w:r w:rsidR="00646D0B">
        <w:t xml:space="preserve">ChargePoint asserts that </w:t>
      </w:r>
      <w:r w:rsidRPr="00C06BE1">
        <w:t xml:space="preserve">DEF’s ownership and operation of </w:t>
      </w:r>
      <w:r w:rsidR="009148ED" w:rsidRPr="00C06BE1">
        <w:t>DC</w:t>
      </w:r>
      <w:r w:rsidR="009148ED">
        <w:t xml:space="preserve"> fast charging</w:t>
      </w:r>
      <w:r w:rsidR="009148ED" w:rsidRPr="00C06BE1">
        <w:t xml:space="preserve"> </w:t>
      </w:r>
      <w:r w:rsidRPr="00C06BE1">
        <w:t>stations would directly compete with ChargePoint’s customers that own and operate commercial charging stations.</w:t>
      </w:r>
      <w:r w:rsidR="00D86E33">
        <w:t xml:space="preserve"> ChargePoint argues that DEF’s new EV charging offerings could interfere with a competitive marketplace and hinder ChargePoint’s ability to sell its products in DEF’s service territory. </w:t>
      </w:r>
      <w:r w:rsidR="00646D0B" w:rsidRPr="004D63EF">
        <w:t>ChargePoint states that t</w:t>
      </w:r>
      <w:r w:rsidRPr="004D63EF">
        <w:t>his actual direct impact is precisely the harm the new legislative mandate requires the Commission to consider and protect.</w:t>
      </w:r>
      <w:r w:rsidRPr="00C06BE1">
        <w:t xml:space="preserve"> </w:t>
      </w:r>
      <w:r w:rsidR="004E25B7">
        <w:t xml:space="preserve">However, ChargePoint also acknowledges that </w:t>
      </w:r>
      <w:r w:rsidR="00D86E33">
        <w:t>while some of DEF’s proposals in the 2021 Settlement Agreement could harm market growth, others could encourage it.</w:t>
      </w:r>
    </w:p>
    <w:p w14:paraId="6866A8BC" w14:textId="77777777" w:rsidR="00B3632C" w:rsidRPr="00C06BE1" w:rsidRDefault="00B3632C" w:rsidP="00C06BE1">
      <w:pPr>
        <w:ind w:firstLine="720"/>
        <w:jc w:val="both"/>
      </w:pPr>
    </w:p>
    <w:p w14:paraId="63352722" w14:textId="77777777" w:rsidR="00B62AA8" w:rsidRDefault="00B62AA8" w:rsidP="00B62AA8">
      <w:pPr>
        <w:jc w:val="both"/>
        <w:rPr>
          <w:u w:val="single"/>
        </w:rPr>
      </w:pPr>
      <w:r w:rsidRPr="003851CA">
        <w:rPr>
          <w:u w:val="single"/>
        </w:rPr>
        <w:t>Duke Energy Florida, LLC’s Response</w:t>
      </w:r>
    </w:p>
    <w:p w14:paraId="092B2729" w14:textId="77777777" w:rsidR="00C05025" w:rsidRDefault="00C05025" w:rsidP="00C05025">
      <w:pPr>
        <w:ind w:firstLine="720"/>
      </w:pPr>
    </w:p>
    <w:p w14:paraId="653C1DC7" w14:textId="2A917A8C" w:rsidR="0003035E" w:rsidRDefault="004432CB" w:rsidP="009148ED">
      <w:pPr>
        <w:jc w:val="both"/>
      </w:pPr>
      <w:r>
        <w:tab/>
        <w:t>In its Response in O</w:t>
      </w:r>
      <w:r w:rsidR="004111EA">
        <w:t xml:space="preserve">pposition, DEF contends that </w:t>
      </w:r>
      <w:r w:rsidR="00EB067F">
        <w:t>ChargePoint’s a</w:t>
      </w:r>
      <w:r w:rsidR="0003035E" w:rsidRPr="0003035E">
        <w:t>ssert</w:t>
      </w:r>
      <w:r w:rsidR="00EB067F">
        <w:t>ion</w:t>
      </w:r>
      <w:r w:rsidR="0003035E" w:rsidRPr="0003035E">
        <w:t xml:space="preserve"> that DEF’s </w:t>
      </w:r>
      <w:r w:rsidR="00EB067F">
        <w:t>EV Program</w:t>
      </w:r>
      <w:r w:rsidR="0003035E" w:rsidRPr="0003035E">
        <w:t xml:space="preserve"> “would directly compete with ChargePoint’s customers that own and operate commercial charging stations”</w:t>
      </w:r>
      <w:r w:rsidR="00EB067F">
        <w:t xml:space="preserve"> </w:t>
      </w:r>
      <w:r w:rsidR="00AA4936">
        <w:t xml:space="preserve">does not demonstrate a substantial interest in the outcome of this proceeding, </w:t>
      </w:r>
      <w:r w:rsidR="00655DB3">
        <w:t xml:space="preserve">or </w:t>
      </w:r>
      <w:r w:rsidR="00AA4936">
        <w:t>a sufficient demonstration of an injury-in-fact</w:t>
      </w:r>
      <w:r w:rsidR="00EB067F">
        <w:t>.</w:t>
      </w:r>
      <w:r w:rsidR="0003035E" w:rsidRPr="0003035E">
        <w:t xml:space="preserve"> </w:t>
      </w:r>
      <w:r w:rsidR="004111EA">
        <w:t>Further, DEF contends that</w:t>
      </w:r>
      <w:r w:rsidR="003B0A72">
        <w:t xml:space="preserve"> </w:t>
      </w:r>
      <w:r w:rsidR="00655DB3">
        <w:t>Cha</w:t>
      </w:r>
      <w:r w:rsidR="00126711">
        <w:t>r</w:t>
      </w:r>
      <w:r w:rsidR="00655DB3">
        <w:t xml:space="preserve">gePoint’s </w:t>
      </w:r>
      <w:r w:rsidR="00AA4936">
        <w:t xml:space="preserve">claimed </w:t>
      </w:r>
      <w:r w:rsidR="00655DB3">
        <w:t>injury</w:t>
      </w:r>
      <w:r w:rsidR="004111EA">
        <w:t xml:space="preserve"> is</w:t>
      </w:r>
      <w:r w:rsidR="00AA4936" w:rsidRPr="00980154">
        <w:t xml:space="preserve"> </w:t>
      </w:r>
      <w:r w:rsidR="00AA4936">
        <w:t xml:space="preserve">not </w:t>
      </w:r>
      <w:r w:rsidR="00AA4936" w:rsidRPr="00980154">
        <w:t xml:space="preserve">of </w:t>
      </w:r>
      <w:r w:rsidR="00AA4ABF">
        <w:t>the</w:t>
      </w:r>
      <w:r w:rsidR="00AA4936" w:rsidRPr="00980154">
        <w:t xml:space="preserve"> type o</w:t>
      </w:r>
      <w:r w:rsidR="00655DB3">
        <w:t>r</w:t>
      </w:r>
      <w:r w:rsidR="00AA4936" w:rsidRPr="00980154">
        <w:t xml:space="preserve"> nature </w:t>
      </w:r>
      <w:r w:rsidR="00AA4ABF">
        <w:t>that</w:t>
      </w:r>
      <w:r w:rsidR="00AA4936" w:rsidRPr="00980154">
        <w:t xml:space="preserve"> the proceeding is designed to protect</w:t>
      </w:r>
      <w:r w:rsidR="003535F8">
        <w:t xml:space="preserve">. DEF </w:t>
      </w:r>
      <w:r w:rsidR="00920D5D">
        <w:t xml:space="preserve">also </w:t>
      </w:r>
      <w:r w:rsidR="003535F8">
        <w:t xml:space="preserve">notes that as Florida’s largest vendor </w:t>
      </w:r>
      <w:r w:rsidR="0037241E">
        <w:t>of</w:t>
      </w:r>
      <w:r w:rsidR="003535F8">
        <w:t xml:space="preserve"> EV </w:t>
      </w:r>
      <w:r w:rsidR="00126711">
        <w:t>charging stations</w:t>
      </w:r>
      <w:r w:rsidR="003535F8">
        <w:t xml:space="preserve">, </w:t>
      </w:r>
      <w:r w:rsidR="00EB067F">
        <w:t xml:space="preserve">ChargePoint’s </w:t>
      </w:r>
      <w:r w:rsidR="003535F8">
        <w:t xml:space="preserve">admission </w:t>
      </w:r>
      <w:r w:rsidR="00655DB3">
        <w:t xml:space="preserve">that </w:t>
      </w:r>
      <w:r w:rsidR="0003035E" w:rsidRPr="0003035E">
        <w:t>“[s]ome DEF proposals could encourage market growth while others could harm it”</w:t>
      </w:r>
      <w:r w:rsidR="00EB067F">
        <w:t xml:space="preserve"> </w:t>
      </w:r>
      <w:r w:rsidR="00AA4ABF">
        <w:t xml:space="preserve">fails </w:t>
      </w:r>
      <w:r w:rsidR="003535F8">
        <w:t xml:space="preserve">the requirement </w:t>
      </w:r>
      <w:r w:rsidR="00F05DD6">
        <w:t xml:space="preserve">that </w:t>
      </w:r>
      <w:r w:rsidR="003535F8">
        <w:t xml:space="preserve">the injury cannot be too remote, </w:t>
      </w:r>
      <w:r w:rsidR="00920D5D">
        <w:t xml:space="preserve">speculative, or indirect. </w:t>
      </w:r>
      <w:r w:rsidR="004111EA">
        <w:t>Finally, DEF argues that</w:t>
      </w:r>
      <w:r w:rsidR="003B0A72">
        <w:t xml:space="preserve"> </w:t>
      </w:r>
      <w:r w:rsidR="00EB067F">
        <w:t>ChargePoint’s</w:t>
      </w:r>
      <w:r w:rsidR="00C05025">
        <w:t xml:space="preserve"> </w:t>
      </w:r>
      <w:r w:rsidR="0003035E" w:rsidRPr="0003035E">
        <w:t>assert</w:t>
      </w:r>
      <w:r w:rsidR="00EB067F">
        <w:t>ion</w:t>
      </w:r>
      <w:r w:rsidR="009148ED">
        <w:t>s</w:t>
      </w:r>
      <w:r w:rsidR="00AA4ABF">
        <w:t xml:space="preserve"> that its participation </w:t>
      </w:r>
      <w:r w:rsidR="003535F8">
        <w:t xml:space="preserve">would be </w:t>
      </w:r>
      <w:r w:rsidR="0078728C">
        <w:t>“</w:t>
      </w:r>
      <w:r w:rsidR="003535F8">
        <w:t>consistent</w:t>
      </w:r>
      <w:r w:rsidR="0003035E" w:rsidRPr="0003035E">
        <w:t xml:space="preserve"> with the legislature’s clear endorsement of free-market solutions</w:t>
      </w:r>
      <w:r w:rsidR="00EB067F">
        <w:t>,</w:t>
      </w:r>
      <w:r w:rsidR="0003035E" w:rsidRPr="0003035E">
        <w:t>”</w:t>
      </w:r>
      <w:r w:rsidR="00EB067F">
        <w:t xml:space="preserve"> </w:t>
      </w:r>
      <w:r w:rsidR="003535F8">
        <w:t xml:space="preserve">as captured in </w:t>
      </w:r>
      <w:r w:rsidR="00B3632C">
        <w:t>S</w:t>
      </w:r>
      <w:r w:rsidR="004111EA">
        <w:t>ection</w:t>
      </w:r>
      <w:r w:rsidR="00B3632C">
        <w:t xml:space="preserve"> </w:t>
      </w:r>
      <w:r w:rsidR="003535F8" w:rsidRPr="00F05DD6">
        <w:t>339.287(2)(c)4., F.S.</w:t>
      </w:r>
      <w:r w:rsidR="003535F8">
        <w:t xml:space="preserve">, </w:t>
      </w:r>
      <w:r w:rsidR="009148ED">
        <w:t xml:space="preserve">is not supported by </w:t>
      </w:r>
      <w:r w:rsidR="003535F8" w:rsidRPr="003535F8">
        <w:t>that statut</w:t>
      </w:r>
      <w:r w:rsidR="00B3632C">
        <w:t>ory section</w:t>
      </w:r>
      <w:r w:rsidR="003535F8" w:rsidRPr="003535F8">
        <w:t>.</w:t>
      </w:r>
      <w:r w:rsidR="00EB067F">
        <w:t xml:space="preserve"> </w:t>
      </w:r>
      <w:r w:rsidR="00460F3A">
        <w:t>DEF asserts that since Charge</w:t>
      </w:r>
      <w:r w:rsidR="00040F60">
        <w:t>P</w:t>
      </w:r>
      <w:r w:rsidR="00460F3A">
        <w:t xml:space="preserve">oint fails </w:t>
      </w:r>
      <w:r w:rsidR="00980154" w:rsidRPr="00980154">
        <w:t xml:space="preserve">to meet either prong of the </w:t>
      </w:r>
      <w:r w:rsidR="0091614C">
        <w:t xml:space="preserve">two-prong standing test set forth in </w:t>
      </w:r>
      <w:r w:rsidR="0091614C" w:rsidRPr="005D0FBC">
        <w:rPr>
          <w:i/>
        </w:rPr>
        <w:t>Agrico Chemical Company v. Department of Environmental Regulation</w:t>
      </w:r>
      <w:r w:rsidR="0091614C" w:rsidRPr="005D0FBC">
        <w:t xml:space="preserve"> (Agrico),</w:t>
      </w:r>
      <w:r w:rsidR="0091614C">
        <w:t xml:space="preserve"> 406 So. 2d 478, 482 (Fla. 2d DCA 1981),</w:t>
      </w:r>
      <w:r w:rsidR="00980154" w:rsidRPr="00980154">
        <w:t xml:space="preserve"> </w:t>
      </w:r>
      <w:r w:rsidR="00126711">
        <w:t>its</w:t>
      </w:r>
      <w:r w:rsidR="00126711" w:rsidRPr="00980154">
        <w:t xml:space="preserve"> </w:t>
      </w:r>
      <w:r w:rsidR="00980154" w:rsidRPr="00980154">
        <w:t xml:space="preserve">Petition </w:t>
      </w:r>
      <w:r w:rsidR="00126711">
        <w:t xml:space="preserve">for Intervention </w:t>
      </w:r>
      <w:r w:rsidR="00980154" w:rsidRPr="00980154">
        <w:t xml:space="preserve">must be denied. </w:t>
      </w:r>
    </w:p>
    <w:p w14:paraId="4E4F47F0" w14:textId="77777777" w:rsidR="00F74958" w:rsidRPr="0003035E" w:rsidRDefault="00F74958" w:rsidP="00980154">
      <w:pPr>
        <w:jc w:val="both"/>
      </w:pPr>
    </w:p>
    <w:p w14:paraId="5287AA90" w14:textId="77777777" w:rsidR="00B62AA8" w:rsidRPr="003851CA" w:rsidRDefault="00B62AA8" w:rsidP="00B62AA8">
      <w:pPr>
        <w:jc w:val="both"/>
      </w:pPr>
      <w:r w:rsidRPr="003851CA">
        <w:rPr>
          <w:u w:val="single"/>
        </w:rPr>
        <w:t>Standard for Intervention</w:t>
      </w:r>
    </w:p>
    <w:p w14:paraId="39A73120" w14:textId="0EB2C586" w:rsidR="00B62AA8" w:rsidRDefault="00B62AA8" w:rsidP="00D57E57"/>
    <w:p w14:paraId="4D97431C" w14:textId="7665B307" w:rsidR="00A05D90" w:rsidRDefault="009538AC" w:rsidP="00D86E33">
      <w:pPr>
        <w:ind w:firstLine="720"/>
        <w:jc w:val="both"/>
      </w:pPr>
      <w:r>
        <w:t xml:space="preserve">Pursuant to Rule 28-106.205, </w:t>
      </w:r>
      <w:r w:rsidR="003B0A72">
        <w:t>Florida Administrative Code (</w:t>
      </w:r>
      <w:r>
        <w:t>F.A.C.</w:t>
      </w:r>
      <w:r w:rsidR="003B0A72">
        <w:t>)</w:t>
      </w:r>
      <w:r>
        <w:t>,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369207AF" w14:textId="77777777" w:rsidR="00ED095D" w:rsidRDefault="00ED095D" w:rsidP="00D86E33">
      <w:pPr>
        <w:ind w:firstLine="720"/>
        <w:jc w:val="both"/>
      </w:pPr>
    </w:p>
    <w:p w14:paraId="161ECC5F" w14:textId="2B93AC95" w:rsidR="00AA4FCE" w:rsidRDefault="009538AC" w:rsidP="0091614C">
      <w:pPr>
        <w:ind w:firstLine="720"/>
        <w:jc w:val="both"/>
      </w:pPr>
      <w:r>
        <w:t xml:space="preserve">To have standing, the intervenor must meet the two-prong standing test set forth in </w:t>
      </w:r>
      <w:r w:rsidRPr="005D0FBC">
        <w:rPr>
          <w:i/>
        </w:rPr>
        <w:t>Agrico</w:t>
      </w:r>
      <w:r>
        <w:t xml:space="preserve">. 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The second deals with the nature of the injury. The "injury in fact" must be both real and immediate and not speculative or conjectural. </w:t>
      </w:r>
      <w:r w:rsidRPr="005D0FBC">
        <w:rPr>
          <w:i/>
        </w:rPr>
        <w:t xml:space="preserve">International Jai-Alai Players Assn. v. </w:t>
      </w:r>
      <w:r w:rsidRPr="005D0FBC">
        <w:rPr>
          <w:i/>
        </w:rPr>
        <w:lastRenderedPageBreak/>
        <w:t>Florida Pari-Mutuel Commission</w:t>
      </w:r>
      <w:r w:rsidRPr="005D0FBC">
        <w:t xml:space="preserve">, 561 So. 2d 1224, 1225-26 (Fla. 3d DCA 1990). </w:t>
      </w:r>
      <w:r w:rsidRPr="005D0FBC">
        <w:rPr>
          <w:i/>
        </w:rPr>
        <w:t>See also Village Park Mobile Home Assn., Inc. v. State Dept. of Business Regulation</w:t>
      </w:r>
      <w:r w:rsidRPr="005D0FBC">
        <w:t xml:space="preserve">, 506 So. 2d 426, 434 (Fla. 1st DCA 1987), </w:t>
      </w:r>
      <w:r w:rsidRPr="005D0FBC">
        <w:rPr>
          <w:i/>
        </w:rPr>
        <w:t>rev. den</w:t>
      </w:r>
      <w:r w:rsidRPr="005D0FBC">
        <w:t>., 513 So. 2d 1063 (Fla. 1987) (speculation on the possible occurrence of injurious events is too remote).</w:t>
      </w:r>
    </w:p>
    <w:p w14:paraId="5B50962F" w14:textId="77777777" w:rsidR="003C6CF6" w:rsidRDefault="003C6CF6" w:rsidP="0091614C">
      <w:pPr>
        <w:ind w:firstLine="720"/>
        <w:jc w:val="both"/>
      </w:pPr>
    </w:p>
    <w:p w14:paraId="4ECEF19B" w14:textId="059F5E0C" w:rsidR="00B62AA8" w:rsidRPr="00720726" w:rsidRDefault="00B62AA8" w:rsidP="004E25B7">
      <w:pPr>
        <w:jc w:val="both"/>
      </w:pPr>
      <w:r w:rsidRPr="003851CA">
        <w:rPr>
          <w:u w:val="single"/>
        </w:rPr>
        <w:t>Analysis &amp; Ruling</w:t>
      </w:r>
    </w:p>
    <w:p w14:paraId="7417A065" w14:textId="51B15171" w:rsidR="00B62AA8" w:rsidRDefault="00C07456" w:rsidP="00C07456">
      <w:pPr>
        <w:tabs>
          <w:tab w:val="left" w:pos="6698"/>
        </w:tabs>
      </w:pPr>
      <w:r>
        <w:tab/>
      </w:r>
    </w:p>
    <w:p w14:paraId="497141C5" w14:textId="48E2B96C" w:rsidR="001272CE" w:rsidRDefault="001272CE" w:rsidP="00F74958">
      <w:pPr>
        <w:ind w:firstLine="720"/>
        <w:jc w:val="both"/>
      </w:pPr>
      <w:r>
        <w:t>Upon re</w:t>
      </w:r>
      <w:r w:rsidR="00AA4ABF">
        <w:t>view of ChargePoint’s Petition</w:t>
      </w:r>
      <w:r>
        <w:t>,</w:t>
      </w:r>
      <w:r w:rsidR="00126711">
        <w:t xml:space="preserve"> I find that</w:t>
      </w:r>
      <w:r>
        <w:t xml:space="preserve"> ChargePoint does not satisfy the two-prong test established </w:t>
      </w:r>
      <w:r w:rsidR="00AA4ABF">
        <w:t>by</w:t>
      </w:r>
      <w:r>
        <w:t xml:space="preserve"> </w:t>
      </w:r>
      <w:r w:rsidRPr="00A24DB8">
        <w:rPr>
          <w:i/>
          <w:iCs/>
        </w:rPr>
        <w:t>Agrico</w:t>
      </w:r>
      <w:r w:rsidR="00AA4ABF">
        <w:t>.</w:t>
      </w:r>
      <w:r>
        <w:t xml:space="preserve"> ChargePoint has not shown that it is in immediate danger of direct injury as a result of the outcome in this proceeding. Rather, ChargePoint alleges that </w:t>
      </w:r>
      <w:r w:rsidRPr="001B34CE">
        <w:t xml:space="preserve">direct harm </w:t>
      </w:r>
      <w:r>
        <w:t xml:space="preserve">will result </w:t>
      </w:r>
      <w:r w:rsidRPr="001B34CE">
        <w:t xml:space="preserve">to the value of </w:t>
      </w:r>
      <w:r>
        <w:t>its</w:t>
      </w:r>
      <w:r w:rsidRPr="001B34CE">
        <w:t xml:space="preserve"> services and </w:t>
      </w:r>
      <w:r w:rsidR="00F74958">
        <w:t xml:space="preserve">customer </w:t>
      </w:r>
      <w:r w:rsidRPr="001B34CE">
        <w:t xml:space="preserve">networks </w:t>
      </w:r>
      <w:r>
        <w:t>personally, and</w:t>
      </w:r>
      <w:r w:rsidRPr="001B34CE">
        <w:t xml:space="preserve"> </w:t>
      </w:r>
      <w:r>
        <w:t>to the free market generally</w:t>
      </w:r>
      <w:r w:rsidRPr="001B34CE">
        <w:t>.</w:t>
      </w:r>
      <w:r>
        <w:t xml:space="preserve"> ChargePoint’s alleged harm is abstract and speculative, and </w:t>
      </w:r>
      <w:r w:rsidR="009148ED">
        <w:t xml:space="preserve">is </w:t>
      </w:r>
      <w:r>
        <w:t xml:space="preserve">not directly affected by the outcome of this proceeding. The First District Court of Appeal stated in </w:t>
      </w:r>
      <w:r w:rsidRPr="00A24DB8">
        <w:rPr>
          <w:i/>
          <w:iCs/>
        </w:rPr>
        <w:t xml:space="preserve">Village Park </w:t>
      </w:r>
      <w:r w:rsidR="00C1044F">
        <w:rPr>
          <w:i/>
          <w:iCs/>
        </w:rPr>
        <w:t>Mobile Home Ass</w:t>
      </w:r>
      <w:r w:rsidRPr="00A24DB8">
        <w:rPr>
          <w:i/>
          <w:iCs/>
        </w:rPr>
        <w:t>n</w:t>
      </w:r>
      <w:r w:rsidR="00C1044F">
        <w:rPr>
          <w:i/>
          <w:iCs/>
        </w:rPr>
        <w:t>.</w:t>
      </w:r>
      <w:r>
        <w:t>, that the “petitioner must allege that [it] has sustained or is immediately in danger of sustaining some direct injury as a result of the challenged official conduct.”</w:t>
      </w:r>
      <w:r w:rsidR="00F24B26" w:rsidRPr="00F24B26">
        <w:rPr>
          <w:i/>
          <w:iCs/>
        </w:rPr>
        <w:t xml:space="preserve"> </w:t>
      </w:r>
      <w:r w:rsidR="00F24B26" w:rsidRPr="00A24DB8">
        <w:rPr>
          <w:i/>
          <w:iCs/>
        </w:rPr>
        <w:t>Village Park Mobile Home Assn., Inc. v. State Dept. of Business Regulation</w:t>
      </w:r>
      <w:r w:rsidR="00F24B26">
        <w:t>, 506 So. 2d 426, 433</w:t>
      </w:r>
      <w:r w:rsidR="00F24B26" w:rsidRPr="00ED072B">
        <w:t xml:space="preserve"> (Fla. 1st DCA 1987)</w:t>
      </w:r>
      <w:r w:rsidR="00F24B26">
        <w:t>.</w:t>
      </w:r>
      <w:r w:rsidR="0037241E">
        <w:t xml:space="preserve"> Thus, ChargePoint fails the first prong of the </w:t>
      </w:r>
      <w:r w:rsidR="0037241E" w:rsidRPr="0037241E">
        <w:rPr>
          <w:i/>
        </w:rPr>
        <w:t>Agrico</w:t>
      </w:r>
      <w:r w:rsidR="0037241E">
        <w:t xml:space="preserve"> test. </w:t>
      </w:r>
    </w:p>
    <w:p w14:paraId="59ABCC69" w14:textId="77777777" w:rsidR="008062F8" w:rsidRDefault="008062F8" w:rsidP="00F74958">
      <w:pPr>
        <w:ind w:firstLine="720"/>
        <w:jc w:val="both"/>
      </w:pPr>
    </w:p>
    <w:p w14:paraId="2A21B13A" w14:textId="41949F10" w:rsidR="0037241E" w:rsidRDefault="0037241E" w:rsidP="00F74958">
      <w:pPr>
        <w:ind w:firstLine="720"/>
        <w:jc w:val="both"/>
      </w:pPr>
      <w:r>
        <w:t>ChargePoint</w:t>
      </w:r>
      <w:r w:rsidR="008062F8">
        <w:t xml:space="preserve"> also</w:t>
      </w:r>
      <w:r>
        <w:t xml:space="preserve"> does not satisfy the second prong of the </w:t>
      </w:r>
      <w:r w:rsidRPr="005166C1">
        <w:rPr>
          <w:i/>
        </w:rPr>
        <w:t>Agrico</w:t>
      </w:r>
      <w:r>
        <w:t xml:space="preserve"> test, because the injury it alleges is not of a type or nature </w:t>
      </w:r>
      <w:r w:rsidR="00054380">
        <w:t>that</w:t>
      </w:r>
      <w:r>
        <w:t xml:space="preserve"> this proceeding is designed to protect. In particular, </w:t>
      </w:r>
      <w:r w:rsidR="005166C1">
        <w:t xml:space="preserve">I find ChargePoint’s reliance upon </w:t>
      </w:r>
      <w:r>
        <w:t>Section 339.</w:t>
      </w:r>
      <w:r w:rsidR="005166C1">
        <w:t>287(2)(c)4., F.S., unpersuasive because the statu</w:t>
      </w:r>
      <w:r w:rsidR="00AA4FCE">
        <w:t>t</w:t>
      </w:r>
      <w:r w:rsidR="005166C1">
        <w:t xml:space="preserve">e does not confer standing on ChargePoint in a rate proceeding. </w:t>
      </w:r>
      <w:r w:rsidR="00054380">
        <w:t xml:space="preserve">In fact, that statute does not confer jurisdiction on the Commission; </w:t>
      </w:r>
      <w:r w:rsidR="004E19A2">
        <w:t xml:space="preserve">the statute addresses the Commission and the roles of other agencies and their involvement in the planning process. </w:t>
      </w:r>
      <w:r w:rsidR="005F5240">
        <w:t>Additionally, t</w:t>
      </w:r>
      <w:r w:rsidR="003C6CF6">
        <w:t xml:space="preserve">he </w:t>
      </w:r>
      <w:r w:rsidR="005166C1" w:rsidRPr="0003035E">
        <w:t xml:space="preserve">2021 Settlement </w:t>
      </w:r>
      <w:r w:rsidR="005166C1">
        <w:t xml:space="preserve">Agreement </w:t>
      </w:r>
      <w:r w:rsidR="005166C1" w:rsidRPr="0003035E">
        <w:t xml:space="preserve">was filed </w:t>
      </w:r>
      <w:r w:rsidR="0014342B">
        <w:t>pursuant</w:t>
      </w:r>
      <w:r w:rsidR="00AD7168">
        <w:t xml:space="preserve"> to</w:t>
      </w:r>
      <w:r w:rsidR="005166C1" w:rsidRPr="0003035E">
        <w:t xml:space="preserve"> </w:t>
      </w:r>
      <w:r w:rsidR="005166C1">
        <w:t>S</w:t>
      </w:r>
      <w:r w:rsidR="005166C1" w:rsidRPr="0003035E">
        <w:t xml:space="preserve">ection 366.076, </w:t>
      </w:r>
      <w:r w:rsidR="005166C1">
        <w:t>F.S.</w:t>
      </w:r>
      <w:r w:rsidR="005166C1" w:rsidRPr="0003035E">
        <w:t xml:space="preserve">, and nothing in that statute evidences a legislative intent to protect the type of interests asserted in </w:t>
      </w:r>
      <w:r w:rsidR="005166C1">
        <w:t>ChargePoint’s</w:t>
      </w:r>
      <w:r w:rsidR="005166C1" w:rsidRPr="0003035E">
        <w:t xml:space="preserve"> </w:t>
      </w:r>
      <w:r w:rsidR="00F55713">
        <w:t>P</w:t>
      </w:r>
      <w:r w:rsidR="005166C1" w:rsidRPr="0003035E">
        <w:t>etition.</w:t>
      </w:r>
      <w:r w:rsidR="003C6CF6" w:rsidRPr="003C6CF6">
        <w:t xml:space="preserve"> </w:t>
      </w:r>
      <w:r w:rsidR="005F5240" w:rsidRPr="005F5240">
        <w:rPr>
          <w:i/>
        </w:rPr>
        <w:t>Agrico</w:t>
      </w:r>
      <w:r w:rsidR="005F5240">
        <w:t xml:space="preserve"> provides that competitive economic injury may only qualify as an injury if the applicable governing statute is designed to protect against such an interest</w:t>
      </w:r>
      <w:r w:rsidR="005F5240" w:rsidRPr="00F94800">
        <w:t>,</w:t>
      </w:r>
      <w:r w:rsidR="00F94800" w:rsidRPr="00F94800">
        <w:t xml:space="preserve"> </w:t>
      </w:r>
      <w:r w:rsidR="005F5240" w:rsidRPr="00F94800">
        <w:t>a</w:t>
      </w:r>
      <w:r w:rsidR="005F5240">
        <w:t>nd this rate case proceeding was not designed to protect ChargePoint’s</w:t>
      </w:r>
      <w:r w:rsidR="004E19A2">
        <w:t xml:space="preserve"> alleged</w:t>
      </w:r>
      <w:r w:rsidR="005F5240">
        <w:t xml:space="preserve"> interests.</w:t>
      </w:r>
      <w:r w:rsidR="002A75D7">
        <w:t xml:space="preserve"> </w:t>
      </w:r>
      <w:r w:rsidR="002A75D7" w:rsidRPr="002A75D7">
        <w:rPr>
          <w:i/>
        </w:rPr>
        <w:t>See</w:t>
      </w:r>
      <w:r w:rsidR="002A75D7">
        <w:t xml:space="preserve"> </w:t>
      </w:r>
      <w:r w:rsidR="002A75D7" w:rsidRPr="005D0FBC">
        <w:rPr>
          <w:i/>
        </w:rPr>
        <w:t>Agrico Chemical Company v. Department of Environmental Regulation</w:t>
      </w:r>
      <w:r w:rsidR="00FF66ED">
        <w:t>,</w:t>
      </w:r>
      <w:r w:rsidR="002A75D7">
        <w:t xml:space="preserve"> 406 So. 2d 478, 482 (Fla. 2d DCA 1981)</w:t>
      </w:r>
      <w:r w:rsidR="00F9713C">
        <w:t xml:space="preserve">; </w:t>
      </w:r>
      <w:r w:rsidR="00F9713C">
        <w:rPr>
          <w:i/>
        </w:rPr>
        <w:t>see also</w:t>
      </w:r>
      <w:r w:rsidR="00F9713C">
        <w:t xml:space="preserve"> </w:t>
      </w:r>
      <w:r w:rsidR="00F9713C">
        <w:rPr>
          <w:i/>
        </w:rPr>
        <w:t>Florida Society of Ophthalmology v. State Board of Optometry</w:t>
      </w:r>
      <w:r w:rsidR="00F9713C">
        <w:t>, 532 So. 2d 1279, 1284 (Fla. 1</w:t>
      </w:r>
      <w:r w:rsidR="00F9713C" w:rsidRPr="000F6CBD">
        <w:t>st</w:t>
      </w:r>
      <w:r w:rsidR="00F9713C">
        <w:t xml:space="preserve"> DCA 1988) (“</w:t>
      </w:r>
      <w:r w:rsidR="00F9713C" w:rsidRPr="00630930">
        <w:t>Although one need not have his rights determined to become a party to a licensing proceeding, party status will be accorded only to those persons who will suffer an injury to their substantial interests in a manner sought to be prevented by the statutory scheme.</w:t>
      </w:r>
      <w:r w:rsidR="00F9713C">
        <w:t>”)</w:t>
      </w:r>
      <w:r w:rsidR="00F9713C" w:rsidRPr="00A60B3C">
        <w:t>.</w:t>
      </w:r>
    </w:p>
    <w:p w14:paraId="18F4FECE" w14:textId="77777777" w:rsidR="001272CE" w:rsidRDefault="001272CE" w:rsidP="001272CE">
      <w:pPr>
        <w:jc w:val="both"/>
      </w:pPr>
    </w:p>
    <w:p w14:paraId="09DFEF51" w14:textId="254D2AA8" w:rsidR="00B62AA8" w:rsidRDefault="00F74958" w:rsidP="00966522">
      <w:pPr>
        <w:jc w:val="both"/>
      </w:pPr>
      <w:r>
        <w:tab/>
      </w:r>
      <w:r w:rsidR="008C413E">
        <w:t>The Commission will hear public comment at the hear</w:t>
      </w:r>
      <w:r w:rsidR="00F55713">
        <w:t>ing where it will consider the 2021 S</w:t>
      </w:r>
      <w:r w:rsidR="008C413E">
        <w:t>ettlement</w:t>
      </w:r>
      <w:r w:rsidR="00F55713">
        <w:t xml:space="preserve"> Agreement. ChargeP</w:t>
      </w:r>
      <w:r w:rsidR="008C413E">
        <w:t>oint may address the Commission at the hearing.</w:t>
      </w:r>
      <w:r w:rsidRPr="0003035E">
        <w:t xml:space="preserve"> However, </w:t>
      </w:r>
      <w:r w:rsidR="00966522">
        <w:t xml:space="preserve">as noted in </w:t>
      </w:r>
      <w:r w:rsidR="00966522" w:rsidRPr="0003035E">
        <w:t>DEF</w:t>
      </w:r>
      <w:r w:rsidR="00966522">
        <w:t>’s Response</w:t>
      </w:r>
      <w:r w:rsidR="009148ED">
        <w:t xml:space="preserve"> in Opposition</w:t>
      </w:r>
      <w:r w:rsidR="00966522">
        <w:t xml:space="preserve">, </w:t>
      </w:r>
      <w:r w:rsidRPr="0003035E">
        <w:t xml:space="preserve">the mere desire to be heard on an issue that interests a putative intervenor does not confer standing to intervene. </w:t>
      </w:r>
    </w:p>
    <w:p w14:paraId="6EECBF07" w14:textId="77777777" w:rsidR="00B62AA8" w:rsidRDefault="00B62AA8" w:rsidP="00D57E57"/>
    <w:p w14:paraId="03D1837D" w14:textId="0C42D219" w:rsidR="00F55713" w:rsidRDefault="00B62AA8" w:rsidP="00D86E33">
      <w:pPr>
        <w:ind w:firstLine="720"/>
        <w:jc w:val="both"/>
      </w:pPr>
      <w:r>
        <w:t>For the reasons stated above, ChargePoint has failed to meet the legal standard for interventi</w:t>
      </w:r>
      <w:r w:rsidR="004E19A2">
        <w:t>on; therefore, its Petition to I</w:t>
      </w:r>
      <w:r>
        <w:t>ntervene is denied.</w:t>
      </w:r>
    </w:p>
    <w:p w14:paraId="07EC3A29" w14:textId="2ADB4307" w:rsidR="00C247F3" w:rsidRDefault="00C247F3" w:rsidP="00F94800">
      <w:pPr>
        <w:jc w:val="both"/>
      </w:pPr>
    </w:p>
    <w:p w14:paraId="64FE5E4A" w14:textId="77777777" w:rsidR="00B62AA8" w:rsidRDefault="00B62AA8" w:rsidP="00B62AA8">
      <w:pPr>
        <w:ind w:firstLine="720"/>
        <w:jc w:val="both"/>
      </w:pPr>
      <w:r>
        <w:t>Based on the foregoing, it is hereby</w:t>
      </w:r>
    </w:p>
    <w:p w14:paraId="0D743359" w14:textId="77777777" w:rsidR="00B62AA8" w:rsidRDefault="00B62AA8" w:rsidP="00B62AA8">
      <w:pPr>
        <w:ind w:firstLine="720"/>
        <w:jc w:val="both"/>
      </w:pPr>
    </w:p>
    <w:p w14:paraId="38D9FB5D" w14:textId="4F04E784" w:rsidR="00B62AA8" w:rsidRDefault="00B62AA8" w:rsidP="00AD7168">
      <w:pPr>
        <w:ind w:firstLine="720"/>
        <w:jc w:val="both"/>
      </w:pPr>
      <w:r>
        <w:t>ORDERED by Commissioner Mike La Rosa, as Prehearing Officer, that the Petition to Intervene filed by ChargePoint, Inc., is hereby denied.</w:t>
      </w:r>
    </w:p>
    <w:p w14:paraId="0A328288" w14:textId="77777777" w:rsidR="0071458D" w:rsidRDefault="0071458D" w:rsidP="00AD7168">
      <w:pPr>
        <w:ind w:firstLine="720"/>
        <w:jc w:val="both"/>
      </w:pPr>
    </w:p>
    <w:p w14:paraId="40E0A9B1" w14:textId="1AE89B40" w:rsidR="00B62AA8" w:rsidRDefault="00B62AA8" w:rsidP="00B62AA8">
      <w:pPr>
        <w:keepNext/>
        <w:keepLines/>
        <w:jc w:val="both"/>
      </w:pPr>
      <w:r>
        <w:tab/>
        <w:t xml:space="preserve">By ORDER of Commissioner Mike La Rosa, as Prehearing Officer, this </w:t>
      </w:r>
      <w:bookmarkStart w:id="6" w:name="replaceDate"/>
      <w:bookmarkEnd w:id="6"/>
      <w:r w:rsidR="00F10A26">
        <w:rPr>
          <w:u w:val="single"/>
        </w:rPr>
        <w:t>12th</w:t>
      </w:r>
      <w:r w:rsidR="00F10A26">
        <w:t xml:space="preserve"> day of </w:t>
      </w:r>
      <w:r w:rsidR="00F10A26">
        <w:rPr>
          <w:u w:val="single"/>
        </w:rPr>
        <w:t>April</w:t>
      </w:r>
      <w:r w:rsidR="00F10A26">
        <w:t xml:space="preserve">, </w:t>
      </w:r>
      <w:r w:rsidR="00F10A26">
        <w:rPr>
          <w:u w:val="single"/>
        </w:rPr>
        <w:t>2021</w:t>
      </w:r>
      <w:r w:rsidR="00F10A26">
        <w:t>.</w:t>
      </w:r>
    </w:p>
    <w:p w14:paraId="6898996D" w14:textId="77777777" w:rsidR="00F10A26" w:rsidRPr="00F10A26" w:rsidRDefault="00F10A26" w:rsidP="00B62AA8">
      <w:pPr>
        <w:keepNext/>
        <w:keepLines/>
        <w:jc w:val="both"/>
      </w:pPr>
    </w:p>
    <w:p w14:paraId="31B34B51" w14:textId="2FD9A75D" w:rsidR="00B62AA8" w:rsidRDefault="00B62AA8" w:rsidP="00B62AA8">
      <w:pPr>
        <w:keepNext/>
        <w:keepLines/>
        <w:jc w:val="both"/>
      </w:pPr>
    </w:p>
    <w:p w14:paraId="600D10C0" w14:textId="063699DB" w:rsidR="0071458D" w:rsidRDefault="0071458D" w:rsidP="00B62AA8">
      <w:pPr>
        <w:keepNext/>
        <w:keepLines/>
        <w:jc w:val="both"/>
      </w:pPr>
    </w:p>
    <w:p w14:paraId="465D2A35" w14:textId="77777777" w:rsidR="00B62AA8" w:rsidRDefault="00B62AA8" w:rsidP="00B62AA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62AA8" w14:paraId="4E490810" w14:textId="77777777" w:rsidTr="00B62AA8">
        <w:tc>
          <w:tcPr>
            <w:tcW w:w="720" w:type="dxa"/>
            <w:shd w:val="clear" w:color="auto" w:fill="auto"/>
          </w:tcPr>
          <w:p w14:paraId="7F290D8A" w14:textId="77777777" w:rsidR="00B62AA8" w:rsidRDefault="00B62AA8" w:rsidP="00B62AA8">
            <w:pPr>
              <w:keepNext/>
              <w:keepLines/>
              <w:jc w:val="both"/>
            </w:pPr>
            <w:bookmarkStart w:id="7" w:name="bkmrkSignature" w:colFirst="0" w:colLast="0"/>
          </w:p>
        </w:tc>
        <w:tc>
          <w:tcPr>
            <w:tcW w:w="4320" w:type="dxa"/>
            <w:tcBorders>
              <w:bottom w:val="single" w:sz="4" w:space="0" w:color="auto"/>
            </w:tcBorders>
            <w:shd w:val="clear" w:color="auto" w:fill="auto"/>
          </w:tcPr>
          <w:p w14:paraId="64F9629D" w14:textId="41B84055" w:rsidR="00B62AA8" w:rsidRDefault="008D209B" w:rsidP="00B62AA8">
            <w:pPr>
              <w:keepNext/>
              <w:keepLines/>
              <w:jc w:val="both"/>
            </w:pPr>
            <w:r>
              <w:rPr>
                <w:noProof/>
              </w:rPr>
              <w:t>/s/ Mike La Rosa</w:t>
            </w:r>
            <w:bookmarkStart w:id="8" w:name="_GoBack"/>
            <w:bookmarkEnd w:id="8"/>
          </w:p>
        </w:tc>
      </w:tr>
      <w:bookmarkEnd w:id="7"/>
      <w:tr w:rsidR="00B62AA8" w14:paraId="416D5084" w14:textId="77777777" w:rsidTr="00B62AA8">
        <w:tc>
          <w:tcPr>
            <w:tcW w:w="720" w:type="dxa"/>
            <w:shd w:val="clear" w:color="auto" w:fill="auto"/>
          </w:tcPr>
          <w:p w14:paraId="62C71E49" w14:textId="77777777" w:rsidR="00B62AA8" w:rsidRDefault="00B62AA8" w:rsidP="00B62AA8">
            <w:pPr>
              <w:keepNext/>
              <w:keepLines/>
              <w:jc w:val="both"/>
            </w:pPr>
          </w:p>
        </w:tc>
        <w:tc>
          <w:tcPr>
            <w:tcW w:w="4320" w:type="dxa"/>
            <w:tcBorders>
              <w:top w:val="single" w:sz="4" w:space="0" w:color="auto"/>
            </w:tcBorders>
            <w:shd w:val="clear" w:color="auto" w:fill="auto"/>
          </w:tcPr>
          <w:p w14:paraId="0BE1B382" w14:textId="77777777" w:rsidR="00B62AA8" w:rsidRDefault="00B62AA8" w:rsidP="00B62AA8">
            <w:pPr>
              <w:keepNext/>
              <w:keepLines/>
              <w:jc w:val="both"/>
            </w:pPr>
            <w:r>
              <w:t>Mike La Rosa</w:t>
            </w:r>
          </w:p>
          <w:p w14:paraId="6CB045A9" w14:textId="77777777" w:rsidR="00B62AA8" w:rsidRDefault="00B62AA8" w:rsidP="00B62AA8">
            <w:pPr>
              <w:keepNext/>
              <w:keepLines/>
              <w:jc w:val="both"/>
            </w:pPr>
            <w:r>
              <w:t>Commissioner and Prehearing Officer</w:t>
            </w:r>
          </w:p>
        </w:tc>
      </w:tr>
    </w:tbl>
    <w:p w14:paraId="19B6B5FE" w14:textId="77777777" w:rsidR="00B62AA8" w:rsidRDefault="00B62AA8" w:rsidP="00B62AA8">
      <w:pPr>
        <w:pStyle w:val="OrderSigInfo"/>
        <w:keepNext/>
        <w:keepLines/>
      </w:pPr>
      <w:r>
        <w:t>Florida Public Service Commission</w:t>
      </w:r>
    </w:p>
    <w:p w14:paraId="1170832E" w14:textId="77777777" w:rsidR="00B62AA8" w:rsidRDefault="00B62AA8" w:rsidP="00B62AA8">
      <w:pPr>
        <w:pStyle w:val="OrderSigInfo"/>
        <w:keepNext/>
        <w:keepLines/>
      </w:pPr>
      <w:r>
        <w:t>2540 Shumard Oak Boulevard</w:t>
      </w:r>
    </w:p>
    <w:p w14:paraId="24652E24" w14:textId="77777777" w:rsidR="00B62AA8" w:rsidRDefault="00B62AA8" w:rsidP="00B62AA8">
      <w:pPr>
        <w:pStyle w:val="OrderSigInfo"/>
        <w:keepNext/>
        <w:keepLines/>
      </w:pPr>
      <w:r>
        <w:t>Tallahassee, Florida 32399</w:t>
      </w:r>
    </w:p>
    <w:p w14:paraId="58A7D7EB" w14:textId="77777777" w:rsidR="00B62AA8" w:rsidRDefault="00B62AA8" w:rsidP="00B62AA8">
      <w:pPr>
        <w:pStyle w:val="OrderSigInfo"/>
        <w:keepNext/>
        <w:keepLines/>
      </w:pPr>
      <w:r>
        <w:t>(850) 413</w:t>
      </w:r>
      <w:r>
        <w:noBreakHyphen/>
        <w:t>6770</w:t>
      </w:r>
    </w:p>
    <w:p w14:paraId="3A133F18" w14:textId="77777777" w:rsidR="00B62AA8" w:rsidRDefault="00B62AA8" w:rsidP="00B62AA8">
      <w:pPr>
        <w:pStyle w:val="OrderSigInfo"/>
        <w:keepNext/>
        <w:keepLines/>
      </w:pPr>
      <w:r>
        <w:t>www.floridapsc.com</w:t>
      </w:r>
    </w:p>
    <w:p w14:paraId="0F6844B4" w14:textId="77777777" w:rsidR="00B62AA8" w:rsidRDefault="00B62AA8" w:rsidP="00B62AA8">
      <w:pPr>
        <w:pStyle w:val="OrderSigInfo"/>
        <w:keepNext/>
        <w:keepLines/>
      </w:pPr>
    </w:p>
    <w:p w14:paraId="2E205DB9" w14:textId="77777777" w:rsidR="00B62AA8" w:rsidRDefault="00B62AA8" w:rsidP="00B62AA8">
      <w:pPr>
        <w:pStyle w:val="OrderSigInfo"/>
        <w:keepNext/>
        <w:keepLines/>
      </w:pPr>
      <w:r>
        <w:t>Copies furnished:  A copy of this document is provided to the parties of record at the time of issuance and, if applicable, interested persons.</w:t>
      </w:r>
    </w:p>
    <w:p w14:paraId="2AB83BC1" w14:textId="77777777" w:rsidR="00B62AA8" w:rsidRDefault="00B62AA8" w:rsidP="00B62AA8">
      <w:pPr>
        <w:pStyle w:val="OrderBody"/>
        <w:keepNext/>
        <w:keepLines/>
      </w:pPr>
    </w:p>
    <w:p w14:paraId="78D921C4" w14:textId="50E08C00" w:rsidR="00B62AA8" w:rsidRDefault="00B62AA8" w:rsidP="00B62AA8">
      <w:pPr>
        <w:keepNext/>
        <w:keepLines/>
        <w:jc w:val="both"/>
      </w:pPr>
      <w:r>
        <w:t>WLT</w:t>
      </w:r>
      <w:r w:rsidR="00AA4ABF">
        <w:t>/AJW</w:t>
      </w:r>
    </w:p>
    <w:p w14:paraId="3CF1676C" w14:textId="77777777" w:rsidR="00B62AA8" w:rsidRDefault="00B62AA8" w:rsidP="00B62AA8">
      <w:pPr>
        <w:jc w:val="both"/>
      </w:pPr>
    </w:p>
    <w:p w14:paraId="5048CC1C" w14:textId="36019614" w:rsidR="0071458D" w:rsidRDefault="0071458D" w:rsidP="00B62AA8">
      <w:pPr>
        <w:jc w:val="both"/>
      </w:pPr>
    </w:p>
    <w:p w14:paraId="2C9B7033" w14:textId="77777777" w:rsidR="00B62AA8" w:rsidRDefault="00B62AA8" w:rsidP="00B62AA8">
      <w:pPr>
        <w:pStyle w:val="CenterUnderline"/>
      </w:pPr>
      <w:r>
        <w:t>NOTICE OF FURTHER PROCEEDINGS OR JUDICIAL REVIEW</w:t>
      </w:r>
    </w:p>
    <w:p w14:paraId="622C2B38" w14:textId="77777777" w:rsidR="00B62AA8" w:rsidRDefault="00B62AA8" w:rsidP="00B62AA8">
      <w:pPr>
        <w:pStyle w:val="CenterUnderline"/>
      </w:pPr>
    </w:p>
    <w:p w14:paraId="5382E340" w14:textId="77777777" w:rsidR="00B62AA8" w:rsidRDefault="00B62AA8" w:rsidP="00B62AA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F54FB45" w14:textId="77777777" w:rsidR="00B62AA8" w:rsidRDefault="00B62AA8" w:rsidP="00B62AA8">
      <w:pPr>
        <w:pStyle w:val="OrderBody"/>
      </w:pPr>
    </w:p>
    <w:p w14:paraId="5A386AEB" w14:textId="77777777" w:rsidR="00B62AA8" w:rsidRDefault="00B62AA8" w:rsidP="00B62AA8">
      <w:pPr>
        <w:pStyle w:val="OrderBody"/>
      </w:pPr>
      <w:r>
        <w:tab/>
        <w:t>Mediation may be available on a case-by-case basis.  If mediation is conducted, it does not affect a substantially interested person's right to a hearing.</w:t>
      </w:r>
    </w:p>
    <w:p w14:paraId="416AA5F1" w14:textId="77777777" w:rsidR="00B62AA8" w:rsidRDefault="00B62AA8" w:rsidP="00B62AA8">
      <w:pPr>
        <w:pStyle w:val="OrderBody"/>
      </w:pPr>
    </w:p>
    <w:p w14:paraId="753E68EF" w14:textId="18E57526" w:rsidR="00B62AA8" w:rsidRPr="00B62AA8" w:rsidRDefault="00B62AA8" w:rsidP="003B0A72">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w:t>
      </w:r>
      <w:r>
        <w:lastRenderedPageBreak/>
        <w:t>of the final action will not provide an adequate remedy.  Such review may be requested from the appropriate court, as described above, pursuant to Rule 9.100, Florida Rules of Appellate Procedure.</w:t>
      </w:r>
    </w:p>
    <w:sectPr w:rsidR="00B62AA8" w:rsidRPr="00B62AA8">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4BC5E" w14:textId="77777777" w:rsidR="006527C0" w:rsidRDefault="006527C0">
      <w:r>
        <w:separator/>
      </w:r>
    </w:p>
  </w:endnote>
  <w:endnote w:type="continuationSeparator" w:id="0">
    <w:p w14:paraId="0DB29958" w14:textId="77777777" w:rsidR="006527C0" w:rsidRDefault="0065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B55E" w14:textId="77777777" w:rsidR="00FA6EFD" w:rsidRDefault="00FA6EFD">
    <w:pPr>
      <w:pStyle w:val="Footer"/>
    </w:pPr>
  </w:p>
  <w:p w14:paraId="4EB1A7D8"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2597F" w14:textId="77777777" w:rsidR="006527C0" w:rsidRDefault="006527C0">
      <w:r>
        <w:separator/>
      </w:r>
    </w:p>
  </w:footnote>
  <w:footnote w:type="continuationSeparator" w:id="0">
    <w:p w14:paraId="465DBADE" w14:textId="77777777" w:rsidR="006527C0" w:rsidRDefault="006527C0">
      <w:r>
        <w:continuationSeparator/>
      </w:r>
    </w:p>
  </w:footnote>
  <w:footnote w:id="1">
    <w:p w14:paraId="3C7C1887" w14:textId="08D25048" w:rsidR="004F784B" w:rsidRDefault="004F784B" w:rsidP="004F784B">
      <w:pPr>
        <w:pStyle w:val="FootnoteText"/>
      </w:pPr>
      <w:r>
        <w:rPr>
          <w:rStyle w:val="FootnoteReference"/>
        </w:rPr>
        <w:footnoteRef/>
      </w:r>
      <w:r>
        <w:t xml:space="preserve"> Order No. PSC-2017-0451-AS-EU</w:t>
      </w:r>
      <w:r w:rsidRPr="005002F0">
        <w:t>,</w:t>
      </w:r>
      <w:r w:rsidRPr="005002F0">
        <w:rPr>
          <w:spacing w:val="45"/>
        </w:rPr>
        <w:t xml:space="preserve"> </w:t>
      </w:r>
      <w:r w:rsidR="00126711">
        <w:t>issued</w:t>
      </w:r>
      <w:r w:rsidRPr="005002F0">
        <w:rPr>
          <w:spacing w:val="45"/>
        </w:rPr>
        <w:t xml:space="preserve"> </w:t>
      </w:r>
      <w:r w:rsidRPr="005002F0">
        <w:t>Nov</w:t>
      </w:r>
      <w:r>
        <w:t>ember</w:t>
      </w:r>
      <w:r w:rsidRPr="005002F0">
        <w:rPr>
          <w:spacing w:val="46"/>
        </w:rPr>
        <w:t xml:space="preserve"> </w:t>
      </w:r>
      <w:r w:rsidRPr="005002F0">
        <w:t>20, 2017</w:t>
      </w:r>
      <w:r>
        <w:t xml:space="preserve">, in Docket Nos. 20170183-EI, 20100437-EI, 20150171-EI, 20170001-EI, 20170002-EG, and 20170009-EI, </w:t>
      </w:r>
      <w:r w:rsidRPr="00A24DB8">
        <w:rPr>
          <w:i/>
          <w:iCs/>
        </w:rPr>
        <w:t>In re: Application for limited proceeding to approve 2017 second revised and restated settlement agreement, including certain rate adjustments, by Duke Energy Florida, LLC</w:t>
      </w:r>
      <w:r w:rsidR="00126711">
        <w:rPr>
          <w:i/>
          <w:iCs/>
        </w:rPr>
        <w:t>.</w:t>
      </w:r>
      <w:r w:rsidRPr="00A24DB8">
        <w:rPr>
          <w:i/>
          <w:iCs/>
        </w:rPr>
        <w:t xml:space="preserve">, In re: Examination of the outage and replacement fuel/power costs associated with the CR3 steam generator replacement project, by Progress Energy Florida, Inc., In re: Petition for issuance of nuclear asset-recovery financing order, by Duke Energy Florida, Inc., d/b/a Duke Energy, In re: Fuel and purchased power cost </w:t>
      </w:r>
      <w:r w:rsidR="009148ED" w:rsidRPr="009148ED">
        <w:rPr>
          <w:i/>
          <w:iCs/>
        </w:rPr>
        <w:t>recovery</w:t>
      </w:r>
      <w:r w:rsidRPr="00A24DB8">
        <w:rPr>
          <w:i/>
          <w:iCs/>
        </w:rPr>
        <w:t xml:space="preserve"> clause with generating performance incentive factor, In re: Energy conservation cost recovery clause, and In re: Nuclear cost recovery clause.</w:t>
      </w:r>
      <w:r>
        <w:t xml:space="preserve"> </w:t>
      </w:r>
    </w:p>
  </w:footnote>
  <w:footnote w:id="2">
    <w:p w14:paraId="5C141FCD" w14:textId="036E852D" w:rsidR="004576E9" w:rsidRDefault="004576E9">
      <w:pPr>
        <w:pStyle w:val="FootnoteText"/>
      </w:pPr>
      <w:r>
        <w:rPr>
          <w:rStyle w:val="FootnoteReference"/>
        </w:rPr>
        <w:footnoteRef/>
      </w:r>
      <w:r>
        <w:t xml:space="preserve"> </w:t>
      </w:r>
      <w:r w:rsidR="00EF0834" w:rsidRPr="00EF0834">
        <w:t>Order No. PSC-2017-0397-PCO-EI</w:t>
      </w:r>
      <w:r w:rsidR="00622A1C">
        <w:t xml:space="preserve">, issued </w:t>
      </w:r>
      <w:r w:rsidR="00EF0834" w:rsidRPr="00EF0834">
        <w:t>Oct</w:t>
      </w:r>
      <w:r w:rsidR="00622A1C">
        <w:t>ober</w:t>
      </w:r>
      <w:r w:rsidR="00EF0834" w:rsidRPr="00EF0834">
        <w:t xml:space="preserve"> 20, 2017</w:t>
      </w:r>
      <w:r w:rsidR="004F784B">
        <w:t>,</w:t>
      </w:r>
      <w:r w:rsidR="00622A1C">
        <w:t xml:space="preserve"> in Docket No. </w:t>
      </w:r>
      <w:r w:rsidR="004F784B">
        <w:t xml:space="preserve">20170183-EI, </w:t>
      </w:r>
      <w:r w:rsidR="004F784B" w:rsidRPr="00A24DB8">
        <w:rPr>
          <w:i/>
          <w:iCs/>
        </w:rPr>
        <w:t>In re: Petition for limited proceeding to approve 2017 second revised and restated settlement agreement, including certain rate adjustments by Duke Energy Florida, LLC</w:t>
      </w:r>
      <w:r w:rsidR="00EF0834" w:rsidRPr="00EF0834">
        <w:t xml:space="preserve">. </w:t>
      </w:r>
    </w:p>
  </w:footnote>
  <w:footnote w:id="3">
    <w:p w14:paraId="59CB2783" w14:textId="736A4318" w:rsidR="00322548" w:rsidRDefault="00322548">
      <w:pPr>
        <w:pStyle w:val="FootnoteText"/>
      </w:pPr>
      <w:r>
        <w:rPr>
          <w:rStyle w:val="FootnoteReference"/>
        </w:rPr>
        <w:footnoteRef/>
      </w:r>
      <w:r w:rsidR="00C2268B">
        <w:t xml:space="preserve"> </w:t>
      </w:r>
      <w:r w:rsidR="00E03C12">
        <w:t xml:space="preserve">ChargePoint failed to point out that </w:t>
      </w:r>
      <w:r w:rsidR="00FF66ED">
        <w:t>in the 2017 order denying ChargePoint’</w:t>
      </w:r>
      <w:r w:rsidR="009B445B">
        <w:t>s intervention</w:t>
      </w:r>
      <w:r w:rsidR="00FF66ED">
        <w:t xml:space="preserve"> </w:t>
      </w:r>
      <w:r w:rsidR="00E03C12">
        <w:t>the</w:t>
      </w:r>
      <w:r w:rsidR="003C6CF6">
        <w:t xml:space="preserve"> Commission made clear that “[c]ompetitive economic injury may only qualify as an injury if the applicable governing statute is designed to protect against such an interest.” </w:t>
      </w:r>
      <w:r w:rsidR="003C6CF6" w:rsidRPr="003C6CF6">
        <w:rPr>
          <w:i/>
        </w:rPr>
        <w:t>Id</w:t>
      </w:r>
      <w:r w:rsidR="003C6CF6">
        <w:t xml:space="preserve">. </w:t>
      </w:r>
    </w:p>
  </w:footnote>
  <w:footnote w:id="4">
    <w:p w14:paraId="34543C1D" w14:textId="78F7E496" w:rsidR="00D34FC9" w:rsidRPr="0037241E" w:rsidRDefault="00D34FC9" w:rsidP="0037241E">
      <w:pPr>
        <w:jc w:val="both"/>
        <w:rPr>
          <w:sz w:val="20"/>
          <w:szCs w:val="20"/>
        </w:rPr>
      </w:pPr>
      <w:r w:rsidRPr="0037241E">
        <w:rPr>
          <w:rStyle w:val="FootnoteReference"/>
          <w:sz w:val="20"/>
          <w:szCs w:val="20"/>
        </w:rPr>
        <w:footnoteRef/>
      </w:r>
      <w:r w:rsidRPr="0037241E">
        <w:rPr>
          <w:sz w:val="20"/>
          <w:szCs w:val="20"/>
        </w:rPr>
        <w:t xml:space="preserve"> S</w:t>
      </w:r>
      <w:r w:rsidR="007244DA" w:rsidRPr="0037241E">
        <w:rPr>
          <w:sz w:val="20"/>
          <w:szCs w:val="20"/>
        </w:rPr>
        <w:t>ection</w:t>
      </w:r>
      <w:r w:rsidR="00E03C12">
        <w:rPr>
          <w:sz w:val="20"/>
          <w:szCs w:val="20"/>
        </w:rPr>
        <w:t xml:space="preserve"> 339.287(2)</w:t>
      </w:r>
      <w:r w:rsidRPr="0037241E">
        <w:rPr>
          <w:sz w:val="20"/>
          <w:szCs w:val="20"/>
        </w:rPr>
        <w:t xml:space="preserve">, </w:t>
      </w:r>
      <w:r w:rsidR="004E6B19" w:rsidRPr="0037241E">
        <w:rPr>
          <w:sz w:val="20"/>
          <w:szCs w:val="20"/>
        </w:rPr>
        <w:t>F.S., provides that the Commission, i</w:t>
      </w:r>
      <w:r w:rsidR="0037241E">
        <w:rPr>
          <w:sz w:val="20"/>
          <w:szCs w:val="20"/>
          <w:shd w:val="clear" w:color="auto" w:fill="FFFFFF"/>
        </w:rPr>
        <w:t>n consultation with the Florida D</w:t>
      </w:r>
      <w:r w:rsidR="004E6B19" w:rsidRPr="0037241E">
        <w:rPr>
          <w:sz w:val="20"/>
          <w:szCs w:val="20"/>
          <w:shd w:val="clear" w:color="auto" w:fill="FFFFFF"/>
        </w:rPr>
        <w:t xml:space="preserve">epartment </w:t>
      </w:r>
      <w:r w:rsidR="0037241E">
        <w:rPr>
          <w:sz w:val="20"/>
          <w:szCs w:val="20"/>
          <w:shd w:val="clear" w:color="auto" w:fill="FFFFFF"/>
        </w:rPr>
        <w:t xml:space="preserve">of </w:t>
      </w:r>
      <w:r w:rsidR="00AA4FCE">
        <w:rPr>
          <w:sz w:val="20"/>
          <w:szCs w:val="20"/>
          <w:shd w:val="clear" w:color="auto" w:fill="FFFFFF"/>
        </w:rPr>
        <w:t>Transportation</w:t>
      </w:r>
      <w:r w:rsidR="0037241E">
        <w:rPr>
          <w:sz w:val="20"/>
          <w:szCs w:val="20"/>
          <w:shd w:val="clear" w:color="auto" w:fill="FFFFFF"/>
        </w:rPr>
        <w:t xml:space="preserve">, </w:t>
      </w:r>
      <w:r w:rsidR="004E6B19" w:rsidRPr="0037241E">
        <w:rPr>
          <w:sz w:val="20"/>
          <w:szCs w:val="20"/>
          <w:shd w:val="clear" w:color="auto" w:fill="FFFFFF"/>
        </w:rPr>
        <w:t>the Office of Energy within the Department of Agriculture and Consumer Services, and any other public or private entities as necessary or appropriate, shall be primarily responsible for</w:t>
      </w:r>
      <w:r w:rsidR="00AD21A7">
        <w:rPr>
          <w:sz w:val="20"/>
          <w:szCs w:val="20"/>
          <w:shd w:val="clear" w:color="auto" w:fill="FFFFFF"/>
        </w:rPr>
        <w:t xml:space="preserve"> certain goals and objectives  in developing a master </w:t>
      </w:r>
      <w:r w:rsidR="009C5E5C">
        <w:rPr>
          <w:sz w:val="20"/>
          <w:szCs w:val="20"/>
          <w:shd w:val="clear" w:color="auto" w:fill="FFFFFF"/>
        </w:rPr>
        <w:t xml:space="preserve">plan for current and future </w:t>
      </w:r>
      <w:r w:rsidR="00AD21A7">
        <w:rPr>
          <w:sz w:val="20"/>
          <w:szCs w:val="20"/>
          <w:shd w:val="clear" w:color="auto" w:fill="FFFFFF"/>
        </w:rPr>
        <w:t>development of electric vehicle charging infrastructure along the State Highway System.</w:t>
      </w:r>
      <w:r w:rsidR="004E6B19" w:rsidRPr="0037241E">
        <w:rPr>
          <w:sz w:val="20"/>
          <w:szCs w:val="20"/>
          <w:shd w:val="clear" w:color="auto" w:fill="FFFFFF"/>
        </w:rPr>
        <w:t xml:space="preserve"> </w:t>
      </w:r>
      <w:r w:rsidR="00C2268B">
        <w:rPr>
          <w:sz w:val="20"/>
          <w:szCs w:val="20"/>
          <w:shd w:val="clear" w:color="auto" w:fill="FFFFFF"/>
        </w:rPr>
        <w:t>As set out in Section 339.287(2)(c)4., F.S., the</w:t>
      </w:r>
      <w:r w:rsidR="00AD21A7">
        <w:rPr>
          <w:sz w:val="20"/>
          <w:szCs w:val="20"/>
          <w:shd w:val="clear" w:color="auto" w:fill="FFFFFF"/>
        </w:rPr>
        <w:t xml:space="preserve"> Commission’s responsibilities include </w:t>
      </w:r>
      <w:r w:rsidR="00BB3B7B">
        <w:rPr>
          <w:sz w:val="20"/>
          <w:szCs w:val="20"/>
          <w:shd w:val="clear" w:color="auto" w:fill="FFFFFF"/>
        </w:rPr>
        <w:t>“[</w:t>
      </w:r>
      <w:r w:rsidR="0037241E" w:rsidRPr="0037241E">
        <w:rPr>
          <w:sz w:val="20"/>
          <w:szCs w:val="20"/>
          <w:shd w:val="clear" w:color="auto" w:fill="FFFFFF"/>
        </w:rPr>
        <w:t>i</w:t>
      </w:r>
      <w:r w:rsidR="00BB3B7B">
        <w:rPr>
          <w:sz w:val="20"/>
          <w:szCs w:val="20"/>
          <w:shd w:val="clear" w:color="auto" w:fill="FFFFFF"/>
        </w:rPr>
        <w:t>]</w:t>
      </w:r>
      <w:r w:rsidR="0037241E" w:rsidRPr="0037241E">
        <w:rPr>
          <w:sz w:val="20"/>
          <w:szCs w:val="20"/>
          <w:shd w:val="clear" w:color="auto" w:fill="FFFFFF"/>
        </w:rPr>
        <w:t>dentifying the type of regulatory structure necessary for the delivery of electricity to electric vehicles and charging station infrastructure, including competitive neutral policies and the participation of public utilities in the marketplace.</w:t>
      </w:r>
      <w:r w:rsidR="00BB3B7B">
        <w:rPr>
          <w:sz w:val="20"/>
          <w:szCs w:val="20"/>
          <w:shd w:val="clear" w:color="auto" w:fill="FFFFFF"/>
        </w:rPr>
        <w:t xml:space="preserve">” </w:t>
      </w:r>
      <w:r w:rsidR="00BB3B7B" w:rsidRPr="00BB3B7B">
        <w:rPr>
          <w:i/>
          <w:sz w:val="20"/>
          <w:szCs w:val="20"/>
          <w:shd w:val="clear" w:color="auto" w:fill="FFFFFF"/>
        </w:rPr>
        <w:t>Id</w:t>
      </w:r>
      <w:r w:rsidR="00BB3B7B">
        <w:rPr>
          <w:sz w:val="20"/>
          <w:szCs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98ED0" w14:textId="0A8D774F" w:rsidR="00FA6EFD" w:rsidRDefault="00FA6EFD">
    <w:pPr>
      <w:pStyle w:val="OrderHeader"/>
    </w:pPr>
    <w:r>
      <w:t xml:space="preserve">ORDER NO. </w:t>
    </w:r>
    <w:fldSimple w:instr=" REF OrderNo0126 ">
      <w:r w:rsidR="008D209B">
        <w:t>PSC-2021-0126-PCO-EI</w:t>
      </w:r>
    </w:fldSimple>
  </w:p>
  <w:p w14:paraId="3F5551E2" w14:textId="77777777" w:rsidR="008407E7" w:rsidRDefault="00B62AA8">
    <w:pPr>
      <w:pStyle w:val="OrderHeader"/>
    </w:pPr>
    <w:bookmarkStart w:id="9" w:name="HeaderDocketNo"/>
    <w:bookmarkEnd w:id="9"/>
    <w:r>
      <w:t>DOCKET NO</w:t>
    </w:r>
    <w:r w:rsidR="00AD5F46">
      <w:t>S</w:t>
    </w:r>
    <w:r>
      <w:t xml:space="preserve">. </w:t>
    </w:r>
    <w:r w:rsidR="00AD5F46">
      <w:t xml:space="preserve">20190110-EI, </w:t>
    </w:r>
  </w:p>
  <w:p w14:paraId="7B48B82C" w14:textId="5CEB0616" w:rsidR="00FA6EFD" w:rsidRDefault="00AD5F46">
    <w:pPr>
      <w:pStyle w:val="OrderHeader"/>
    </w:pPr>
    <w:r>
      <w:t xml:space="preserve">20190222-EI, </w:t>
    </w:r>
    <w:r w:rsidR="00B62AA8">
      <w:t>20210016-EI</w:t>
    </w:r>
  </w:p>
  <w:p w14:paraId="2FCE5E81" w14:textId="57FA91B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13C7">
      <w:rPr>
        <w:rStyle w:val="PageNumber"/>
        <w:noProof/>
      </w:rPr>
      <w:t>6</w:t>
    </w:r>
    <w:r>
      <w:rPr>
        <w:rStyle w:val="PageNumber"/>
      </w:rPr>
      <w:fldChar w:fldCharType="end"/>
    </w:r>
  </w:p>
  <w:p w14:paraId="1B0C51B5"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4A0513"/>
    <w:multiLevelType w:val="hybridMultilevel"/>
    <w:tmpl w:val="F84E5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6-EI"/>
  </w:docVars>
  <w:rsids>
    <w:rsidRoot w:val="00B62AA8"/>
    <w:rsid w:val="000022B8"/>
    <w:rsid w:val="000052A4"/>
    <w:rsid w:val="00005E1E"/>
    <w:rsid w:val="00011251"/>
    <w:rsid w:val="00025C9D"/>
    <w:rsid w:val="0003035E"/>
    <w:rsid w:val="0003433F"/>
    <w:rsid w:val="00035A8C"/>
    <w:rsid w:val="00036BDD"/>
    <w:rsid w:val="00040F60"/>
    <w:rsid w:val="000437B8"/>
    <w:rsid w:val="00053AB9"/>
    <w:rsid w:val="00054380"/>
    <w:rsid w:val="00056229"/>
    <w:rsid w:val="00057AF1"/>
    <w:rsid w:val="00065FC2"/>
    <w:rsid w:val="00067685"/>
    <w:rsid w:val="00067B07"/>
    <w:rsid w:val="000730D7"/>
    <w:rsid w:val="00076E6B"/>
    <w:rsid w:val="00081AE4"/>
    <w:rsid w:val="0008247D"/>
    <w:rsid w:val="00090AFC"/>
    <w:rsid w:val="00092753"/>
    <w:rsid w:val="00096507"/>
    <w:rsid w:val="000A733D"/>
    <w:rsid w:val="000B783E"/>
    <w:rsid w:val="000B7D81"/>
    <w:rsid w:val="000C1994"/>
    <w:rsid w:val="000C4C12"/>
    <w:rsid w:val="000C6926"/>
    <w:rsid w:val="000D02B8"/>
    <w:rsid w:val="000D06E8"/>
    <w:rsid w:val="000D6818"/>
    <w:rsid w:val="000D6E65"/>
    <w:rsid w:val="000D78FB"/>
    <w:rsid w:val="000E050C"/>
    <w:rsid w:val="000E18E3"/>
    <w:rsid w:val="000E20F0"/>
    <w:rsid w:val="000E2593"/>
    <w:rsid w:val="000E344D"/>
    <w:rsid w:val="000E3F6D"/>
    <w:rsid w:val="000F359F"/>
    <w:rsid w:val="000F3B2C"/>
    <w:rsid w:val="000F3F6C"/>
    <w:rsid w:val="000F63EB"/>
    <w:rsid w:val="000F648A"/>
    <w:rsid w:val="000F7BE3"/>
    <w:rsid w:val="00101603"/>
    <w:rsid w:val="00104333"/>
    <w:rsid w:val="001052BA"/>
    <w:rsid w:val="001107B3"/>
    <w:rsid w:val="001114B1"/>
    <w:rsid w:val="001139D8"/>
    <w:rsid w:val="00116AD3"/>
    <w:rsid w:val="00121957"/>
    <w:rsid w:val="0012387E"/>
    <w:rsid w:val="001259EC"/>
    <w:rsid w:val="00126593"/>
    <w:rsid w:val="00126711"/>
    <w:rsid w:val="001272CE"/>
    <w:rsid w:val="00134177"/>
    <w:rsid w:val="00136087"/>
    <w:rsid w:val="00142A96"/>
    <w:rsid w:val="0014342B"/>
    <w:rsid w:val="001513DE"/>
    <w:rsid w:val="00154A71"/>
    <w:rsid w:val="001655D4"/>
    <w:rsid w:val="00165803"/>
    <w:rsid w:val="00187E32"/>
    <w:rsid w:val="00194A97"/>
    <w:rsid w:val="00194E81"/>
    <w:rsid w:val="001A15E7"/>
    <w:rsid w:val="001A33C9"/>
    <w:rsid w:val="001A58F3"/>
    <w:rsid w:val="001B034E"/>
    <w:rsid w:val="001B76BA"/>
    <w:rsid w:val="001C2847"/>
    <w:rsid w:val="001C3BB5"/>
    <w:rsid w:val="001C3F8C"/>
    <w:rsid w:val="001C6097"/>
    <w:rsid w:val="001C7126"/>
    <w:rsid w:val="001D008A"/>
    <w:rsid w:val="001E0152"/>
    <w:rsid w:val="001E0FF5"/>
    <w:rsid w:val="001F36B0"/>
    <w:rsid w:val="001F4CA3"/>
    <w:rsid w:val="001F59E0"/>
    <w:rsid w:val="002002ED"/>
    <w:rsid w:val="002044DD"/>
    <w:rsid w:val="002128F5"/>
    <w:rsid w:val="002170E5"/>
    <w:rsid w:val="00220D57"/>
    <w:rsid w:val="0022721A"/>
    <w:rsid w:val="00230BB9"/>
    <w:rsid w:val="00241CEF"/>
    <w:rsid w:val="00242541"/>
    <w:rsid w:val="0025124E"/>
    <w:rsid w:val="00252B30"/>
    <w:rsid w:val="002613E4"/>
    <w:rsid w:val="00262C43"/>
    <w:rsid w:val="0026544B"/>
    <w:rsid w:val="002671E9"/>
    <w:rsid w:val="00270F89"/>
    <w:rsid w:val="00276CDC"/>
    <w:rsid w:val="00277655"/>
    <w:rsid w:val="002824B7"/>
    <w:rsid w:val="00282AC4"/>
    <w:rsid w:val="00293DC9"/>
    <w:rsid w:val="00296583"/>
    <w:rsid w:val="00297C37"/>
    <w:rsid w:val="002A11AC"/>
    <w:rsid w:val="002A6F30"/>
    <w:rsid w:val="002A75D7"/>
    <w:rsid w:val="002B3111"/>
    <w:rsid w:val="002C118E"/>
    <w:rsid w:val="002C2096"/>
    <w:rsid w:val="002C7908"/>
    <w:rsid w:val="002C7E63"/>
    <w:rsid w:val="002D391B"/>
    <w:rsid w:val="002D4B1F"/>
    <w:rsid w:val="002D7D15"/>
    <w:rsid w:val="002E1B2E"/>
    <w:rsid w:val="002E27EB"/>
    <w:rsid w:val="002E4EF4"/>
    <w:rsid w:val="002F27ED"/>
    <w:rsid w:val="002F2A9D"/>
    <w:rsid w:val="002F31C2"/>
    <w:rsid w:val="002F7BF6"/>
    <w:rsid w:val="00303FDE"/>
    <w:rsid w:val="00313C5B"/>
    <w:rsid w:val="003140E8"/>
    <w:rsid w:val="00322548"/>
    <w:rsid w:val="003231C7"/>
    <w:rsid w:val="00323839"/>
    <w:rsid w:val="003270C4"/>
    <w:rsid w:val="00331ED0"/>
    <w:rsid w:val="00332B0A"/>
    <w:rsid w:val="00333A41"/>
    <w:rsid w:val="00336C2B"/>
    <w:rsid w:val="00345434"/>
    <w:rsid w:val="003466AB"/>
    <w:rsid w:val="003535F8"/>
    <w:rsid w:val="0035495B"/>
    <w:rsid w:val="00355A93"/>
    <w:rsid w:val="00361522"/>
    <w:rsid w:val="0037196E"/>
    <w:rsid w:val="0037241E"/>
    <w:rsid w:val="003744F5"/>
    <w:rsid w:val="003875A9"/>
    <w:rsid w:val="00387BDE"/>
    <w:rsid w:val="00390DD8"/>
    <w:rsid w:val="00394DC6"/>
    <w:rsid w:val="00397C3E"/>
    <w:rsid w:val="003B0A72"/>
    <w:rsid w:val="003B1A09"/>
    <w:rsid w:val="003C0431"/>
    <w:rsid w:val="003C5C0B"/>
    <w:rsid w:val="003C6484"/>
    <w:rsid w:val="003C6CF6"/>
    <w:rsid w:val="003D3989"/>
    <w:rsid w:val="003D4036"/>
    <w:rsid w:val="003D4CCA"/>
    <w:rsid w:val="003D52A6"/>
    <w:rsid w:val="003D6416"/>
    <w:rsid w:val="003E1D48"/>
    <w:rsid w:val="003E711F"/>
    <w:rsid w:val="003F1D2B"/>
    <w:rsid w:val="003F484B"/>
    <w:rsid w:val="003F49A6"/>
    <w:rsid w:val="004111EA"/>
    <w:rsid w:val="00411DF2"/>
    <w:rsid w:val="00411E8F"/>
    <w:rsid w:val="004155DC"/>
    <w:rsid w:val="004247F5"/>
    <w:rsid w:val="00424F5E"/>
    <w:rsid w:val="0042527B"/>
    <w:rsid w:val="00427EAC"/>
    <w:rsid w:val="00435613"/>
    <w:rsid w:val="004431B4"/>
    <w:rsid w:val="004432CB"/>
    <w:rsid w:val="0045537F"/>
    <w:rsid w:val="004576E9"/>
    <w:rsid w:val="00457DC7"/>
    <w:rsid w:val="00460F3A"/>
    <w:rsid w:val="004640B3"/>
    <w:rsid w:val="00472BCC"/>
    <w:rsid w:val="00494D83"/>
    <w:rsid w:val="004A25CD"/>
    <w:rsid w:val="004A26CC"/>
    <w:rsid w:val="004B006D"/>
    <w:rsid w:val="004B109B"/>
    <w:rsid w:val="004B1326"/>
    <w:rsid w:val="004B2108"/>
    <w:rsid w:val="004B3A2B"/>
    <w:rsid w:val="004B4640"/>
    <w:rsid w:val="004B5093"/>
    <w:rsid w:val="004B70D3"/>
    <w:rsid w:val="004C312D"/>
    <w:rsid w:val="004D2D1B"/>
    <w:rsid w:val="004D5067"/>
    <w:rsid w:val="004D63EF"/>
    <w:rsid w:val="004D6838"/>
    <w:rsid w:val="004D72BC"/>
    <w:rsid w:val="004E19A2"/>
    <w:rsid w:val="004E25B7"/>
    <w:rsid w:val="004E469D"/>
    <w:rsid w:val="004E6B19"/>
    <w:rsid w:val="004E7F4F"/>
    <w:rsid w:val="004F2DDE"/>
    <w:rsid w:val="004F5A55"/>
    <w:rsid w:val="004F7826"/>
    <w:rsid w:val="004F784B"/>
    <w:rsid w:val="005002F0"/>
    <w:rsid w:val="0050097F"/>
    <w:rsid w:val="00514B1F"/>
    <w:rsid w:val="005166C1"/>
    <w:rsid w:val="00523C5C"/>
    <w:rsid w:val="00525E93"/>
    <w:rsid w:val="0052671D"/>
    <w:rsid w:val="005300C0"/>
    <w:rsid w:val="00540E6B"/>
    <w:rsid w:val="0055595D"/>
    <w:rsid w:val="00556A10"/>
    <w:rsid w:val="00557F50"/>
    <w:rsid w:val="00571D3D"/>
    <w:rsid w:val="005725A0"/>
    <w:rsid w:val="0058264B"/>
    <w:rsid w:val="00586368"/>
    <w:rsid w:val="005868AA"/>
    <w:rsid w:val="00590845"/>
    <w:rsid w:val="005963C2"/>
    <w:rsid w:val="005A0D69"/>
    <w:rsid w:val="005A31F4"/>
    <w:rsid w:val="005A5EDA"/>
    <w:rsid w:val="005A73EA"/>
    <w:rsid w:val="005B45F7"/>
    <w:rsid w:val="005B63EA"/>
    <w:rsid w:val="005C1A88"/>
    <w:rsid w:val="005C5033"/>
    <w:rsid w:val="005C78A0"/>
    <w:rsid w:val="005D0FBC"/>
    <w:rsid w:val="005D4E1B"/>
    <w:rsid w:val="005E751B"/>
    <w:rsid w:val="005F3354"/>
    <w:rsid w:val="005F4AD6"/>
    <w:rsid w:val="005F5240"/>
    <w:rsid w:val="0060005E"/>
    <w:rsid w:val="0060095B"/>
    <w:rsid w:val="00601266"/>
    <w:rsid w:val="00601514"/>
    <w:rsid w:val="00610221"/>
    <w:rsid w:val="00610E73"/>
    <w:rsid w:val="00616DF2"/>
    <w:rsid w:val="00622A1C"/>
    <w:rsid w:val="0062385D"/>
    <w:rsid w:val="0063168D"/>
    <w:rsid w:val="00635C79"/>
    <w:rsid w:val="006455DF"/>
    <w:rsid w:val="00646D0B"/>
    <w:rsid w:val="00647025"/>
    <w:rsid w:val="0064730A"/>
    <w:rsid w:val="006527C0"/>
    <w:rsid w:val="006531A4"/>
    <w:rsid w:val="00655DB3"/>
    <w:rsid w:val="006606EF"/>
    <w:rsid w:val="00660774"/>
    <w:rsid w:val="0066389A"/>
    <w:rsid w:val="0066495C"/>
    <w:rsid w:val="00665CC7"/>
    <w:rsid w:val="00672612"/>
    <w:rsid w:val="00677D8B"/>
    <w:rsid w:val="00677F18"/>
    <w:rsid w:val="00693483"/>
    <w:rsid w:val="006A0BF3"/>
    <w:rsid w:val="006B0036"/>
    <w:rsid w:val="006B0DA6"/>
    <w:rsid w:val="006C547E"/>
    <w:rsid w:val="006D2B51"/>
    <w:rsid w:val="006D5575"/>
    <w:rsid w:val="006D7191"/>
    <w:rsid w:val="006E21C4"/>
    <w:rsid w:val="006E42BE"/>
    <w:rsid w:val="006E5C8B"/>
    <w:rsid w:val="006E5D4D"/>
    <w:rsid w:val="006E6D16"/>
    <w:rsid w:val="00703F2A"/>
    <w:rsid w:val="00704C5D"/>
    <w:rsid w:val="007072BC"/>
    <w:rsid w:val="0071458D"/>
    <w:rsid w:val="00715275"/>
    <w:rsid w:val="00721B44"/>
    <w:rsid w:val="007232A2"/>
    <w:rsid w:val="007244DA"/>
    <w:rsid w:val="00726366"/>
    <w:rsid w:val="00733B6B"/>
    <w:rsid w:val="00740808"/>
    <w:rsid w:val="00744423"/>
    <w:rsid w:val="007467C4"/>
    <w:rsid w:val="00757409"/>
    <w:rsid w:val="0076170F"/>
    <w:rsid w:val="00765DAF"/>
    <w:rsid w:val="0076669C"/>
    <w:rsid w:val="00766E46"/>
    <w:rsid w:val="00777727"/>
    <w:rsid w:val="0078166A"/>
    <w:rsid w:val="00782B79"/>
    <w:rsid w:val="00783811"/>
    <w:rsid w:val="007865E9"/>
    <w:rsid w:val="00786C9D"/>
    <w:rsid w:val="0078728C"/>
    <w:rsid w:val="007877F2"/>
    <w:rsid w:val="00787C7B"/>
    <w:rsid w:val="0079237D"/>
    <w:rsid w:val="00792383"/>
    <w:rsid w:val="00794D5A"/>
    <w:rsid w:val="00794DD9"/>
    <w:rsid w:val="007A060F"/>
    <w:rsid w:val="007B350E"/>
    <w:rsid w:val="007C0FBC"/>
    <w:rsid w:val="007C29C9"/>
    <w:rsid w:val="007C35B8"/>
    <w:rsid w:val="007C36E3"/>
    <w:rsid w:val="007C5FAC"/>
    <w:rsid w:val="007C7134"/>
    <w:rsid w:val="007D3D20"/>
    <w:rsid w:val="007D44F9"/>
    <w:rsid w:val="007D742E"/>
    <w:rsid w:val="007E3AFD"/>
    <w:rsid w:val="00801DAD"/>
    <w:rsid w:val="00803189"/>
    <w:rsid w:val="00804E7A"/>
    <w:rsid w:val="00805FBB"/>
    <w:rsid w:val="008062F8"/>
    <w:rsid w:val="00814292"/>
    <w:rsid w:val="008169A4"/>
    <w:rsid w:val="008278FE"/>
    <w:rsid w:val="00832598"/>
    <w:rsid w:val="0083397E"/>
    <w:rsid w:val="0083534B"/>
    <w:rsid w:val="008407E7"/>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3088"/>
    <w:rsid w:val="008C413E"/>
    <w:rsid w:val="008C6375"/>
    <w:rsid w:val="008C6A5B"/>
    <w:rsid w:val="008D209B"/>
    <w:rsid w:val="008D441D"/>
    <w:rsid w:val="008D498D"/>
    <w:rsid w:val="008D6D36"/>
    <w:rsid w:val="008E0693"/>
    <w:rsid w:val="008E26A5"/>
    <w:rsid w:val="008E42D2"/>
    <w:rsid w:val="008E6328"/>
    <w:rsid w:val="008F578F"/>
    <w:rsid w:val="008F5915"/>
    <w:rsid w:val="008F5D04"/>
    <w:rsid w:val="009040EE"/>
    <w:rsid w:val="009057FD"/>
    <w:rsid w:val="00906FBA"/>
    <w:rsid w:val="009148ED"/>
    <w:rsid w:val="0091614C"/>
    <w:rsid w:val="009163E8"/>
    <w:rsid w:val="00920D5D"/>
    <w:rsid w:val="00921BD3"/>
    <w:rsid w:val="009228C7"/>
    <w:rsid w:val="00922A7F"/>
    <w:rsid w:val="00923A5E"/>
    <w:rsid w:val="00924FE7"/>
    <w:rsid w:val="00926E27"/>
    <w:rsid w:val="00931C8C"/>
    <w:rsid w:val="00943D21"/>
    <w:rsid w:val="0094504B"/>
    <w:rsid w:val="00945851"/>
    <w:rsid w:val="009538AC"/>
    <w:rsid w:val="00964A38"/>
    <w:rsid w:val="00966522"/>
    <w:rsid w:val="00966A9D"/>
    <w:rsid w:val="0096742B"/>
    <w:rsid w:val="009718C5"/>
    <w:rsid w:val="00976AFF"/>
    <w:rsid w:val="00980154"/>
    <w:rsid w:val="009862B0"/>
    <w:rsid w:val="009924CF"/>
    <w:rsid w:val="00994100"/>
    <w:rsid w:val="009A6B17"/>
    <w:rsid w:val="009B445B"/>
    <w:rsid w:val="009C5E5C"/>
    <w:rsid w:val="009D4C29"/>
    <w:rsid w:val="009E1392"/>
    <w:rsid w:val="009E58E9"/>
    <w:rsid w:val="009F6AD2"/>
    <w:rsid w:val="009F7C1B"/>
    <w:rsid w:val="00A00D8D"/>
    <w:rsid w:val="00A01BB6"/>
    <w:rsid w:val="00A05D90"/>
    <w:rsid w:val="00A20253"/>
    <w:rsid w:val="00A22B28"/>
    <w:rsid w:val="00A24DB8"/>
    <w:rsid w:val="00A4303C"/>
    <w:rsid w:val="00A46CAF"/>
    <w:rsid w:val="00A470FD"/>
    <w:rsid w:val="00A50B5E"/>
    <w:rsid w:val="00A62DAB"/>
    <w:rsid w:val="00A6757A"/>
    <w:rsid w:val="00A71EFD"/>
    <w:rsid w:val="00A726A6"/>
    <w:rsid w:val="00A74842"/>
    <w:rsid w:val="00A8269A"/>
    <w:rsid w:val="00A9178A"/>
    <w:rsid w:val="00A9515B"/>
    <w:rsid w:val="00A97535"/>
    <w:rsid w:val="00AA1C4E"/>
    <w:rsid w:val="00AA2BAA"/>
    <w:rsid w:val="00AA4936"/>
    <w:rsid w:val="00AA4ABF"/>
    <w:rsid w:val="00AA4FCE"/>
    <w:rsid w:val="00AA6516"/>
    <w:rsid w:val="00AA73F1"/>
    <w:rsid w:val="00AB0E1A"/>
    <w:rsid w:val="00AB1A30"/>
    <w:rsid w:val="00AB3C36"/>
    <w:rsid w:val="00AB3D30"/>
    <w:rsid w:val="00AD10EB"/>
    <w:rsid w:val="00AD1ED3"/>
    <w:rsid w:val="00AD21A7"/>
    <w:rsid w:val="00AD5F46"/>
    <w:rsid w:val="00AD7168"/>
    <w:rsid w:val="00AE33EE"/>
    <w:rsid w:val="00B019C1"/>
    <w:rsid w:val="00B02001"/>
    <w:rsid w:val="00B03C50"/>
    <w:rsid w:val="00B0777D"/>
    <w:rsid w:val="00B11576"/>
    <w:rsid w:val="00B1195F"/>
    <w:rsid w:val="00B14D10"/>
    <w:rsid w:val="00B209C7"/>
    <w:rsid w:val="00B3632C"/>
    <w:rsid w:val="00B3644F"/>
    <w:rsid w:val="00B4057A"/>
    <w:rsid w:val="00B40894"/>
    <w:rsid w:val="00B41039"/>
    <w:rsid w:val="00B42987"/>
    <w:rsid w:val="00B444AE"/>
    <w:rsid w:val="00B45E75"/>
    <w:rsid w:val="00B50876"/>
    <w:rsid w:val="00B51074"/>
    <w:rsid w:val="00B54DAA"/>
    <w:rsid w:val="00B552E0"/>
    <w:rsid w:val="00B55AB0"/>
    <w:rsid w:val="00B55EE5"/>
    <w:rsid w:val="00B613C7"/>
    <w:rsid w:val="00B62AA8"/>
    <w:rsid w:val="00B67A43"/>
    <w:rsid w:val="00B71D1F"/>
    <w:rsid w:val="00B72CFF"/>
    <w:rsid w:val="00B73DE6"/>
    <w:rsid w:val="00B761CD"/>
    <w:rsid w:val="00B76B66"/>
    <w:rsid w:val="00B8337B"/>
    <w:rsid w:val="00B864D5"/>
    <w:rsid w:val="00B86EF0"/>
    <w:rsid w:val="00B96427"/>
    <w:rsid w:val="00B96969"/>
    <w:rsid w:val="00B977F7"/>
    <w:rsid w:val="00B97900"/>
    <w:rsid w:val="00BA1229"/>
    <w:rsid w:val="00BA44A8"/>
    <w:rsid w:val="00BA49C5"/>
    <w:rsid w:val="00BA4D0B"/>
    <w:rsid w:val="00BB0182"/>
    <w:rsid w:val="00BB3B7B"/>
    <w:rsid w:val="00BC12CD"/>
    <w:rsid w:val="00BC2C69"/>
    <w:rsid w:val="00BC786E"/>
    <w:rsid w:val="00BD5C92"/>
    <w:rsid w:val="00BE1D50"/>
    <w:rsid w:val="00BE50E6"/>
    <w:rsid w:val="00BE7A0C"/>
    <w:rsid w:val="00BF2928"/>
    <w:rsid w:val="00BF6691"/>
    <w:rsid w:val="00C028FC"/>
    <w:rsid w:val="00C037F2"/>
    <w:rsid w:val="00C0386D"/>
    <w:rsid w:val="00C05025"/>
    <w:rsid w:val="00C065A1"/>
    <w:rsid w:val="00C06BE1"/>
    <w:rsid w:val="00C07456"/>
    <w:rsid w:val="00C1044F"/>
    <w:rsid w:val="00C10ED5"/>
    <w:rsid w:val="00C12574"/>
    <w:rsid w:val="00C151A6"/>
    <w:rsid w:val="00C2268B"/>
    <w:rsid w:val="00C24098"/>
    <w:rsid w:val="00C247F3"/>
    <w:rsid w:val="00C30A4E"/>
    <w:rsid w:val="00C411F3"/>
    <w:rsid w:val="00C44105"/>
    <w:rsid w:val="00C55A33"/>
    <w:rsid w:val="00C6311B"/>
    <w:rsid w:val="00C66692"/>
    <w:rsid w:val="00C673B5"/>
    <w:rsid w:val="00C7063D"/>
    <w:rsid w:val="00C830BC"/>
    <w:rsid w:val="00C8524D"/>
    <w:rsid w:val="00C87175"/>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33F6"/>
    <w:rsid w:val="00D34FC9"/>
    <w:rsid w:val="00D409EE"/>
    <w:rsid w:val="00D45059"/>
    <w:rsid w:val="00D46FAA"/>
    <w:rsid w:val="00D47A40"/>
    <w:rsid w:val="00D51D33"/>
    <w:rsid w:val="00D57BB2"/>
    <w:rsid w:val="00D57E57"/>
    <w:rsid w:val="00D70752"/>
    <w:rsid w:val="00D80E2D"/>
    <w:rsid w:val="00D84D5E"/>
    <w:rsid w:val="00D8560E"/>
    <w:rsid w:val="00D8633A"/>
    <w:rsid w:val="00D868FA"/>
    <w:rsid w:val="00D86E33"/>
    <w:rsid w:val="00D8758F"/>
    <w:rsid w:val="00DA4EDD"/>
    <w:rsid w:val="00DA6B78"/>
    <w:rsid w:val="00DC1D94"/>
    <w:rsid w:val="00DC42CF"/>
    <w:rsid w:val="00DD66BE"/>
    <w:rsid w:val="00DE057F"/>
    <w:rsid w:val="00DE2082"/>
    <w:rsid w:val="00DE2289"/>
    <w:rsid w:val="00DF09A7"/>
    <w:rsid w:val="00DF2B51"/>
    <w:rsid w:val="00E001D6"/>
    <w:rsid w:val="00E03A76"/>
    <w:rsid w:val="00E03C12"/>
    <w:rsid w:val="00E04410"/>
    <w:rsid w:val="00E07484"/>
    <w:rsid w:val="00E11351"/>
    <w:rsid w:val="00E21BE6"/>
    <w:rsid w:val="00E4225C"/>
    <w:rsid w:val="00E44879"/>
    <w:rsid w:val="00E72914"/>
    <w:rsid w:val="00E75AE0"/>
    <w:rsid w:val="00E83C1F"/>
    <w:rsid w:val="00E85684"/>
    <w:rsid w:val="00E8794B"/>
    <w:rsid w:val="00E97656"/>
    <w:rsid w:val="00EA172C"/>
    <w:rsid w:val="00EA259B"/>
    <w:rsid w:val="00EA35A3"/>
    <w:rsid w:val="00EA3E6A"/>
    <w:rsid w:val="00EA480D"/>
    <w:rsid w:val="00EB067F"/>
    <w:rsid w:val="00EB18EF"/>
    <w:rsid w:val="00EB2DCE"/>
    <w:rsid w:val="00EB58F4"/>
    <w:rsid w:val="00EB7951"/>
    <w:rsid w:val="00EC2907"/>
    <w:rsid w:val="00EC568A"/>
    <w:rsid w:val="00ED095D"/>
    <w:rsid w:val="00ED6A79"/>
    <w:rsid w:val="00EE17DF"/>
    <w:rsid w:val="00EE2FC5"/>
    <w:rsid w:val="00EF0834"/>
    <w:rsid w:val="00EF1482"/>
    <w:rsid w:val="00EF4621"/>
    <w:rsid w:val="00EF4D52"/>
    <w:rsid w:val="00EF6312"/>
    <w:rsid w:val="00F038B0"/>
    <w:rsid w:val="00F05DD6"/>
    <w:rsid w:val="00F05F34"/>
    <w:rsid w:val="00F10A26"/>
    <w:rsid w:val="00F120ED"/>
    <w:rsid w:val="00F12F7B"/>
    <w:rsid w:val="00F22B27"/>
    <w:rsid w:val="00F234A7"/>
    <w:rsid w:val="00F24B26"/>
    <w:rsid w:val="00F277B6"/>
    <w:rsid w:val="00F27DA5"/>
    <w:rsid w:val="00F306BB"/>
    <w:rsid w:val="00F37E07"/>
    <w:rsid w:val="00F4182A"/>
    <w:rsid w:val="00F54380"/>
    <w:rsid w:val="00F54B47"/>
    <w:rsid w:val="00F55713"/>
    <w:rsid w:val="00F61247"/>
    <w:rsid w:val="00F61F61"/>
    <w:rsid w:val="00F63191"/>
    <w:rsid w:val="00F6702E"/>
    <w:rsid w:val="00F70E84"/>
    <w:rsid w:val="00F74958"/>
    <w:rsid w:val="00F8752B"/>
    <w:rsid w:val="00F94800"/>
    <w:rsid w:val="00F9713C"/>
    <w:rsid w:val="00FA092B"/>
    <w:rsid w:val="00FA4F6C"/>
    <w:rsid w:val="00FA6EFD"/>
    <w:rsid w:val="00FB3791"/>
    <w:rsid w:val="00FB6780"/>
    <w:rsid w:val="00FB74EA"/>
    <w:rsid w:val="00FD2C9E"/>
    <w:rsid w:val="00FD4786"/>
    <w:rsid w:val="00FD616C"/>
    <w:rsid w:val="00FE53F2"/>
    <w:rsid w:val="00FF0A00"/>
    <w:rsid w:val="00FF1C57"/>
    <w:rsid w:val="00FF2581"/>
    <w:rsid w:val="00F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D0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C05025"/>
    <w:pPr>
      <w:ind w:left="720"/>
      <w:contextualSpacing/>
    </w:pPr>
  </w:style>
  <w:style w:type="paragraph" w:styleId="BalloonText">
    <w:name w:val="Balloon Text"/>
    <w:basedOn w:val="Normal"/>
    <w:link w:val="BalloonTextChar"/>
    <w:semiHidden/>
    <w:unhideWhenUsed/>
    <w:rsid w:val="00A24DB8"/>
    <w:rPr>
      <w:rFonts w:ascii="Segoe UI" w:hAnsi="Segoe UI" w:cs="Segoe UI"/>
      <w:sz w:val="18"/>
      <w:szCs w:val="18"/>
    </w:rPr>
  </w:style>
  <w:style w:type="character" w:customStyle="1" w:styleId="BalloonTextChar">
    <w:name w:val="Balloon Text Char"/>
    <w:basedOn w:val="DefaultParagraphFont"/>
    <w:link w:val="BalloonText"/>
    <w:semiHidden/>
    <w:rsid w:val="00A24DB8"/>
    <w:rPr>
      <w:rFonts w:ascii="Segoe UI" w:hAnsi="Segoe UI" w:cs="Segoe UI"/>
      <w:sz w:val="18"/>
      <w:szCs w:val="18"/>
    </w:rPr>
  </w:style>
  <w:style w:type="character" w:styleId="CommentReference">
    <w:name w:val="annotation reference"/>
    <w:basedOn w:val="DefaultParagraphFont"/>
    <w:semiHidden/>
    <w:unhideWhenUsed/>
    <w:rsid w:val="00435613"/>
    <w:rPr>
      <w:sz w:val="16"/>
      <w:szCs w:val="16"/>
    </w:rPr>
  </w:style>
  <w:style w:type="paragraph" w:styleId="CommentText">
    <w:name w:val="annotation text"/>
    <w:basedOn w:val="Normal"/>
    <w:link w:val="CommentTextChar"/>
    <w:semiHidden/>
    <w:unhideWhenUsed/>
    <w:rsid w:val="00435613"/>
    <w:rPr>
      <w:sz w:val="20"/>
      <w:szCs w:val="20"/>
    </w:rPr>
  </w:style>
  <w:style w:type="character" w:customStyle="1" w:styleId="CommentTextChar">
    <w:name w:val="Comment Text Char"/>
    <w:basedOn w:val="DefaultParagraphFont"/>
    <w:link w:val="CommentText"/>
    <w:semiHidden/>
    <w:rsid w:val="00435613"/>
  </w:style>
  <w:style w:type="paragraph" w:styleId="CommentSubject">
    <w:name w:val="annotation subject"/>
    <w:basedOn w:val="CommentText"/>
    <w:next w:val="CommentText"/>
    <w:link w:val="CommentSubjectChar"/>
    <w:semiHidden/>
    <w:unhideWhenUsed/>
    <w:rsid w:val="00435613"/>
    <w:rPr>
      <w:b/>
      <w:bCs/>
    </w:rPr>
  </w:style>
  <w:style w:type="character" w:customStyle="1" w:styleId="CommentSubjectChar">
    <w:name w:val="Comment Subject Char"/>
    <w:basedOn w:val="CommentTextChar"/>
    <w:link w:val="CommentSubject"/>
    <w:semiHidden/>
    <w:rsid w:val="00435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896822130">
      <w:bodyDiv w:val="1"/>
      <w:marLeft w:val="0"/>
      <w:marRight w:val="0"/>
      <w:marTop w:val="0"/>
      <w:marBottom w:val="0"/>
      <w:divBdr>
        <w:top w:val="none" w:sz="0" w:space="0" w:color="auto"/>
        <w:left w:val="none" w:sz="0" w:space="0" w:color="auto"/>
        <w:bottom w:val="none" w:sz="0" w:space="0" w:color="auto"/>
        <w:right w:val="none" w:sz="0" w:space="0" w:color="auto"/>
      </w:divBdr>
      <w:divsChild>
        <w:div w:id="2103985780">
          <w:marLeft w:val="0"/>
          <w:marRight w:val="0"/>
          <w:marTop w:val="0"/>
          <w:marBottom w:val="0"/>
          <w:divBdr>
            <w:top w:val="none" w:sz="0" w:space="0" w:color="auto"/>
            <w:left w:val="none" w:sz="0" w:space="0" w:color="auto"/>
            <w:bottom w:val="none" w:sz="0" w:space="0" w:color="auto"/>
            <w:right w:val="none" w:sz="0" w:space="0" w:color="auto"/>
          </w:divBdr>
        </w:div>
        <w:div w:id="1924072922">
          <w:marLeft w:val="0"/>
          <w:marRight w:val="0"/>
          <w:marTop w:val="0"/>
          <w:marBottom w:val="0"/>
          <w:divBdr>
            <w:top w:val="none" w:sz="0" w:space="0" w:color="auto"/>
            <w:left w:val="none" w:sz="0" w:space="0" w:color="auto"/>
            <w:bottom w:val="none" w:sz="0" w:space="0" w:color="auto"/>
            <w:right w:val="none" w:sz="0" w:space="0" w:color="auto"/>
          </w:divBdr>
        </w:div>
        <w:div w:id="35593335">
          <w:marLeft w:val="0"/>
          <w:marRight w:val="0"/>
          <w:marTop w:val="0"/>
          <w:marBottom w:val="0"/>
          <w:divBdr>
            <w:top w:val="none" w:sz="0" w:space="0" w:color="auto"/>
            <w:left w:val="none" w:sz="0" w:space="0" w:color="auto"/>
            <w:bottom w:val="none" w:sz="0" w:space="0" w:color="auto"/>
            <w:right w:val="none" w:sz="0" w:space="0" w:color="auto"/>
          </w:divBdr>
        </w:div>
        <w:div w:id="2145074004">
          <w:marLeft w:val="0"/>
          <w:marRight w:val="0"/>
          <w:marTop w:val="0"/>
          <w:marBottom w:val="0"/>
          <w:divBdr>
            <w:top w:val="none" w:sz="0" w:space="0" w:color="auto"/>
            <w:left w:val="none" w:sz="0" w:space="0" w:color="auto"/>
            <w:bottom w:val="none" w:sz="0" w:space="0" w:color="auto"/>
            <w:right w:val="none" w:sz="0" w:space="0" w:color="auto"/>
          </w:divBdr>
        </w:div>
        <w:div w:id="259148673">
          <w:marLeft w:val="0"/>
          <w:marRight w:val="0"/>
          <w:marTop w:val="0"/>
          <w:marBottom w:val="0"/>
          <w:divBdr>
            <w:top w:val="none" w:sz="0" w:space="0" w:color="auto"/>
            <w:left w:val="none" w:sz="0" w:space="0" w:color="auto"/>
            <w:bottom w:val="none" w:sz="0" w:space="0" w:color="auto"/>
            <w:right w:val="none" w:sz="0" w:space="0" w:color="auto"/>
          </w:divBdr>
        </w:div>
        <w:div w:id="1011639523">
          <w:marLeft w:val="0"/>
          <w:marRight w:val="0"/>
          <w:marTop w:val="0"/>
          <w:marBottom w:val="0"/>
          <w:divBdr>
            <w:top w:val="none" w:sz="0" w:space="0" w:color="auto"/>
            <w:left w:val="none" w:sz="0" w:space="0" w:color="auto"/>
            <w:bottom w:val="none" w:sz="0" w:space="0" w:color="auto"/>
            <w:right w:val="none" w:sz="0" w:space="0" w:color="auto"/>
          </w:divBdr>
        </w:div>
        <w:div w:id="62723336">
          <w:marLeft w:val="0"/>
          <w:marRight w:val="0"/>
          <w:marTop w:val="0"/>
          <w:marBottom w:val="0"/>
          <w:divBdr>
            <w:top w:val="none" w:sz="0" w:space="0" w:color="auto"/>
            <w:left w:val="none" w:sz="0" w:space="0" w:color="auto"/>
            <w:bottom w:val="none" w:sz="0" w:space="0" w:color="auto"/>
            <w:right w:val="none" w:sz="0" w:space="0" w:color="auto"/>
          </w:divBdr>
        </w:div>
        <w:div w:id="1745684782">
          <w:marLeft w:val="0"/>
          <w:marRight w:val="0"/>
          <w:marTop w:val="0"/>
          <w:marBottom w:val="0"/>
          <w:divBdr>
            <w:top w:val="none" w:sz="0" w:space="0" w:color="auto"/>
            <w:left w:val="none" w:sz="0" w:space="0" w:color="auto"/>
            <w:bottom w:val="none" w:sz="0" w:space="0" w:color="auto"/>
            <w:right w:val="none" w:sz="0" w:space="0" w:color="auto"/>
          </w:divBdr>
        </w:div>
        <w:div w:id="902520164">
          <w:marLeft w:val="0"/>
          <w:marRight w:val="0"/>
          <w:marTop w:val="0"/>
          <w:marBottom w:val="0"/>
          <w:divBdr>
            <w:top w:val="none" w:sz="0" w:space="0" w:color="auto"/>
            <w:left w:val="none" w:sz="0" w:space="0" w:color="auto"/>
            <w:bottom w:val="none" w:sz="0" w:space="0" w:color="auto"/>
            <w:right w:val="none" w:sz="0" w:space="0" w:color="auto"/>
          </w:divBdr>
        </w:div>
        <w:div w:id="1716926742">
          <w:marLeft w:val="0"/>
          <w:marRight w:val="0"/>
          <w:marTop w:val="0"/>
          <w:marBottom w:val="0"/>
          <w:divBdr>
            <w:top w:val="none" w:sz="0" w:space="0" w:color="auto"/>
            <w:left w:val="none" w:sz="0" w:space="0" w:color="auto"/>
            <w:bottom w:val="none" w:sz="0" w:space="0" w:color="auto"/>
            <w:right w:val="none" w:sz="0" w:space="0" w:color="auto"/>
          </w:divBdr>
        </w:div>
        <w:div w:id="280460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932F5-8628-4853-A568-C227B9103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6</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2021-04-12T20:05:00Z</dcterms:created>
  <dcterms:modified xsi:type="dcterms:W3CDTF">2021-04-12T21:01:00Z</dcterms:modified>
</cp:coreProperties>
</file>