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333DA" w:rsidP="00F333DA">
      <w:pPr>
        <w:pStyle w:val="OrderHeading"/>
      </w:pPr>
      <w:r>
        <w:t>BEFORE THE FLORIDA PUBLIC SERVICE COMMISSION</w:t>
      </w:r>
    </w:p>
    <w:p w:rsidR="00F333DA" w:rsidRDefault="00F333DA" w:rsidP="00F333DA">
      <w:pPr>
        <w:pStyle w:val="OrderBody"/>
      </w:pPr>
    </w:p>
    <w:p w:rsidR="00F333DA" w:rsidRDefault="00F333DA" w:rsidP="00F333D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333DA" w:rsidRPr="00C63FCF" w:rsidTr="00C63FCF">
        <w:trPr>
          <w:trHeight w:val="828"/>
        </w:trPr>
        <w:tc>
          <w:tcPr>
            <w:tcW w:w="4788" w:type="dxa"/>
            <w:tcBorders>
              <w:bottom w:val="nil"/>
              <w:right w:val="double" w:sz="6" w:space="0" w:color="auto"/>
            </w:tcBorders>
            <w:shd w:val="clear" w:color="auto" w:fill="auto"/>
          </w:tcPr>
          <w:p w:rsidR="00F333DA" w:rsidRDefault="00F333DA" w:rsidP="00C63FCF">
            <w:pPr>
              <w:pStyle w:val="OrderBody"/>
              <w:tabs>
                <w:tab w:val="center" w:pos="4320"/>
                <w:tab w:val="right" w:pos="8640"/>
              </w:tabs>
              <w:jc w:val="left"/>
            </w:pPr>
            <w:r>
              <w:t xml:space="preserve">In re: </w:t>
            </w:r>
            <w:bookmarkStart w:id="0" w:name="SMInRe"/>
            <w:bookmarkEnd w:id="0"/>
            <w:r>
              <w:t>Petition for limited proceeding for recovery of incremental storm restoration costs related to Hurricane Michael and approval of second implementation stipulation, by Duke Energy Florida, LLC.</w:t>
            </w:r>
          </w:p>
          <w:p w:rsidR="00F333DA" w:rsidRDefault="00F333DA"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F333DA" w:rsidRDefault="00F333DA" w:rsidP="00C63FCF">
            <w:pPr>
              <w:pStyle w:val="OrderBody"/>
              <w:tabs>
                <w:tab w:val="center" w:pos="4320"/>
                <w:tab w:val="right" w:pos="8640"/>
              </w:tabs>
              <w:jc w:val="left"/>
            </w:pPr>
            <w:r>
              <w:t xml:space="preserve">DOCKET NO. </w:t>
            </w:r>
            <w:bookmarkStart w:id="1" w:name="SMDocketNo"/>
            <w:bookmarkEnd w:id="1"/>
            <w:r>
              <w:t>20190110-EI</w:t>
            </w:r>
          </w:p>
        </w:tc>
      </w:tr>
      <w:tr w:rsidR="00F333DA" w:rsidRPr="00C63FCF" w:rsidTr="00C63FCF">
        <w:trPr>
          <w:trHeight w:val="828"/>
        </w:trPr>
        <w:tc>
          <w:tcPr>
            <w:tcW w:w="4788" w:type="dxa"/>
            <w:tcBorders>
              <w:bottom w:val="nil"/>
              <w:right w:val="double" w:sz="6" w:space="0" w:color="auto"/>
            </w:tcBorders>
            <w:shd w:val="clear" w:color="auto" w:fill="auto"/>
          </w:tcPr>
          <w:p w:rsidR="00F333DA" w:rsidRDefault="00F333DA" w:rsidP="00C63FCF">
            <w:pPr>
              <w:pStyle w:val="OrderBody"/>
              <w:tabs>
                <w:tab w:val="center" w:pos="4320"/>
                <w:tab w:val="right" w:pos="8640"/>
              </w:tabs>
              <w:jc w:val="left"/>
            </w:pPr>
            <w:r>
              <w:t>In re: Petition for limited proceeding for recovery of incremental storm restoration costs related to Hurricane Dorian and Tropical Storm Nestor, by Duke Energy Florida, LLC.</w:t>
            </w:r>
          </w:p>
          <w:p w:rsidR="00F333DA" w:rsidRDefault="00F333DA"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F333DA" w:rsidRDefault="00F333DA" w:rsidP="00C63FCF">
            <w:pPr>
              <w:pStyle w:val="OrderBody"/>
              <w:tabs>
                <w:tab w:val="center" w:pos="4320"/>
                <w:tab w:val="right" w:pos="8640"/>
              </w:tabs>
              <w:jc w:val="left"/>
            </w:pPr>
            <w:r>
              <w:t>DOCKET NO. 20190222-EI</w:t>
            </w:r>
          </w:p>
          <w:p w:rsidR="00F333DA" w:rsidRDefault="00F333DA" w:rsidP="00C63FCF">
            <w:pPr>
              <w:pStyle w:val="OrderBody"/>
              <w:tabs>
                <w:tab w:val="center" w:pos="4320"/>
                <w:tab w:val="right" w:pos="8640"/>
              </w:tabs>
              <w:jc w:val="left"/>
            </w:pPr>
          </w:p>
        </w:tc>
      </w:tr>
      <w:tr w:rsidR="00F333DA" w:rsidRPr="00C63FCF" w:rsidTr="00C63FCF">
        <w:trPr>
          <w:trHeight w:val="828"/>
        </w:trPr>
        <w:tc>
          <w:tcPr>
            <w:tcW w:w="4788" w:type="dxa"/>
            <w:tcBorders>
              <w:top w:val="nil"/>
              <w:bottom w:val="single" w:sz="8" w:space="0" w:color="auto"/>
              <w:right w:val="double" w:sz="6" w:space="0" w:color="auto"/>
            </w:tcBorders>
            <w:shd w:val="clear" w:color="auto" w:fill="auto"/>
          </w:tcPr>
          <w:p w:rsidR="00F333DA" w:rsidRDefault="00F333DA" w:rsidP="00C63FCF">
            <w:pPr>
              <w:pStyle w:val="OrderBody"/>
              <w:tabs>
                <w:tab w:val="center" w:pos="4320"/>
                <w:tab w:val="right" w:pos="8640"/>
              </w:tabs>
              <w:jc w:val="left"/>
            </w:pPr>
            <w:r>
              <w:t>In re: Petition for limited proceeding to approve 2021 settlement agreement, including general base rate increases, by Duke Energy Florida, LLC.</w:t>
            </w:r>
          </w:p>
        </w:tc>
        <w:tc>
          <w:tcPr>
            <w:tcW w:w="4788" w:type="dxa"/>
            <w:tcBorders>
              <w:left w:val="double" w:sz="6" w:space="0" w:color="auto"/>
            </w:tcBorders>
            <w:shd w:val="clear" w:color="auto" w:fill="auto"/>
          </w:tcPr>
          <w:p w:rsidR="00F333DA" w:rsidRDefault="00F333DA" w:rsidP="00F333DA">
            <w:pPr>
              <w:pStyle w:val="OrderBody"/>
            </w:pPr>
            <w:r>
              <w:t xml:space="preserve">DOCKET NO. </w:t>
            </w:r>
            <w:bookmarkStart w:id="2" w:name="SMDocketNo2"/>
            <w:bookmarkEnd w:id="2"/>
            <w:r>
              <w:t>20210016-EI</w:t>
            </w:r>
          </w:p>
          <w:p w:rsidR="00F333DA" w:rsidRDefault="00F333DA" w:rsidP="00C63FCF">
            <w:pPr>
              <w:pStyle w:val="OrderBody"/>
              <w:tabs>
                <w:tab w:val="center" w:pos="4320"/>
                <w:tab w:val="right" w:pos="8640"/>
              </w:tabs>
              <w:jc w:val="left"/>
            </w:pPr>
            <w:r>
              <w:t xml:space="preserve">ORDER NO. </w:t>
            </w:r>
            <w:bookmarkStart w:id="3" w:name="OrderNo0151"/>
            <w:r w:rsidR="00972FA7">
              <w:t>PSC-2021-0151-PCO-EI</w:t>
            </w:r>
            <w:bookmarkEnd w:id="3"/>
          </w:p>
          <w:p w:rsidR="00F333DA" w:rsidRDefault="00F333DA" w:rsidP="00C63FCF">
            <w:pPr>
              <w:pStyle w:val="OrderBody"/>
              <w:tabs>
                <w:tab w:val="center" w:pos="4320"/>
                <w:tab w:val="right" w:pos="8640"/>
              </w:tabs>
              <w:jc w:val="left"/>
            </w:pPr>
            <w:r>
              <w:t xml:space="preserve">ISSUED: </w:t>
            </w:r>
            <w:r w:rsidR="00972FA7">
              <w:t>April 22, 2021</w:t>
            </w:r>
          </w:p>
          <w:p w:rsidR="00F333DA" w:rsidRDefault="00F333DA" w:rsidP="00C63FCF">
            <w:pPr>
              <w:pStyle w:val="OrderBody"/>
              <w:tabs>
                <w:tab w:val="center" w:pos="4320"/>
                <w:tab w:val="right" w:pos="8640"/>
              </w:tabs>
              <w:jc w:val="left"/>
            </w:pPr>
          </w:p>
        </w:tc>
      </w:tr>
    </w:tbl>
    <w:p w:rsidR="00F333DA" w:rsidRDefault="00F333DA" w:rsidP="00F333DA"/>
    <w:p w:rsidR="00F333DA" w:rsidRDefault="00F333DA" w:rsidP="00F333DA"/>
    <w:p w:rsidR="00F333DA" w:rsidRDefault="00F333DA" w:rsidP="00F333DA">
      <w:pPr>
        <w:pStyle w:val="CenterUnderline"/>
      </w:pPr>
      <w:bookmarkStart w:id="4" w:name="Commissioners"/>
      <w:bookmarkEnd w:id="4"/>
      <w:r>
        <w:t>ORDER</w:t>
      </w:r>
      <w:bookmarkStart w:id="5" w:name="OrderTitle"/>
      <w:r>
        <w:t xml:space="preserve"> GRANTING IN PART AND DENYING IN PART</w:t>
      </w:r>
    </w:p>
    <w:p w:rsidR="00F333DA" w:rsidRDefault="00F333DA" w:rsidP="00F333DA">
      <w:pPr>
        <w:pStyle w:val="CenterUnderline"/>
      </w:pPr>
      <w:r>
        <w:t xml:space="preserve">EVGO SERVICES LLC’S PETITION FOR INTERVENTION </w:t>
      </w:r>
      <w:bookmarkEnd w:id="5"/>
    </w:p>
    <w:p w:rsidR="00F333DA" w:rsidRDefault="00F333DA" w:rsidP="00F333DA">
      <w:pPr>
        <w:pStyle w:val="OrderBody"/>
      </w:pPr>
    </w:p>
    <w:p w:rsidR="00F333DA" w:rsidRPr="001005D9" w:rsidRDefault="00F333DA" w:rsidP="00F333DA">
      <w:pPr>
        <w:ind w:firstLine="720"/>
        <w:jc w:val="both"/>
      </w:pPr>
      <w:bookmarkStart w:id="6" w:name="OrderText"/>
      <w:bookmarkEnd w:id="6"/>
      <w:r w:rsidRPr="001005D9">
        <w:t xml:space="preserve">On January 14, 2021, Duke Energy Florida, LLC (DEF) filed a petition for a Limited Proceeding asking this Commission to approve the 2021 Settlement Agreement between DEF, the Office of Public Counsel (OPC), the Florida Industrial Power Uses Group (FIPUG), White Springs Agricultural Chemicals, Inc. d/b/a PCS Phosphate (PCS Phosphate), and Nucor Steel Florida, Inc. (NUCOR) (collectively, Signatories). </w:t>
      </w:r>
      <w:r>
        <w:t xml:space="preserve"> </w:t>
      </w:r>
      <w:r w:rsidRPr="001005D9">
        <w:t>The 2021 Settlement Agreement includes general base rate increases, resolves all issues in Docket Nos. 20190110-EI and 20190222-EI, clarifies certain cost allocation and rate design matters pertaining to DEF’s Storm Protection Plan Cost Recovery Clause, and authorizes a new EV Program.</w:t>
      </w:r>
    </w:p>
    <w:p w:rsidR="00F333DA" w:rsidRPr="001005D9" w:rsidRDefault="00F333DA" w:rsidP="00F333DA">
      <w:pPr>
        <w:ind w:firstLine="720"/>
        <w:jc w:val="both"/>
      </w:pPr>
    </w:p>
    <w:p w:rsidR="00CB5276" w:rsidRDefault="00F333DA" w:rsidP="00F333DA">
      <w:pPr>
        <w:pStyle w:val="OrderBody"/>
        <w:ind w:firstLine="720"/>
      </w:pPr>
      <w:r w:rsidRPr="001005D9">
        <w:t>As a result of the approval of the 2017 Second Revised and Restated Settlement Agreement by Order No. PSC-2017-0451-AS-EU,</w:t>
      </w:r>
      <w:r w:rsidRPr="001005D9">
        <w:rPr>
          <w:vertAlign w:val="superscript"/>
        </w:rPr>
        <w:footnoteReference w:id="1"/>
      </w:r>
      <w:r w:rsidRPr="001005D9">
        <w:t xml:space="preserve"> DEF was authorized to implement an EV Charging Station Pilot Program (2017 EV Pilot).</w:t>
      </w:r>
      <w:r>
        <w:t xml:space="preserve"> </w:t>
      </w:r>
      <w:r w:rsidRPr="001005D9">
        <w:t xml:space="preserve"> In the 2021 Settlement Agreement, the Signatories agreed that DEF should be authorized to continue operation and recovery of costs of the charging stations that were installed pursuant to the 2017 EV Pilot, and to implement three new EV programs, as further described in Paragraphs 17(a) through (c) of the 2021 Settlement </w:t>
      </w:r>
      <w:r w:rsidRPr="001005D9">
        <w:lastRenderedPageBreak/>
        <w:t xml:space="preserve">Agreement. </w:t>
      </w:r>
      <w:r>
        <w:t xml:space="preserve"> Consideration of the 2021 Settlement Agreement </w:t>
      </w:r>
      <w:r w:rsidRPr="001005D9">
        <w:t>is currently scheduled for hearing on May 4, 2021.</w:t>
      </w:r>
    </w:p>
    <w:p w:rsidR="006E21C4" w:rsidRDefault="006E21C4" w:rsidP="00D57E57"/>
    <w:p w:rsidR="00F333DA" w:rsidRPr="001005D9" w:rsidRDefault="00F333DA" w:rsidP="00F333DA">
      <w:pPr>
        <w:ind w:firstLine="720"/>
        <w:jc w:val="both"/>
      </w:pPr>
      <w:r w:rsidRPr="001005D9">
        <w:t>On April 14, 2021, EVgo Services LLC (EVgo) filed a Petition for Intervention requesting permission to intervene in this proceeding.</w:t>
      </w:r>
      <w:r>
        <w:t xml:space="preserve"> </w:t>
      </w:r>
      <w:r w:rsidRPr="001005D9">
        <w:t xml:space="preserve"> DEF and OPC have indicated that they oppose EVgo’s Petition, and NUCOR and PCS Phosphate have taken no position. </w:t>
      </w:r>
      <w:r>
        <w:t xml:space="preserve"> </w:t>
      </w:r>
      <w:r w:rsidRPr="001005D9">
        <w:t xml:space="preserve">FIPUG has not provided a response. </w:t>
      </w:r>
      <w:r>
        <w:t xml:space="preserve"> </w:t>
      </w:r>
      <w:r w:rsidRPr="001005D9">
        <w:t xml:space="preserve">On April </w:t>
      </w:r>
      <w:r>
        <w:t>20</w:t>
      </w:r>
      <w:r w:rsidRPr="001005D9">
        <w:t xml:space="preserve">, 2021, DEF timely filed a </w:t>
      </w:r>
      <w:r>
        <w:t>R</w:t>
      </w:r>
      <w:r w:rsidRPr="001005D9">
        <w:t xml:space="preserve">esponse in </w:t>
      </w:r>
      <w:r>
        <w:t>O</w:t>
      </w:r>
      <w:r w:rsidRPr="001005D9">
        <w:t xml:space="preserve">pposition. </w:t>
      </w:r>
      <w:r>
        <w:t xml:space="preserve"> </w:t>
      </w:r>
      <w:r w:rsidRPr="001005D9">
        <w:t xml:space="preserve">No other </w:t>
      </w:r>
      <w:r>
        <w:t xml:space="preserve">written </w:t>
      </w:r>
      <w:r w:rsidRPr="001005D9">
        <w:t>response has been filed and the time for doing so has expired.</w:t>
      </w:r>
    </w:p>
    <w:p w:rsidR="00F333DA" w:rsidRPr="001005D9" w:rsidRDefault="00F333DA" w:rsidP="00F333DA">
      <w:pPr>
        <w:ind w:firstLine="720"/>
        <w:jc w:val="both"/>
      </w:pPr>
    </w:p>
    <w:p w:rsidR="00F333DA" w:rsidRPr="001005D9" w:rsidRDefault="00F333DA" w:rsidP="00F333DA">
      <w:pPr>
        <w:jc w:val="both"/>
        <w:rPr>
          <w:u w:val="single"/>
        </w:rPr>
      </w:pPr>
      <w:r w:rsidRPr="001005D9">
        <w:rPr>
          <w:u w:val="single"/>
        </w:rPr>
        <w:t>Petition for Intervention</w:t>
      </w:r>
    </w:p>
    <w:p w:rsidR="00F333DA" w:rsidRPr="001005D9" w:rsidRDefault="00F333DA" w:rsidP="00F333DA">
      <w:pPr>
        <w:ind w:firstLine="720"/>
        <w:jc w:val="both"/>
      </w:pPr>
    </w:p>
    <w:p w:rsidR="00F333DA" w:rsidRPr="001005D9" w:rsidRDefault="00F333DA" w:rsidP="00F333DA">
      <w:pPr>
        <w:ind w:firstLine="720"/>
        <w:jc w:val="both"/>
      </w:pPr>
      <w:r w:rsidRPr="001005D9">
        <w:t xml:space="preserve">EVgo represents that it is a commercial </w:t>
      </w:r>
      <w:r>
        <w:t xml:space="preserve">retail </w:t>
      </w:r>
      <w:r w:rsidRPr="001005D9">
        <w:t xml:space="preserve">customer of DEF, taking service at DEF's commercial class rates, and is subject to any rate impacts contained within the 2021 Settlement Agreement. </w:t>
      </w:r>
      <w:r>
        <w:t xml:space="preserve"> </w:t>
      </w:r>
      <w:r w:rsidRPr="001005D9">
        <w:t>EVgo asserts it has a substantial, specific, and direct business interest in the proceeding and seeks clarification of certain aspects of DEF’s proposals so it may better understand the rate impact that approval of the 2021 Settlement Agreement would have with respect to EVgo’s current and planned DC fast charging stations.</w:t>
      </w:r>
    </w:p>
    <w:p w:rsidR="00F333DA" w:rsidRPr="001005D9" w:rsidRDefault="00F333DA" w:rsidP="00F333DA">
      <w:pPr>
        <w:ind w:firstLine="720"/>
        <w:jc w:val="both"/>
      </w:pPr>
    </w:p>
    <w:p w:rsidR="00F333DA" w:rsidRPr="001005D9" w:rsidRDefault="00F333DA" w:rsidP="00F333DA">
      <w:pPr>
        <w:ind w:firstLine="720"/>
        <w:jc w:val="both"/>
      </w:pPr>
      <w:r w:rsidRPr="001005D9">
        <w:t>EVgo state</w:t>
      </w:r>
      <w:r>
        <w:t>s</w:t>
      </w:r>
      <w:r w:rsidRPr="001005D9">
        <w:t xml:space="preserve"> that it supports DEF's proposed commercial EV tariff, which would apply a non-demand volumetric rate to commercial charging stations with time-of-use (TOU) elements. EVgo urges the Commission to approve a non-demand rate in this docket, which would be in line with approvals in numerous other jurisdictions both in Florida and across the country. </w:t>
      </w:r>
      <w:r>
        <w:t xml:space="preserve"> </w:t>
      </w:r>
      <w:r w:rsidRPr="001005D9">
        <w:t xml:space="preserve">EVgo states that it seeks to </w:t>
      </w:r>
      <w:r w:rsidRPr="001005D9">
        <w:rPr>
          <w:bCs/>
        </w:rPr>
        <w:t>better</w:t>
      </w:r>
      <w:r w:rsidRPr="001005D9">
        <w:rPr>
          <w:b/>
          <w:bCs/>
        </w:rPr>
        <w:t xml:space="preserve"> </w:t>
      </w:r>
      <w:r w:rsidRPr="001005D9">
        <w:t xml:space="preserve">understand DEF's proposed rate structure and to assist DEF and the Commission in shaping rates that are effective. </w:t>
      </w:r>
    </w:p>
    <w:p w:rsidR="00F333DA" w:rsidRPr="001005D9" w:rsidRDefault="00F333DA" w:rsidP="00F333DA">
      <w:pPr>
        <w:ind w:firstLine="720"/>
        <w:jc w:val="both"/>
      </w:pPr>
    </w:p>
    <w:p w:rsidR="00F333DA" w:rsidRPr="001005D9" w:rsidRDefault="00F333DA" w:rsidP="00F333DA">
      <w:pPr>
        <w:ind w:firstLine="720"/>
        <w:jc w:val="both"/>
      </w:pPr>
      <w:r w:rsidRPr="001005D9">
        <w:t xml:space="preserve">EVgo urges caution when utilities exercise ownership of </w:t>
      </w:r>
      <w:r>
        <w:t xml:space="preserve">fast charging </w:t>
      </w:r>
      <w:r w:rsidRPr="001005D9">
        <w:t>stations</w:t>
      </w:r>
      <w:r>
        <w:t>,</w:t>
      </w:r>
      <w:r w:rsidRPr="001005D9">
        <w:t xml:space="preserve"> assert</w:t>
      </w:r>
      <w:r>
        <w:t>ing</w:t>
      </w:r>
      <w:r w:rsidRPr="001005D9">
        <w:t xml:space="preserve"> that DEF's expanded ownership and operation of fast charging</w:t>
      </w:r>
      <w:r>
        <w:t xml:space="preserve"> stations</w:t>
      </w:r>
      <w:r w:rsidRPr="001005D9">
        <w:t xml:space="preserve">, as </w:t>
      </w:r>
      <w:r>
        <w:t xml:space="preserve">proposed </w:t>
      </w:r>
      <w:r w:rsidRPr="001005D9">
        <w:t xml:space="preserve">in the 2021 Settlement Agreement, would directly impact the size and scope of EVgo's current network, as well as EVgo's planned expansion in Florida. </w:t>
      </w:r>
      <w:r>
        <w:t xml:space="preserve"> </w:t>
      </w:r>
      <w:r w:rsidRPr="001005D9">
        <w:t xml:space="preserve">EVgo is concerned that DEF may consume the usage that the competitive market relies on to sustain its economics. </w:t>
      </w:r>
      <w:r>
        <w:t xml:space="preserve"> </w:t>
      </w:r>
      <w:r w:rsidRPr="001005D9">
        <w:t>EVgo further speculates that if a third-party operator like EVgo does not see adequate usage to sustain its network, the lower usage may discourage future private sector investments.</w:t>
      </w:r>
    </w:p>
    <w:p w:rsidR="00F333DA" w:rsidRPr="001005D9" w:rsidRDefault="00F333DA" w:rsidP="00F333DA">
      <w:pPr>
        <w:ind w:firstLine="720"/>
        <w:jc w:val="both"/>
      </w:pPr>
    </w:p>
    <w:p w:rsidR="00F333DA" w:rsidRPr="001005D9" w:rsidRDefault="00F333DA" w:rsidP="00F333DA">
      <w:pPr>
        <w:jc w:val="both"/>
      </w:pPr>
      <w:r w:rsidRPr="001005D9">
        <w:rPr>
          <w:u w:val="single"/>
        </w:rPr>
        <w:t>Duke Energy Florida, LLC’s Response</w:t>
      </w:r>
    </w:p>
    <w:p w:rsidR="00F333DA" w:rsidRPr="001005D9" w:rsidRDefault="00F333DA" w:rsidP="00F333DA">
      <w:pPr>
        <w:ind w:firstLine="720"/>
        <w:jc w:val="both"/>
      </w:pPr>
    </w:p>
    <w:p w:rsidR="00F333DA" w:rsidRDefault="00F333DA" w:rsidP="00F333DA">
      <w:pPr>
        <w:ind w:firstLine="720"/>
        <w:jc w:val="both"/>
      </w:pPr>
      <w:r w:rsidRPr="00716E51">
        <w:t>In its Response in Opposition, DEF does not object to EVgo</w:t>
      </w:r>
      <w:r>
        <w:t>’s</w:t>
      </w:r>
      <w:r w:rsidRPr="00716E51">
        <w:t xml:space="preserve"> standing as a </w:t>
      </w:r>
      <w:r>
        <w:t>retail</w:t>
      </w:r>
      <w:r w:rsidRPr="00716E51">
        <w:t xml:space="preserve"> customer of DEF. </w:t>
      </w:r>
      <w:r>
        <w:t xml:space="preserve"> </w:t>
      </w:r>
      <w:r w:rsidRPr="00716E51">
        <w:t xml:space="preserve">However, DEF takes exception to EVgo’s </w:t>
      </w:r>
      <w:r>
        <w:t xml:space="preserve">assertion of intervenor status based upon its </w:t>
      </w:r>
      <w:r w:rsidRPr="00716E51">
        <w:t>statement that the proposal to establish a permanent electric vehicle charging program contained in the 2021 Settlement Agreement “would directly impact the size and scope of EVgo’s current network as well as EVgo’s planned expansion in Florida.”</w:t>
      </w:r>
      <w:r>
        <w:t xml:space="preserve"> </w:t>
      </w:r>
      <w:r w:rsidRPr="00716E51">
        <w:t xml:space="preserve"> DEF contends that EVgo’s arguments related to market competition and impacts to </w:t>
      </w:r>
      <w:r>
        <w:t>EVgo’s</w:t>
      </w:r>
      <w:r w:rsidRPr="00716E51">
        <w:t xml:space="preserve"> business interests are beyond the scope of this proceeding.</w:t>
      </w:r>
      <w:r w:rsidRPr="00716E51">
        <w:rPr>
          <w:rStyle w:val="FootnoteReference"/>
        </w:rPr>
        <w:footnoteReference w:id="2"/>
      </w:r>
      <w:r w:rsidRPr="00716E51">
        <w:t xml:space="preserve"> </w:t>
      </w:r>
      <w:r>
        <w:t xml:space="preserve"> </w:t>
      </w:r>
      <w:r w:rsidRPr="00F770F6">
        <w:t>DEF</w:t>
      </w:r>
      <w:r>
        <w:t xml:space="preserve"> argues that the </w:t>
      </w:r>
      <w:r w:rsidRPr="00F770F6">
        <w:t>2021 Settlement was filed under</w:t>
      </w:r>
      <w:r w:rsidR="008E7716">
        <w:t xml:space="preserve"> </w:t>
      </w:r>
      <w:r>
        <w:lastRenderedPageBreak/>
        <w:t>S</w:t>
      </w:r>
      <w:r w:rsidRPr="00F770F6">
        <w:t>ection 366.076, Florida Statutes</w:t>
      </w:r>
      <w:r>
        <w:t xml:space="preserve"> (F.S.)</w:t>
      </w:r>
      <w:r w:rsidRPr="00F770F6">
        <w:t xml:space="preserve">, and nothing in that statute evidences a legislative intent to protect the business and economic interests asserted in </w:t>
      </w:r>
      <w:r>
        <w:t>EVgo’s</w:t>
      </w:r>
      <w:r w:rsidRPr="00F770F6">
        <w:t xml:space="preserve"> Petition.</w:t>
      </w:r>
      <w:r>
        <w:t xml:space="preserve">  </w:t>
      </w:r>
      <w:r w:rsidRPr="00716E51">
        <w:t xml:space="preserve">DEF </w:t>
      </w:r>
      <w:r>
        <w:t>requests that if EVgo’s Petition to Intervene is granted, EVgo’s intervention should be limited to its interests as a DEF customer, and EVgo should be precluded from raising arguments based on its business interests or its interests as a market competitor.</w:t>
      </w:r>
    </w:p>
    <w:p w:rsidR="00F333DA" w:rsidRPr="001005D9" w:rsidRDefault="00F333DA" w:rsidP="00F333DA">
      <w:pPr>
        <w:ind w:firstLine="720"/>
        <w:jc w:val="both"/>
      </w:pPr>
    </w:p>
    <w:p w:rsidR="00F333DA" w:rsidRPr="001005D9" w:rsidRDefault="00F333DA" w:rsidP="00F333DA">
      <w:pPr>
        <w:jc w:val="both"/>
        <w:rPr>
          <w:u w:val="single"/>
        </w:rPr>
      </w:pPr>
      <w:r w:rsidRPr="001005D9">
        <w:rPr>
          <w:u w:val="single"/>
        </w:rPr>
        <w:t>Standard for Intervention</w:t>
      </w:r>
    </w:p>
    <w:p w:rsidR="00F333DA" w:rsidRPr="001005D9" w:rsidRDefault="00F333DA" w:rsidP="00F333DA">
      <w:pPr>
        <w:ind w:firstLine="720"/>
        <w:jc w:val="both"/>
      </w:pPr>
    </w:p>
    <w:p w:rsidR="00F333DA" w:rsidRPr="001005D9" w:rsidRDefault="00F333DA" w:rsidP="00F333DA">
      <w:pPr>
        <w:ind w:firstLine="720"/>
        <w:jc w:val="both"/>
      </w:pPr>
      <w:r w:rsidRPr="001005D9">
        <w:t>Pursuant to Rule 28-106.205, Florida Administrative Code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F333DA" w:rsidRPr="001005D9" w:rsidRDefault="00F333DA" w:rsidP="00F333DA">
      <w:pPr>
        <w:ind w:firstLine="720"/>
        <w:jc w:val="both"/>
      </w:pPr>
    </w:p>
    <w:p w:rsidR="00F333DA" w:rsidRPr="001005D9" w:rsidRDefault="00F333DA" w:rsidP="00F333DA">
      <w:pPr>
        <w:ind w:firstLine="720"/>
        <w:jc w:val="both"/>
      </w:pPr>
      <w:r w:rsidRPr="001005D9">
        <w:t xml:space="preserve">To have standing, the intervenor must meet the two-prong standing test set forth in </w:t>
      </w:r>
      <w:r w:rsidRPr="001005D9">
        <w:rPr>
          <w:i/>
          <w:iCs/>
        </w:rPr>
        <w:t>Agrico</w:t>
      </w:r>
      <w:r w:rsidRPr="001005D9">
        <w:t xml:space="preserve">. </w:t>
      </w:r>
      <w:r>
        <w:t xml:space="preserve"> </w:t>
      </w:r>
      <w:r w:rsidRPr="001005D9">
        <w:t xml:space="preserve">The intervenor must show that (1) he will suffer injury in fact that is of sufficient immediacy to entitle him to a Section 120.57, F.S., hearing, and (2) the substantial injury is of a type or nature that the proceeding is designed to protect.  The first aspect of the test deals with the degree of injury. </w:t>
      </w:r>
      <w:r>
        <w:t xml:space="preserve"> </w:t>
      </w:r>
      <w:r w:rsidRPr="001005D9">
        <w:t>The second deals with the nature of the injury.</w:t>
      </w:r>
      <w:r>
        <w:t xml:space="preserve"> </w:t>
      </w:r>
      <w:r w:rsidRPr="001005D9">
        <w:t xml:space="preserve"> The "injury in fact" must be both real and immediate and not speculative or conjectural.  </w:t>
      </w:r>
      <w:r w:rsidRPr="001005D9">
        <w:rPr>
          <w:i/>
          <w:iCs/>
        </w:rPr>
        <w:t>International Jai-Alai Players Assn. v. Florida Pari-Mutuel Commission</w:t>
      </w:r>
      <w:r w:rsidRPr="001005D9">
        <w:t xml:space="preserve">, 561 So. 2d 1224, 1225-26 (Fla. 3d DCA 1990).  </w:t>
      </w:r>
      <w:r w:rsidRPr="001005D9">
        <w:rPr>
          <w:i/>
          <w:iCs/>
        </w:rPr>
        <w:t>See also Village Park Mobile Home Assn., Inc. v. State Dept. of Business Regulation</w:t>
      </w:r>
      <w:r w:rsidRPr="001005D9">
        <w:t xml:space="preserve">, 506 So. 2d 426, 434 (Fla. 1st DCA 1987), </w:t>
      </w:r>
      <w:r w:rsidRPr="001005D9">
        <w:rPr>
          <w:i/>
          <w:iCs/>
        </w:rPr>
        <w:t>rev. den.</w:t>
      </w:r>
      <w:r w:rsidRPr="001005D9">
        <w:t>, 513 So. 2d 1063 (Fla. 1987) (speculation on the possible occurrence of injurious events is too remote).</w:t>
      </w:r>
    </w:p>
    <w:p w:rsidR="00F333DA" w:rsidRPr="001005D9" w:rsidRDefault="00F333DA" w:rsidP="00F333DA">
      <w:pPr>
        <w:ind w:firstLine="720"/>
        <w:jc w:val="both"/>
      </w:pPr>
    </w:p>
    <w:p w:rsidR="00F333DA" w:rsidRPr="001005D9" w:rsidRDefault="00F333DA" w:rsidP="00F333DA">
      <w:pPr>
        <w:jc w:val="both"/>
        <w:rPr>
          <w:u w:val="single"/>
        </w:rPr>
      </w:pPr>
      <w:r w:rsidRPr="001005D9">
        <w:rPr>
          <w:u w:val="single"/>
        </w:rPr>
        <w:t xml:space="preserve">Analysis &amp; Ruling </w:t>
      </w:r>
    </w:p>
    <w:p w:rsidR="00F333DA" w:rsidRPr="001005D9" w:rsidRDefault="00F333DA" w:rsidP="00F333DA">
      <w:pPr>
        <w:ind w:firstLine="720"/>
        <w:jc w:val="both"/>
      </w:pPr>
    </w:p>
    <w:p w:rsidR="00F333DA" w:rsidRDefault="00F333DA" w:rsidP="00F333DA">
      <w:pPr>
        <w:ind w:firstLine="720"/>
        <w:jc w:val="both"/>
      </w:pPr>
      <w:r w:rsidRPr="001005D9">
        <w:t>Upon review of EVgo’s Petition</w:t>
      </w:r>
      <w:r>
        <w:t xml:space="preserve"> and DEF’s Response</w:t>
      </w:r>
      <w:r w:rsidRPr="001005D9">
        <w:t xml:space="preserve">, I find that as a commercial </w:t>
      </w:r>
      <w:r>
        <w:t xml:space="preserve">retail </w:t>
      </w:r>
      <w:r w:rsidRPr="001005D9">
        <w:t xml:space="preserve">customer of DEF, EVgo’s interests may be substantially affected by this proceeding, and that </w:t>
      </w:r>
      <w:r>
        <w:t>its</w:t>
      </w:r>
      <w:r w:rsidRPr="001005D9">
        <w:t xml:space="preserve"> Petition meets the two-prong test set forth in </w:t>
      </w:r>
      <w:r w:rsidRPr="001005D9">
        <w:rPr>
          <w:i/>
          <w:iCs/>
        </w:rPr>
        <w:t>Agrico</w:t>
      </w:r>
      <w:r w:rsidRPr="001005D9">
        <w:t xml:space="preserve">. </w:t>
      </w:r>
      <w:r>
        <w:t xml:space="preserve"> </w:t>
      </w:r>
      <w:r w:rsidRPr="001005D9">
        <w:t>EVgo is subject to DEF’s commercial class rates and is affected by rate impacts due to the approval of new rates and rate designs, which satisfies prong one.</w:t>
      </w:r>
      <w:r>
        <w:t xml:space="preserve"> </w:t>
      </w:r>
      <w:r w:rsidRPr="001005D9">
        <w:t xml:space="preserve"> The hearing on the proposed 2021 Settlement Agreement will address base rate increases and a new EV Program, which affect EVgo’s interests as a customer, adequately addressing prong two. </w:t>
      </w:r>
      <w:r>
        <w:t xml:space="preserve"> </w:t>
      </w:r>
      <w:r w:rsidRPr="001005D9">
        <w:t xml:space="preserve">Therefore, EVgo’s Petition shall be granted with respect to </w:t>
      </w:r>
      <w:r>
        <w:t>its</w:t>
      </w:r>
      <w:r w:rsidRPr="001005D9">
        <w:t xml:space="preserve"> intervention in this proceeding as a commercial </w:t>
      </w:r>
      <w:r>
        <w:t>retail</w:t>
      </w:r>
      <w:r w:rsidRPr="001005D9">
        <w:t xml:space="preserve"> customer of DEF</w:t>
      </w:r>
      <w:r>
        <w:t>.</w:t>
      </w:r>
      <w:r>
        <w:br w:type="page"/>
      </w:r>
    </w:p>
    <w:p w:rsidR="00F333DA" w:rsidRPr="001005D9" w:rsidRDefault="00F333DA" w:rsidP="00F333DA">
      <w:pPr>
        <w:ind w:firstLine="720"/>
        <w:jc w:val="both"/>
      </w:pPr>
      <w:r w:rsidRPr="001005D9">
        <w:lastRenderedPageBreak/>
        <w:t>However, I find EVgo’s argument that it should also be granted intervenor status under a “broad industry competition” theory unpersuasive.</w:t>
      </w:r>
      <w:r>
        <w:t xml:space="preserve"> </w:t>
      </w:r>
      <w:r w:rsidRPr="001005D9">
        <w:t xml:space="preserve"> As a commercial competitor, EVgo has not shown that it is in immediate danger of direct injury as a result of the outcome in this proceeding. Rather, EVgo alleges </w:t>
      </w:r>
      <w:r>
        <w:t xml:space="preserve">that </w:t>
      </w:r>
      <w:r w:rsidRPr="001005D9">
        <w:t>DEF's expanded ownership and operation of fast charging</w:t>
      </w:r>
      <w:r>
        <w:t xml:space="preserve"> stations</w:t>
      </w:r>
      <w:r w:rsidRPr="001005D9">
        <w:t>, as contained in the 2021 Settlement Agreement, would directly impact the size and scope of EVgo's current network as well as EVgo's planned expansion in Florida.</w:t>
      </w:r>
      <w:r>
        <w:t xml:space="preserve"> </w:t>
      </w:r>
      <w:r w:rsidRPr="001005D9">
        <w:t xml:space="preserve"> EVgo’s alleged harm is abstract and speculative, and EVgo’s status as a potential competitor will not be directly affected by this proceeding. </w:t>
      </w:r>
      <w:r>
        <w:t xml:space="preserve"> </w:t>
      </w:r>
      <w:r w:rsidRPr="001005D9">
        <w:t xml:space="preserve">The First District Court of Appeal stated in </w:t>
      </w:r>
      <w:r w:rsidRPr="001005D9">
        <w:rPr>
          <w:i/>
          <w:iCs/>
        </w:rPr>
        <w:t>Village Park Mobile Home Assn.</w:t>
      </w:r>
      <w:r w:rsidRPr="001005D9">
        <w:t>, that the “petitioner must allege that [it] has sustained or is immediately in danger of sustaining some direct injury as a result of the challenged official conduct.”</w:t>
      </w:r>
      <w:r>
        <w:t xml:space="preserve"> </w:t>
      </w:r>
      <w:r w:rsidRPr="001005D9">
        <w:rPr>
          <w:i/>
          <w:iCs/>
        </w:rPr>
        <w:t xml:space="preserve"> Village Park Mobile Home Assn., Inc. v. State Dept. of Business Regulation</w:t>
      </w:r>
      <w:r w:rsidRPr="001005D9">
        <w:t xml:space="preserve">, 506 So. 2d 426, 433 (Fla. 1st DCA 1987). </w:t>
      </w:r>
      <w:r>
        <w:t xml:space="preserve"> </w:t>
      </w:r>
      <w:r w:rsidRPr="001005D9">
        <w:t xml:space="preserve">Thus, EVgo’s competition-based arguments fail the first prong of the </w:t>
      </w:r>
      <w:r w:rsidRPr="001005D9">
        <w:rPr>
          <w:i/>
        </w:rPr>
        <w:t>Agrico</w:t>
      </w:r>
      <w:r w:rsidRPr="001005D9">
        <w:t xml:space="preserve"> test. </w:t>
      </w:r>
    </w:p>
    <w:p w:rsidR="00F333DA" w:rsidRDefault="00F333DA" w:rsidP="00F333DA">
      <w:pPr>
        <w:ind w:firstLine="720"/>
        <w:jc w:val="both"/>
      </w:pPr>
    </w:p>
    <w:p w:rsidR="00F333DA" w:rsidRPr="001005D9" w:rsidRDefault="00F333DA" w:rsidP="00F333DA">
      <w:pPr>
        <w:ind w:firstLine="720"/>
        <w:jc w:val="both"/>
      </w:pPr>
      <w:r w:rsidRPr="001005D9">
        <w:t xml:space="preserve">EVgo’s broad economic competition-based arguments for standing also do not satisfy the second prong of the </w:t>
      </w:r>
      <w:r w:rsidRPr="001005D9">
        <w:rPr>
          <w:i/>
        </w:rPr>
        <w:t>Agrico</w:t>
      </w:r>
      <w:r w:rsidRPr="001005D9">
        <w:t xml:space="preserve"> test, because the injury it alleges is not of a type or nature that this proceeding is designed to protect. </w:t>
      </w:r>
      <w:r>
        <w:t xml:space="preserve"> </w:t>
      </w:r>
      <w:r w:rsidRPr="001005D9">
        <w:rPr>
          <w:i/>
        </w:rPr>
        <w:t>Agrico</w:t>
      </w:r>
      <w:r w:rsidRPr="001005D9">
        <w:t xml:space="preserve"> provides that competitive economic injury may only qualify as an injury if the applicable governing statute is designed to protect against such an interest</w:t>
      </w:r>
      <w:r>
        <w:t>.  The</w:t>
      </w:r>
      <w:r w:rsidRPr="001005D9">
        <w:t xml:space="preserve"> proceeding to resolve the 2021 Settlement Agreement</w:t>
      </w:r>
      <w:r>
        <w:t xml:space="preserve"> </w:t>
      </w:r>
      <w:r w:rsidRPr="001005D9">
        <w:t xml:space="preserve">was filed pursuant to Sections 366.076, 120.57(2), and 366.06(3), F.S. </w:t>
      </w:r>
      <w:r>
        <w:t xml:space="preserve"> </w:t>
      </w:r>
      <w:r w:rsidRPr="001005D9">
        <w:t>Those statutes, and this proceeding, are not designed to protect EVgo’s alleged interests</w:t>
      </w:r>
      <w:r>
        <w:t xml:space="preserve"> concerning competition</w:t>
      </w:r>
      <w:r w:rsidRPr="001005D9">
        <w:t>.</w:t>
      </w:r>
      <w:r>
        <w:t xml:space="preserve"> </w:t>
      </w:r>
      <w:r w:rsidRPr="001005D9">
        <w:t xml:space="preserve"> </w:t>
      </w:r>
      <w:r w:rsidRPr="001005D9">
        <w:rPr>
          <w:i/>
        </w:rPr>
        <w:t>See</w:t>
      </w:r>
      <w:r w:rsidRPr="001005D9">
        <w:t xml:space="preserve"> </w:t>
      </w:r>
      <w:r w:rsidRPr="001005D9">
        <w:rPr>
          <w:i/>
        </w:rPr>
        <w:t>Agrico Chemical Company v. Department of Environmental Regulation</w:t>
      </w:r>
      <w:r w:rsidRPr="001005D9">
        <w:t xml:space="preserve">, 406 So. 2d 478, 482 (Fla. 2d DCA 1981); </w:t>
      </w:r>
      <w:r w:rsidRPr="001005D9">
        <w:rPr>
          <w:i/>
        </w:rPr>
        <w:t>see also</w:t>
      </w:r>
      <w:r w:rsidRPr="001005D9">
        <w:t xml:space="preserve"> </w:t>
      </w:r>
      <w:r w:rsidRPr="001005D9">
        <w:rPr>
          <w:i/>
        </w:rPr>
        <w:t>Florida Society of Ophthalmology v. State Board of Optometry</w:t>
      </w:r>
      <w:r w:rsidRPr="001005D9">
        <w:t>, 532 So. 2d 1279, 1284 (Fla. 1st DCA 1988) (“Although one need not have his rights determined to become a party to a licensing proceeding, party status will be accorded only to those persons who will suffer an injury to their substantial interests in a manner sought to be prevented by the statutory scheme.”).</w:t>
      </w:r>
    </w:p>
    <w:p w:rsidR="00F333DA" w:rsidRPr="001005D9" w:rsidRDefault="00F333DA" w:rsidP="00F333DA">
      <w:pPr>
        <w:ind w:firstLine="720"/>
        <w:jc w:val="both"/>
      </w:pPr>
    </w:p>
    <w:p w:rsidR="00F333DA" w:rsidRPr="001005D9" w:rsidRDefault="00F333DA" w:rsidP="00F333DA">
      <w:pPr>
        <w:ind w:firstLine="720"/>
        <w:jc w:val="both"/>
      </w:pPr>
      <w:r w:rsidRPr="001005D9">
        <w:t>Pursuant to Order No. PSC-2021-0101-PCO-EI, the purpose of the May 4, 2021</w:t>
      </w:r>
      <w:r>
        <w:t>,</w:t>
      </w:r>
      <w:r w:rsidRPr="001005D9">
        <w:t xml:space="preserve"> hearing is to consider</w:t>
      </w:r>
      <w:r>
        <w:t xml:space="preserve"> whether</w:t>
      </w:r>
      <w:r w:rsidRPr="001005D9">
        <w:t xml:space="preserve"> it is in the public interest to approve the 2021 Settlement Agreement.</w:t>
      </w:r>
      <w:r>
        <w:t xml:space="preserve"> </w:t>
      </w:r>
      <w:r w:rsidRPr="001005D9">
        <w:t xml:space="preserve"> The decision to grant EVgo intervention as a commercial </w:t>
      </w:r>
      <w:r>
        <w:t xml:space="preserve">retail </w:t>
      </w:r>
      <w:r w:rsidRPr="001005D9">
        <w:t xml:space="preserve">customer should not be construed to permit the Company to raise arguments </w:t>
      </w:r>
      <w:r>
        <w:t>concerning its business interests or interests as a market competitor.</w:t>
      </w:r>
      <w:r w:rsidRPr="001005D9">
        <w:t xml:space="preserve"> </w:t>
      </w:r>
      <w:r>
        <w:t xml:space="preserve"> </w:t>
      </w:r>
      <w:r w:rsidRPr="001005D9">
        <w:t xml:space="preserve">EVgo’s Petition to Intervene in its capacity as a commercial </w:t>
      </w:r>
      <w:r>
        <w:t xml:space="preserve">retail </w:t>
      </w:r>
      <w:r w:rsidRPr="001005D9">
        <w:t xml:space="preserve">customer shall be granted. </w:t>
      </w:r>
      <w:r>
        <w:t xml:space="preserve"> </w:t>
      </w:r>
      <w:r w:rsidRPr="001005D9">
        <w:t>EVgo’s allegations based upon broad concepts of competitive business interests are beyond the scope of this proceeding, and intervention on that basis is denied.</w:t>
      </w:r>
    </w:p>
    <w:p w:rsidR="00F333DA" w:rsidRPr="001005D9" w:rsidRDefault="00F333DA" w:rsidP="00F333DA">
      <w:pPr>
        <w:ind w:firstLine="720"/>
        <w:jc w:val="both"/>
      </w:pPr>
    </w:p>
    <w:p w:rsidR="00F333DA" w:rsidRDefault="00F333DA" w:rsidP="00F333DA">
      <w:pPr>
        <w:ind w:firstLine="720"/>
        <w:jc w:val="both"/>
      </w:pPr>
      <w:r w:rsidRPr="001005D9">
        <w:t xml:space="preserve">Pursuant to Rule </w:t>
      </w:r>
      <w:r w:rsidRPr="00FF4E72">
        <w:t>28-106.205</w:t>
      </w:r>
      <w:r w:rsidRPr="001005D9">
        <w:t xml:space="preserve">, F.A.C., EVgo takes the case as it finds it. </w:t>
      </w:r>
    </w:p>
    <w:p w:rsidR="00F333DA" w:rsidRDefault="00F333DA" w:rsidP="00F333DA">
      <w:pPr>
        <w:ind w:firstLine="720"/>
        <w:jc w:val="both"/>
      </w:pPr>
    </w:p>
    <w:p w:rsidR="00F333DA" w:rsidRPr="001005D9" w:rsidRDefault="00F333DA" w:rsidP="00F333DA">
      <w:pPr>
        <w:ind w:firstLine="720"/>
        <w:jc w:val="both"/>
      </w:pPr>
      <w:r w:rsidRPr="001005D9">
        <w:t>Based on the above representations, it is</w:t>
      </w:r>
    </w:p>
    <w:p w:rsidR="00F333DA" w:rsidRPr="001005D9" w:rsidRDefault="00F333DA" w:rsidP="00F333DA">
      <w:pPr>
        <w:ind w:firstLine="720"/>
        <w:jc w:val="both"/>
      </w:pPr>
    </w:p>
    <w:p w:rsidR="00F333DA" w:rsidRPr="001005D9" w:rsidRDefault="00F333DA" w:rsidP="00F333DA">
      <w:pPr>
        <w:ind w:firstLine="720"/>
        <w:jc w:val="both"/>
      </w:pPr>
      <w:r w:rsidRPr="001005D9">
        <w:t xml:space="preserve">ORDERED by Commissioner Mike La Rosa, as Prehearing Officer, that the Petition to Intervene is hereby granted in part and denied in part, as set forth in the body of this Order. </w:t>
      </w:r>
      <w:r>
        <w:t xml:space="preserve"> </w:t>
      </w:r>
      <w:r w:rsidRPr="001005D9">
        <w:t>It is further</w:t>
      </w:r>
    </w:p>
    <w:p w:rsidR="00F333DA" w:rsidRPr="001005D9" w:rsidRDefault="00F333DA" w:rsidP="00F333DA">
      <w:pPr>
        <w:ind w:firstLine="720"/>
        <w:jc w:val="both"/>
      </w:pPr>
    </w:p>
    <w:p w:rsidR="00F333DA" w:rsidRDefault="00F333DA" w:rsidP="00F333DA">
      <w:pPr>
        <w:ind w:firstLine="720"/>
        <w:jc w:val="both"/>
      </w:pPr>
      <w:r w:rsidRPr="001005D9">
        <w:t xml:space="preserve">ORDERED that EVgo Services LLC takes the case as it finds it. </w:t>
      </w:r>
      <w:r>
        <w:t xml:space="preserve"> </w:t>
      </w:r>
      <w:r w:rsidRPr="001005D9">
        <w:t xml:space="preserve">It is further </w:t>
      </w:r>
    </w:p>
    <w:p w:rsidR="00F333DA" w:rsidRDefault="00F333DA" w:rsidP="00F333DA">
      <w:pPr>
        <w:ind w:firstLine="720"/>
        <w:jc w:val="both"/>
      </w:pPr>
    </w:p>
    <w:p w:rsidR="00F333DA" w:rsidRDefault="00F333DA" w:rsidP="00F333DA">
      <w:pPr>
        <w:ind w:firstLine="720"/>
        <w:jc w:val="both"/>
      </w:pPr>
      <w:r>
        <w:lastRenderedPageBreak/>
        <w:t>ORDERED that all parties to this proceeding shall furnish copies of all testimony, exhibits, pleadings, and other documents which may hereinafter be filed in this proceeding to:</w:t>
      </w:r>
    </w:p>
    <w:p w:rsidR="00F333DA" w:rsidRDefault="00F333DA" w:rsidP="00F333DA">
      <w:pPr>
        <w:ind w:firstLine="720"/>
        <w:jc w:val="both"/>
      </w:pPr>
    </w:p>
    <w:p w:rsidR="00F333DA" w:rsidRPr="003F68B5" w:rsidRDefault="00F333DA" w:rsidP="00F333DA">
      <w:pPr>
        <w:ind w:firstLine="720"/>
        <w:jc w:val="both"/>
      </w:pPr>
      <w:r w:rsidRPr="003F68B5">
        <w:t>Carine Dumit, Director</w:t>
      </w:r>
    </w:p>
    <w:p w:rsidR="00F333DA" w:rsidRPr="003F68B5" w:rsidRDefault="00F333DA" w:rsidP="00F333DA">
      <w:pPr>
        <w:ind w:firstLine="720"/>
        <w:jc w:val="both"/>
      </w:pPr>
      <w:r w:rsidRPr="003F68B5">
        <w:t>Market Development &amp; Public Policy - East</w:t>
      </w:r>
    </w:p>
    <w:p w:rsidR="00F333DA" w:rsidRPr="003F68B5" w:rsidRDefault="00F333DA" w:rsidP="00F333DA">
      <w:pPr>
        <w:ind w:firstLine="720"/>
        <w:jc w:val="both"/>
      </w:pPr>
      <w:r w:rsidRPr="003F68B5">
        <w:t>EV</w:t>
      </w:r>
      <w:r>
        <w:t>go Services</w:t>
      </w:r>
      <w:r w:rsidRPr="003F68B5">
        <w:t xml:space="preserve"> LLC</w:t>
      </w:r>
    </w:p>
    <w:p w:rsidR="00F333DA" w:rsidRPr="003F68B5" w:rsidRDefault="00F333DA" w:rsidP="00F333DA">
      <w:pPr>
        <w:ind w:firstLine="720"/>
        <w:jc w:val="both"/>
      </w:pPr>
      <w:r w:rsidRPr="003F68B5">
        <w:t>11835 W. Olympic Boulevard, Suite 900E</w:t>
      </w:r>
    </w:p>
    <w:p w:rsidR="00F333DA" w:rsidRPr="003F68B5" w:rsidRDefault="00F333DA" w:rsidP="00F333DA">
      <w:pPr>
        <w:ind w:firstLine="720"/>
        <w:jc w:val="both"/>
      </w:pPr>
      <w:r w:rsidRPr="003F68B5">
        <w:t>Los Angeles, CA 90064</w:t>
      </w:r>
    </w:p>
    <w:p w:rsidR="00F333DA" w:rsidRDefault="00F333DA" w:rsidP="00F333DA">
      <w:pPr>
        <w:ind w:firstLine="720"/>
        <w:jc w:val="both"/>
      </w:pPr>
      <w:r w:rsidRPr="003F68B5">
        <w:t>(877) 494-3833</w:t>
      </w:r>
    </w:p>
    <w:p w:rsidR="00F333DA" w:rsidRDefault="00B75FE5" w:rsidP="00F333DA">
      <w:pPr>
        <w:ind w:firstLine="720"/>
        <w:jc w:val="both"/>
      </w:pPr>
      <w:hyperlink r:id="rId6" w:history="1">
        <w:r w:rsidR="00F333DA" w:rsidRPr="009649B0">
          <w:rPr>
            <w:rStyle w:val="Hyperlink"/>
          </w:rPr>
          <w:t>Carine.dumit@evgo.com</w:t>
        </w:r>
      </w:hyperlink>
    </w:p>
    <w:p w:rsidR="00F333DA" w:rsidRDefault="00F333DA" w:rsidP="00F333DA"/>
    <w:p w:rsidR="00F333DA" w:rsidRDefault="00F333DA" w:rsidP="00F333DA">
      <w:pPr>
        <w:keepNext/>
        <w:keepLines/>
        <w:jc w:val="both"/>
      </w:pPr>
      <w:r>
        <w:tab/>
        <w:t xml:space="preserve">By ORDER of Commissioner Mike La Rosa, as Prehearing Officer, this </w:t>
      </w:r>
      <w:bookmarkStart w:id="7" w:name="replaceDate"/>
      <w:bookmarkEnd w:id="7"/>
      <w:r w:rsidR="00972FA7">
        <w:rPr>
          <w:u w:val="single"/>
        </w:rPr>
        <w:t>22nd</w:t>
      </w:r>
      <w:r w:rsidR="00972FA7">
        <w:t xml:space="preserve"> day of </w:t>
      </w:r>
      <w:r w:rsidR="00972FA7">
        <w:rPr>
          <w:u w:val="single"/>
        </w:rPr>
        <w:t>April</w:t>
      </w:r>
      <w:r w:rsidR="00972FA7">
        <w:t xml:space="preserve">, </w:t>
      </w:r>
      <w:r w:rsidR="00972FA7">
        <w:rPr>
          <w:u w:val="single"/>
        </w:rPr>
        <w:t>2021</w:t>
      </w:r>
      <w:r w:rsidR="00972FA7">
        <w:t>.</w:t>
      </w:r>
    </w:p>
    <w:p w:rsidR="00972FA7" w:rsidRPr="00972FA7" w:rsidRDefault="00972FA7" w:rsidP="00F333DA">
      <w:pPr>
        <w:keepNext/>
        <w:keepLines/>
        <w:jc w:val="both"/>
      </w:pPr>
    </w:p>
    <w:p w:rsidR="00F333DA" w:rsidRDefault="00F333DA" w:rsidP="00F333DA">
      <w:pPr>
        <w:keepNext/>
        <w:keepLines/>
        <w:jc w:val="both"/>
      </w:pPr>
    </w:p>
    <w:p w:rsidR="00F333DA" w:rsidRDefault="00F333DA" w:rsidP="00F333D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333DA" w:rsidTr="0056681E">
        <w:tc>
          <w:tcPr>
            <w:tcW w:w="720" w:type="dxa"/>
            <w:shd w:val="clear" w:color="auto" w:fill="auto"/>
          </w:tcPr>
          <w:p w:rsidR="00F333DA" w:rsidRDefault="00F333DA" w:rsidP="0056681E">
            <w:pPr>
              <w:keepNext/>
              <w:keepLines/>
              <w:jc w:val="both"/>
            </w:pPr>
            <w:bookmarkStart w:id="8" w:name="bkmrkSignature" w:colFirst="0" w:colLast="0"/>
          </w:p>
        </w:tc>
        <w:tc>
          <w:tcPr>
            <w:tcW w:w="4320" w:type="dxa"/>
            <w:tcBorders>
              <w:bottom w:val="single" w:sz="4" w:space="0" w:color="auto"/>
            </w:tcBorders>
            <w:shd w:val="clear" w:color="auto" w:fill="auto"/>
          </w:tcPr>
          <w:p w:rsidR="00F333DA" w:rsidRDefault="00B75FE5" w:rsidP="0056681E">
            <w:pPr>
              <w:keepNext/>
              <w:keepLines/>
              <w:jc w:val="both"/>
            </w:pPr>
            <w:r>
              <w:rPr>
                <w:noProof/>
              </w:rPr>
              <w:t>/s/ Mike La Rosa</w:t>
            </w:r>
            <w:bookmarkStart w:id="9" w:name="_GoBack"/>
            <w:bookmarkEnd w:id="9"/>
          </w:p>
        </w:tc>
      </w:tr>
      <w:bookmarkEnd w:id="8"/>
      <w:tr w:rsidR="00F333DA" w:rsidTr="0056681E">
        <w:tc>
          <w:tcPr>
            <w:tcW w:w="720" w:type="dxa"/>
            <w:shd w:val="clear" w:color="auto" w:fill="auto"/>
          </w:tcPr>
          <w:p w:rsidR="00F333DA" w:rsidRDefault="00F333DA" w:rsidP="0056681E">
            <w:pPr>
              <w:keepNext/>
              <w:keepLines/>
              <w:jc w:val="both"/>
            </w:pPr>
          </w:p>
        </w:tc>
        <w:tc>
          <w:tcPr>
            <w:tcW w:w="4320" w:type="dxa"/>
            <w:tcBorders>
              <w:top w:val="single" w:sz="4" w:space="0" w:color="auto"/>
            </w:tcBorders>
            <w:shd w:val="clear" w:color="auto" w:fill="auto"/>
          </w:tcPr>
          <w:p w:rsidR="00F333DA" w:rsidRDefault="00F333DA" w:rsidP="0056681E">
            <w:pPr>
              <w:keepNext/>
              <w:keepLines/>
              <w:jc w:val="both"/>
            </w:pPr>
            <w:r>
              <w:t>Mike La Rosa</w:t>
            </w:r>
          </w:p>
          <w:p w:rsidR="00F333DA" w:rsidRDefault="00F333DA" w:rsidP="0056681E">
            <w:pPr>
              <w:keepNext/>
              <w:keepLines/>
              <w:jc w:val="both"/>
            </w:pPr>
            <w:r>
              <w:t>Commissioner and Prehearing Officer</w:t>
            </w:r>
          </w:p>
        </w:tc>
      </w:tr>
    </w:tbl>
    <w:p w:rsidR="00F333DA" w:rsidRDefault="00F333DA" w:rsidP="00F333DA">
      <w:pPr>
        <w:pStyle w:val="OrderSigInfo"/>
        <w:keepNext/>
        <w:keepLines/>
      </w:pPr>
      <w:r>
        <w:t>Florida Public Service Commission</w:t>
      </w:r>
    </w:p>
    <w:p w:rsidR="00F333DA" w:rsidRDefault="00F333DA" w:rsidP="00F333DA">
      <w:pPr>
        <w:pStyle w:val="OrderSigInfo"/>
        <w:keepNext/>
        <w:keepLines/>
      </w:pPr>
      <w:r>
        <w:t>2540 Shumard Oak Boulevard</w:t>
      </w:r>
    </w:p>
    <w:p w:rsidR="00F333DA" w:rsidRDefault="00F333DA" w:rsidP="00F333DA">
      <w:pPr>
        <w:pStyle w:val="OrderSigInfo"/>
        <w:keepNext/>
        <w:keepLines/>
      </w:pPr>
      <w:r>
        <w:t>Tallahassee, Florida 32399</w:t>
      </w:r>
    </w:p>
    <w:p w:rsidR="00F333DA" w:rsidRDefault="00F333DA" w:rsidP="00F333DA">
      <w:pPr>
        <w:pStyle w:val="OrderSigInfo"/>
        <w:keepNext/>
        <w:keepLines/>
      </w:pPr>
      <w:r>
        <w:t>(850) 413</w:t>
      </w:r>
      <w:r>
        <w:noBreakHyphen/>
        <w:t>6770</w:t>
      </w:r>
    </w:p>
    <w:p w:rsidR="00F333DA" w:rsidRDefault="00F333DA" w:rsidP="00F333DA">
      <w:pPr>
        <w:pStyle w:val="OrderSigInfo"/>
        <w:keepNext/>
        <w:keepLines/>
      </w:pPr>
      <w:r>
        <w:t>www.floridapsc.com</w:t>
      </w:r>
    </w:p>
    <w:p w:rsidR="00F333DA" w:rsidRDefault="00F333DA" w:rsidP="00F333DA">
      <w:pPr>
        <w:pStyle w:val="OrderSigInfo"/>
        <w:keepNext/>
        <w:keepLines/>
      </w:pPr>
    </w:p>
    <w:p w:rsidR="00F333DA" w:rsidRDefault="00F333DA" w:rsidP="00F333DA">
      <w:pPr>
        <w:pStyle w:val="OrderSigInfo"/>
        <w:keepNext/>
        <w:keepLines/>
      </w:pPr>
      <w:r>
        <w:t>Copies furnished:  A copy of this document is provided to the parties of record at the time of issuance and, if applicable, interested persons.</w:t>
      </w:r>
    </w:p>
    <w:p w:rsidR="00F333DA" w:rsidRDefault="00F333DA" w:rsidP="00F333DA">
      <w:pPr>
        <w:pStyle w:val="OrderBody"/>
        <w:keepNext/>
        <w:keepLines/>
      </w:pPr>
    </w:p>
    <w:p w:rsidR="00F333DA" w:rsidRDefault="00F333DA" w:rsidP="00F333DA">
      <w:pPr>
        <w:keepNext/>
        <w:keepLines/>
        <w:jc w:val="both"/>
      </w:pPr>
    </w:p>
    <w:p w:rsidR="00F333DA" w:rsidRDefault="00F333DA" w:rsidP="00F333DA">
      <w:pPr>
        <w:jc w:val="both"/>
      </w:pPr>
      <w:r>
        <w:t>WLT</w:t>
      </w:r>
    </w:p>
    <w:p w:rsidR="00F333DA" w:rsidRDefault="00F333DA" w:rsidP="00F333DA">
      <w:pPr>
        <w:jc w:val="both"/>
      </w:pPr>
    </w:p>
    <w:p w:rsidR="00F333DA" w:rsidRDefault="00F333DA" w:rsidP="00F333DA">
      <w:pPr>
        <w:jc w:val="both"/>
      </w:pPr>
    </w:p>
    <w:p w:rsidR="00F333DA" w:rsidRDefault="00F333DA" w:rsidP="00F333DA">
      <w:pPr>
        <w:pStyle w:val="CenterUnderline"/>
      </w:pPr>
      <w:r>
        <w:t>NOTICE OF FURTHER PROCEEDINGS OR JUDICIAL REVIEW</w:t>
      </w:r>
    </w:p>
    <w:p w:rsidR="00F333DA" w:rsidRDefault="00F333DA" w:rsidP="00F333DA">
      <w:pPr>
        <w:pStyle w:val="CenterUnderline"/>
      </w:pPr>
    </w:p>
    <w:p w:rsidR="00F333DA" w:rsidRDefault="00F333DA" w:rsidP="00F333D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333DA" w:rsidRDefault="00F333DA" w:rsidP="00F333DA">
      <w:pPr>
        <w:pStyle w:val="OrderBody"/>
      </w:pPr>
    </w:p>
    <w:p w:rsidR="00F333DA" w:rsidRDefault="00F333DA" w:rsidP="00F333DA">
      <w:pPr>
        <w:pStyle w:val="OrderBody"/>
      </w:pPr>
      <w:r>
        <w:tab/>
        <w:t>Mediation may be available on a case-by-case basis.  If mediation is conducted, it does not affect a substantially interested person's right to a hearing.</w:t>
      </w:r>
    </w:p>
    <w:p w:rsidR="00F333DA" w:rsidRDefault="00F333DA" w:rsidP="00F333DA">
      <w:pPr>
        <w:pStyle w:val="OrderBody"/>
      </w:pPr>
    </w:p>
    <w:p w:rsidR="00F333DA" w:rsidRDefault="00F333DA" w:rsidP="00F333DA">
      <w:pPr>
        <w:pStyle w:val="OrderBody"/>
      </w:pPr>
      <w:r>
        <w:lastRenderedPageBreak/>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333DA" w:rsidRDefault="00F333DA" w:rsidP="00F333DA">
      <w:pPr>
        <w:ind w:firstLine="720"/>
        <w:jc w:val="both"/>
      </w:pPr>
    </w:p>
    <w:sectPr w:rsidR="00F333DA">
      <w:headerReference w:type="even" r:id="rId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3DA" w:rsidRDefault="00F333DA">
      <w:r>
        <w:separator/>
      </w:r>
    </w:p>
  </w:endnote>
  <w:endnote w:type="continuationSeparator" w:id="0">
    <w:p w:rsidR="00F333DA" w:rsidRDefault="00F33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3DA" w:rsidRDefault="00F333DA">
      <w:r>
        <w:separator/>
      </w:r>
    </w:p>
  </w:footnote>
  <w:footnote w:type="continuationSeparator" w:id="0">
    <w:p w:rsidR="00F333DA" w:rsidRDefault="00F333DA">
      <w:r>
        <w:continuationSeparator/>
      </w:r>
    </w:p>
  </w:footnote>
  <w:footnote w:id="1">
    <w:p w:rsidR="00F333DA" w:rsidRDefault="00F333DA" w:rsidP="00F333DA">
      <w:pPr>
        <w:pStyle w:val="FootnoteText"/>
      </w:pPr>
      <w:r>
        <w:rPr>
          <w:rStyle w:val="FootnoteReference"/>
        </w:rPr>
        <w:footnoteRef/>
      </w:r>
      <w:r>
        <w:t xml:space="preserve"> Order No. PSC-2017-0451-AS-EU,</w:t>
      </w:r>
      <w:r>
        <w:rPr>
          <w:spacing w:val="45"/>
        </w:rPr>
        <w:t xml:space="preserve"> </w:t>
      </w:r>
      <w:r>
        <w:t>issued</w:t>
      </w:r>
      <w:r>
        <w:rPr>
          <w:spacing w:val="45"/>
        </w:rPr>
        <w:t xml:space="preserve"> </w:t>
      </w:r>
      <w:r>
        <w:t>November</w:t>
      </w:r>
      <w:r>
        <w:rPr>
          <w:spacing w:val="46"/>
        </w:rPr>
        <w:t xml:space="preserve"> </w:t>
      </w:r>
      <w:r>
        <w:t xml:space="preserve">20, 2017, in Docket Nos. 20170183-EI, 20100437-EI, 20150171-EI, 20170001-EI, 20170002-EG, and 20170009-EI, </w:t>
      </w:r>
      <w:r>
        <w:rPr>
          <w:i/>
          <w:iCs/>
        </w:rPr>
        <w:t>In re: Application for limited proceeding to approve 2017 second revised and restated settlement agreement, including certain rate adjustments, by Duke Energy Florida, LLC., In re: Examination of the outage and replacement fuel/power costs associated with the CR3 steam generator replacement project, by Progress Energy Florida, Inc., In re: Petition for issuance of nuclear asset-recovery financing order, by Duke Energy Florida, Inc., d/b/a Duke Energy, In re: Fuel and purchased power cost recovery clause with generating performance incentive factor, In re: Energy conservation cost recovery clause, and In re: Nuclear cost recovery clause.</w:t>
      </w:r>
    </w:p>
  </w:footnote>
  <w:footnote w:id="2">
    <w:p w:rsidR="00F333DA" w:rsidRPr="00FD02F6" w:rsidRDefault="00F333DA" w:rsidP="00F333DA">
      <w:pPr>
        <w:pStyle w:val="FootnoteText"/>
      </w:pPr>
      <w:r>
        <w:rPr>
          <w:rStyle w:val="FootnoteReference"/>
        </w:rPr>
        <w:footnoteRef/>
      </w:r>
      <w:r>
        <w:t xml:space="preserve"> </w:t>
      </w:r>
      <w:r w:rsidRPr="00716E51">
        <w:t>Order No. PSC-2017-0397-PCO-EI</w:t>
      </w:r>
      <w:r>
        <w:t xml:space="preserve">, issued </w:t>
      </w:r>
      <w:r w:rsidRPr="00EF0834">
        <w:t>Oct</w:t>
      </w:r>
      <w:r>
        <w:t>ober</w:t>
      </w:r>
      <w:r w:rsidRPr="00EF0834">
        <w:t xml:space="preserve"> 20, 2017</w:t>
      </w:r>
      <w:r>
        <w:t xml:space="preserve">, in Docket No. 20170183-EI, </w:t>
      </w:r>
      <w:r w:rsidRPr="00A24DB8">
        <w:rPr>
          <w:i/>
          <w:iCs/>
        </w:rPr>
        <w:t>In re: Petition for limited proceeding to approve 2017 second revised and restated settlement agreement, including certain rate adjustments by Duke Energy Florida, LLC</w:t>
      </w:r>
      <w:r>
        <w:t xml:space="preserve"> </w:t>
      </w:r>
      <w:r w:rsidRPr="00FD02F6">
        <w:t>(a proposed intervenor’s “alleged injury to its economic interests and the free market are not what the governing statutes of this proceeding were meant to protect”)</w:t>
      </w:r>
      <w:r>
        <w:t xml:space="preserve">, Order No. </w:t>
      </w:r>
      <w:r w:rsidRPr="00FD02F6">
        <w:t>PSC-2009-0280-PCO-EI</w:t>
      </w:r>
      <w:r>
        <w:t xml:space="preserve">, issued April 29, 2009, in Docket No. 20080677-EI, </w:t>
      </w:r>
      <w:r w:rsidRPr="00716E51">
        <w:rPr>
          <w:i/>
        </w:rPr>
        <w:t>In re: Petition for increase in rates by Florida Power &amp; Light Company</w:t>
      </w:r>
      <w:r w:rsidRPr="00716E51">
        <w:t xml:space="preserve"> </w:t>
      </w:r>
      <w:r>
        <w:t>(g</w:t>
      </w:r>
      <w:r w:rsidRPr="00716E51">
        <w:t>ranting intervention to an individual customer</w:t>
      </w:r>
      <w:r>
        <w:t>,</w:t>
      </w:r>
      <w:r w:rsidRPr="00716E51">
        <w:t xml:space="preserve"> stating that intervention should not be construed to permit him to raise arguments outside the scope of the issues the Commission determines to address in this rate proceeding, specifically including issues related to his competitive economic or business interests</w:t>
      </w:r>
      <w:r>
        <w:t>.</w:t>
      </w:r>
      <w:r w:rsidRPr="00716E51">
        <w:t>)</w:t>
      </w:r>
      <w:r w:rsidRPr="00FD02F6">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21A" w:rsidRDefault="0022721A">
    <w:pPr>
      <w:pStyle w:val="Header"/>
    </w:pPr>
  </w:p>
  <w:p w:rsidR="002E19D8" w:rsidRDefault="002E19D8"/>
  <w:p w:rsidR="002E19D8" w:rsidRDefault="002E19D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B75FE5">
      <w:fldChar w:fldCharType="begin"/>
    </w:r>
    <w:r w:rsidR="00B75FE5">
      <w:instrText xml:space="preserve"> REF OrderNo0151 </w:instrText>
    </w:r>
    <w:r w:rsidR="00B75FE5">
      <w:fldChar w:fldCharType="separate"/>
    </w:r>
    <w:r w:rsidR="00972FA7">
      <w:t>PSC-2021-0151-PCO-EI</w:t>
    </w:r>
    <w:r w:rsidR="00B75FE5">
      <w:fldChar w:fldCharType="end"/>
    </w:r>
  </w:p>
  <w:p w:rsidR="00FA6EFD" w:rsidRDefault="00F333DA">
    <w:pPr>
      <w:pStyle w:val="OrderHeader"/>
    </w:pPr>
    <w:bookmarkStart w:id="10" w:name="HeaderDocketNo"/>
    <w:bookmarkEnd w:id="10"/>
    <w:r>
      <w:t>DOCKET NOS. 20190110-EI, 20190222-EI, 20210016-EI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75FE5">
      <w:rPr>
        <w:rStyle w:val="PageNumber"/>
        <w:noProof/>
      </w:rPr>
      <w:t>3</w:t>
    </w:r>
    <w:r>
      <w:rPr>
        <w:rStyle w:val="PageNumber"/>
      </w:rPr>
      <w:fldChar w:fldCharType="end"/>
    </w:r>
  </w:p>
  <w:p w:rsidR="002E19D8" w:rsidRDefault="002E19D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10-EI, 20190222-EI, 20210016-EI"/>
  </w:docVars>
  <w:rsids>
    <w:rsidRoot w:val="00F333DA"/>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9D8"/>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1DAD"/>
    <w:rsid w:val="007C29C9"/>
    <w:rsid w:val="007C35B8"/>
    <w:rsid w:val="007C36E3"/>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E7716"/>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2FA7"/>
    <w:rsid w:val="00976AFF"/>
    <w:rsid w:val="009924CF"/>
    <w:rsid w:val="00994100"/>
    <w:rsid w:val="009A6B17"/>
    <w:rsid w:val="009C7C14"/>
    <w:rsid w:val="009D4C29"/>
    <w:rsid w:val="009E58E9"/>
    <w:rsid w:val="009F6AD2"/>
    <w:rsid w:val="009F7C1B"/>
    <w:rsid w:val="00A0027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5FE5"/>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33DA"/>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unhideWhenUsed/>
    <w:rsid w:val="00F333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rine.dumit@evgo.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6</Pages>
  <Words>2006</Words>
  <Characters>11438</Characters>
  <Application>Microsoft Office Word</Application>
  <DocSecurity>0</DocSecurity>
  <Lines>95</Lines>
  <Paragraphs>26</Paragraphs>
  <ScaleCrop>false</ScaleCrop>
  <Company/>
  <LinksUpToDate>false</LinksUpToDate>
  <CharactersWithSpaces>13418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2021-04-22T19:21:00Z</dcterms:created>
  <dcterms:modified xsi:type="dcterms:W3CDTF">2021-04-22T21:00:00Z</dcterms:modified>
</cp:coreProperties>
</file>