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84234" w:rsidP="00F84234">
      <w:pPr>
        <w:pStyle w:val="OrderHeading"/>
      </w:pPr>
      <w:r>
        <w:t>BEFORE THE FLORIDA PUBLIC SERVICE COMMISSION</w:t>
      </w:r>
    </w:p>
    <w:p w:rsidR="00F84234" w:rsidRDefault="00F84234" w:rsidP="00F84234">
      <w:pPr>
        <w:pStyle w:val="OrderBody"/>
      </w:pPr>
    </w:p>
    <w:p w:rsidR="00F84234" w:rsidRDefault="00F84234" w:rsidP="00F8423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84234" w:rsidRPr="00C63FCF" w:rsidTr="00C63FCF">
        <w:trPr>
          <w:trHeight w:val="828"/>
        </w:trPr>
        <w:tc>
          <w:tcPr>
            <w:tcW w:w="4788" w:type="dxa"/>
            <w:tcBorders>
              <w:bottom w:val="single" w:sz="8" w:space="0" w:color="auto"/>
              <w:right w:val="double" w:sz="6" w:space="0" w:color="auto"/>
            </w:tcBorders>
            <w:shd w:val="clear" w:color="auto" w:fill="auto"/>
          </w:tcPr>
          <w:p w:rsidR="00F84234" w:rsidRDefault="00F84234"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F84234" w:rsidRDefault="00F84234" w:rsidP="00F84234">
            <w:pPr>
              <w:pStyle w:val="OrderBody"/>
            </w:pPr>
            <w:r>
              <w:t xml:space="preserve">DOCKET NO. </w:t>
            </w:r>
            <w:bookmarkStart w:id="1" w:name="SSDocketNo"/>
            <w:bookmarkEnd w:id="1"/>
            <w:r>
              <w:t>20210015-EI</w:t>
            </w:r>
          </w:p>
          <w:p w:rsidR="00F84234" w:rsidRDefault="00F84234" w:rsidP="00C63FCF">
            <w:pPr>
              <w:pStyle w:val="OrderBody"/>
              <w:tabs>
                <w:tab w:val="center" w:pos="4320"/>
                <w:tab w:val="right" w:pos="8640"/>
              </w:tabs>
              <w:jc w:val="left"/>
            </w:pPr>
            <w:r>
              <w:t xml:space="preserve">ORDER NO. </w:t>
            </w:r>
            <w:bookmarkStart w:id="2" w:name="OrderNo0233"/>
            <w:r w:rsidR="003069C7">
              <w:t>PSC-2021-0233-PCO-EI</w:t>
            </w:r>
            <w:bookmarkEnd w:id="2"/>
          </w:p>
          <w:p w:rsidR="00F84234" w:rsidRDefault="00F84234" w:rsidP="00C63FCF">
            <w:pPr>
              <w:pStyle w:val="OrderBody"/>
              <w:tabs>
                <w:tab w:val="center" w:pos="4320"/>
                <w:tab w:val="right" w:pos="8640"/>
              </w:tabs>
              <w:jc w:val="left"/>
            </w:pPr>
            <w:r>
              <w:t xml:space="preserve">ISSUED: </w:t>
            </w:r>
            <w:r w:rsidR="003069C7">
              <w:t>June 28, 2021</w:t>
            </w:r>
          </w:p>
        </w:tc>
      </w:tr>
    </w:tbl>
    <w:p w:rsidR="00F84234" w:rsidRDefault="00F84234" w:rsidP="00F84234"/>
    <w:p w:rsidR="00CB5276" w:rsidRDefault="00E53C21" w:rsidP="00F84234">
      <w:pPr>
        <w:pStyle w:val="CenterUnderline"/>
      </w:pPr>
      <w:bookmarkStart w:id="3" w:name="Commissioners"/>
      <w:bookmarkStart w:id="4" w:name="OrderTitle"/>
      <w:bookmarkEnd w:id="3"/>
      <w:r>
        <w:t xml:space="preserve">SECOND </w:t>
      </w:r>
      <w:r w:rsidR="002A2848">
        <w:t>ORDER</w:t>
      </w:r>
      <w:r>
        <w:t xml:space="preserve"> REVISING ORDER ESTABLISHING PROCEDURE</w:t>
      </w:r>
      <w:r w:rsidR="00F84234">
        <w:t xml:space="preserve"> </w:t>
      </w:r>
      <w:bookmarkEnd w:id="4"/>
    </w:p>
    <w:p w:rsidR="00F84234" w:rsidRDefault="00F84234" w:rsidP="00F84234">
      <w:pPr>
        <w:pStyle w:val="CenterUnderline"/>
      </w:pPr>
    </w:p>
    <w:p w:rsidR="00E53C21" w:rsidRDefault="002A2848" w:rsidP="00CC7600">
      <w:pPr>
        <w:pStyle w:val="CenterUnderline"/>
        <w:jc w:val="both"/>
        <w:rPr>
          <w:u w:val="none"/>
        </w:rPr>
      </w:pPr>
      <w:r>
        <w:rPr>
          <w:u w:val="none"/>
        </w:rPr>
        <w:tab/>
        <w:t>On June 22, 2021, Florida Power &amp; Light Company (FPL) filed an unopposed motion requesting a two-day extension of the deadlines set forth in Order No. PSC-2021-0116-PCO-EI</w:t>
      </w:r>
      <w:r w:rsidR="00E53C21">
        <w:rPr>
          <w:u w:val="none"/>
        </w:rPr>
        <w:t xml:space="preserve"> (OEP) </w:t>
      </w:r>
      <w:r>
        <w:rPr>
          <w:u w:val="none"/>
        </w:rPr>
        <w:t>for filing rebuttal testimony and completion of discovery.  In support of its request, FPL stated that</w:t>
      </w:r>
      <w:r w:rsidR="00E53C21">
        <w:rPr>
          <w:u w:val="none"/>
        </w:rPr>
        <w:t xml:space="preserve"> the OEP established the following filing dates:</w:t>
      </w:r>
    </w:p>
    <w:p w:rsidR="00E53C21" w:rsidRDefault="00E53C21" w:rsidP="00CC7600">
      <w:pPr>
        <w:pStyle w:val="CenterUnderline"/>
        <w:jc w:val="both"/>
        <w:rPr>
          <w:u w:val="none"/>
        </w:rPr>
      </w:pPr>
    </w:p>
    <w:p w:rsidR="00E53C21" w:rsidRDefault="00E53C21" w:rsidP="00CC7600">
      <w:pPr>
        <w:pStyle w:val="CenterUnderline"/>
        <w:jc w:val="both"/>
        <w:rPr>
          <w:u w:val="none"/>
        </w:rPr>
      </w:pPr>
      <w:r>
        <w:rPr>
          <w:u w:val="none"/>
        </w:rPr>
        <w:tab/>
        <w:t>Intervenor testimony and exhibits</w:t>
      </w:r>
      <w:r>
        <w:rPr>
          <w:u w:val="none"/>
        </w:rPr>
        <w:tab/>
      </w:r>
      <w:r>
        <w:rPr>
          <w:u w:val="none"/>
        </w:rPr>
        <w:tab/>
        <w:t>June 21, 2021</w:t>
      </w:r>
    </w:p>
    <w:p w:rsidR="00E53C21" w:rsidRDefault="00E53C21" w:rsidP="00CC7600">
      <w:pPr>
        <w:pStyle w:val="CenterUnderline"/>
        <w:jc w:val="both"/>
        <w:rPr>
          <w:u w:val="none"/>
        </w:rPr>
      </w:pPr>
      <w:r>
        <w:rPr>
          <w:u w:val="none"/>
        </w:rPr>
        <w:tab/>
        <w:t>Staff testimony and exhibits</w:t>
      </w:r>
      <w:r>
        <w:rPr>
          <w:u w:val="none"/>
        </w:rPr>
        <w:tab/>
      </w:r>
      <w:r>
        <w:rPr>
          <w:u w:val="none"/>
        </w:rPr>
        <w:tab/>
      </w:r>
      <w:r>
        <w:rPr>
          <w:u w:val="none"/>
        </w:rPr>
        <w:tab/>
        <w:t>July 6, 2021</w:t>
      </w:r>
    </w:p>
    <w:p w:rsidR="00E53C21" w:rsidRDefault="00E53C21" w:rsidP="00CC7600">
      <w:pPr>
        <w:pStyle w:val="CenterUnderline"/>
        <w:jc w:val="both"/>
        <w:rPr>
          <w:u w:val="none"/>
        </w:rPr>
      </w:pPr>
      <w:r>
        <w:rPr>
          <w:u w:val="none"/>
        </w:rPr>
        <w:tab/>
        <w:t>Rebuttal testimony and exh</w:t>
      </w:r>
      <w:r w:rsidR="00230054">
        <w:rPr>
          <w:u w:val="none"/>
        </w:rPr>
        <w:t>i</w:t>
      </w:r>
      <w:r>
        <w:rPr>
          <w:u w:val="none"/>
        </w:rPr>
        <w:t>bits</w:t>
      </w:r>
      <w:r>
        <w:rPr>
          <w:u w:val="none"/>
        </w:rPr>
        <w:tab/>
      </w:r>
      <w:r>
        <w:rPr>
          <w:u w:val="none"/>
        </w:rPr>
        <w:tab/>
        <w:t>July 12, 2021</w:t>
      </w:r>
    </w:p>
    <w:p w:rsidR="00E53C21" w:rsidRDefault="00E53C21" w:rsidP="00CC7600">
      <w:pPr>
        <w:pStyle w:val="CenterUnderline"/>
        <w:jc w:val="both"/>
        <w:rPr>
          <w:u w:val="none"/>
        </w:rPr>
      </w:pPr>
      <w:r>
        <w:rPr>
          <w:u w:val="none"/>
        </w:rPr>
        <w:tab/>
        <w:t>Discovery actions completed</w:t>
      </w:r>
      <w:r>
        <w:rPr>
          <w:u w:val="none"/>
        </w:rPr>
        <w:tab/>
      </w:r>
      <w:r>
        <w:rPr>
          <w:u w:val="none"/>
        </w:rPr>
        <w:tab/>
      </w:r>
      <w:r>
        <w:rPr>
          <w:u w:val="none"/>
        </w:rPr>
        <w:tab/>
        <w:t>August 6, 2021</w:t>
      </w:r>
    </w:p>
    <w:p w:rsidR="00E53C21" w:rsidRDefault="00E53C21" w:rsidP="00CC7600">
      <w:pPr>
        <w:pStyle w:val="CenterUnderline"/>
        <w:jc w:val="both"/>
        <w:rPr>
          <w:u w:val="none"/>
        </w:rPr>
      </w:pPr>
    </w:p>
    <w:p w:rsidR="00D318BB" w:rsidRDefault="00E53C21" w:rsidP="00CC7600">
      <w:pPr>
        <w:pStyle w:val="CenterUnderline"/>
        <w:jc w:val="both"/>
        <w:rPr>
          <w:u w:val="none"/>
        </w:rPr>
      </w:pPr>
      <w:r>
        <w:rPr>
          <w:u w:val="none"/>
        </w:rPr>
        <w:tab/>
        <w:t xml:space="preserve">On June 21, 2021, intervenors filed the testimony of </w:t>
      </w:r>
      <w:r w:rsidR="00A83606">
        <w:rPr>
          <w:u w:val="none"/>
        </w:rPr>
        <w:t xml:space="preserve">40 witnesses.  The OEP gives FPL 21 days to review and prepare responses to these witnesses.  While some of these witnesses have submitted testimony limited to </w:t>
      </w:r>
      <w:r w:rsidR="00230054">
        <w:rPr>
          <w:u w:val="none"/>
        </w:rPr>
        <w:t xml:space="preserve">the facts supporting their </w:t>
      </w:r>
      <w:r w:rsidR="00A83606">
        <w:rPr>
          <w:u w:val="none"/>
        </w:rPr>
        <w:t xml:space="preserve">standing </w:t>
      </w:r>
      <w:r w:rsidR="00230054">
        <w:rPr>
          <w:u w:val="none"/>
        </w:rPr>
        <w:t>to intervene in this case</w:t>
      </w:r>
      <w:r w:rsidR="00A83606">
        <w:rPr>
          <w:u w:val="none"/>
        </w:rPr>
        <w:t xml:space="preserve">, </w:t>
      </w:r>
      <w:r w:rsidR="00D318BB">
        <w:rPr>
          <w:u w:val="none"/>
        </w:rPr>
        <w:t xml:space="preserve">at least 20 witnesses have filed testimony regarding the </w:t>
      </w:r>
      <w:r w:rsidR="00230054">
        <w:rPr>
          <w:u w:val="none"/>
        </w:rPr>
        <w:t xml:space="preserve">substantive </w:t>
      </w:r>
      <w:r w:rsidR="00D318BB">
        <w:rPr>
          <w:u w:val="none"/>
        </w:rPr>
        <w:t xml:space="preserve">technical issues </w:t>
      </w:r>
      <w:r w:rsidR="001E7EBE">
        <w:rPr>
          <w:u w:val="none"/>
        </w:rPr>
        <w:t xml:space="preserve">that have been </w:t>
      </w:r>
      <w:r w:rsidR="00D318BB">
        <w:rPr>
          <w:u w:val="none"/>
        </w:rPr>
        <w:t xml:space="preserve">raised.   FPL has requested that it be allowed two additional days to file its rebuttal testimony, or until July 14, 2021.  Additionally, FPL has requested a two day extension of the discovery completion date to allow all parties the same amount of time for discovery as is provided under the OEP, or until August 9, 2021.  </w:t>
      </w:r>
    </w:p>
    <w:p w:rsidR="00D318BB" w:rsidRDefault="00D318BB" w:rsidP="00CC7600">
      <w:pPr>
        <w:pStyle w:val="CenterUnderline"/>
        <w:jc w:val="both"/>
        <w:rPr>
          <w:u w:val="none"/>
        </w:rPr>
      </w:pPr>
    </w:p>
    <w:p w:rsidR="00FC45B2" w:rsidRDefault="00D318BB" w:rsidP="00CC7600">
      <w:pPr>
        <w:pStyle w:val="CenterUnderline"/>
        <w:jc w:val="both"/>
        <w:rPr>
          <w:u w:val="none"/>
        </w:rPr>
      </w:pPr>
      <w:r>
        <w:rPr>
          <w:u w:val="none"/>
        </w:rPr>
        <w:tab/>
      </w:r>
      <w:r w:rsidR="00FC45B2">
        <w:rPr>
          <w:u w:val="none"/>
        </w:rPr>
        <w:t>T</w:t>
      </w:r>
      <w:r>
        <w:rPr>
          <w:u w:val="none"/>
        </w:rPr>
        <w:t xml:space="preserve">here </w:t>
      </w:r>
      <w:r w:rsidR="00FC45B2">
        <w:rPr>
          <w:u w:val="none"/>
        </w:rPr>
        <w:t>are</w:t>
      </w:r>
      <w:r>
        <w:rPr>
          <w:u w:val="none"/>
        </w:rPr>
        <w:t xml:space="preserve"> more than 1,900 pages of </w:t>
      </w:r>
      <w:r w:rsidR="00230054">
        <w:rPr>
          <w:u w:val="none"/>
        </w:rPr>
        <w:t xml:space="preserve">intervenor </w:t>
      </w:r>
      <w:r>
        <w:rPr>
          <w:u w:val="none"/>
        </w:rPr>
        <w:t xml:space="preserve">testimony to be reviewed </w:t>
      </w:r>
      <w:r w:rsidR="00FC45B2">
        <w:rPr>
          <w:u w:val="none"/>
        </w:rPr>
        <w:t xml:space="preserve">in this case.  Further, there </w:t>
      </w:r>
      <w:r w:rsidR="000C04DA">
        <w:rPr>
          <w:u w:val="none"/>
        </w:rPr>
        <w:t>appears to be</w:t>
      </w:r>
      <w:r w:rsidR="00FC45B2">
        <w:rPr>
          <w:u w:val="none"/>
        </w:rPr>
        <w:t xml:space="preserve"> </w:t>
      </w:r>
      <w:r>
        <w:rPr>
          <w:u w:val="none"/>
        </w:rPr>
        <w:t xml:space="preserve">agreement of all parties to the extension of the rebuttal filing </w:t>
      </w:r>
      <w:r w:rsidR="00FC45B2">
        <w:rPr>
          <w:u w:val="none"/>
        </w:rPr>
        <w:t>date as long as it is coupled with an equal extension f</w:t>
      </w:r>
      <w:r w:rsidR="007D5D2B">
        <w:rPr>
          <w:u w:val="none"/>
        </w:rPr>
        <w:t>or</w:t>
      </w:r>
      <w:r w:rsidR="00FC45B2">
        <w:rPr>
          <w:u w:val="none"/>
        </w:rPr>
        <w:t xml:space="preserve"> the completion of </w:t>
      </w:r>
      <w:r>
        <w:rPr>
          <w:u w:val="none"/>
        </w:rPr>
        <w:t>discovery deadline.</w:t>
      </w:r>
      <w:r w:rsidR="00FC45B2">
        <w:rPr>
          <w:u w:val="none"/>
        </w:rPr>
        <w:t xml:space="preserve">  Under these unique circumstances, it is reasonable and nonprejudicial to any party to grant FPL’s request.  Therefore, </w:t>
      </w:r>
      <w:r w:rsidR="00230054">
        <w:rPr>
          <w:u w:val="none"/>
        </w:rPr>
        <w:t xml:space="preserve">FPL’s unopposed motion requesting a two-day extension of time is granted and </w:t>
      </w:r>
      <w:r w:rsidR="00FC45B2">
        <w:rPr>
          <w:u w:val="none"/>
        </w:rPr>
        <w:t>the rebuttal testimony and exhibit filing date and discovery completion date shall be extended as follows:</w:t>
      </w:r>
    </w:p>
    <w:p w:rsidR="00FC45B2" w:rsidRDefault="00FC45B2" w:rsidP="00CC7600">
      <w:pPr>
        <w:pStyle w:val="CenterUnderline"/>
        <w:jc w:val="both"/>
        <w:rPr>
          <w:u w:val="none"/>
        </w:rPr>
      </w:pPr>
    </w:p>
    <w:p w:rsidR="00FC45B2" w:rsidRDefault="00FC45B2" w:rsidP="00FC45B2">
      <w:pPr>
        <w:pStyle w:val="CenterUnderline"/>
        <w:ind w:firstLine="720"/>
        <w:jc w:val="both"/>
        <w:rPr>
          <w:u w:val="none"/>
        </w:rPr>
      </w:pPr>
      <w:r>
        <w:rPr>
          <w:u w:val="none"/>
        </w:rPr>
        <w:t>Rebuttal testimony and exh</w:t>
      </w:r>
      <w:r w:rsidR="00230054">
        <w:rPr>
          <w:u w:val="none"/>
        </w:rPr>
        <w:t>i</w:t>
      </w:r>
      <w:r>
        <w:rPr>
          <w:u w:val="none"/>
        </w:rPr>
        <w:t>bits</w:t>
      </w:r>
      <w:r>
        <w:rPr>
          <w:u w:val="none"/>
        </w:rPr>
        <w:tab/>
      </w:r>
      <w:r>
        <w:rPr>
          <w:u w:val="none"/>
        </w:rPr>
        <w:tab/>
        <w:t>July 14, 2021</w:t>
      </w:r>
    </w:p>
    <w:p w:rsidR="00FC45B2" w:rsidRDefault="00FC45B2" w:rsidP="00FC45B2">
      <w:pPr>
        <w:pStyle w:val="CenterUnderline"/>
        <w:jc w:val="both"/>
        <w:rPr>
          <w:u w:val="none"/>
        </w:rPr>
      </w:pPr>
      <w:r>
        <w:rPr>
          <w:u w:val="none"/>
        </w:rPr>
        <w:tab/>
        <w:t>Discovery actions completed</w:t>
      </w:r>
      <w:r>
        <w:rPr>
          <w:u w:val="none"/>
        </w:rPr>
        <w:tab/>
      </w:r>
      <w:r>
        <w:rPr>
          <w:u w:val="none"/>
        </w:rPr>
        <w:tab/>
      </w:r>
      <w:r>
        <w:rPr>
          <w:u w:val="none"/>
        </w:rPr>
        <w:tab/>
        <w:t>August 9, 2021</w:t>
      </w:r>
    </w:p>
    <w:p w:rsidR="00FC45B2" w:rsidRDefault="00FC45B2" w:rsidP="00FC45B2">
      <w:pPr>
        <w:pStyle w:val="CenterUnderline"/>
        <w:jc w:val="both"/>
        <w:rPr>
          <w:u w:val="none"/>
        </w:rPr>
      </w:pPr>
      <w:r>
        <w:rPr>
          <w:u w:val="none"/>
        </w:rPr>
        <w:tab/>
      </w:r>
    </w:p>
    <w:p w:rsidR="00FC45B2" w:rsidRDefault="00FC45B2" w:rsidP="00FC45B2">
      <w:pPr>
        <w:pStyle w:val="CenterUnderline"/>
        <w:jc w:val="both"/>
        <w:rPr>
          <w:u w:val="none"/>
        </w:rPr>
      </w:pPr>
      <w:r>
        <w:rPr>
          <w:u w:val="none"/>
        </w:rPr>
        <w:tab/>
        <w:t>Based on the foregoing, it is</w:t>
      </w:r>
    </w:p>
    <w:p w:rsidR="00FC45B2" w:rsidRDefault="00FC45B2" w:rsidP="00FC45B2">
      <w:pPr>
        <w:pStyle w:val="CenterUnderline"/>
        <w:jc w:val="both"/>
        <w:rPr>
          <w:u w:val="none"/>
        </w:rPr>
      </w:pPr>
    </w:p>
    <w:p w:rsidR="000C04DA" w:rsidRDefault="00FC45B2" w:rsidP="00FC45B2">
      <w:pPr>
        <w:pStyle w:val="CenterUnderline"/>
        <w:jc w:val="both"/>
        <w:rPr>
          <w:u w:val="none"/>
        </w:rPr>
      </w:pPr>
      <w:r>
        <w:rPr>
          <w:u w:val="none"/>
        </w:rPr>
        <w:tab/>
        <w:t xml:space="preserve">ORDERED by Gary F. Clark, as </w:t>
      </w:r>
      <w:r w:rsidR="000C04DA">
        <w:rPr>
          <w:u w:val="none"/>
        </w:rPr>
        <w:t>Prehea</w:t>
      </w:r>
      <w:r>
        <w:rPr>
          <w:u w:val="none"/>
        </w:rPr>
        <w:t>ring Officer, that</w:t>
      </w:r>
      <w:r w:rsidR="000C04DA">
        <w:rPr>
          <w:u w:val="none"/>
        </w:rPr>
        <w:t xml:space="preserve"> </w:t>
      </w:r>
      <w:r w:rsidR="00230054">
        <w:rPr>
          <w:u w:val="none"/>
        </w:rPr>
        <w:t xml:space="preserve">Florida Power &amp; Light Company’s unopposed motion for an extension of time for filing rebuttal testimony is granted and </w:t>
      </w:r>
      <w:r w:rsidR="000C04DA">
        <w:rPr>
          <w:u w:val="none"/>
        </w:rPr>
        <w:t>Order No. PSC-2021-0116-PCO-EI, issued on March 24, 2021, shall be modified as stated above.  It is further</w:t>
      </w:r>
    </w:p>
    <w:p w:rsidR="000C04DA" w:rsidRDefault="000C04DA" w:rsidP="00FC45B2">
      <w:pPr>
        <w:pStyle w:val="CenterUnderline"/>
        <w:jc w:val="both"/>
        <w:rPr>
          <w:u w:val="none"/>
        </w:rPr>
      </w:pPr>
    </w:p>
    <w:p w:rsidR="006C76EB" w:rsidRDefault="000C04DA" w:rsidP="00FC45B2">
      <w:pPr>
        <w:pStyle w:val="CenterUnderline"/>
        <w:jc w:val="both"/>
        <w:rPr>
          <w:u w:val="none"/>
        </w:rPr>
      </w:pPr>
      <w:r>
        <w:rPr>
          <w:u w:val="none"/>
        </w:rPr>
        <w:lastRenderedPageBreak/>
        <w:tab/>
        <w:t>ORDERED</w:t>
      </w:r>
      <w:r w:rsidR="00FC45B2">
        <w:rPr>
          <w:u w:val="none"/>
        </w:rPr>
        <w:t xml:space="preserve"> </w:t>
      </w:r>
      <w:r>
        <w:rPr>
          <w:u w:val="none"/>
        </w:rPr>
        <w:t>that Order No. PSC-2021-0116-PCO-EI</w:t>
      </w:r>
      <w:r w:rsidR="006C76EB">
        <w:rPr>
          <w:u w:val="none"/>
        </w:rPr>
        <w:t>,</w:t>
      </w:r>
      <w:r w:rsidR="00230054">
        <w:rPr>
          <w:u w:val="none"/>
        </w:rPr>
        <w:t xml:space="preserve"> </w:t>
      </w:r>
      <w:r w:rsidR="006C76EB">
        <w:rPr>
          <w:u w:val="none"/>
        </w:rPr>
        <w:t xml:space="preserve">issued March 24, 2021; </w:t>
      </w:r>
      <w:r>
        <w:rPr>
          <w:u w:val="none"/>
        </w:rPr>
        <w:t>Order No. PSC-2021-0120-PCO-EI, issued April 1, 2021</w:t>
      </w:r>
      <w:r w:rsidR="006C76EB">
        <w:rPr>
          <w:u w:val="none"/>
        </w:rPr>
        <w:t>;</w:t>
      </w:r>
      <w:r>
        <w:rPr>
          <w:u w:val="none"/>
        </w:rPr>
        <w:t xml:space="preserve"> and Order No. PSC-2021-0120A, issued April 8, 2021, </w:t>
      </w:r>
      <w:r w:rsidR="006C76EB">
        <w:rPr>
          <w:u w:val="none"/>
        </w:rPr>
        <w:t>are</w:t>
      </w:r>
      <w:r>
        <w:rPr>
          <w:u w:val="none"/>
        </w:rPr>
        <w:t xml:space="preserve"> hereby reaffirmed to the extent not inconsistent with this Order</w:t>
      </w:r>
      <w:r w:rsidR="006C76EB">
        <w:rPr>
          <w:u w:val="none"/>
        </w:rPr>
        <w:t>.</w:t>
      </w:r>
    </w:p>
    <w:p w:rsidR="006C76EB" w:rsidRDefault="006C76EB" w:rsidP="00FC45B2">
      <w:pPr>
        <w:pStyle w:val="CenterUnderline"/>
        <w:jc w:val="both"/>
        <w:rPr>
          <w:u w:val="none"/>
        </w:rPr>
      </w:pPr>
    </w:p>
    <w:p w:rsidR="006C76EB" w:rsidRDefault="006C76EB" w:rsidP="006C76EB">
      <w:pPr>
        <w:pStyle w:val="CenterUnderline"/>
        <w:keepNext/>
        <w:keepLines/>
        <w:jc w:val="both"/>
        <w:rPr>
          <w:u w:val="none"/>
        </w:rPr>
      </w:pPr>
      <w:r>
        <w:rPr>
          <w:u w:val="none"/>
        </w:rPr>
        <w:tab/>
        <w:t xml:space="preserve">By ORDER of Chairman Gary F. Clark, as Presiding Officer, this </w:t>
      </w:r>
      <w:bookmarkStart w:id="5" w:name="replaceDate"/>
      <w:bookmarkEnd w:id="5"/>
      <w:r w:rsidR="003069C7">
        <w:t>28th</w:t>
      </w:r>
      <w:r w:rsidR="003069C7">
        <w:rPr>
          <w:u w:val="none"/>
        </w:rPr>
        <w:t xml:space="preserve"> day of </w:t>
      </w:r>
      <w:r w:rsidR="003069C7">
        <w:t>June</w:t>
      </w:r>
      <w:r w:rsidR="003069C7">
        <w:rPr>
          <w:u w:val="none"/>
        </w:rPr>
        <w:t xml:space="preserve">, </w:t>
      </w:r>
      <w:r w:rsidR="003069C7">
        <w:t>2021</w:t>
      </w:r>
      <w:r w:rsidR="003069C7">
        <w:rPr>
          <w:u w:val="none"/>
        </w:rPr>
        <w:t>.</w:t>
      </w:r>
    </w:p>
    <w:p w:rsidR="003069C7" w:rsidRPr="003069C7" w:rsidRDefault="003069C7" w:rsidP="006C76E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C76EB" w:rsidTr="006C76EB">
        <w:tc>
          <w:tcPr>
            <w:tcW w:w="720" w:type="dxa"/>
            <w:shd w:val="clear" w:color="auto" w:fill="auto"/>
          </w:tcPr>
          <w:p w:rsidR="006C76EB" w:rsidRDefault="006C76EB" w:rsidP="006C76E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C76EB" w:rsidRDefault="006C76EB" w:rsidP="006C76EB">
            <w:pPr>
              <w:pStyle w:val="CenterUnderline"/>
              <w:keepNext/>
              <w:keepLines/>
              <w:jc w:val="both"/>
              <w:rPr>
                <w:u w:val="none"/>
              </w:rPr>
            </w:pPr>
          </w:p>
          <w:p w:rsidR="003069C7" w:rsidRDefault="009B0ECF" w:rsidP="006C76EB">
            <w:pPr>
              <w:pStyle w:val="CenterUnderline"/>
              <w:keepNext/>
              <w:keepLines/>
              <w:jc w:val="both"/>
              <w:rPr>
                <w:u w:val="none"/>
              </w:rPr>
            </w:pPr>
            <w:r w:rsidRPr="009B0ECF">
              <w:rPr>
                <w:noProof/>
                <w:u w:val="none"/>
              </w:rPr>
              <w:drawing>
                <wp:inline distT="0" distB="0" distL="0" distR="0">
                  <wp:extent cx="2401184" cy="545659"/>
                  <wp:effectExtent l="0" t="0" r="0" b="6985"/>
                  <wp:docPr id="1" name="Picture 1" descr="I:\GCORDERS\Comm Sig\Cl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Clar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883" cy="552863"/>
                          </a:xfrm>
                          <a:prstGeom prst="rect">
                            <a:avLst/>
                          </a:prstGeom>
                          <a:noFill/>
                          <a:ln>
                            <a:noFill/>
                          </a:ln>
                        </pic:spPr>
                      </pic:pic>
                    </a:graphicData>
                  </a:graphic>
                </wp:inline>
              </w:drawing>
            </w:r>
          </w:p>
        </w:tc>
      </w:tr>
      <w:bookmarkEnd w:id="6"/>
      <w:tr w:rsidR="006C76EB" w:rsidTr="006C76EB">
        <w:tc>
          <w:tcPr>
            <w:tcW w:w="720" w:type="dxa"/>
            <w:shd w:val="clear" w:color="auto" w:fill="auto"/>
          </w:tcPr>
          <w:p w:rsidR="006C76EB" w:rsidRDefault="006C76EB" w:rsidP="006C76EB">
            <w:pPr>
              <w:pStyle w:val="CenterUnderline"/>
              <w:keepNext/>
              <w:keepLines/>
              <w:jc w:val="both"/>
              <w:rPr>
                <w:u w:val="none"/>
              </w:rPr>
            </w:pPr>
          </w:p>
        </w:tc>
        <w:tc>
          <w:tcPr>
            <w:tcW w:w="4320" w:type="dxa"/>
            <w:tcBorders>
              <w:top w:val="single" w:sz="4" w:space="0" w:color="auto"/>
            </w:tcBorders>
            <w:shd w:val="clear" w:color="auto" w:fill="auto"/>
          </w:tcPr>
          <w:p w:rsidR="006C76EB" w:rsidRDefault="006C76EB" w:rsidP="006C76EB">
            <w:pPr>
              <w:pStyle w:val="CenterUnderline"/>
              <w:keepNext/>
              <w:keepLines/>
              <w:jc w:val="both"/>
              <w:rPr>
                <w:u w:val="none"/>
              </w:rPr>
            </w:pPr>
            <w:r>
              <w:rPr>
                <w:u w:val="none"/>
              </w:rPr>
              <w:t>GARY F. CLARK</w:t>
            </w:r>
          </w:p>
          <w:p w:rsidR="006C76EB" w:rsidRDefault="006C76EB" w:rsidP="006C76EB">
            <w:pPr>
              <w:pStyle w:val="CenterUnderline"/>
              <w:keepNext/>
              <w:keepLines/>
              <w:jc w:val="both"/>
              <w:rPr>
                <w:u w:val="none"/>
              </w:rPr>
            </w:pPr>
            <w:r>
              <w:rPr>
                <w:u w:val="none"/>
              </w:rPr>
              <w:t>Chairman and Presiding Officer</w:t>
            </w:r>
          </w:p>
        </w:tc>
      </w:tr>
    </w:tbl>
    <w:p w:rsidR="006C76EB" w:rsidRDefault="006C76EB" w:rsidP="006C76EB">
      <w:pPr>
        <w:pStyle w:val="OrderSigInfo"/>
        <w:keepNext/>
        <w:keepLines/>
      </w:pPr>
      <w:r>
        <w:t>Florida Public Service Commission</w:t>
      </w:r>
    </w:p>
    <w:p w:rsidR="006C76EB" w:rsidRDefault="006C76EB" w:rsidP="006C76EB">
      <w:pPr>
        <w:pStyle w:val="OrderSigInfo"/>
        <w:keepNext/>
        <w:keepLines/>
      </w:pPr>
      <w:r>
        <w:t>2540 Shumard Oak Boulevard</w:t>
      </w:r>
    </w:p>
    <w:p w:rsidR="006C76EB" w:rsidRDefault="006C76EB" w:rsidP="006C76EB">
      <w:pPr>
        <w:pStyle w:val="OrderSigInfo"/>
        <w:keepNext/>
        <w:keepLines/>
      </w:pPr>
      <w:r>
        <w:t>Tallahassee, Florida 32399</w:t>
      </w:r>
    </w:p>
    <w:p w:rsidR="006C76EB" w:rsidRDefault="006C76EB" w:rsidP="006C76EB">
      <w:pPr>
        <w:pStyle w:val="OrderSigInfo"/>
        <w:keepNext/>
        <w:keepLines/>
      </w:pPr>
      <w:r>
        <w:t>(850) 413</w:t>
      </w:r>
      <w:r>
        <w:noBreakHyphen/>
        <w:t>6770</w:t>
      </w:r>
    </w:p>
    <w:p w:rsidR="006C76EB" w:rsidRDefault="006C76EB" w:rsidP="006C76EB">
      <w:pPr>
        <w:pStyle w:val="OrderSigInfo"/>
        <w:keepNext/>
        <w:keepLines/>
      </w:pPr>
      <w:r>
        <w:t>www.floridapsc.com</w:t>
      </w:r>
    </w:p>
    <w:p w:rsidR="006C76EB" w:rsidRDefault="006C76EB" w:rsidP="006C76EB">
      <w:pPr>
        <w:pStyle w:val="OrderSigInfo"/>
        <w:keepNext/>
        <w:keepLines/>
      </w:pPr>
    </w:p>
    <w:p w:rsidR="006C76EB" w:rsidRDefault="006C76EB" w:rsidP="006C76EB">
      <w:pPr>
        <w:pStyle w:val="OrderSigInfo"/>
        <w:keepNext/>
        <w:keepLines/>
      </w:pPr>
      <w:r>
        <w:t>Copies furnished:  A copy of this document is provided to the parties of record at the time of issuance and, if applicable, interested persons.</w:t>
      </w:r>
    </w:p>
    <w:p w:rsidR="006C76EB" w:rsidRDefault="006C76EB" w:rsidP="006C76EB">
      <w:pPr>
        <w:pStyle w:val="OrderBody"/>
        <w:keepNext/>
        <w:keepLines/>
      </w:pPr>
    </w:p>
    <w:p w:rsidR="00FC45B2" w:rsidRDefault="006C76EB" w:rsidP="00FC45B2">
      <w:pPr>
        <w:pStyle w:val="CenterUnderline"/>
        <w:jc w:val="both"/>
        <w:rPr>
          <w:u w:val="none"/>
        </w:rPr>
      </w:pPr>
      <w:bookmarkStart w:id="7" w:name="_GoBack"/>
      <w:bookmarkEnd w:id="7"/>
      <w:r>
        <w:rPr>
          <w:u w:val="none"/>
        </w:rPr>
        <w:t>SBr</w:t>
      </w:r>
    </w:p>
    <w:p w:rsidR="006C76EB" w:rsidRDefault="006C76EB" w:rsidP="00FC45B2">
      <w:pPr>
        <w:pStyle w:val="CenterUnderline"/>
        <w:jc w:val="both"/>
        <w:rPr>
          <w:u w:val="none"/>
        </w:rPr>
      </w:pPr>
    </w:p>
    <w:p w:rsidR="006C76EB" w:rsidRDefault="006C76EB" w:rsidP="006C76EB">
      <w:pPr>
        <w:pStyle w:val="CenterUnderline"/>
      </w:pPr>
      <w:r>
        <w:t>NOTICE OF FURTHER PROCEEDINGS OR JUDICIAL REVIEW</w:t>
      </w:r>
    </w:p>
    <w:p w:rsidR="006C76EB" w:rsidRDefault="006C76EB" w:rsidP="006C76EB">
      <w:pPr>
        <w:pStyle w:val="CenterUnderline"/>
      </w:pPr>
    </w:p>
    <w:p w:rsidR="006C76EB" w:rsidRDefault="006C76EB" w:rsidP="006C76E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76EB" w:rsidRDefault="006C76EB" w:rsidP="006C76EB">
      <w:pPr>
        <w:pStyle w:val="OrderBody"/>
      </w:pPr>
    </w:p>
    <w:p w:rsidR="006C76EB" w:rsidRDefault="006C76EB" w:rsidP="006C76EB">
      <w:pPr>
        <w:pStyle w:val="OrderBody"/>
      </w:pPr>
      <w:r>
        <w:tab/>
        <w:t>Mediation may be available on a case-by-case basis.  If mediation is conducted, it does not affect a substantially interested person's right to a hearing.</w:t>
      </w:r>
    </w:p>
    <w:p w:rsidR="006C76EB" w:rsidRDefault="006C76EB" w:rsidP="006C76EB">
      <w:pPr>
        <w:pStyle w:val="OrderBody"/>
      </w:pPr>
    </w:p>
    <w:p w:rsidR="00F84234" w:rsidRPr="00CC7600" w:rsidRDefault="006C76EB" w:rsidP="006C76E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2A2848">
        <w:t xml:space="preserve"> </w:t>
      </w:r>
    </w:p>
    <w:sectPr w:rsidR="00F84234" w:rsidRPr="00CC760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234" w:rsidRDefault="00F84234">
      <w:r>
        <w:separator/>
      </w:r>
    </w:p>
  </w:endnote>
  <w:endnote w:type="continuationSeparator" w:id="0">
    <w:p w:rsidR="00F84234" w:rsidRDefault="00F8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234" w:rsidRDefault="00F84234">
      <w:r>
        <w:separator/>
      </w:r>
    </w:p>
  </w:footnote>
  <w:footnote w:type="continuationSeparator" w:id="0">
    <w:p w:rsidR="00F84234" w:rsidRDefault="00F84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3 ">
      <w:r w:rsidR="003069C7">
        <w:t>PSC-2021-0233-PCO-EI</w:t>
      </w:r>
    </w:fldSimple>
  </w:p>
  <w:p w:rsidR="00FA6EFD" w:rsidRDefault="00F84234">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B0EC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F84234"/>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04DA"/>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7EBE"/>
    <w:rsid w:val="001F36B0"/>
    <w:rsid w:val="001F4CA3"/>
    <w:rsid w:val="001F59E0"/>
    <w:rsid w:val="002002ED"/>
    <w:rsid w:val="002044DD"/>
    <w:rsid w:val="002170E5"/>
    <w:rsid w:val="00220D57"/>
    <w:rsid w:val="0022721A"/>
    <w:rsid w:val="00230054"/>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2848"/>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069C7"/>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1960"/>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C76EB"/>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5D2B"/>
    <w:rsid w:val="007D742E"/>
    <w:rsid w:val="007E37D0"/>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B0ECF"/>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83606"/>
    <w:rsid w:val="00A9178A"/>
    <w:rsid w:val="00A9515B"/>
    <w:rsid w:val="00A97535"/>
    <w:rsid w:val="00AA2BAA"/>
    <w:rsid w:val="00AA6516"/>
    <w:rsid w:val="00AA73F1"/>
    <w:rsid w:val="00AB0E1A"/>
    <w:rsid w:val="00AB1A30"/>
    <w:rsid w:val="00AB3C36"/>
    <w:rsid w:val="00AB3D30"/>
    <w:rsid w:val="00AB65C3"/>
    <w:rsid w:val="00AC56EA"/>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600"/>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18BB"/>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53C21"/>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4234"/>
    <w:rsid w:val="00FA092B"/>
    <w:rsid w:val="00FA4F6C"/>
    <w:rsid w:val="00FA6EFD"/>
    <w:rsid w:val="00FB3791"/>
    <w:rsid w:val="00FB6780"/>
    <w:rsid w:val="00FB74EA"/>
    <w:rsid w:val="00FC45B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25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B65C3"/>
    <w:rPr>
      <w:rFonts w:ascii="Segoe UI" w:hAnsi="Segoe UI" w:cs="Segoe UI"/>
      <w:sz w:val="18"/>
      <w:szCs w:val="18"/>
    </w:rPr>
  </w:style>
  <w:style w:type="character" w:customStyle="1" w:styleId="BalloonTextChar">
    <w:name w:val="Balloon Text Char"/>
    <w:basedOn w:val="DefaultParagraphFont"/>
    <w:link w:val="BalloonText"/>
    <w:semiHidden/>
    <w:rsid w:val="00AB65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DE013-C42B-4558-91C7-AE56E2DC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2021-06-28T18:04:00Z</dcterms:created>
  <dcterms:modified xsi:type="dcterms:W3CDTF">2021-06-28T18:09:00Z</dcterms:modified>
</cp:coreProperties>
</file>