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5488" w:rsidP="000C5488">
      <w:pPr>
        <w:pStyle w:val="OrderHeading"/>
      </w:pPr>
      <w:r>
        <w:t>BEFORE THE FLORIDA PUBLIC SERVICE COMMISSION</w:t>
      </w:r>
    </w:p>
    <w:p w:rsidR="000C5488" w:rsidRDefault="000C5488" w:rsidP="000C5488">
      <w:pPr>
        <w:pStyle w:val="OrderBody"/>
      </w:pPr>
    </w:p>
    <w:p w:rsidR="000C5488" w:rsidRDefault="000C5488" w:rsidP="000C54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5488" w:rsidRPr="00C63FCF" w:rsidTr="00C63FCF">
        <w:trPr>
          <w:trHeight w:val="828"/>
        </w:trPr>
        <w:tc>
          <w:tcPr>
            <w:tcW w:w="4788" w:type="dxa"/>
            <w:tcBorders>
              <w:bottom w:val="single" w:sz="8" w:space="0" w:color="auto"/>
              <w:right w:val="double" w:sz="6" w:space="0" w:color="auto"/>
            </w:tcBorders>
            <w:shd w:val="clear" w:color="auto" w:fill="auto"/>
          </w:tcPr>
          <w:p w:rsidR="000C5488" w:rsidRDefault="000C5488" w:rsidP="00C63FCF">
            <w:pPr>
              <w:pStyle w:val="OrderBody"/>
              <w:tabs>
                <w:tab w:val="center" w:pos="4320"/>
                <w:tab w:val="right" w:pos="8640"/>
              </w:tabs>
              <w:jc w:val="left"/>
            </w:pPr>
            <w:r>
              <w:t xml:space="preserve">In re: </w:t>
            </w:r>
            <w:bookmarkStart w:id="0" w:name="SSInRe"/>
            <w:bookmarkEnd w:id="0"/>
            <w:r>
              <w:t>Petition for designation as eligible telecommunications carrier (ETC) in the State of Florida, by Windstream Communications, LLC.</w:t>
            </w:r>
          </w:p>
        </w:tc>
        <w:tc>
          <w:tcPr>
            <w:tcW w:w="4788" w:type="dxa"/>
            <w:tcBorders>
              <w:left w:val="double" w:sz="6" w:space="0" w:color="auto"/>
            </w:tcBorders>
            <w:shd w:val="clear" w:color="auto" w:fill="auto"/>
          </w:tcPr>
          <w:p w:rsidR="000C5488" w:rsidRDefault="000C5488" w:rsidP="000C5488">
            <w:pPr>
              <w:pStyle w:val="OrderBody"/>
            </w:pPr>
            <w:r>
              <w:t xml:space="preserve">DOCKET NO. </w:t>
            </w:r>
            <w:bookmarkStart w:id="1" w:name="SSDocketNo"/>
            <w:bookmarkEnd w:id="1"/>
            <w:r>
              <w:t>20210070-TX</w:t>
            </w:r>
          </w:p>
          <w:p w:rsidR="000C5488" w:rsidRDefault="000C5488" w:rsidP="00C63FCF">
            <w:pPr>
              <w:pStyle w:val="OrderBody"/>
              <w:tabs>
                <w:tab w:val="center" w:pos="4320"/>
                <w:tab w:val="right" w:pos="8640"/>
              </w:tabs>
              <w:jc w:val="left"/>
            </w:pPr>
            <w:r>
              <w:t xml:space="preserve">ORDER NO. </w:t>
            </w:r>
            <w:bookmarkStart w:id="2" w:name="OrderNo0238"/>
            <w:r w:rsidR="00D15811">
              <w:t>PSC-2021-0238-PAA-TX</w:t>
            </w:r>
            <w:bookmarkEnd w:id="2"/>
          </w:p>
          <w:p w:rsidR="000C5488" w:rsidRDefault="000C5488" w:rsidP="00C63FCF">
            <w:pPr>
              <w:pStyle w:val="OrderBody"/>
              <w:tabs>
                <w:tab w:val="center" w:pos="4320"/>
                <w:tab w:val="right" w:pos="8640"/>
              </w:tabs>
              <w:jc w:val="left"/>
            </w:pPr>
            <w:r>
              <w:t xml:space="preserve">ISSUED: </w:t>
            </w:r>
            <w:r w:rsidR="00D15811">
              <w:t>June 30, 2021</w:t>
            </w:r>
          </w:p>
        </w:tc>
      </w:tr>
    </w:tbl>
    <w:p w:rsidR="000C5488" w:rsidRDefault="000C5488" w:rsidP="000C5488"/>
    <w:p w:rsidR="000C5488" w:rsidRDefault="000C5488" w:rsidP="000C5488"/>
    <w:p w:rsidR="000C5488" w:rsidRDefault="000C5488" w:rsidP="00B67A43">
      <w:pPr>
        <w:ind w:firstLine="720"/>
        <w:jc w:val="both"/>
      </w:pPr>
      <w:bookmarkStart w:id="3" w:name="Commissioners"/>
      <w:bookmarkEnd w:id="3"/>
      <w:r>
        <w:t>The following Commissioners participated in the disposition of this matter:</w:t>
      </w:r>
    </w:p>
    <w:p w:rsidR="000C5488" w:rsidRDefault="000C5488" w:rsidP="00B67A43"/>
    <w:p w:rsidR="000C5488" w:rsidRDefault="000C5488" w:rsidP="00B67A43">
      <w:pPr>
        <w:jc w:val="center"/>
      </w:pPr>
      <w:r>
        <w:t>GARY F. CLARK, Chairman</w:t>
      </w:r>
    </w:p>
    <w:p w:rsidR="000C5488" w:rsidRDefault="000C5488" w:rsidP="00B67A43">
      <w:pPr>
        <w:jc w:val="center"/>
      </w:pPr>
      <w:r>
        <w:t>ART GRAHAM</w:t>
      </w:r>
    </w:p>
    <w:p w:rsidR="000C5488" w:rsidRDefault="000C5488" w:rsidP="00B67A43">
      <w:pPr>
        <w:jc w:val="center"/>
      </w:pPr>
      <w:r>
        <w:t>ANDREW GILES FAY</w:t>
      </w:r>
    </w:p>
    <w:p w:rsidR="000C5488" w:rsidRDefault="000C5488" w:rsidP="00B67A43">
      <w:pPr>
        <w:jc w:val="center"/>
      </w:pPr>
      <w:r>
        <w:t>MIKE LA ROSA</w:t>
      </w:r>
    </w:p>
    <w:p w:rsidR="000C5488" w:rsidRPr="005F2751" w:rsidRDefault="000C5488" w:rsidP="00B67A43">
      <w:pPr>
        <w:jc w:val="center"/>
      </w:pPr>
      <w:r w:rsidRPr="005F2751">
        <w:rPr>
          <w:lang w:val="en"/>
        </w:rPr>
        <w:t>GABRIELLA PASSIDOMO</w:t>
      </w:r>
    </w:p>
    <w:p w:rsidR="000C5488" w:rsidRDefault="000C5488" w:rsidP="000C5488">
      <w:pPr>
        <w:pStyle w:val="OrderBody"/>
      </w:pPr>
    </w:p>
    <w:bookmarkStart w:id="4" w:name="OrderText"/>
    <w:bookmarkEnd w:id="4"/>
    <w:p w:rsidR="000C5488" w:rsidRPr="009E32F3" w:rsidRDefault="000C5488">
      <w:pPr>
        <w:pStyle w:val="OrderBody"/>
        <w:jc w:val="center"/>
        <w:rPr>
          <w:u w:val="single"/>
        </w:rPr>
      </w:pPr>
      <w:r w:rsidRPr="009E32F3">
        <w:rPr>
          <w:lang w:val="en-CA"/>
        </w:rPr>
        <w:fldChar w:fldCharType="begin"/>
      </w:r>
      <w:r w:rsidRPr="009E32F3">
        <w:rPr>
          <w:lang w:val="en-CA"/>
        </w:rPr>
        <w:instrText xml:space="preserve"> SEQ CHAPTER \h \r 1</w:instrText>
      </w:r>
      <w:r w:rsidRPr="009E32F3">
        <w:fldChar w:fldCharType="end"/>
      </w:r>
      <w:r w:rsidRPr="009E32F3">
        <w:rPr>
          <w:u w:val="single"/>
        </w:rPr>
        <w:t>NOTICE OF PROPOSED AGENCY ACTION</w:t>
      </w:r>
    </w:p>
    <w:p w:rsidR="00A52D2E" w:rsidRPr="009E32F3" w:rsidRDefault="000C5488">
      <w:pPr>
        <w:pStyle w:val="OrderBody"/>
        <w:jc w:val="center"/>
        <w:rPr>
          <w:u w:val="single"/>
        </w:rPr>
      </w:pPr>
      <w:r w:rsidRPr="009E32F3">
        <w:rPr>
          <w:u w:val="single"/>
        </w:rPr>
        <w:t>ORDER</w:t>
      </w:r>
      <w:bookmarkStart w:id="5" w:name="OrderTitle"/>
      <w:r w:rsidR="00A52D2E" w:rsidRPr="009E32F3">
        <w:rPr>
          <w:u w:val="single"/>
        </w:rPr>
        <w:t xml:space="preserve"> </w:t>
      </w:r>
      <w:r w:rsidR="00545FD6">
        <w:rPr>
          <w:u w:val="single"/>
        </w:rPr>
        <w:t>FINDING</w:t>
      </w:r>
      <w:r w:rsidR="00A52D2E" w:rsidRPr="009E32F3">
        <w:rPr>
          <w:u w:val="single"/>
        </w:rPr>
        <w:t xml:space="preserve"> LACK OF JURISDICTION</w:t>
      </w:r>
      <w:r w:rsidR="00545FD6">
        <w:rPr>
          <w:u w:val="single"/>
        </w:rPr>
        <w:t xml:space="preserve"> OVER</w:t>
      </w:r>
    </w:p>
    <w:p w:rsidR="00A52D2E" w:rsidRPr="009E32F3" w:rsidRDefault="00A52D2E">
      <w:pPr>
        <w:pStyle w:val="OrderBody"/>
        <w:jc w:val="center"/>
        <w:rPr>
          <w:u w:val="single"/>
        </w:rPr>
      </w:pPr>
      <w:r w:rsidRPr="009E32F3">
        <w:rPr>
          <w:u w:val="single"/>
        </w:rPr>
        <w:t xml:space="preserve">WINDSTREAM COMMUNICATIONS, LLC’S </w:t>
      </w:r>
    </w:p>
    <w:p w:rsidR="000C5488" w:rsidRPr="003E4B2D" w:rsidRDefault="00A52D2E" w:rsidP="00A52D2E">
      <w:pPr>
        <w:pStyle w:val="OrderBody"/>
        <w:jc w:val="center"/>
        <w:rPr>
          <w:u w:val="single"/>
        </w:rPr>
      </w:pPr>
      <w:r w:rsidRPr="009E32F3">
        <w:rPr>
          <w:u w:val="single"/>
        </w:rPr>
        <w:t>ELIGIBLE TELECOMMUNICATIONS CARRIER APPLICATION</w:t>
      </w:r>
      <w:r w:rsidR="000C5488">
        <w:rPr>
          <w:u w:val="single"/>
        </w:rPr>
        <w:t xml:space="preserve"> </w:t>
      </w:r>
      <w:bookmarkEnd w:id="5"/>
    </w:p>
    <w:p w:rsidR="000C5488" w:rsidRPr="003E4B2D" w:rsidRDefault="000C5488">
      <w:pPr>
        <w:pStyle w:val="OrderBody"/>
      </w:pPr>
    </w:p>
    <w:p w:rsidR="000C5488" w:rsidRPr="003E4B2D" w:rsidRDefault="000C5488">
      <w:pPr>
        <w:pStyle w:val="OrderBody"/>
      </w:pPr>
      <w:r w:rsidRPr="003E4B2D">
        <w:t>BY THE COMMISSION:</w:t>
      </w:r>
    </w:p>
    <w:p w:rsidR="000C5488" w:rsidRPr="003E4B2D" w:rsidRDefault="000C5488">
      <w:pPr>
        <w:pStyle w:val="OrderBody"/>
      </w:pPr>
    </w:p>
    <w:p w:rsidR="000C5488" w:rsidRDefault="000C548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C5488"/>
    <w:p w:rsidR="000C5488" w:rsidRPr="00A52D2E" w:rsidRDefault="000C5488" w:rsidP="000C5488">
      <w:pPr>
        <w:pStyle w:val="RecommendationMajorSectionHeading"/>
        <w:rPr>
          <w:rFonts w:ascii="Times New Roman" w:hAnsi="Times New Roman" w:cs="Times New Roman"/>
        </w:rPr>
      </w:pPr>
      <w:r w:rsidRPr="00A52D2E">
        <w:rPr>
          <w:rFonts w:ascii="Times New Roman" w:hAnsi="Times New Roman" w:cs="Times New Roman"/>
        </w:rPr>
        <w:t>Background</w:t>
      </w:r>
    </w:p>
    <w:p w:rsidR="000C5488" w:rsidRDefault="000C5488" w:rsidP="000C5488">
      <w:pPr>
        <w:jc w:val="both"/>
      </w:pPr>
      <w:r>
        <w:tab/>
        <w:t>On April 13, 2021, Windstream Communications, LLC (Windstream or Company) filed a petition wi</w:t>
      </w:r>
      <w:r w:rsidR="00936B4C">
        <w:t>th this</w:t>
      </w:r>
      <w:r>
        <w:t xml:space="preserve"> Commission (Commission) seeking designation as an eligible telecommunications carrier (ETC) to receive Rural Digital Opportunity Fund (RDOF) support. Windstream is an interexchange telecommunications carrier that was granted an IXC Certificate by </w:t>
      </w:r>
      <w:r w:rsidR="009E32F3">
        <w:t>us</w:t>
      </w:r>
      <w:r>
        <w:t xml:space="preserve"> in 2005 under the name Alltel Holding Corporate Services, Inc.</w:t>
      </w:r>
      <w:r>
        <w:rPr>
          <w:rStyle w:val="FootnoteReference"/>
        </w:rPr>
        <w:footnoteReference w:id="1"/>
      </w:r>
      <w:r>
        <w:t xml:space="preserve"> However in 2011, the Regulatory Reform Act was passed deregulating interexchange telecommunic</w:t>
      </w:r>
      <w:r w:rsidR="00936B4C">
        <w:t>ations carriers, thus removing our</w:t>
      </w:r>
      <w:r>
        <w:t xml:space="preserve"> jurisdiction and invalidating Windstream’s IXC certificate. </w:t>
      </w:r>
    </w:p>
    <w:p w:rsidR="000C5488" w:rsidRDefault="000C5488" w:rsidP="000C5488">
      <w:pPr>
        <w:jc w:val="both"/>
      </w:pPr>
    </w:p>
    <w:p w:rsidR="000C5488" w:rsidRDefault="000C5488" w:rsidP="000C5488">
      <w:pPr>
        <w:jc w:val="both"/>
      </w:pPr>
      <w:r>
        <w:tab/>
        <w:t xml:space="preserve">Windstream is a wholly owned subsidiary of Windstream Holdings II, LLC and Windstream Services, LLC. In addition, Windstream is an affiliate of incumbent local exchange </w:t>
      </w:r>
      <w:r w:rsidR="00447319">
        <w:lastRenderedPageBreak/>
        <w:t>carrier (ILEC),</w:t>
      </w:r>
      <w:r>
        <w:t xml:space="preserve"> Windstream Florida, LLC, and several competitive local exchange carriers (CLEC) holding certificates in Florida. Windstream and its affiliates provide fiber-based VoIP and broadband service to residential and small business customers. </w:t>
      </w:r>
    </w:p>
    <w:p w:rsidR="000C5488" w:rsidRDefault="000C5488" w:rsidP="000C5488">
      <w:pPr>
        <w:jc w:val="both"/>
      </w:pPr>
    </w:p>
    <w:p w:rsidR="000C5488" w:rsidRDefault="000C5488" w:rsidP="000C5488">
      <w:pPr>
        <w:jc w:val="both"/>
      </w:pPr>
      <w:r>
        <w:tab/>
        <w:t>On December 7, 2020, Windstream Services, LLC was selected as one of the winning bidders of the Federal Communications Commission’s (FCC) RDOF auction. Consistent with FCC rules, Windstream Services, LLC assigned part of its winning bid to Windstream. Windstream clarified in a supplemental filing that, although Windstream Services, LLC has affiliates that currently hold certificates in Florida, it was determined that Windstream would better meet the requirements of the federal RDOF program as it relates to the deployment of the network and customer support.</w:t>
      </w:r>
      <w:r>
        <w:rPr>
          <w:rStyle w:val="FootnoteReference"/>
        </w:rPr>
        <w:footnoteReference w:id="2"/>
      </w:r>
      <w:r>
        <w:t xml:space="preserve"> The Company further clarified that it will exclusively utilize a VoIP solution to provision voice-grade services.</w:t>
      </w:r>
      <w:r>
        <w:rPr>
          <w:rStyle w:val="FootnoteReference"/>
        </w:rPr>
        <w:footnoteReference w:id="3"/>
      </w:r>
    </w:p>
    <w:p w:rsidR="005F2751" w:rsidRDefault="005F2751"/>
    <w:p w:rsidR="000C5488" w:rsidRDefault="000C5488" w:rsidP="000C5488">
      <w:pPr>
        <w:jc w:val="both"/>
      </w:pPr>
      <w:r>
        <w:tab/>
        <w:t>The RDOF is a form of high-cost support and 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Pr>
          <w:rStyle w:val="FootnoteReference"/>
        </w:rPr>
        <w:footnoteReference w:id="4"/>
      </w:r>
      <w:r>
        <w:t xml:space="preserve"> In Florida, a total of 11 bidders were selected to receive approximately $192 million of high-cost support in phase I.</w:t>
      </w:r>
      <w:r>
        <w:rPr>
          <w:rStyle w:val="FootnoteReference"/>
        </w:rPr>
        <w:footnoteReference w:id="5"/>
      </w:r>
      <w:r>
        <w:t xml:space="preserve"> Windstream Services, LLC will receive $40.7 million in phase I to be used in specified census blocks in Florida.</w:t>
      </w:r>
      <w:r>
        <w:rPr>
          <w:rStyle w:val="FootnoteReference"/>
        </w:rPr>
        <w:footnoteReference w:id="6"/>
      </w:r>
      <w:r>
        <w:t xml:space="preserve"> Windstream Services, LLC assigned $1.3 million to Windstream to provide services to 76 census block groups in Florida.</w:t>
      </w:r>
    </w:p>
    <w:p w:rsidR="000C5488" w:rsidRDefault="000C5488" w:rsidP="000C5488"/>
    <w:p w:rsidR="000C5488" w:rsidRDefault="000C5488" w:rsidP="00E76D77">
      <w:pPr>
        <w:jc w:val="both"/>
      </w:pPr>
      <w:r>
        <w:tab/>
        <w:t>An ETC designation is a requirement for telecommunications carriers to receive USF support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 FCC did require winning bidders to obtain ETC designation within 180 days of being selected.</w:t>
      </w:r>
    </w:p>
    <w:p w:rsidR="000C5488" w:rsidRDefault="000C5488" w:rsidP="000C5488"/>
    <w:p w:rsidR="000C5488" w:rsidRPr="00056154" w:rsidRDefault="000C5488" w:rsidP="000C5488">
      <w:pPr>
        <w:autoSpaceDE w:val="0"/>
        <w:autoSpaceDN w:val="0"/>
        <w:adjustRightInd w:val="0"/>
        <w:jc w:val="both"/>
      </w:pPr>
      <w:r>
        <w:tab/>
      </w:r>
      <w:r w:rsidRPr="000C5488">
        <w:t xml:space="preserve">Windstream asserts that it meets all applicable federal requirements for designation as an ETC in Florida pursuant to 47 U.S.C. 214(e) and 47 C.F.R 54.201. In addition, Windstream acknowledges and asserts that if approved, it will comply with </w:t>
      </w:r>
      <w:bookmarkStart w:id="6" w:name="_Hlk63332591"/>
      <w:r w:rsidRPr="000C5488">
        <w:t xml:space="preserve">Sections 364.10 and 364.105, Florida Statutes (F.S.), and Rule 25-4.0665, Florida Administrative Code (F.A.C.), which govern Lifeline service and provide for a transitional discount for those customers no longer eligible for Lifeline. </w:t>
      </w:r>
      <w:bookmarkEnd w:id="6"/>
    </w:p>
    <w:p w:rsidR="000C5488" w:rsidRPr="000C5488" w:rsidRDefault="000C5488" w:rsidP="000C5488">
      <w:pPr>
        <w:spacing w:after="240"/>
        <w:jc w:val="both"/>
      </w:pPr>
      <w:r>
        <w:lastRenderedPageBreak/>
        <w:tab/>
      </w:r>
      <w:r w:rsidRPr="000C5488">
        <w:t>47 U.S.C. 214(e)(2) authorizes state commissions to designate common carriers as an ETC as follows:</w:t>
      </w:r>
    </w:p>
    <w:p w:rsidR="000C5488" w:rsidRPr="000C5488" w:rsidRDefault="000C5488" w:rsidP="000C5488">
      <w:pPr>
        <w:spacing w:after="240"/>
        <w:ind w:left="720" w:right="720"/>
        <w:jc w:val="both"/>
      </w:pPr>
      <w:r w:rsidRPr="000C5488">
        <w:t>(2) Designation of eligible telecommunications carriers</w:t>
      </w:r>
    </w:p>
    <w:p w:rsidR="000C5488" w:rsidRPr="000C5488" w:rsidRDefault="000C5488" w:rsidP="000C5488">
      <w:pPr>
        <w:spacing w:after="240"/>
        <w:ind w:left="720" w:right="720"/>
        <w:jc w:val="both"/>
      </w:pPr>
      <w:r w:rsidRPr="000C5488">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0C5488" w:rsidRPr="000C5488" w:rsidRDefault="000C5488" w:rsidP="000C5488">
      <w:pPr>
        <w:spacing w:after="240"/>
        <w:jc w:val="both"/>
      </w:pPr>
      <w:r>
        <w:tab/>
      </w:r>
      <w:r w:rsidRPr="000C5488">
        <w:t>47 U.S.C. 214(e)(6) provides that the FCC will make such ETC designations in cases where a state commission lacks jurisdiction over the common carrier as follows:</w:t>
      </w:r>
    </w:p>
    <w:p w:rsidR="000C5488" w:rsidRPr="000C5488" w:rsidRDefault="000C5488" w:rsidP="000C5488">
      <w:pPr>
        <w:spacing w:after="240"/>
        <w:ind w:left="720" w:right="720"/>
        <w:jc w:val="both"/>
      </w:pPr>
      <w:r w:rsidRPr="000C5488">
        <w:t>(6) Common carriers not subject to State commission jurisdiction</w:t>
      </w:r>
    </w:p>
    <w:p w:rsidR="000C5488" w:rsidRPr="000C5488" w:rsidRDefault="000C5488" w:rsidP="000C5488">
      <w:pPr>
        <w:tabs>
          <w:tab w:val="left" w:pos="720"/>
          <w:tab w:val="left" w:pos="6450"/>
        </w:tabs>
        <w:ind w:left="720"/>
        <w:jc w:val="both"/>
      </w:pPr>
      <w:r w:rsidRPr="000C5488">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0C5488" w:rsidRPr="000C5488" w:rsidRDefault="000C5488" w:rsidP="000C5488">
      <w:pPr>
        <w:tabs>
          <w:tab w:val="left" w:pos="6450"/>
        </w:tabs>
        <w:jc w:val="both"/>
      </w:pPr>
    </w:p>
    <w:p w:rsidR="000C5488" w:rsidRDefault="000C5488" w:rsidP="00447319">
      <w:pPr>
        <w:jc w:val="both"/>
      </w:pPr>
      <w:r>
        <w:tab/>
      </w:r>
      <w:r w:rsidR="00936B4C">
        <w:t>Our</w:t>
      </w:r>
      <w:r w:rsidRPr="000C5488">
        <w:t xml:space="preserve"> authority to designate a telecommunications company as an ETC is found at 364.10, F.S. However, purs</w:t>
      </w:r>
      <w:r w:rsidR="00447319">
        <w:t>uant to Section 364.011, F.S., we do</w:t>
      </w:r>
      <w:r w:rsidRPr="000C5488">
        <w:t xml:space="preserve"> not have jurisdiction over intrastate interexchange telecommunications services, wireless/satellite, VoIP</w:t>
      </w:r>
      <w:r w:rsidR="00295920">
        <w:t>,</w:t>
      </w:r>
      <w:r w:rsidRPr="000C5488">
        <w:t xml:space="preserve"> or broadband.</w:t>
      </w:r>
    </w:p>
    <w:p w:rsidR="000C5488" w:rsidRDefault="000C5488" w:rsidP="000C5488"/>
    <w:p w:rsidR="000C5488" w:rsidRPr="00936B4C" w:rsidRDefault="00936B4C" w:rsidP="000C5488">
      <w:pPr>
        <w:keepNext/>
        <w:spacing w:after="240"/>
        <w:jc w:val="center"/>
        <w:outlineLvl w:val="0"/>
        <w:rPr>
          <w:b/>
          <w:bCs/>
          <w:kern w:val="32"/>
          <w:szCs w:val="32"/>
        </w:rPr>
      </w:pPr>
      <w:bookmarkStart w:id="7" w:name="DiscussionOfIssues"/>
      <w:r w:rsidRPr="00936B4C">
        <w:rPr>
          <w:b/>
          <w:bCs/>
          <w:kern w:val="32"/>
          <w:szCs w:val="32"/>
        </w:rPr>
        <w:t>Decision</w:t>
      </w:r>
    </w:p>
    <w:bookmarkEnd w:id="7"/>
    <w:p w:rsidR="000C5488" w:rsidRPr="000C5488" w:rsidRDefault="000C5488" w:rsidP="00295920">
      <w:pPr>
        <w:spacing w:after="240"/>
        <w:ind w:firstLine="720"/>
        <w:jc w:val="both"/>
        <w:outlineLvl w:val="1"/>
        <w:rPr>
          <w:b/>
          <w:bCs/>
          <w:i/>
          <w:iCs/>
          <w:szCs w:val="28"/>
        </w:rPr>
      </w:pPr>
      <w:r w:rsidRPr="000C5488">
        <w:rPr>
          <w:bCs/>
          <w:iCs/>
          <w:szCs w:val="28"/>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w:t>
      </w:r>
      <w:r w:rsidR="009F4C19">
        <w:rPr>
          <w:bCs/>
          <w:iCs/>
          <w:szCs w:val="28"/>
        </w:rPr>
        <w:t>our</w:t>
      </w:r>
      <w:r w:rsidRPr="000C5488">
        <w:rPr>
          <w:bCs/>
          <w:iCs/>
          <w:szCs w:val="28"/>
        </w:rPr>
        <w:t xml:space="preserve"> oversight. Included in these non-jurisdictional services are VoIP and broadband services. Until 2011, there was an exception in Section </w:t>
      </w:r>
      <w:r w:rsidRPr="000C5488">
        <w:rPr>
          <w:bCs/>
          <w:iCs/>
          <w:szCs w:val="28"/>
        </w:rPr>
        <w:lastRenderedPageBreak/>
        <w:t xml:space="preserve">364.011, F.S., which permitted </w:t>
      </w:r>
      <w:r w:rsidR="00936B4C">
        <w:rPr>
          <w:bCs/>
          <w:iCs/>
          <w:szCs w:val="28"/>
        </w:rPr>
        <w:t>our</w:t>
      </w:r>
      <w:r w:rsidRPr="000C5488">
        <w:rPr>
          <w:bCs/>
          <w:iCs/>
          <w:szCs w:val="28"/>
        </w:rPr>
        <w:t xml:space="preserve"> oversight of a service if “specifically authorized by federal law.” The legislature struck this exception by Section 3, Ch. 2011-36, Laws of Florida. Thus, </w:t>
      </w:r>
      <w:r w:rsidR="00936B4C">
        <w:rPr>
          <w:bCs/>
          <w:iCs/>
          <w:szCs w:val="28"/>
        </w:rPr>
        <w:t>we no longer grant</w:t>
      </w:r>
      <w:r w:rsidRPr="000C5488">
        <w:rPr>
          <w:bCs/>
          <w:iCs/>
          <w:szCs w:val="28"/>
        </w:rPr>
        <w:t xml:space="preserve"> ETC designations to VoIP and broadband carriers.</w:t>
      </w:r>
      <w:r w:rsidRPr="000C5488">
        <w:rPr>
          <w:bCs/>
          <w:iCs/>
          <w:szCs w:val="28"/>
          <w:vertAlign w:val="superscript"/>
        </w:rPr>
        <w:footnoteReference w:id="7"/>
      </w:r>
      <w:r w:rsidRPr="000C5488">
        <w:rPr>
          <w:bCs/>
          <w:iCs/>
          <w:szCs w:val="28"/>
        </w:rPr>
        <w:t xml:space="preserve"> Therefore, because the VoIP and broadband services provided by </w:t>
      </w:r>
      <w:r w:rsidRPr="000C5488">
        <w:rPr>
          <w:szCs w:val="28"/>
        </w:rPr>
        <w:t>Windstream are</w:t>
      </w:r>
      <w:r w:rsidRPr="000C5488">
        <w:rPr>
          <w:bCs/>
          <w:iCs/>
          <w:szCs w:val="28"/>
        </w:rPr>
        <w:t xml:space="preserve"> exempt from </w:t>
      </w:r>
      <w:r w:rsidR="00936B4C">
        <w:rPr>
          <w:bCs/>
          <w:iCs/>
          <w:szCs w:val="28"/>
        </w:rPr>
        <w:t>our</w:t>
      </w:r>
      <w:r w:rsidR="006C5FC8">
        <w:rPr>
          <w:bCs/>
          <w:iCs/>
          <w:szCs w:val="28"/>
        </w:rPr>
        <w:t xml:space="preserve"> oversight, we hereby find that we lack</w:t>
      </w:r>
      <w:r w:rsidRPr="000C5488">
        <w:rPr>
          <w:bCs/>
          <w:iCs/>
          <w:szCs w:val="28"/>
        </w:rPr>
        <w:t xml:space="preserve"> jurisdiction to grant Windstream ETC designation in Florida. </w:t>
      </w:r>
    </w:p>
    <w:p w:rsidR="000C5488" w:rsidRPr="000C5488" w:rsidRDefault="000C5488" w:rsidP="006C5FC8">
      <w:pPr>
        <w:autoSpaceDE w:val="0"/>
        <w:autoSpaceDN w:val="0"/>
        <w:adjustRightInd w:val="0"/>
        <w:jc w:val="both"/>
        <w:rPr>
          <w:color w:val="000000"/>
        </w:rPr>
      </w:pPr>
      <w:r>
        <w:rPr>
          <w:color w:val="000000"/>
        </w:rPr>
        <w:tab/>
      </w:r>
      <w:r w:rsidRPr="000C5488">
        <w:rPr>
          <w:color w:val="000000"/>
        </w:rPr>
        <w:t>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carrier is a certificated telecommunications company offering a telecommunications service is also a threshold question for whether</w:t>
      </w:r>
      <w:r w:rsidR="009F4C19">
        <w:rPr>
          <w:color w:val="000000"/>
        </w:rPr>
        <w:t xml:space="preserve"> we have</w:t>
      </w:r>
      <w:r w:rsidRPr="000C5488">
        <w:rPr>
          <w:color w:val="000000"/>
        </w:rPr>
        <w:t xml:space="preserve"> jurisdiction to grant an ETC designation.</w:t>
      </w:r>
      <w:r w:rsidRPr="000C5488">
        <w:rPr>
          <w:color w:val="000000"/>
          <w:vertAlign w:val="superscript"/>
        </w:rPr>
        <w:footnoteReference w:id="8"/>
      </w:r>
      <w:r w:rsidRPr="000C5488">
        <w:rPr>
          <w:color w:val="000000"/>
        </w:rPr>
        <w:t xml:space="preserve"> As explained above, Windstream’s IXC certificate was invalidated after </w:t>
      </w:r>
      <w:r w:rsidR="006C5FC8">
        <w:t xml:space="preserve">our </w:t>
      </w:r>
      <w:r w:rsidRPr="000C5488">
        <w:t xml:space="preserve">authority over interexchange telecommunications carriers was eliminated. Accordingly, </w:t>
      </w:r>
      <w:r w:rsidRPr="000C5488">
        <w:rPr>
          <w:color w:val="000000"/>
        </w:rPr>
        <w:t xml:space="preserve">Windstream’s lack of a certificate of authority to provide telecommunications service in Florida is another reason </w:t>
      </w:r>
      <w:r w:rsidR="006C5FC8">
        <w:rPr>
          <w:bCs/>
          <w:iCs/>
        </w:rPr>
        <w:t>we lack</w:t>
      </w:r>
      <w:r w:rsidRPr="000C5488">
        <w:rPr>
          <w:bCs/>
          <w:iCs/>
        </w:rPr>
        <w:t xml:space="preserve"> jurisdiction to grant t</w:t>
      </w:r>
      <w:r w:rsidRPr="000C5488">
        <w:rPr>
          <w:bCs/>
          <w:iCs/>
          <w:color w:val="000000"/>
        </w:rPr>
        <w:t>h</w:t>
      </w:r>
      <w:r w:rsidRPr="000C5488">
        <w:rPr>
          <w:color w:val="000000"/>
        </w:rPr>
        <w:t>e Company ETC status.</w:t>
      </w:r>
    </w:p>
    <w:p w:rsidR="000C5488" w:rsidRPr="000C5488" w:rsidRDefault="000C5488" w:rsidP="006C5FC8">
      <w:pPr>
        <w:jc w:val="both"/>
        <w:rPr>
          <w:color w:val="000000"/>
        </w:rPr>
      </w:pPr>
    </w:p>
    <w:p w:rsidR="000C5488" w:rsidRDefault="000C5488" w:rsidP="006C5FC8">
      <w:pPr>
        <w:jc w:val="both"/>
      </w:pPr>
      <w:r>
        <w:rPr>
          <w:color w:val="000000"/>
        </w:rPr>
        <w:tab/>
      </w:r>
      <w:r w:rsidRPr="000C5488">
        <w:rPr>
          <w:color w:val="000000"/>
        </w:rPr>
        <w:t xml:space="preserve">In sum, </w:t>
      </w:r>
      <w:r w:rsidR="006C5FC8">
        <w:t>we find that we lack</w:t>
      </w:r>
      <w:r w:rsidRPr="000C5488">
        <w:t xml:space="preserve"> jurisdiction to grant Windstream Communicatio</w:t>
      </w:r>
      <w:r w:rsidR="006C5FC8">
        <w:t>ns, LLC ETC status in Florida. We further find</w:t>
      </w:r>
      <w:r w:rsidRPr="000C5488">
        <w:t xml:space="preserve"> that, as a provider of non-jurisdictional VoIP and broadband services, Windstream Communications, LLC should apply directly to the FCC for a Florida ETC designation.</w:t>
      </w:r>
    </w:p>
    <w:p w:rsidR="000C5488" w:rsidRDefault="000C5488" w:rsidP="000C5488"/>
    <w:p w:rsidR="000C5488" w:rsidRDefault="000C5488" w:rsidP="000C5488">
      <w:pPr>
        <w:pStyle w:val="OrderBody"/>
      </w:pPr>
      <w:r>
        <w:tab/>
        <w:t>Based on the foregoing, it is</w:t>
      </w:r>
    </w:p>
    <w:p w:rsidR="000C5488" w:rsidRDefault="000C5488" w:rsidP="000C5488">
      <w:pPr>
        <w:pStyle w:val="OrderBody"/>
      </w:pPr>
    </w:p>
    <w:p w:rsidR="000C5488" w:rsidRDefault="000C5488" w:rsidP="000C5488">
      <w:pPr>
        <w:pStyle w:val="OrderBody"/>
      </w:pPr>
      <w:r>
        <w:tab/>
        <w:t>ORDERED by the Florida Public Service Commission that</w:t>
      </w:r>
      <w:r w:rsidR="006C5FC8">
        <w:t xml:space="preserve"> Windstream Communications, LLC’s Application for Designation as an Eligible Telecommunications Carrier is hereby denied as we lack jurisdiction over </w:t>
      </w:r>
      <w:r w:rsidR="00EE3AA0">
        <w:t>VoIP and</w:t>
      </w:r>
      <w:r w:rsidR="006C5FC8">
        <w:t xml:space="preserve"> broadband service</w:t>
      </w:r>
      <w:r w:rsidR="00EE3AA0">
        <w:t>s,</w:t>
      </w:r>
      <w:r w:rsidR="006C5FC8">
        <w:t xml:space="preserve"> and that </w:t>
      </w:r>
      <w:r w:rsidR="00EE3AA0">
        <w:t>Windstream</w:t>
      </w:r>
      <w:r w:rsidR="006C5FC8">
        <w:t xml:space="preserve"> </w:t>
      </w:r>
      <w:r w:rsidR="00EE3AA0">
        <w:t>Communications</w:t>
      </w:r>
      <w:r w:rsidR="006C5FC8">
        <w:t>, LLC should directly apply for Florida ETC designation with the Federal Communications Commission. It is further</w:t>
      </w:r>
    </w:p>
    <w:p w:rsidR="000C5488" w:rsidRDefault="000C5488" w:rsidP="000C5488">
      <w:pPr>
        <w:pStyle w:val="OrderBody"/>
      </w:pPr>
    </w:p>
    <w:p w:rsidR="000C5488" w:rsidRDefault="000C5488" w:rsidP="000C548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C5488" w:rsidRDefault="000C5488" w:rsidP="000C5488">
      <w:pPr>
        <w:pStyle w:val="OrderBody"/>
      </w:pPr>
    </w:p>
    <w:p w:rsidR="009F4C19" w:rsidRDefault="000C5488" w:rsidP="009F4C19">
      <w:pPr>
        <w:pStyle w:val="OrderBody"/>
      </w:pPr>
      <w:r>
        <w:lastRenderedPageBreak/>
        <w:tab/>
      </w:r>
      <w:r w:rsidR="009F4C19" w:rsidRPr="009F4C19">
        <w:t>ORDERED that if no person whose substantial interests are affected by the proposed agency action files a protest withi</w:t>
      </w:r>
      <w:r w:rsidR="009F4C19">
        <w:t>n 21 days of the issuance of this O</w:t>
      </w:r>
      <w:r w:rsidR="009F4C19" w:rsidRPr="009F4C19">
        <w:t>rder, this docket shall be closed upon the issuance of a Consummating Order.</w:t>
      </w:r>
    </w:p>
    <w:p w:rsidR="009F4C19" w:rsidRPr="009F4C19" w:rsidRDefault="009F4C19" w:rsidP="009F4C19">
      <w:pPr>
        <w:pStyle w:val="OrderBody"/>
      </w:pPr>
    </w:p>
    <w:p w:rsidR="000C5488" w:rsidRDefault="000C5488" w:rsidP="00D15811">
      <w:pPr>
        <w:pStyle w:val="OrderBody"/>
      </w:pPr>
      <w:r>
        <w:tab/>
        <w:t xml:space="preserve">By ORDER of the Florida Public Service Commission this </w:t>
      </w:r>
      <w:bookmarkStart w:id="8" w:name="replaceDate"/>
      <w:bookmarkEnd w:id="8"/>
      <w:r w:rsidR="00D15811">
        <w:rPr>
          <w:u w:val="single"/>
        </w:rPr>
        <w:t>30th</w:t>
      </w:r>
      <w:r w:rsidR="00D15811">
        <w:t xml:space="preserve"> day of </w:t>
      </w:r>
      <w:r w:rsidR="00D15811">
        <w:rPr>
          <w:u w:val="single"/>
        </w:rPr>
        <w:t>June</w:t>
      </w:r>
      <w:r w:rsidR="00D15811">
        <w:t xml:space="preserve">, </w:t>
      </w:r>
      <w:r w:rsidR="00D15811">
        <w:rPr>
          <w:u w:val="single"/>
        </w:rPr>
        <w:t>2021</w:t>
      </w:r>
      <w:r w:rsidR="00D15811">
        <w:t>.</w:t>
      </w:r>
    </w:p>
    <w:p w:rsidR="00D15811" w:rsidRPr="00D15811" w:rsidRDefault="00D15811" w:rsidP="00D15811">
      <w:pPr>
        <w:pStyle w:val="OrderBody"/>
      </w:pPr>
    </w:p>
    <w:p w:rsidR="000C5488" w:rsidRDefault="000C5488" w:rsidP="000C5488">
      <w:pPr>
        <w:pStyle w:val="OrderBody"/>
        <w:keepNext/>
        <w:keepLines/>
      </w:pPr>
    </w:p>
    <w:p w:rsidR="000C5488" w:rsidRDefault="000C5488" w:rsidP="000C5488">
      <w:pPr>
        <w:pStyle w:val="OrderBody"/>
        <w:keepNext/>
        <w:keepLines/>
      </w:pPr>
    </w:p>
    <w:p w:rsidR="000C5488" w:rsidRDefault="000C5488" w:rsidP="000C548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5488" w:rsidTr="000C5488">
        <w:tc>
          <w:tcPr>
            <w:tcW w:w="720" w:type="dxa"/>
            <w:shd w:val="clear" w:color="auto" w:fill="auto"/>
          </w:tcPr>
          <w:p w:rsidR="000C5488" w:rsidRDefault="000C5488" w:rsidP="000C5488">
            <w:pPr>
              <w:pStyle w:val="OrderBody"/>
              <w:keepNext/>
              <w:keepLines/>
            </w:pPr>
            <w:bookmarkStart w:id="9" w:name="bkmrkSignature" w:colFirst="0" w:colLast="0"/>
          </w:p>
        </w:tc>
        <w:tc>
          <w:tcPr>
            <w:tcW w:w="4320" w:type="dxa"/>
            <w:tcBorders>
              <w:bottom w:val="single" w:sz="4" w:space="0" w:color="auto"/>
            </w:tcBorders>
            <w:shd w:val="clear" w:color="auto" w:fill="auto"/>
          </w:tcPr>
          <w:p w:rsidR="000C5488" w:rsidRDefault="00BB28F4" w:rsidP="000C5488">
            <w:pPr>
              <w:pStyle w:val="OrderBody"/>
              <w:keepNext/>
              <w:keepLines/>
            </w:pPr>
            <w:r>
              <w:t>/s/ Adam J. Teitzman</w:t>
            </w:r>
            <w:bookmarkStart w:id="10" w:name="_GoBack"/>
            <w:bookmarkEnd w:id="10"/>
          </w:p>
        </w:tc>
      </w:tr>
      <w:bookmarkEnd w:id="9"/>
      <w:tr w:rsidR="000C5488" w:rsidTr="000C5488">
        <w:tc>
          <w:tcPr>
            <w:tcW w:w="720" w:type="dxa"/>
            <w:shd w:val="clear" w:color="auto" w:fill="auto"/>
          </w:tcPr>
          <w:p w:rsidR="000C5488" w:rsidRDefault="000C5488" w:rsidP="000C5488">
            <w:pPr>
              <w:pStyle w:val="OrderBody"/>
              <w:keepNext/>
              <w:keepLines/>
            </w:pPr>
          </w:p>
        </w:tc>
        <w:tc>
          <w:tcPr>
            <w:tcW w:w="4320" w:type="dxa"/>
            <w:tcBorders>
              <w:top w:val="single" w:sz="4" w:space="0" w:color="auto"/>
            </w:tcBorders>
            <w:shd w:val="clear" w:color="auto" w:fill="auto"/>
          </w:tcPr>
          <w:p w:rsidR="000C5488" w:rsidRDefault="000C5488" w:rsidP="000C5488">
            <w:pPr>
              <w:pStyle w:val="OrderBody"/>
              <w:keepNext/>
              <w:keepLines/>
            </w:pPr>
            <w:r>
              <w:t>ADAM J. TEITZMAN</w:t>
            </w:r>
          </w:p>
          <w:p w:rsidR="000C5488" w:rsidRDefault="000C5488" w:rsidP="000C5488">
            <w:pPr>
              <w:pStyle w:val="OrderBody"/>
              <w:keepNext/>
              <w:keepLines/>
            </w:pPr>
            <w:r>
              <w:t>Commission Clerk</w:t>
            </w:r>
          </w:p>
        </w:tc>
      </w:tr>
    </w:tbl>
    <w:p w:rsidR="000C5488" w:rsidRDefault="000C5488" w:rsidP="000C5488">
      <w:pPr>
        <w:pStyle w:val="OrderSigInfo"/>
        <w:keepNext/>
        <w:keepLines/>
      </w:pPr>
      <w:r>
        <w:t>Florida Public Service Commission</w:t>
      </w:r>
    </w:p>
    <w:p w:rsidR="000C5488" w:rsidRDefault="000C5488" w:rsidP="000C5488">
      <w:pPr>
        <w:pStyle w:val="OrderSigInfo"/>
        <w:keepNext/>
        <w:keepLines/>
      </w:pPr>
      <w:r>
        <w:t>2540 Shumard Oak Boulevard</w:t>
      </w:r>
    </w:p>
    <w:p w:rsidR="000C5488" w:rsidRDefault="000C5488" w:rsidP="000C5488">
      <w:pPr>
        <w:pStyle w:val="OrderSigInfo"/>
        <w:keepNext/>
        <w:keepLines/>
      </w:pPr>
      <w:r>
        <w:t>Tallahassee, Florida 32399</w:t>
      </w:r>
    </w:p>
    <w:p w:rsidR="000C5488" w:rsidRDefault="000C5488" w:rsidP="000C5488">
      <w:pPr>
        <w:pStyle w:val="OrderSigInfo"/>
        <w:keepNext/>
        <w:keepLines/>
      </w:pPr>
      <w:r>
        <w:t>(850) 413</w:t>
      </w:r>
      <w:r>
        <w:noBreakHyphen/>
        <w:t>6770</w:t>
      </w:r>
    </w:p>
    <w:p w:rsidR="000C5488" w:rsidRDefault="000C5488" w:rsidP="000C5488">
      <w:pPr>
        <w:pStyle w:val="OrderSigInfo"/>
        <w:keepNext/>
        <w:keepLines/>
      </w:pPr>
      <w:r>
        <w:t>www.floridapsc.com</w:t>
      </w:r>
    </w:p>
    <w:p w:rsidR="000C5488" w:rsidRDefault="000C5488" w:rsidP="000C5488">
      <w:pPr>
        <w:pStyle w:val="OrderSigInfo"/>
        <w:keepNext/>
        <w:keepLines/>
      </w:pPr>
    </w:p>
    <w:p w:rsidR="000C5488" w:rsidRDefault="000C5488" w:rsidP="000C5488">
      <w:pPr>
        <w:pStyle w:val="OrderSigInfo"/>
        <w:keepNext/>
        <w:keepLines/>
      </w:pPr>
      <w:r>
        <w:t>Copies furnished:  A copy of this document is provided to the parties of record at the time of issuance and, if applicable, interested persons.</w:t>
      </w:r>
    </w:p>
    <w:p w:rsidR="000C5488" w:rsidRDefault="000C5488" w:rsidP="000C5488">
      <w:pPr>
        <w:pStyle w:val="OrderBody"/>
        <w:keepNext/>
        <w:keepLines/>
      </w:pPr>
    </w:p>
    <w:p w:rsidR="000C5488" w:rsidRDefault="000C5488" w:rsidP="000C5488">
      <w:pPr>
        <w:pStyle w:val="OrderBody"/>
        <w:keepNext/>
        <w:keepLines/>
      </w:pPr>
    </w:p>
    <w:p w:rsidR="000C5488" w:rsidRDefault="000C5488" w:rsidP="000C5488">
      <w:pPr>
        <w:pStyle w:val="OrderBody"/>
        <w:keepNext/>
        <w:keepLines/>
      </w:pPr>
      <w:r>
        <w:t>AJW</w:t>
      </w:r>
    </w:p>
    <w:p w:rsidR="000C5488" w:rsidRDefault="000C5488" w:rsidP="000C5488">
      <w:pPr>
        <w:pStyle w:val="OrderBody"/>
      </w:pPr>
    </w:p>
    <w:p w:rsidR="000C5488" w:rsidRDefault="000C5488" w:rsidP="000C5488">
      <w:pPr>
        <w:pStyle w:val="CenterUnderline"/>
      </w:pPr>
      <w:r>
        <w:t>NOTICE OF FURTHER PROCEEDINGS OR JUDICIAL REVIEW</w:t>
      </w:r>
    </w:p>
    <w:p w:rsidR="000C5488" w:rsidRDefault="000C5488" w:rsidP="000C5488">
      <w:pPr>
        <w:pStyle w:val="CenterUnderline"/>
        <w:rPr>
          <w:u w:val="none"/>
        </w:rPr>
      </w:pPr>
    </w:p>
    <w:p w:rsidR="000C5488" w:rsidRDefault="000C5488" w:rsidP="000C548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C5488" w:rsidRDefault="000C5488" w:rsidP="000C5488">
      <w:pPr>
        <w:pStyle w:val="OrderBody"/>
      </w:pPr>
    </w:p>
    <w:p w:rsidR="000C5488" w:rsidRDefault="000C5488" w:rsidP="000C5488">
      <w:pPr>
        <w:pStyle w:val="OrderBody"/>
      </w:pPr>
      <w:r>
        <w:tab/>
        <w:t>Mediation may be available on a case-by-case basis.  If mediation is conducted, it does not affect a substantially interested person's right to a hearing.</w:t>
      </w:r>
    </w:p>
    <w:p w:rsidR="000C5488" w:rsidRDefault="000C5488" w:rsidP="000C5488">
      <w:pPr>
        <w:pStyle w:val="OrderBody"/>
      </w:pPr>
    </w:p>
    <w:p w:rsidR="000C5488" w:rsidRDefault="000C5488" w:rsidP="000C548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15811">
        <w:rPr>
          <w:u w:val="single"/>
        </w:rPr>
        <w:t>July 21, 2021</w:t>
      </w:r>
      <w:r>
        <w:t>.</w:t>
      </w:r>
    </w:p>
    <w:p w:rsidR="000C5488" w:rsidRDefault="000C5488" w:rsidP="000C5488">
      <w:pPr>
        <w:pStyle w:val="OrderBody"/>
      </w:pPr>
    </w:p>
    <w:p w:rsidR="00095B83" w:rsidRDefault="000C5488" w:rsidP="000C5488">
      <w:pPr>
        <w:pStyle w:val="OrderBody"/>
      </w:pPr>
      <w:r>
        <w:tab/>
        <w:t>In the absence of such a petition, this order shall become final and effective upon the issuance of a Consummating Order.</w:t>
      </w:r>
    </w:p>
    <w:p w:rsidR="000C5488" w:rsidRPr="000C5488" w:rsidRDefault="000C5488" w:rsidP="000C5488">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sectPr w:rsidR="000C5488" w:rsidRPr="000C548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488" w:rsidRDefault="000C5488">
      <w:r>
        <w:separator/>
      </w:r>
    </w:p>
  </w:endnote>
  <w:endnote w:type="continuationSeparator" w:id="0">
    <w:p w:rsidR="000C5488" w:rsidRDefault="000C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488" w:rsidRDefault="000C5488">
      <w:r>
        <w:separator/>
      </w:r>
    </w:p>
  </w:footnote>
  <w:footnote w:type="continuationSeparator" w:id="0">
    <w:p w:rsidR="000C5488" w:rsidRDefault="000C5488">
      <w:r>
        <w:continuationSeparator/>
      </w:r>
    </w:p>
  </w:footnote>
  <w:footnote w:id="1">
    <w:p w:rsidR="000C5488" w:rsidRPr="00536F37" w:rsidRDefault="000C5488" w:rsidP="000C5488">
      <w:pPr>
        <w:pStyle w:val="FootnoteText"/>
      </w:pPr>
      <w:r>
        <w:rPr>
          <w:rStyle w:val="FootnoteReference"/>
        </w:rPr>
        <w:footnoteRef/>
      </w:r>
      <w:r>
        <w:t xml:space="preserve"> Memorandum filed February 9, 2006, in Docket No. 20050937-TI, </w:t>
      </w:r>
      <w:r w:rsidRPr="007700D8">
        <w:rPr>
          <w:i/>
        </w:rPr>
        <w:t xml:space="preserve">In re: Florida registration of Intrastate Interexchange Telecommunications Company (IXC), by Alltel Holding Corporate Services, Inc. </w:t>
      </w:r>
      <w:r w:rsidRPr="00F00856">
        <w:rPr>
          <w:i/>
        </w:rPr>
        <w:t xml:space="preserve">See also </w:t>
      </w:r>
      <w:r>
        <w:t xml:space="preserve">Memorandum filed August 8, 2006, in Docket No. 20060505-TP, </w:t>
      </w:r>
      <w:r w:rsidRPr="007700D8">
        <w:rPr>
          <w:i/>
        </w:rPr>
        <w:t xml:space="preserve">In Re: Acknowledgment of name change on IXC Registration No. TK045 from Alltel Holding Corporate Services, Inc. to Windstream Communications Inc., effective </w:t>
      </w:r>
      <w:r w:rsidRPr="00536F37">
        <w:rPr>
          <w:i/>
        </w:rPr>
        <w:t>July 17, 2006.</w:t>
      </w:r>
      <w:r w:rsidRPr="00536F37">
        <w:t xml:space="preserve"> On May 14, 2015, Windstream Communications Inc. was converted to Windstream Communications LLC and the change was filed with the Florida Department of State, Division of Corporations.</w:t>
      </w:r>
    </w:p>
  </w:footnote>
  <w:footnote w:id="2">
    <w:p w:rsidR="000C5488" w:rsidRPr="00536F37" w:rsidRDefault="000C5488" w:rsidP="000C5488">
      <w:pPr>
        <w:pStyle w:val="FootnoteText"/>
      </w:pPr>
      <w:r w:rsidRPr="00536F37">
        <w:rPr>
          <w:rStyle w:val="FootnoteReference"/>
        </w:rPr>
        <w:footnoteRef/>
      </w:r>
      <w:r w:rsidRPr="00536F37">
        <w:t xml:space="preserve"> </w:t>
      </w:r>
      <w:r>
        <w:t xml:space="preserve">Response to </w:t>
      </w:r>
      <w:r w:rsidR="004C10BE">
        <w:t xml:space="preserve">our </w:t>
      </w:r>
      <w:r>
        <w:t xml:space="preserve">staff’s April 16, 2021, data request, </w:t>
      </w:r>
      <w:r w:rsidRPr="00536F37">
        <w:t>DN 03694-2021, filed April 26, 2021, in Docket No. 20210070</w:t>
      </w:r>
      <w:r>
        <w:t>.</w:t>
      </w:r>
    </w:p>
  </w:footnote>
  <w:footnote w:id="3">
    <w:p w:rsidR="000C5488" w:rsidRPr="00536F37" w:rsidRDefault="000C5488" w:rsidP="000C5488">
      <w:pPr>
        <w:pStyle w:val="FootnoteText"/>
      </w:pPr>
      <w:r w:rsidRPr="00536F37">
        <w:rPr>
          <w:rStyle w:val="FootnoteReference"/>
        </w:rPr>
        <w:footnoteRef/>
      </w:r>
      <w:r w:rsidRPr="00536F37">
        <w:t xml:space="preserve"> </w:t>
      </w:r>
      <w:r w:rsidRPr="00696D7B">
        <w:rPr>
          <w:i/>
          <w:iCs/>
        </w:rPr>
        <w:t>Id</w:t>
      </w:r>
      <w:r w:rsidRPr="00536F37">
        <w:t xml:space="preserve">. </w:t>
      </w:r>
    </w:p>
  </w:footnote>
  <w:footnote w:id="4">
    <w:p w:rsidR="000C5488" w:rsidRPr="00536F37" w:rsidRDefault="000C5488" w:rsidP="000C5488">
      <w:pPr>
        <w:pStyle w:val="FootnoteText"/>
      </w:pPr>
      <w:r w:rsidRPr="00536F37">
        <w:rPr>
          <w:rStyle w:val="FootnoteReference"/>
        </w:rPr>
        <w:footnoteRef/>
      </w:r>
      <w:r w:rsidRPr="00536F37">
        <w:t xml:space="preserve"> FCC, DA 20-1422, Public Notice, </w:t>
      </w:r>
      <w:r w:rsidRPr="00536F37">
        <w:rPr>
          <w:iCs/>
        </w:rPr>
        <w:t>904 Winning Bidders</w:t>
      </w:r>
      <w:r w:rsidRPr="00536F37">
        <w:t xml:space="preserve">, </w:t>
      </w:r>
      <w:hyperlink r:id="rId1" w:history="1">
        <w:r w:rsidRPr="00536F37">
          <w:rPr>
            <w:rStyle w:val="Hyperlink"/>
          </w:rPr>
          <w:t>https://docs.fcc.gov/public/attachments/DA-20-1422A1.pdf</w:t>
        </w:r>
      </w:hyperlink>
      <w:r w:rsidRPr="00536F37">
        <w:t>, accessed April 16, 2021</w:t>
      </w:r>
    </w:p>
  </w:footnote>
  <w:footnote w:id="5">
    <w:p w:rsidR="000C5488" w:rsidRPr="00536F37" w:rsidRDefault="000C5488" w:rsidP="000C5488">
      <w:pPr>
        <w:pStyle w:val="FootnoteText"/>
      </w:pPr>
      <w:r w:rsidRPr="00536F37">
        <w:rPr>
          <w:rStyle w:val="FootnoteReference"/>
        </w:rPr>
        <w:footnoteRef/>
      </w:r>
      <w:r w:rsidRPr="00536F37">
        <w:t xml:space="preserve"> </w:t>
      </w:r>
      <w:r w:rsidRPr="00536F37">
        <w:rPr>
          <w:i/>
          <w:iCs/>
        </w:rPr>
        <w:t>Id.</w:t>
      </w:r>
      <w:r w:rsidRPr="00536F37">
        <w:t xml:space="preserve">, Attachment B, </w:t>
      </w:r>
      <w:hyperlink r:id="rId2" w:history="1">
        <w:r w:rsidRPr="00536F37">
          <w:rPr>
            <w:rStyle w:val="Hyperlink"/>
          </w:rPr>
          <w:t>https://docs.fcc.gov/public/attachments/DA-20-1422A3.pdf</w:t>
        </w:r>
      </w:hyperlink>
      <w:r w:rsidRPr="00536F37">
        <w:t>, accessed April 16, 2021.</w:t>
      </w:r>
    </w:p>
  </w:footnote>
  <w:footnote w:id="6">
    <w:p w:rsidR="000C5488" w:rsidRDefault="000C5488" w:rsidP="000C5488">
      <w:pPr>
        <w:pStyle w:val="FootnoteText"/>
      </w:pPr>
      <w:r w:rsidRPr="00536F37">
        <w:rPr>
          <w:rStyle w:val="FootnoteReference"/>
        </w:rPr>
        <w:footnoteRef/>
      </w:r>
      <w:r w:rsidRPr="00536F37">
        <w:t xml:space="preserve"> </w:t>
      </w:r>
      <w:r w:rsidRPr="00536F37">
        <w:rPr>
          <w:i/>
          <w:iCs/>
        </w:rPr>
        <w:t>Id.</w:t>
      </w:r>
      <w:r w:rsidRPr="00536F37">
        <w:t xml:space="preserve">, Attachment A, </w:t>
      </w:r>
      <w:hyperlink r:id="rId3" w:history="1">
        <w:r w:rsidRPr="00536F37">
          <w:rPr>
            <w:rStyle w:val="Hyperlink"/>
          </w:rPr>
          <w:t>https://docs.fcc.gov/public/attachments/DA-20-1422A2.pdf</w:t>
        </w:r>
      </w:hyperlink>
      <w:r w:rsidRPr="00536F37">
        <w:t>, accessed April 16, 2021.</w:t>
      </w:r>
    </w:p>
  </w:footnote>
  <w:footnote w:id="7">
    <w:p w:rsidR="000C5488" w:rsidRDefault="000C5488" w:rsidP="000C5488">
      <w:pPr>
        <w:pStyle w:val="FootnoteText"/>
      </w:pPr>
      <w:r>
        <w:rPr>
          <w:rStyle w:val="FootnoteReference"/>
        </w:rPr>
        <w:footnoteRef/>
      </w:r>
      <w:r w:rsidR="009F4C19">
        <w:t xml:space="preserve"> This</w:t>
      </w:r>
      <w:r>
        <w:t xml:space="preserv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w:t>
      </w:r>
      <w:r w:rsidR="009F4C19">
        <w:t>. 1973). Further, this Commission is</w:t>
      </w:r>
      <w:r>
        <w:t xml:space="preserve"> barred from exercising a power when there is any reasonable doubt as to the lawful existence of that power. </w:t>
      </w:r>
      <w:r>
        <w:rPr>
          <w:i/>
        </w:rPr>
        <w:t>See i</w:t>
      </w:r>
      <w:r w:rsidRPr="00DC7142">
        <w:rPr>
          <w:i/>
        </w:rPr>
        <w:t>d</w:t>
      </w:r>
      <w:r>
        <w:t>.</w:t>
      </w:r>
    </w:p>
  </w:footnote>
  <w:footnote w:id="8">
    <w:p w:rsidR="000C5488" w:rsidRPr="00B719F8" w:rsidRDefault="000C5488" w:rsidP="000C5488">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B28F4">
      <w:fldChar w:fldCharType="begin"/>
    </w:r>
    <w:r w:rsidR="00BB28F4">
      <w:instrText xml:space="preserve"> REF OrderNo0238 </w:instrText>
    </w:r>
    <w:r w:rsidR="00BB28F4">
      <w:fldChar w:fldCharType="separate"/>
    </w:r>
    <w:r w:rsidR="00BB28F4">
      <w:t>PSC-2021-0238-PAA-TX</w:t>
    </w:r>
    <w:r w:rsidR="00BB28F4">
      <w:fldChar w:fldCharType="end"/>
    </w:r>
  </w:p>
  <w:p w:rsidR="00FA6EFD" w:rsidRDefault="000C5488">
    <w:pPr>
      <w:pStyle w:val="OrderHeader"/>
    </w:pPr>
    <w:bookmarkStart w:id="11" w:name="HeaderDocketNo"/>
    <w:bookmarkEnd w:id="11"/>
    <w:r>
      <w:t>DOCKET NO. 20210070-TX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28F4">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0-TX"/>
  </w:docVars>
  <w:rsids>
    <w:rsidRoot w:val="000C5488"/>
    <w:rsid w:val="000022B8"/>
    <w:rsid w:val="00003883"/>
    <w:rsid w:val="00011251"/>
    <w:rsid w:val="00025C9D"/>
    <w:rsid w:val="0003433F"/>
    <w:rsid w:val="00035A8C"/>
    <w:rsid w:val="00036BDD"/>
    <w:rsid w:val="00041FFD"/>
    <w:rsid w:val="00053AB9"/>
    <w:rsid w:val="00056154"/>
    <w:rsid w:val="00056229"/>
    <w:rsid w:val="00057AF1"/>
    <w:rsid w:val="00065FC2"/>
    <w:rsid w:val="00067685"/>
    <w:rsid w:val="00067B07"/>
    <w:rsid w:val="000730D7"/>
    <w:rsid w:val="00076E6B"/>
    <w:rsid w:val="00081AE4"/>
    <w:rsid w:val="0008247D"/>
    <w:rsid w:val="00090AFC"/>
    <w:rsid w:val="00095B83"/>
    <w:rsid w:val="00096507"/>
    <w:rsid w:val="000B783E"/>
    <w:rsid w:val="000B7D81"/>
    <w:rsid w:val="000C1994"/>
    <w:rsid w:val="000C5488"/>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EA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5920"/>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48BF"/>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A84"/>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7319"/>
    <w:rsid w:val="0045537F"/>
    <w:rsid w:val="00457DC7"/>
    <w:rsid w:val="004640B3"/>
    <w:rsid w:val="00472BCC"/>
    <w:rsid w:val="004A25CD"/>
    <w:rsid w:val="004A26CC"/>
    <w:rsid w:val="004B2108"/>
    <w:rsid w:val="004B3A2B"/>
    <w:rsid w:val="004B70D3"/>
    <w:rsid w:val="004C10BE"/>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5FD6"/>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5C50"/>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5FC8"/>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B4C"/>
    <w:rsid w:val="00943D21"/>
    <w:rsid w:val="00944E95"/>
    <w:rsid w:val="0094504B"/>
    <w:rsid w:val="00964A38"/>
    <w:rsid w:val="00966A9D"/>
    <w:rsid w:val="0096742B"/>
    <w:rsid w:val="009718C5"/>
    <w:rsid w:val="00976AFF"/>
    <w:rsid w:val="009924CF"/>
    <w:rsid w:val="00994100"/>
    <w:rsid w:val="009A6B17"/>
    <w:rsid w:val="009B052E"/>
    <w:rsid w:val="009D4C29"/>
    <w:rsid w:val="009E32F3"/>
    <w:rsid w:val="009E58E9"/>
    <w:rsid w:val="009F4C19"/>
    <w:rsid w:val="009F6AD2"/>
    <w:rsid w:val="009F7C1B"/>
    <w:rsid w:val="00A00D8D"/>
    <w:rsid w:val="00A01BB6"/>
    <w:rsid w:val="00A22B28"/>
    <w:rsid w:val="00A4303C"/>
    <w:rsid w:val="00A46CAF"/>
    <w:rsid w:val="00A470FD"/>
    <w:rsid w:val="00A50B5E"/>
    <w:rsid w:val="00A52D2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8F4"/>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5811"/>
    <w:rsid w:val="00D17B79"/>
    <w:rsid w:val="00D205F5"/>
    <w:rsid w:val="00D23FEA"/>
    <w:rsid w:val="00D269CA"/>
    <w:rsid w:val="00D30B48"/>
    <w:rsid w:val="00D3168A"/>
    <w:rsid w:val="00D46FAA"/>
    <w:rsid w:val="00D47A40"/>
    <w:rsid w:val="00D51D33"/>
    <w:rsid w:val="00D527C8"/>
    <w:rsid w:val="00D57BB2"/>
    <w:rsid w:val="00D57E57"/>
    <w:rsid w:val="00D70752"/>
    <w:rsid w:val="00D80E2D"/>
    <w:rsid w:val="00D84D5E"/>
    <w:rsid w:val="00D8560E"/>
    <w:rsid w:val="00D8758F"/>
    <w:rsid w:val="00D954F7"/>
    <w:rsid w:val="00DA4EDD"/>
    <w:rsid w:val="00DA6B78"/>
    <w:rsid w:val="00DB122B"/>
    <w:rsid w:val="00DC1D94"/>
    <w:rsid w:val="00DC42CF"/>
    <w:rsid w:val="00DD382A"/>
    <w:rsid w:val="00DE057F"/>
    <w:rsid w:val="00DE2082"/>
    <w:rsid w:val="00DE2289"/>
    <w:rsid w:val="00DF09A7"/>
    <w:rsid w:val="00DF2B51"/>
    <w:rsid w:val="00E001D6"/>
    <w:rsid w:val="00E00C03"/>
    <w:rsid w:val="00E03A76"/>
    <w:rsid w:val="00E04410"/>
    <w:rsid w:val="00E07484"/>
    <w:rsid w:val="00E11351"/>
    <w:rsid w:val="00E4225C"/>
    <w:rsid w:val="00E44879"/>
    <w:rsid w:val="00E66548"/>
    <w:rsid w:val="00E72914"/>
    <w:rsid w:val="00E75AE0"/>
    <w:rsid w:val="00E76D77"/>
    <w:rsid w:val="00E83C1F"/>
    <w:rsid w:val="00E85684"/>
    <w:rsid w:val="00E8794B"/>
    <w:rsid w:val="00E97656"/>
    <w:rsid w:val="00EA172C"/>
    <w:rsid w:val="00EA259B"/>
    <w:rsid w:val="00EA35A3"/>
    <w:rsid w:val="00EA3E6A"/>
    <w:rsid w:val="00EB18EF"/>
    <w:rsid w:val="00EB58F4"/>
    <w:rsid w:val="00EB7951"/>
    <w:rsid w:val="00ED6A79"/>
    <w:rsid w:val="00EE17DF"/>
    <w:rsid w:val="00EE3AA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rsid w:val="00CD7132"/>
    <w:rPr>
      <w:vertAlign w:val="superscript"/>
    </w:r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C5488"/>
    <w:pPr>
      <w:jc w:val="center"/>
    </w:pPr>
    <w:rPr>
      <w:rFonts w:ascii="Arial" w:hAnsi="Arial"/>
      <w:b/>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0C5488"/>
  </w:style>
  <w:style w:type="character" w:styleId="Hyperlink">
    <w:name w:val="Hyperlink"/>
    <w:rsid w:val="000C5488"/>
    <w:rPr>
      <w:color w:val="0000FF"/>
      <w:u w:val="single"/>
    </w:rPr>
  </w:style>
  <w:style w:type="paragraph" w:styleId="BalloonText">
    <w:name w:val="Balloon Text"/>
    <w:basedOn w:val="Normal"/>
    <w:link w:val="BalloonTextChar"/>
    <w:semiHidden/>
    <w:unhideWhenUsed/>
    <w:rsid w:val="00D15811"/>
    <w:rPr>
      <w:rFonts w:ascii="Segoe UI" w:hAnsi="Segoe UI" w:cs="Segoe UI"/>
      <w:sz w:val="18"/>
      <w:szCs w:val="18"/>
    </w:rPr>
  </w:style>
  <w:style w:type="character" w:customStyle="1" w:styleId="BalloonTextChar">
    <w:name w:val="Balloon Text Char"/>
    <w:basedOn w:val="DefaultParagraphFont"/>
    <w:link w:val="BalloonText"/>
    <w:semiHidden/>
    <w:rsid w:val="00D15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6</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2021-06-30T17:09:00Z</dcterms:created>
  <dcterms:modified xsi:type="dcterms:W3CDTF">2021-06-30T19:11:00Z</dcterms:modified>
</cp:coreProperties>
</file>