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A5D52" w:rsidP="009A5D52">
      <w:pPr>
        <w:pStyle w:val="OrderHeading"/>
      </w:pPr>
      <w:r>
        <w:t>BEFORE THE FLORIDA PUBLIC SERVICE COMMISSION</w:t>
      </w:r>
    </w:p>
    <w:p w:rsidR="009A5D52" w:rsidRDefault="009A5D52" w:rsidP="009A5D52">
      <w:pPr>
        <w:pStyle w:val="OrderBody"/>
      </w:pPr>
    </w:p>
    <w:p w:rsidR="009A5D52" w:rsidRDefault="009A5D52" w:rsidP="009A5D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5D52" w:rsidRPr="00C63FCF" w:rsidTr="00A04D85">
        <w:trPr>
          <w:trHeight w:val="828"/>
        </w:trPr>
        <w:tc>
          <w:tcPr>
            <w:tcW w:w="4788" w:type="dxa"/>
            <w:tcBorders>
              <w:bottom w:val="single" w:sz="8" w:space="0" w:color="auto"/>
              <w:right w:val="double" w:sz="6" w:space="0" w:color="auto"/>
            </w:tcBorders>
            <w:shd w:val="clear" w:color="auto" w:fill="auto"/>
          </w:tcPr>
          <w:p w:rsidR="009A5D52" w:rsidRDefault="009A5D52" w:rsidP="00A04D85">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9A5D52" w:rsidRDefault="009A5D52" w:rsidP="009A5D52">
            <w:pPr>
              <w:pStyle w:val="OrderBody"/>
            </w:pPr>
            <w:r>
              <w:t xml:space="preserve">DOCKET NO. </w:t>
            </w:r>
            <w:bookmarkStart w:id="1" w:name="SSDocketNo"/>
            <w:bookmarkEnd w:id="1"/>
            <w:r>
              <w:t>20210007-EI</w:t>
            </w:r>
          </w:p>
          <w:p w:rsidR="009A5D52" w:rsidRDefault="009A5D52" w:rsidP="00A04D85">
            <w:pPr>
              <w:pStyle w:val="OrderBody"/>
              <w:tabs>
                <w:tab w:val="center" w:pos="4320"/>
                <w:tab w:val="right" w:pos="8640"/>
              </w:tabs>
              <w:jc w:val="left"/>
            </w:pPr>
            <w:r>
              <w:t xml:space="preserve">ORDER NO. </w:t>
            </w:r>
            <w:bookmarkStart w:id="2" w:name="OrderNo0258"/>
            <w:r w:rsidR="00F20264">
              <w:t>PSC-2021-0258-PCO-EI</w:t>
            </w:r>
            <w:bookmarkEnd w:id="2"/>
          </w:p>
          <w:p w:rsidR="009A5D52" w:rsidRDefault="009A5D52" w:rsidP="00A04D85">
            <w:pPr>
              <w:pStyle w:val="OrderBody"/>
              <w:tabs>
                <w:tab w:val="center" w:pos="4320"/>
                <w:tab w:val="right" w:pos="8640"/>
              </w:tabs>
              <w:jc w:val="left"/>
            </w:pPr>
            <w:r>
              <w:t xml:space="preserve">ISSUED: </w:t>
            </w:r>
            <w:r w:rsidR="00F20264">
              <w:t>July 19, 2021</w:t>
            </w:r>
          </w:p>
        </w:tc>
      </w:tr>
    </w:tbl>
    <w:p w:rsidR="009A5D52" w:rsidRDefault="009A5D52" w:rsidP="009A5D52"/>
    <w:p w:rsidR="009A5D52" w:rsidRDefault="009A5D52" w:rsidP="009A5D52"/>
    <w:p w:rsidR="00CB5276" w:rsidRDefault="009A5D52" w:rsidP="00AA40AC">
      <w:pPr>
        <w:pStyle w:val="CenterUnderline"/>
      </w:pPr>
      <w:bookmarkStart w:id="3" w:name="Commissioners"/>
      <w:bookmarkEnd w:id="3"/>
      <w:r>
        <w:t>ORDER</w:t>
      </w:r>
      <w:bookmarkStart w:id="4" w:name="OrderTitle"/>
      <w:r w:rsidR="00AA40AC">
        <w:t xml:space="preserve"> GRANTING INTERVENTION</w:t>
      </w:r>
      <w:r>
        <w:t xml:space="preserve"> </w:t>
      </w:r>
      <w:bookmarkEnd w:id="4"/>
    </w:p>
    <w:p w:rsidR="009A5D52" w:rsidRDefault="009A5D52" w:rsidP="009A5D52">
      <w:pPr>
        <w:pStyle w:val="CenterUnderline"/>
      </w:pPr>
    </w:p>
    <w:p w:rsidR="00AA40AC" w:rsidRDefault="00AA40AC" w:rsidP="00AA4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Environmental Cost Recovery Clause (ECRC) </w:t>
      </w:r>
      <w:r w:rsidR="00442FB3" w:rsidRPr="00963028">
        <w:t>allows investor-owned electric utilities to seek recovery of their costs for approved conservati</w:t>
      </w:r>
      <w:r w:rsidR="00442FB3">
        <w:t xml:space="preserve">on programs on an annual basis, pursuant to Section 366.8255, Florida Statutes (F.S.). </w:t>
      </w:r>
      <w:r w:rsidRPr="00AA40AC">
        <w:t xml:space="preserve">As part of the Florida Public Service Commission’s (Commission’s) </w:t>
      </w:r>
      <w:r w:rsidR="00680B3D">
        <w:t xml:space="preserve">continuing </w:t>
      </w:r>
      <w:r w:rsidRPr="00AA40AC">
        <w:t xml:space="preserve">ECRC proceeding, the Commission has set a hearing in this docket for November 2 – 4, 2021. </w:t>
      </w:r>
      <w:r w:rsidR="00442FB3">
        <w:t>O</w:t>
      </w:r>
      <w:r w:rsidR="00DA22F3">
        <w:t xml:space="preserve">rder Nos. PSC-2021-0078-PCO-EI </w:t>
      </w:r>
      <w:r w:rsidR="00442FB3">
        <w:t>and PSC-2021-0210-PCO-EI set forth the procedural requirements for all parties.</w:t>
      </w:r>
      <w:r>
        <w:t xml:space="preserve"> </w:t>
      </w:r>
    </w:p>
    <w:p w:rsidR="009A5D52" w:rsidRDefault="009A5D52" w:rsidP="009A5D52">
      <w:pPr>
        <w:jc w:val="both"/>
      </w:pPr>
    </w:p>
    <w:p w:rsidR="009A5D52" w:rsidRPr="00173CF1" w:rsidRDefault="009A5D52" w:rsidP="009A5D52">
      <w:pPr>
        <w:jc w:val="both"/>
        <w:rPr>
          <w:u w:val="single"/>
        </w:rPr>
      </w:pPr>
      <w:r w:rsidRPr="00173CF1">
        <w:rPr>
          <w:u w:val="single"/>
        </w:rPr>
        <w:t>Petition for Intervention</w:t>
      </w:r>
    </w:p>
    <w:p w:rsidR="009A5D52" w:rsidRDefault="009A5D52" w:rsidP="009A5D52">
      <w:pPr>
        <w:jc w:val="both"/>
      </w:pPr>
    </w:p>
    <w:p w:rsidR="00680B3D" w:rsidRPr="00DF5EB3" w:rsidRDefault="002373AF" w:rsidP="00680B3D">
      <w:pPr>
        <w:ind w:firstLine="720"/>
        <w:jc w:val="both"/>
      </w:pPr>
      <w:r>
        <w:t>On</w:t>
      </w:r>
      <w:r w:rsidR="009A5D52">
        <w:t xml:space="preserve"> May 17, 2021, Nucor Steel Florida, Inc. (Nucor)</w:t>
      </w:r>
      <w:r w:rsidR="009A5D52" w:rsidRPr="00EB5771">
        <w:t xml:space="preserve"> </w:t>
      </w:r>
      <w:r w:rsidR="00680B3D">
        <w:t>fi</w:t>
      </w:r>
      <w:r w:rsidR="00680B3D" w:rsidRPr="00DF5EB3">
        <w:t>led its Petition for Intervention. In its Petition, Nucor states that it owns and operates a steel production facility located within D</w:t>
      </w:r>
      <w:r>
        <w:t>uke Energy Florida, LLC’</w:t>
      </w:r>
      <w:r w:rsidR="00680B3D" w:rsidRPr="00DF5EB3">
        <w:t>s</w:t>
      </w:r>
      <w:r>
        <w:t xml:space="preserve"> (DEF)</w:t>
      </w:r>
      <w:r w:rsidR="00680B3D" w:rsidRPr="00DF5EB3">
        <w:t xml:space="preserve"> electric service territory. Nucor explains that it purchases substantial amounts of electric energy from DEF to power its steel making operations. Nucor continues that the outcome of the </w:t>
      </w:r>
      <w:r w:rsidR="00680B3D">
        <w:t>ECRC</w:t>
      </w:r>
      <w:r w:rsidR="00680B3D" w:rsidRPr="00DF5EB3">
        <w:t xml:space="preserve"> proceeding can affect the rates paid by DEF customers, and because Nucor purchases substantial amounts of electric energy from DEF, the outcome of this proceeding may adversely affect Nucor’s interests. Nucor therefore argues that because its substantial interests may be affected by the </w:t>
      </w:r>
      <w:r w:rsidR="00680B3D">
        <w:t>ECRC</w:t>
      </w:r>
      <w:r w:rsidR="00680B3D" w:rsidRPr="00DF5EB3">
        <w:t xml:space="preserve"> proceeding, </w:t>
      </w:r>
      <w:r w:rsidR="00680B3D">
        <w:t>it</w:t>
      </w:r>
      <w:r w:rsidR="00680B3D" w:rsidRPr="00DF5EB3">
        <w:t xml:space="preserve"> should be granted intervention. Nucor’s Petition is unopposed.</w:t>
      </w:r>
      <w:r w:rsidR="00680B3D">
        <w:t xml:space="preserve"> No written responses were filed regarding the Petition, and the time for doing so has expired.</w:t>
      </w:r>
      <w:r w:rsidR="00680B3D" w:rsidRPr="00DF5EB3">
        <w:t xml:space="preserve"> </w:t>
      </w:r>
    </w:p>
    <w:p w:rsidR="009A5D52" w:rsidRDefault="009A5D52" w:rsidP="00680B3D">
      <w:pPr>
        <w:ind w:firstLine="720"/>
        <w:jc w:val="both"/>
      </w:pPr>
    </w:p>
    <w:p w:rsidR="009A5D52" w:rsidRPr="00173CF1" w:rsidRDefault="00680B3D" w:rsidP="009A5D52">
      <w:pPr>
        <w:jc w:val="both"/>
        <w:rPr>
          <w:u w:val="single"/>
        </w:rPr>
      </w:pPr>
      <w:r>
        <w:rPr>
          <w:u w:val="single"/>
        </w:rPr>
        <w:t>Standard</w:t>
      </w:r>
      <w:r w:rsidR="009A5D52" w:rsidRPr="00173CF1">
        <w:rPr>
          <w:u w:val="single"/>
        </w:rPr>
        <w:t xml:space="preserve"> for Intervention</w:t>
      </w:r>
    </w:p>
    <w:p w:rsidR="009A5D52" w:rsidRDefault="009A5D52" w:rsidP="009A5D52">
      <w:pPr>
        <w:jc w:val="both"/>
      </w:pPr>
    </w:p>
    <w:p w:rsidR="00680B3D" w:rsidRPr="001005D9" w:rsidRDefault="00680B3D" w:rsidP="00680B3D">
      <w:pPr>
        <w:ind w:firstLine="720"/>
        <w:jc w:val="both"/>
      </w:pPr>
      <w:r w:rsidRPr="001005D9">
        <w:t>Pursuant to Rule 28-106.205, Florida Administrative Code (F.A.C.), persons, other than the original parties to a pending proceeding, who have a substantial interest in the proceeding and who desire to become parties ma</w:t>
      </w:r>
      <w:r>
        <w:t xml:space="preserve">y move for leave to intervene. </w:t>
      </w:r>
      <w:r w:rsidRPr="001005D9">
        <w:t xml:space="preserve">Motions for leave to intervene must be filed at least twenty (20) days before the final hearing, must comply with Rule 28-106.204(3), F.A.C., and must include allegations sufficient to demonstrate that the </w:t>
      </w:r>
      <w:r w:rsidR="00C41746">
        <w:t>interveno</w:t>
      </w:r>
      <w:r w:rsidR="00C41746" w:rsidRPr="001005D9">
        <w:t>r</w:t>
      </w:r>
      <w:r w:rsidRPr="001005D9">
        <w:t xml:space="preserve">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680B3D" w:rsidRPr="001005D9" w:rsidRDefault="00680B3D" w:rsidP="00680B3D">
      <w:pPr>
        <w:ind w:firstLine="720"/>
        <w:jc w:val="both"/>
      </w:pPr>
      <w:r w:rsidRPr="001005D9">
        <w:t xml:space="preserve">To have standing, the intervenor must meet the two-prong standing test set forth in </w:t>
      </w:r>
      <w:r w:rsidRPr="00E42782">
        <w:rPr>
          <w:i/>
        </w:rPr>
        <w:t>Agrico Chemical Company v. Department of Environmental Regulation</w:t>
      </w:r>
      <w:r>
        <w:t xml:space="preserve">, 406 So. 2d 478, 482 (Fla. 2d DCA 1981).  </w:t>
      </w:r>
      <w:r w:rsidRPr="001005D9">
        <w:t>The intervenor must show that (1) he will suffer injury in fact that is of sufficient immediacy to entitle him to a Section 120.57, F.S., hearing, and (2) the substantial injury is of a type or nature that the proceeding is design</w:t>
      </w:r>
      <w:r>
        <w:t>ed to protect.</w:t>
      </w:r>
      <w:r w:rsidRPr="001005D9">
        <w:t xml:space="preserve"> The first aspect of the test </w:t>
      </w:r>
      <w:r w:rsidRPr="001005D9">
        <w:lastRenderedPageBreak/>
        <w:t>deals with the degree of injury. The second deals with the nature of the injury.</w:t>
      </w:r>
      <w:r>
        <w:t xml:space="preserve"> </w:t>
      </w:r>
      <w:r w:rsidRPr="001005D9">
        <w:t xml:space="preserve">The "injury in fact" must be both real and immediate and </w:t>
      </w:r>
      <w:r>
        <w:t>not speculative or conjectural.</w:t>
      </w:r>
      <w:r w:rsidRPr="001005D9">
        <w:t xml:space="preserve"> </w:t>
      </w:r>
      <w:r w:rsidRPr="001005D9">
        <w:rPr>
          <w:i/>
          <w:iCs/>
        </w:rPr>
        <w:t>International Jai-Alai Players Assn. v. Florida Pari-Mutuel Commission</w:t>
      </w:r>
      <w:r w:rsidRPr="001005D9">
        <w:t xml:space="preserve">, 561 So. 2d 1224, 1225-26 (Fla. 3d DCA 1990).  </w:t>
      </w:r>
      <w:r w:rsidRPr="001005D9">
        <w:rPr>
          <w:i/>
          <w:iCs/>
        </w:rPr>
        <w:t>See also Village Park Mobile Home Assn., Inc. v. State Dept. of Business Regulation</w:t>
      </w:r>
      <w:r w:rsidRPr="001005D9">
        <w:t xml:space="preserve">, 506 So. 2d 426, 434 (Fla. 1st DCA 1987), </w:t>
      </w:r>
      <w:r w:rsidRPr="001005D9">
        <w:rPr>
          <w:i/>
          <w:iCs/>
        </w:rPr>
        <w:t>rev. den.</w:t>
      </w:r>
      <w:r w:rsidRPr="001005D9">
        <w:t>, 513 So. 2d 1063 (Fla. 1987) (speculation on the possible occurrence of injurious events is too remote).</w:t>
      </w:r>
    </w:p>
    <w:p w:rsidR="009A5D52" w:rsidRDefault="009A5D52" w:rsidP="009A5D52">
      <w:pPr>
        <w:ind w:firstLine="720"/>
        <w:jc w:val="both"/>
      </w:pPr>
    </w:p>
    <w:p w:rsidR="002143A8" w:rsidRPr="00A90DDD" w:rsidRDefault="002143A8" w:rsidP="002143A8">
      <w:pPr>
        <w:jc w:val="both"/>
        <w:rPr>
          <w:u w:val="single"/>
        </w:rPr>
      </w:pPr>
      <w:r w:rsidRPr="00A90DDD">
        <w:rPr>
          <w:u w:val="single"/>
        </w:rPr>
        <w:t>Analysis &amp; Ruling</w:t>
      </w:r>
    </w:p>
    <w:p w:rsidR="002143A8" w:rsidRPr="00A90DDD" w:rsidRDefault="002143A8" w:rsidP="002143A8">
      <w:pPr>
        <w:ind w:firstLine="720"/>
        <w:jc w:val="both"/>
      </w:pPr>
    </w:p>
    <w:p w:rsidR="002143A8" w:rsidRPr="00A90DDD" w:rsidRDefault="002143A8" w:rsidP="002143A8">
      <w:pPr>
        <w:ind w:firstLine="720"/>
        <w:jc w:val="both"/>
      </w:pPr>
      <w:r w:rsidRPr="00A90DDD">
        <w:t xml:space="preserve">Based on the above representations, it appears </w:t>
      </w:r>
      <w:r>
        <w:t xml:space="preserve">that Nucor has met the </w:t>
      </w:r>
      <w:r w:rsidRPr="00A90DDD">
        <w:t xml:space="preserve">standing requirements of </w:t>
      </w:r>
      <w:r>
        <w:rPr>
          <w:i/>
        </w:rPr>
        <w:t xml:space="preserve">Agrico </w:t>
      </w:r>
      <w:r w:rsidRPr="00A90DDD">
        <w:t xml:space="preserve">as stated above. As to the first prong, </w:t>
      </w:r>
      <w:r>
        <w:t xml:space="preserve">Nucor </w:t>
      </w:r>
      <w:r w:rsidRPr="001005D9">
        <w:t>is subject to DEF’s</w:t>
      </w:r>
      <w:r>
        <w:t xml:space="preserve"> electric rates, and </w:t>
      </w:r>
      <w:r w:rsidRPr="00C073B1">
        <w:t xml:space="preserve">the amount it pays in electric rates may be affected by this proceeding. </w:t>
      </w:r>
      <w:r>
        <w:t>Nucor</w:t>
      </w:r>
      <w:r w:rsidRPr="00C073B1">
        <w:t xml:space="preserve"> meets the second prong of </w:t>
      </w:r>
      <w:r w:rsidRPr="00E42782">
        <w:rPr>
          <w:i/>
        </w:rPr>
        <w:t>Agrico</w:t>
      </w:r>
      <w:r>
        <w:t xml:space="preserve"> because the ECRC proceeding </w:t>
      </w:r>
      <w:r w:rsidRPr="001005D9">
        <w:t xml:space="preserve">will address </w:t>
      </w:r>
      <w:r>
        <w:t xml:space="preserve">DEF’s recovery of costs associated with its </w:t>
      </w:r>
      <w:r w:rsidR="002373AF">
        <w:t>environmental</w:t>
      </w:r>
      <w:r>
        <w:t xml:space="preserve"> conservation programs, </w:t>
      </w:r>
      <w:r w:rsidRPr="001005D9">
        <w:t xml:space="preserve">which </w:t>
      </w:r>
      <w:r>
        <w:t xml:space="preserve">can </w:t>
      </w:r>
      <w:r w:rsidRPr="001005D9">
        <w:t xml:space="preserve">affect </w:t>
      </w:r>
      <w:r>
        <w:t>Nucor’s interests as a customer</w:t>
      </w:r>
      <w:r w:rsidRPr="001005D9">
        <w:t>.</w:t>
      </w:r>
      <w:r>
        <w:t xml:space="preserve"> </w:t>
      </w:r>
      <w:r w:rsidRPr="001005D9">
        <w:t xml:space="preserve">Therefore, </w:t>
      </w:r>
      <w:r>
        <w:t>Nucor’s</w:t>
      </w:r>
      <w:r w:rsidRPr="001005D9">
        <w:t xml:space="preserve"> Petition shall be granted with respect to </w:t>
      </w:r>
      <w:r>
        <w:t>its</w:t>
      </w:r>
      <w:r w:rsidRPr="001005D9">
        <w:t xml:space="preserve"> intervention in this proceeding </w:t>
      </w:r>
      <w:r>
        <w:t>as a customer</w:t>
      </w:r>
      <w:r w:rsidRPr="001005D9">
        <w:t xml:space="preserve"> of DEF</w:t>
      </w:r>
      <w:r>
        <w:t>.</w:t>
      </w:r>
    </w:p>
    <w:p w:rsidR="002143A8" w:rsidRDefault="002143A8" w:rsidP="002143A8">
      <w:pPr>
        <w:ind w:firstLine="720"/>
        <w:jc w:val="both"/>
      </w:pPr>
    </w:p>
    <w:p w:rsidR="002143A8" w:rsidRPr="00826D5E" w:rsidRDefault="002143A8" w:rsidP="002143A8">
      <w:pPr>
        <w:jc w:val="both"/>
      </w:pPr>
      <w:r w:rsidRPr="00826D5E">
        <w:tab/>
      </w:r>
      <w:r>
        <w:t>Based on the above representations,</w:t>
      </w:r>
      <w:r w:rsidRPr="00826D5E">
        <w:t xml:space="preserve"> it is</w:t>
      </w:r>
    </w:p>
    <w:p w:rsidR="002143A8" w:rsidRPr="00826D5E" w:rsidRDefault="002143A8" w:rsidP="002143A8">
      <w:pPr>
        <w:jc w:val="both"/>
      </w:pPr>
    </w:p>
    <w:p w:rsidR="002143A8" w:rsidRDefault="002143A8" w:rsidP="002143A8">
      <w:pPr>
        <w:ind w:firstLine="720"/>
        <w:jc w:val="both"/>
      </w:pPr>
      <w:r>
        <w:t>ORDERED by Commissioner Andrew Giles Fay, as Prehearing Officer, that the Petition to Intervene filed by Nucor Steel Florida, Inc. is hereby granted as set forth in the body of this Order. It is further</w:t>
      </w:r>
    </w:p>
    <w:p w:rsidR="002143A8" w:rsidRDefault="002143A8" w:rsidP="002143A8">
      <w:pPr>
        <w:ind w:firstLine="720"/>
        <w:jc w:val="both"/>
      </w:pPr>
    </w:p>
    <w:p w:rsidR="002143A8" w:rsidRDefault="002143A8" w:rsidP="002143A8">
      <w:pPr>
        <w:ind w:firstLine="720"/>
        <w:jc w:val="both"/>
      </w:pPr>
      <w:r>
        <w:t xml:space="preserve">ORDERED that Nucor Steel Florida, Inc. takes the case as it finds it. It is further </w:t>
      </w:r>
    </w:p>
    <w:p w:rsidR="002143A8" w:rsidRDefault="002143A8" w:rsidP="002143A8">
      <w:pPr>
        <w:ind w:firstLine="720"/>
        <w:jc w:val="both"/>
      </w:pPr>
    </w:p>
    <w:p w:rsidR="002143A8" w:rsidRDefault="002143A8" w:rsidP="002143A8">
      <w:pPr>
        <w:ind w:firstLine="720"/>
        <w:jc w:val="both"/>
      </w:pPr>
      <w:r>
        <w:t>ORDERED that all parties to this proceeding shall furnish copies of all testimony, exhibits, pleadings, and other documents which may hereinafter be filed in this proceeding to:</w:t>
      </w:r>
    </w:p>
    <w:p w:rsidR="002143A8" w:rsidRDefault="002143A8" w:rsidP="002143A8">
      <w:pPr>
        <w:ind w:firstLine="720"/>
        <w:jc w:val="both"/>
      </w:pPr>
    </w:p>
    <w:p w:rsidR="002143A8" w:rsidRDefault="002143A8" w:rsidP="002143A8">
      <w:pPr>
        <w:ind w:firstLine="720"/>
        <w:jc w:val="center"/>
      </w:pPr>
    </w:p>
    <w:p w:rsidR="002143A8" w:rsidRPr="00CA5539" w:rsidRDefault="002143A8" w:rsidP="002143A8">
      <w:pPr>
        <w:autoSpaceDE w:val="0"/>
        <w:autoSpaceDN w:val="0"/>
        <w:adjustRightInd w:val="0"/>
        <w:ind w:left="720"/>
        <w:jc w:val="center"/>
        <w:rPr>
          <w:color w:val="090909"/>
        </w:rPr>
      </w:pPr>
      <w:r w:rsidRPr="00CA5539">
        <w:rPr>
          <w:color w:val="090909"/>
        </w:rPr>
        <w:t>Peter J</w:t>
      </w:r>
      <w:r w:rsidRPr="00CA5539">
        <w:rPr>
          <w:color w:val="242424"/>
        </w:rPr>
        <w:t xml:space="preserve">. </w:t>
      </w:r>
      <w:r w:rsidRPr="00CA5539">
        <w:rPr>
          <w:color w:val="090909"/>
        </w:rPr>
        <w:t>Mattheis</w:t>
      </w:r>
    </w:p>
    <w:p w:rsidR="002143A8" w:rsidRPr="00CA5539" w:rsidRDefault="002143A8" w:rsidP="002143A8">
      <w:pPr>
        <w:autoSpaceDE w:val="0"/>
        <w:autoSpaceDN w:val="0"/>
        <w:adjustRightInd w:val="0"/>
        <w:ind w:left="720"/>
        <w:jc w:val="center"/>
        <w:rPr>
          <w:color w:val="090909"/>
        </w:rPr>
      </w:pPr>
      <w:r w:rsidRPr="00CA5539">
        <w:rPr>
          <w:color w:val="090909"/>
        </w:rPr>
        <w:t>Michael K</w:t>
      </w:r>
      <w:r w:rsidRPr="00CA5539">
        <w:rPr>
          <w:color w:val="242424"/>
        </w:rPr>
        <w:t xml:space="preserve">. </w:t>
      </w:r>
      <w:r w:rsidRPr="00CA5539">
        <w:rPr>
          <w:color w:val="090909"/>
        </w:rPr>
        <w:t>Lavanga</w:t>
      </w:r>
    </w:p>
    <w:p w:rsidR="002143A8" w:rsidRPr="00CA5539" w:rsidRDefault="002143A8" w:rsidP="002143A8">
      <w:pPr>
        <w:autoSpaceDE w:val="0"/>
        <w:autoSpaceDN w:val="0"/>
        <w:adjustRightInd w:val="0"/>
        <w:ind w:left="720"/>
        <w:jc w:val="center"/>
        <w:rPr>
          <w:color w:val="090909"/>
        </w:rPr>
      </w:pPr>
      <w:r w:rsidRPr="00CA5539">
        <w:rPr>
          <w:color w:val="090909"/>
        </w:rPr>
        <w:t>Stone Matthei</w:t>
      </w:r>
      <w:r w:rsidRPr="00CA5539">
        <w:rPr>
          <w:color w:val="242424"/>
        </w:rPr>
        <w:t xml:space="preserve">s </w:t>
      </w:r>
      <w:r w:rsidRPr="00CA5539">
        <w:rPr>
          <w:color w:val="090909"/>
        </w:rPr>
        <w:t>Xenopoulo</w:t>
      </w:r>
      <w:r w:rsidRPr="00CA5539">
        <w:rPr>
          <w:color w:val="242424"/>
        </w:rPr>
        <w:t xml:space="preserve">s </w:t>
      </w:r>
      <w:r w:rsidRPr="00CA5539">
        <w:rPr>
          <w:color w:val="090909"/>
        </w:rPr>
        <w:t>&amp; Brew</w:t>
      </w:r>
      <w:r w:rsidRPr="00CA5539">
        <w:rPr>
          <w:color w:val="242424"/>
        </w:rPr>
        <w:t xml:space="preserve">, </w:t>
      </w:r>
      <w:r w:rsidRPr="00CA5539">
        <w:rPr>
          <w:color w:val="090909"/>
        </w:rPr>
        <w:t>PC</w:t>
      </w:r>
    </w:p>
    <w:p w:rsidR="002143A8" w:rsidRPr="00CA5539" w:rsidRDefault="002143A8" w:rsidP="002143A8">
      <w:pPr>
        <w:autoSpaceDE w:val="0"/>
        <w:autoSpaceDN w:val="0"/>
        <w:adjustRightInd w:val="0"/>
        <w:ind w:left="720"/>
        <w:jc w:val="center"/>
        <w:rPr>
          <w:color w:val="090909"/>
        </w:rPr>
      </w:pPr>
      <w:r w:rsidRPr="00CA5539">
        <w:rPr>
          <w:color w:val="090909"/>
        </w:rPr>
        <w:t>1025 Thomas Jefferson Street</w:t>
      </w:r>
      <w:r w:rsidRPr="00CA5539">
        <w:rPr>
          <w:color w:val="242424"/>
        </w:rPr>
        <w:t xml:space="preserve">, </w:t>
      </w:r>
      <w:r w:rsidRPr="00CA5539">
        <w:rPr>
          <w:color w:val="090909"/>
        </w:rPr>
        <w:t>NW</w:t>
      </w:r>
    </w:p>
    <w:p w:rsidR="002143A8" w:rsidRPr="00CA5539" w:rsidRDefault="002143A8" w:rsidP="002143A8">
      <w:pPr>
        <w:autoSpaceDE w:val="0"/>
        <w:autoSpaceDN w:val="0"/>
        <w:adjustRightInd w:val="0"/>
        <w:ind w:left="720"/>
        <w:jc w:val="center"/>
        <w:rPr>
          <w:color w:val="090909"/>
        </w:rPr>
      </w:pPr>
      <w:r w:rsidRPr="00CA5539">
        <w:rPr>
          <w:color w:val="090909"/>
        </w:rPr>
        <w:t>Suite 800 We</w:t>
      </w:r>
      <w:r w:rsidRPr="00CA5539">
        <w:rPr>
          <w:color w:val="242424"/>
        </w:rPr>
        <w:t>s</w:t>
      </w:r>
      <w:r w:rsidRPr="00CA5539">
        <w:rPr>
          <w:color w:val="090909"/>
        </w:rPr>
        <w:t>t</w:t>
      </w:r>
    </w:p>
    <w:p w:rsidR="002143A8" w:rsidRPr="00CA5539" w:rsidRDefault="002143A8" w:rsidP="002143A8">
      <w:pPr>
        <w:autoSpaceDE w:val="0"/>
        <w:autoSpaceDN w:val="0"/>
        <w:adjustRightInd w:val="0"/>
        <w:ind w:left="720"/>
        <w:jc w:val="center"/>
        <w:rPr>
          <w:color w:val="090909"/>
        </w:rPr>
      </w:pPr>
      <w:r w:rsidRPr="00CA5539">
        <w:rPr>
          <w:color w:val="090909"/>
        </w:rPr>
        <w:t>Wa</w:t>
      </w:r>
      <w:r w:rsidRPr="00CA5539">
        <w:rPr>
          <w:color w:val="242424"/>
        </w:rPr>
        <w:t>s</w:t>
      </w:r>
      <w:r w:rsidRPr="00CA5539">
        <w:rPr>
          <w:color w:val="090909"/>
        </w:rPr>
        <w:t>hington</w:t>
      </w:r>
      <w:r w:rsidRPr="00CA5539">
        <w:rPr>
          <w:color w:val="242424"/>
        </w:rPr>
        <w:t xml:space="preserve">, </w:t>
      </w:r>
      <w:r w:rsidRPr="00CA5539">
        <w:rPr>
          <w:color w:val="090909"/>
        </w:rPr>
        <w:t>DC 20007-5201</w:t>
      </w:r>
    </w:p>
    <w:p w:rsidR="002143A8" w:rsidRPr="00CA5539" w:rsidRDefault="002143A8" w:rsidP="002143A8">
      <w:pPr>
        <w:autoSpaceDE w:val="0"/>
        <w:autoSpaceDN w:val="0"/>
        <w:adjustRightInd w:val="0"/>
        <w:ind w:left="720"/>
        <w:jc w:val="center"/>
        <w:rPr>
          <w:color w:val="090909"/>
        </w:rPr>
      </w:pPr>
      <w:r w:rsidRPr="00CA5539">
        <w:rPr>
          <w:color w:val="090909"/>
        </w:rPr>
        <w:t>Phone</w:t>
      </w:r>
      <w:r w:rsidRPr="00CA5539">
        <w:rPr>
          <w:color w:val="242424"/>
        </w:rPr>
        <w:t xml:space="preserve">: </w:t>
      </w:r>
      <w:r w:rsidRPr="00CA5539">
        <w:rPr>
          <w:color w:val="090909"/>
        </w:rPr>
        <w:t>(202) 342-0800</w:t>
      </w:r>
    </w:p>
    <w:p w:rsidR="002143A8" w:rsidRPr="00CA5539" w:rsidRDefault="002143A8" w:rsidP="002143A8">
      <w:pPr>
        <w:autoSpaceDE w:val="0"/>
        <w:autoSpaceDN w:val="0"/>
        <w:adjustRightInd w:val="0"/>
        <w:ind w:left="720"/>
        <w:jc w:val="center"/>
        <w:rPr>
          <w:color w:val="090909"/>
        </w:rPr>
      </w:pPr>
      <w:r w:rsidRPr="00CA5539">
        <w:rPr>
          <w:color w:val="090909"/>
        </w:rPr>
        <w:t>Fax</w:t>
      </w:r>
      <w:r w:rsidRPr="00CA5539">
        <w:rPr>
          <w:color w:val="242424"/>
        </w:rPr>
        <w:t xml:space="preserve">: </w:t>
      </w:r>
      <w:r w:rsidRPr="00CA5539">
        <w:rPr>
          <w:color w:val="090909"/>
        </w:rPr>
        <w:t>(202) 342-0807</w:t>
      </w:r>
    </w:p>
    <w:p w:rsidR="002143A8" w:rsidRPr="00CA5539" w:rsidRDefault="00A04D85" w:rsidP="002143A8">
      <w:pPr>
        <w:autoSpaceDE w:val="0"/>
        <w:autoSpaceDN w:val="0"/>
        <w:adjustRightInd w:val="0"/>
        <w:ind w:left="720"/>
        <w:jc w:val="center"/>
        <w:rPr>
          <w:color w:val="000000"/>
        </w:rPr>
      </w:pPr>
      <w:hyperlink r:id="rId6" w:history="1">
        <w:r w:rsidR="002143A8" w:rsidRPr="00CA5539">
          <w:rPr>
            <w:rStyle w:val="Hyperlink"/>
          </w:rPr>
          <w:t>pjm@smxblaw.com</w:t>
        </w:r>
      </w:hyperlink>
    </w:p>
    <w:p w:rsidR="002143A8" w:rsidRPr="00CA5539" w:rsidRDefault="00A04D85" w:rsidP="002143A8">
      <w:pPr>
        <w:autoSpaceDE w:val="0"/>
        <w:autoSpaceDN w:val="0"/>
        <w:adjustRightInd w:val="0"/>
        <w:ind w:left="720"/>
        <w:jc w:val="center"/>
        <w:rPr>
          <w:color w:val="000000"/>
        </w:rPr>
      </w:pPr>
      <w:hyperlink r:id="rId7" w:history="1">
        <w:r w:rsidR="002143A8" w:rsidRPr="00CA5539">
          <w:rPr>
            <w:rStyle w:val="Hyperlink"/>
          </w:rPr>
          <w:t>mkl@smxblaw.com</w:t>
        </w:r>
      </w:hyperlink>
    </w:p>
    <w:p w:rsidR="002143A8" w:rsidRDefault="002143A8" w:rsidP="002143A8">
      <w:pPr>
        <w:jc w:val="both"/>
      </w:pPr>
    </w:p>
    <w:p w:rsidR="009A5D52" w:rsidRDefault="009A5D52" w:rsidP="009A5D52">
      <w:pPr>
        <w:jc w:val="both"/>
      </w:pPr>
    </w:p>
    <w:p w:rsidR="009A5D52" w:rsidRDefault="009A5D52" w:rsidP="009A5D52">
      <w:pPr>
        <w:keepNext/>
        <w:keepLines/>
        <w:jc w:val="both"/>
      </w:pPr>
      <w:r>
        <w:lastRenderedPageBreak/>
        <w:tab/>
        <w:t xml:space="preserve">By ORDER of Commissioner Andrew Giles Fay, as Prehearing Officer, this </w:t>
      </w:r>
      <w:bookmarkStart w:id="5" w:name="replaceDate"/>
      <w:bookmarkEnd w:id="5"/>
      <w:r w:rsidR="00584138">
        <w:rPr>
          <w:u w:val="single"/>
        </w:rPr>
        <w:t>19th</w:t>
      </w:r>
      <w:r w:rsidR="00584138">
        <w:t xml:space="preserve"> day of </w:t>
      </w:r>
      <w:r w:rsidR="00584138">
        <w:rPr>
          <w:u w:val="single"/>
        </w:rPr>
        <w:t>July</w:t>
      </w:r>
      <w:r w:rsidR="00584138">
        <w:t xml:space="preserve">, </w:t>
      </w:r>
      <w:r w:rsidR="00584138">
        <w:rPr>
          <w:u w:val="single"/>
        </w:rPr>
        <w:t>2021</w:t>
      </w:r>
      <w:r w:rsidR="00584138">
        <w:t>.</w:t>
      </w:r>
    </w:p>
    <w:p w:rsidR="00584138" w:rsidRPr="00584138" w:rsidRDefault="00584138" w:rsidP="009A5D5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A5D52" w:rsidTr="009A5D52">
        <w:tc>
          <w:tcPr>
            <w:tcW w:w="720" w:type="dxa"/>
            <w:shd w:val="clear" w:color="auto" w:fill="auto"/>
          </w:tcPr>
          <w:p w:rsidR="009A5D52" w:rsidRDefault="009A5D52" w:rsidP="009A5D52">
            <w:pPr>
              <w:keepNext/>
              <w:keepLines/>
              <w:jc w:val="both"/>
            </w:pPr>
            <w:bookmarkStart w:id="6" w:name="bkmrkSignature" w:colFirst="0" w:colLast="0"/>
          </w:p>
        </w:tc>
        <w:tc>
          <w:tcPr>
            <w:tcW w:w="4320" w:type="dxa"/>
            <w:tcBorders>
              <w:bottom w:val="single" w:sz="4" w:space="0" w:color="auto"/>
            </w:tcBorders>
            <w:shd w:val="clear" w:color="auto" w:fill="auto"/>
          </w:tcPr>
          <w:p w:rsidR="009A5D52" w:rsidRDefault="00584138" w:rsidP="009A5D52">
            <w:pPr>
              <w:keepNext/>
              <w:keepLines/>
              <w:jc w:val="both"/>
            </w:pPr>
            <w:r>
              <w:t>/s/ Andrew Giles Fay</w:t>
            </w:r>
            <w:bookmarkStart w:id="7" w:name="_GoBack"/>
            <w:bookmarkEnd w:id="7"/>
          </w:p>
        </w:tc>
      </w:tr>
      <w:bookmarkEnd w:id="6"/>
      <w:tr w:rsidR="009A5D52" w:rsidTr="009A5D52">
        <w:tc>
          <w:tcPr>
            <w:tcW w:w="720" w:type="dxa"/>
            <w:shd w:val="clear" w:color="auto" w:fill="auto"/>
          </w:tcPr>
          <w:p w:rsidR="009A5D52" w:rsidRDefault="009A5D52" w:rsidP="009A5D52">
            <w:pPr>
              <w:keepNext/>
              <w:keepLines/>
              <w:jc w:val="both"/>
            </w:pPr>
          </w:p>
        </w:tc>
        <w:tc>
          <w:tcPr>
            <w:tcW w:w="4320" w:type="dxa"/>
            <w:tcBorders>
              <w:top w:val="single" w:sz="4" w:space="0" w:color="auto"/>
            </w:tcBorders>
            <w:shd w:val="clear" w:color="auto" w:fill="auto"/>
          </w:tcPr>
          <w:p w:rsidR="009A5D52" w:rsidRDefault="009A5D52" w:rsidP="009A5D52">
            <w:pPr>
              <w:keepNext/>
              <w:keepLines/>
              <w:jc w:val="both"/>
            </w:pPr>
            <w:r>
              <w:t>ANDREW GILES FAY</w:t>
            </w:r>
          </w:p>
          <w:p w:rsidR="009A5D52" w:rsidRDefault="009A5D52" w:rsidP="009A5D52">
            <w:pPr>
              <w:keepNext/>
              <w:keepLines/>
              <w:jc w:val="both"/>
            </w:pPr>
            <w:r>
              <w:t>Commissioner and Prehearing Officer</w:t>
            </w:r>
          </w:p>
        </w:tc>
      </w:tr>
    </w:tbl>
    <w:p w:rsidR="009A5D52" w:rsidRDefault="009A5D52" w:rsidP="009A5D52">
      <w:pPr>
        <w:pStyle w:val="OrderSigInfo"/>
        <w:keepNext/>
        <w:keepLines/>
      </w:pPr>
      <w:r>
        <w:t>Florida Public Service Commission</w:t>
      </w:r>
    </w:p>
    <w:p w:rsidR="009A5D52" w:rsidRDefault="009A5D52" w:rsidP="009A5D52">
      <w:pPr>
        <w:pStyle w:val="OrderSigInfo"/>
        <w:keepNext/>
        <w:keepLines/>
      </w:pPr>
      <w:r>
        <w:t>2540 Shumard Oak Boulevard</w:t>
      </w:r>
    </w:p>
    <w:p w:rsidR="009A5D52" w:rsidRDefault="009A5D52" w:rsidP="009A5D52">
      <w:pPr>
        <w:pStyle w:val="OrderSigInfo"/>
        <w:keepNext/>
        <w:keepLines/>
      </w:pPr>
      <w:r>
        <w:t>Tallahassee, Florida 32399</w:t>
      </w:r>
    </w:p>
    <w:p w:rsidR="009A5D52" w:rsidRDefault="009A5D52" w:rsidP="009A5D52">
      <w:pPr>
        <w:pStyle w:val="OrderSigInfo"/>
        <w:keepNext/>
        <w:keepLines/>
      </w:pPr>
      <w:r>
        <w:t>(850) 413</w:t>
      </w:r>
      <w:r>
        <w:noBreakHyphen/>
        <w:t>6770</w:t>
      </w:r>
    </w:p>
    <w:p w:rsidR="009A5D52" w:rsidRDefault="009A5D52" w:rsidP="009A5D52">
      <w:pPr>
        <w:pStyle w:val="OrderSigInfo"/>
        <w:keepNext/>
        <w:keepLines/>
      </w:pPr>
      <w:r>
        <w:t>www.floridapsc.com</w:t>
      </w:r>
    </w:p>
    <w:p w:rsidR="009A5D52" w:rsidRDefault="009A5D52" w:rsidP="009A5D52">
      <w:pPr>
        <w:pStyle w:val="OrderSigInfo"/>
        <w:keepNext/>
        <w:keepLines/>
      </w:pPr>
    </w:p>
    <w:p w:rsidR="009A5D52" w:rsidRDefault="009A5D52" w:rsidP="009A5D52">
      <w:pPr>
        <w:pStyle w:val="OrderSigInfo"/>
        <w:keepNext/>
        <w:keepLines/>
      </w:pPr>
      <w:r>
        <w:t>Copies furnished:  A copy of this document is provided to the parties of record at the time of issuance and, if applicable, interested persons.</w:t>
      </w:r>
    </w:p>
    <w:p w:rsidR="009A5D52" w:rsidRDefault="009A5D52" w:rsidP="009A5D52">
      <w:pPr>
        <w:pStyle w:val="OrderBody"/>
        <w:keepNext/>
        <w:keepLines/>
      </w:pPr>
    </w:p>
    <w:p w:rsidR="009A5D52" w:rsidRDefault="009A5D52" w:rsidP="009A5D52">
      <w:pPr>
        <w:keepNext/>
        <w:keepLines/>
        <w:jc w:val="both"/>
      </w:pPr>
    </w:p>
    <w:p w:rsidR="009A5D52" w:rsidRDefault="009A5D52" w:rsidP="009A5D52">
      <w:pPr>
        <w:keepNext/>
        <w:keepLines/>
        <w:jc w:val="both"/>
      </w:pPr>
      <w:r>
        <w:t>AJW</w:t>
      </w:r>
    </w:p>
    <w:p w:rsidR="009A5D52" w:rsidRDefault="009A5D52" w:rsidP="009A5D52">
      <w:pPr>
        <w:jc w:val="both"/>
      </w:pPr>
    </w:p>
    <w:p w:rsidR="009A5D52" w:rsidRDefault="009A5D52" w:rsidP="009A5D52">
      <w:pPr>
        <w:jc w:val="both"/>
      </w:pPr>
    </w:p>
    <w:p w:rsidR="009A5D52" w:rsidRDefault="009A5D52" w:rsidP="009A5D52">
      <w:pPr>
        <w:pStyle w:val="CenterUnderline"/>
      </w:pPr>
      <w:r>
        <w:t>NOTICE OF FURTHER PROCEEDINGS OR JUDICIAL REVIEW</w:t>
      </w:r>
    </w:p>
    <w:p w:rsidR="009A5D52" w:rsidRDefault="009A5D52" w:rsidP="009A5D52">
      <w:pPr>
        <w:pStyle w:val="CenterUnderline"/>
      </w:pPr>
    </w:p>
    <w:p w:rsidR="009A5D52" w:rsidRDefault="009A5D52" w:rsidP="009A5D52">
      <w:pPr>
        <w:pStyle w:val="OrderBody"/>
      </w:pPr>
      <w:r>
        <w:tab/>
        <w:t>The Florida Public Service Commission is required by S</w:t>
      </w:r>
      <w:r w:rsidR="002143A8">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5D52" w:rsidRDefault="009A5D52" w:rsidP="009A5D52">
      <w:pPr>
        <w:pStyle w:val="OrderBody"/>
      </w:pPr>
    </w:p>
    <w:p w:rsidR="009A5D52" w:rsidRDefault="009A5D52" w:rsidP="009A5D52">
      <w:pPr>
        <w:pStyle w:val="OrderBody"/>
      </w:pPr>
      <w:r>
        <w:tab/>
        <w:t>Mediation may be available on a case-by-case basis.  If mediation is conducted, it does not affect a substantially interested person's right to a hearing.</w:t>
      </w:r>
    </w:p>
    <w:p w:rsidR="009A5D52" w:rsidRDefault="009A5D52" w:rsidP="009A5D52">
      <w:pPr>
        <w:pStyle w:val="OrderBody"/>
      </w:pPr>
    </w:p>
    <w:p w:rsidR="009A5D52" w:rsidRDefault="009A5D52" w:rsidP="009A5D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rsidP="009A5D52">
      <w:pPr>
        <w:pStyle w:val="OrderBody"/>
      </w:pP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D52" w:rsidRDefault="009A5D52">
      <w:r>
        <w:separator/>
      </w:r>
    </w:p>
  </w:endnote>
  <w:endnote w:type="continuationSeparator" w:id="0">
    <w:p w:rsidR="009A5D52" w:rsidRDefault="009A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D52" w:rsidRDefault="009A5D52">
      <w:r>
        <w:separator/>
      </w:r>
    </w:p>
  </w:footnote>
  <w:footnote w:type="continuationSeparator" w:id="0">
    <w:p w:rsidR="009A5D52" w:rsidRDefault="009A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8 ">
      <w:r w:rsidR="00F20264">
        <w:t>PSC-2021-0258-PCO-EI</w:t>
      </w:r>
    </w:fldSimple>
  </w:p>
  <w:p w:rsidR="00FA6EFD" w:rsidRDefault="009A5D52">
    <w:pPr>
      <w:pStyle w:val="OrderHeader"/>
    </w:pPr>
    <w:bookmarkStart w:id="8" w:name="HeaderDocketNo"/>
    <w:bookmarkEnd w:id="8"/>
    <w:r>
      <w:t>DOCKET NO. 20210007-EI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4DE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9A5D5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43A8"/>
    <w:rsid w:val="002170E5"/>
    <w:rsid w:val="00220D57"/>
    <w:rsid w:val="0022721A"/>
    <w:rsid w:val="00230BB9"/>
    <w:rsid w:val="002373AF"/>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2FB3"/>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4138"/>
    <w:rsid w:val="00586368"/>
    <w:rsid w:val="005868AA"/>
    <w:rsid w:val="00590845"/>
    <w:rsid w:val="005963C2"/>
    <w:rsid w:val="005A0D69"/>
    <w:rsid w:val="005A31F4"/>
    <w:rsid w:val="005A73EA"/>
    <w:rsid w:val="005B45F7"/>
    <w:rsid w:val="005B63EA"/>
    <w:rsid w:val="005B784F"/>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0B3D"/>
    <w:rsid w:val="00693483"/>
    <w:rsid w:val="006A0BF3"/>
    <w:rsid w:val="006A45D4"/>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5D52"/>
    <w:rsid w:val="009A6B17"/>
    <w:rsid w:val="009B052E"/>
    <w:rsid w:val="009D4C29"/>
    <w:rsid w:val="009E58E9"/>
    <w:rsid w:val="009F6AD2"/>
    <w:rsid w:val="009F7C1B"/>
    <w:rsid w:val="00A00D8D"/>
    <w:rsid w:val="00A01BB6"/>
    <w:rsid w:val="00A04D85"/>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40AC"/>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1746"/>
    <w:rsid w:val="00C44105"/>
    <w:rsid w:val="00C55A33"/>
    <w:rsid w:val="00C64DEC"/>
    <w:rsid w:val="00C66692"/>
    <w:rsid w:val="00C66FA3"/>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22F3"/>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0264"/>
    <w:rsid w:val="00F22B27"/>
    <w:rsid w:val="00F234A7"/>
    <w:rsid w:val="00F23E2C"/>
    <w:rsid w:val="00F277B6"/>
    <w:rsid w:val="00F27DA5"/>
    <w:rsid w:val="00F37E07"/>
    <w:rsid w:val="00F4182A"/>
    <w:rsid w:val="00F54380"/>
    <w:rsid w:val="00F54B47"/>
    <w:rsid w:val="00F61247"/>
    <w:rsid w:val="00F61F61"/>
    <w:rsid w:val="00F63191"/>
    <w:rsid w:val="00F6702E"/>
    <w:rsid w:val="00F70E84"/>
    <w:rsid w:val="00F96A68"/>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A5D52"/>
  </w:style>
  <w:style w:type="character" w:styleId="Hyperlink">
    <w:name w:val="Hyperlink"/>
    <w:basedOn w:val="DefaultParagraphFont"/>
    <w:unhideWhenUsed/>
    <w:rsid w:val="009A5D52"/>
    <w:rPr>
      <w:color w:val="0000FF" w:themeColor="hyperlink"/>
      <w:u w:val="single"/>
    </w:rPr>
  </w:style>
  <w:style w:type="paragraph" w:styleId="BalloonText">
    <w:name w:val="Balloon Text"/>
    <w:basedOn w:val="Normal"/>
    <w:link w:val="BalloonTextChar"/>
    <w:semiHidden/>
    <w:unhideWhenUsed/>
    <w:rsid w:val="00F20264"/>
    <w:rPr>
      <w:rFonts w:ascii="Segoe UI" w:hAnsi="Segoe UI" w:cs="Segoe UI"/>
      <w:sz w:val="18"/>
      <w:szCs w:val="18"/>
    </w:rPr>
  </w:style>
  <w:style w:type="character" w:customStyle="1" w:styleId="BalloonTextChar">
    <w:name w:val="Balloon Text Char"/>
    <w:basedOn w:val="DefaultParagraphFont"/>
    <w:link w:val="BalloonText"/>
    <w:semiHidden/>
    <w:rsid w:val="00F20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kl@smx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jm@smxb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2021-07-19T13:17:00Z</dcterms:created>
  <dcterms:modified xsi:type="dcterms:W3CDTF">2021-07-19T16:06:00Z</dcterms:modified>
</cp:coreProperties>
</file>