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C72F7">
            <w:pPr>
              <w:pStyle w:val="MemoHeading"/>
            </w:pPr>
            <w:bookmarkStart w:id="1" w:name="FilingDate"/>
            <w:r>
              <w:t>July 27</w:t>
            </w:r>
            <w:r w:rsidR="004F634E">
              <w:t>,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F634E" w:rsidRDefault="004F634E">
            <w:pPr>
              <w:pStyle w:val="MemoHeading"/>
            </w:pPr>
            <w:bookmarkStart w:id="2" w:name="From"/>
            <w:r>
              <w:t xml:space="preserve">Division of Accounting and </w:t>
            </w:r>
            <w:r w:rsidR="00D00C07">
              <w:t>Finance (Higgins</w:t>
            </w:r>
            <w:r>
              <w:t>)</w:t>
            </w:r>
          </w:p>
          <w:p w:rsidR="004F634E" w:rsidRDefault="004F634E">
            <w:pPr>
              <w:pStyle w:val="MemoHeading"/>
            </w:pPr>
            <w:r>
              <w:t>Division of Economics (Draper)</w:t>
            </w:r>
          </w:p>
          <w:p w:rsidR="007C0528" w:rsidRDefault="004F634E">
            <w:pPr>
              <w:pStyle w:val="MemoHeading"/>
            </w:pPr>
            <w:r>
              <w:t>Office of the General Counsel (Brownless</w:t>
            </w:r>
            <w:r w:rsidR="00EA0A7A">
              <w:t>, DuVal</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F634E">
            <w:pPr>
              <w:pStyle w:val="MemoHeadingRe"/>
            </w:pPr>
            <w:bookmarkStart w:id="3" w:name="Re"/>
            <w:r>
              <w:t>Docket No. 20210001-EI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33BBF">
            <w:pPr>
              <w:pStyle w:val="MemoHeading"/>
            </w:pPr>
            <w:bookmarkStart w:id="4" w:name="AgendaDate"/>
            <w:r>
              <w:t>08/03</w:t>
            </w:r>
            <w:r w:rsidR="004F634E">
              <w:t>/21</w:t>
            </w:r>
            <w:bookmarkEnd w:id="4"/>
            <w:r w:rsidR="007C0528">
              <w:t xml:space="preserve"> – </w:t>
            </w:r>
            <w:bookmarkStart w:id="5" w:name="PermittedStatus"/>
            <w:r w:rsidR="004F634E">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F634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F634E">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F634E">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F66C2" w:rsidP="0002227A">
            <w:pPr>
              <w:pStyle w:val="MemoHeading"/>
            </w:pPr>
            <w:r>
              <w:t>Recommendation 2B –</w:t>
            </w:r>
            <w:r w:rsidR="0002227A">
              <w:t xml:space="preserve"> Tampa Electric Company</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573906" w:rsidRDefault="00573906" w:rsidP="001239A6">
      <w:pPr>
        <w:pStyle w:val="BodyText"/>
      </w:pPr>
      <w:r w:rsidRPr="003B08AC">
        <w:t xml:space="preserve">On </w:t>
      </w:r>
      <w:r w:rsidR="00156FFC">
        <w:t>July 19</w:t>
      </w:r>
      <w:r w:rsidRPr="003B08AC">
        <w:t xml:space="preserve">, 2021, </w:t>
      </w:r>
      <w:r>
        <w:t>Tampa Electric Company (TECO</w:t>
      </w:r>
      <w:r w:rsidR="00FF66C2">
        <w:t xml:space="preserve"> or Company</w:t>
      </w:r>
      <w:r w:rsidRPr="003B08AC">
        <w:t>)</w:t>
      </w:r>
      <w:r>
        <w:t>,</w:t>
      </w:r>
      <w:r w:rsidRPr="003B08AC">
        <w:t xml:space="preserve"> filed for a mid-course correction (</w:t>
      </w:r>
      <w:r>
        <w:t xml:space="preserve">TECO </w:t>
      </w:r>
      <w:r w:rsidRPr="003B08AC">
        <w:t xml:space="preserve">MCC Petition) of its 2021 fuel cost recovery factors. </w:t>
      </w:r>
      <w:r>
        <w:t>TECO</w:t>
      </w:r>
      <w:r w:rsidRPr="003B08AC">
        <w:t>’s current fuel fac</w:t>
      </w:r>
      <w:r>
        <w:t>tors were approved at the November 3, 2020 Commission Conference.</w:t>
      </w:r>
      <w:r>
        <w:rPr>
          <w:rStyle w:val="FootnoteReference"/>
        </w:rPr>
        <w:footnoteReference w:id="1"/>
      </w:r>
    </w:p>
    <w:p w:rsidR="004F634E" w:rsidRDefault="002F32A9" w:rsidP="001239A6">
      <w:pPr>
        <w:pStyle w:val="BodyText"/>
      </w:pPr>
      <w:r w:rsidRPr="003B08AC">
        <w:t xml:space="preserve">Underlying the approval of </w:t>
      </w:r>
      <w:r w:rsidR="00C3431C">
        <w:t xml:space="preserve">TECO’s </w:t>
      </w:r>
      <w:r w:rsidRPr="003B08AC">
        <w:t>2021 factors was the Florida Public Service Commission’s</w:t>
      </w:r>
      <w:r w:rsidR="00FF66C2">
        <w:t xml:space="preserve"> (Commission) review of the C</w:t>
      </w:r>
      <w:r w:rsidRPr="002F32A9">
        <w:t>ompany’s p</w:t>
      </w:r>
      <w:r w:rsidR="00B057CD">
        <w:t>rojected 2021 fuel</w:t>
      </w:r>
      <w:r w:rsidR="008325B6">
        <w:t>-</w:t>
      </w:r>
      <w:r w:rsidR="00B057CD">
        <w:t xml:space="preserve"> and </w:t>
      </w:r>
      <w:r w:rsidR="008325B6">
        <w:t>capacity-</w:t>
      </w:r>
      <w:r w:rsidRPr="002F32A9">
        <w:t>related service costs. These service costs are recovered through the fuel and capacity cost recovery factors that are set/reset annually in this docket</w:t>
      </w:r>
      <w:r w:rsidR="00B057CD">
        <w:t>.</w:t>
      </w:r>
      <w:r w:rsidRPr="002F32A9">
        <w:t xml:space="preserve"> </w:t>
      </w:r>
      <w:r w:rsidR="00B057CD">
        <w:t>These cost recovery factors</w:t>
      </w:r>
      <w:r w:rsidRPr="002F32A9">
        <w:t xml:space="preserve"> are usually effective for a period of 12 months. </w:t>
      </w:r>
      <w:r w:rsidR="008B5EE0" w:rsidRPr="008B5EE0">
        <w:t>However, the Commission requires that if an investor-owned electric utility’s fuel or capacity cost recovery position is projected to exceed a specified range within the standard 12-</w:t>
      </w:r>
      <w:r w:rsidR="008B5EE0" w:rsidRPr="008B5EE0">
        <w:lastRenderedPageBreak/>
        <w:t>month timeframe, the utility shall promptly notify the Commission by letter delivered to the Commission Clerk. The notification of a 10 percent cost variance shall include a petition for mid-course correction to the fuel cost recovery or capacity cost recovery factors, or shall include an explanation of why a mid-course correction is not practical.</w:t>
      </w:r>
      <w:r w:rsidRPr="002F32A9">
        <w:t xml:space="preserve"> This requirement is codified by Rule 25-6.0424, Florida Administrative Code (F.A.C.)</w:t>
      </w:r>
      <w:r w:rsidR="009F0AB4">
        <w:t>,</w:t>
      </w:r>
      <w:r w:rsidRPr="002F32A9">
        <w:t xml:space="preserve"> and is commonly referred to as the Commission’s “mid-course correction rule.” The Commission’s mid-course correction rule and its codified procedures are discussed in greater detail below.</w:t>
      </w:r>
    </w:p>
    <w:p w:rsidR="002F32A9" w:rsidRDefault="00A340FA" w:rsidP="002F32A9">
      <w:pPr>
        <w:pStyle w:val="BodyText"/>
        <w:spacing w:after="0"/>
        <w:rPr>
          <w:rFonts w:ascii="Arial" w:hAnsi="Arial" w:cs="Arial"/>
          <w:b/>
          <w:i/>
        </w:rPr>
      </w:pPr>
      <w:r>
        <w:rPr>
          <w:rFonts w:ascii="Arial" w:hAnsi="Arial" w:cs="Arial"/>
          <w:b/>
          <w:i/>
        </w:rPr>
        <w:t>Mid-Course Correction</w:t>
      </w:r>
    </w:p>
    <w:p w:rsidR="002F32A9" w:rsidRDefault="002F32A9" w:rsidP="002F32A9">
      <w:pPr>
        <w:pStyle w:val="BodyText"/>
        <w:spacing w:after="0"/>
      </w:pPr>
      <w:r>
        <w:t xml:space="preserve">Mid-course corrections are used by the Commission between </w:t>
      </w:r>
      <w:r w:rsidR="00002DB1">
        <w:t xml:space="preserve">annual </w:t>
      </w:r>
      <w:r>
        <w:t>fuel clause hearings when</w:t>
      </w:r>
      <w:r w:rsidR="00D204A1">
        <w:t>ever costs deviate from revenue</w:t>
      </w:r>
      <w:r>
        <w:t xml:space="preserve"> by a significant</w:t>
      </w:r>
      <w:r w:rsidR="009F2932">
        <w:t xml:space="preserve"> margin. Under Rule 25-6.0424, </w:t>
      </w:r>
      <w:r>
        <w:t xml:space="preserve">F.A.C., a utility must notify the Commission whenever it expects to experience an under- or over-recovery </w:t>
      </w:r>
      <w:r w:rsidR="00004FB5">
        <w:t xml:space="preserve">of </w:t>
      </w:r>
      <w:r>
        <w:t>greate</w:t>
      </w:r>
      <w:r w:rsidR="00002DB1">
        <w:t>r than 10 percent.</w:t>
      </w:r>
    </w:p>
    <w:p w:rsidR="002F32A9" w:rsidRPr="005411D2" w:rsidRDefault="002F32A9" w:rsidP="002F32A9">
      <w:pPr>
        <w:pStyle w:val="BodyText"/>
        <w:spacing w:after="0"/>
      </w:pPr>
    </w:p>
    <w:p w:rsidR="00C3431C" w:rsidRPr="00D973DE" w:rsidRDefault="00503125" w:rsidP="002F32A9">
      <w:pPr>
        <w:pStyle w:val="BodyText"/>
        <w:spacing w:after="0"/>
      </w:pPr>
      <w:r>
        <w:t xml:space="preserve">On July 19, 2021, </w:t>
      </w:r>
      <w:r w:rsidRPr="00343690">
        <w:t>TECO filed its MCC Petition</w:t>
      </w:r>
      <w:r>
        <w:t xml:space="preserve"> and </w:t>
      </w:r>
      <w:r w:rsidRPr="003B08AC">
        <w:t xml:space="preserve">supporting documentation proposing a mid-course correction of </w:t>
      </w:r>
      <w:r w:rsidR="00C54731">
        <w:t xml:space="preserve">both </w:t>
      </w:r>
      <w:r w:rsidR="00144760">
        <w:t xml:space="preserve">its </w:t>
      </w:r>
      <w:r w:rsidRPr="003B08AC">
        <w:t>fuel</w:t>
      </w:r>
      <w:r>
        <w:t xml:space="preserve"> and capacity</w:t>
      </w:r>
      <w:r w:rsidRPr="003B08AC">
        <w:t xml:space="preserve"> charges.</w:t>
      </w:r>
      <w:r w:rsidRPr="00503125">
        <w:t xml:space="preserve"> </w:t>
      </w:r>
      <w:r w:rsidRPr="003B08AC">
        <w:t>Specifically, the Commiss</w:t>
      </w:r>
      <w:r>
        <w:t>ion is being asked to approve</w:t>
      </w:r>
      <w:r w:rsidRPr="003B08AC">
        <w:t xml:space="preserve"> increase</w:t>
      </w:r>
      <w:r>
        <w:t>s</w:t>
      </w:r>
      <w:r w:rsidR="00144760">
        <w:t xml:space="preserve"> in</w:t>
      </w:r>
      <w:r w:rsidRPr="003B08AC">
        <w:t xml:space="preserve"> fuel</w:t>
      </w:r>
      <w:r>
        <w:t xml:space="preserve"> and capacity</w:t>
      </w:r>
      <w:r w:rsidR="00B9361F">
        <w:t xml:space="preserve"> charges due to</w:t>
      </w:r>
      <w:r w:rsidRPr="003B08AC">
        <w:t xml:space="preserve"> </w:t>
      </w:r>
      <w:r w:rsidR="00B9361F">
        <w:t xml:space="preserve">the Company </w:t>
      </w:r>
      <w:r w:rsidR="00BD0FC2">
        <w:t xml:space="preserve">now projecting </w:t>
      </w:r>
      <w:r>
        <w:t xml:space="preserve"> period-ending</w:t>
      </w:r>
      <w:r w:rsidR="008D3EAD">
        <w:t xml:space="preserve"> 2021 under-recoveries</w:t>
      </w:r>
      <w:r w:rsidRPr="003B08AC">
        <w:t xml:space="preserve"> of </w:t>
      </w:r>
      <w:r w:rsidR="008D3EAD">
        <w:t xml:space="preserve">both </w:t>
      </w:r>
      <w:r w:rsidRPr="003B08AC">
        <w:t>fuel</w:t>
      </w:r>
      <w:r w:rsidR="008D3EAD">
        <w:t xml:space="preserve"> and capacity costs that exceed</w:t>
      </w:r>
      <w:r w:rsidRPr="003B08AC">
        <w:t xml:space="preserve"> the 10 percent threshold</w:t>
      </w:r>
      <w:r>
        <w:t>. The proposed increase</w:t>
      </w:r>
      <w:r w:rsidRPr="003B08AC">
        <w:t xml:space="preserve"> to </w:t>
      </w:r>
      <w:r>
        <w:t>TECO</w:t>
      </w:r>
      <w:r w:rsidRPr="003B08AC">
        <w:t>’s currently-authorized fuel cha</w:t>
      </w:r>
      <w:r w:rsidRPr="002D447D">
        <w:t>rges</w:t>
      </w:r>
      <w:r>
        <w:t xml:space="preserve"> </w:t>
      </w:r>
      <w:r w:rsidR="00B5370E">
        <w:t>is</w:t>
      </w:r>
      <w:r w:rsidR="00660959" w:rsidRPr="002D447D">
        <w:t xml:space="preserve"> being driven by projected 2021 fuel </w:t>
      </w:r>
      <w:r w:rsidR="008D3EAD">
        <w:t xml:space="preserve">and capacity </w:t>
      </w:r>
      <w:r w:rsidR="00660959" w:rsidRPr="002D447D">
        <w:t>costs</w:t>
      </w:r>
      <w:r w:rsidR="00660959">
        <w:t xml:space="preserve"> being</w:t>
      </w:r>
      <w:r w:rsidR="00660959" w:rsidRPr="002D447D">
        <w:t xml:space="preserve"> greater than originally </w:t>
      </w:r>
      <w:r w:rsidR="00583CA5">
        <w:t>estimated</w:t>
      </w:r>
      <w:r w:rsidR="00660959" w:rsidRPr="002D447D">
        <w:t xml:space="preserve">, as well as other factors that are </w:t>
      </w:r>
      <w:r w:rsidR="00660959">
        <w:t>discussed further in Issue 1</w:t>
      </w:r>
      <w:r w:rsidR="00874B20" w:rsidRPr="008922FA">
        <w:t xml:space="preserve">. </w:t>
      </w:r>
      <w:r w:rsidR="009A0EF8" w:rsidRPr="008922FA">
        <w:t>Higher natural gas prices</w:t>
      </w:r>
      <w:r w:rsidR="00286EB1">
        <w:t xml:space="preserve"> is</w:t>
      </w:r>
      <w:r w:rsidR="008D3EAD">
        <w:t xml:space="preserve"> the primary driver of both under-recoveries.</w:t>
      </w:r>
      <w:r w:rsidR="009A0EF8" w:rsidRPr="008922FA">
        <w:t xml:space="preserve"> </w:t>
      </w:r>
      <w:r w:rsidR="008D3EAD">
        <w:t>While the</w:t>
      </w:r>
      <w:r w:rsidR="00BD0FC2">
        <w:t xml:space="preserve"> factors established in the fuel clause are</w:t>
      </w:r>
      <w:r w:rsidR="008D3EAD">
        <w:t xml:space="preserve"> directly affected by changes in fuel prices,</w:t>
      </w:r>
      <w:r w:rsidR="008D3EAD" w:rsidRPr="008922FA">
        <w:t xml:space="preserve"> </w:t>
      </w:r>
      <w:r w:rsidR="008D3EAD">
        <w:t xml:space="preserve">capacity costs may </w:t>
      </w:r>
      <w:r w:rsidR="008D3EAD" w:rsidRPr="008922FA">
        <w:t>indirectly</w:t>
      </w:r>
      <w:r w:rsidR="008D3EAD">
        <w:t xml:space="preserve"> be affected as well. In this instanc</w:t>
      </w:r>
      <w:r w:rsidR="00B9361F">
        <w:t>e, higher natural gas prices le</w:t>
      </w:r>
      <w:r w:rsidR="008D3EAD">
        <w:t>d to</w:t>
      </w:r>
      <w:r w:rsidR="00874B20" w:rsidRPr="008922FA">
        <w:t xml:space="preserve"> higher capacity costs due to a greater amount of </w:t>
      </w:r>
      <w:r w:rsidR="00D9243D" w:rsidRPr="008922FA">
        <w:t>economic</w:t>
      </w:r>
      <w:r w:rsidR="00774600">
        <w:t>ally-</w:t>
      </w:r>
      <w:r w:rsidR="00D9243D">
        <w:t>viable</w:t>
      </w:r>
      <w:r w:rsidR="00874B20" w:rsidRPr="008922FA">
        <w:t xml:space="preserve"> energy (</w:t>
      </w:r>
      <w:r w:rsidR="00D9243D">
        <w:t xml:space="preserve">economy purchases </w:t>
      </w:r>
      <w:r w:rsidR="00874B20" w:rsidRPr="008922FA">
        <w:t>carrying an associated capacity cost</w:t>
      </w:r>
      <w:r w:rsidR="00C54731">
        <w:t>) available for purchase.</w:t>
      </w:r>
    </w:p>
    <w:p w:rsidR="002F32A9" w:rsidRPr="000105CF" w:rsidRDefault="002F32A9" w:rsidP="002F32A9">
      <w:pPr>
        <w:pStyle w:val="BodyText"/>
        <w:spacing w:after="0"/>
      </w:pPr>
    </w:p>
    <w:p w:rsidR="002F32A9" w:rsidRDefault="00FF66C2" w:rsidP="002F32A9">
      <w:pPr>
        <w:pStyle w:val="BodyText"/>
        <w:spacing w:after="0"/>
      </w:pPr>
      <w:r>
        <w:t>The Company</w:t>
      </w:r>
      <w:r w:rsidR="002D447D" w:rsidRPr="004F57ED">
        <w:t xml:space="preserve"> has requested that the proposed </w:t>
      </w:r>
      <w:r w:rsidR="004C72F7">
        <w:t>revised fuel and capacity</w:t>
      </w:r>
      <w:r w:rsidR="008325B6" w:rsidRPr="004F57ED">
        <w:t xml:space="preserve"> </w:t>
      </w:r>
      <w:r w:rsidR="00D9243D">
        <w:t>factors and associated tariff</w:t>
      </w:r>
      <w:r w:rsidR="002D447D" w:rsidRPr="004F57ED">
        <w:t xml:space="preserve"> become effective beginning with the first billing cycl</w:t>
      </w:r>
      <w:r w:rsidR="00807404">
        <w:t>e of Septem</w:t>
      </w:r>
      <w:r w:rsidR="00BE5374" w:rsidRPr="004F57ED">
        <w:t xml:space="preserve">ber 2021. </w:t>
      </w:r>
      <w:r w:rsidR="002F39C5" w:rsidRPr="004F57ED">
        <w:t>Th</w:t>
      </w:r>
      <w:r w:rsidR="00AA7E46">
        <w:t>is topic is</w:t>
      </w:r>
      <w:r w:rsidR="002F39C5" w:rsidRPr="004F57ED">
        <w:t xml:space="preserve"> further</w:t>
      </w:r>
      <w:r w:rsidR="002F32A9" w:rsidRPr="004F57ED">
        <w:t xml:space="preserve"> discussed in </w:t>
      </w:r>
      <w:r w:rsidR="00F90F6A" w:rsidRPr="004F57ED">
        <w:t xml:space="preserve">both </w:t>
      </w:r>
      <w:r w:rsidR="002F32A9" w:rsidRPr="004F57ED">
        <w:t>Issue</w:t>
      </w:r>
      <w:r w:rsidR="00F90F6A" w:rsidRPr="004F57ED">
        <w:t>s</w:t>
      </w:r>
      <w:r w:rsidR="002F32A9" w:rsidRPr="004F57ED">
        <w:t xml:space="preserve"> 1</w:t>
      </w:r>
      <w:r w:rsidR="002F39C5" w:rsidRPr="004F57ED">
        <w:t xml:space="preserve"> and 2</w:t>
      </w:r>
      <w:r w:rsidR="002F32A9" w:rsidRPr="004F57ED">
        <w:t>.</w:t>
      </w:r>
      <w:r w:rsidR="00822809">
        <w:t xml:space="preserve"> The petition and supp</w:t>
      </w:r>
      <w:r w:rsidR="00D9243D">
        <w:t xml:space="preserve">orting documentation satisfies the </w:t>
      </w:r>
      <w:r w:rsidR="00822809">
        <w:t>filing requirements of Rule 25-6.0424(1)(b), F.A.C.</w:t>
      </w:r>
      <w:r w:rsidR="00822809">
        <w:rPr>
          <w:rStyle w:val="FootnoteReference"/>
        </w:rPr>
        <w:footnoteReference w:id="2"/>
      </w:r>
    </w:p>
    <w:p w:rsidR="002F32A9" w:rsidRDefault="002F32A9" w:rsidP="002F32A9">
      <w:pPr>
        <w:pStyle w:val="BodyText"/>
        <w:spacing w:after="0"/>
      </w:pPr>
    </w:p>
    <w:p w:rsidR="007C0528" w:rsidRDefault="002F32A9" w:rsidP="002F32A9">
      <w:pPr>
        <w:pStyle w:val="BodyText"/>
      </w:pPr>
      <w:r w:rsidRPr="008A52B0">
        <w:t xml:space="preserve">The Commission is vested with jurisdiction over the subject matter </w:t>
      </w:r>
      <w:r>
        <w:t xml:space="preserve">of this proceeding </w:t>
      </w:r>
      <w:r w:rsidRPr="008A52B0">
        <w:t>by the provisions of Chapter 366, Florida Statutes (F.S.), including Sections 366.04, 366.05, and 366.06, F.S.</w:t>
      </w:r>
    </w:p>
    <w:bookmarkEnd w:id="11"/>
    <w:p w:rsidR="00EA2273" w:rsidRDefault="00EA2273" w:rsidP="001239A6">
      <w:pPr>
        <w:pStyle w:val="BodyTex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046A69" w:rsidRDefault="007C0528" w:rsidP="00EB6502">
      <w:pPr>
        <w:pStyle w:val="RecommendationMajorSectionHeading"/>
      </w:pPr>
      <w:bookmarkStart w:id="15" w:name="DiscussionOfIssues"/>
      <w:r w:rsidRPr="00483F90">
        <w:lastRenderedPageBreak/>
        <w:t>Discussion of Issues</w:t>
      </w:r>
      <w:bookmarkEnd w:id="15"/>
    </w:p>
    <w:p w:rsidR="001239A6" w:rsidRDefault="001239A6">
      <w:pPr>
        <w:pStyle w:val="IssueHeading"/>
        <w:rPr>
          <w:vanish/>
          <w:specVanish/>
        </w:rPr>
      </w:pPr>
      <w:r w:rsidRPr="004C3641">
        <w:t xml:space="preserve">Issue </w:t>
      </w:r>
      <w:r w:rsidR="000446E9">
        <w:fldChar w:fldCharType="begin"/>
      </w:r>
      <w:r w:rsidR="00046A69">
        <w:instrText>seq issue \r 1</w:instrText>
      </w:r>
      <w:r w:rsidR="000446E9">
        <w:fldChar w:fldCharType="separate"/>
      </w:r>
      <w:r w:rsidR="00D9243D">
        <w:rPr>
          <w:noProof/>
        </w:rPr>
        <w:t>1</w:t>
      </w:r>
      <w:r w:rsidR="000446E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9243D">
        <w:rPr>
          <w:noProof/>
        </w:rPr>
        <w:instrText>1</w:instrText>
      </w:r>
      <w:r>
        <w:fldChar w:fldCharType="end"/>
      </w:r>
      <w:r>
        <w:tab/>
        <w:instrText xml:space="preserve">(Higgins, Draper)" \l 1 </w:instrText>
      </w:r>
      <w:r>
        <w:fldChar w:fldCharType="end"/>
      </w:r>
      <w:r>
        <w:t> </w:t>
      </w:r>
    </w:p>
    <w:p w:rsidR="001239A6" w:rsidRDefault="00163901">
      <w:pPr>
        <w:pStyle w:val="BodyText"/>
      </w:pPr>
      <w:r w:rsidRPr="002C6283">
        <w:t xml:space="preserve">Should the Commission modify </w:t>
      </w:r>
      <w:r>
        <w:t>TECO</w:t>
      </w:r>
      <w:r w:rsidR="004C72F7">
        <w:t xml:space="preserve">’s currently-approved fuel and capacity </w:t>
      </w:r>
      <w:r>
        <w:t>factors for the purposes of addressing currently-</w:t>
      </w:r>
      <w:r w:rsidRPr="002C6283">
        <w:t xml:space="preserve">projected </w:t>
      </w:r>
      <w:r>
        <w:t>under-recoveries of 2021 fuel and capacity costs</w:t>
      </w:r>
      <w:r w:rsidRPr="002C6283">
        <w:t>?</w:t>
      </w:r>
    </w:p>
    <w:p w:rsidR="001239A6" w:rsidRPr="004C3641" w:rsidRDefault="001239A6">
      <w:pPr>
        <w:pStyle w:val="IssueSubsectionHeading"/>
        <w:rPr>
          <w:vanish/>
          <w:specVanish/>
        </w:rPr>
      </w:pPr>
      <w:r w:rsidRPr="004C3641">
        <w:t>Recommendation: </w:t>
      </w:r>
    </w:p>
    <w:p w:rsidR="001239A6" w:rsidRDefault="001239A6">
      <w:pPr>
        <w:pStyle w:val="BodyText"/>
      </w:pPr>
      <w:r>
        <w:t> </w:t>
      </w:r>
      <w:r w:rsidR="0017731A">
        <w:t xml:space="preserve">Yes. Staff recommends </w:t>
      </w:r>
      <w:r w:rsidR="0017731A" w:rsidRPr="008922FA">
        <w:t>the Commissi</w:t>
      </w:r>
      <w:r w:rsidR="00D9243D">
        <w:t>on approve an</w:t>
      </w:r>
      <w:r w:rsidR="0017731A" w:rsidRPr="008922FA">
        <w:t xml:space="preserve"> adjustment to TECO’s currently-approved fuel </w:t>
      </w:r>
      <w:r w:rsidR="0017731A">
        <w:t xml:space="preserve">cost recovery </w:t>
      </w:r>
      <w:r w:rsidR="0017731A" w:rsidRPr="008922FA">
        <w:t>factors</w:t>
      </w:r>
      <w:r w:rsidR="00B9361F">
        <w:t xml:space="preserve"> </w:t>
      </w:r>
      <w:r w:rsidR="0017731A" w:rsidRPr="008922FA">
        <w:t>for the purpose of incorporating the total projected period-ending 2021 under-recovery of</w:t>
      </w:r>
      <w:r w:rsidR="0017731A">
        <w:t xml:space="preserve"> its</w:t>
      </w:r>
      <w:r w:rsidR="0017731A" w:rsidRPr="008922FA">
        <w:t xml:space="preserve"> fuel costs</w:t>
      </w:r>
      <w:r w:rsidR="00B9361F">
        <w:t xml:space="preserve"> in the amount of </w:t>
      </w:r>
      <w:r w:rsidR="00B9361F" w:rsidRPr="008922FA">
        <w:t>$73,680,277</w:t>
      </w:r>
      <w:r w:rsidR="0017731A" w:rsidRPr="008922FA">
        <w:t>. Staff further recommends the Co</w:t>
      </w:r>
      <w:r w:rsidR="00D9243D">
        <w:t xml:space="preserve">mmission approve an </w:t>
      </w:r>
      <w:r w:rsidR="0017731A" w:rsidRPr="008922FA">
        <w:t>adjustment to TECO’s capacity cost recovery factors to incorporate a projected period-ending 2021 under-recovery of capacity costs in the amount of $9,628,629.</w:t>
      </w:r>
      <w:r w:rsidR="00163901">
        <w:t xml:space="preserve"> (Higgins</w:t>
      </w:r>
      <w:r w:rsidR="00156FFC">
        <w:t>, Draper, Brownless</w:t>
      </w:r>
      <w:r w:rsidR="00163901">
        <w:t>)</w:t>
      </w:r>
    </w:p>
    <w:p w:rsidR="001239A6" w:rsidRPr="004C3641" w:rsidRDefault="001239A6">
      <w:pPr>
        <w:pStyle w:val="IssueSubsectionHeading"/>
        <w:rPr>
          <w:vanish/>
          <w:specVanish/>
        </w:rPr>
      </w:pPr>
      <w:r w:rsidRPr="004C3641">
        <w:t>Staff Analysis: </w:t>
      </w:r>
    </w:p>
    <w:p w:rsidR="00163901" w:rsidRDefault="001239A6" w:rsidP="00163901">
      <w:pPr>
        <w:pStyle w:val="BodyText"/>
      </w:pPr>
      <w:r>
        <w:t> </w:t>
      </w:r>
      <w:r w:rsidR="00163901">
        <w:t xml:space="preserve">TECO participated in the Commission’s most-recent fuel hearing which took place on November 3, 2020. The Fuel Order issued with respect to TECO set forth the </w:t>
      </w:r>
      <w:r w:rsidR="00AA7E46">
        <w:t>Company</w:t>
      </w:r>
      <w:r w:rsidR="00163901">
        <w:t xml:space="preserve">’s fuel, purchased power, and capacity-related cost recovery factors effective with the </w:t>
      </w:r>
      <w:r w:rsidR="00163901" w:rsidRPr="00D47235">
        <w:t>first billing cycle of January 2021.</w:t>
      </w:r>
      <w:r w:rsidR="00163901" w:rsidRPr="00D47235">
        <w:rPr>
          <w:rStyle w:val="FootnoteReference"/>
        </w:rPr>
        <w:footnoteReference w:id="3"/>
      </w:r>
      <w:r w:rsidR="00163901" w:rsidRPr="00D47235">
        <w:t xml:space="preserve"> How</w:t>
      </w:r>
      <w:r w:rsidR="00163901" w:rsidRPr="00DC29FC">
        <w:t xml:space="preserve">ever, as discussed below, </w:t>
      </w:r>
      <w:r w:rsidR="00537CFE">
        <w:t xml:space="preserve">both </w:t>
      </w:r>
      <w:r w:rsidR="00163901" w:rsidRPr="00DC29FC">
        <w:t>t</w:t>
      </w:r>
      <w:r w:rsidR="00732C36">
        <w:t xml:space="preserve">he currently-authorized fuel and capacity cost </w:t>
      </w:r>
      <w:r w:rsidR="00163901" w:rsidRPr="00DC29FC">
        <w:t>recove</w:t>
      </w:r>
      <w:r w:rsidR="00163901">
        <w:t>ry factors</w:t>
      </w:r>
      <w:r w:rsidR="00163901" w:rsidRPr="00DC29FC">
        <w:t xml:space="preserve"> are now</w:t>
      </w:r>
      <w:r w:rsidR="00537CFE">
        <w:t xml:space="preserve"> </w:t>
      </w:r>
      <w:r w:rsidR="00163901" w:rsidRPr="00DC29FC">
        <w:t>projected to</w:t>
      </w:r>
      <w:r w:rsidR="00732C36">
        <w:t xml:space="preserve"> be in</w:t>
      </w:r>
      <w:r w:rsidR="00163901" w:rsidRPr="00DC29FC">
        <w:t xml:space="preserve"> under-recover</w:t>
      </w:r>
      <w:r w:rsidR="00732C36">
        <w:t>y positions at the end of the year</w:t>
      </w:r>
      <w:r w:rsidR="00163901" w:rsidRPr="00DC29FC">
        <w:t xml:space="preserve"> by greater than</w:t>
      </w:r>
      <w:r w:rsidR="00163901">
        <w:t xml:space="preserve"> 10 percent.</w:t>
      </w:r>
    </w:p>
    <w:p w:rsidR="00163901" w:rsidRDefault="00163901" w:rsidP="00163901">
      <w:pPr>
        <w:pStyle w:val="BodyText"/>
        <w:spacing w:after="0"/>
        <w:rPr>
          <w:rFonts w:ascii="Arial" w:hAnsi="Arial" w:cs="Arial"/>
          <w:b/>
          <w:bCs/>
          <w:i/>
          <w:iCs/>
        </w:rPr>
      </w:pPr>
      <w:r>
        <w:rPr>
          <w:rFonts w:ascii="Arial" w:hAnsi="Arial" w:cs="Arial"/>
          <w:b/>
          <w:bCs/>
          <w:i/>
          <w:iCs/>
        </w:rPr>
        <w:t xml:space="preserve">TECO </w:t>
      </w:r>
      <w:r w:rsidRPr="00A75D20">
        <w:rPr>
          <w:rFonts w:ascii="Arial" w:hAnsi="Arial" w:cs="Arial"/>
          <w:b/>
          <w:bCs/>
          <w:i/>
          <w:iCs/>
        </w:rPr>
        <w:t>Mid-Course Correction</w:t>
      </w:r>
      <w:r>
        <w:rPr>
          <w:rFonts w:ascii="Arial" w:hAnsi="Arial" w:cs="Arial"/>
          <w:b/>
          <w:bCs/>
          <w:i/>
          <w:iCs/>
        </w:rPr>
        <w:t xml:space="preserve"> – Fuel and Purchase</w:t>
      </w:r>
      <w:r w:rsidR="00144760">
        <w:rPr>
          <w:rFonts w:ascii="Arial" w:hAnsi="Arial" w:cs="Arial"/>
          <w:b/>
          <w:bCs/>
          <w:i/>
          <w:iCs/>
        </w:rPr>
        <w:t>d</w:t>
      </w:r>
      <w:r>
        <w:rPr>
          <w:rFonts w:ascii="Arial" w:hAnsi="Arial" w:cs="Arial"/>
          <w:b/>
          <w:bCs/>
          <w:i/>
          <w:iCs/>
        </w:rPr>
        <w:t xml:space="preserve"> Power</w:t>
      </w:r>
    </w:p>
    <w:p w:rsidR="00163901" w:rsidRDefault="00163901" w:rsidP="00163901">
      <w:pPr>
        <w:pStyle w:val="BodyText"/>
      </w:pPr>
      <w:r w:rsidRPr="00343690">
        <w:t xml:space="preserve">TECO filed its MCC Petition on July 19, 2021. TECO states </w:t>
      </w:r>
      <w:r>
        <w:t>that throughout 2021</w:t>
      </w:r>
      <w:r w:rsidR="00732C36">
        <w:t>,</w:t>
      </w:r>
      <w:r w:rsidRPr="00343690">
        <w:t xml:space="preserve"> it has continuously monitored and evaluated its fuel and purchase</w:t>
      </w:r>
      <w:r w:rsidR="00144760">
        <w:t>d</w:t>
      </w:r>
      <w:r w:rsidRPr="00343690">
        <w:t xml:space="preserve"> power cost recovery revenue and expenses on an ongoing basis. </w:t>
      </w:r>
      <w:r>
        <w:t>However, a</w:t>
      </w:r>
      <w:r w:rsidRPr="00343690">
        <w:t xml:space="preserve">t this point in the accounting cycle, based </w:t>
      </w:r>
      <w:r w:rsidR="00144760">
        <w:t xml:space="preserve">on </w:t>
      </w:r>
      <w:r w:rsidRPr="00343690">
        <w:t>mid-year u</w:t>
      </w:r>
      <w:r w:rsidR="00660959">
        <w:t xml:space="preserve">pdates to its </w:t>
      </w:r>
      <w:r w:rsidR="00732C36">
        <w:t xml:space="preserve">cost and revenue </w:t>
      </w:r>
      <w:r w:rsidR="00660959">
        <w:t xml:space="preserve">projections, </w:t>
      </w:r>
      <w:r>
        <w:t>TECO</w:t>
      </w:r>
      <w:r w:rsidR="007917A6">
        <w:t xml:space="preserve"> now expects a</w:t>
      </w:r>
      <w:r>
        <w:t xml:space="preserve"> period-ending 2021</w:t>
      </w:r>
      <w:r w:rsidRPr="00343690">
        <w:t xml:space="preserve"> under-recovery of fuel</w:t>
      </w:r>
      <w:r>
        <w:t xml:space="preserve"> costs</w:t>
      </w:r>
      <w:r w:rsidRPr="00343690">
        <w:t xml:space="preserve"> in excess</w:t>
      </w:r>
      <w:r>
        <w:t xml:space="preserve"> </w:t>
      </w:r>
      <w:r w:rsidRPr="00343690">
        <w:t>of the</w:t>
      </w:r>
      <w:r>
        <w:t xml:space="preserve"> 10 percent threshold</w:t>
      </w:r>
      <w:r w:rsidR="00BD0FC2">
        <w:t xml:space="preserve"> set forth</w:t>
      </w:r>
      <w:r w:rsidRPr="00343690">
        <w:t xml:space="preserve"> in Rule 25-6.0424(1)(a), F.A.C.</w:t>
      </w:r>
      <w:r w:rsidR="00732C36">
        <w:t xml:space="preserve"> The Company</w:t>
      </w:r>
      <w:r>
        <w:t xml:space="preserve"> attribu</w:t>
      </w:r>
      <w:r w:rsidR="00144760">
        <w:t>tes</w:t>
      </w:r>
      <w:r w:rsidR="00660959">
        <w:t xml:space="preserve"> the increase in</w:t>
      </w:r>
      <w:r>
        <w:t xml:space="preserve"> n</w:t>
      </w:r>
      <w:r w:rsidR="00660959">
        <w:t>atural gas costs</w:t>
      </w:r>
      <w:r w:rsidRPr="00794DE9">
        <w:t xml:space="preserve"> to reduced levels of both natural gas production and storage, as well as increased exports of liquefied natural gas. TEC</w:t>
      </w:r>
      <w:r>
        <w:t>O also states that it expects the aforementioned factors driving natural gas prices higher to persist into 2022.</w:t>
      </w:r>
      <w:r w:rsidR="00B477D5">
        <w:t xml:space="preserve"> </w:t>
      </w:r>
      <w:r w:rsidR="00B477D5" w:rsidRPr="00B477D5">
        <w:t>TECO is requesting to collect the under-recovery over a four-month period, or from</w:t>
      </w:r>
      <w:r w:rsidR="00B477D5">
        <w:t xml:space="preserve"> September through December 2021.</w:t>
      </w:r>
    </w:p>
    <w:p w:rsidR="00163901" w:rsidRDefault="00163901" w:rsidP="00163901">
      <w:pPr>
        <w:pStyle w:val="BodyText"/>
        <w:spacing w:after="0"/>
        <w:rPr>
          <w:rFonts w:ascii="Arial" w:hAnsi="Arial" w:cs="Arial"/>
          <w:b/>
          <w:bCs/>
          <w:i/>
          <w:iCs/>
        </w:rPr>
      </w:pPr>
      <w:r>
        <w:rPr>
          <w:rFonts w:ascii="Arial" w:hAnsi="Arial" w:cs="Arial"/>
          <w:b/>
          <w:bCs/>
          <w:i/>
          <w:iCs/>
        </w:rPr>
        <w:t xml:space="preserve">TECO </w:t>
      </w:r>
      <w:r w:rsidRPr="00A75D20">
        <w:rPr>
          <w:rFonts w:ascii="Arial" w:hAnsi="Arial" w:cs="Arial"/>
          <w:b/>
          <w:bCs/>
          <w:i/>
          <w:iCs/>
        </w:rPr>
        <w:t>Mid-Course Correction</w:t>
      </w:r>
      <w:r>
        <w:rPr>
          <w:rFonts w:ascii="Arial" w:hAnsi="Arial" w:cs="Arial"/>
          <w:b/>
          <w:bCs/>
          <w:i/>
          <w:iCs/>
        </w:rPr>
        <w:t xml:space="preserve"> – Capacity</w:t>
      </w:r>
    </w:p>
    <w:p w:rsidR="00163901" w:rsidRDefault="00163901" w:rsidP="00163901">
      <w:pPr>
        <w:pStyle w:val="BodyText"/>
      </w:pPr>
      <w:r>
        <w:t>As part of its request, TECO is proposing to increase its 202</w:t>
      </w:r>
      <w:r w:rsidR="00144760">
        <w:t>1</w:t>
      </w:r>
      <w:r>
        <w:t xml:space="preserve"> capacity cost recovery factors to incorporate a projected 2021 unde</w:t>
      </w:r>
      <w:r w:rsidRPr="00B74785">
        <w:t xml:space="preserve">r-recovery </w:t>
      </w:r>
      <w:r w:rsidRPr="002B3CD3">
        <w:t>of $</w:t>
      </w:r>
      <w:r>
        <w:t>9,628,629</w:t>
      </w:r>
      <w:r w:rsidRPr="002B3CD3">
        <w:t>. TECO’s capacity mid-course correction position following the calculation methodology in Rule 25-6.</w:t>
      </w:r>
      <w:r>
        <w:t>0424(1)(a), F.A.C., is 444</w:t>
      </w:r>
      <w:r w:rsidRPr="002B3CD3">
        <w:t xml:space="preserve"> percent.</w:t>
      </w:r>
      <w:r>
        <w:rPr>
          <w:rStyle w:val="FootnoteReference"/>
        </w:rPr>
        <w:footnoteReference w:id="4"/>
      </w:r>
      <w:r w:rsidR="00144760">
        <w:t xml:space="preserve"> TECO states the projected under-recovery i</w:t>
      </w:r>
      <w:r>
        <w:t xml:space="preserve">s caused by greater projected amounts of economic power purchases due to the increased cost of natural gas making such options more economically viable. </w:t>
      </w:r>
    </w:p>
    <w:p w:rsidR="00163901" w:rsidRDefault="00163901" w:rsidP="00163901">
      <w:pPr>
        <w:pStyle w:val="BodyText"/>
      </w:pPr>
      <w:r>
        <w:t>Incorporated in its capacity MCC request is a final 2020 capacity cost under-recovery of $3,354,779.</w:t>
      </w:r>
      <w:r>
        <w:rPr>
          <w:rStyle w:val="FootnoteReference"/>
        </w:rPr>
        <w:footnoteReference w:id="5"/>
      </w:r>
      <w:r>
        <w:t xml:space="preserve"> As proposed</w:t>
      </w:r>
      <w:r w:rsidR="002D437A">
        <w:t>,</w:t>
      </w:r>
      <w:r>
        <w:t xml:space="preserve"> and in similar fashion to the fuel cost recovery proposal, the mid-</w:t>
      </w:r>
      <w:r>
        <w:lastRenderedPageBreak/>
        <w:t xml:space="preserve">course correction related to capacity will be distributed over the same four-month period, or from </w:t>
      </w:r>
      <w:r w:rsidRPr="00CF22D3">
        <w:t>September through December 2021.</w:t>
      </w:r>
    </w:p>
    <w:p w:rsidR="00163901" w:rsidRPr="00CF22D3" w:rsidRDefault="00163901" w:rsidP="00163901">
      <w:pPr>
        <w:pStyle w:val="BodyText"/>
        <w:spacing w:after="0"/>
        <w:rPr>
          <w:rFonts w:ascii="Arial" w:hAnsi="Arial" w:cs="Arial"/>
          <w:b/>
          <w:i/>
        </w:rPr>
      </w:pPr>
      <w:r>
        <w:rPr>
          <w:rFonts w:ascii="Arial" w:hAnsi="Arial" w:cs="Arial"/>
          <w:b/>
          <w:i/>
        </w:rPr>
        <w:t xml:space="preserve">Period-Ending </w:t>
      </w:r>
      <w:r w:rsidRPr="00CF22D3">
        <w:rPr>
          <w:rFonts w:ascii="Arial" w:hAnsi="Arial" w:cs="Arial"/>
          <w:b/>
          <w:i/>
        </w:rPr>
        <w:t>2020 Recovery Positions</w:t>
      </w:r>
    </w:p>
    <w:p w:rsidR="00163901" w:rsidRPr="00CF22D3" w:rsidRDefault="00163901" w:rsidP="00163901">
      <w:pPr>
        <w:pStyle w:val="BodyText"/>
        <w:spacing w:after="0"/>
        <w:rPr>
          <w:rFonts w:ascii="Arial" w:hAnsi="Arial" w:cs="Arial"/>
          <w:b/>
          <w:i/>
        </w:rPr>
      </w:pPr>
    </w:p>
    <w:p w:rsidR="00163901" w:rsidRPr="00CF22D3" w:rsidRDefault="00163901" w:rsidP="00163901">
      <w:pPr>
        <w:pStyle w:val="BodyText"/>
        <w:spacing w:after="0"/>
        <w:rPr>
          <w:rFonts w:ascii="Arial" w:hAnsi="Arial" w:cs="Arial"/>
          <w:b/>
          <w:i/>
        </w:rPr>
      </w:pPr>
      <w:r w:rsidRPr="00CF22D3">
        <w:rPr>
          <w:rFonts w:ascii="Arial" w:hAnsi="Arial" w:cs="Arial"/>
          <w:b/>
          <w:i/>
        </w:rPr>
        <w:tab/>
        <w:t>Fuel</w:t>
      </w:r>
    </w:p>
    <w:p w:rsidR="00163901" w:rsidRDefault="00163901" w:rsidP="00163901">
      <w:pPr>
        <w:pStyle w:val="BodyText"/>
      </w:pPr>
      <w:r>
        <w:t>TECO initially projected an under</w:t>
      </w:r>
      <w:r w:rsidRPr="002176FC">
        <w:t>-recovery</w:t>
      </w:r>
      <w:r>
        <w:t xml:space="preserve"> of (</w:t>
      </w:r>
      <w:r w:rsidRPr="002176FC">
        <w:t>$25,479,055</w:t>
      </w:r>
      <w:r>
        <w:t xml:space="preserve">), which is the amount included in </w:t>
      </w:r>
      <w:r w:rsidR="00641812">
        <w:t xml:space="preserve">the </w:t>
      </w:r>
      <w:r w:rsidRPr="00CF22D3">
        <w:t xml:space="preserve">2021 fuel </w:t>
      </w:r>
      <w:r w:rsidR="00641812">
        <w:t>factors</w:t>
      </w:r>
      <w:r w:rsidRPr="00CF22D3">
        <w:t>.</w:t>
      </w:r>
      <w:r w:rsidRPr="00CF22D3">
        <w:rPr>
          <w:rStyle w:val="FootnoteReference"/>
        </w:rPr>
        <w:footnoteReference w:id="6"/>
      </w:r>
      <w:r w:rsidR="00A32FE5">
        <w:t xml:space="preserve"> However, TECO</w:t>
      </w:r>
      <w:r w:rsidRPr="00CF22D3">
        <w:t xml:space="preserve"> only under-recovered ($21,709,799), leaving a final</w:t>
      </w:r>
      <w:r w:rsidR="004C72F7">
        <w:t xml:space="preserve"> 2020 over-recovery, i.e., final</w:t>
      </w:r>
      <w:r w:rsidRPr="00CF22D3">
        <w:t xml:space="preserve"> 2020 true up</w:t>
      </w:r>
      <w:r w:rsidR="00144760">
        <w:t xml:space="preserve"> amount</w:t>
      </w:r>
      <w:r w:rsidRPr="00CF22D3">
        <w:t>, of $3,769,256.</w:t>
      </w:r>
      <w:r w:rsidRPr="00CF22D3">
        <w:rPr>
          <w:rStyle w:val="FootnoteReference"/>
        </w:rPr>
        <w:footnoteReference w:id="7"/>
      </w:r>
      <w:r w:rsidRPr="00CF22D3">
        <w:t xml:space="preserve"> The final 2020 over-recovery is </w:t>
      </w:r>
      <w:r w:rsidR="00732C36">
        <w:t>being proposed for refund in</w:t>
      </w:r>
      <w:r w:rsidRPr="00CF22D3">
        <w:t xml:space="preserve"> 2021 as part of the mid-course correction.</w:t>
      </w:r>
    </w:p>
    <w:p w:rsidR="00163901" w:rsidRPr="00E0162C" w:rsidRDefault="00163901" w:rsidP="00163901">
      <w:pPr>
        <w:pStyle w:val="BodyText"/>
        <w:spacing w:after="0"/>
        <w:rPr>
          <w:rFonts w:ascii="Arial" w:hAnsi="Arial" w:cs="Arial"/>
          <w:b/>
          <w:i/>
        </w:rPr>
      </w:pPr>
      <w:r w:rsidRPr="00E0162C">
        <w:rPr>
          <w:rFonts w:ascii="Arial" w:hAnsi="Arial" w:cs="Arial"/>
          <w:b/>
          <w:i/>
        </w:rPr>
        <w:tab/>
        <w:t>Capacity</w:t>
      </w:r>
    </w:p>
    <w:p w:rsidR="00163901" w:rsidRPr="00671488" w:rsidRDefault="00163901" w:rsidP="00163901">
      <w:pPr>
        <w:pStyle w:val="BodyText"/>
        <w:kinsoku w:val="0"/>
        <w:overflowPunct w:val="0"/>
        <w:rPr>
          <w:spacing w:val="-25"/>
        </w:rPr>
      </w:pPr>
      <w:r w:rsidRPr="00E0162C">
        <w:t>Conc</w:t>
      </w:r>
      <w:r w:rsidR="00732C36">
        <w:t>erning TECO’s capacity costs, the Company</w:t>
      </w:r>
      <w:r w:rsidRPr="00E0162C">
        <w:t xml:space="preserve"> initially projected </w:t>
      </w:r>
      <w:r w:rsidR="00732C36">
        <w:t>for 2020 an</w:t>
      </w:r>
      <w:r w:rsidRPr="00E0162C">
        <w:t xml:space="preserve"> actual/estimated over-recovery of $1,771,480.</w:t>
      </w:r>
      <w:r w:rsidRPr="00E0162C">
        <w:rPr>
          <w:rStyle w:val="FootnoteReference"/>
        </w:rPr>
        <w:footnoteReference w:id="8"/>
      </w:r>
      <w:r w:rsidRPr="00E0162C">
        <w:t xml:space="preserve"> However, TECO’s actual 2020 capacity true up was an under-recovery of ($1,583,299), resulting in a final 2020 capacity true-up</w:t>
      </w:r>
      <w:r w:rsidR="00144760">
        <w:t xml:space="preserve"> amount</w:t>
      </w:r>
      <w:r w:rsidRPr="00E0162C">
        <w:t xml:space="preserve"> under-recovery of ($3,354,779).</w:t>
      </w:r>
      <w:r w:rsidRPr="00E0162C">
        <w:rPr>
          <w:rStyle w:val="FootnoteReference"/>
        </w:rPr>
        <w:footnoteReference w:id="9"/>
      </w:r>
      <w:r w:rsidRPr="00E0162C">
        <w:t xml:space="preserve"> This final 2020 under-recovery is being proposed for collection as part of the</w:t>
      </w:r>
      <w:r w:rsidR="00732C36">
        <w:t xml:space="preserve"> capacity</w:t>
      </w:r>
      <w:r w:rsidRPr="00E0162C">
        <w:t xml:space="preserve"> mid-course correction.</w:t>
      </w:r>
    </w:p>
    <w:p w:rsidR="00163901" w:rsidRDefault="00163901" w:rsidP="00163901">
      <w:pPr>
        <w:pStyle w:val="BodyText"/>
        <w:spacing w:after="0"/>
        <w:rPr>
          <w:rFonts w:ascii="Arial" w:hAnsi="Arial" w:cs="Arial"/>
          <w:b/>
          <w:i/>
        </w:rPr>
      </w:pPr>
      <w:r w:rsidRPr="00BF03BC">
        <w:rPr>
          <w:rFonts w:ascii="Arial" w:hAnsi="Arial" w:cs="Arial"/>
          <w:b/>
          <w:i/>
        </w:rPr>
        <w:t xml:space="preserve">Projected 2021 </w:t>
      </w:r>
      <w:r>
        <w:rPr>
          <w:rFonts w:ascii="Arial" w:hAnsi="Arial" w:cs="Arial"/>
          <w:b/>
          <w:i/>
        </w:rPr>
        <w:t>Recovery Positions</w:t>
      </w:r>
    </w:p>
    <w:p w:rsidR="00163901" w:rsidRPr="00CF22D3" w:rsidRDefault="00163901" w:rsidP="00163901">
      <w:pPr>
        <w:pStyle w:val="BodyText"/>
        <w:spacing w:after="0"/>
      </w:pPr>
    </w:p>
    <w:p w:rsidR="00163901" w:rsidRPr="00BF03BC" w:rsidRDefault="00163901" w:rsidP="00163901">
      <w:pPr>
        <w:pStyle w:val="BodyText"/>
        <w:spacing w:after="0"/>
        <w:rPr>
          <w:rFonts w:ascii="Arial" w:hAnsi="Arial" w:cs="Arial"/>
          <w:b/>
          <w:i/>
        </w:rPr>
      </w:pPr>
      <w:r w:rsidRPr="00CF22D3">
        <w:rPr>
          <w:rFonts w:ascii="Arial" w:hAnsi="Arial" w:cs="Arial"/>
          <w:b/>
          <w:i/>
        </w:rPr>
        <w:tab/>
        <w:t>Fuel</w:t>
      </w:r>
    </w:p>
    <w:p w:rsidR="00163901" w:rsidRDefault="00163901" w:rsidP="00163901">
      <w:pPr>
        <w:pStyle w:val="BodyText"/>
        <w:spacing w:after="0"/>
      </w:pPr>
      <w:r>
        <w:t>TECO</w:t>
      </w:r>
      <w:r w:rsidRPr="00BF03BC">
        <w:t>’s original 2021 fuel cost projection filed for the purposes of cost recovery was on September 3, 2020, as part</w:t>
      </w:r>
      <w:r w:rsidR="00641812">
        <w:t xml:space="preserve"> of </w:t>
      </w:r>
      <w:r w:rsidRPr="002176FC">
        <w:t xml:space="preserve">its </w:t>
      </w:r>
      <w:r w:rsidRPr="002176FC">
        <w:rPr>
          <w:iCs/>
        </w:rPr>
        <w:t>Petition for Approval of Fuel Cost Recovery and Capacity Cost Recovery Factors for January 2021 through December 2021</w:t>
      </w:r>
      <w:r w:rsidRPr="000A72B7">
        <w:t>.</w:t>
      </w:r>
      <w:r w:rsidRPr="000A72B7">
        <w:rPr>
          <w:rStyle w:val="FootnoteReference"/>
        </w:rPr>
        <w:footnoteReference w:id="10"/>
      </w:r>
      <w:r w:rsidRPr="000A72B7">
        <w:t xml:space="preserve"> </w:t>
      </w:r>
    </w:p>
    <w:p w:rsidR="00163901" w:rsidRDefault="00163901" w:rsidP="00163901">
      <w:pPr>
        <w:pStyle w:val="BodyText"/>
        <w:spacing w:after="0"/>
      </w:pPr>
    </w:p>
    <w:p w:rsidR="00163901" w:rsidRPr="003C64E4" w:rsidRDefault="00163901" w:rsidP="00163901">
      <w:pPr>
        <w:pStyle w:val="BodyText"/>
        <w:spacing w:after="0"/>
      </w:pPr>
      <w:r>
        <w:t xml:space="preserve">The underlying market-based natural gas price data used to produce the 2021 projections was sourced during August 2020. </w:t>
      </w:r>
      <w:r w:rsidR="00732C36">
        <w:t>The</w:t>
      </w:r>
      <w:r w:rsidRPr="000A72B7">
        <w:t xml:space="preserve"> original projectio</w:t>
      </w:r>
      <w:r>
        <w:t>n of future natural gas prices was used to produce</w:t>
      </w:r>
      <w:r w:rsidRPr="000A72B7">
        <w:t xml:space="preserve"> an average</w:t>
      </w:r>
      <w:r>
        <w:t xml:space="preserve"> delivered natural gas cost of $3.89</w:t>
      </w:r>
      <w:r w:rsidRPr="000A72B7">
        <w:t xml:space="preserve"> per MMBtu </w:t>
      </w:r>
      <w:r>
        <w:t>for 2021</w:t>
      </w:r>
      <w:r w:rsidRPr="000A72B7">
        <w:t>.</w:t>
      </w:r>
      <w:r>
        <w:t xml:space="preserve"> However, as indicated in the</w:t>
      </w:r>
      <w:r w:rsidRPr="000A72B7">
        <w:t xml:space="preserve"> MCC Petition</w:t>
      </w:r>
      <w:r>
        <w:t>,</w:t>
      </w:r>
      <w:r w:rsidRPr="000A72B7">
        <w:t xml:space="preserve"> </w:t>
      </w:r>
      <w:r>
        <w:t>TECO</w:t>
      </w:r>
      <w:r w:rsidRPr="000A72B7">
        <w:t xml:space="preserve"> now projects that the average </w:t>
      </w:r>
      <w:r>
        <w:t>delivered cost of natural gas</w:t>
      </w:r>
      <w:r w:rsidRPr="000A72B7">
        <w:t xml:space="preserve"> </w:t>
      </w:r>
      <w:r>
        <w:t xml:space="preserve">for 2021 </w:t>
      </w:r>
      <w:r w:rsidRPr="000A72B7">
        <w:t>will</w:t>
      </w:r>
      <w:r>
        <w:t xml:space="preserve"> be $4.34</w:t>
      </w:r>
      <w:r w:rsidRPr="000A72B7">
        <w:t xml:space="preserve"> per </w:t>
      </w:r>
      <w:r w:rsidRPr="002020F4">
        <w:t>MMBtu</w:t>
      </w:r>
      <w:r>
        <w:t xml:space="preserve">, which represents an </w:t>
      </w:r>
      <w:r w:rsidRPr="00992808">
        <w:t xml:space="preserve">increase of </w:t>
      </w:r>
      <w:r>
        <w:t>11.6</w:t>
      </w:r>
      <w:r w:rsidRPr="00992808">
        <w:t xml:space="preserve"> percent</w:t>
      </w:r>
      <w:r>
        <w:t>.</w:t>
      </w:r>
      <w:r>
        <w:rPr>
          <w:rStyle w:val="FootnoteReference"/>
        </w:rPr>
        <w:footnoteReference w:id="11"/>
      </w:r>
    </w:p>
    <w:p w:rsidR="00163901" w:rsidRPr="00196F77" w:rsidRDefault="00163901" w:rsidP="00163901">
      <w:pPr>
        <w:pStyle w:val="BodyText"/>
        <w:spacing w:after="0"/>
        <w:rPr>
          <w:highlight w:val="yellow"/>
        </w:rPr>
      </w:pPr>
    </w:p>
    <w:p w:rsidR="00163901" w:rsidRDefault="00163901" w:rsidP="00163901">
      <w:pPr>
        <w:pStyle w:val="BodyText"/>
        <w:spacing w:after="0"/>
      </w:pPr>
      <w:r w:rsidRPr="00B63773">
        <w:t xml:space="preserve">In Table </w:t>
      </w:r>
      <w:r w:rsidR="00A32FE5">
        <w:t>1</w:t>
      </w:r>
      <w:r w:rsidRPr="00B63773">
        <w:t>-1 below, staff displays the fuel cost and revenue differences between the original and updated 2021 projections, as well as the other primary accounting</w:t>
      </w:r>
      <w:r w:rsidR="00732C36">
        <w:t xml:space="preserve"> components for determining </w:t>
      </w:r>
      <w:r>
        <w:t>TECO</w:t>
      </w:r>
      <w:r w:rsidRPr="00B63773">
        <w:t>’s fuel cost recovery position under Rule 25-6.0424, F.A.C.</w:t>
      </w:r>
    </w:p>
    <w:p w:rsidR="00163901" w:rsidRDefault="00163901" w:rsidP="00163901">
      <w:pPr>
        <w:pStyle w:val="BodyText"/>
        <w:spacing w:after="0"/>
      </w:pPr>
    </w:p>
    <w:p w:rsidR="00732C36" w:rsidRDefault="00732C36" w:rsidP="00163901">
      <w:pPr>
        <w:pStyle w:val="BodyText"/>
        <w:spacing w:after="0"/>
      </w:pPr>
    </w:p>
    <w:p w:rsidR="00732C36" w:rsidRDefault="00732C36" w:rsidP="00163901">
      <w:pPr>
        <w:pStyle w:val="BodyText"/>
        <w:spacing w:after="0"/>
      </w:pPr>
    </w:p>
    <w:p w:rsidR="00732C36" w:rsidRDefault="00732C36" w:rsidP="00163901">
      <w:pPr>
        <w:pStyle w:val="BodyText"/>
        <w:spacing w:after="0"/>
      </w:pPr>
    </w:p>
    <w:p w:rsidR="00732C36" w:rsidRDefault="00732C36" w:rsidP="00163901">
      <w:pPr>
        <w:pStyle w:val="BodyText"/>
        <w:spacing w:after="0"/>
      </w:pPr>
    </w:p>
    <w:tbl>
      <w:tblPr>
        <w:tblStyle w:val="TableGrid"/>
        <w:tblW w:w="4887" w:type="pct"/>
        <w:tblInd w:w="108" w:type="dxa"/>
        <w:tblLook w:val="04A0" w:firstRow="1" w:lastRow="0" w:firstColumn="1" w:lastColumn="0" w:noHBand="0" w:noVBand="1"/>
      </w:tblPr>
      <w:tblGrid>
        <w:gridCol w:w="4557"/>
        <w:gridCol w:w="1595"/>
        <w:gridCol w:w="1621"/>
        <w:gridCol w:w="1587"/>
      </w:tblGrid>
      <w:tr w:rsidR="00163901" w:rsidTr="00D05AE8">
        <w:tc>
          <w:tcPr>
            <w:tcW w:w="5000" w:type="pct"/>
            <w:gridSpan w:val="4"/>
            <w:tcBorders>
              <w:top w:val="nil"/>
              <w:left w:val="nil"/>
              <w:bottom w:val="nil"/>
              <w:right w:val="nil"/>
            </w:tcBorders>
            <w:vAlign w:val="center"/>
          </w:tcPr>
          <w:p w:rsidR="00163901" w:rsidRDefault="00A32FE5" w:rsidP="00D05AE8">
            <w:pPr>
              <w:jc w:val="center"/>
              <w:rPr>
                <w:rFonts w:ascii="Arial" w:hAnsi="Arial" w:cs="Arial"/>
                <w:b/>
                <w:bCs/>
                <w:color w:val="000000"/>
              </w:rPr>
            </w:pPr>
            <w:r>
              <w:rPr>
                <w:rFonts w:ascii="Arial" w:hAnsi="Arial" w:cs="Arial"/>
                <w:b/>
                <w:bCs/>
                <w:color w:val="000000"/>
              </w:rPr>
              <w:t>Table 1</w:t>
            </w:r>
            <w:r w:rsidR="00163901">
              <w:rPr>
                <w:rFonts w:ascii="Arial" w:hAnsi="Arial" w:cs="Arial"/>
                <w:b/>
                <w:bCs/>
                <w:color w:val="000000"/>
              </w:rPr>
              <w:t>-1</w:t>
            </w:r>
          </w:p>
        </w:tc>
      </w:tr>
      <w:tr w:rsidR="00163901" w:rsidTr="00D05AE8">
        <w:tc>
          <w:tcPr>
            <w:tcW w:w="5000" w:type="pct"/>
            <w:gridSpan w:val="4"/>
            <w:tcBorders>
              <w:top w:val="nil"/>
              <w:left w:val="nil"/>
              <w:bottom w:val="single" w:sz="4" w:space="0" w:color="auto"/>
              <w:right w:val="nil"/>
            </w:tcBorders>
            <w:vAlign w:val="center"/>
          </w:tcPr>
          <w:p w:rsidR="00163901" w:rsidRDefault="002904DE" w:rsidP="00D05AE8">
            <w:pPr>
              <w:jc w:val="center"/>
              <w:rPr>
                <w:rFonts w:ascii="Arial" w:hAnsi="Arial" w:cs="Arial"/>
                <w:b/>
                <w:bCs/>
                <w:color w:val="000000"/>
              </w:rPr>
            </w:pPr>
            <w:r>
              <w:rPr>
                <w:rFonts w:ascii="Arial" w:hAnsi="Arial" w:cs="Arial"/>
                <w:b/>
                <w:bCs/>
                <w:color w:val="000000"/>
              </w:rPr>
              <w:t xml:space="preserve">Fuel </w:t>
            </w:r>
            <w:r w:rsidR="00163901">
              <w:rPr>
                <w:rFonts w:ascii="Arial" w:hAnsi="Arial" w:cs="Arial"/>
                <w:b/>
                <w:bCs/>
                <w:color w:val="000000"/>
              </w:rPr>
              <w:t>Mid-Course Correction Components</w:t>
            </w:r>
          </w:p>
        </w:tc>
      </w:tr>
      <w:tr w:rsidR="00163901" w:rsidRPr="00385073" w:rsidTr="00D05AE8">
        <w:tc>
          <w:tcPr>
            <w:tcW w:w="2434" w:type="pct"/>
            <w:tcBorders>
              <w:top w:val="single" w:sz="4" w:space="0" w:color="auto"/>
            </w:tcBorders>
            <w:vAlign w:val="center"/>
          </w:tcPr>
          <w:p w:rsidR="00163901" w:rsidRPr="00C630B3" w:rsidRDefault="00163901" w:rsidP="00D05AE8">
            <w:pPr>
              <w:jc w:val="center"/>
              <w:rPr>
                <w:b/>
                <w:sz w:val="22"/>
                <w:szCs w:val="22"/>
              </w:rPr>
            </w:pPr>
            <w:r w:rsidRPr="00C630B3">
              <w:rPr>
                <w:b/>
                <w:sz w:val="22"/>
                <w:szCs w:val="22"/>
              </w:rPr>
              <w:t>Category</w:t>
            </w:r>
          </w:p>
        </w:tc>
        <w:tc>
          <w:tcPr>
            <w:tcW w:w="852" w:type="pct"/>
            <w:tcBorders>
              <w:top w:val="single" w:sz="4" w:space="0" w:color="auto"/>
            </w:tcBorders>
            <w:vAlign w:val="center"/>
          </w:tcPr>
          <w:p w:rsidR="00163901" w:rsidRDefault="00163901" w:rsidP="00D05AE8">
            <w:pPr>
              <w:jc w:val="center"/>
              <w:rPr>
                <w:b/>
                <w:sz w:val="22"/>
                <w:szCs w:val="22"/>
              </w:rPr>
            </w:pPr>
            <w:r w:rsidRPr="00C630B3">
              <w:rPr>
                <w:b/>
                <w:sz w:val="22"/>
                <w:szCs w:val="22"/>
              </w:rPr>
              <w:t>Original Projection</w:t>
            </w:r>
          </w:p>
          <w:p w:rsidR="00163901" w:rsidRPr="00C630B3" w:rsidRDefault="00163901" w:rsidP="00D05AE8">
            <w:pPr>
              <w:jc w:val="center"/>
              <w:rPr>
                <w:b/>
                <w:sz w:val="22"/>
                <w:szCs w:val="22"/>
              </w:rPr>
            </w:pPr>
            <w:r>
              <w:rPr>
                <w:b/>
                <w:sz w:val="22"/>
                <w:szCs w:val="22"/>
              </w:rPr>
              <w:t>($)</w:t>
            </w:r>
          </w:p>
        </w:tc>
        <w:tc>
          <w:tcPr>
            <w:tcW w:w="866" w:type="pct"/>
            <w:tcBorders>
              <w:top w:val="single" w:sz="4" w:space="0" w:color="auto"/>
            </w:tcBorders>
            <w:vAlign w:val="center"/>
          </w:tcPr>
          <w:p w:rsidR="00163901" w:rsidRDefault="00163901" w:rsidP="00D05AE8">
            <w:pPr>
              <w:jc w:val="center"/>
              <w:rPr>
                <w:b/>
                <w:sz w:val="22"/>
                <w:szCs w:val="22"/>
              </w:rPr>
            </w:pPr>
            <w:r>
              <w:rPr>
                <w:b/>
                <w:sz w:val="22"/>
                <w:szCs w:val="22"/>
              </w:rPr>
              <w:t>Mid-Course</w:t>
            </w:r>
          </w:p>
          <w:p w:rsidR="00163901" w:rsidRDefault="00163901" w:rsidP="00D05AE8">
            <w:pPr>
              <w:jc w:val="center"/>
              <w:rPr>
                <w:b/>
                <w:sz w:val="22"/>
                <w:szCs w:val="22"/>
              </w:rPr>
            </w:pPr>
            <w:r>
              <w:rPr>
                <w:b/>
                <w:sz w:val="22"/>
                <w:szCs w:val="22"/>
              </w:rPr>
              <w:t>Projection</w:t>
            </w:r>
          </w:p>
          <w:p w:rsidR="00163901" w:rsidRPr="00C630B3" w:rsidRDefault="00163901" w:rsidP="00D05AE8">
            <w:pPr>
              <w:jc w:val="center"/>
              <w:rPr>
                <w:b/>
                <w:sz w:val="22"/>
                <w:szCs w:val="22"/>
              </w:rPr>
            </w:pPr>
            <w:r>
              <w:rPr>
                <w:b/>
                <w:sz w:val="22"/>
                <w:szCs w:val="22"/>
              </w:rPr>
              <w:t>($)</w:t>
            </w:r>
          </w:p>
        </w:tc>
        <w:tc>
          <w:tcPr>
            <w:tcW w:w="848" w:type="pct"/>
            <w:tcBorders>
              <w:top w:val="single" w:sz="4" w:space="0" w:color="auto"/>
            </w:tcBorders>
            <w:vAlign w:val="center"/>
          </w:tcPr>
          <w:p w:rsidR="00163901" w:rsidRDefault="00163901" w:rsidP="00D05AE8">
            <w:pPr>
              <w:jc w:val="center"/>
              <w:rPr>
                <w:b/>
                <w:sz w:val="22"/>
                <w:szCs w:val="22"/>
              </w:rPr>
            </w:pPr>
            <w:r w:rsidRPr="00C630B3">
              <w:rPr>
                <w:b/>
                <w:sz w:val="22"/>
                <w:szCs w:val="22"/>
              </w:rPr>
              <w:t>Difference from Original Projection</w:t>
            </w:r>
          </w:p>
          <w:p w:rsidR="00163901" w:rsidRPr="00C630B3" w:rsidRDefault="00163901" w:rsidP="00D05AE8">
            <w:pPr>
              <w:jc w:val="center"/>
              <w:rPr>
                <w:b/>
                <w:sz w:val="22"/>
                <w:szCs w:val="22"/>
              </w:rPr>
            </w:pPr>
            <w:r>
              <w:rPr>
                <w:b/>
                <w:sz w:val="22"/>
                <w:szCs w:val="22"/>
              </w:rPr>
              <w:t>(%)</w:t>
            </w:r>
          </w:p>
        </w:tc>
      </w:tr>
      <w:tr w:rsidR="00163901" w:rsidRPr="00C630B3" w:rsidTr="00D05AE8">
        <w:trPr>
          <w:trHeight w:val="485"/>
        </w:trPr>
        <w:tc>
          <w:tcPr>
            <w:tcW w:w="2434" w:type="pct"/>
            <w:vAlign w:val="bottom"/>
          </w:tcPr>
          <w:p w:rsidR="00163901" w:rsidRPr="00C630B3" w:rsidRDefault="00163901" w:rsidP="00D05AE8">
            <w:pPr>
              <w:rPr>
                <w:sz w:val="22"/>
                <w:szCs w:val="22"/>
              </w:rPr>
            </w:pPr>
            <w:r w:rsidRPr="00C630B3">
              <w:rPr>
                <w:sz w:val="22"/>
                <w:szCs w:val="22"/>
              </w:rPr>
              <w:t xml:space="preserve">Total </w:t>
            </w:r>
            <w:r>
              <w:rPr>
                <w:sz w:val="22"/>
                <w:szCs w:val="22"/>
              </w:rPr>
              <w:t>Jurisdictional Fuel &amp; Net Power Transaction</w:t>
            </w:r>
            <w:r w:rsidRPr="00C630B3">
              <w:rPr>
                <w:sz w:val="22"/>
                <w:szCs w:val="22"/>
              </w:rPr>
              <w:t xml:space="preserve"> Costs </w:t>
            </w:r>
          </w:p>
        </w:tc>
        <w:tc>
          <w:tcPr>
            <w:tcW w:w="852" w:type="pct"/>
            <w:vAlign w:val="bottom"/>
          </w:tcPr>
          <w:p w:rsidR="00163901" w:rsidRPr="00712C9D" w:rsidRDefault="00163901" w:rsidP="00D05AE8">
            <w:pPr>
              <w:jc w:val="right"/>
              <w:rPr>
                <w:color w:val="000000"/>
                <w:sz w:val="22"/>
                <w:szCs w:val="22"/>
              </w:rPr>
            </w:pPr>
            <w:r w:rsidRPr="00712C9D">
              <w:rPr>
                <w:color w:val="000000"/>
                <w:sz w:val="22"/>
                <w:szCs w:val="22"/>
              </w:rPr>
              <w:t>592,624,880</w:t>
            </w:r>
            <w:r w:rsidRPr="00712C9D">
              <w:rPr>
                <w:rStyle w:val="FootnoteReference"/>
                <w:color w:val="000000"/>
                <w:sz w:val="22"/>
                <w:szCs w:val="22"/>
              </w:rPr>
              <w:footnoteReference w:id="12"/>
            </w:r>
          </w:p>
        </w:tc>
        <w:tc>
          <w:tcPr>
            <w:tcW w:w="866" w:type="pct"/>
            <w:vAlign w:val="bottom"/>
          </w:tcPr>
          <w:p w:rsidR="00163901" w:rsidRPr="00712C9D" w:rsidRDefault="00163901" w:rsidP="00D05AE8">
            <w:pPr>
              <w:jc w:val="right"/>
              <w:rPr>
                <w:color w:val="000000"/>
                <w:sz w:val="22"/>
                <w:szCs w:val="22"/>
              </w:rPr>
            </w:pPr>
            <w:r w:rsidRPr="00712C9D">
              <w:rPr>
                <w:color w:val="000000"/>
                <w:sz w:val="22"/>
                <w:szCs w:val="22"/>
              </w:rPr>
              <w:t>677,154,125</w:t>
            </w:r>
          </w:p>
        </w:tc>
        <w:tc>
          <w:tcPr>
            <w:tcW w:w="848" w:type="pct"/>
            <w:vAlign w:val="bottom"/>
          </w:tcPr>
          <w:p w:rsidR="00163901" w:rsidRPr="00712C9D" w:rsidRDefault="00163901" w:rsidP="00D05AE8">
            <w:pPr>
              <w:jc w:val="right"/>
              <w:rPr>
                <w:color w:val="000000"/>
                <w:sz w:val="22"/>
                <w:szCs w:val="22"/>
              </w:rPr>
            </w:pPr>
            <w:r w:rsidRPr="00712C9D">
              <w:rPr>
                <w:color w:val="000000"/>
                <w:sz w:val="22"/>
                <w:szCs w:val="22"/>
              </w:rPr>
              <w:t>14.26</w:t>
            </w:r>
          </w:p>
        </w:tc>
      </w:tr>
      <w:tr w:rsidR="00163901" w:rsidRPr="00C630B3" w:rsidTr="00D05AE8">
        <w:trPr>
          <w:trHeight w:val="530"/>
        </w:trPr>
        <w:tc>
          <w:tcPr>
            <w:tcW w:w="2434" w:type="pct"/>
            <w:vAlign w:val="bottom"/>
          </w:tcPr>
          <w:p w:rsidR="00163901" w:rsidRPr="00C630B3" w:rsidRDefault="00163901" w:rsidP="00D05AE8">
            <w:pPr>
              <w:rPr>
                <w:sz w:val="22"/>
                <w:szCs w:val="22"/>
              </w:rPr>
            </w:pPr>
            <w:r w:rsidRPr="00C630B3">
              <w:rPr>
                <w:sz w:val="22"/>
                <w:szCs w:val="22"/>
              </w:rPr>
              <w:t>Total Jurisdictional Period-Applicable Fuel Revenues</w:t>
            </w:r>
          </w:p>
        </w:tc>
        <w:tc>
          <w:tcPr>
            <w:tcW w:w="852" w:type="pct"/>
            <w:vAlign w:val="bottom"/>
          </w:tcPr>
          <w:p w:rsidR="00163901" w:rsidRPr="00712C9D" w:rsidRDefault="00163901" w:rsidP="00D05AE8">
            <w:pPr>
              <w:jc w:val="right"/>
              <w:rPr>
                <w:color w:val="000000"/>
                <w:sz w:val="22"/>
                <w:szCs w:val="22"/>
              </w:rPr>
            </w:pPr>
            <w:r w:rsidRPr="00712C9D">
              <w:rPr>
                <w:color w:val="000000"/>
                <w:sz w:val="22"/>
                <w:szCs w:val="22"/>
              </w:rPr>
              <w:t>618,103,935</w:t>
            </w:r>
          </w:p>
        </w:tc>
        <w:tc>
          <w:tcPr>
            <w:tcW w:w="866" w:type="pct"/>
            <w:vAlign w:val="bottom"/>
          </w:tcPr>
          <w:p w:rsidR="00163901" w:rsidRPr="00712C9D" w:rsidRDefault="00163901" w:rsidP="00D05AE8">
            <w:pPr>
              <w:jc w:val="right"/>
              <w:rPr>
                <w:color w:val="000000"/>
                <w:sz w:val="22"/>
                <w:szCs w:val="22"/>
              </w:rPr>
            </w:pPr>
            <w:r w:rsidRPr="00712C9D">
              <w:rPr>
                <w:color w:val="000000"/>
                <w:sz w:val="22"/>
                <w:szCs w:val="22"/>
              </w:rPr>
              <w:t>599,809,922</w:t>
            </w:r>
          </w:p>
        </w:tc>
        <w:tc>
          <w:tcPr>
            <w:tcW w:w="848" w:type="pct"/>
            <w:vAlign w:val="bottom"/>
          </w:tcPr>
          <w:p w:rsidR="00163901" w:rsidRPr="00712C9D" w:rsidRDefault="00163901" w:rsidP="00D05AE8">
            <w:pPr>
              <w:jc w:val="right"/>
              <w:rPr>
                <w:color w:val="000000"/>
                <w:sz w:val="22"/>
                <w:szCs w:val="22"/>
              </w:rPr>
            </w:pPr>
            <w:r w:rsidRPr="00712C9D">
              <w:rPr>
                <w:color w:val="000000"/>
                <w:sz w:val="22"/>
                <w:szCs w:val="22"/>
              </w:rPr>
              <w:t>(2.96)</w:t>
            </w:r>
          </w:p>
        </w:tc>
      </w:tr>
      <w:tr w:rsidR="00163901" w:rsidRPr="00C630B3" w:rsidTr="00D05AE8">
        <w:trPr>
          <w:trHeight w:val="350"/>
        </w:trPr>
        <w:tc>
          <w:tcPr>
            <w:tcW w:w="2434" w:type="pct"/>
            <w:vAlign w:val="bottom"/>
          </w:tcPr>
          <w:p w:rsidR="00163901" w:rsidRPr="00C630B3" w:rsidRDefault="00163901" w:rsidP="00D05AE8">
            <w:pPr>
              <w:rPr>
                <w:sz w:val="22"/>
                <w:szCs w:val="22"/>
              </w:rPr>
            </w:pPr>
            <w:r>
              <w:rPr>
                <w:sz w:val="22"/>
                <w:szCs w:val="22"/>
              </w:rPr>
              <w:t>2021 MCC Actual/Estimated True-Up</w:t>
            </w:r>
          </w:p>
        </w:tc>
        <w:tc>
          <w:tcPr>
            <w:tcW w:w="852" w:type="pct"/>
            <w:vAlign w:val="bottom"/>
          </w:tcPr>
          <w:p w:rsidR="00163901" w:rsidRPr="00712C9D" w:rsidRDefault="00163901" w:rsidP="00D05AE8">
            <w:pPr>
              <w:jc w:val="right"/>
              <w:rPr>
                <w:color w:val="000000"/>
                <w:sz w:val="22"/>
                <w:szCs w:val="22"/>
              </w:rPr>
            </w:pPr>
            <w:r w:rsidRPr="00712C9D">
              <w:rPr>
                <w:color w:val="000000"/>
                <w:sz w:val="22"/>
                <w:szCs w:val="22"/>
              </w:rPr>
              <w:t>-</w:t>
            </w:r>
          </w:p>
        </w:tc>
        <w:tc>
          <w:tcPr>
            <w:tcW w:w="866" w:type="pct"/>
            <w:vAlign w:val="bottom"/>
          </w:tcPr>
          <w:p w:rsidR="00163901" w:rsidRPr="00712C9D" w:rsidRDefault="00FF66C2" w:rsidP="00D05AE8">
            <w:pPr>
              <w:jc w:val="right"/>
              <w:rPr>
                <w:color w:val="000000"/>
                <w:sz w:val="22"/>
                <w:szCs w:val="22"/>
              </w:rPr>
            </w:pPr>
            <w:r>
              <w:rPr>
                <w:color w:val="000000"/>
                <w:sz w:val="22"/>
                <w:szCs w:val="22"/>
              </w:rPr>
              <w:t>(</w:t>
            </w:r>
            <w:r w:rsidR="00163901" w:rsidRPr="00712C9D">
              <w:rPr>
                <w:color w:val="000000"/>
                <w:sz w:val="22"/>
                <w:szCs w:val="22"/>
              </w:rPr>
              <w:t>77,344,203</w:t>
            </w:r>
            <w:r>
              <w:rPr>
                <w:color w:val="000000"/>
                <w:sz w:val="22"/>
                <w:szCs w:val="22"/>
              </w:rPr>
              <w:t>)</w:t>
            </w:r>
          </w:p>
        </w:tc>
        <w:tc>
          <w:tcPr>
            <w:tcW w:w="848" w:type="pct"/>
            <w:vAlign w:val="bottom"/>
          </w:tcPr>
          <w:p w:rsidR="00163901" w:rsidRPr="00712C9D" w:rsidRDefault="00163901" w:rsidP="00D05AE8">
            <w:pPr>
              <w:jc w:val="right"/>
              <w:rPr>
                <w:color w:val="000000"/>
                <w:sz w:val="22"/>
                <w:szCs w:val="22"/>
              </w:rPr>
            </w:pPr>
            <w:r w:rsidRPr="00712C9D">
              <w:rPr>
                <w:color w:val="000000"/>
                <w:sz w:val="22"/>
                <w:szCs w:val="22"/>
              </w:rPr>
              <w:t>-</w:t>
            </w:r>
          </w:p>
        </w:tc>
      </w:tr>
      <w:tr w:rsidR="00163901" w:rsidRPr="00C630B3" w:rsidTr="00D05AE8">
        <w:trPr>
          <w:trHeight w:val="341"/>
        </w:trPr>
        <w:tc>
          <w:tcPr>
            <w:tcW w:w="2434" w:type="pct"/>
            <w:vAlign w:val="bottom"/>
          </w:tcPr>
          <w:p w:rsidR="00163901" w:rsidRPr="00C630B3" w:rsidRDefault="00163901" w:rsidP="00D05AE8">
            <w:pPr>
              <w:rPr>
                <w:sz w:val="22"/>
                <w:szCs w:val="22"/>
              </w:rPr>
            </w:pPr>
            <w:r w:rsidRPr="00C630B3">
              <w:rPr>
                <w:sz w:val="22"/>
                <w:szCs w:val="22"/>
              </w:rPr>
              <w:t xml:space="preserve">2020 True-Up </w:t>
            </w:r>
          </w:p>
        </w:tc>
        <w:tc>
          <w:tcPr>
            <w:tcW w:w="852" w:type="pct"/>
            <w:vAlign w:val="bottom"/>
          </w:tcPr>
          <w:p w:rsidR="00163901" w:rsidRPr="00712C9D" w:rsidRDefault="00FF66C2" w:rsidP="00D05AE8">
            <w:pPr>
              <w:jc w:val="right"/>
              <w:rPr>
                <w:color w:val="000000"/>
                <w:sz w:val="22"/>
                <w:szCs w:val="22"/>
              </w:rPr>
            </w:pPr>
            <w:r>
              <w:rPr>
                <w:color w:val="000000"/>
                <w:sz w:val="22"/>
                <w:szCs w:val="22"/>
              </w:rPr>
              <w:t>(</w:t>
            </w:r>
            <w:r w:rsidR="00163901" w:rsidRPr="00712C9D">
              <w:rPr>
                <w:color w:val="000000"/>
                <w:sz w:val="22"/>
                <w:szCs w:val="22"/>
              </w:rPr>
              <w:t>25,479,055</w:t>
            </w:r>
            <w:r>
              <w:rPr>
                <w:color w:val="000000"/>
                <w:sz w:val="22"/>
                <w:szCs w:val="22"/>
              </w:rPr>
              <w:t>)</w:t>
            </w:r>
            <w:r w:rsidR="00163901" w:rsidRPr="00712C9D">
              <w:rPr>
                <w:rStyle w:val="FootnoteReference"/>
                <w:color w:val="000000"/>
                <w:sz w:val="22"/>
                <w:szCs w:val="22"/>
              </w:rPr>
              <w:footnoteReference w:id="13"/>
            </w:r>
          </w:p>
        </w:tc>
        <w:tc>
          <w:tcPr>
            <w:tcW w:w="866" w:type="pct"/>
            <w:vAlign w:val="bottom"/>
          </w:tcPr>
          <w:p w:rsidR="00163901" w:rsidRPr="00712C9D" w:rsidRDefault="00163901" w:rsidP="00D05AE8">
            <w:pPr>
              <w:jc w:val="right"/>
              <w:rPr>
                <w:color w:val="000000"/>
                <w:sz w:val="22"/>
                <w:szCs w:val="22"/>
              </w:rPr>
            </w:pPr>
            <w:r w:rsidRPr="00712C9D">
              <w:rPr>
                <w:color w:val="000000"/>
                <w:sz w:val="22"/>
                <w:szCs w:val="22"/>
              </w:rPr>
              <w:t>3,769,256</w:t>
            </w:r>
            <w:r w:rsidRPr="00712C9D">
              <w:rPr>
                <w:rStyle w:val="FootnoteReference"/>
                <w:color w:val="000000"/>
                <w:sz w:val="22"/>
                <w:szCs w:val="22"/>
              </w:rPr>
              <w:footnoteReference w:id="14"/>
            </w:r>
          </w:p>
        </w:tc>
        <w:tc>
          <w:tcPr>
            <w:tcW w:w="848" w:type="pct"/>
            <w:vAlign w:val="bottom"/>
          </w:tcPr>
          <w:p w:rsidR="00163901" w:rsidRPr="00712C9D" w:rsidRDefault="00163901" w:rsidP="00D05AE8">
            <w:pPr>
              <w:jc w:val="right"/>
              <w:rPr>
                <w:color w:val="000000"/>
                <w:sz w:val="22"/>
                <w:szCs w:val="22"/>
              </w:rPr>
            </w:pPr>
            <w:r w:rsidRPr="00712C9D">
              <w:rPr>
                <w:color w:val="000000"/>
                <w:sz w:val="22"/>
                <w:szCs w:val="22"/>
              </w:rPr>
              <w:t>-</w:t>
            </w:r>
          </w:p>
        </w:tc>
      </w:tr>
      <w:tr w:rsidR="00163901" w:rsidRPr="00C630B3" w:rsidTr="00D05AE8">
        <w:trPr>
          <w:trHeight w:val="341"/>
        </w:trPr>
        <w:tc>
          <w:tcPr>
            <w:tcW w:w="2434" w:type="pct"/>
            <w:vAlign w:val="bottom"/>
          </w:tcPr>
          <w:p w:rsidR="00163901" w:rsidRPr="00C630B3" w:rsidRDefault="00163901" w:rsidP="00D05AE8">
            <w:pPr>
              <w:rPr>
                <w:sz w:val="22"/>
                <w:szCs w:val="22"/>
              </w:rPr>
            </w:pPr>
            <w:r w:rsidRPr="00C630B3">
              <w:rPr>
                <w:sz w:val="22"/>
                <w:szCs w:val="22"/>
              </w:rPr>
              <w:t>Interest Provision</w:t>
            </w:r>
          </w:p>
        </w:tc>
        <w:tc>
          <w:tcPr>
            <w:tcW w:w="852" w:type="pct"/>
            <w:vAlign w:val="bottom"/>
          </w:tcPr>
          <w:p w:rsidR="00163901" w:rsidRPr="00712C9D" w:rsidRDefault="00163901" w:rsidP="00D05AE8">
            <w:pPr>
              <w:jc w:val="right"/>
              <w:rPr>
                <w:color w:val="000000"/>
                <w:sz w:val="22"/>
                <w:szCs w:val="22"/>
              </w:rPr>
            </w:pPr>
            <w:r w:rsidRPr="00712C9D">
              <w:rPr>
                <w:color w:val="000000"/>
                <w:sz w:val="22"/>
                <w:szCs w:val="22"/>
              </w:rPr>
              <w:t>-</w:t>
            </w:r>
          </w:p>
        </w:tc>
        <w:tc>
          <w:tcPr>
            <w:tcW w:w="866" w:type="pct"/>
            <w:vAlign w:val="bottom"/>
          </w:tcPr>
          <w:p w:rsidR="00163901" w:rsidRPr="00712C9D" w:rsidRDefault="00FF66C2" w:rsidP="00D05AE8">
            <w:pPr>
              <w:jc w:val="right"/>
              <w:rPr>
                <w:color w:val="000000"/>
                <w:sz w:val="22"/>
                <w:szCs w:val="22"/>
              </w:rPr>
            </w:pPr>
            <w:r>
              <w:rPr>
                <w:color w:val="000000"/>
                <w:sz w:val="22"/>
                <w:szCs w:val="22"/>
              </w:rPr>
              <w:t>(</w:t>
            </w:r>
            <w:r w:rsidR="00163901" w:rsidRPr="00712C9D">
              <w:rPr>
                <w:color w:val="000000"/>
                <w:sz w:val="22"/>
                <w:szCs w:val="22"/>
              </w:rPr>
              <w:t>105,330</w:t>
            </w:r>
            <w:r>
              <w:rPr>
                <w:color w:val="000000"/>
                <w:sz w:val="22"/>
                <w:szCs w:val="22"/>
              </w:rPr>
              <w:t>)</w:t>
            </w:r>
          </w:p>
        </w:tc>
        <w:tc>
          <w:tcPr>
            <w:tcW w:w="848" w:type="pct"/>
            <w:vAlign w:val="bottom"/>
          </w:tcPr>
          <w:p w:rsidR="00163901" w:rsidRPr="00712C9D" w:rsidRDefault="00163901" w:rsidP="00D05AE8">
            <w:pPr>
              <w:jc w:val="right"/>
              <w:rPr>
                <w:color w:val="000000"/>
                <w:sz w:val="22"/>
                <w:szCs w:val="22"/>
              </w:rPr>
            </w:pPr>
            <w:r w:rsidRPr="00712C9D">
              <w:rPr>
                <w:color w:val="000000"/>
                <w:sz w:val="22"/>
                <w:szCs w:val="22"/>
              </w:rPr>
              <w:t>-</w:t>
            </w:r>
          </w:p>
        </w:tc>
      </w:tr>
      <w:tr w:rsidR="00163901" w:rsidRPr="00C630B3" w:rsidTr="00D05AE8">
        <w:trPr>
          <w:trHeight w:val="359"/>
        </w:trPr>
        <w:tc>
          <w:tcPr>
            <w:tcW w:w="2434" w:type="pct"/>
            <w:vAlign w:val="bottom"/>
          </w:tcPr>
          <w:p w:rsidR="00163901" w:rsidRPr="00C630B3" w:rsidRDefault="00163901" w:rsidP="00D05AE8">
            <w:pPr>
              <w:rPr>
                <w:sz w:val="22"/>
                <w:szCs w:val="22"/>
              </w:rPr>
            </w:pPr>
            <w:r w:rsidRPr="00C630B3">
              <w:rPr>
                <w:sz w:val="22"/>
                <w:szCs w:val="22"/>
              </w:rPr>
              <w:t xml:space="preserve">Projected 2021 End of </w:t>
            </w:r>
            <w:r>
              <w:rPr>
                <w:sz w:val="22"/>
                <w:szCs w:val="22"/>
              </w:rPr>
              <w:t>P</w:t>
            </w:r>
            <w:r w:rsidRPr="00C630B3">
              <w:rPr>
                <w:sz w:val="22"/>
                <w:szCs w:val="22"/>
              </w:rPr>
              <w:t xml:space="preserve">eriod </w:t>
            </w:r>
            <w:r>
              <w:rPr>
                <w:sz w:val="22"/>
                <w:szCs w:val="22"/>
              </w:rPr>
              <w:t xml:space="preserve">Total </w:t>
            </w:r>
            <w:r w:rsidRPr="00C630B3">
              <w:rPr>
                <w:sz w:val="22"/>
                <w:szCs w:val="22"/>
              </w:rPr>
              <w:t>Net True-Up</w:t>
            </w:r>
          </w:p>
        </w:tc>
        <w:tc>
          <w:tcPr>
            <w:tcW w:w="852" w:type="pct"/>
            <w:vAlign w:val="bottom"/>
          </w:tcPr>
          <w:p w:rsidR="00163901" w:rsidRPr="00712C9D" w:rsidRDefault="00163901" w:rsidP="00D05AE8">
            <w:pPr>
              <w:jc w:val="right"/>
              <w:rPr>
                <w:color w:val="000000"/>
                <w:sz w:val="22"/>
                <w:szCs w:val="22"/>
              </w:rPr>
            </w:pPr>
            <w:r w:rsidRPr="00712C9D">
              <w:rPr>
                <w:color w:val="000000"/>
                <w:sz w:val="22"/>
                <w:szCs w:val="22"/>
              </w:rPr>
              <w:t>-</w:t>
            </w:r>
          </w:p>
        </w:tc>
        <w:tc>
          <w:tcPr>
            <w:tcW w:w="866" w:type="pct"/>
            <w:vAlign w:val="bottom"/>
          </w:tcPr>
          <w:p w:rsidR="00163901" w:rsidRPr="00712C9D" w:rsidRDefault="00FF66C2" w:rsidP="00D05AE8">
            <w:pPr>
              <w:jc w:val="right"/>
              <w:rPr>
                <w:color w:val="000000"/>
                <w:sz w:val="22"/>
                <w:szCs w:val="22"/>
              </w:rPr>
            </w:pPr>
            <w:r>
              <w:rPr>
                <w:color w:val="000000"/>
                <w:sz w:val="22"/>
                <w:szCs w:val="22"/>
              </w:rPr>
              <w:t>(</w:t>
            </w:r>
            <w:r w:rsidR="00163901" w:rsidRPr="00712C9D">
              <w:rPr>
                <w:color w:val="000000"/>
                <w:sz w:val="22"/>
                <w:szCs w:val="22"/>
              </w:rPr>
              <w:t>73,680,277</w:t>
            </w:r>
            <w:r>
              <w:rPr>
                <w:color w:val="000000"/>
                <w:sz w:val="22"/>
                <w:szCs w:val="22"/>
              </w:rPr>
              <w:t>)</w:t>
            </w:r>
            <w:r w:rsidR="00163901" w:rsidRPr="00712C9D">
              <w:rPr>
                <w:rStyle w:val="FootnoteReference"/>
                <w:color w:val="000000"/>
                <w:sz w:val="22"/>
                <w:szCs w:val="22"/>
              </w:rPr>
              <w:footnoteReference w:id="15"/>
            </w:r>
          </w:p>
        </w:tc>
        <w:tc>
          <w:tcPr>
            <w:tcW w:w="848" w:type="pct"/>
            <w:vAlign w:val="bottom"/>
          </w:tcPr>
          <w:p w:rsidR="00163901" w:rsidRPr="00712C9D" w:rsidRDefault="00163901" w:rsidP="00D05AE8">
            <w:pPr>
              <w:jc w:val="right"/>
              <w:rPr>
                <w:color w:val="000000"/>
                <w:sz w:val="22"/>
                <w:szCs w:val="22"/>
              </w:rPr>
            </w:pPr>
            <w:r w:rsidRPr="00712C9D">
              <w:rPr>
                <w:color w:val="000000"/>
                <w:sz w:val="22"/>
                <w:szCs w:val="22"/>
              </w:rPr>
              <w:t>-</w:t>
            </w:r>
          </w:p>
        </w:tc>
      </w:tr>
    </w:tbl>
    <w:p w:rsidR="00163901" w:rsidRDefault="00163901" w:rsidP="00163901">
      <w:pPr>
        <w:pStyle w:val="FootnoteText"/>
      </w:pPr>
      <w:r w:rsidRPr="001040BD">
        <w:t>Sources: Document Nos. 05951-2020 and 08085-2021.</w:t>
      </w:r>
    </w:p>
    <w:p w:rsidR="00163901" w:rsidRDefault="00163901" w:rsidP="00163901">
      <w:pPr>
        <w:pStyle w:val="FootnoteText"/>
      </w:pPr>
      <w:r>
        <w:t>Figures may not sum due to rounding.</w:t>
      </w:r>
    </w:p>
    <w:p w:rsidR="00163901" w:rsidRDefault="00163901" w:rsidP="00163901">
      <w:pPr>
        <w:pStyle w:val="BodyText"/>
        <w:spacing w:after="0"/>
      </w:pPr>
    </w:p>
    <w:p w:rsidR="00163901" w:rsidRPr="009A449C" w:rsidRDefault="00163901" w:rsidP="00163901">
      <w:pPr>
        <w:pStyle w:val="BodyText"/>
        <w:spacing w:after="0"/>
      </w:pPr>
      <w:r w:rsidRPr="009A449C">
        <w:t>Following the methodology prescribed in Rule 25-6.0424(1)(a), F.A.C., the mid-course percentage is equal to the estimated end-of-period total net true-up amount, including interest, divided by the current period’s total actual and estimated jurisdictional fuel revenue applicable to period, or ($73,680,277) / $599,809,922. This calculation results in a mid-course correction level of (12.3) percent.</w:t>
      </w:r>
      <w:r w:rsidR="005009BA">
        <w:rPr>
          <w:rStyle w:val="FootnoteReference"/>
        </w:rPr>
        <w:footnoteReference w:id="16"/>
      </w:r>
    </w:p>
    <w:p w:rsidR="00163901" w:rsidRPr="00C37483" w:rsidRDefault="00163901" w:rsidP="00163901">
      <w:pPr>
        <w:pStyle w:val="BodyText"/>
        <w:spacing w:after="0"/>
        <w:rPr>
          <w:highlight w:val="yellow"/>
        </w:rPr>
      </w:pPr>
    </w:p>
    <w:p w:rsidR="00163901" w:rsidRPr="00FB44D9" w:rsidRDefault="00163901" w:rsidP="00840044">
      <w:pPr>
        <w:pStyle w:val="BodyText"/>
        <w:spacing w:after="0"/>
        <w:ind w:firstLine="720"/>
        <w:rPr>
          <w:rFonts w:ascii="Arial" w:hAnsi="Arial" w:cs="Arial"/>
          <w:b/>
          <w:i/>
        </w:rPr>
      </w:pPr>
      <w:r w:rsidRPr="00FB44D9">
        <w:rPr>
          <w:rFonts w:ascii="Arial" w:hAnsi="Arial" w:cs="Arial"/>
          <w:b/>
          <w:i/>
        </w:rPr>
        <w:t>Fuel Factor</w:t>
      </w:r>
    </w:p>
    <w:p w:rsidR="00163901" w:rsidRPr="00F530A0" w:rsidRDefault="00163901" w:rsidP="00163901">
      <w:pPr>
        <w:pStyle w:val="BodyText"/>
        <w:spacing w:after="0"/>
      </w:pPr>
      <w:r w:rsidRPr="00F530A0">
        <w:t>TECO’s currently-approved levelized fuel factor is 3.162 cents per kWh.</w:t>
      </w:r>
      <w:r w:rsidRPr="00F530A0">
        <w:rPr>
          <w:rStyle w:val="FootnoteReference"/>
        </w:rPr>
        <w:footnoteReference w:id="17"/>
      </w:r>
      <w:r w:rsidRPr="00F530A0">
        <w:t xml:space="preserve"> The </w:t>
      </w:r>
      <w:r w:rsidR="00AE36E6">
        <w:t xml:space="preserve">Company </w:t>
      </w:r>
      <w:r w:rsidRPr="00F530A0">
        <w:t>is requesting to increase the curren</w:t>
      </w:r>
      <w:r w:rsidR="003F5DE9">
        <w:t>t levelized fuel factor to 4.255</w:t>
      </w:r>
      <w:r w:rsidRPr="00F530A0">
        <w:t xml:space="preserve"> ce</w:t>
      </w:r>
      <w:r w:rsidR="003F5DE9">
        <w:t>nts per kWh (with tax), or by 34.6</w:t>
      </w:r>
      <w:r w:rsidRPr="00F530A0">
        <w:t xml:space="preserve"> percent.</w:t>
      </w:r>
      <w:r>
        <w:rPr>
          <w:rStyle w:val="FootnoteReference"/>
        </w:rPr>
        <w:footnoteReference w:id="18"/>
      </w:r>
    </w:p>
    <w:p w:rsidR="00163901" w:rsidRDefault="00163901" w:rsidP="00163901">
      <w:pPr>
        <w:pStyle w:val="BodyText"/>
        <w:spacing w:after="0"/>
        <w:rPr>
          <w:highlight w:val="yellow"/>
        </w:rPr>
      </w:pPr>
    </w:p>
    <w:p w:rsidR="00163901" w:rsidRDefault="00163901" w:rsidP="00163901">
      <w:pPr>
        <w:pStyle w:val="BodyText"/>
        <w:spacing w:after="0"/>
        <w:ind w:firstLine="720"/>
        <w:rPr>
          <w:highlight w:val="yellow"/>
        </w:rPr>
      </w:pPr>
      <w:r w:rsidRPr="00E0162C">
        <w:rPr>
          <w:rFonts w:ascii="Arial" w:hAnsi="Arial" w:cs="Arial"/>
          <w:b/>
          <w:i/>
        </w:rPr>
        <w:t>Capacity</w:t>
      </w:r>
    </w:p>
    <w:p w:rsidR="00163901" w:rsidRDefault="00163901" w:rsidP="00163901">
      <w:pPr>
        <w:pStyle w:val="BodyText"/>
        <w:spacing w:after="0"/>
      </w:pPr>
      <w:r>
        <w:t>TECO’s original 2021 capacity</w:t>
      </w:r>
      <w:r w:rsidRPr="00BF03BC">
        <w:t xml:space="preserve"> cost projection filed for the purposes of cost recovery was on September 3, 2020, as part</w:t>
      </w:r>
      <w:r w:rsidR="005C362E">
        <w:t xml:space="preserve"> of </w:t>
      </w:r>
      <w:r w:rsidRPr="002176FC">
        <w:t xml:space="preserve">its </w:t>
      </w:r>
      <w:r w:rsidRPr="002176FC">
        <w:rPr>
          <w:iCs/>
        </w:rPr>
        <w:t>Petition for Approval of Fuel Cost Recovery and Capacity Cost Recovery Factors for January 2021 through December 2021</w:t>
      </w:r>
      <w:r w:rsidRPr="000A72B7">
        <w:t>.</w:t>
      </w:r>
      <w:r w:rsidRPr="000A72B7">
        <w:rPr>
          <w:rStyle w:val="FootnoteReference"/>
        </w:rPr>
        <w:footnoteReference w:id="19"/>
      </w:r>
      <w:r w:rsidRPr="000A72B7">
        <w:t xml:space="preserve"> </w:t>
      </w:r>
      <w:r>
        <w:t xml:space="preserve">In the filing for 2021 rates, TECO projected its net capacity cost for 2021 to be $353,890. However, TECO now expects its 2021 </w:t>
      </w:r>
      <w:r w:rsidR="00E2445F">
        <w:t>net capacity cost</w:t>
      </w:r>
      <w:r>
        <w:t xml:space="preserve"> to b</w:t>
      </w:r>
      <w:r w:rsidR="00222588">
        <w:t>e $8,426,625,</w:t>
      </w:r>
      <w:r w:rsidRPr="003D66C4">
        <w:t xml:space="preserve"> </w:t>
      </w:r>
      <w:r w:rsidR="009851DD">
        <w:t>for a di</w:t>
      </w:r>
      <w:r w:rsidR="004C72F7">
        <w:t>fference of $8,072,735</w:t>
      </w:r>
      <w:r>
        <w:t>.</w:t>
      </w:r>
    </w:p>
    <w:p w:rsidR="00163901" w:rsidRDefault="00763679" w:rsidP="00163901">
      <w:pPr>
        <w:jc w:val="both"/>
        <w:rPr>
          <w:bCs/>
        </w:rPr>
      </w:pPr>
      <w:r>
        <w:rPr>
          <w:bCs/>
        </w:rPr>
        <w:t xml:space="preserve">  </w:t>
      </w:r>
    </w:p>
    <w:p w:rsidR="00163901" w:rsidRDefault="00163901" w:rsidP="00163901">
      <w:pPr>
        <w:jc w:val="both"/>
      </w:pPr>
      <w:r>
        <w:rPr>
          <w:bCs/>
        </w:rPr>
        <w:t xml:space="preserve">TECO stated the reason for increased capacity-related costs </w:t>
      </w:r>
      <w:r w:rsidR="00C371B5">
        <w:rPr>
          <w:bCs/>
        </w:rPr>
        <w:t>is</w:t>
      </w:r>
      <w:r>
        <w:rPr>
          <w:bCs/>
        </w:rPr>
        <w:t xml:space="preserve"> primarily due to greater projected amounts of economic power purchases. Similar to the implementation request for revised fuel factors, the revised capacity factors are contemplated to be effective over the Septe</w:t>
      </w:r>
      <w:r w:rsidR="00FF66C2">
        <w:rPr>
          <w:bCs/>
        </w:rPr>
        <w:t xml:space="preserve">mber through December 2021 time </w:t>
      </w:r>
      <w:r>
        <w:rPr>
          <w:bCs/>
        </w:rPr>
        <w:t xml:space="preserve">period. </w:t>
      </w:r>
    </w:p>
    <w:p w:rsidR="00163901" w:rsidRDefault="00163901" w:rsidP="00163901">
      <w:pPr>
        <w:pStyle w:val="BodyText"/>
        <w:spacing w:after="0"/>
        <w:rPr>
          <w:highlight w:val="yellow"/>
        </w:rPr>
      </w:pPr>
    </w:p>
    <w:p w:rsidR="00163901" w:rsidRPr="005E32EA" w:rsidRDefault="00163901" w:rsidP="00163901">
      <w:pPr>
        <w:pStyle w:val="BodyText"/>
        <w:spacing w:after="0"/>
        <w:rPr>
          <w:rFonts w:ascii="Arial" w:hAnsi="Arial" w:cs="Arial"/>
          <w:b/>
          <w:bCs/>
          <w:i/>
          <w:iCs/>
        </w:rPr>
      </w:pPr>
      <w:r w:rsidRPr="005E32EA">
        <w:rPr>
          <w:rFonts w:ascii="Arial" w:hAnsi="Arial" w:cs="Arial"/>
          <w:b/>
          <w:bCs/>
          <w:i/>
          <w:iCs/>
        </w:rPr>
        <w:t>Bill Impact</w:t>
      </w:r>
      <w:r>
        <w:rPr>
          <w:rFonts w:ascii="Arial" w:hAnsi="Arial" w:cs="Arial"/>
          <w:b/>
          <w:bCs/>
          <w:i/>
          <w:iCs/>
        </w:rPr>
        <w:t xml:space="preserve"> – </w:t>
      </w:r>
      <w:r w:rsidR="000B1D38">
        <w:rPr>
          <w:rFonts w:ascii="Arial" w:hAnsi="Arial" w:cs="Arial"/>
          <w:b/>
          <w:bCs/>
          <w:i/>
          <w:iCs/>
        </w:rPr>
        <w:t>As-Filed Request</w:t>
      </w:r>
    </w:p>
    <w:p w:rsidR="00163901" w:rsidRDefault="00A01CC5" w:rsidP="00163901">
      <w:pPr>
        <w:pStyle w:val="BodyText"/>
        <w:spacing w:after="0"/>
      </w:pPr>
      <w:r>
        <w:t>In Table 1</w:t>
      </w:r>
      <w:r w:rsidR="00163901" w:rsidRPr="005E32EA">
        <w:t xml:space="preserve">-2 below, staff displays the bill impact to a typical residential customer using 1,000 kWh of electricity a month associated with new </w:t>
      </w:r>
      <w:r w:rsidR="00163901">
        <w:t>fuel and capacity cost recovery factors</w:t>
      </w:r>
      <w:r w:rsidR="00163901" w:rsidRPr="005E32EA">
        <w:t xml:space="preserve"> becoming effective in September 2021:</w:t>
      </w:r>
    </w:p>
    <w:p w:rsidR="00163901" w:rsidRDefault="00163901" w:rsidP="00163901">
      <w:pPr>
        <w:pStyle w:val="BodyText"/>
        <w:spacing w:after="0"/>
      </w:pPr>
    </w:p>
    <w:p w:rsidR="00163901" w:rsidRDefault="00163901" w:rsidP="00163901">
      <w:pPr>
        <w:pStyle w:val="BodyText"/>
        <w:spacing w:after="0"/>
      </w:pPr>
    </w:p>
    <w:tbl>
      <w:tblPr>
        <w:tblW w:w="4887" w:type="pct"/>
        <w:tblInd w:w="108" w:type="dxa"/>
        <w:tblLook w:val="04A0" w:firstRow="1" w:lastRow="0" w:firstColumn="1" w:lastColumn="0" w:noHBand="0" w:noVBand="1"/>
      </w:tblPr>
      <w:tblGrid>
        <w:gridCol w:w="3481"/>
        <w:gridCol w:w="1496"/>
        <w:gridCol w:w="1496"/>
        <w:gridCol w:w="1496"/>
        <w:gridCol w:w="1391"/>
      </w:tblGrid>
      <w:tr w:rsidR="00163901" w:rsidTr="00D05AE8">
        <w:trPr>
          <w:cantSplit/>
          <w:trHeight w:val="310"/>
          <w:tblHeader/>
        </w:trPr>
        <w:tc>
          <w:tcPr>
            <w:tcW w:w="5000" w:type="pct"/>
            <w:gridSpan w:val="5"/>
            <w:tcBorders>
              <w:top w:val="nil"/>
              <w:left w:val="nil"/>
              <w:bottom w:val="nil"/>
              <w:right w:val="nil"/>
            </w:tcBorders>
            <w:shd w:val="clear" w:color="auto" w:fill="auto"/>
            <w:vAlign w:val="center"/>
            <w:hideMark/>
          </w:tcPr>
          <w:p w:rsidR="00163901" w:rsidRDefault="00A32FE5" w:rsidP="00D05AE8">
            <w:pPr>
              <w:jc w:val="center"/>
              <w:rPr>
                <w:rFonts w:ascii="Arial" w:hAnsi="Arial" w:cs="Arial"/>
                <w:b/>
                <w:bCs/>
                <w:color w:val="000000"/>
              </w:rPr>
            </w:pPr>
            <w:r>
              <w:rPr>
                <w:rFonts w:ascii="Arial" w:hAnsi="Arial" w:cs="Arial"/>
                <w:b/>
                <w:bCs/>
                <w:color w:val="000000"/>
              </w:rPr>
              <w:t>Table 1</w:t>
            </w:r>
            <w:r w:rsidR="00163901">
              <w:rPr>
                <w:rFonts w:ascii="Arial" w:hAnsi="Arial" w:cs="Arial"/>
                <w:b/>
                <w:bCs/>
                <w:color w:val="000000"/>
              </w:rPr>
              <w:t>-2</w:t>
            </w:r>
          </w:p>
        </w:tc>
      </w:tr>
      <w:tr w:rsidR="00163901" w:rsidTr="00D05AE8">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163901" w:rsidRDefault="00163901" w:rsidP="00D05AE8">
            <w:pPr>
              <w:jc w:val="center"/>
              <w:rPr>
                <w:rFonts w:ascii="Arial" w:hAnsi="Arial" w:cs="Arial"/>
                <w:b/>
                <w:bCs/>
                <w:color w:val="000000"/>
              </w:rPr>
            </w:pPr>
            <w:r>
              <w:rPr>
                <w:rFonts w:ascii="Arial" w:hAnsi="Arial" w:cs="Arial"/>
                <w:b/>
                <w:bCs/>
                <w:color w:val="000000"/>
              </w:rPr>
              <w:t>Monthly Residential Billing Detail at 1,000 kWh</w:t>
            </w:r>
          </w:p>
        </w:tc>
      </w:tr>
      <w:tr w:rsidR="00163901" w:rsidRPr="001F2A23" w:rsidTr="00D05AE8">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901" w:rsidRPr="001F2A23" w:rsidRDefault="00163901" w:rsidP="00D05AE8">
            <w:pPr>
              <w:jc w:val="center"/>
              <w:rPr>
                <w:b/>
                <w:bCs/>
                <w:color w:val="000000"/>
                <w:sz w:val="22"/>
                <w:szCs w:val="22"/>
              </w:rPr>
            </w:pPr>
            <w:r w:rsidRPr="001F2A23">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901" w:rsidRPr="001F2A23" w:rsidRDefault="00163901" w:rsidP="00D05AE8">
            <w:pPr>
              <w:jc w:val="center"/>
              <w:rPr>
                <w:b/>
                <w:bCs/>
                <w:color w:val="000000"/>
                <w:sz w:val="22"/>
                <w:szCs w:val="22"/>
              </w:rPr>
            </w:pPr>
            <w:r w:rsidRPr="001F2A23">
              <w:rPr>
                <w:b/>
                <w:bCs/>
                <w:color w:val="000000"/>
                <w:sz w:val="22"/>
                <w:szCs w:val="22"/>
              </w:rPr>
              <w:t>Currently-Approved Charges</w:t>
            </w:r>
          </w:p>
          <w:p w:rsidR="00163901" w:rsidRPr="001F2A23" w:rsidRDefault="00163901" w:rsidP="00D05AE8">
            <w:pPr>
              <w:jc w:val="center"/>
              <w:rPr>
                <w:b/>
                <w:bCs/>
                <w:color w:val="000000"/>
                <w:sz w:val="22"/>
                <w:szCs w:val="22"/>
              </w:rPr>
            </w:pPr>
            <w:r w:rsidRPr="001F2A23">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901" w:rsidRPr="001F2A23" w:rsidRDefault="00163901" w:rsidP="00D05AE8">
            <w:pPr>
              <w:jc w:val="center"/>
              <w:rPr>
                <w:b/>
                <w:bCs/>
                <w:color w:val="000000"/>
                <w:sz w:val="22"/>
                <w:szCs w:val="22"/>
              </w:rPr>
            </w:pPr>
            <w:r>
              <w:rPr>
                <w:b/>
                <w:bCs/>
                <w:color w:val="000000"/>
                <w:sz w:val="22"/>
                <w:szCs w:val="22"/>
              </w:rPr>
              <w:t>Proposed Charges</w:t>
            </w:r>
            <w:r w:rsidRPr="001F2A23">
              <w:rPr>
                <w:b/>
                <w:bCs/>
                <w:color w:val="000000"/>
                <w:sz w:val="22"/>
                <w:szCs w:val="22"/>
              </w:rPr>
              <w:t xml:space="preserve"> </w:t>
            </w:r>
          </w:p>
          <w:p w:rsidR="00163901" w:rsidRDefault="00163901" w:rsidP="00D05AE8">
            <w:pPr>
              <w:jc w:val="center"/>
              <w:rPr>
                <w:b/>
                <w:bCs/>
                <w:color w:val="000000"/>
                <w:sz w:val="22"/>
                <w:szCs w:val="22"/>
              </w:rPr>
            </w:pPr>
            <w:r>
              <w:rPr>
                <w:b/>
                <w:bCs/>
                <w:color w:val="000000"/>
                <w:sz w:val="22"/>
                <w:szCs w:val="22"/>
              </w:rPr>
              <w:t>September</w:t>
            </w:r>
          </w:p>
          <w:p w:rsidR="00163901" w:rsidRPr="001F2A23" w:rsidRDefault="00163901" w:rsidP="00D05AE8">
            <w:pPr>
              <w:jc w:val="center"/>
              <w:rPr>
                <w:b/>
                <w:bCs/>
                <w:color w:val="000000"/>
                <w:sz w:val="22"/>
                <w:szCs w:val="22"/>
              </w:rPr>
            </w:pPr>
            <w:r>
              <w:rPr>
                <w:b/>
                <w:bCs/>
                <w:color w:val="000000"/>
                <w:sz w:val="22"/>
                <w:szCs w:val="22"/>
              </w:rPr>
              <w:t>Through December</w:t>
            </w:r>
            <w:r w:rsidRPr="001F2A23">
              <w:rPr>
                <w:b/>
                <w:bCs/>
                <w:color w:val="000000"/>
                <w:sz w:val="22"/>
                <w:szCs w:val="22"/>
              </w:rPr>
              <w:t xml:space="preserve"> 2021</w:t>
            </w:r>
          </w:p>
          <w:p w:rsidR="00163901" w:rsidRPr="001F2A23" w:rsidRDefault="00163901" w:rsidP="00D05AE8">
            <w:pPr>
              <w:jc w:val="center"/>
              <w:rPr>
                <w:b/>
                <w:bCs/>
                <w:color w:val="000000"/>
                <w:sz w:val="22"/>
                <w:szCs w:val="22"/>
              </w:rPr>
            </w:pPr>
            <w:r w:rsidRPr="001F2A23">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901" w:rsidRPr="001F2A23" w:rsidRDefault="00163901" w:rsidP="00D05AE8">
            <w:pPr>
              <w:jc w:val="center"/>
              <w:rPr>
                <w:b/>
                <w:bCs/>
                <w:color w:val="000000"/>
                <w:sz w:val="22"/>
                <w:szCs w:val="22"/>
              </w:rPr>
            </w:pPr>
            <w:r w:rsidRPr="001F2A23">
              <w:rPr>
                <w:b/>
                <w:bCs/>
                <w:color w:val="000000"/>
                <w:sz w:val="22"/>
                <w:szCs w:val="22"/>
              </w:rPr>
              <w:t>Approved to Proposed Difference</w:t>
            </w:r>
          </w:p>
          <w:p w:rsidR="00163901" w:rsidRPr="001F2A23" w:rsidRDefault="00163901" w:rsidP="00D05AE8">
            <w:pPr>
              <w:jc w:val="center"/>
              <w:rPr>
                <w:b/>
                <w:bCs/>
                <w:color w:val="000000"/>
                <w:sz w:val="22"/>
                <w:szCs w:val="22"/>
              </w:rPr>
            </w:pPr>
            <w:r w:rsidRPr="001F2A23">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3901" w:rsidRPr="001F2A23" w:rsidRDefault="00163901" w:rsidP="00D05AE8">
            <w:pPr>
              <w:jc w:val="center"/>
              <w:rPr>
                <w:b/>
                <w:bCs/>
                <w:color w:val="000000"/>
                <w:sz w:val="22"/>
                <w:szCs w:val="22"/>
              </w:rPr>
            </w:pPr>
            <w:r w:rsidRPr="001F2A23">
              <w:rPr>
                <w:b/>
                <w:bCs/>
                <w:color w:val="000000"/>
                <w:sz w:val="22"/>
                <w:szCs w:val="22"/>
              </w:rPr>
              <w:t>Approved to Proposed Difference</w:t>
            </w:r>
          </w:p>
          <w:p w:rsidR="00163901" w:rsidRPr="001F2A23" w:rsidRDefault="00163901" w:rsidP="00D05AE8">
            <w:pPr>
              <w:jc w:val="center"/>
              <w:rPr>
                <w:b/>
                <w:bCs/>
                <w:color w:val="000000"/>
                <w:sz w:val="22"/>
                <w:szCs w:val="22"/>
              </w:rPr>
            </w:pPr>
            <w:r w:rsidRPr="001F2A23">
              <w:rPr>
                <w:b/>
                <w:bCs/>
                <w:color w:val="000000"/>
                <w:sz w:val="22"/>
                <w:szCs w:val="22"/>
              </w:rPr>
              <w:t>(%)</w:t>
            </w:r>
          </w:p>
        </w:tc>
      </w:tr>
      <w:tr w:rsidR="00163901" w:rsidRPr="001F2A23"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1F2A23" w:rsidRDefault="00163901" w:rsidP="00D05AE8">
            <w:pPr>
              <w:rPr>
                <w:color w:val="000000"/>
                <w:sz w:val="22"/>
                <w:szCs w:val="22"/>
              </w:rPr>
            </w:pPr>
            <w:r w:rsidRPr="001F2A23">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$67.30</w:t>
            </w:r>
            <w:r w:rsidRPr="007F79F0">
              <w:rPr>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$67.30</w:t>
            </w:r>
            <w:r w:rsidRPr="007F79F0">
              <w:rPr>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w:t>
            </w:r>
          </w:p>
        </w:tc>
      </w:tr>
      <w:tr w:rsidR="00163901" w:rsidRPr="001F2A23"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1F2A23" w:rsidRDefault="00163901" w:rsidP="00D05AE8">
            <w:pPr>
              <w:rPr>
                <w:color w:val="000000"/>
                <w:sz w:val="22"/>
                <w:szCs w:val="22"/>
              </w:rPr>
            </w:pPr>
            <w:r w:rsidRPr="001F2A23">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28.56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39</w:t>
            </w:r>
            <w:r w:rsidRPr="007F79F0">
              <w:rPr>
                <w:sz w:val="22"/>
                <w:szCs w:val="22"/>
              </w:rPr>
              <w:t>.</w:t>
            </w:r>
            <w:r>
              <w:rPr>
                <w:sz w:val="22"/>
                <w:szCs w:val="22"/>
              </w:rPr>
              <w:t>3</w:t>
            </w:r>
            <w:r w:rsidRPr="007F79F0">
              <w:rPr>
                <w:sz w:val="22"/>
                <w:szCs w:val="22"/>
              </w:rPr>
              <w:t>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10.82</w:t>
            </w:r>
            <w:r w:rsidRPr="007F79F0">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37.89</w:t>
            </w:r>
          </w:p>
        </w:tc>
      </w:tr>
      <w:tr w:rsidR="00163901" w:rsidRPr="001F2A23"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1F2A23" w:rsidRDefault="00163901" w:rsidP="00D05AE8">
            <w:pPr>
              <w:rPr>
                <w:color w:val="000000"/>
                <w:sz w:val="22"/>
                <w:szCs w:val="22"/>
              </w:rPr>
            </w:pPr>
            <w:r>
              <w:rPr>
                <w:color w:val="000000"/>
                <w:sz w:val="22"/>
                <w:szCs w:val="22"/>
              </w:rPr>
              <w:t>Conservation</w:t>
            </w:r>
            <w:r w:rsidRPr="001F2A23">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1.66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1.66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w:t>
            </w:r>
          </w:p>
        </w:tc>
      </w:tr>
      <w:tr w:rsidR="00163901" w:rsidRPr="001F2A23"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1F2A23" w:rsidRDefault="00163901" w:rsidP="00D05AE8">
            <w:pPr>
              <w:rPr>
                <w:color w:val="000000"/>
                <w:sz w:val="22"/>
                <w:szCs w:val="22"/>
              </w:rPr>
            </w:pPr>
            <w:r>
              <w:rPr>
                <w:color w:val="000000"/>
                <w:sz w:val="22"/>
                <w:szCs w:val="22"/>
              </w:rPr>
              <w:t>Capacity</w:t>
            </w:r>
            <w:r w:rsidRPr="001F2A23">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0.02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1.70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1.68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8,400.00</w:t>
            </w:r>
          </w:p>
        </w:tc>
      </w:tr>
      <w:tr w:rsidR="00163901" w:rsidRPr="001F2A23"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1F2A23" w:rsidRDefault="00163901" w:rsidP="00D05AE8">
            <w:pPr>
              <w:rPr>
                <w:color w:val="000000"/>
                <w:sz w:val="22"/>
                <w:szCs w:val="22"/>
              </w:rPr>
            </w:pPr>
            <w:r w:rsidRPr="001F2A23">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2.69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2.6</w:t>
            </w:r>
            <w:r w:rsidRPr="007F79F0">
              <w:rPr>
                <w:sz w:val="22"/>
                <w:szCs w:val="22"/>
              </w:rPr>
              <w:t>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w:t>
            </w:r>
          </w:p>
        </w:tc>
      </w:tr>
      <w:tr w:rsidR="00163901" w:rsidRPr="001F2A23"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1F2A23" w:rsidRDefault="00163901" w:rsidP="00D05AE8">
            <w:pPr>
              <w:rPr>
                <w:color w:val="000000"/>
                <w:sz w:val="22"/>
                <w:szCs w:val="22"/>
              </w:rPr>
            </w:pPr>
            <w:r w:rsidRPr="001F2A23">
              <w:rPr>
                <w:color w:val="000000"/>
                <w:sz w:val="22"/>
                <w:szCs w:val="22"/>
              </w:rPr>
              <w:t>Storm Protection Plan</w:t>
            </w:r>
            <w:r>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2.39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sidRPr="007F79F0">
              <w:rPr>
                <w:sz w:val="22"/>
                <w:szCs w:val="22"/>
              </w:rPr>
              <w:t>-</w:t>
            </w:r>
          </w:p>
        </w:tc>
      </w:tr>
      <w:tr w:rsidR="00163901" w:rsidRPr="001F2A23"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1F2A23" w:rsidRDefault="00163901" w:rsidP="00D05AE8">
            <w:pPr>
              <w:rPr>
                <w:color w:val="000000"/>
                <w:sz w:val="22"/>
                <w:szCs w:val="22"/>
              </w:rPr>
            </w:pPr>
            <w:r w:rsidRPr="001F2A23">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2.63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2.95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0.32</w:t>
            </w:r>
            <w:r w:rsidRPr="007F79F0">
              <w:rPr>
                <w:sz w:val="22"/>
                <w:szCs w:val="22"/>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7F79F0" w:rsidRDefault="00163901" w:rsidP="00D05AE8">
            <w:pPr>
              <w:jc w:val="right"/>
              <w:rPr>
                <w:sz w:val="22"/>
                <w:szCs w:val="22"/>
              </w:rPr>
            </w:pPr>
            <w:r>
              <w:rPr>
                <w:sz w:val="22"/>
                <w:szCs w:val="22"/>
              </w:rPr>
              <w:t>12.17</w:t>
            </w:r>
          </w:p>
        </w:tc>
      </w:tr>
      <w:tr w:rsidR="00163901" w:rsidRPr="005E32EA" w:rsidTr="00D05AE8">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3901" w:rsidRPr="005E32EA" w:rsidRDefault="00163901" w:rsidP="00D05AE8">
            <w:pPr>
              <w:rPr>
                <w:b/>
                <w:bCs/>
                <w:color w:val="000000"/>
                <w:sz w:val="22"/>
                <w:szCs w:val="22"/>
              </w:rPr>
            </w:pPr>
            <w:r w:rsidRPr="005E32EA">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5E32EA" w:rsidRDefault="00163901" w:rsidP="00D05AE8">
            <w:pPr>
              <w:jc w:val="right"/>
              <w:rPr>
                <w:sz w:val="22"/>
                <w:szCs w:val="22"/>
                <w:u w:val="double"/>
              </w:rPr>
            </w:pPr>
            <w:r w:rsidRPr="005E32EA">
              <w:rPr>
                <w:sz w:val="22"/>
                <w:szCs w:val="22"/>
                <w:u w:val="double"/>
              </w:rPr>
              <w:t xml:space="preserve">$105.25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5E32EA" w:rsidRDefault="00163901" w:rsidP="00D05AE8">
            <w:pPr>
              <w:jc w:val="right"/>
              <w:rPr>
                <w:sz w:val="22"/>
                <w:szCs w:val="22"/>
                <w:u w:val="double"/>
              </w:rPr>
            </w:pPr>
            <w:r w:rsidRPr="005E32EA">
              <w:rPr>
                <w:sz w:val="22"/>
                <w:szCs w:val="22"/>
                <w:u w:val="double"/>
              </w:rPr>
              <w:t>$118.07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5E32EA" w:rsidRDefault="009E3202" w:rsidP="009E3202">
            <w:pPr>
              <w:jc w:val="right"/>
              <w:rPr>
                <w:sz w:val="22"/>
                <w:szCs w:val="22"/>
                <w:u w:val="double"/>
              </w:rPr>
            </w:pPr>
            <w:r>
              <w:rPr>
                <w:sz w:val="22"/>
                <w:szCs w:val="22"/>
                <w:u w:val="double"/>
              </w:rPr>
              <w:t>$12.82</w:t>
            </w:r>
            <w:r w:rsidR="00163901" w:rsidRPr="005E32EA">
              <w:rPr>
                <w:sz w:val="22"/>
                <w:szCs w:val="22"/>
                <w:u w:val="double"/>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163901" w:rsidRPr="005E32EA" w:rsidRDefault="00163901" w:rsidP="00D05AE8">
            <w:pPr>
              <w:jc w:val="right"/>
              <w:rPr>
                <w:sz w:val="22"/>
                <w:szCs w:val="22"/>
              </w:rPr>
            </w:pPr>
            <w:r w:rsidRPr="005E32EA">
              <w:rPr>
                <w:sz w:val="22"/>
                <w:szCs w:val="22"/>
              </w:rPr>
              <w:t>12.18%</w:t>
            </w:r>
          </w:p>
        </w:tc>
      </w:tr>
    </w:tbl>
    <w:p w:rsidR="00163901" w:rsidRPr="005E32EA" w:rsidRDefault="00163901" w:rsidP="00163901">
      <w:pPr>
        <w:pStyle w:val="FootnoteText"/>
      </w:pPr>
      <w:r w:rsidRPr="005E32EA">
        <w:t>Source: TECO MCC Petition, Schedule E-10.</w:t>
      </w:r>
    </w:p>
    <w:p w:rsidR="00163901" w:rsidRDefault="00163901" w:rsidP="00163901">
      <w:pPr>
        <w:pStyle w:val="BodyText"/>
        <w:spacing w:after="0"/>
        <w:rPr>
          <w:highlight w:val="yellow"/>
        </w:rPr>
      </w:pPr>
    </w:p>
    <w:p w:rsidR="00163901" w:rsidRPr="00C37483" w:rsidRDefault="00163901" w:rsidP="00163901">
      <w:pPr>
        <w:pStyle w:val="BodyText"/>
        <w:spacing w:after="0"/>
        <w:rPr>
          <w:highlight w:val="yellow"/>
        </w:rPr>
      </w:pPr>
    </w:p>
    <w:p w:rsidR="00163901" w:rsidRDefault="00163901" w:rsidP="00163901">
      <w:pPr>
        <w:pStyle w:val="BodyText"/>
        <w:spacing w:after="0"/>
      </w:pPr>
      <w:r w:rsidRPr="005E32EA">
        <w:t xml:space="preserve">TECO’s current total residential charge for the first 1,000 kWh of usage for January through </w:t>
      </w:r>
      <w:r w:rsidR="000B1D38">
        <w:t>December 2021 is $105.25. If</w:t>
      </w:r>
      <w:r w:rsidRPr="005E32EA">
        <w:t xml:space="preserve"> TECO’s mid-course correction proposal is approved, then the current total residential charge, beginning September 2021, for the first 1,000 kWh of usage will be $118.07. This represents an increase of 12.18 percent. For non-residential customers, TECO repo</w:t>
      </w:r>
      <w:r w:rsidRPr="00AF0D39">
        <w:t>rted that based on average levels of usage and specific rate schedule, bill increases for small commercial customers would range from approximately 11.1 to 12.7 percent, bill increases for medium-size commercial customers would range from approximately 12.8 to 15.4 percent, and approximately 16.0 percent for large commercial/industrial customers.</w:t>
      </w:r>
      <w:r w:rsidRPr="00AF0D39">
        <w:rPr>
          <w:rStyle w:val="FootnoteReference"/>
        </w:rPr>
        <w:footnoteReference w:id="20"/>
      </w:r>
      <w:r w:rsidR="00CB44A9">
        <w:t xml:space="preserve"> TECO’s proposed tariff</w:t>
      </w:r>
      <w:r w:rsidRPr="00AF0D39">
        <w:t xml:space="preserve"> </w:t>
      </w:r>
      <w:r w:rsidR="00CB44A9">
        <w:t>is</w:t>
      </w:r>
      <w:r w:rsidR="00641812">
        <w:t xml:space="preserve"> shown on Appendix</w:t>
      </w:r>
      <w:r w:rsidRPr="00AF0D39">
        <w:t xml:space="preserve"> </w:t>
      </w:r>
      <w:r w:rsidR="008978C9">
        <w:t>A</w:t>
      </w:r>
      <w:r w:rsidRPr="00AF0D39">
        <w:t xml:space="preserve"> to this recommendation.</w:t>
      </w:r>
    </w:p>
    <w:p w:rsidR="00163901" w:rsidRDefault="00163901" w:rsidP="00163901">
      <w:pPr>
        <w:pStyle w:val="BodyText"/>
        <w:spacing w:after="0"/>
      </w:pPr>
    </w:p>
    <w:p w:rsidR="00163901" w:rsidRDefault="00163901" w:rsidP="00163901">
      <w:pPr>
        <w:pStyle w:val="BodyText"/>
        <w:spacing w:after="0"/>
        <w:rPr>
          <w:bCs/>
          <w:iCs/>
        </w:rPr>
      </w:pPr>
    </w:p>
    <w:p w:rsidR="00F86C91" w:rsidRDefault="00F86C91" w:rsidP="00163901">
      <w:pPr>
        <w:pStyle w:val="BodyText"/>
        <w:spacing w:after="0"/>
        <w:rPr>
          <w:bCs/>
          <w:iCs/>
        </w:rPr>
      </w:pPr>
    </w:p>
    <w:p w:rsidR="000B1D38" w:rsidRDefault="000B1D38" w:rsidP="000B1D38">
      <w:pPr>
        <w:pStyle w:val="BodyText"/>
        <w:spacing w:after="0"/>
        <w:rPr>
          <w:rFonts w:ascii="Arial" w:hAnsi="Arial" w:cs="Arial"/>
          <w:b/>
          <w:bCs/>
          <w:i/>
          <w:iCs/>
        </w:rPr>
      </w:pPr>
      <w:r>
        <w:rPr>
          <w:rFonts w:ascii="Arial" w:hAnsi="Arial" w:cs="Arial"/>
          <w:b/>
          <w:bCs/>
          <w:i/>
          <w:iCs/>
        </w:rPr>
        <w:t>2021 Recovery</w:t>
      </w:r>
      <w:r w:rsidR="003557E7">
        <w:rPr>
          <w:rFonts w:ascii="Arial" w:hAnsi="Arial" w:cs="Arial"/>
          <w:b/>
          <w:bCs/>
          <w:i/>
          <w:iCs/>
        </w:rPr>
        <w:t xml:space="preserve"> Option</w:t>
      </w:r>
    </w:p>
    <w:p w:rsidR="00AB6497" w:rsidRDefault="00763679" w:rsidP="000B1D38">
      <w:pPr>
        <w:pStyle w:val="BodyText"/>
        <w:spacing w:after="0"/>
        <w:rPr>
          <w:bCs/>
          <w:iCs/>
        </w:rPr>
      </w:pPr>
      <w:r>
        <w:rPr>
          <w:bCs/>
          <w:iCs/>
        </w:rPr>
        <w:t>Due to the magnitude of the requested late-year rate increase, s</w:t>
      </w:r>
      <w:r w:rsidR="000B1D38">
        <w:rPr>
          <w:bCs/>
          <w:iCs/>
        </w:rPr>
        <w:t>taff ha</w:t>
      </w:r>
      <w:r>
        <w:rPr>
          <w:bCs/>
          <w:iCs/>
        </w:rPr>
        <w:t xml:space="preserve">s estimated the effect of a </w:t>
      </w:r>
      <w:r w:rsidR="00173532">
        <w:rPr>
          <w:bCs/>
          <w:iCs/>
        </w:rPr>
        <w:t>reduction to TECO’s</w:t>
      </w:r>
      <w:r>
        <w:rPr>
          <w:bCs/>
          <w:iCs/>
        </w:rPr>
        <w:t xml:space="preserve"> requested MCC amount</w:t>
      </w:r>
      <w:r w:rsidR="00173532">
        <w:rPr>
          <w:bCs/>
          <w:iCs/>
        </w:rPr>
        <w:t>, which for ease of reference is ($73,680,277)</w:t>
      </w:r>
      <w:r>
        <w:rPr>
          <w:bCs/>
          <w:iCs/>
        </w:rPr>
        <w:t>.</w:t>
      </w:r>
      <w:r w:rsidR="00173532">
        <w:rPr>
          <w:bCs/>
          <w:iCs/>
        </w:rPr>
        <w:t xml:space="preserve"> For staff’s estimation, the revenue (increase) amount was limited to the actual fuel true-up</w:t>
      </w:r>
      <w:r w:rsidR="00144760">
        <w:rPr>
          <w:bCs/>
          <w:iCs/>
        </w:rPr>
        <w:t xml:space="preserve"> amount</w:t>
      </w:r>
      <w:r w:rsidR="00173532">
        <w:rPr>
          <w:bCs/>
          <w:iCs/>
        </w:rPr>
        <w:t xml:space="preserve"> only</w:t>
      </w:r>
      <w:r w:rsidR="00CB44A9">
        <w:rPr>
          <w:bCs/>
          <w:iCs/>
        </w:rPr>
        <w:t xml:space="preserve">, or </w:t>
      </w:r>
      <w:r w:rsidR="00173532">
        <w:rPr>
          <w:bCs/>
          <w:iCs/>
        </w:rPr>
        <w:t>($26,698,570).</w:t>
      </w:r>
      <w:r w:rsidR="00430552">
        <w:rPr>
          <w:rStyle w:val="FootnoteReference"/>
          <w:bCs/>
          <w:iCs/>
        </w:rPr>
        <w:footnoteReference w:id="21"/>
      </w:r>
      <w:r w:rsidR="00430552">
        <w:rPr>
          <w:bCs/>
          <w:iCs/>
        </w:rPr>
        <w:t xml:space="preserve"> </w:t>
      </w:r>
      <w:r w:rsidR="00AB6497">
        <w:rPr>
          <w:bCs/>
          <w:iCs/>
        </w:rPr>
        <w:t>The actual true-up is as o</w:t>
      </w:r>
      <w:r w:rsidR="00286EB1">
        <w:rPr>
          <w:bCs/>
          <w:iCs/>
        </w:rPr>
        <w:t>f the end of June 2021. This option</w:t>
      </w:r>
      <w:r w:rsidR="00173532">
        <w:rPr>
          <w:bCs/>
          <w:iCs/>
        </w:rPr>
        <w:t xml:space="preserve"> would constitute a reduction </w:t>
      </w:r>
      <w:r w:rsidR="00430552">
        <w:rPr>
          <w:bCs/>
          <w:iCs/>
        </w:rPr>
        <w:t xml:space="preserve">in the amount of </w:t>
      </w:r>
      <w:r w:rsidR="00430552" w:rsidRPr="00173532">
        <w:rPr>
          <w:bCs/>
          <w:iCs/>
        </w:rPr>
        <w:t>(</w:t>
      </w:r>
      <w:r w:rsidR="00430552">
        <w:rPr>
          <w:bCs/>
          <w:iCs/>
        </w:rPr>
        <w:t>$</w:t>
      </w:r>
      <w:r w:rsidR="00430552" w:rsidRPr="00173532">
        <w:rPr>
          <w:bCs/>
          <w:iCs/>
        </w:rPr>
        <w:t>46,981,707)</w:t>
      </w:r>
      <w:r w:rsidR="00430552">
        <w:rPr>
          <w:bCs/>
          <w:iCs/>
        </w:rPr>
        <w:t xml:space="preserve"> </w:t>
      </w:r>
      <w:r w:rsidR="00173532">
        <w:rPr>
          <w:bCs/>
          <w:iCs/>
        </w:rPr>
        <w:t>to TECO’s</w:t>
      </w:r>
      <w:r w:rsidR="00B345C2">
        <w:rPr>
          <w:bCs/>
          <w:iCs/>
        </w:rPr>
        <w:t xml:space="preserve"> as-filed</w:t>
      </w:r>
      <w:r w:rsidR="00173532">
        <w:rPr>
          <w:bCs/>
          <w:iCs/>
        </w:rPr>
        <w:t xml:space="preserve"> request</w:t>
      </w:r>
      <w:r w:rsidR="00AB6497">
        <w:rPr>
          <w:bCs/>
          <w:iCs/>
        </w:rPr>
        <w:t xml:space="preserve">. For recovery purposes, </w:t>
      </w:r>
      <w:r w:rsidR="00CB44A9">
        <w:rPr>
          <w:bCs/>
          <w:iCs/>
        </w:rPr>
        <w:t>any</w:t>
      </w:r>
      <w:r w:rsidR="00AB6497">
        <w:rPr>
          <w:bCs/>
          <w:iCs/>
        </w:rPr>
        <w:t xml:space="preserve"> amount reduced from TECO’</w:t>
      </w:r>
      <w:r w:rsidR="00B345C2">
        <w:rPr>
          <w:bCs/>
          <w:iCs/>
        </w:rPr>
        <w:t>s as-filed</w:t>
      </w:r>
      <w:r w:rsidR="00AB6497">
        <w:rPr>
          <w:bCs/>
          <w:iCs/>
        </w:rPr>
        <w:t xml:space="preserve"> request would carry over into 2022</w:t>
      </w:r>
      <w:r w:rsidR="00173532">
        <w:rPr>
          <w:bCs/>
          <w:iCs/>
        </w:rPr>
        <w:t xml:space="preserve">. </w:t>
      </w:r>
    </w:p>
    <w:p w:rsidR="00AB6497" w:rsidRDefault="00AB6497" w:rsidP="000B1D38">
      <w:pPr>
        <w:pStyle w:val="BodyText"/>
        <w:spacing w:after="0"/>
        <w:rPr>
          <w:bCs/>
          <w:iCs/>
        </w:rPr>
      </w:pPr>
    </w:p>
    <w:p w:rsidR="0090094C" w:rsidRDefault="00300D46" w:rsidP="000B1D38">
      <w:pPr>
        <w:pStyle w:val="BodyText"/>
        <w:spacing w:after="0"/>
        <w:rPr>
          <w:bCs/>
          <w:iCs/>
        </w:rPr>
      </w:pPr>
      <w:r>
        <w:rPr>
          <w:bCs/>
          <w:iCs/>
        </w:rPr>
        <w:t>TECO’s requested fuel cost recovery increase results in a “f</w:t>
      </w:r>
      <w:r w:rsidR="002570FE">
        <w:rPr>
          <w:bCs/>
          <w:iCs/>
        </w:rPr>
        <w:t>irst-</w:t>
      </w:r>
      <w:r>
        <w:rPr>
          <w:bCs/>
          <w:iCs/>
        </w:rPr>
        <w:t>tier residential</w:t>
      </w:r>
      <w:r w:rsidRPr="00300D46">
        <w:rPr>
          <w:bCs/>
          <w:iCs/>
        </w:rPr>
        <w:t xml:space="preserve"> factor</w:t>
      </w:r>
      <w:r>
        <w:rPr>
          <w:bCs/>
          <w:iCs/>
        </w:rPr>
        <w:t>,” (i.e., residential charge for the first 1,000 kWh of energy sales)</w:t>
      </w:r>
      <w:r w:rsidR="00CB44A9">
        <w:rPr>
          <w:bCs/>
          <w:iCs/>
        </w:rPr>
        <w:t xml:space="preserve"> of</w:t>
      </w:r>
      <w:r w:rsidR="0090094C">
        <w:rPr>
          <w:bCs/>
          <w:iCs/>
        </w:rPr>
        <w:t xml:space="preserve"> 3.93</w:t>
      </w:r>
      <w:r>
        <w:rPr>
          <w:bCs/>
          <w:iCs/>
        </w:rPr>
        <w:t>8 cents per kWh</w:t>
      </w:r>
      <w:r w:rsidR="004D0E15">
        <w:rPr>
          <w:bCs/>
          <w:iCs/>
        </w:rPr>
        <w:t xml:space="preserve">. This factor </w:t>
      </w:r>
      <w:r w:rsidR="002570FE">
        <w:rPr>
          <w:bCs/>
          <w:iCs/>
        </w:rPr>
        <w:t>produces</w:t>
      </w:r>
      <w:r w:rsidR="004D0E15">
        <w:rPr>
          <w:bCs/>
          <w:iCs/>
        </w:rPr>
        <w:t xml:space="preserve"> a fuel charge of $</w:t>
      </w:r>
      <w:r w:rsidR="0090094C">
        <w:rPr>
          <w:bCs/>
          <w:iCs/>
        </w:rPr>
        <w:t>39.3</w:t>
      </w:r>
      <w:r w:rsidR="004D0E15">
        <w:rPr>
          <w:bCs/>
          <w:iCs/>
        </w:rPr>
        <w:t>8 for the first 1,000 kWh of energy usage</w:t>
      </w:r>
      <w:r>
        <w:rPr>
          <w:bCs/>
          <w:iCs/>
        </w:rPr>
        <w:t>.</w:t>
      </w:r>
      <w:r>
        <w:rPr>
          <w:rStyle w:val="FootnoteReference"/>
          <w:bCs/>
          <w:iCs/>
        </w:rPr>
        <w:footnoteReference w:id="22"/>
      </w:r>
      <w:r>
        <w:rPr>
          <w:bCs/>
          <w:iCs/>
        </w:rPr>
        <w:t xml:space="preserve"> </w:t>
      </w:r>
      <w:r w:rsidR="00AB6497">
        <w:rPr>
          <w:bCs/>
          <w:iCs/>
        </w:rPr>
        <w:t xml:space="preserve">The </w:t>
      </w:r>
      <w:r w:rsidR="004D0E15">
        <w:rPr>
          <w:bCs/>
          <w:iCs/>
        </w:rPr>
        <w:t>staff-estimated</w:t>
      </w:r>
      <w:r w:rsidR="00AB6497">
        <w:rPr>
          <w:bCs/>
          <w:iCs/>
        </w:rPr>
        <w:t xml:space="preserve"> </w:t>
      </w:r>
      <w:r w:rsidR="008A7320">
        <w:rPr>
          <w:bCs/>
          <w:iCs/>
        </w:rPr>
        <w:t>f</w:t>
      </w:r>
      <w:r w:rsidR="002570FE">
        <w:rPr>
          <w:bCs/>
          <w:iCs/>
        </w:rPr>
        <w:t>irst-</w:t>
      </w:r>
      <w:r w:rsidR="008A7320">
        <w:rPr>
          <w:bCs/>
          <w:iCs/>
        </w:rPr>
        <w:t>tier residential</w:t>
      </w:r>
      <w:r w:rsidR="008A7320" w:rsidRPr="00300D46">
        <w:rPr>
          <w:bCs/>
          <w:iCs/>
        </w:rPr>
        <w:t xml:space="preserve"> factor</w:t>
      </w:r>
      <w:r w:rsidR="008A7320">
        <w:rPr>
          <w:bCs/>
          <w:iCs/>
        </w:rPr>
        <w:t xml:space="preserve"> is 3.295 cents per kWh.</w:t>
      </w:r>
      <w:r w:rsidR="004C72F7">
        <w:rPr>
          <w:rStyle w:val="FootnoteReference"/>
          <w:bCs/>
          <w:iCs/>
        </w:rPr>
        <w:footnoteReference w:id="23"/>
      </w:r>
      <w:r w:rsidR="008A7320">
        <w:rPr>
          <w:bCs/>
          <w:iCs/>
        </w:rPr>
        <w:t xml:space="preserve"> This would result </w:t>
      </w:r>
      <w:r w:rsidR="002848A2">
        <w:rPr>
          <w:bCs/>
          <w:iCs/>
        </w:rPr>
        <w:t>in a</w:t>
      </w:r>
      <w:r w:rsidR="0090094C">
        <w:rPr>
          <w:bCs/>
          <w:iCs/>
        </w:rPr>
        <w:t>n estimated</w:t>
      </w:r>
      <w:r w:rsidR="002848A2">
        <w:rPr>
          <w:bCs/>
          <w:iCs/>
        </w:rPr>
        <w:t xml:space="preserve"> fuel charge of $32.95 for the first 1,000 kWh of energy usage</w:t>
      </w:r>
      <w:r w:rsidR="009E3202">
        <w:rPr>
          <w:bCs/>
          <w:iCs/>
        </w:rPr>
        <w:t xml:space="preserve">. </w:t>
      </w:r>
      <w:r w:rsidR="00CA5407">
        <w:rPr>
          <w:bCs/>
          <w:iCs/>
        </w:rPr>
        <w:t xml:space="preserve">The estimated </w:t>
      </w:r>
      <w:r w:rsidR="00144760">
        <w:rPr>
          <w:bCs/>
          <w:iCs/>
        </w:rPr>
        <w:t>increase</w:t>
      </w:r>
      <w:r w:rsidR="00CA5407">
        <w:rPr>
          <w:bCs/>
          <w:iCs/>
        </w:rPr>
        <w:t xml:space="preserve"> in</w:t>
      </w:r>
      <w:r w:rsidR="00144760">
        <w:rPr>
          <w:bCs/>
          <w:iCs/>
        </w:rPr>
        <w:t xml:space="preserve"> the</w:t>
      </w:r>
      <w:r w:rsidR="00CA5407">
        <w:rPr>
          <w:bCs/>
          <w:iCs/>
        </w:rPr>
        <w:t xml:space="preserve"> total bill under this scenario is approximately </w:t>
      </w:r>
      <w:r w:rsidR="00144760">
        <w:rPr>
          <w:bCs/>
          <w:iCs/>
        </w:rPr>
        <w:t>$</w:t>
      </w:r>
      <w:r w:rsidR="001E25ED">
        <w:rPr>
          <w:bCs/>
          <w:iCs/>
        </w:rPr>
        <w:t xml:space="preserve">6.23, or </w:t>
      </w:r>
      <w:r w:rsidR="00F86C91">
        <w:rPr>
          <w:bCs/>
          <w:iCs/>
        </w:rPr>
        <w:t xml:space="preserve">a </w:t>
      </w:r>
      <w:r w:rsidR="00144760">
        <w:rPr>
          <w:bCs/>
          <w:iCs/>
        </w:rPr>
        <w:t>5.9</w:t>
      </w:r>
      <w:r w:rsidR="001E25ED">
        <w:rPr>
          <w:bCs/>
          <w:iCs/>
        </w:rPr>
        <w:t xml:space="preserve"> percent</w:t>
      </w:r>
      <w:r w:rsidR="00F86C91">
        <w:rPr>
          <w:bCs/>
          <w:iCs/>
        </w:rPr>
        <w:t xml:space="preserve"> increase</w:t>
      </w:r>
      <w:r w:rsidR="004C72F7">
        <w:rPr>
          <w:bCs/>
          <w:iCs/>
        </w:rPr>
        <w:t>,</w:t>
      </w:r>
      <w:r w:rsidR="00CA5407">
        <w:rPr>
          <w:bCs/>
          <w:iCs/>
        </w:rPr>
        <w:t xml:space="preserve"> from $</w:t>
      </w:r>
      <w:r w:rsidR="00144760">
        <w:rPr>
          <w:bCs/>
          <w:iCs/>
        </w:rPr>
        <w:t xml:space="preserve">105.25 </w:t>
      </w:r>
      <w:r w:rsidR="00CA5407">
        <w:rPr>
          <w:bCs/>
          <w:iCs/>
        </w:rPr>
        <w:t>to $111.48.</w:t>
      </w:r>
    </w:p>
    <w:p w:rsidR="00C70842" w:rsidRDefault="00C70842" w:rsidP="000B1D38">
      <w:pPr>
        <w:pStyle w:val="BodyText"/>
        <w:spacing w:after="0"/>
        <w:rPr>
          <w:bCs/>
          <w:iCs/>
        </w:rPr>
      </w:pPr>
    </w:p>
    <w:p w:rsidR="007917A6" w:rsidRPr="007917A6" w:rsidRDefault="007917A6" w:rsidP="00163901">
      <w:pPr>
        <w:pStyle w:val="BodyText"/>
        <w:spacing w:after="0"/>
        <w:rPr>
          <w:rFonts w:ascii="Arial" w:hAnsi="Arial" w:cs="Arial"/>
          <w:b/>
          <w:i/>
        </w:rPr>
      </w:pPr>
      <w:r w:rsidRPr="007917A6">
        <w:rPr>
          <w:rFonts w:ascii="Arial" w:hAnsi="Arial" w:cs="Arial"/>
          <w:b/>
          <w:i/>
        </w:rPr>
        <w:t>Summary</w:t>
      </w:r>
      <w:r w:rsidR="00163901" w:rsidRPr="007917A6">
        <w:rPr>
          <w:rFonts w:ascii="Arial" w:hAnsi="Arial" w:cs="Arial"/>
          <w:b/>
          <w:i/>
        </w:rPr>
        <w:t xml:space="preserve"> </w:t>
      </w:r>
    </w:p>
    <w:p w:rsidR="00163901" w:rsidRDefault="007917A6" w:rsidP="00163901">
      <w:pPr>
        <w:pStyle w:val="BodyText"/>
        <w:spacing w:after="0"/>
      </w:pPr>
      <w:r>
        <w:t>S</w:t>
      </w:r>
      <w:r w:rsidR="00163901" w:rsidRPr="00884DCB">
        <w:t>taff recom</w:t>
      </w:r>
      <w:r w:rsidR="00F86C91">
        <w:t xml:space="preserve">mends </w:t>
      </w:r>
      <w:r w:rsidR="00163901" w:rsidRPr="00884DCB">
        <w:t>TECO’s fuel cost recovery fact</w:t>
      </w:r>
      <w:r w:rsidR="00641812">
        <w:t>ors be adjusted to incorporate the</w:t>
      </w:r>
      <w:r w:rsidR="00163901" w:rsidRPr="00884DCB">
        <w:t xml:space="preserve"> projected </w:t>
      </w:r>
      <w:r w:rsidR="00163901">
        <w:t xml:space="preserve">2021 </w:t>
      </w:r>
      <w:r w:rsidR="00163901" w:rsidRPr="00884DCB">
        <w:t xml:space="preserve">end-of-year fuel cost under-recovery. Staff also recommends TECO’s </w:t>
      </w:r>
      <w:r w:rsidR="00163901">
        <w:t>capacity</w:t>
      </w:r>
      <w:r w:rsidR="00163901" w:rsidRPr="00884DCB">
        <w:t xml:space="preserve"> cost recovery fact</w:t>
      </w:r>
      <w:r w:rsidR="00641812">
        <w:t>ors be adjusted to incorporate the</w:t>
      </w:r>
      <w:r w:rsidR="00163901" w:rsidRPr="00884DCB">
        <w:t xml:space="preserve"> projected </w:t>
      </w:r>
      <w:r w:rsidR="00163901">
        <w:t xml:space="preserve">2021 </w:t>
      </w:r>
      <w:r w:rsidR="00163901" w:rsidRPr="00884DCB">
        <w:t xml:space="preserve">end-of-year </w:t>
      </w:r>
      <w:r w:rsidR="00163901">
        <w:t xml:space="preserve">capacity </w:t>
      </w:r>
      <w:r w:rsidR="001E25ED">
        <w:t>cost under-recovery</w:t>
      </w:r>
      <w:r w:rsidR="00163901" w:rsidRPr="00AF0D39">
        <w:t>.</w:t>
      </w:r>
      <w:r w:rsidR="00803A3E">
        <w:t xml:space="preserve"> The revised fuel and capacity factors associated with staff’s recommendations are shown on Appendix A.</w:t>
      </w:r>
    </w:p>
    <w:p w:rsidR="00163901" w:rsidRDefault="00163901" w:rsidP="00163901">
      <w:pPr>
        <w:pStyle w:val="BodyText"/>
        <w:spacing w:after="0"/>
      </w:pPr>
    </w:p>
    <w:p w:rsidR="00163901" w:rsidRPr="009E2013" w:rsidRDefault="00163901" w:rsidP="00163901">
      <w:pPr>
        <w:pStyle w:val="BodyText"/>
        <w:spacing w:after="0"/>
        <w:rPr>
          <w:rFonts w:ascii="Arial" w:hAnsi="Arial" w:cs="Arial"/>
          <w:b/>
        </w:rPr>
      </w:pPr>
      <w:r>
        <w:rPr>
          <w:rFonts w:ascii="Arial" w:hAnsi="Arial" w:cs="Arial"/>
          <w:b/>
        </w:rPr>
        <w:t>Conclusion</w:t>
      </w:r>
    </w:p>
    <w:p w:rsidR="00807404" w:rsidRPr="004C3641" w:rsidRDefault="00B9361F" w:rsidP="00807404">
      <w:pPr>
        <w:pStyle w:val="BodyText"/>
        <w:rPr>
          <w:b/>
          <w:i/>
        </w:rPr>
      </w:pPr>
      <w:r>
        <w:t xml:space="preserve">Staff recommends </w:t>
      </w:r>
      <w:r w:rsidRPr="008922FA">
        <w:t>the C</w:t>
      </w:r>
      <w:r w:rsidR="00D9243D">
        <w:t>ommission approve an</w:t>
      </w:r>
      <w:r w:rsidRPr="008922FA">
        <w:t xml:space="preserve"> adjustment to TECO’s currently-approved fuel </w:t>
      </w:r>
      <w:r>
        <w:t xml:space="preserve">cost recovery </w:t>
      </w:r>
      <w:r w:rsidRPr="008922FA">
        <w:t>factors</w:t>
      </w:r>
      <w:r>
        <w:t xml:space="preserve"> </w:t>
      </w:r>
      <w:r w:rsidRPr="008922FA">
        <w:t>for the purpose of incorporating the total projected period-ending 2021 under-recovery of</w:t>
      </w:r>
      <w:r>
        <w:t xml:space="preserve"> its</w:t>
      </w:r>
      <w:r w:rsidRPr="008922FA">
        <w:t xml:space="preserve"> fuel costs</w:t>
      </w:r>
      <w:r>
        <w:t xml:space="preserve"> in the amount of </w:t>
      </w:r>
      <w:r w:rsidRPr="008922FA">
        <w:t>$73,680,277. Staff further recommends the C</w:t>
      </w:r>
      <w:r w:rsidR="00D9243D">
        <w:t>ommission approve an</w:t>
      </w:r>
      <w:r w:rsidRPr="008922FA">
        <w:t xml:space="preserve"> adjustment to TECO’s capacity cost recovery factors to incorporate a projected period-ending 2021 under-recovery of capacity costs in the amount of $9,628,629.</w:t>
      </w:r>
    </w:p>
    <w:p w:rsidR="00C014E8" w:rsidRDefault="00C014E8">
      <w:pPr>
        <w:pStyle w:val="IssueHeading"/>
        <w:rPr>
          <w:vanish/>
          <w:specVanish/>
        </w:rPr>
      </w:pPr>
      <w:r w:rsidRPr="004C3641">
        <w:rPr>
          <w:b w:val="0"/>
          <w:i w:val="0"/>
        </w:rPr>
        <w:br w:type="page"/>
      </w:r>
      <w:r w:rsidRPr="004C3641">
        <w:t xml:space="preserve">Issue </w:t>
      </w:r>
      <w:fldSimple w:instr=" SEQ Issue \* MERGEFORMAT ">
        <w:r w:rsidR="00D9243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9243D">
        <w:rPr>
          <w:noProof/>
        </w:rPr>
        <w:instrText>2</w:instrText>
      </w:r>
      <w:r>
        <w:fldChar w:fldCharType="end"/>
      </w:r>
      <w:r>
        <w:tab/>
        <w:instrText xml:space="preserve">" \l 1 </w:instrText>
      </w:r>
      <w:r>
        <w:fldChar w:fldCharType="end"/>
      </w:r>
      <w:r>
        <w:t> </w:t>
      </w:r>
    </w:p>
    <w:p w:rsidR="00C014E8" w:rsidRPr="004F57ED" w:rsidRDefault="00431FC1">
      <w:pPr>
        <w:pStyle w:val="BodyText"/>
      </w:pPr>
      <w:r>
        <w:t> If</w:t>
      </w:r>
      <w:r w:rsidRPr="00431FC1">
        <w:t xml:space="preserve"> approved by the Commission, what is the appropriate effective date for </w:t>
      </w:r>
      <w:r w:rsidR="00A32FE5">
        <w:t>TECO</w:t>
      </w:r>
      <w:r w:rsidRPr="00431FC1">
        <w:t xml:space="preserve">’s </w:t>
      </w:r>
      <w:r w:rsidRPr="004F57ED">
        <w:t>revised fuel</w:t>
      </w:r>
      <w:r w:rsidR="00CA5407">
        <w:t xml:space="preserve"> and capacity</w:t>
      </w:r>
      <w:r w:rsidRPr="004F57ED">
        <w:t xml:space="preserve"> cost recovery factors?</w:t>
      </w:r>
    </w:p>
    <w:p w:rsidR="00C014E8" w:rsidRPr="004F57ED" w:rsidRDefault="00C014E8">
      <w:pPr>
        <w:pStyle w:val="IssueSubsectionHeading"/>
        <w:rPr>
          <w:vanish/>
          <w:specVanish/>
        </w:rPr>
      </w:pPr>
      <w:r w:rsidRPr="004F57ED">
        <w:t>Recommendation: </w:t>
      </w:r>
    </w:p>
    <w:p w:rsidR="00C014E8" w:rsidRDefault="00C014E8">
      <w:pPr>
        <w:pStyle w:val="BodyText"/>
      </w:pPr>
      <w:r w:rsidRPr="004F57ED">
        <w:t> </w:t>
      </w:r>
      <w:r w:rsidR="00AF3721" w:rsidRPr="00AF3721">
        <w:t>Staff recommends that the fuel cost recovery and capacity factors as shown on Appendix A become effective with the first billing cycle of September 2021. If the Commission approves alternative cost recovery amounts, TECO should file revised tariff sheet No. 6.020 consistent with the Commission’s decision within five days of the vote for administrative approval by staff.</w:t>
      </w:r>
      <w:r w:rsidR="001E77E2" w:rsidRPr="004F57ED">
        <w:t xml:space="preserve"> (</w:t>
      </w:r>
      <w:r w:rsidR="00AA3BEB" w:rsidRPr="004F57ED">
        <w:t>Draper</w:t>
      </w:r>
      <w:r w:rsidR="009E3202">
        <w:t xml:space="preserve">, </w:t>
      </w:r>
      <w:r w:rsidR="009E3202" w:rsidRPr="004F57ED">
        <w:t>Brownless,</w:t>
      </w:r>
      <w:r w:rsidR="009E3202">
        <w:t xml:space="preserve"> DuVal</w:t>
      </w:r>
      <w:r w:rsidR="00A317A8" w:rsidRPr="004F57ED">
        <w:t>)</w:t>
      </w:r>
    </w:p>
    <w:p w:rsidR="00C014E8" w:rsidRPr="004C3641" w:rsidRDefault="00C014E8">
      <w:pPr>
        <w:pStyle w:val="IssueSubsectionHeading"/>
        <w:rPr>
          <w:vanish/>
          <w:specVanish/>
        </w:rPr>
      </w:pPr>
      <w:r w:rsidRPr="004C3641">
        <w:t>Staff Analysis: </w:t>
      </w:r>
    </w:p>
    <w:p w:rsidR="00FF66C2" w:rsidRDefault="00C014E8" w:rsidP="00FF66C2">
      <w:pPr>
        <w:pStyle w:val="BodyText"/>
        <w:spacing w:after="0"/>
      </w:pPr>
      <w:r>
        <w:t> </w:t>
      </w:r>
      <w:r w:rsidR="00B5370E" w:rsidRPr="004F57ED">
        <w:t xml:space="preserve">In </w:t>
      </w:r>
      <w:r w:rsidR="00B5370E">
        <w:t>its petition</w:t>
      </w:r>
      <w:r w:rsidR="00B5370E" w:rsidRPr="004F57ED">
        <w:t>,</w:t>
      </w:r>
      <w:r w:rsidR="00B5370E">
        <w:t xml:space="preserve"> </w:t>
      </w:r>
      <w:r w:rsidR="00FF66C2">
        <w:t>TECO</w:t>
      </w:r>
      <w:r w:rsidR="00FF66C2" w:rsidRPr="00FF66C2">
        <w:t xml:space="preserve"> </w:t>
      </w:r>
      <w:r w:rsidR="00CA5407">
        <w:t xml:space="preserve">has requested that </w:t>
      </w:r>
      <w:r w:rsidR="00F86C91">
        <w:t>the</w:t>
      </w:r>
      <w:r w:rsidR="00CA5407">
        <w:t xml:space="preserve"> </w:t>
      </w:r>
      <w:r w:rsidR="00FF66C2" w:rsidRPr="002E337A">
        <w:t>revised fuel</w:t>
      </w:r>
      <w:r w:rsidR="006728D9">
        <w:t xml:space="preserve"> and capacity</w:t>
      </w:r>
      <w:r w:rsidR="00FF66C2" w:rsidRPr="002E337A">
        <w:t xml:space="preserve"> cost recovery factors become e</w:t>
      </w:r>
      <w:r w:rsidR="00FF66C2">
        <w:t>ffective with the first billing cycle of</w:t>
      </w:r>
      <w:r w:rsidR="00FF66C2" w:rsidRPr="002E337A">
        <w:t xml:space="preserve"> </w:t>
      </w:r>
      <w:r w:rsidR="006728D9">
        <w:t>September</w:t>
      </w:r>
      <w:r w:rsidR="00FF66C2" w:rsidRPr="002E337A">
        <w:t xml:space="preserve"> 2021</w:t>
      </w:r>
      <w:r w:rsidR="00FF66C2">
        <w:t>.</w:t>
      </w:r>
      <w:r w:rsidR="00FF66C2" w:rsidRPr="00431FC1">
        <w:t xml:space="preserve"> </w:t>
      </w:r>
    </w:p>
    <w:p w:rsidR="00FF66C2" w:rsidRDefault="00FF66C2" w:rsidP="00FF66C2">
      <w:pPr>
        <w:pStyle w:val="BodyText"/>
        <w:spacing w:after="0"/>
      </w:pPr>
    </w:p>
    <w:p w:rsidR="00FF66C2" w:rsidRDefault="00FF66C2" w:rsidP="00FF66C2">
      <w:pPr>
        <w:pStyle w:val="BodyText"/>
        <w:spacing w:after="0"/>
      </w:pPr>
      <w:r>
        <w:t>O</w:t>
      </w:r>
      <w:r w:rsidRPr="00431FC1">
        <w:t xml:space="preserve">ver the last 20 years in the Fuel Clause docket, the Commission has </w:t>
      </w:r>
      <w:r>
        <w:t>considered the effective date of rates and charges of revised fuel cost recovery factors on a case-by-case basis.</w:t>
      </w:r>
      <w:r w:rsidRPr="00431FC1">
        <w:t xml:space="preserve"> </w:t>
      </w:r>
      <w:r>
        <w:t>The</w:t>
      </w:r>
      <w:r w:rsidRPr="00431FC1">
        <w:t xml:space="preserve"> Commission has approved fuel cost recovery factor rate decreases effective </w:t>
      </w:r>
      <w:r>
        <w:t>sooner than the next full billing cycle after</w:t>
      </w:r>
      <w:r w:rsidRPr="00431FC1">
        <w:t xml:space="preserve"> the date of the Commission’s vote with the range</w:t>
      </w:r>
      <w:r w:rsidR="00F86C91">
        <w:t xml:space="preserve"> between the vote and the effective date</w:t>
      </w:r>
      <w:r w:rsidRPr="00431FC1">
        <w:t xml:space="preserve"> being from </w:t>
      </w:r>
      <w:r>
        <w:t>25</w:t>
      </w:r>
      <w:r w:rsidRPr="00431FC1">
        <w:t xml:space="preserve"> to 2 days</w:t>
      </w:r>
      <w:r>
        <w:t>.</w:t>
      </w:r>
      <w:r w:rsidRPr="00431FC1">
        <w:t xml:space="preserve"> The rationale for that action being that it was in the customers’ best interests to implement the lower rate as soon as possible.</w:t>
      </w:r>
      <w:r w:rsidRPr="00431FC1">
        <w:rPr>
          <w:vertAlign w:val="superscript"/>
        </w:rPr>
        <w:footnoteReference w:id="24"/>
      </w:r>
      <w:r w:rsidRPr="00431FC1">
        <w:t xml:space="preserve"> With regard to fuel cost recovery factor rate increases</w:t>
      </w:r>
      <w:r w:rsidR="001E25ED">
        <w:t>,</w:t>
      </w:r>
      <w:r w:rsidR="00F86C91">
        <w:t xml:space="preserve"> the Commission has approved</w:t>
      </w:r>
      <w:r w:rsidRPr="00431FC1">
        <w:t xml:space="preserve"> </w:t>
      </w:r>
      <w:r>
        <w:t>an effective date</w:t>
      </w:r>
      <w:r w:rsidR="00F86C91">
        <w:t xml:space="preserve"> of the revised factors</w:t>
      </w:r>
      <w:r>
        <w:t xml:space="preserve"> </w:t>
      </w:r>
      <w:r w:rsidR="00F86C91">
        <w:t xml:space="preserve">ranging </w:t>
      </w:r>
      <w:r>
        <w:t>from 14</w:t>
      </w:r>
      <w:r w:rsidRPr="00431FC1">
        <w:t xml:space="preserve"> to </w:t>
      </w:r>
      <w:r>
        <w:t>29</w:t>
      </w:r>
      <w:r w:rsidRPr="00431FC1">
        <w:t xml:space="preserve"> days</w:t>
      </w:r>
      <w:r w:rsidR="00F86C91">
        <w:t xml:space="preserve"> after the vote</w:t>
      </w:r>
      <w:r w:rsidRPr="00431FC1">
        <w:t>.</w:t>
      </w:r>
      <w:r w:rsidRPr="00431FC1">
        <w:rPr>
          <w:vertAlign w:val="superscript"/>
        </w:rPr>
        <w:footnoteReference w:id="25"/>
      </w:r>
      <w:r w:rsidRPr="00431FC1">
        <w:t xml:space="preserve"> In two of these cases, the Commission noted that the uti</w:t>
      </w:r>
      <w:r>
        <w:t xml:space="preserve">lity had given its customers 30 </w:t>
      </w:r>
      <w:r w:rsidRPr="00431FC1">
        <w:t>day</w:t>
      </w:r>
      <w:r>
        <w:t>s’ written</w:t>
      </w:r>
      <w:r w:rsidRPr="00431FC1">
        <w:t xml:space="preserve"> notice before the date of the vote that a fuel cost recovery factor increase had been requested and provided the proposed ef</w:t>
      </w:r>
      <w:r w:rsidR="00F86C91">
        <w:t>fective date of the higher fuel factors</w:t>
      </w:r>
      <w:r w:rsidRPr="00431FC1">
        <w:t>.</w:t>
      </w:r>
      <w:r w:rsidRPr="00431FC1">
        <w:rPr>
          <w:vertAlign w:val="superscript"/>
        </w:rPr>
        <w:footnoteReference w:id="26"/>
      </w:r>
    </w:p>
    <w:p w:rsidR="00FF66C2" w:rsidRPr="00431FC1" w:rsidRDefault="00FF66C2" w:rsidP="00FF66C2">
      <w:pPr>
        <w:pStyle w:val="BodyText"/>
        <w:spacing w:after="0"/>
      </w:pPr>
    </w:p>
    <w:p w:rsidR="00FF66C2" w:rsidRDefault="00FF66C2" w:rsidP="00FF66C2">
      <w:pPr>
        <w:pStyle w:val="BodyText"/>
        <w:spacing w:after="0"/>
      </w:pPr>
      <w:r w:rsidRPr="004F57ED">
        <w:t xml:space="preserve">In </w:t>
      </w:r>
      <w:r w:rsidR="001E25ED">
        <w:t>its petition</w:t>
      </w:r>
      <w:r w:rsidRPr="004F57ED">
        <w:t xml:space="preserve">, </w:t>
      </w:r>
      <w:r w:rsidR="006728D9">
        <w:t>TECO</w:t>
      </w:r>
      <w:r w:rsidRPr="004F57ED">
        <w:t xml:space="preserve"> proposes to</w:t>
      </w:r>
      <w:r>
        <w:t xml:space="preserve"> </w:t>
      </w:r>
      <w:r w:rsidRPr="004F57ED">
        <w:t xml:space="preserve">collect </w:t>
      </w:r>
      <w:r w:rsidR="006728D9">
        <w:t>the current under-recoveries</w:t>
      </w:r>
      <w:r w:rsidRPr="004F57ED">
        <w:t xml:space="preserve"> of fuel</w:t>
      </w:r>
      <w:r w:rsidR="006728D9">
        <w:t xml:space="preserve"> and capacity</w:t>
      </w:r>
      <w:r w:rsidRPr="004F57ED">
        <w:t xml:space="preserve"> cost</w:t>
      </w:r>
      <w:r w:rsidR="006728D9">
        <w:t>s</w:t>
      </w:r>
      <w:r w:rsidRPr="004F57ED">
        <w:t xml:space="preserve"> over </w:t>
      </w:r>
      <w:r w:rsidR="006728D9">
        <w:t>the last four</w:t>
      </w:r>
      <w:r w:rsidRPr="004F57ED">
        <w:t xml:space="preserve"> months </w:t>
      </w:r>
      <w:r w:rsidR="006728D9">
        <w:t xml:space="preserve">of the year, </w:t>
      </w:r>
      <w:r w:rsidRPr="004F57ED">
        <w:t xml:space="preserve">beginning with the first billing cycle of </w:t>
      </w:r>
      <w:r w:rsidR="006728D9">
        <w:t>Septemb</w:t>
      </w:r>
      <w:r w:rsidRPr="004F57ED">
        <w:t>er 2021, and ending with the last bill</w:t>
      </w:r>
      <w:r w:rsidR="0046463D">
        <w:t xml:space="preserve">ing cycle of December 2021. </w:t>
      </w:r>
      <w:r w:rsidR="00F86C91">
        <w:t>In the instant case, there are</w:t>
      </w:r>
      <w:r w:rsidR="008978C9">
        <w:t xml:space="preserve"> 29</w:t>
      </w:r>
      <w:r w:rsidRPr="00C22D2C">
        <w:t xml:space="preserve"> days between the Commission’s vote on August 3</w:t>
      </w:r>
      <w:r w:rsidRPr="00C22D2C">
        <w:rPr>
          <w:vertAlign w:val="superscript"/>
        </w:rPr>
        <w:t>rd</w:t>
      </w:r>
      <w:r w:rsidRPr="00C22D2C">
        <w:t xml:space="preserve"> and the beginning of </w:t>
      </w:r>
      <w:r w:rsidR="008978C9">
        <w:t>TECO</w:t>
      </w:r>
      <w:r w:rsidRPr="00C22D2C">
        <w:t>’s September billing cycle</w:t>
      </w:r>
      <w:r w:rsidR="008978C9">
        <w:t xml:space="preserve"> (September 1</w:t>
      </w:r>
      <w:r w:rsidRPr="00C22D2C">
        <w:t>).</w:t>
      </w:r>
      <w:r w:rsidRPr="00C22D2C">
        <w:rPr>
          <w:rStyle w:val="FootnoteReference"/>
        </w:rPr>
        <w:footnoteReference w:id="27"/>
      </w:r>
    </w:p>
    <w:p w:rsidR="00FF66C2" w:rsidRDefault="00FF66C2" w:rsidP="00FF66C2">
      <w:pPr>
        <w:pStyle w:val="BodyText"/>
        <w:spacing w:after="0"/>
      </w:pPr>
    </w:p>
    <w:p w:rsidR="00FF66C2" w:rsidRDefault="008978C9" w:rsidP="00FF66C2">
      <w:pPr>
        <w:pStyle w:val="BodyText"/>
        <w:spacing w:after="0"/>
      </w:pPr>
      <w:r>
        <w:t xml:space="preserve">Concerning customer advisement of the instant request, TECO states that the </w:t>
      </w:r>
      <w:r w:rsidRPr="00DF50A5">
        <w:t>proposed rate-change notifications are planned for custo</w:t>
      </w:r>
      <w:r>
        <w:t>mer bills</w:t>
      </w:r>
      <w:r w:rsidRPr="00DF50A5">
        <w:t xml:space="preserve"> beginning with August </w:t>
      </w:r>
      <w:r>
        <w:t>invoices. I</w:t>
      </w:r>
      <w:r w:rsidRPr="00DF50A5">
        <w:t xml:space="preserve">f the Commission issues </w:t>
      </w:r>
      <w:r w:rsidR="001E25ED">
        <w:t>a decision at the August Commission C</w:t>
      </w:r>
      <w:r w:rsidRPr="00DF50A5">
        <w:t xml:space="preserve">onference, TECO will replace the proposed-change notification with one that describes the approved factors and bill changes, for the </w:t>
      </w:r>
      <w:r>
        <w:t>remaining August billing cycles. Additionally</w:t>
      </w:r>
      <w:r w:rsidRPr="00DF50A5">
        <w:t>, on July 19, 2021, which is the same day TECO submitted its MCC Petition, th</w:t>
      </w:r>
      <w:r>
        <w:t>e C</w:t>
      </w:r>
      <w:r w:rsidRPr="00DF50A5">
        <w:t xml:space="preserve">ompany posted a </w:t>
      </w:r>
      <w:r>
        <w:t>“</w:t>
      </w:r>
      <w:r w:rsidRPr="00DF50A5">
        <w:t>news release</w:t>
      </w:r>
      <w:r>
        <w:t>”</w:t>
      </w:r>
      <w:r w:rsidRPr="00DF50A5">
        <w:t xml:space="preserve"> on its website describing the p</w:t>
      </w:r>
      <w:r w:rsidR="001E25ED">
        <w:t>roposal. Finally</w:t>
      </w:r>
      <w:r w:rsidRPr="00DF50A5">
        <w:t xml:space="preserve">, TECO provided that its </w:t>
      </w:r>
      <w:r>
        <w:t xml:space="preserve">front-line </w:t>
      </w:r>
      <w:r w:rsidRPr="00DF50A5">
        <w:t xml:space="preserve">customer </w:t>
      </w:r>
      <w:r w:rsidR="00A50912">
        <w:t>service professionals</w:t>
      </w:r>
      <w:r w:rsidRPr="00DF50A5">
        <w:t xml:space="preserve"> are trained to respond to questions about the mid-course changes.</w:t>
      </w:r>
      <w:r>
        <w:rPr>
          <w:rStyle w:val="FootnoteReference"/>
        </w:rPr>
        <w:footnoteReference w:id="28"/>
      </w:r>
    </w:p>
    <w:p w:rsidR="008978C9" w:rsidRPr="004F57ED" w:rsidRDefault="008978C9" w:rsidP="00FF66C2">
      <w:pPr>
        <w:pStyle w:val="BodyText"/>
        <w:spacing w:after="0"/>
      </w:pPr>
    </w:p>
    <w:p w:rsidR="00FF66C2" w:rsidRPr="004F57ED" w:rsidRDefault="00FF66C2" w:rsidP="00FF66C2">
      <w:pPr>
        <w:pStyle w:val="BodyText"/>
        <w:spacing w:after="0"/>
        <w:rPr>
          <w:rFonts w:ascii="Arial" w:hAnsi="Arial" w:cs="Arial"/>
          <w:b/>
        </w:rPr>
      </w:pPr>
      <w:r w:rsidRPr="004F57ED">
        <w:rPr>
          <w:rFonts w:ascii="Arial" w:hAnsi="Arial" w:cs="Arial"/>
          <w:b/>
        </w:rPr>
        <w:t>Conclusion</w:t>
      </w:r>
    </w:p>
    <w:p w:rsidR="00351F5F" w:rsidRDefault="00AF3721" w:rsidP="00AF3721">
      <w:pPr>
        <w:pStyle w:val="BodyText"/>
      </w:pPr>
      <w:r w:rsidRPr="00AF3721">
        <w:t>Staff recommends that the fuel cost recovery and capacity factors as shown on Appendix A become effective with the first billing cycle of September 2021. If the Commission approves alternative cost recovery amounts, TECO should file revised tariff sheet No. 6.020 consistent with the Commission’s decision within five days of the vote for administrative approval by staff.</w:t>
      </w:r>
    </w:p>
    <w:p w:rsidR="001239A6" w:rsidRDefault="001239A6" w:rsidP="00923B97">
      <w:pPr>
        <w:pStyle w:val="IssueHeading"/>
        <w:rPr>
          <w:vanish/>
          <w:specVanish/>
        </w:rPr>
      </w:pPr>
      <w:r w:rsidRPr="004C3641">
        <w:br w:type="page"/>
        <w:t xml:space="preserve">Issue </w:t>
      </w:r>
      <w:fldSimple w:instr=" SEQ Issue \* MERGEFORMAT ">
        <w:r w:rsidR="00D9243D">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D9243D">
        <w:rPr>
          <w:noProof/>
        </w:rPr>
        <w:instrText>3</w:instrText>
      </w:r>
      <w:r>
        <w:fldChar w:fldCharType="end"/>
      </w:r>
      <w:r>
        <w:tab/>
        <w:instrText xml:space="preserve">" \l 1 </w:instrText>
      </w:r>
      <w:r>
        <w:fldChar w:fldCharType="end"/>
      </w:r>
      <w:r>
        <w:t> </w:t>
      </w:r>
    </w:p>
    <w:p w:rsidR="001239A6" w:rsidRDefault="001239A6" w:rsidP="00923B97">
      <w:pPr>
        <w:pStyle w:val="BodyText"/>
      </w:pPr>
      <w:r>
        <w:t> Should this docket be closed?</w:t>
      </w:r>
    </w:p>
    <w:p w:rsidR="001239A6" w:rsidRPr="004C3641" w:rsidRDefault="001239A6">
      <w:pPr>
        <w:pStyle w:val="IssueSubsectionHeading"/>
        <w:rPr>
          <w:vanish/>
          <w:specVanish/>
        </w:rPr>
      </w:pPr>
      <w:r w:rsidRPr="004C3641">
        <w:t>Recommendation: </w:t>
      </w:r>
    </w:p>
    <w:p w:rsidR="001239A6" w:rsidRDefault="001239A6">
      <w:pPr>
        <w:pStyle w:val="BodyText"/>
      </w:pPr>
      <w:r>
        <w:t> </w:t>
      </w:r>
      <w:r w:rsidRPr="001239A6">
        <w:t>No. The 202</w:t>
      </w:r>
      <w:r w:rsidR="003F2CEA">
        <w:t>1</w:t>
      </w:r>
      <w:r w:rsidRPr="001239A6">
        <w:t>0001-EI docket is an on-going proceeding and should remain open.</w:t>
      </w:r>
      <w:r>
        <w:t xml:space="preserve"> (Brownless)</w:t>
      </w:r>
    </w:p>
    <w:p w:rsidR="001239A6" w:rsidRPr="004C3641" w:rsidRDefault="001239A6">
      <w:pPr>
        <w:pStyle w:val="IssueSubsectionHeading"/>
        <w:rPr>
          <w:vanish/>
          <w:specVanish/>
        </w:rPr>
      </w:pPr>
      <w:r w:rsidRPr="004C3641">
        <w:t>Staff Analysis: </w:t>
      </w:r>
    </w:p>
    <w:p w:rsidR="00923B97" w:rsidRDefault="001239A6" w:rsidP="00923B97">
      <w:pPr>
        <w:pStyle w:val="BodyText"/>
      </w:pPr>
      <w:r>
        <w:t> </w:t>
      </w:r>
      <w:r w:rsidR="00BB1F4A" w:rsidRPr="00BB1F4A">
        <w:t>The fuel docket is on-going and should remain open.</w:t>
      </w:r>
    </w:p>
    <w:p w:rsidR="00F3470E" w:rsidRDefault="00F3470E" w:rsidP="00923B97">
      <w:pPr>
        <w:pStyle w:val="BodyText"/>
      </w:pPr>
    </w:p>
    <w:p w:rsidR="00F3470E" w:rsidRDefault="00F3470E" w:rsidP="00923B97">
      <w:pPr>
        <w:pStyle w:val="BodyText"/>
      </w:pPr>
    </w:p>
    <w:p w:rsidR="00F3470E" w:rsidRDefault="00F3470E" w:rsidP="00923B97">
      <w:pPr>
        <w:pStyle w:val="BodyText"/>
        <w:sectPr w:rsidR="00F3470E"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97722" w:rsidRPr="00017BCB" w:rsidRDefault="00FF66C2" w:rsidP="006728D9">
      <w:pPr>
        <w:pStyle w:val="BodyText"/>
      </w:pPr>
      <w:r w:rsidRPr="00EF2E28">
        <w:rPr>
          <w:noProof/>
        </w:rPr>
        <w:drawing>
          <wp:inline distT="0" distB="0" distL="0" distR="0" wp14:anchorId="608951E6" wp14:editId="0F17BFE5">
            <wp:extent cx="5919899" cy="7749251"/>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9965" cy="7762427"/>
                    </a:xfrm>
                    <a:prstGeom prst="rect">
                      <a:avLst/>
                    </a:prstGeom>
                    <a:noFill/>
                    <a:ln>
                      <a:noFill/>
                    </a:ln>
                  </pic:spPr>
                </pic:pic>
              </a:graphicData>
            </a:graphic>
          </wp:inline>
        </w:drawing>
      </w:r>
    </w:p>
    <w:sectPr w:rsidR="00397722" w:rsidRPr="00017BCB" w:rsidSect="00F3470E">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8AC" w:rsidRDefault="004838AC">
      <w:r>
        <w:separator/>
      </w:r>
    </w:p>
  </w:endnote>
  <w:endnote w:type="continuationSeparator" w:id="0">
    <w:p w:rsidR="004838AC" w:rsidRDefault="004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A7" w:rsidRDefault="007776A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826F3">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A7" w:rsidRDefault="0077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8AC" w:rsidRDefault="004838AC">
      <w:r>
        <w:separator/>
      </w:r>
    </w:p>
  </w:footnote>
  <w:footnote w:type="continuationSeparator" w:id="0">
    <w:p w:rsidR="004838AC" w:rsidRDefault="004838AC">
      <w:r>
        <w:continuationSeparator/>
      </w:r>
    </w:p>
  </w:footnote>
  <w:footnote w:id="1">
    <w:p w:rsidR="007776A7" w:rsidRDefault="007776A7" w:rsidP="00573906">
      <w:pPr>
        <w:pStyle w:val="FootnoteText"/>
      </w:pPr>
      <w:r>
        <w:rPr>
          <w:rStyle w:val="FootnoteReference"/>
        </w:rPr>
        <w:footnoteRef/>
      </w:r>
      <w:r w:rsidRPr="00F00544">
        <w:t xml:space="preserve">Order No. PSC-2020-0439-FOF-EI, Issued November 16, 2020, in Docket No. 20200001-EI, </w:t>
      </w:r>
      <w:r w:rsidRPr="00F00544">
        <w:rPr>
          <w:i/>
        </w:rPr>
        <w:t>In re: Fuel and purchased power cost recovery clause with generating performance incentive factor</w:t>
      </w:r>
      <w:r w:rsidRPr="00F00544">
        <w:t>.</w:t>
      </w:r>
    </w:p>
  </w:footnote>
  <w:footnote w:id="2">
    <w:p w:rsidR="00822809" w:rsidRDefault="00822809" w:rsidP="00822809">
      <w:pPr>
        <w:pStyle w:val="FootnoteText"/>
      </w:pPr>
      <w:r>
        <w:rPr>
          <w:rStyle w:val="FootnoteReference"/>
        </w:rPr>
        <w:footnoteRef/>
      </w:r>
      <w:r>
        <w:t xml:space="preserve">Document Nos. </w:t>
      </w:r>
      <w:r w:rsidRPr="001E1DC5">
        <w:t>0</w:t>
      </w:r>
      <w:r>
        <w:t>8085-2021 and 08252-2021.</w:t>
      </w:r>
    </w:p>
  </w:footnote>
  <w:footnote w:id="3">
    <w:p w:rsidR="00163901" w:rsidRDefault="00163901" w:rsidP="00163901">
      <w:pPr>
        <w:pStyle w:val="FootnoteText"/>
      </w:pPr>
      <w:r>
        <w:rPr>
          <w:rStyle w:val="FootnoteReference"/>
        </w:rPr>
        <w:footnoteRef/>
      </w:r>
      <w:r w:rsidRPr="001E74FA">
        <w:t>Order No.</w:t>
      </w:r>
      <w:r w:rsidRPr="00A46268">
        <w:t xml:space="preserve"> PSC-2020-0439-FOF-EI</w:t>
      </w:r>
      <w:r>
        <w:t>.</w:t>
      </w:r>
    </w:p>
  </w:footnote>
  <w:footnote w:id="4">
    <w:p w:rsidR="00163901" w:rsidRDefault="00163901" w:rsidP="00163901">
      <w:pPr>
        <w:pStyle w:val="FootnoteText"/>
      </w:pPr>
      <w:r>
        <w:rPr>
          <w:rStyle w:val="FootnoteReference"/>
        </w:rPr>
        <w:footnoteRef/>
      </w:r>
      <w:r w:rsidRPr="001E1DC5">
        <w:t>Document No. 0</w:t>
      </w:r>
      <w:r>
        <w:t>8196-2021.</w:t>
      </w:r>
    </w:p>
  </w:footnote>
  <w:footnote w:id="5">
    <w:p w:rsidR="00163901" w:rsidRDefault="00163901" w:rsidP="00163901">
      <w:pPr>
        <w:pStyle w:val="FootnoteText"/>
      </w:pPr>
      <w:r>
        <w:rPr>
          <w:rStyle w:val="FootnoteReference"/>
        </w:rPr>
        <w:footnoteRef/>
      </w:r>
      <w:r>
        <w:t>Document Nos. 08085-2021 and 03197-2021.</w:t>
      </w:r>
    </w:p>
  </w:footnote>
  <w:footnote w:id="6">
    <w:p w:rsidR="00163901" w:rsidRDefault="00163901" w:rsidP="00163901">
      <w:pPr>
        <w:pStyle w:val="FootnoteText"/>
      </w:pPr>
      <w:r w:rsidRPr="002176FC">
        <w:rPr>
          <w:rStyle w:val="FootnoteReference"/>
        </w:rPr>
        <w:footnoteRef/>
      </w:r>
      <w:r w:rsidRPr="002176FC">
        <w:t>Order No. PSC-2020-0439-FOF-EI.</w:t>
      </w:r>
    </w:p>
  </w:footnote>
  <w:footnote w:id="7">
    <w:p w:rsidR="00163901" w:rsidRDefault="00163901" w:rsidP="00163901">
      <w:pPr>
        <w:pStyle w:val="FootnoteText"/>
      </w:pPr>
      <w:r>
        <w:rPr>
          <w:rStyle w:val="FootnoteReference"/>
        </w:rPr>
        <w:footnoteRef/>
      </w:r>
      <w:r w:rsidRPr="001E1DC5">
        <w:t>Document No</w:t>
      </w:r>
      <w:r w:rsidR="00BC4F79">
        <w:t>s</w:t>
      </w:r>
      <w:r w:rsidRPr="001E1DC5">
        <w:t>. 0</w:t>
      </w:r>
      <w:r w:rsidR="00BC4F79">
        <w:t>8252-2021 and 08266-2021.</w:t>
      </w:r>
    </w:p>
  </w:footnote>
  <w:footnote w:id="8">
    <w:p w:rsidR="00163901" w:rsidRDefault="00163901" w:rsidP="00163901">
      <w:pPr>
        <w:pStyle w:val="FootnoteText"/>
      </w:pPr>
      <w:r>
        <w:rPr>
          <w:rStyle w:val="FootnoteReference"/>
        </w:rPr>
        <w:footnoteRef/>
      </w:r>
      <w:r>
        <w:t>Document No. 06604-2020.</w:t>
      </w:r>
    </w:p>
  </w:footnote>
  <w:footnote w:id="9">
    <w:p w:rsidR="00163901" w:rsidRDefault="00163901" w:rsidP="00163901">
      <w:pPr>
        <w:pStyle w:val="FootnoteText"/>
      </w:pPr>
      <w:r>
        <w:rPr>
          <w:rStyle w:val="FootnoteReference"/>
        </w:rPr>
        <w:footnoteRef/>
      </w:r>
      <w:r w:rsidRPr="001E1DC5">
        <w:t>Document No. 0</w:t>
      </w:r>
      <w:r w:rsidR="005009BA">
        <w:t>3197</w:t>
      </w:r>
      <w:r>
        <w:t>-2021.</w:t>
      </w:r>
    </w:p>
  </w:footnote>
  <w:footnote w:id="10">
    <w:p w:rsidR="00163901" w:rsidRPr="001E1DC5" w:rsidRDefault="00163901" w:rsidP="00163901">
      <w:pPr>
        <w:pStyle w:val="FootnoteText"/>
        <w:rPr>
          <w:highlight w:val="yellow"/>
        </w:rPr>
      </w:pPr>
      <w:r w:rsidRPr="001E1DC5">
        <w:rPr>
          <w:rStyle w:val="FootnoteReference"/>
        </w:rPr>
        <w:footnoteRef/>
      </w:r>
      <w:r w:rsidRPr="001E1DC5">
        <w:t>Document No. 05951-2020.</w:t>
      </w:r>
    </w:p>
  </w:footnote>
  <w:footnote w:id="11">
    <w:p w:rsidR="00163901" w:rsidRDefault="00163901" w:rsidP="00163901">
      <w:pPr>
        <w:pStyle w:val="FootnoteText"/>
      </w:pPr>
      <w:r w:rsidRPr="00CF22D3">
        <w:rPr>
          <w:rStyle w:val="FootnoteReference"/>
        </w:rPr>
        <w:footnoteRef/>
      </w:r>
      <w:r w:rsidRPr="00CF22D3">
        <w:t>Updated 2021 pricing information for the months July through December is based on forward market (New York Mercantile Exchange, or “NYMEX”) data using an average of 5 trading days</w:t>
      </w:r>
      <w:r>
        <w:t xml:space="preserve"> ending July 2, 20</w:t>
      </w:r>
      <w:r w:rsidRPr="00CF22D3">
        <w:t xml:space="preserve">21. </w:t>
      </w:r>
    </w:p>
  </w:footnote>
  <w:footnote w:id="12">
    <w:p w:rsidR="00163901" w:rsidRDefault="00163901" w:rsidP="00163901">
      <w:pPr>
        <w:pStyle w:val="FootnoteText"/>
      </w:pPr>
      <w:r w:rsidRPr="000E10BD">
        <w:rPr>
          <w:rStyle w:val="FootnoteReference"/>
        </w:rPr>
        <w:footnoteRef/>
      </w:r>
      <w:r w:rsidRPr="000E10BD">
        <w:t>Inclusive of Optimization Mechanism sharing amount, Generation Performance Incentive Factor amount, and revenue taxes.</w:t>
      </w:r>
    </w:p>
  </w:footnote>
  <w:footnote w:id="13">
    <w:p w:rsidR="00163901" w:rsidRDefault="00163901" w:rsidP="00163901">
      <w:pPr>
        <w:pStyle w:val="FootnoteText"/>
      </w:pPr>
      <w:r>
        <w:rPr>
          <w:rStyle w:val="FootnoteReference"/>
        </w:rPr>
        <w:footnoteRef/>
      </w:r>
      <w:r>
        <w:t xml:space="preserve">Represents the </w:t>
      </w:r>
      <w:r w:rsidRPr="000F5660">
        <w:t xml:space="preserve">estimated </w:t>
      </w:r>
      <w:r>
        <w:t xml:space="preserve">under-recovery true-up </w:t>
      </w:r>
      <w:r w:rsidRPr="000F5660">
        <w:t>balance for the period January 2020 through December 2020 as approved by</w:t>
      </w:r>
      <w:r>
        <w:t xml:space="preserve"> Order No. PSC-2020-0439-FOF-EI. </w:t>
      </w:r>
    </w:p>
  </w:footnote>
  <w:footnote w:id="14">
    <w:p w:rsidR="00163901" w:rsidRDefault="00163901" w:rsidP="00163901">
      <w:pPr>
        <w:pStyle w:val="FootnoteText"/>
      </w:pPr>
      <w:r>
        <w:rPr>
          <w:rStyle w:val="FootnoteReference"/>
        </w:rPr>
        <w:footnoteRef/>
      </w:r>
      <w:r>
        <w:t>Represents the tot</w:t>
      </w:r>
      <w:r w:rsidR="002D5542">
        <w:t>al true-up for the period ended</w:t>
      </w:r>
      <w:r>
        <w:t xml:space="preserve"> December 2020.</w:t>
      </w:r>
    </w:p>
  </w:footnote>
  <w:footnote w:id="15">
    <w:p w:rsidR="00163901" w:rsidRDefault="00163901" w:rsidP="00163901">
      <w:pPr>
        <w:pStyle w:val="FootnoteText"/>
      </w:pPr>
      <w:r>
        <w:rPr>
          <w:rStyle w:val="FootnoteReference"/>
        </w:rPr>
        <w:footnoteRef/>
      </w:r>
      <w:r>
        <w:t>Represents the period-ending 2021 mid-course correction under-recovery amount.</w:t>
      </w:r>
    </w:p>
  </w:footnote>
  <w:footnote w:id="16">
    <w:p w:rsidR="005009BA" w:rsidRDefault="005009BA">
      <w:pPr>
        <w:pStyle w:val="FootnoteText"/>
      </w:pPr>
      <w:r>
        <w:rPr>
          <w:rStyle w:val="FootnoteReference"/>
        </w:rPr>
        <w:footnoteRef/>
      </w:r>
      <w:r>
        <w:t>D</w:t>
      </w:r>
      <w:r w:rsidRPr="001E1DC5">
        <w:t>ocument No. 0</w:t>
      </w:r>
      <w:r>
        <w:t>8196-2021.</w:t>
      </w:r>
    </w:p>
  </w:footnote>
  <w:footnote w:id="17">
    <w:p w:rsidR="00163901" w:rsidRDefault="00163901" w:rsidP="00163901">
      <w:pPr>
        <w:pStyle w:val="FootnoteText"/>
      </w:pPr>
      <w:r>
        <w:rPr>
          <w:rStyle w:val="FootnoteReference"/>
        </w:rPr>
        <w:footnoteRef/>
      </w:r>
      <w:r w:rsidRPr="002176FC">
        <w:t>Order No. PSC-2020-0439-FOF-EI.</w:t>
      </w:r>
    </w:p>
  </w:footnote>
  <w:footnote w:id="18">
    <w:p w:rsidR="00163901" w:rsidRDefault="00163901" w:rsidP="00163901">
      <w:pPr>
        <w:pStyle w:val="FootnoteText"/>
      </w:pPr>
      <w:r>
        <w:rPr>
          <w:rStyle w:val="FootnoteReference"/>
        </w:rPr>
        <w:footnoteRef/>
      </w:r>
      <w:r w:rsidR="003F5DE9">
        <w:t>Recovery f</w:t>
      </w:r>
      <w:r>
        <w:t>actor shown on “Exhibit</w:t>
      </w:r>
      <w:r w:rsidR="003F5DE9">
        <w:t xml:space="preserve"> B” of the MCC Petition, page 5</w:t>
      </w:r>
      <w:r>
        <w:t xml:space="preserve"> of 33</w:t>
      </w:r>
      <w:r w:rsidR="003F5DE9">
        <w:t>, line 13</w:t>
      </w:r>
      <w:r>
        <w:t xml:space="preserve">.   </w:t>
      </w:r>
    </w:p>
  </w:footnote>
  <w:footnote w:id="19">
    <w:p w:rsidR="00163901" w:rsidRPr="001E1DC5" w:rsidRDefault="00163901" w:rsidP="00163901">
      <w:pPr>
        <w:pStyle w:val="FootnoteText"/>
        <w:rPr>
          <w:highlight w:val="yellow"/>
        </w:rPr>
      </w:pPr>
      <w:r w:rsidRPr="001E1DC5">
        <w:rPr>
          <w:rStyle w:val="FootnoteReference"/>
        </w:rPr>
        <w:footnoteRef/>
      </w:r>
      <w:r w:rsidRPr="001E1DC5">
        <w:t>Document No. 05951-2020.</w:t>
      </w:r>
    </w:p>
  </w:footnote>
  <w:footnote w:id="20">
    <w:p w:rsidR="00163901" w:rsidRDefault="00163901" w:rsidP="00163901">
      <w:pPr>
        <w:pStyle w:val="FootnoteText"/>
      </w:pPr>
      <w:r w:rsidRPr="002E072B">
        <w:rPr>
          <w:rStyle w:val="FootnoteReference"/>
        </w:rPr>
        <w:footnoteRef/>
      </w:r>
      <w:r w:rsidRPr="00AF0D39">
        <w:t>Document No. 08196-2021, filed July 21, 2021, TECO’s Responses to Staff’s First Data Request, No. 6.</w:t>
      </w:r>
    </w:p>
  </w:footnote>
  <w:footnote w:id="21">
    <w:p w:rsidR="00430552" w:rsidRDefault="00430552" w:rsidP="00430552">
      <w:pPr>
        <w:pStyle w:val="FootnoteText"/>
      </w:pPr>
      <w:r>
        <w:rPr>
          <w:rStyle w:val="FootnoteReference"/>
        </w:rPr>
        <w:footnoteRef/>
      </w:r>
      <w:r>
        <w:t>Document No. 08085-2021, Exhibit A, page 2 of 3.</w:t>
      </w:r>
    </w:p>
  </w:footnote>
  <w:footnote w:id="22">
    <w:p w:rsidR="00300D46" w:rsidRDefault="00300D46" w:rsidP="00300D46">
      <w:pPr>
        <w:pStyle w:val="FootnoteText"/>
      </w:pPr>
      <w:r>
        <w:rPr>
          <w:rStyle w:val="FootnoteReference"/>
        </w:rPr>
        <w:footnoteRef/>
      </w:r>
      <w:r>
        <w:t>Document No. 08085-2021,</w:t>
      </w:r>
      <w:r w:rsidR="004D0E15">
        <w:t xml:space="preserve"> Schedule E1-E.</w:t>
      </w:r>
    </w:p>
  </w:footnote>
  <w:footnote w:id="23">
    <w:p w:rsidR="004C72F7" w:rsidRDefault="004C72F7">
      <w:pPr>
        <w:pStyle w:val="FootnoteText"/>
      </w:pPr>
      <w:r>
        <w:rPr>
          <w:rStyle w:val="FootnoteReference"/>
        </w:rPr>
        <w:footnoteRef/>
      </w:r>
      <w:r>
        <w:rPr>
          <w:bCs/>
          <w:iCs/>
        </w:rPr>
        <w:t>Staff notes that due to differences in specificity and method of calculating rates, its estimate of the fuel factor and TECOs calculation may slightly differ.</w:t>
      </w:r>
    </w:p>
  </w:footnote>
  <w:footnote w:id="24">
    <w:p w:rsidR="00FF66C2" w:rsidRDefault="00FF66C2" w:rsidP="00FF66C2">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t xml:space="preserve"> </w:t>
      </w:r>
      <w:r>
        <w:rPr>
          <w:i/>
        </w:rPr>
        <w:t xml:space="preserve"> </w:t>
      </w:r>
      <w:r>
        <w:t xml:space="preserve"> </w:t>
      </w:r>
    </w:p>
  </w:footnote>
  <w:footnote w:id="25">
    <w:p w:rsidR="00FF66C2" w:rsidRDefault="00FF66C2" w:rsidP="00FF66C2">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26">
    <w:p w:rsidR="00FF66C2" w:rsidRDefault="00FF66C2" w:rsidP="00FF66C2">
      <w:pPr>
        <w:pStyle w:val="FootnoteText"/>
      </w:pPr>
      <w:r>
        <w:rPr>
          <w:rStyle w:val="FootnoteReference"/>
        </w:rPr>
        <w:footnoteRef/>
      </w:r>
      <w:r>
        <w:t xml:space="preserve">Order No. PSC-09-0213-PCO-EI; Order No. PSC-2019-0109-PCO-EI. </w:t>
      </w:r>
    </w:p>
  </w:footnote>
  <w:footnote w:id="27">
    <w:p w:rsidR="00FF66C2" w:rsidRDefault="00FF66C2" w:rsidP="00FF66C2">
      <w:pPr>
        <w:pStyle w:val="FootnoteText"/>
      </w:pPr>
      <w:r>
        <w:rPr>
          <w:rStyle w:val="FootnoteReference"/>
        </w:rPr>
        <w:footnoteRef/>
      </w:r>
      <w:r w:rsidR="0075458A" w:rsidRPr="000628F2">
        <w:t>Document No. 08196-2021, filed July 21, 2021, TECO’s Responses to S</w:t>
      </w:r>
      <w:r w:rsidR="0075458A">
        <w:t>taff’s First Data Request, No. 5</w:t>
      </w:r>
      <w:r w:rsidR="0075458A" w:rsidRPr="000628F2">
        <w:t>.</w:t>
      </w:r>
    </w:p>
  </w:footnote>
  <w:footnote w:id="28">
    <w:p w:rsidR="008978C9" w:rsidRDefault="008978C9" w:rsidP="008978C9">
      <w:pPr>
        <w:pStyle w:val="FootnoteText"/>
      </w:pPr>
      <w:r w:rsidRPr="000628F2">
        <w:rPr>
          <w:rStyle w:val="FootnoteReference"/>
        </w:rPr>
        <w:footnoteRef/>
      </w:r>
      <w:r w:rsidRPr="000628F2">
        <w:t>Document No. 08196-2021, filed July 21, 2021, TECO’s Responses to Staff’s First Data Request, No.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A7" w:rsidRDefault="007776A7"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20210001-EI</w:t>
    </w:r>
    <w:bookmarkEnd w:id="14"/>
  </w:p>
  <w:p w:rsidR="007776A7" w:rsidRDefault="007776A7">
    <w:pPr>
      <w:pStyle w:val="Header"/>
    </w:pPr>
    <w:r>
      <w:t xml:space="preserve">Date: </w:t>
    </w:r>
    <w:fldSimple w:instr=" REF FilingDate ">
      <w:r w:rsidR="004C72F7">
        <w:t>July 27</w:t>
      </w:r>
      <w:r w:rsidR="00D9243D">
        <w:t>,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A7" w:rsidRDefault="00777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A7" w:rsidRDefault="007776A7" w:rsidP="00220732">
    <w:pPr>
      <w:pStyle w:val="Header"/>
      <w:tabs>
        <w:tab w:val="clear" w:pos="4320"/>
        <w:tab w:val="clear" w:pos="8640"/>
        <w:tab w:val="right" w:pos="9360"/>
      </w:tabs>
    </w:pPr>
    <w:r>
      <w:fldChar w:fldCharType="begin"/>
    </w:r>
    <w:r>
      <w:instrText xml:space="preserve"> REF DocketLabel</w:instrText>
    </w:r>
    <w:r>
      <w:fldChar w:fldCharType="separate"/>
    </w:r>
    <w:r w:rsidR="00D9243D">
      <w:t>Docket No.</w:t>
    </w:r>
    <w:r>
      <w:fldChar w:fldCharType="end"/>
    </w:r>
    <w:r>
      <w:t xml:space="preserve"> </w:t>
    </w:r>
    <w:r>
      <w:fldChar w:fldCharType="begin"/>
    </w:r>
    <w:r>
      <w:instrText xml:space="preserve"> REF DocketList</w:instrText>
    </w:r>
    <w:r>
      <w:fldChar w:fldCharType="separate"/>
    </w:r>
    <w:r w:rsidR="00D9243D">
      <w:t>20210001-EI</w:t>
    </w:r>
    <w:r>
      <w:fldChar w:fldCharType="end"/>
    </w:r>
    <w:r>
      <w:tab/>
      <w:t xml:space="preserve">Issue </w:t>
    </w:r>
    <w:fldSimple w:instr=" Seq Issue \c \* Arabic ">
      <w:r w:rsidR="004826F3">
        <w:rPr>
          <w:noProof/>
        </w:rPr>
        <w:t>3</w:t>
      </w:r>
    </w:fldSimple>
  </w:p>
  <w:p w:rsidR="007776A7" w:rsidRDefault="007776A7">
    <w:pPr>
      <w:pStyle w:val="Header"/>
    </w:pPr>
    <w:r>
      <w:t xml:space="preserve">Date: </w:t>
    </w:r>
    <w:fldSimple w:instr=" REF FilingDate ">
      <w:r w:rsidR="004C72F7">
        <w:t>July 27</w:t>
      </w:r>
      <w:r w:rsidR="00D9243D">
        <w:t>, 2021</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A7" w:rsidRDefault="007776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8D9" w:rsidRDefault="006728D9" w:rsidP="006728D9">
    <w:pPr>
      <w:pStyle w:val="Header"/>
      <w:tabs>
        <w:tab w:val="clear" w:pos="4320"/>
        <w:tab w:val="clear" w:pos="8640"/>
        <w:tab w:val="right" w:pos="9360"/>
      </w:tabs>
    </w:pPr>
    <w:r>
      <w:fldChar w:fldCharType="begin"/>
    </w:r>
    <w:r>
      <w:instrText xml:space="preserve"> REF DocketLabel</w:instrText>
    </w:r>
    <w:r>
      <w:fldChar w:fldCharType="separate"/>
    </w:r>
    <w:r w:rsidR="00D9243D">
      <w:t>Docket No.</w:t>
    </w:r>
    <w:r>
      <w:fldChar w:fldCharType="end"/>
    </w:r>
    <w:r>
      <w:t xml:space="preserve"> </w:t>
    </w:r>
    <w:r>
      <w:fldChar w:fldCharType="begin"/>
    </w:r>
    <w:r>
      <w:instrText xml:space="preserve"> REF DocketList</w:instrText>
    </w:r>
    <w:r>
      <w:fldChar w:fldCharType="separate"/>
    </w:r>
    <w:r w:rsidR="00D9243D">
      <w:t>20210001-EI</w:t>
    </w:r>
    <w:r>
      <w:fldChar w:fldCharType="end"/>
    </w:r>
    <w:r>
      <w:tab/>
      <w:t>Appendix A</w:t>
    </w:r>
  </w:p>
  <w:p w:rsidR="006728D9" w:rsidRDefault="006728D9" w:rsidP="006728D9">
    <w:pPr>
      <w:pStyle w:val="Header"/>
    </w:pPr>
    <w:r>
      <w:t xml:space="preserve">Date: </w:t>
    </w:r>
    <w:fldSimple w:instr=" REF FilingDate ">
      <w:r w:rsidR="004C72F7">
        <w:t>July 27</w:t>
      </w:r>
      <w:r w:rsidR="00D9243D">
        <w:t>, 2021</w:t>
      </w:r>
    </w:fldSimple>
  </w:p>
  <w:p w:rsidR="00017BCB" w:rsidRPr="00017BCB" w:rsidRDefault="00017BCB" w:rsidP="0001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F634E"/>
    <w:rsid w:val="00002DB1"/>
    <w:rsid w:val="000043D5"/>
    <w:rsid w:val="00004FB5"/>
    <w:rsid w:val="000050A1"/>
    <w:rsid w:val="00006170"/>
    <w:rsid w:val="0000648A"/>
    <w:rsid w:val="000105CF"/>
    <w:rsid w:val="00010E37"/>
    <w:rsid w:val="000169E3"/>
    <w:rsid w:val="000172DA"/>
    <w:rsid w:val="00017BCB"/>
    <w:rsid w:val="0002024D"/>
    <w:rsid w:val="0002227A"/>
    <w:rsid w:val="000247C5"/>
    <w:rsid w:val="0002671A"/>
    <w:rsid w:val="000277C2"/>
    <w:rsid w:val="00031E48"/>
    <w:rsid w:val="00035B48"/>
    <w:rsid w:val="00036CE2"/>
    <w:rsid w:val="000437FE"/>
    <w:rsid w:val="000446E9"/>
    <w:rsid w:val="00046A69"/>
    <w:rsid w:val="000513BE"/>
    <w:rsid w:val="0005693E"/>
    <w:rsid w:val="000609E7"/>
    <w:rsid w:val="000609F2"/>
    <w:rsid w:val="000628F2"/>
    <w:rsid w:val="00065A06"/>
    <w:rsid w:val="000666F3"/>
    <w:rsid w:val="00070DCB"/>
    <w:rsid w:val="00072CCA"/>
    <w:rsid w:val="00073120"/>
    <w:rsid w:val="000756BD"/>
    <w:rsid w:val="000764D0"/>
    <w:rsid w:val="000824F5"/>
    <w:rsid w:val="000828D3"/>
    <w:rsid w:val="00087B03"/>
    <w:rsid w:val="0009045D"/>
    <w:rsid w:val="00091D01"/>
    <w:rsid w:val="000921D8"/>
    <w:rsid w:val="000A2B57"/>
    <w:rsid w:val="000A418B"/>
    <w:rsid w:val="000A72B7"/>
    <w:rsid w:val="000B1D38"/>
    <w:rsid w:val="000B2D0B"/>
    <w:rsid w:val="000B559F"/>
    <w:rsid w:val="000C0AA4"/>
    <w:rsid w:val="000C4431"/>
    <w:rsid w:val="000D1C06"/>
    <w:rsid w:val="000D4319"/>
    <w:rsid w:val="000D778B"/>
    <w:rsid w:val="000E10BD"/>
    <w:rsid w:val="000F374A"/>
    <w:rsid w:val="000F5660"/>
    <w:rsid w:val="0010118A"/>
    <w:rsid w:val="00102343"/>
    <w:rsid w:val="001040BD"/>
    <w:rsid w:val="001076AF"/>
    <w:rsid w:val="00107ACD"/>
    <w:rsid w:val="0011353E"/>
    <w:rsid w:val="00113650"/>
    <w:rsid w:val="00117B61"/>
    <w:rsid w:val="00117C8C"/>
    <w:rsid w:val="001239A6"/>
    <w:rsid w:val="00124C38"/>
    <w:rsid w:val="00124E2E"/>
    <w:rsid w:val="00125ED4"/>
    <w:rsid w:val="001305E9"/>
    <w:rsid w:val="001307AF"/>
    <w:rsid w:val="001354F5"/>
    <w:rsid w:val="00135687"/>
    <w:rsid w:val="00144760"/>
    <w:rsid w:val="0015506E"/>
    <w:rsid w:val="00156FFC"/>
    <w:rsid w:val="00163031"/>
    <w:rsid w:val="00163901"/>
    <w:rsid w:val="0016635E"/>
    <w:rsid w:val="00171A90"/>
    <w:rsid w:val="00173532"/>
    <w:rsid w:val="0017731A"/>
    <w:rsid w:val="00180254"/>
    <w:rsid w:val="00191E1F"/>
    <w:rsid w:val="00192943"/>
    <w:rsid w:val="00194367"/>
    <w:rsid w:val="00196133"/>
    <w:rsid w:val="001965C1"/>
    <w:rsid w:val="00196BE9"/>
    <w:rsid w:val="00196F77"/>
    <w:rsid w:val="001A50CA"/>
    <w:rsid w:val="001A7406"/>
    <w:rsid w:val="001B46A6"/>
    <w:rsid w:val="001B4FEE"/>
    <w:rsid w:val="001B51C5"/>
    <w:rsid w:val="001B6F3F"/>
    <w:rsid w:val="001C52B5"/>
    <w:rsid w:val="001D0D3E"/>
    <w:rsid w:val="001D5F23"/>
    <w:rsid w:val="001E25ED"/>
    <w:rsid w:val="001E74FA"/>
    <w:rsid w:val="001E77E2"/>
    <w:rsid w:val="001F2245"/>
    <w:rsid w:val="001F2A23"/>
    <w:rsid w:val="001F2C63"/>
    <w:rsid w:val="001F4300"/>
    <w:rsid w:val="001F48C7"/>
    <w:rsid w:val="001F6DA1"/>
    <w:rsid w:val="002020F4"/>
    <w:rsid w:val="002044E6"/>
    <w:rsid w:val="00205C82"/>
    <w:rsid w:val="00205DC2"/>
    <w:rsid w:val="00206428"/>
    <w:rsid w:val="00212B17"/>
    <w:rsid w:val="002163B6"/>
    <w:rsid w:val="00220732"/>
    <w:rsid w:val="00221D32"/>
    <w:rsid w:val="00222588"/>
    <w:rsid w:val="00225C3F"/>
    <w:rsid w:val="0022613B"/>
    <w:rsid w:val="0023276C"/>
    <w:rsid w:val="00235602"/>
    <w:rsid w:val="00254F11"/>
    <w:rsid w:val="002570FE"/>
    <w:rsid w:val="00262A6F"/>
    <w:rsid w:val="002639FD"/>
    <w:rsid w:val="00263D44"/>
    <w:rsid w:val="002702AD"/>
    <w:rsid w:val="00273ABB"/>
    <w:rsid w:val="0027540C"/>
    <w:rsid w:val="002775FD"/>
    <w:rsid w:val="002848A2"/>
    <w:rsid w:val="00286EB1"/>
    <w:rsid w:val="002904DE"/>
    <w:rsid w:val="00292D82"/>
    <w:rsid w:val="002963CB"/>
    <w:rsid w:val="002A24F5"/>
    <w:rsid w:val="002A5664"/>
    <w:rsid w:val="002A7D8B"/>
    <w:rsid w:val="002B275E"/>
    <w:rsid w:val="002B3CD3"/>
    <w:rsid w:val="002B4A01"/>
    <w:rsid w:val="002B52B7"/>
    <w:rsid w:val="002B6D15"/>
    <w:rsid w:val="002C6283"/>
    <w:rsid w:val="002D0737"/>
    <w:rsid w:val="002D226D"/>
    <w:rsid w:val="002D3264"/>
    <w:rsid w:val="002D437A"/>
    <w:rsid w:val="002D447D"/>
    <w:rsid w:val="002D5542"/>
    <w:rsid w:val="002D6790"/>
    <w:rsid w:val="002D704A"/>
    <w:rsid w:val="002E072B"/>
    <w:rsid w:val="002E1AA6"/>
    <w:rsid w:val="002E337A"/>
    <w:rsid w:val="002F32A9"/>
    <w:rsid w:val="002F39C5"/>
    <w:rsid w:val="002F6030"/>
    <w:rsid w:val="00300D46"/>
    <w:rsid w:val="00301612"/>
    <w:rsid w:val="00301E67"/>
    <w:rsid w:val="003037E1"/>
    <w:rsid w:val="00307E51"/>
    <w:rsid w:val="00310068"/>
    <w:rsid w:val="003103EC"/>
    <w:rsid w:val="003144EF"/>
    <w:rsid w:val="00315DC8"/>
    <w:rsid w:val="0032140E"/>
    <w:rsid w:val="00322358"/>
    <w:rsid w:val="00322F74"/>
    <w:rsid w:val="003324A1"/>
    <w:rsid w:val="00340073"/>
    <w:rsid w:val="0034558E"/>
    <w:rsid w:val="003455D7"/>
    <w:rsid w:val="00351F5F"/>
    <w:rsid w:val="00353193"/>
    <w:rsid w:val="003533C5"/>
    <w:rsid w:val="00354893"/>
    <w:rsid w:val="0035552D"/>
    <w:rsid w:val="003557E7"/>
    <w:rsid w:val="0035660C"/>
    <w:rsid w:val="00357337"/>
    <w:rsid w:val="003632FD"/>
    <w:rsid w:val="00372805"/>
    <w:rsid w:val="00373180"/>
    <w:rsid w:val="00373D7F"/>
    <w:rsid w:val="003748B5"/>
    <w:rsid w:val="00375AB9"/>
    <w:rsid w:val="0037757F"/>
    <w:rsid w:val="003821A0"/>
    <w:rsid w:val="00385B04"/>
    <w:rsid w:val="003864CF"/>
    <w:rsid w:val="003948AE"/>
    <w:rsid w:val="00394F29"/>
    <w:rsid w:val="00396A4F"/>
    <w:rsid w:val="00397722"/>
    <w:rsid w:val="003A22A6"/>
    <w:rsid w:val="003A4A8D"/>
    <w:rsid w:val="003A5494"/>
    <w:rsid w:val="003A65CD"/>
    <w:rsid w:val="003A6760"/>
    <w:rsid w:val="003B08AC"/>
    <w:rsid w:val="003B2510"/>
    <w:rsid w:val="003C01D9"/>
    <w:rsid w:val="003C1A81"/>
    <w:rsid w:val="003C2CC4"/>
    <w:rsid w:val="003C3710"/>
    <w:rsid w:val="003C64E4"/>
    <w:rsid w:val="003D3A0C"/>
    <w:rsid w:val="003D66C4"/>
    <w:rsid w:val="003D6C0F"/>
    <w:rsid w:val="003D7FC8"/>
    <w:rsid w:val="003E0EFC"/>
    <w:rsid w:val="003E4A2B"/>
    <w:rsid w:val="003E76C2"/>
    <w:rsid w:val="003F1679"/>
    <w:rsid w:val="003F21EB"/>
    <w:rsid w:val="003F2CEA"/>
    <w:rsid w:val="003F4A35"/>
    <w:rsid w:val="003F5DE9"/>
    <w:rsid w:val="003F7FDD"/>
    <w:rsid w:val="00400DC3"/>
    <w:rsid w:val="00402481"/>
    <w:rsid w:val="0040257D"/>
    <w:rsid w:val="004042B4"/>
    <w:rsid w:val="00410DC4"/>
    <w:rsid w:val="00411FA0"/>
    <w:rsid w:val="00412DAE"/>
    <w:rsid w:val="004242E6"/>
    <w:rsid w:val="00426BF8"/>
    <w:rsid w:val="00430552"/>
    <w:rsid w:val="00431598"/>
    <w:rsid w:val="004319AD"/>
    <w:rsid w:val="00431FC1"/>
    <w:rsid w:val="00433BBF"/>
    <w:rsid w:val="004353D1"/>
    <w:rsid w:val="004426B8"/>
    <w:rsid w:val="00444432"/>
    <w:rsid w:val="0045250C"/>
    <w:rsid w:val="00454503"/>
    <w:rsid w:val="004577AB"/>
    <w:rsid w:val="00462222"/>
    <w:rsid w:val="0046463D"/>
    <w:rsid w:val="00465A8B"/>
    <w:rsid w:val="004679F7"/>
    <w:rsid w:val="004702CD"/>
    <w:rsid w:val="00470465"/>
    <w:rsid w:val="00471860"/>
    <w:rsid w:val="00477026"/>
    <w:rsid w:val="00477D30"/>
    <w:rsid w:val="0048162D"/>
    <w:rsid w:val="00481DE6"/>
    <w:rsid w:val="004826F3"/>
    <w:rsid w:val="004838AC"/>
    <w:rsid w:val="00483F90"/>
    <w:rsid w:val="00486EF2"/>
    <w:rsid w:val="004A408F"/>
    <w:rsid w:val="004A46CD"/>
    <w:rsid w:val="004A744D"/>
    <w:rsid w:val="004B11CC"/>
    <w:rsid w:val="004B60BD"/>
    <w:rsid w:val="004B61B7"/>
    <w:rsid w:val="004B63E0"/>
    <w:rsid w:val="004C3150"/>
    <w:rsid w:val="004C3641"/>
    <w:rsid w:val="004C4390"/>
    <w:rsid w:val="004C4AF7"/>
    <w:rsid w:val="004C56BE"/>
    <w:rsid w:val="004C70FA"/>
    <w:rsid w:val="004C72F7"/>
    <w:rsid w:val="004D0E15"/>
    <w:rsid w:val="004D2190"/>
    <w:rsid w:val="004D2881"/>
    <w:rsid w:val="004D385F"/>
    <w:rsid w:val="004D5B39"/>
    <w:rsid w:val="004E1C14"/>
    <w:rsid w:val="004E330D"/>
    <w:rsid w:val="004E5147"/>
    <w:rsid w:val="004E69B5"/>
    <w:rsid w:val="004F57ED"/>
    <w:rsid w:val="004F5C43"/>
    <w:rsid w:val="004F634E"/>
    <w:rsid w:val="005009BA"/>
    <w:rsid w:val="005023BD"/>
    <w:rsid w:val="00503125"/>
    <w:rsid w:val="00504E6F"/>
    <w:rsid w:val="00505E8B"/>
    <w:rsid w:val="0050652D"/>
    <w:rsid w:val="00506C03"/>
    <w:rsid w:val="00511762"/>
    <w:rsid w:val="00511A11"/>
    <w:rsid w:val="00516496"/>
    <w:rsid w:val="005173A0"/>
    <w:rsid w:val="00523B11"/>
    <w:rsid w:val="0052572A"/>
    <w:rsid w:val="00532DFB"/>
    <w:rsid w:val="0053680B"/>
    <w:rsid w:val="00537CFE"/>
    <w:rsid w:val="00543CB3"/>
    <w:rsid w:val="005442E4"/>
    <w:rsid w:val="00544738"/>
    <w:rsid w:val="005500D7"/>
    <w:rsid w:val="0055351C"/>
    <w:rsid w:val="0055529B"/>
    <w:rsid w:val="00560FF0"/>
    <w:rsid w:val="005614BD"/>
    <w:rsid w:val="00561EDC"/>
    <w:rsid w:val="00563080"/>
    <w:rsid w:val="00566559"/>
    <w:rsid w:val="0057154F"/>
    <w:rsid w:val="0057352D"/>
    <w:rsid w:val="00573906"/>
    <w:rsid w:val="00574B79"/>
    <w:rsid w:val="00576023"/>
    <w:rsid w:val="00580F69"/>
    <w:rsid w:val="00581CA3"/>
    <w:rsid w:val="00583CA5"/>
    <w:rsid w:val="00584BDD"/>
    <w:rsid w:val="00587A44"/>
    <w:rsid w:val="00596A1F"/>
    <w:rsid w:val="00597730"/>
    <w:rsid w:val="005977EC"/>
    <w:rsid w:val="00597DE7"/>
    <w:rsid w:val="005A1BD8"/>
    <w:rsid w:val="005A4AA2"/>
    <w:rsid w:val="005A7928"/>
    <w:rsid w:val="005A7AAC"/>
    <w:rsid w:val="005B34B6"/>
    <w:rsid w:val="005B48F2"/>
    <w:rsid w:val="005B6C8F"/>
    <w:rsid w:val="005B6CCE"/>
    <w:rsid w:val="005B6EC3"/>
    <w:rsid w:val="005C0A69"/>
    <w:rsid w:val="005C362E"/>
    <w:rsid w:val="005C515F"/>
    <w:rsid w:val="005D0F74"/>
    <w:rsid w:val="005D2E7D"/>
    <w:rsid w:val="005D4A8F"/>
    <w:rsid w:val="005D561B"/>
    <w:rsid w:val="005D5ECF"/>
    <w:rsid w:val="005D66D9"/>
    <w:rsid w:val="005E650C"/>
    <w:rsid w:val="005F468D"/>
    <w:rsid w:val="005F69A3"/>
    <w:rsid w:val="00604CC7"/>
    <w:rsid w:val="00612B86"/>
    <w:rsid w:val="006153F2"/>
    <w:rsid w:val="00615423"/>
    <w:rsid w:val="006165B2"/>
    <w:rsid w:val="006165F0"/>
    <w:rsid w:val="00617276"/>
    <w:rsid w:val="00623258"/>
    <w:rsid w:val="00624584"/>
    <w:rsid w:val="0062527B"/>
    <w:rsid w:val="00625D97"/>
    <w:rsid w:val="00625F1C"/>
    <w:rsid w:val="006279E1"/>
    <w:rsid w:val="00630CEB"/>
    <w:rsid w:val="00632264"/>
    <w:rsid w:val="0064168E"/>
    <w:rsid w:val="00641812"/>
    <w:rsid w:val="00645B89"/>
    <w:rsid w:val="006470BC"/>
    <w:rsid w:val="006554D3"/>
    <w:rsid w:val="00660959"/>
    <w:rsid w:val="00663E95"/>
    <w:rsid w:val="00667036"/>
    <w:rsid w:val="006677B7"/>
    <w:rsid w:val="00667E9C"/>
    <w:rsid w:val="00670070"/>
    <w:rsid w:val="00671F0E"/>
    <w:rsid w:val="006728D9"/>
    <w:rsid w:val="00673BDB"/>
    <w:rsid w:val="00674341"/>
    <w:rsid w:val="00676872"/>
    <w:rsid w:val="006771B8"/>
    <w:rsid w:val="00677A9A"/>
    <w:rsid w:val="00682172"/>
    <w:rsid w:val="006843B6"/>
    <w:rsid w:val="0068481F"/>
    <w:rsid w:val="006864C0"/>
    <w:rsid w:val="00696F5D"/>
    <w:rsid w:val="00697249"/>
    <w:rsid w:val="006B3947"/>
    <w:rsid w:val="006B4293"/>
    <w:rsid w:val="006B624F"/>
    <w:rsid w:val="006C0C95"/>
    <w:rsid w:val="006C31E3"/>
    <w:rsid w:val="006D18D3"/>
    <w:rsid w:val="006E08CB"/>
    <w:rsid w:val="006E598D"/>
    <w:rsid w:val="0070437D"/>
    <w:rsid w:val="007049E7"/>
    <w:rsid w:val="00704CF1"/>
    <w:rsid w:val="00705B04"/>
    <w:rsid w:val="00706ED4"/>
    <w:rsid w:val="00712C9D"/>
    <w:rsid w:val="00715355"/>
    <w:rsid w:val="00716C40"/>
    <w:rsid w:val="00721BD2"/>
    <w:rsid w:val="007223FD"/>
    <w:rsid w:val="0072283C"/>
    <w:rsid w:val="00724992"/>
    <w:rsid w:val="00732C36"/>
    <w:rsid w:val="00734820"/>
    <w:rsid w:val="007349DC"/>
    <w:rsid w:val="00740EAD"/>
    <w:rsid w:val="0074365E"/>
    <w:rsid w:val="00744B55"/>
    <w:rsid w:val="007515FD"/>
    <w:rsid w:val="0075458A"/>
    <w:rsid w:val="00760D80"/>
    <w:rsid w:val="00762C4D"/>
    <w:rsid w:val="007630C7"/>
    <w:rsid w:val="00763679"/>
    <w:rsid w:val="00774600"/>
    <w:rsid w:val="007776A7"/>
    <w:rsid w:val="00777896"/>
    <w:rsid w:val="00780C09"/>
    <w:rsid w:val="00780DDF"/>
    <w:rsid w:val="007834E9"/>
    <w:rsid w:val="00787DBC"/>
    <w:rsid w:val="0079019A"/>
    <w:rsid w:val="007917A6"/>
    <w:rsid w:val="00792935"/>
    <w:rsid w:val="00794DE9"/>
    <w:rsid w:val="007A04A1"/>
    <w:rsid w:val="007A1840"/>
    <w:rsid w:val="007B71F7"/>
    <w:rsid w:val="007C03E9"/>
    <w:rsid w:val="007C0528"/>
    <w:rsid w:val="007C3D38"/>
    <w:rsid w:val="007C5B13"/>
    <w:rsid w:val="007C6AD9"/>
    <w:rsid w:val="007D0F35"/>
    <w:rsid w:val="007D4FEB"/>
    <w:rsid w:val="007D6146"/>
    <w:rsid w:val="007D77F1"/>
    <w:rsid w:val="007E0CE7"/>
    <w:rsid w:val="007E5D46"/>
    <w:rsid w:val="007F067B"/>
    <w:rsid w:val="007F1193"/>
    <w:rsid w:val="007F417F"/>
    <w:rsid w:val="007F7644"/>
    <w:rsid w:val="007F79F0"/>
    <w:rsid w:val="00803A3E"/>
    <w:rsid w:val="008042BD"/>
    <w:rsid w:val="00807404"/>
    <w:rsid w:val="008132EB"/>
    <w:rsid w:val="00816624"/>
    <w:rsid w:val="00821270"/>
    <w:rsid w:val="00822427"/>
    <w:rsid w:val="00822562"/>
    <w:rsid w:val="00822809"/>
    <w:rsid w:val="008231D8"/>
    <w:rsid w:val="00823663"/>
    <w:rsid w:val="008240DA"/>
    <w:rsid w:val="008325B6"/>
    <w:rsid w:val="00832DDC"/>
    <w:rsid w:val="00840044"/>
    <w:rsid w:val="0084707C"/>
    <w:rsid w:val="00850BAC"/>
    <w:rsid w:val="00853206"/>
    <w:rsid w:val="00854A3E"/>
    <w:rsid w:val="00854B24"/>
    <w:rsid w:val="00855D08"/>
    <w:rsid w:val="0085717C"/>
    <w:rsid w:val="00872B62"/>
    <w:rsid w:val="00874344"/>
    <w:rsid w:val="00874B20"/>
    <w:rsid w:val="00882155"/>
    <w:rsid w:val="0088233B"/>
    <w:rsid w:val="00882C5A"/>
    <w:rsid w:val="0088599E"/>
    <w:rsid w:val="00886C37"/>
    <w:rsid w:val="00890DE6"/>
    <w:rsid w:val="008922FA"/>
    <w:rsid w:val="00892ACF"/>
    <w:rsid w:val="00892D99"/>
    <w:rsid w:val="00893315"/>
    <w:rsid w:val="008978C9"/>
    <w:rsid w:val="008A21C9"/>
    <w:rsid w:val="008A3101"/>
    <w:rsid w:val="008A7320"/>
    <w:rsid w:val="008B5EE0"/>
    <w:rsid w:val="008B62AE"/>
    <w:rsid w:val="008C04B5"/>
    <w:rsid w:val="008C14FA"/>
    <w:rsid w:val="008C7B0B"/>
    <w:rsid w:val="008D13B3"/>
    <w:rsid w:val="008D3EAD"/>
    <w:rsid w:val="008D4057"/>
    <w:rsid w:val="008D6FF0"/>
    <w:rsid w:val="008E1F19"/>
    <w:rsid w:val="008F19EF"/>
    <w:rsid w:val="008F2262"/>
    <w:rsid w:val="008F4D2B"/>
    <w:rsid w:val="008F7736"/>
    <w:rsid w:val="0090019E"/>
    <w:rsid w:val="0090094C"/>
    <w:rsid w:val="00901086"/>
    <w:rsid w:val="0090168D"/>
    <w:rsid w:val="00901C8A"/>
    <w:rsid w:val="009030EF"/>
    <w:rsid w:val="00905886"/>
    <w:rsid w:val="009070D6"/>
    <w:rsid w:val="009076C6"/>
    <w:rsid w:val="0091019E"/>
    <w:rsid w:val="009106F1"/>
    <w:rsid w:val="009116DD"/>
    <w:rsid w:val="00911A4E"/>
    <w:rsid w:val="00912404"/>
    <w:rsid w:val="009145D6"/>
    <w:rsid w:val="00920E64"/>
    <w:rsid w:val="00922002"/>
    <w:rsid w:val="00923B97"/>
    <w:rsid w:val="00924020"/>
    <w:rsid w:val="009271A7"/>
    <w:rsid w:val="009310B4"/>
    <w:rsid w:val="00931E5D"/>
    <w:rsid w:val="0093658B"/>
    <w:rsid w:val="009429FF"/>
    <w:rsid w:val="00943535"/>
    <w:rsid w:val="00943909"/>
    <w:rsid w:val="00945BD6"/>
    <w:rsid w:val="009479FB"/>
    <w:rsid w:val="009509FE"/>
    <w:rsid w:val="00951C45"/>
    <w:rsid w:val="009605B8"/>
    <w:rsid w:val="009656F2"/>
    <w:rsid w:val="00966A08"/>
    <w:rsid w:val="00966FE1"/>
    <w:rsid w:val="009706E1"/>
    <w:rsid w:val="00971207"/>
    <w:rsid w:val="0097361C"/>
    <w:rsid w:val="00975CB4"/>
    <w:rsid w:val="009851DD"/>
    <w:rsid w:val="009863B0"/>
    <w:rsid w:val="00987DE1"/>
    <w:rsid w:val="00990571"/>
    <w:rsid w:val="00992808"/>
    <w:rsid w:val="00995C03"/>
    <w:rsid w:val="0099673A"/>
    <w:rsid w:val="00997F41"/>
    <w:rsid w:val="009A0657"/>
    <w:rsid w:val="009A0AA6"/>
    <w:rsid w:val="009A0EF8"/>
    <w:rsid w:val="009A3330"/>
    <w:rsid w:val="009A449C"/>
    <w:rsid w:val="009A59C2"/>
    <w:rsid w:val="009A7C96"/>
    <w:rsid w:val="009B0BF5"/>
    <w:rsid w:val="009C3DB9"/>
    <w:rsid w:val="009D08E0"/>
    <w:rsid w:val="009D46E5"/>
    <w:rsid w:val="009D568A"/>
    <w:rsid w:val="009E1B70"/>
    <w:rsid w:val="009E2013"/>
    <w:rsid w:val="009E3202"/>
    <w:rsid w:val="009F04EC"/>
    <w:rsid w:val="009F0AB4"/>
    <w:rsid w:val="009F2932"/>
    <w:rsid w:val="009F2A7C"/>
    <w:rsid w:val="009F3B36"/>
    <w:rsid w:val="00A019B9"/>
    <w:rsid w:val="00A01CC5"/>
    <w:rsid w:val="00A10DF0"/>
    <w:rsid w:val="00A12508"/>
    <w:rsid w:val="00A1282B"/>
    <w:rsid w:val="00A13A27"/>
    <w:rsid w:val="00A13D1A"/>
    <w:rsid w:val="00A15F40"/>
    <w:rsid w:val="00A175B6"/>
    <w:rsid w:val="00A21835"/>
    <w:rsid w:val="00A225B1"/>
    <w:rsid w:val="00A2374B"/>
    <w:rsid w:val="00A23C87"/>
    <w:rsid w:val="00A23E49"/>
    <w:rsid w:val="00A25E45"/>
    <w:rsid w:val="00A25F3F"/>
    <w:rsid w:val="00A27D6E"/>
    <w:rsid w:val="00A317A8"/>
    <w:rsid w:val="00A328EC"/>
    <w:rsid w:val="00A32FE5"/>
    <w:rsid w:val="00A33A51"/>
    <w:rsid w:val="00A340FA"/>
    <w:rsid w:val="00A36728"/>
    <w:rsid w:val="00A40833"/>
    <w:rsid w:val="00A41CA6"/>
    <w:rsid w:val="00A47927"/>
    <w:rsid w:val="00A47FFC"/>
    <w:rsid w:val="00A50912"/>
    <w:rsid w:val="00A52863"/>
    <w:rsid w:val="00A5442F"/>
    <w:rsid w:val="00A54FF9"/>
    <w:rsid w:val="00A56765"/>
    <w:rsid w:val="00A57DFB"/>
    <w:rsid w:val="00A606AC"/>
    <w:rsid w:val="00A631B5"/>
    <w:rsid w:val="00A646E4"/>
    <w:rsid w:val="00A65755"/>
    <w:rsid w:val="00A675AC"/>
    <w:rsid w:val="00A67DEE"/>
    <w:rsid w:val="00A72607"/>
    <w:rsid w:val="00A747B9"/>
    <w:rsid w:val="00A7581F"/>
    <w:rsid w:val="00A86114"/>
    <w:rsid w:val="00A91E16"/>
    <w:rsid w:val="00A92FB1"/>
    <w:rsid w:val="00A94356"/>
    <w:rsid w:val="00A95A0C"/>
    <w:rsid w:val="00AA0216"/>
    <w:rsid w:val="00AA1EE4"/>
    <w:rsid w:val="00AA2765"/>
    <w:rsid w:val="00AA3BEB"/>
    <w:rsid w:val="00AA4613"/>
    <w:rsid w:val="00AA6146"/>
    <w:rsid w:val="00AA77B5"/>
    <w:rsid w:val="00AA7E46"/>
    <w:rsid w:val="00AB50AA"/>
    <w:rsid w:val="00AB5531"/>
    <w:rsid w:val="00AB6497"/>
    <w:rsid w:val="00AB6C5D"/>
    <w:rsid w:val="00AB724E"/>
    <w:rsid w:val="00AC3401"/>
    <w:rsid w:val="00AC51A7"/>
    <w:rsid w:val="00AC680F"/>
    <w:rsid w:val="00AD444B"/>
    <w:rsid w:val="00AD4834"/>
    <w:rsid w:val="00AD5614"/>
    <w:rsid w:val="00AD6C78"/>
    <w:rsid w:val="00AE26EC"/>
    <w:rsid w:val="00AE2EAB"/>
    <w:rsid w:val="00AE36E6"/>
    <w:rsid w:val="00AE653B"/>
    <w:rsid w:val="00AE750B"/>
    <w:rsid w:val="00AF0D39"/>
    <w:rsid w:val="00AF3721"/>
    <w:rsid w:val="00AF5F89"/>
    <w:rsid w:val="00AF73CB"/>
    <w:rsid w:val="00B002D6"/>
    <w:rsid w:val="00B0227F"/>
    <w:rsid w:val="00B03379"/>
    <w:rsid w:val="00B057CD"/>
    <w:rsid w:val="00B05B51"/>
    <w:rsid w:val="00B14E5A"/>
    <w:rsid w:val="00B15370"/>
    <w:rsid w:val="00B16DA4"/>
    <w:rsid w:val="00B17BEB"/>
    <w:rsid w:val="00B21A3C"/>
    <w:rsid w:val="00B21F7D"/>
    <w:rsid w:val="00B223C0"/>
    <w:rsid w:val="00B234ED"/>
    <w:rsid w:val="00B2398C"/>
    <w:rsid w:val="00B249B2"/>
    <w:rsid w:val="00B25CA3"/>
    <w:rsid w:val="00B2765A"/>
    <w:rsid w:val="00B3109A"/>
    <w:rsid w:val="00B345C2"/>
    <w:rsid w:val="00B34A54"/>
    <w:rsid w:val="00B35A7D"/>
    <w:rsid w:val="00B40F2A"/>
    <w:rsid w:val="00B47106"/>
    <w:rsid w:val="00B477D5"/>
    <w:rsid w:val="00B516ED"/>
    <w:rsid w:val="00B532B0"/>
    <w:rsid w:val="00B5370E"/>
    <w:rsid w:val="00B53FEA"/>
    <w:rsid w:val="00B56E47"/>
    <w:rsid w:val="00B57A6A"/>
    <w:rsid w:val="00B63773"/>
    <w:rsid w:val="00B74785"/>
    <w:rsid w:val="00B760F1"/>
    <w:rsid w:val="00B7669E"/>
    <w:rsid w:val="00B76F60"/>
    <w:rsid w:val="00B77DA1"/>
    <w:rsid w:val="00B822A0"/>
    <w:rsid w:val="00B85392"/>
    <w:rsid w:val="00B858AE"/>
    <w:rsid w:val="00B85964"/>
    <w:rsid w:val="00B9361F"/>
    <w:rsid w:val="00B94C56"/>
    <w:rsid w:val="00B96250"/>
    <w:rsid w:val="00BA0D55"/>
    <w:rsid w:val="00BA1DF5"/>
    <w:rsid w:val="00BA37B3"/>
    <w:rsid w:val="00BA4CC6"/>
    <w:rsid w:val="00BB0D27"/>
    <w:rsid w:val="00BB1F4A"/>
    <w:rsid w:val="00BB3493"/>
    <w:rsid w:val="00BB374F"/>
    <w:rsid w:val="00BB7468"/>
    <w:rsid w:val="00BC134A"/>
    <w:rsid w:val="00BC188A"/>
    <w:rsid w:val="00BC263B"/>
    <w:rsid w:val="00BC402E"/>
    <w:rsid w:val="00BC4F79"/>
    <w:rsid w:val="00BC6F47"/>
    <w:rsid w:val="00BD0F48"/>
    <w:rsid w:val="00BD0FC2"/>
    <w:rsid w:val="00BD0FE4"/>
    <w:rsid w:val="00BD41B4"/>
    <w:rsid w:val="00BD75E8"/>
    <w:rsid w:val="00BE2EB7"/>
    <w:rsid w:val="00BE5374"/>
    <w:rsid w:val="00BE6DDB"/>
    <w:rsid w:val="00BF03BC"/>
    <w:rsid w:val="00BF5010"/>
    <w:rsid w:val="00BF76E7"/>
    <w:rsid w:val="00C014E8"/>
    <w:rsid w:val="00C03D5F"/>
    <w:rsid w:val="00C12FA3"/>
    <w:rsid w:val="00C13791"/>
    <w:rsid w:val="00C14411"/>
    <w:rsid w:val="00C1683C"/>
    <w:rsid w:val="00C16A84"/>
    <w:rsid w:val="00C1740E"/>
    <w:rsid w:val="00C22D2C"/>
    <w:rsid w:val="00C274BD"/>
    <w:rsid w:val="00C31BB3"/>
    <w:rsid w:val="00C31EC9"/>
    <w:rsid w:val="00C3431C"/>
    <w:rsid w:val="00C36977"/>
    <w:rsid w:val="00C36BCB"/>
    <w:rsid w:val="00C36D3A"/>
    <w:rsid w:val="00C371B5"/>
    <w:rsid w:val="00C467DA"/>
    <w:rsid w:val="00C477D9"/>
    <w:rsid w:val="00C50A11"/>
    <w:rsid w:val="00C54731"/>
    <w:rsid w:val="00C55B11"/>
    <w:rsid w:val="00C56CAC"/>
    <w:rsid w:val="00C60BA3"/>
    <w:rsid w:val="00C623F7"/>
    <w:rsid w:val="00C62A81"/>
    <w:rsid w:val="00C70842"/>
    <w:rsid w:val="00C75BC5"/>
    <w:rsid w:val="00C81670"/>
    <w:rsid w:val="00C81773"/>
    <w:rsid w:val="00C82861"/>
    <w:rsid w:val="00C85045"/>
    <w:rsid w:val="00C86896"/>
    <w:rsid w:val="00C86E3B"/>
    <w:rsid w:val="00C907A8"/>
    <w:rsid w:val="00C93211"/>
    <w:rsid w:val="00C942EC"/>
    <w:rsid w:val="00C94ADE"/>
    <w:rsid w:val="00C96047"/>
    <w:rsid w:val="00C96E0F"/>
    <w:rsid w:val="00C979D0"/>
    <w:rsid w:val="00CA0818"/>
    <w:rsid w:val="00CA15C8"/>
    <w:rsid w:val="00CA2C8F"/>
    <w:rsid w:val="00CA30DA"/>
    <w:rsid w:val="00CA3A24"/>
    <w:rsid w:val="00CA5407"/>
    <w:rsid w:val="00CA72F3"/>
    <w:rsid w:val="00CB1777"/>
    <w:rsid w:val="00CB33E9"/>
    <w:rsid w:val="00CB44A9"/>
    <w:rsid w:val="00CB6D06"/>
    <w:rsid w:val="00CC10A9"/>
    <w:rsid w:val="00CC406C"/>
    <w:rsid w:val="00CE07D5"/>
    <w:rsid w:val="00CE2BF8"/>
    <w:rsid w:val="00CE2CF3"/>
    <w:rsid w:val="00CE484E"/>
    <w:rsid w:val="00CE656F"/>
    <w:rsid w:val="00CE748D"/>
    <w:rsid w:val="00CF0DA8"/>
    <w:rsid w:val="00CF22D3"/>
    <w:rsid w:val="00CF2E25"/>
    <w:rsid w:val="00CF4453"/>
    <w:rsid w:val="00CF4F3E"/>
    <w:rsid w:val="00CF5D94"/>
    <w:rsid w:val="00CF7E0F"/>
    <w:rsid w:val="00D00C07"/>
    <w:rsid w:val="00D034D7"/>
    <w:rsid w:val="00D04BE4"/>
    <w:rsid w:val="00D05A64"/>
    <w:rsid w:val="00D05FD4"/>
    <w:rsid w:val="00D0694B"/>
    <w:rsid w:val="00D06FC7"/>
    <w:rsid w:val="00D12565"/>
    <w:rsid w:val="00D138AF"/>
    <w:rsid w:val="00D14127"/>
    <w:rsid w:val="00D204A1"/>
    <w:rsid w:val="00D27E27"/>
    <w:rsid w:val="00D359A8"/>
    <w:rsid w:val="00D4265A"/>
    <w:rsid w:val="00D428DC"/>
    <w:rsid w:val="00D42CA7"/>
    <w:rsid w:val="00D44977"/>
    <w:rsid w:val="00D60B16"/>
    <w:rsid w:val="00D60F02"/>
    <w:rsid w:val="00D66E49"/>
    <w:rsid w:val="00D70D71"/>
    <w:rsid w:val="00D712B9"/>
    <w:rsid w:val="00D72F74"/>
    <w:rsid w:val="00D76497"/>
    <w:rsid w:val="00D81563"/>
    <w:rsid w:val="00D853C6"/>
    <w:rsid w:val="00D85907"/>
    <w:rsid w:val="00D9073E"/>
    <w:rsid w:val="00D9221D"/>
    <w:rsid w:val="00D9243D"/>
    <w:rsid w:val="00D95811"/>
    <w:rsid w:val="00D958DF"/>
    <w:rsid w:val="00D96DA1"/>
    <w:rsid w:val="00D973DE"/>
    <w:rsid w:val="00DA1939"/>
    <w:rsid w:val="00DA456B"/>
    <w:rsid w:val="00DA51E7"/>
    <w:rsid w:val="00DB0260"/>
    <w:rsid w:val="00DB1133"/>
    <w:rsid w:val="00DB191F"/>
    <w:rsid w:val="00DB1C78"/>
    <w:rsid w:val="00DB4072"/>
    <w:rsid w:val="00DB7358"/>
    <w:rsid w:val="00DB7D96"/>
    <w:rsid w:val="00DC23FE"/>
    <w:rsid w:val="00DC29FC"/>
    <w:rsid w:val="00DC3390"/>
    <w:rsid w:val="00DC59E6"/>
    <w:rsid w:val="00DC5D78"/>
    <w:rsid w:val="00DD0D33"/>
    <w:rsid w:val="00DD1115"/>
    <w:rsid w:val="00DD150B"/>
    <w:rsid w:val="00DD5025"/>
    <w:rsid w:val="00DD6BAC"/>
    <w:rsid w:val="00DE51F7"/>
    <w:rsid w:val="00DF1510"/>
    <w:rsid w:val="00DF50A5"/>
    <w:rsid w:val="00DF6790"/>
    <w:rsid w:val="00DF6DE3"/>
    <w:rsid w:val="00E02F1F"/>
    <w:rsid w:val="00E06484"/>
    <w:rsid w:val="00E11B8B"/>
    <w:rsid w:val="00E20A7D"/>
    <w:rsid w:val="00E2445F"/>
    <w:rsid w:val="00E275D8"/>
    <w:rsid w:val="00E30F6A"/>
    <w:rsid w:val="00E3117C"/>
    <w:rsid w:val="00E34A68"/>
    <w:rsid w:val="00E363A0"/>
    <w:rsid w:val="00E375CA"/>
    <w:rsid w:val="00E4584A"/>
    <w:rsid w:val="00E47FB9"/>
    <w:rsid w:val="00E5364F"/>
    <w:rsid w:val="00E567E8"/>
    <w:rsid w:val="00E64679"/>
    <w:rsid w:val="00E65EBC"/>
    <w:rsid w:val="00E66F1F"/>
    <w:rsid w:val="00E677FE"/>
    <w:rsid w:val="00E73432"/>
    <w:rsid w:val="00E77B0C"/>
    <w:rsid w:val="00E77FB8"/>
    <w:rsid w:val="00E838B0"/>
    <w:rsid w:val="00E86A7C"/>
    <w:rsid w:val="00E86FBE"/>
    <w:rsid w:val="00E878E1"/>
    <w:rsid w:val="00E87F2C"/>
    <w:rsid w:val="00E94BF0"/>
    <w:rsid w:val="00E95278"/>
    <w:rsid w:val="00EA0A7A"/>
    <w:rsid w:val="00EA1201"/>
    <w:rsid w:val="00EA2273"/>
    <w:rsid w:val="00EA466F"/>
    <w:rsid w:val="00EA7C3C"/>
    <w:rsid w:val="00EB1202"/>
    <w:rsid w:val="00EB2DB3"/>
    <w:rsid w:val="00EB6502"/>
    <w:rsid w:val="00EC3FBB"/>
    <w:rsid w:val="00EC4F9D"/>
    <w:rsid w:val="00EC6B7A"/>
    <w:rsid w:val="00ED05C9"/>
    <w:rsid w:val="00ED3A87"/>
    <w:rsid w:val="00ED5B67"/>
    <w:rsid w:val="00ED6A17"/>
    <w:rsid w:val="00EF264C"/>
    <w:rsid w:val="00EF3FEE"/>
    <w:rsid w:val="00EF4F85"/>
    <w:rsid w:val="00F02E4E"/>
    <w:rsid w:val="00F04B59"/>
    <w:rsid w:val="00F11741"/>
    <w:rsid w:val="00F12B1C"/>
    <w:rsid w:val="00F13CF8"/>
    <w:rsid w:val="00F1582E"/>
    <w:rsid w:val="00F15855"/>
    <w:rsid w:val="00F200B2"/>
    <w:rsid w:val="00F2178F"/>
    <w:rsid w:val="00F227DC"/>
    <w:rsid w:val="00F27B6F"/>
    <w:rsid w:val="00F30A38"/>
    <w:rsid w:val="00F32978"/>
    <w:rsid w:val="00F346B5"/>
    <w:rsid w:val="00F3470E"/>
    <w:rsid w:val="00F43535"/>
    <w:rsid w:val="00F45CB2"/>
    <w:rsid w:val="00F51668"/>
    <w:rsid w:val="00F544C0"/>
    <w:rsid w:val="00F55332"/>
    <w:rsid w:val="00F56B6C"/>
    <w:rsid w:val="00F6504A"/>
    <w:rsid w:val="00F65519"/>
    <w:rsid w:val="00F65DF8"/>
    <w:rsid w:val="00F713C0"/>
    <w:rsid w:val="00F75DDC"/>
    <w:rsid w:val="00F7792F"/>
    <w:rsid w:val="00F842AA"/>
    <w:rsid w:val="00F8476F"/>
    <w:rsid w:val="00F853E1"/>
    <w:rsid w:val="00F85604"/>
    <w:rsid w:val="00F86C91"/>
    <w:rsid w:val="00F90F6A"/>
    <w:rsid w:val="00F92562"/>
    <w:rsid w:val="00F93E67"/>
    <w:rsid w:val="00F94B7A"/>
    <w:rsid w:val="00FA17AC"/>
    <w:rsid w:val="00FA32DE"/>
    <w:rsid w:val="00FA3382"/>
    <w:rsid w:val="00FA59CD"/>
    <w:rsid w:val="00FA5C7D"/>
    <w:rsid w:val="00FB1740"/>
    <w:rsid w:val="00FB22D3"/>
    <w:rsid w:val="00FB23F3"/>
    <w:rsid w:val="00FB5939"/>
    <w:rsid w:val="00FB63F1"/>
    <w:rsid w:val="00FB794A"/>
    <w:rsid w:val="00FC3940"/>
    <w:rsid w:val="00FC3D3E"/>
    <w:rsid w:val="00FC5469"/>
    <w:rsid w:val="00FC6D7D"/>
    <w:rsid w:val="00FD16B0"/>
    <w:rsid w:val="00FD4FED"/>
    <w:rsid w:val="00FE0577"/>
    <w:rsid w:val="00FE59EC"/>
    <w:rsid w:val="00FE5B67"/>
    <w:rsid w:val="00FE60D6"/>
    <w:rsid w:val="00FE7A00"/>
    <w:rsid w:val="00FF3AB8"/>
    <w:rsid w:val="00FF5635"/>
    <w:rsid w:val="00FF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819F304-D4D1-4080-A8E3-3847CBFD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4F634E"/>
    <w:rPr>
      <w:vertAlign w:val="superscript"/>
    </w:rPr>
  </w:style>
  <w:style w:type="character" w:customStyle="1" w:styleId="FootnoteTextChar">
    <w:name w:val="Footnote Text Char"/>
    <w:basedOn w:val="DefaultParagraphFont"/>
    <w:link w:val="FootnoteText"/>
    <w:uiPriority w:val="99"/>
    <w:rsid w:val="002F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568">
      <w:bodyDiv w:val="1"/>
      <w:marLeft w:val="0"/>
      <w:marRight w:val="0"/>
      <w:marTop w:val="0"/>
      <w:marBottom w:val="0"/>
      <w:divBdr>
        <w:top w:val="none" w:sz="0" w:space="0" w:color="auto"/>
        <w:left w:val="none" w:sz="0" w:space="0" w:color="auto"/>
        <w:bottom w:val="none" w:sz="0" w:space="0" w:color="auto"/>
        <w:right w:val="none" w:sz="0" w:space="0" w:color="auto"/>
      </w:divBdr>
    </w:div>
    <w:div w:id="67532793">
      <w:bodyDiv w:val="1"/>
      <w:marLeft w:val="0"/>
      <w:marRight w:val="0"/>
      <w:marTop w:val="0"/>
      <w:marBottom w:val="0"/>
      <w:divBdr>
        <w:top w:val="none" w:sz="0" w:space="0" w:color="auto"/>
        <w:left w:val="none" w:sz="0" w:space="0" w:color="auto"/>
        <w:bottom w:val="none" w:sz="0" w:space="0" w:color="auto"/>
        <w:right w:val="none" w:sz="0" w:space="0" w:color="auto"/>
      </w:divBdr>
    </w:div>
    <w:div w:id="149492428">
      <w:bodyDiv w:val="1"/>
      <w:marLeft w:val="0"/>
      <w:marRight w:val="0"/>
      <w:marTop w:val="0"/>
      <w:marBottom w:val="0"/>
      <w:divBdr>
        <w:top w:val="none" w:sz="0" w:space="0" w:color="auto"/>
        <w:left w:val="none" w:sz="0" w:space="0" w:color="auto"/>
        <w:bottom w:val="none" w:sz="0" w:space="0" w:color="auto"/>
        <w:right w:val="none" w:sz="0" w:space="0" w:color="auto"/>
      </w:divBdr>
    </w:div>
    <w:div w:id="752508883">
      <w:bodyDiv w:val="1"/>
      <w:marLeft w:val="0"/>
      <w:marRight w:val="0"/>
      <w:marTop w:val="0"/>
      <w:marBottom w:val="0"/>
      <w:divBdr>
        <w:top w:val="none" w:sz="0" w:space="0" w:color="auto"/>
        <w:left w:val="none" w:sz="0" w:space="0" w:color="auto"/>
        <w:bottom w:val="none" w:sz="0" w:space="0" w:color="auto"/>
        <w:right w:val="none" w:sz="0" w:space="0" w:color="auto"/>
      </w:divBdr>
    </w:div>
    <w:div w:id="1170145562">
      <w:bodyDiv w:val="1"/>
      <w:marLeft w:val="0"/>
      <w:marRight w:val="0"/>
      <w:marTop w:val="0"/>
      <w:marBottom w:val="0"/>
      <w:divBdr>
        <w:top w:val="none" w:sz="0" w:space="0" w:color="auto"/>
        <w:left w:val="none" w:sz="0" w:space="0" w:color="auto"/>
        <w:bottom w:val="none" w:sz="0" w:space="0" w:color="auto"/>
        <w:right w:val="none" w:sz="0" w:space="0" w:color="auto"/>
      </w:divBdr>
    </w:div>
    <w:div w:id="1395813245">
      <w:bodyDiv w:val="1"/>
      <w:marLeft w:val="0"/>
      <w:marRight w:val="0"/>
      <w:marTop w:val="0"/>
      <w:marBottom w:val="0"/>
      <w:divBdr>
        <w:top w:val="none" w:sz="0" w:space="0" w:color="auto"/>
        <w:left w:val="none" w:sz="0" w:space="0" w:color="auto"/>
        <w:bottom w:val="none" w:sz="0" w:space="0" w:color="auto"/>
        <w:right w:val="none" w:sz="0" w:space="0" w:color="auto"/>
      </w:divBdr>
    </w:div>
    <w:div w:id="1482118907">
      <w:bodyDiv w:val="1"/>
      <w:marLeft w:val="0"/>
      <w:marRight w:val="0"/>
      <w:marTop w:val="0"/>
      <w:marBottom w:val="0"/>
      <w:divBdr>
        <w:top w:val="none" w:sz="0" w:space="0" w:color="auto"/>
        <w:left w:val="none" w:sz="0" w:space="0" w:color="auto"/>
        <w:bottom w:val="none" w:sz="0" w:space="0" w:color="auto"/>
        <w:right w:val="none" w:sz="0" w:space="0" w:color="auto"/>
      </w:divBdr>
    </w:div>
    <w:div w:id="14853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AA62-7389-4D27-9B2B-DFC32AC1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2663</Words>
  <Characters>15561</Characters>
  <Application>Microsoft Office Word</Application>
  <DocSecurity>0</DocSecurity>
  <Lines>389</Lines>
  <Paragraphs>207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Shari Cornelius</cp:lastModifiedBy>
  <cp:revision>2</cp:revision>
  <cp:lastPrinted>2021-07-27T10:24:00Z</cp:lastPrinted>
  <dcterms:created xsi:type="dcterms:W3CDTF">2021-07-27T14:26:00Z</dcterms:created>
  <dcterms:modified xsi:type="dcterms:W3CDTF">2021-07-27T14:26:00Z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20210001-EI</vt:lpwstr>
  </property>
  <property fmtid="{D5CDD505-2E9C-101B-9397-08002B2CF9AE}" pid="3" name="MasterDocument">
    <vt:bool>false</vt:bool>
  </property>
</Properties>
</file>